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85971">
      <w:pPr>
        <w:autoSpaceDE w:val="0"/>
        <w:autoSpaceDN w:val="0"/>
        <w:adjustRightInd w:val="0"/>
        <w:jc w:val="center"/>
        <w:rPr>
          <w:rFonts w:hint="eastAsia" w:ascii="宋体" w:hAnsi="宋体" w:cs="华文新魏"/>
          <w:b/>
          <w:bCs/>
          <w:kern w:val="0"/>
          <w:sz w:val="72"/>
          <w:szCs w:val="72"/>
          <w:lang w:eastAsia="zh-CN"/>
        </w:rPr>
      </w:pPr>
    </w:p>
    <w:p w14:paraId="626A41F1">
      <w:pPr>
        <w:autoSpaceDE w:val="0"/>
        <w:autoSpaceDN w:val="0"/>
        <w:adjustRightInd w:val="0"/>
        <w:jc w:val="center"/>
        <w:rPr>
          <w:rFonts w:hint="eastAsia" w:ascii="宋体" w:hAnsi="宋体" w:eastAsia="宋体" w:cs="华文新魏"/>
          <w:b/>
          <w:bCs/>
          <w:kern w:val="0"/>
          <w:sz w:val="72"/>
          <w:szCs w:val="72"/>
          <w:lang w:eastAsia="zh-CN"/>
        </w:rPr>
      </w:pPr>
      <w:r>
        <w:rPr>
          <w:rFonts w:hint="eastAsia" w:ascii="宋体" w:hAnsi="宋体" w:cs="华文新魏"/>
          <w:b/>
          <w:bCs/>
          <w:kern w:val="0"/>
          <w:sz w:val="72"/>
          <w:szCs w:val="72"/>
          <w:lang w:eastAsia="zh-CN"/>
        </w:rPr>
        <w:t>广西恒盛工程集团有限公司</w:t>
      </w:r>
    </w:p>
    <w:p w14:paraId="20542B0C">
      <w:pPr>
        <w:autoSpaceDE w:val="0"/>
        <w:autoSpaceDN w:val="0"/>
        <w:adjustRightInd w:val="0"/>
        <w:jc w:val="center"/>
        <w:rPr>
          <w:rFonts w:ascii="宋体" w:hAnsi="宋体" w:cs="华文新魏"/>
          <w:b/>
          <w:bCs/>
          <w:kern w:val="0"/>
          <w:sz w:val="60"/>
          <w:szCs w:val="60"/>
        </w:rPr>
      </w:pPr>
    </w:p>
    <w:p w14:paraId="4F6B4E48">
      <w:pPr>
        <w:autoSpaceDE w:val="0"/>
        <w:autoSpaceDN w:val="0"/>
        <w:adjustRightInd w:val="0"/>
        <w:jc w:val="center"/>
        <w:rPr>
          <w:rFonts w:hint="eastAsia" w:ascii="宋体" w:hAnsi="宋体" w:eastAsia="宋体" w:cs="华文新魏"/>
          <w:b/>
          <w:bCs/>
          <w:kern w:val="0"/>
          <w:sz w:val="60"/>
          <w:szCs w:val="60"/>
          <w:lang w:eastAsia="zh-CN"/>
        </w:rPr>
      </w:pPr>
      <w:r>
        <w:rPr>
          <w:rFonts w:hint="eastAsia" w:ascii="宋体" w:hAnsi="宋体" w:eastAsia="宋体" w:cs="华文新魏"/>
          <w:b/>
          <w:bCs/>
          <w:kern w:val="0"/>
          <w:sz w:val="60"/>
          <w:szCs w:val="60"/>
          <w:lang w:eastAsia="zh-CN"/>
        </w:rPr>
        <w:drawing>
          <wp:inline distT="0" distB="0" distL="114300" distR="114300">
            <wp:extent cx="1628775" cy="2021840"/>
            <wp:effectExtent l="0" t="0" r="9525" b="16510"/>
            <wp:docPr id="24" name="图片 1" descr="9edd97051693b41afe9f783398597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descr="9edd97051693b41afe9f783398597ab"/>
                    <pic:cNvPicPr>
                      <a:picLocks noChangeAspect="1"/>
                    </pic:cNvPicPr>
                  </pic:nvPicPr>
                  <pic:blipFill>
                    <a:blip r:embed="rId11"/>
                    <a:stretch>
                      <a:fillRect/>
                    </a:stretch>
                  </pic:blipFill>
                  <pic:spPr>
                    <a:xfrm>
                      <a:off x="0" y="0"/>
                      <a:ext cx="1628775" cy="2021840"/>
                    </a:xfrm>
                    <a:prstGeom prst="rect">
                      <a:avLst/>
                    </a:prstGeom>
                    <a:noFill/>
                    <a:ln>
                      <a:noFill/>
                    </a:ln>
                  </pic:spPr>
                </pic:pic>
              </a:graphicData>
            </a:graphic>
          </wp:inline>
        </w:drawing>
      </w:r>
    </w:p>
    <w:p w14:paraId="455287A6">
      <w:pPr>
        <w:autoSpaceDE w:val="0"/>
        <w:autoSpaceDN w:val="0"/>
        <w:adjustRightInd w:val="0"/>
        <w:jc w:val="center"/>
        <w:rPr>
          <w:rFonts w:hint="eastAsia" w:ascii="宋体" w:hAnsi="宋体" w:cs="华文新魏"/>
          <w:b/>
          <w:bCs/>
          <w:kern w:val="0"/>
          <w:sz w:val="60"/>
          <w:szCs w:val="60"/>
        </w:rPr>
      </w:pPr>
    </w:p>
    <w:p w14:paraId="14BF61A1">
      <w:pPr>
        <w:pStyle w:val="19"/>
        <w:ind w:firstLine="0" w:firstLineChars="0"/>
        <w:rPr>
          <w:rFonts w:ascii="宋体" w:hAnsi="宋体" w:eastAsia="宋体"/>
        </w:rPr>
      </w:pPr>
      <w:r>
        <w:rPr>
          <w:rFonts w:hint="eastAsia" w:ascii="宋体" w:hAnsi="宋体" w:eastAsia="宋体" w:cs="楷体"/>
          <w:b/>
          <w:bCs/>
          <w:spacing w:val="0"/>
          <w:sz w:val="110"/>
          <w:szCs w:val="110"/>
        </w:rPr>
        <w:t>竞争性磋商文件</w:t>
      </w:r>
    </w:p>
    <w:p w14:paraId="76137CA4">
      <w:pPr>
        <w:autoSpaceDE w:val="0"/>
        <w:autoSpaceDN w:val="0"/>
        <w:adjustRightInd w:val="0"/>
        <w:jc w:val="both"/>
        <w:rPr>
          <w:rFonts w:ascii="宋体" w:hAnsi="宋体" w:cs="华文新魏"/>
          <w:b/>
          <w:bCs/>
          <w:kern w:val="0"/>
          <w:sz w:val="60"/>
          <w:szCs w:val="60"/>
        </w:rPr>
      </w:pPr>
    </w:p>
    <w:p w14:paraId="48CA9933">
      <w:pPr>
        <w:autoSpaceDE w:val="0"/>
        <w:autoSpaceDN w:val="0"/>
        <w:adjustRightInd w:val="0"/>
        <w:spacing w:line="480" w:lineRule="auto"/>
        <w:jc w:val="left"/>
        <w:rPr>
          <w:rFonts w:hint="eastAsia" w:ascii="宋体" w:hAnsi="宋体" w:cs="宋体"/>
          <w:kern w:val="0"/>
          <w:sz w:val="32"/>
          <w:szCs w:val="32"/>
          <w:lang w:eastAsia="zh-CN"/>
        </w:rPr>
      </w:pPr>
      <w:r>
        <w:rPr>
          <w:rFonts w:hint="eastAsia" w:ascii="宋体" w:hAnsi="宋体" w:cs="宋体"/>
          <w:kern w:val="0"/>
          <w:sz w:val="32"/>
          <w:szCs w:val="32"/>
        </w:rPr>
        <w:t>项目名称：</w:t>
      </w:r>
      <w:r>
        <w:rPr>
          <w:rFonts w:hint="eastAsia" w:ascii="宋体" w:hAnsi="宋体" w:cs="宋体"/>
          <w:kern w:val="0"/>
          <w:sz w:val="32"/>
          <w:szCs w:val="32"/>
          <w:lang w:eastAsia="zh-CN"/>
        </w:rPr>
        <w:t>2026年融安县东起乡红日村上甲屯人饮灌溉工程</w:t>
      </w:r>
    </w:p>
    <w:p w14:paraId="03B640A4">
      <w:pPr>
        <w:autoSpaceDE w:val="0"/>
        <w:autoSpaceDN w:val="0"/>
        <w:adjustRightInd w:val="0"/>
        <w:spacing w:line="480" w:lineRule="auto"/>
        <w:jc w:val="left"/>
        <w:rPr>
          <w:rFonts w:hint="eastAsia" w:ascii="宋体" w:hAnsi="宋体" w:eastAsia="宋体" w:cs="宋体"/>
          <w:kern w:val="0"/>
          <w:sz w:val="32"/>
          <w:szCs w:val="32"/>
          <w:highlight w:val="none"/>
          <w:lang w:val="en-US" w:eastAsia="zh-CN"/>
        </w:rPr>
      </w:pPr>
      <w:r>
        <w:rPr>
          <w:rFonts w:hint="eastAsia" w:ascii="宋体" w:hAnsi="宋体" w:cs="宋体"/>
          <w:kern w:val="0"/>
          <w:sz w:val="32"/>
          <w:szCs w:val="32"/>
          <w:highlight w:val="none"/>
        </w:rPr>
        <w:t>项目编号：LZZC2026-C2-240055-GXHS</w:t>
      </w:r>
    </w:p>
    <w:p w14:paraId="2F7D87CA">
      <w:pPr>
        <w:autoSpaceDE w:val="0"/>
        <w:autoSpaceDN w:val="0"/>
        <w:adjustRightInd w:val="0"/>
        <w:spacing w:line="480" w:lineRule="auto"/>
        <w:jc w:val="left"/>
        <w:rPr>
          <w:rFonts w:hint="eastAsia" w:ascii="宋体" w:hAnsi="宋体" w:eastAsia="宋体" w:cs="宋体"/>
          <w:kern w:val="0"/>
          <w:sz w:val="32"/>
          <w:szCs w:val="32"/>
          <w:highlight w:val="none"/>
          <w:lang w:eastAsia="zh-CN"/>
        </w:rPr>
      </w:pPr>
      <w:r>
        <w:rPr>
          <w:rFonts w:hint="eastAsia" w:ascii="宋体" w:hAnsi="宋体" w:cs="宋体"/>
          <w:kern w:val="0"/>
          <w:sz w:val="32"/>
          <w:szCs w:val="32"/>
          <w:highlight w:val="none"/>
        </w:rPr>
        <w:t>采购单位：</w:t>
      </w:r>
      <w:r>
        <w:rPr>
          <w:rFonts w:hint="eastAsia" w:ascii="宋体" w:hAnsi="宋体" w:cs="宋体"/>
          <w:kern w:val="0"/>
          <w:sz w:val="32"/>
          <w:szCs w:val="32"/>
          <w:highlight w:val="none"/>
          <w:lang w:eastAsia="zh-CN"/>
        </w:rPr>
        <w:t>融安县水利局</w:t>
      </w:r>
    </w:p>
    <w:p w14:paraId="487C7FA6">
      <w:pPr>
        <w:autoSpaceDE w:val="0"/>
        <w:autoSpaceDN w:val="0"/>
        <w:adjustRightInd w:val="0"/>
        <w:spacing w:line="480" w:lineRule="auto"/>
        <w:jc w:val="left"/>
        <w:rPr>
          <w:rFonts w:hint="eastAsia" w:ascii="宋体" w:hAnsi="宋体" w:eastAsia="宋体" w:cs="宋体"/>
          <w:kern w:val="0"/>
          <w:sz w:val="32"/>
          <w:szCs w:val="32"/>
          <w:highlight w:val="none"/>
          <w:lang w:eastAsia="zh-CN"/>
        </w:rPr>
      </w:pPr>
      <w:r>
        <w:rPr>
          <w:rFonts w:hint="eastAsia" w:ascii="宋体" w:hAnsi="宋体" w:cs="宋体"/>
          <w:kern w:val="0"/>
          <w:sz w:val="32"/>
          <w:szCs w:val="32"/>
          <w:highlight w:val="none"/>
        </w:rPr>
        <w:t>招标代理机构：</w:t>
      </w:r>
      <w:r>
        <w:rPr>
          <w:rFonts w:hint="eastAsia" w:ascii="宋体" w:hAnsi="宋体" w:cs="宋体"/>
          <w:kern w:val="0"/>
          <w:sz w:val="32"/>
          <w:szCs w:val="32"/>
          <w:highlight w:val="none"/>
          <w:lang w:eastAsia="zh-CN"/>
        </w:rPr>
        <w:t>广西恒盛工程集团有限公司</w:t>
      </w:r>
    </w:p>
    <w:p w14:paraId="3CD1288B">
      <w:pPr>
        <w:spacing w:line="480" w:lineRule="auto"/>
        <w:jc w:val="center"/>
        <w:rPr>
          <w:rFonts w:ascii="宋体" w:hAnsi="宋体" w:cs="宋体"/>
          <w:kern w:val="0"/>
          <w:sz w:val="32"/>
          <w:szCs w:val="32"/>
          <w:highlight w:val="none"/>
        </w:rPr>
      </w:pPr>
      <w:r>
        <w:rPr>
          <w:rFonts w:hint="eastAsia" w:ascii="宋体" w:hAnsi="宋体" w:cs="宋体"/>
          <w:kern w:val="0"/>
          <w:sz w:val="32"/>
          <w:szCs w:val="32"/>
          <w:highlight w:val="none"/>
        </w:rPr>
        <w:t>日期</w:t>
      </w:r>
      <w:r>
        <w:rPr>
          <w:rFonts w:ascii="宋体" w:hAnsi="宋体" w:cs="宋体"/>
          <w:kern w:val="0"/>
          <w:sz w:val="32"/>
          <w:szCs w:val="32"/>
          <w:highlight w:val="none"/>
        </w:rPr>
        <w:t>:202</w:t>
      </w:r>
      <w:r>
        <w:rPr>
          <w:rFonts w:hint="eastAsia" w:ascii="宋体" w:hAnsi="宋体" w:cs="宋体"/>
          <w:kern w:val="0"/>
          <w:sz w:val="32"/>
          <w:szCs w:val="32"/>
          <w:highlight w:val="none"/>
          <w:lang w:val="en-US" w:eastAsia="zh-CN"/>
        </w:rPr>
        <w:t>6</w:t>
      </w:r>
      <w:r>
        <w:rPr>
          <w:rFonts w:hint="eastAsia" w:ascii="宋体" w:hAnsi="宋体" w:cs="宋体"/>
          <w:kern w:val="0"/>
          <w:sz w:val="32"/>
          <w:szCs w:val="32"/>
          <w:highlight w:val="none"/>
        </w:rPr>
        <w:t>年</w:t>
      </w:r>
      <w:r>
        <w:rPr>
          <w:rFonts w:hint="eastAsia" w:ascii="宋体" w:hAnsi="宋体" w:cs="宋体"/>
          <w:kern w:val="0"/>
          <w:sz w:val="32"/>
          <w:szCs w:val="32"/>
          <w:highlight w:val="none"/>
          <w:lang w:val="en-US" w:eastAsia="zh-CN"/>
        </w:rPr>
        <w:t>6</w:t>
      </w:r>
      <w:r>
        <w:rPr>
          <w:rFonts w:hint="eastAsia" w:ascii="宋体" w:hAnsi="宋体" w:cs="宋体"/>
          <w:kern w:val="0"/>
          <w:sz w:val="32"/>
          <w:szCs w:val="32"/>
          <w:highlight w:val="none"/>
        </w:rPr>
        <w:t>月</w:t>
      </w:r>
    </w:p>
    <w:p w14:paraId="2863144B">
      <w:pPr>
        <w:spacing w:before="312" w:beforeLines="100" w:after="156" w:afterLines="50" w:line="360" w:lineRule="auto"/>
        <w:jc w:val="center"/>
        <w:rPr>
          <w:rFonts w:hint="eastAsia" w:ascii="宋体" w:hAnsi="宋体"/>
          <w:b/>
          <w:sz w:val="44"/>
          <w:szCs w:val="44"/>
        </w:rPr>
      </w:pPr>
      <w:r>
        <w:rPr>
          <w:rFonts w:ascii="宋体" w:hAnsi="宋体"/>
          <w:b/>
          <w:bCs/>
          <w:sz w:val="72"/>
          <w:szCs w:val="144"/>
        </w:rPr>
        <w:br w:type="page"/>
      </w:r>
      <w:r>
        <w:rPr>
          <w:rFonts w:hint="eastAsia" w:ascii="宋体" w:hAnsi="宋体"/>
          <w:b/>
          <w:sz w:val="44"/>
          <w:szCs w:val="44"/>
        </w:rPr>
        <w:t>目   录</w:t>
      </w:r>
    </w:p>
    <w:p w14:paraId="3E266862">
      <w:pPr>
        <w:spacing w:line="400" w:lineRule="exact"/>
        <w:jc w:val="center"/>
        <w:rPr>
          <w:rFonts w:hint="eastAsia" w:ascii="宋体" w:hAnsi="宋体"/>
          <w:b/>
          <w:sz w:val="44"/>
          <w:szCs w:val="44"/>
        </w:rPr>
      </w:pPr>
    </w:p>
    <w:p w14:paraId="005BD006">
      <w:pPr>
        <w:pStyle w:val="16"/>
        <w:keepNext w:val="0"/>
        <w:keepLines w:val="0"/>
        <w:pageBreakBefore w:val="0"/>
        <w:widowControl w:val="0"/>
        <w:tabs>
          <w:tab w:val="right" w:leader="dot" w:pos="8879"/>
        </w:tabs>
        <w:kinsoku/>
        <w:wordWrap/>
        <w:overflowPunct/>
        <w:topLinePunct w:val="0"/>
        <w:autoSpaceDE/>
        <w:autoSpaceDN/>
        <w:bidi w:val="0"/>
        <w:adjustRightInd/>
        <w:snapToGrid/>
        <w:spacing w:line="300" w:lineRule="exact"/>
        <w:textAlignment w:val="auto"/>
        <w:rPr>
          <w:rFonts w:ascii="宋体" w:hAnsi="宋体"/>
          <w:b/>
          <w:sz w:val="28"/>
          <w:szCs w:val="28"/>
        </w:rPr>
      </w:pPr>
    </w:p>
    <w:p w14:paraId="01C98C89">
      <w:pPr>
        <w:pStyle w:val="16"/>
        <w:keepNext w:val="0"/>
        <w:keepLines w:val="0"/>
        <w:pageBreakBefore w:val="0"/>
        <w:widowControl w:val="0"/>
        <w:tabs>
          <w:tab w:val="right" w:leader="dot" w:pos="8879"/>
        </w:tabs>
        <w:kinsoku/>
        <w:wordWrap/>
        <w:overflowPunct/>
        <w:topLinePunct w:val="0"/>
        <w:autoSpaceDE/>
        <w:autoSpaceDN/>
        <w:bidi w:val="0"/>
        <w:adjustRightInd/>
        <w:snapToGrid/>
        <w:spacing w:line="300" w:lineRule="exact"/>
        <w:textAlignment w:val="auto"/>
        <w:rPr>
          <w:rFonts w:ascii="宋体" w:hAnsi="宋体"/>
          <w:b/>
          <w:sz w:val="28"/>
          <w:szCs w:val="28"/>
        </w:rPr>
      </w:pPr>
    </w:p>
    <w:p w14:paraId="2281675D">
      <w:pPr>
        <w:pStyle w:val="16"/>
        <w:keepNext w:val="0"/>
        <w:keepLines w:val="0"/>
        <w:pageBreakBefore w:val="0"/>
        <w:widowControl w:val="0"/>
        <w:tabs>
          <w:tab w:val="right" w:leader="dot" w:pos="8879"/>
        </w:tabs>
        <w:kinsoku/>
        <w:wordWrap/>
        <w:overflowPunct/>
        <w:topLinePunct w:val="0"/>
        <w:autoSpaceDE/>
        <w:autoSpaceDN/>
        <w:bidi w:val="0"/>
        <w:adjustRightInd/>
        <w:snapToGrid/>
        <w:spacing w:line="300" w:lineRule="exact"/>
        <w:textAlignment w:val="auto"/>
        <w:rPr>
          <w:rFonts w:ascii="宋体" w:hAnsi="宋体"/>
          <w:b/>
          <w:sz w:val="28"/>
          <w:szCs w:val="28"/>
        </w:rPr>
      </w:pPr>
    </w:p>
    <w:p w14:paraId="233AF3CB">
      <w:pPr>
        <w:pStyle w:val="16"/>
        <w:tabs>
          <w:tab w:val="right" w:leader="dot" w:pos="8879"/>
        </w:tabs>
        <w:rPr>
          <w:rFonts w:hint="eastAsia" w:ascii="宋体" w:hAnsi="宋体" w:eastAsia="宋体" w:cs="宋体"/>
          <w:sz w:val="32"/>
          <w:szCs w:val="32"/>
        </w:rPr>
      </w:pPr>
      <w:r>
        <w:rPr>
          <w:rFonts w:ascii="宋体" w:hAnsi="宋体"/>
          <w:b/>
          <w:sz w:val="28"/>
          <w:szCs w:val="28"/>
        </w:rPr>
        <w:fldChar w:fldCharType="begin"/>
      </w:r>
      <w:r>
        <w:rPr>
          <w:rFonts w:ascii="宋体" w:hAnsi="宋体"/>
          <w:b/>
          <w:sz w:val="28"/>
          <w:szCs w:val="28"/>
        </w:rPr>
        <w:instrText xml:space="preserve"> </w:instrText>
      </w:r>
      <w:r>
        <w:rPr>
          <w:rFonts w:hint="eastAsia" w:ascii="宋体" w:hAnsi="宋体"/>
          <w:b/>
          <w:sz w:val="28"/>
          <w:szCs w:val="28"/>
        </w:rPr>
        <w:instrText xml:space="preserve">TOC \o "1-3" \h \z \u</w:instrText>
      </w:r>
      <w:r>
        <w:rPr>
          <w:rFonts w:ascii="宋体" w:hAnsi="宋体"/>
          <w:b/>
          <w:sz w:val="28"/>
          <w:szCs w:val="28"/>
        </w:rPr>
        <w:instrText xml:space="preserve"> </w:instrText>
      </w:r>
      <w:r>
        <w:rPr>
          <w:rFonts w:ascii="宋体" w:hAnsi="宋体"/>
          <w:b/>
          <w:sz w:val="28"/>
          <w:szCs w:val="28"/>
        </w:rPr>
        <w:fldChar w:fldCharType="separate"/>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_Toc17638 </w:instrText>
      </w:r>
      <w:r>
        <w:rPr>
          <w:rFonts w:hint="eastAsia" w:ascii="宋体" w:hAnsi="宋体" w:eastAsia="宋体" w:cs="宋体"/>
          <w:sz w:val="32"/>
          <w:szCs w:val="32"/>
        </w:rPr>
        <w:fldChar w:fldCharType="separate"/>
      </w:r>
      <w:r>
        <w:rPr>
          <w:rFonts w:hint="eastAsia" w:ascii="宋体" w:hAnsi="宋体" w:eastAsia="宋体" w:cs="宋体"/>
          <w:sz w:val="32"/>
          <w:szCs w:val="32"/>
        </w:rPr>
        <w:t>第一章 竞争性磋商公告</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_Toc17638 \h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4CBCCF01">
      <w:pPr>
        <w:pStyle w:val="16"/>
        <w:tabs>
          <w:tab w:val="right" w:leader="dot" w:pos="8879"/>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_Toc18367 </w:instrText>
      </w:r>
      <w:r>
        <w:rPr>
          <w:rFonts w:hint="eastAsia" w:ascii="宋体" w:hAnsi="宋体" w:eastAsia="宋体" w:cs="宋体"/>
          <w:sz w:val="32"/>
          <w:szCs w:val="32"/>
        </w:rPr>
        <w:fldChar w:fldCharType="separate"/>
      </w:r>
      <w:r>
        <w:rPr>
          <w:rFonts w:hint="eastAsia" w:ascii="宋体" w:hAnsi="宋体" w:eastAsia="宋体" w:cs="宋体"/>
          <w:sz w:val="32"/>
          <w:szCs w:val="32"/>
        </w:rPr>
        <w:t>第二章 供应商须知</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_Toc18367 \h </w:instrText>
      </w:r>
      <w:r>
        <w:rPr>
          <w:rFonts w:hint="eastAsia" w:ascii="宋体" w:hAnsi="宋体" w:eastAsia="宋体" w:cs="宋体"/>
          <w:sz w:val="32"/>
          <w:szCs w:val="32"/>
        </w:rPr>
        <w:fldChar w:fldCharType="separate"/>
      </w:r>
      <w:r>
        <w:rPr>
          <w:rFonts w:hint="eastAsia" w:ascii="宋体" w:hAnsi="宋体" w:eastAsia="宋体" w:cs="宋体"/>
          <w:sz w:val="32"/>
          <w:szCs w:val="32"/>
        </w:rPr>
        <w:t>4</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4149D7C3">
      <w:pPr>
        <w:pStyle w:val="16"/>
        <w:tabs>
          <w:tab w:val="right" w:leader="dot" w:pos="8879"/>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_Toc827 </w:instrText>
      </w:r>
      <w:r>
        <w:rPr>
          <w:rFonts w:hint="eastAsia" w:ascii="宋体" w:hAnsi="宋体" w:eastAsia="宋体" w:cs="宋体"/>
          <w:sz w:val="32"/>
          <w:szCs w:val="32"/>
        </w:rPr>
        <w:fldChar w:fldCharType="separate"/>
      </w:r>
      <w:r>
        <w:rPr>
          <w:rFonts w:hint="eastAsia" w:ascii="宋体" w:hAnsi="宋体" w:eastAsia="宋体" w:cs="宋体"/>
          <w:sz w:val="32"/>
          <w:szCs w:val="32"/>
          <w:lang w:val="en-US" w:eastAsia="zh-CN"/>
        </w:rPr>
        <w:t>第三章 采购需求</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_Toc827 \h </w:instrText>
      </w:r>
      <w:r>
        <w:rPr>
          <w:rFonts w:hint="eastAsia" w:ascii="宋体" w:hAnsi="宋体" w:eastAsia="宋体" w:cs="宋体"/>
          <w:sz w:val="32"/>
          <w:szCs w:val="32"/>
        </w:rPr>
        <w:fldChar w:fldCharType="separate"/>
      </w:r>
      <w:r>
        <w:rPr>
          <w:rFonts w:hint="eastAsia" w:ascii="宋体" w:hAnsi="宋体" w:eastAsia="宋体" w:cs="宋体"/>
          <w:sz w:val="32"/>
          <w:szCs w:val="32"/>
        </w:rPr>
        <w:t>9</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5706AA97">
      <w:pPr>
        <w:pStyle w:val="16"/>
        <w:tabs>
          <w:tab w:val="right" w:leader="dot" w:pos="8879"/>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_Toc14070 </w:instrText>
      </w:r>
      <w:r>
        <w:rPr>
          <w:rFonts w:hint="eastAsia" w:ascii="宋体" w:hAnsi="宋体" w:eastAsia="宋体" w:cs="宋体"/>
          <w:sz w:val="32"/>
          <w:szCs w:val="32"/>
        </w:rPr>
        <w:fldChar w:fldCharType="separate"/>
      </w:r>
      <w:r>
        <w:rPr>
          <w:rFonts w:hint="eastAsia" w:ascii="宋体" w:hAnsi="宋体" w:eastAsia="宋体" w:cs="宋体"/>
          <w:sz w:val="32"/>
          <w:szCs w:val="32"/>
        </w:rPr>
        <w:t>第</w:t>
      </w:r>
      <w:r>
        <w:rPr>
          <w:rFonts w:hint="eastAsia" w:ascii="宋体" w:hAnsi="宋体" w:eastAsia="宋体" w:cs="宋体"/>
          <w:sz w:val="32"/>
          <w:szCs w:val="32"/>
          <w:lang w:val="en-US" w:eastAsia="zh-CN"/>
        </w:rPr>
        <w:t>四</w:t>
      </w:r>
      <w:r>
        <w:rPr>
          <w:rFonts w:hint="eastAsia" w:ascii="宋体" w:hAnsi="宋体" w:eastAsia="宋体" w:cs="宋体"/>
          <w:sz w:val="32"/>
          <w:szCs w:val="32"/>
        </w:rPr>
        <w:t>章 评审程序、评审方法和评审标准</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_Toc14070 \h </w:instrText>
      </w:r>
      <w:r>
        <w:rPr>
          <w:rFonts w:hint="eastAsia" w:ascii="宋体" w:hAnsi="宋体" w:eastAsia="宋体" w:cs="宋体"/>
          <w:sz w:val="32"/>
          <w:szCs w:val="32"/>
        </w:rPr>
        <w:fldChar w:fldCharType="separate"/>
      </w:r>
      <w:r>
        <w:rPr>
          <w:rFonts w:hint="eastAsia" w:ascii="宋体" w:hAnsi="宋体" w:eastAsia="宋体" w:cs="宋体"/>
          <w:sz w:val="32"/>
          <w:szCs w:val="32"/>
        </w:rPr>
        <w:t>21</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4F707443">
      <w:pPr>
        <w:pStyle w:val="16"/>
        <w:tabs>
          <w:tab w:val="right" w:leader="dot" w:pos="8879"/>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_Toc23771 </w:instrText>
      </w:r>
      <w:r>
        <w:rPr>
          <w:rFonts w:hint="eastAsia" w:ascii="宋体" w:hAnsi="宋体" w:eastAsia="宋体" w:cs="宋体"/>
          <w:sz w:val="32"/>
          <w:szCs w:val="32"/>
        </w:rPr>
        <w:fldChar w:fldCharType="separate"/>
      </w:r>
      <w:r>
        <w:rPr>
          <w:rFonts w:hint="eastAsia" w:ascii="宋体" w:hAnsi="宋体" w:eastAsia="宋体" w:cs="宋体"/>
          <w:sz w:val="32"/>
          <w:szCs w:val="32"/>
        </w:rPr>
        <w:t>第</w:t>
      </w:r>
      <w:r>
        <w:rPr>
          <w:rFonts w:hint="eastAsia" w:ascii="宋体" w:hAnsi="宋体" w:eastAsia="宋体" w:cs="宋体"/>
          <w:sz w:val="32"/>
          <w:szCs w:val="32"/>
          <w:lang w:val="en-US" w:eastAsia="zh-CN"/>
        </w:rPr>
        <w:t>五</w:t>
      </w:r>
      <w:r>
        <w:rPr>
          <w:rFonts w:hint="eastAsia" w:ascii="宋体" w:hAnsi="宋体" w:eastAsia="宋体" w:cs="宋体"/>
          <w:sz w:val="32"/>
          <w:szCs w:val="32"/>
        </w:rPr>
        <w:t>章 合同文本</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_Toc23771 \h </w:instrText>
      </w:r>
      <w:r>
        <w:rPr>
          <w:rFonts w:hint="eastAsia" w:ascii="宋体" w:hAnsi="宋体" w:eastAsia="宋体" w:cs="宋体"/>
          <w:sz w:val="32"/>
          <w:szCs w:val="32"/>
        </w:rPr>
        <w:fldChar w:fldCharType="separate"/>
      </w:r>
      <w:r>
        <w:rPr>
          <w:rFonts w:hint="eastAsia" w:ascii="宋体" w:hAnsi="宋体" w:eastAsia="宋体" w:cs="宋体"/>
          <w:sz w:val="32"/>
          <w:szCs w:val="32"/>
        </w:rPr>
        <w:t>29</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18B5B3B7">
      <w:pPr>
        <w:pStyle w:val="16"/>
        <w:tabs>
          <w:tab w:val="right" w:leader="dot" w:pos="8879"/>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_Toc13892 </w:instrText>
      </w:r>
      <w:r>
        <w:rPr>
          <w:rFonts w:hint="eastAsia" w:ascii="宋体" w:hAnsi="宋体" w:eastAsia="宋体" w:cs="宋体"/>
          <w:sz w:val="32"/>
          <w:szCs w:val="32"/>
        </w:rPr>
        <w:fldChar w:fldCharType="separate"/>
      </w:r>
      <w:r>
        <w:rPr>
          <w:rFonts w:hint="eastAsia" w:ascii="宋体" w:hAnsi="宋体" w:eastAsia="宋体" w:cs="宋体"/>
          <w:bCs/>
          <w:sz w:val="32"/>
          <w:szCs w:val="32"/>
        </w:rPr>
        <w:t>第</w:t>
      </w:r>
      <w:r>
        <w:rPr>
          <w:rFonts w:hint="eastAsia" w:ascii="宋体" w:hAnsi="宋体" w:eastAsia="宋体" w:cs="宋体"/>
          <w:bCs/>
          <w:sz w:val="32"/>
          <w:szCs w:val="32"/>
          <w:lang w:val="en-US" w:eastAsia="zh-CN"/>
        </w:rPr>
        <w:t>六</w:t>
      </w:r>
      <w:r>
        <w:rPr>
          <w:rFonts w:hint="eastAsia" w:ascii="宋体" w:hAnsi="宋体" w:eastAsia="宋体" w:cs="宋体"/>
          <w:bCs/>
          <w:sz w:val="32"/>
          <w:szCs w:val="32"/>
        </w:rPr>
        <w:t>章 工程量清单</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_Toc13892 \h </w:instrText>
      </w:r>
      <w:r>
        <w:rPr>
          <w:rFonts w:hint="eastAsia" w:ascii="宋体" w:hAnsi="宋体" w:eastAsia="宋体" w:cs="宋体"/>
          <w:sz w:val="32"/>
          <w:szCs w:val="32"/>
        </w:rPr>
        <w:fldChar w:fldCharType="separate"/>
      </w:r>
      <w:r>
        <w:rPr>
          <w:rFonts w:hint="eastAsia" w:ascii="宋体" w:hAnsi="宋体" w:eastAsia="宋体" w:cs="宋体"/>
          <w:sz w:val="32"/>
          <w:szCs w:val="32"/>
        </w:rPr>
        <w:t>54</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54DF7E2A">
      <w:pPr>
        <w:pStyle w:val="16"/>
        <w:tabs>
          <w:tab w:val="right" w:leader="dot" w:pos="8879"/>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_Toc28384 </w:instrText>
      </w:r>
      <w:r>
        <w:rPr>
          <w:rFonts w:hint="eastAsia" w:ascii="宋体" w:hAnsi="宋体" w:eastAsia="宋体" w:cs="宋体"/>
          <w:sz w:val="32"/>
          <w:szCs w:val="32"/>
        </w:rPr>
        <w:fldChar w:fldCharType="separate"/>
      </w:r>
      <w:r>
        <w:rPr>
          <w:rFonts w:hint="eastAsia" w:ascii="宋体" w:hAnsi="宋体" w:eastAsia="宋体" w:cs="宋体"/>
          <w:sz w:val="32"/>
          <w:szCs w:val="32"/>
        </w:rPr>
        <w:t>第</w:t>
      </w:r>
      <w:r>
        <w:rPr>
          <w:rFonts w:hint="eastAsia" w:ascii="宋体" w:hAnsi="宋体" w:eastAsia="宋体" w:cs="宋体"/>
          <w:sz w:val="32"/>
          <w:szCs w:val="32"/>
          <w:lang w:val="en-US" w:eastAsia="zh-CN"/>
        </w:rPr>
        <w:t>七</w:t>
      </w:r>
      <w:r>
        <w:rPr>
          <w:rFonts w:hint="eastAsia" w:ascii="宋体" w:hAnsi="宋体" w:eastAsia="宋体" w:cs="宋体"/>
          <w:sz w:val="32"/>
          <w:szCs w:val="32"/>
        </w:rPr>
        <w:t>章 图纸</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_Toc28384 \h </w:instrText>
      </w:r>
      <w:r>
        <w:rPr>
          <w:rFonts w:hint="eastAsia" w:ascii="宋体" w:hAnsi="宋体" w:eastAsia="宋体" w:cs="宋体"/>
          <w:sz w:val="32"/>
          <w:szCs w:val="32"/>
        </w:rPr>
        <w:fldChar w:fldCharType="separate"/>
      </w:r>
      <w:r>
        <w:rPr>
          <w:rFonts w:hint="eastAsia" w:ascii="宋体" w:hAnsi="宋体" w:eastAsia="宋体" w:cs="宋体"/>
          <w:sz w:val="32"/>
          <w:szCs w:val="32"/>
        </w:rPr>
        <w:t>55</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16E10D86">
      <w:pPr>
        <w:pStyle w:val="16"/>
        <w:tabs>
          <w:tab w:val="right" w:leader="dot" w:pos="8879"/>
        </w:tabs>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_Toc26975 </w:instrText>
      </w:r>
      <w:r>
        <w:rPr>
          <w:rFonts w:hint="eastAsia" w:ascii="宋体" w:hAnsi="宋体" w:eastAsia="宋体" w:cs="宋体"/>
          <w:sz w:val="32"/>
          <w:szCs w:val="32"/>
        </w:rPr>
        <w:fldChar w:fldCharType="separate"/>
      </w:r>
      <w:r>
        <w:rPr>
          <w:rFonts w:hint="eastAsia" w:ascii="宋体" w:hAnsi="宋体" w:eastAsia="宋体" w:cs="宋体"/>
          <w:sz w:val="32"/>
          <w:szCs w:val="32"/>
        </w:rPr>
        <w:t>第</w:t>
      </w:r>
      <w:r>
        <w:rPr>
          <w:rFonts w:hint="eastAsia" w:ascii="宋体" w:hAnsi="宋体" w:eastAsia="宋体" w:cs="宋体"/>
          <w:sz w:val="32"/>
          <w:szCs w:val="32"/>
          <w:lang w:val="en-US" w:eastAsia="zh-CN"/>
        </w:rPr>
        <w:t>八</w:t>
      </w:r>
      <w:r>
        <w:rPr>
          <w:rFonts w:hint="eastAsia" w:ascii="宋体" w:hAnsi="宋体" w:eastAsia="宋体" w:cs="宋体"/>
          <w:sz w:val="32"/>
          <w:szCs w:val="32"/>
        </w:rPr>
        <w:t>章 技术规范</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_Toc26975 \h </w:instrText>
      </w:r>
      <w:r>
        <w:rPr>
          <w:rFonts w:hint="eastAsia" w:ascii="宋体" w:hAnsi="宋体" w:eastAsia="宋体" w:cs="宋体"/>
          <w:sz w:val="32"/>
          <w:szCs w:val="32"/>
        </w:rPr>
        <w:fldChar w:fldCharType="separate"/>
      </w:r>
      <w:r>
        <w:rPr>
          <w:rFonts w:hint="eastAsia" w:ascii="宋体" w:hAnsi="宋体" w:eastAsia="宋体" w:cs="宋体"/>
          <w:sz w:val="32"/>
          <w:szCs w:val="32"/>
        </w:rPr>
        <w:t>55</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6F4CE0FE">
      <w:pPr>
        <w:pStyle w:val="16"/>
        <w:tabs>
          <w:tab w:val="right" w:leader="dot" w:pos="8879"/>
        </w:tabs>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_Toc25212 </w:instrText>
      </w:r>
      <w:r>
        <w:rPr>
          <w:rFonts w:hint="eastAsia" w:ascii="宋体" w:hAnsi="宋体" w:eastAsia="宋体" w:cs="宋体"/>
          <w:sz w:val="32"/>
          <w:szCs w:val="32"/>
        </w:rPr>
        <w:fldChar w:fldCharType="separate"/>
      </w:r>
      <w:r>
        <w:rPr>
          <w:rFonts w:hint="eastAsia" w:ascii="宋体" w:hAnsi="宋体" w:eastAsia="宋体" w:cs="宋体"/>
          <w:sz w:val="32"/>
          <w:szCs w:val="32"/>
        </w:rPr>
        <w:t>第</w:t>
      </w:r>
      <w:r>
        <w:rPr>
          <w:rFonts w:hint="eastAsia" w:ascii="宋体" w:hAnsi="宋体" w:eastAsia="宋体" w:cs="宋体"/>
          <w:sz w:val="32"/>
          <w:szCs w:val="32"/>
          <w:lang w:val="en-US" w:eastAsia="zh-CN"/>
        </w:rPr>
        <w:t>九</w:t>
      </w:r>
      <w:r>
        <w:rPr>
          <w:rFonts w:hint="eastAsia" w:ascii="宋体" w:hAnsi="宋体" w:eastAsia="宋体" w:cs="宋体"/>
          <w:sz w:val="32"/>
          <w:szCs w:val="32"/>
        </w:rPr>
        <w:t>章 响应文件格式</w:t>
      </w:r>
      <w:r>
        <w:rPr>
          <w:rFonts w:hint="eastAsia" w:ascii="宋体" w:hAnsi="宋体" w:eastAsia="宋体" w:cs="宋体"/>
          <w:sz w:val="32"/>
          <w:szCs w:val="32"/>
        </w:rPr>
        <w:tab/>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PAGEREF _Toc25212 \h </w:instrText>
      </w:r>
      <w:r>
        <w:rPr>
          <w:rFonts w:hint="eastAsia" w:ascii="宋体" w:hAnsi="宋体" w:eastAsia="宋体" w:cs="宋体"/>
          <w:sz w:val="32"/>
          <w:szCs w:val="32"/>
        </w:rPr>
        <w:fldChar w:fldCharType="separate"/>
      </w:r>
      <w:r>
        <w:rPr>
          <w:rFonts w:hint="eastAsia" w:ascii="宋体" w:hAnsi="宋体" w:eastAsia="宋体" w:cs="宋体"/>
          <w:sz w:val="32"/>
          <w:szCs w:val="32"/>
        </w:rPr>
        <w:t>56</w:t>
      </w:r>
      <w:r>
        <w:rPr>
          <w:rFonts w:hint="eastAsia" w:ascii="宋体" w:hAnsi="宋体" w:eastAsia="宋体" w:cs="宋体"/>
          <w:sz w:val="32"/>
          <w:szCs w:val="32"/>
        </w:rPr>
        <w:fldChar w:fldCharType="end"/>
      </w:r>
      <w:r>
        <w:rPr>
          <w:rFonts w:hint="eastAsia" w:ascii="宋体" w:hAnsi="宋体" w:eastAsia="宋体" w:cs="宋体"/>
          <w:sz w:val="32"/>
          <w:szCs w:val="32"/>
        </w:rPr>
        <w:fldChar w:fldCharType="end"/>
      </w:r>
    </w:p>
    <w:p w14:paraId="4299C7C3">
      <w:pPr>
        <w:pStyle w:val="12"/>
        <w:tabs>
          <w:tab w:val="right" w:leader="dot" w:pos="8879"/>
        </w:tabs>
      </w:pPr>
    </w:p>
    <w:p w14:paraId="05C34807">
      <w:pPr>
        <w:pStyle w:val="17"/>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sz w:val="28"/>
          <w:szCs w:val="28"/>
        </w:rPr>
      </w:pPr>
      <w:r>
        <w:rPr>
          <w:rFonts w:ascii="宋体" w:hAnsi="宋体"/>
          <w:szCs w:val="28"/>
        </w:rPr>
        <w:fldChar w:fldCharType="end"/>
      </w:r>
    </w:p>
    <w:p w14:paraId="1391E1DD">
      <w:pPr>
        <w:spacing w:line="400" w:lineRule="exact"/>
        <w:jc w:val="left"/>
        <w:rPr>
          <w:rFonts w:hint="eastAsia" w:ascii="宋体" w:hAnsi="宋体"/>
          <w:b/>
          <w:sz w:val="32"/>
          <w:szCs w:val="32"/>
        </w:rPr>
      </w:pPr>
    </w:p>
    <w:p w14:paraId="086E467C">
      <w:pPr>
        <w:spacing w:line="400" w:lineRule="exact"/>
        <w:jc w:val="center"/>
        <w:rPr>
          <w:rFonts w:hint="eastAsia" w:ascii="宋体" w:hAnsi="宋体"/>
          <w:b/>
          <w:sz w:val="32"/>
          <w:szCs w:val="32"/>
        </w:rPr>
      </w:pPr>
    </w:p>
    <w:p w14:paraId="738FD3C1">
      <w:pPr>
        <w:spacing w:line="400" w:lineRule="exact"/>
        <w:jc w:val="center"/>
        <w:rPr>
          <w:rFonts w:hint="eastAsia" w:ascii="宋体" w:hAnsi="宋体"/>
          <w:b/>
          <w:sz w:val="32"/>
          <w:szCs w:val="32"/>
        </w:rPr>
      </w:pPr>
    </w:p>
    <w:p w14:paraId="78691745">
      <w:pPr>
        <w:spacing w:line="400" w:lineRule="exact"/>
        <w:jc w:val="center"/>
        <w:rPr>
          <w:rFonts w:hint="eastAsia" w:ascii="宋体" w:hAnsi="宋体"/>
          <w:b/>
          <w:sz w:val="32"/>
          <w:szCs w:val="32"/>
        </w:rPr>
      </w:pPr>
    </w:p>
    <w:p w14:paraId="6E78B71D">
      <w:pPr>
        <w:spacing w:line="400" w:lineRule="exact"/>
        <w:jc w:val="center"/>
        <w:rPr>
          <w:rFonts w:hint="eastAsia" w:ascii="宋体" w:hAnsi="宋体"/>
          <w:b/>
          <w:sz w:val="32"/>
          <w:szCs w:val="32"/>
        </w:rPr>
      </w:pPr>
    </w:p>
    <w:p w14:paraId="35C99B1B">
      <w:pPr>
        <w:spacing w:line="400" w:lineRule="exact"/>
        <w:rPr>
          <w:rFonts w:hint="eastAsia" w:ascii="宋体" w:hAnsi="宋体"/>
          <w:b/>
          <w:sz w:val="32"/>
          <w:szCs w:val="32"/>
        </w:rPr>
        <w:sectPr>
          <w:footerReference r:id="rId3" w:type="first"/>
          <w:pgSz w:w="11906" w:h="16838"/>
          <w:pgMar w:top="1440" w:right="1440" w:bottom="1440" w:left="1587" w:header="851" w:footer="992" w:gutter="0"/>
          <w:cols w:space="720" w:num="1"/>
          <w:docGrid w:type="lines" w:linePitch="312" w:charSpace="0"/>
        </w:sectPr>
      </w:pPr>
    </w:p>
    <w:p w14:paraId="66D969F8">
      <w:pPr>
        <w:pStyle w:val="3"/>
        <w:numPr>
          <w:ilvl w:val="0"/>
          <w:numId w:val="2"/>
        </w:numPr>
        <w:rPr>
          <w:rFonts w:ascii="宋体" w:hAnsi="宋体"/>
        </w:rPr>
      </w:pPr>
      <w:bookmarkStart w:id="0" w:name="_Toc17638"/>
      <w:r>
        <w:rPr>
          <w:rFonts w:hint="eastAsia" w:ascii="宋体" w:hAnsi="宋体"/>
        </w:rPr>
        <w:t>竞争性磋商公告</w:t>
      </w:r>
      <w:bookmarkEnd w:id="0"/>
    </w:p>
    <w:p w14:paraId="56DCB2E9">
      <w:pPr>
        <w:spacing w:line="360" w:lineRule="exact"/>
        <w:jc w:val="both"/>
        <w:rPr>
          <w:rFonts w:hint="eastAsia" w:ascii="宋体" w:hAnsi="宋体" w:eastAsia="宋体"/>
          <w:b/>
          <w:bCs/>
          <w:sz w:val="28"/>
          <w:szCs w:val="28"/>
          <w:highlight w:val="none"/>
          <w:lang w:eastAsia="zh-CN"/>
        </w:rPr>
      </w:pPr>
      <w:r>
        <w:rPr>
          <w:rFonts w:hint="eastAsia" w:ascii="宋体" w:hAnsi="宋体"/>
          <w:b/>
          <w:bCs/>
          <w:sz w:val="28"/>
          <w:szCs w:val="28"/>
          <w:lang w:eastAsia="zh-CN"/>
        </w:rPr>
        <w:t>广西恒盛工程集团有限公司</w:t>
      </w:r>
      <w:r>
        <w:rPr>
          <w:rFonts w:hint="eastAsia" w:ascii="宋体" w:hAnsi="宋体"/>
          <w:b/>
          <w:bCs/>
          <w:sz w:val="28"/>
          <w:szCs w:val="28"/>
        </w:rPr>
        <w:t>关</w:t>
      </w:r>
      <w:r>
        <w:rPr>
          <w:rFonts w:hint="eastAsia" w:ascii="宋体" w:hAnsi="宋体"/>
          <w:b/>
          <w:bCs/>
          <w:sz w:val="28"/>
          <w:szCs w:val="28"/>
          <w:highlight w:val="none"/>
        </w:rPr>
        <w:t>于</w:t>
      </w:r>
      <w:r>
        <w:rPr>
          <w:rFonts w:hint="eastAsia" w:ascii="宋体" w:hAnsi="宋体"/>
          <w:b/>
          <w:bCs/>
          <w:sz w:val="28"/>
          <w:szCs w:val="28"/>
          <w:highlight w:val="none"/>
          <w:lang w:eastAsia="zh-CN"/>
        </w:rPr>
        <w:t>2026年融安县东起乡红日村上甲屯人饮灌溉工程</w:t>
      </w:r>
      <w:r>
        <w:rPr>
          <w:rFonts w:hint="eastAsia" w:ascii="宋体" w:hAnsi="宋体"/>
          <w:b/>
          <w:bCs/>
          <w:sz w:val="28"/>
          <w:szCs w:val="28"/>
          <w:highlight w:val="none"/>
        </w:rPr>
        <w:t>（LZZC2026-C2-240055-GXHS）的竞争性磋商公告</w:t>
      </w:r>
      <w:r>
        <w:rPr>
          <w:rFonts w:hint="eastAsia" w:ascii="宋体" w:hAnsi="宋体"/>
          <w:b/>
          <w:bCs/>
          <w:sz w:val="28"/>
          <w:szCs w:val="28"/>
          <w:highlight w:val="none"/>
          <w:lang w:eastAsia="zh-CN"/>
        </w:rPr>
        <w:t>（</w:t>
      </w:r>
      <w:r>
        <w:rPr>
          <w:rFonts w:hint="eastAsia" w:ascii="宋体" w:hAnsi="宋体"/>
          <w:b/>
          <w:bCs/>
          <w:sz w:val="28"/>
          <w:szCs w:val="28"/>
          <w:highlight w:val="none"/>
          <w:lang w:val="en-US" w:eastAsia="zh-CN"/>
        </w:rPr>
        <w:t>远程异地评标</w:t>
      </w:r>
      <w:r>
        <w:rPr>
          <w:rFonts w:hint="eastAsia" w:ascii="宋体" w:hAnsi="宋体"/>
          <w:b/>
          <w:bCs/>
          <w:sz w:val="28"/>
          <w:szCs w:val="28"/>
          <w:highlight w:val="none"/>
          <w:lang w:eastAsia="zh-CN"/>
        </w:rPr>
        <w:t>）</w:t>
      </w:r>
    </w:p>
    <w:p w14:paraId="2C259F19">
      <w:pPr>
        <w:pageBreakBefore w:val="0"/>
        <w:widowControl w:val="0"/>
        <w:pBdr>
          <w:top w:val="single" w:color="auto" w:sz="4" w:space="1"/>
          <w:left w:val="single" w:color="auto" w:sz="4" w:space="4"/>
          <w:bottom w:val="single" w:color="auto" w:sz="4" w:space="1"/>
          <w:right w:val="single" w:color="auto" w:sz="4" w:space="4"/>
        </w:pBdr>
        <w:kinsoku/>
        <w:overflowPunct/>
        <w:autoSpaceDE/>
        <w:autoSpaceDN/>
        <w:bidi w:val="0"/>
        <w:adjustRightInd/>
        <w:snapToGrid/>
        <w:spacing w:line="360" w:lineRule="exact"/>
        <w:textAlignment w:val="auto"/>
        <w:rPr>
          <w:rFonts w:hint="eastAsia" w:ascii="宋体" w:hAnsi="宋体" w:eastAsia="宋体"/>
          <w:szCs w:val="21"/>
          <w:highlight w:val="none"/>
          <w:lang w:eastAsia="zh-CN"/>
        </w:rPr>
      </w:pPr>
      <w:bookmarkStart w:id="1" w:name="_Hlk37430271"/>
      <w:r>
        <w:rPr>
          <w:rFonts w:hint="eastAsia" w:ascii="宋体" w:hAnsi="宋体"/>
          <w:szCs w:val="21"/>
          <w:highlight w:val="none"/>
        </w:rPr>
        <w:t>项目概况</w:t>
      </w:r>
      <w:r>
        <w:rPr>
          <w:rFonts w:hint="eastAsia" w:ascii="宋体" w:hAnsi="宋体"/>
          <w:szCs w:val="21"/>
          <w:highlight w:val="none"/>
          <w:lang w:eastAsia="zh-CN"/>
        </w:rPr>
        <w:t>：</w:t>
      </w:r>
    </w:p>
    <w:p w14:paraId="44BD7DA5">
      <w:pPr>
        <w:pageBreakBefore w:val="0"/>
        <w:widowControl w:val="0"/>
        <w:pBdr>
          <w:top w:val="single" w:color="auto" w:sz="4" w:space="1"/>
          <w:left w:val="single" w:color="auto" w:sz="4" w:space="4"/>
          <w:bottom w:val="single" w:color="auto" w:sz="4" w:space="1"/>
          <w:right w:val="single" w:color="auto" w:sz="4" w:space="4"/>
        </w:pBdr>
        <w:kinsoku/>
        <w:wordWrap w:val="0"/>
        <w:overflowPunct/>
        <w:topLinePunct/>
        <w:autoSpaceDE/>
        <w:autoSpaceDN/>
        <w:bidi w:val="0"/>
        <w:adjustRightInd/>
        <w:snapToGrid/>
        <w:spacing w:line="360" w:lineRule="exact"/>
        <w:ind w:firstLine="420" w:firstLineChars="200"/>
        <w:textAlignment w:val="auto"/>
        <w:rPr>
          <w:rFonts w:ascii="宋体" w:hAnsi="宋体"/>
          <w:szCs w:val="21"/>
          <w:highlight w:val="none"/>
        </w:rPr>
      </w:pPr>
      <w:r>
        <w:rPr>
          <w:rFonts w:hint="eastAsia" w:ascii="宋体" w:hAnsi="宋体"/>
          <w:szCs w:val="21"/>
          <w:highlight w:val="none"/>
          <w:lang w:eastAsia="zh-CN"/>
        </w:rPr>
        <w:t>2026年融安县东起乡红日村上甲屯人饮灌溉工程</w:t>
      </w:r>
      <w:r>
        <w:rPr>
          <w:rFonts w:hint="eastAsia" w:ascii="宋体" w:hAnsi="宋体"/>
          <w:szCs w:val="21"/>
          <w:highlight w:val="none"/>
        </w:rPr>
        <w:t>的潜在供应商应在“广西政府采购云平台（https://www.gcy.zfcg.gxzf.gov.cn/）获取竞争性磋商文件，并于</w:t>
      </w:r>
      <w:r>
        <w:rPr>
          <w:rFonts w:ascii="宋体" w:hAnsi="宋体"/>
          <w:szCs w:val="21"/>
          <w:highlight w:val="none"/>
        </w:rPr>
        <w:t>202</w:t>
      </w:r>
      <w:r>
        <w:rPr>
          <w:rFonts w:hint="eastAsia" w:ascii="宋体" w:hAnsi="宋体"/>
          <w:szCs w:val="21"/>
          <w:highlight w:val="none"/>
          <w:lang w:val="en-US" w:eastAsia="zh-CN"/>
        </w:rPr>
        <w:t>6</w:t>
      </w:r>
      <w:r>
        <w:rPr>
          <w:rFonts w:hint="eastAsia" w:ascii="宋体" w:hAnsi="宋体"/>
          <w:bCs/>
          <w:szCs w:val="21"/>
          <w:highlight w:val="none"/>
        </w:rPr>
        <w:t>年</w:t>
      </w:r>
      <w:r>
        <w:rPr>
          <w:rFonts w:hint="eastAsia" w:ascii="宋体" w:hAnsi="宋体"/>
          <w:bCs/>
          <w:szCs w:val="21"/>
          <w:highlight w:val="none"/>
          <w:lang w:val="en-US" w:eastAsia="zh-CN"/>
        </w:rPr>
        <w:t>7</w:t>
      </w:r>
      <w:r>
        <w:rPr>
          <w:rFonts w:hint="eastAsia" w:ascii="宋体" w:hAnsi="宋体"/>
          <w:bCs/>
          <w:szCs w:val="21"/>
          <w:highlight w:val="none"/>
        </w:rPr>
        <w:t>月</w:t>
      </w:r>
      <w:r>
        <w:rPr>
          <w:rFonts w:hint="eastAsia" w:ascii="宋体" w:hAnsi="宋体"/>
          <w:bCs/>
          <w:szCs w:val="21"/>
          <w:highlight w:val="none"/>
          <w:lang w:val="en-US" w:eastAsia="zh-CN"/>
        </w:rPr>
        <w:t>1</w:t>
      </w:r>
      <w:r>
        <w:rPr>
          <w:rFonts w:hint="eastAsia" w:ascii="宋体" w:hAnsi="宋体"/>
          <w:bCs/>
          <w:szCs w:val="21"/>
          <w:highlight w:val="none"/>
        </w:rPr>
        <w:t>日09：</w:t>
      </w:r>
      <w:r>
        <w:rPr>
          <w:rFonts w:hint="eastAsia" w:ascii="宋体" w:hAnsi="宋体"/>
          <w:bCs/>
          <w:szCs w:val="21"/>
          <w:highlight w:val="none"/>
          <w:lang w:val="en-US" w:eastAsia="zh-CN"/>
        </w:rPr>
        <w:t>2</w:t>
      </w:r>
      <w:r>
        <w:rPr>
          <w:rFonts w:ascii="宋体" w:hAnsi="宋体"/>
          <w:bCs/>
          <w:szCs w:val="21"/>
          <w:highlight w:val="none"/>
        </w:rPr>
        <w:t>0</w:t>
      </w:r>
      <w:r>
        <w:rPr>
          <w:rFonts w:hint="eastAsia" w:ascii="宋体" w:hAnsi="宋体"/>
          <w:bCs/>
          <w:szCs w:val="21"/>
          <w:highlight w:val="none"/>
        </w:rPr>
        <w:t>（北京时间）前提交响应</w:t>
      </w:r>
      <w:r>
        <w:rPr>
          <w:rFonts w:ascii="宋体" w:hAnsi="宋体"/>
          <w:bCs/>
          <w:szCs w:val="21"/>
          <w:highlight w:val="none"/>
        </w:rPr>
        <w:t>文件</w:t>
      </w:r>
      <w:r>
        <w:rPr>
          <w:rFonts w:hint="eastAsia" w:ascii="宋体" w:hAnsi="宋体"/>
          <w:szCs w:val="21"/>
          <w:highlight w:val="none"/>
        </w:rPr>
        <w:t>。</w:t>
      </w:r>
    </w:p>
    <w:p w14:paraId="7B03013D">
      <w:pPr>
        <w:pStyle w:val="2"/>
        <w:pageBreakBefore w:val="0"/>
        <w:widowControl w:val="0"/>
        <w:kinsoku/>
        <w:overflowPunct/>
        <w:autoSpaceDE/>
        <w:autoSpaceDN/>
        <w:bidi w:val="0"/>
        <w:adjustRightInd/>
        <w:snapToGrid/>
        <w:spacing w:line="360" w:lineRule="exact"/>
        <w:textAlignment w:val="auto"/>
        <w:rPr>
          <w:rFonts w:ascii="宋体" w:hAnsi="宋体"/>
          <w:highlight w:val="none"/>
        </w:rPr>
      </w:pPr>
      <w:bookmarkStart w:id="2" w:name="_Toc35393798"/>
      <w:bookmarkStart w:id="3" w:name="_Toc35393629"/>
      <w:bookmarkStart w:id="4" w:name="_Toc117860033"/>
      <w:bookmarkStart w:id="5" w:name="_Toc13429"/>
      <w:bookmarkStart w:id="6" w:name="_Toc44229878"/>
      <w:bookmarkStart w:id="7" w:name="_Toc28359089"/>
      <w:bookmarkStart w:id="8" w:name="_Toc28359012"/>
      <w:bookmarkStart w:id="9" w:name="_Toc14657"/>
      <w:r>
        <w:rPr>
          <w:rFonts w:hint="eastAsia" w:ascii="宋体" w:hAnsi="宋体"/>
          <w:highlight w:val="none"/>
        </w:rPr>
        <w:t>一、项目基本情况</w:t>
      </w:r>
      <w:bookmarkEnd w:id="2"/>
      <w:bookmarkEnd w:id="3"/>
      <w:bookmarkEnd w:id="4"/>
      <w:bookmarkEnd w:id="5"/>
      <w:bookmarkEnd w:id="6"/>
      <w:bookmarkEnd w:id="7"/>
      <w:bookmarkEnd w:id="8"/>
      <w:bookmarkEnd w:id="9"/>
    </w:p>
    <w:p w14:paraId="17FF7453">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szCs w:val="21"/>
          <w:highlight w:val="none"/>
        </w:rPr>
      </w:pPr>
      <w:r>
        <w:rPr>
          <w:rFonts w:hint="eastAsia" w:ascii="宋体" w:hAnsi="宋体"/>
          <w:szCs w:val="21"/>
          <w:highlight w:val="none"/>
        </w:rPr>
        <w:t>项目编号：LZZC2026-C2-240055-GXHS</w:t>
      </w:r>
    </w:p>
    <w:p w14:paraId="1AC088AC">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szCs w:val="21"/>
          <w:highlight w:val="none"/>
          <w:lang w:eastAsia="zh-CN"/>
        </w:rPr>
      </w:pPr>
      <w:r>
        <w:rPr>
          <w:rFonts w:hint="eastAsia" w:ascii="宋体" w:hAnsi="宋体"/>
          <w:szCs w:val="21"/>
          <w:highlight w:val="none"/>
        </w:rPr>
        <w:t>项目名称：</w:t>
      </w:r>
      <w:r>
        <w:rPr>
          <w:rFonts w:hint="eastAsia" w:ascii="宋体" w:hAnsi="宋体"/>
          <w:szCs w:val="21"/>
          <w:highlight w:val="none"/>
          <w:lang w:eastAsia="zh-CN"/>
        </w:rPr>
        <w:t>2026年融安县东起乡红日村上甲屯人饮灌溉工程</w:t>
      </w:r>
    </w:p>
    <w:p w14:paraId="56A16498">
      <w:pPr>
        <w:pageBreakBefore w:val="0"/>
        <w:widowControl w:val="0"/>
        <w:kinsoku/>
        <w:overflowPunct/>
        <w:autoSpaceDE/>
        <w:autoSpaceDN/>
        <w:bidi w:val="0"/>
        <w:adjustRightInd/>
        <w:snapToGrid/>
        <w:spacing w:line="360" w:lineRule="exact"/>
        <w:ind w:firstLine="420" w:firstLineChars="200"/>
        <w:textAlignment w:val="auto"/>
        <w:rPr>
          <w:rFonts w:ascii="宋体" w:hAnsi="宋体"/>
          <w:szCs w:val="21"/>
          <w:highlight w:val="none"/>
        </w:rPr>
      </w:pPr>
      <w:r>
        <w:rPr>
          <w:rFonts w:hint="eastAsia" w:ascii="宋体" w:hAnsi="宋体"/>
          <w:szCs w:val="21"/>
          <w:highlight w:val="none"/>
        </w:rPr>
        <w:t>采购方式：竞争性磋商</w:t>
      </w:r>
    </w:p>
    <w:p w14:paraId="36F5956A">
      <w:pPr>
        <w:pageBreakBefore w:val="0"/>
        <w:widowControl w:val="0"/>
        <w:kinsoku/>
        <w:overflowPunct/>
        <w:autoSpaceDE/>
        <w:autoSpaceDN/>
        <w:bidi w:val="0"/>
        <w:adjustRightInd/>
        <w:snapToGrid/>
        <w:spacing w:line="360" w:lineRule="exact"/>
        <w:ind w:firstLine="420" w:firstLineChars="200"/>
        <w:textAlignment w:val="auto"/>
        <w:rPr>
          <w:rFonts w:hint="default" w:ascii="宋体" w:hAnsi="宋体"/>
          <w:szCs w:val="21"/>
          <w:highlight w:val="yellow"/>
          <w:lang w:val="en-US" w:eastAsia="zh-CN"/>
        </w:rPr>
      </w:pPr>
      <w:r>
        <w:rPr>
          <w:rFonts w:hint="eastAsia" w:ascii="宋体" w:hAnsi="宋体"/>
          <w:szCs w:val="21"/>
          <w:highlight w:val="none"/>
        </w:rPr>
        <w:t>预算金额（元）</w:t>
      </w:r>
      <w:r>
        <w:rPr>
          <w:rFonts w:hint="eastAsia" w:ascii="宋体" w:hAnsi="宋体"/>
          <w:szCs w:val="21"/>
          <w:highlight w:val="none"/>
          <w:lang w:eastAsia="zh-CN"/>
        </w:rPr>
        <w:t>：722573.80元</w:t>
      </w:r>
    </w:p>
    <w:p w14:paraId="172C3174">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szCs w:val="21"/>
          <w:highlight w:val="none"/>
        </w:rPr>
      </w:pPr>
      <w:r>
        <w:rPr>
          <w:rFonts w:hint="eastAsia" w:ascii="宋体" w:hAnsi="宋体"/>
          <w:szCs w:val="21"/>
          <w:highlight w:val="none"/>
        </w:rPr>
        <w:t>采购需求：</w:t>
      </w:r>
    </w:p>
    <w:p w14:paraId="17E47D9D">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szCs w:val="21"/>
          <w:highlight w:val="none"/>
          <w:lang w:eastAsia="zh-CN"/>
        </w:rPr>
      </w:pPr>
      <w:r>
        <w:rPr>
          <w:rFonts w:hint="eastAsia" w:ascii="宋体" w:hAnsi="宋体"/>
          <w:szCs w:val="21"/>
          <w:highlight w:val="none"/>
        </w:rPr>
        <w:t xml:space="preserve">标项名称: </w:t>
      </w:r>
      <w:r>
        <w:rPr>
          <w:rFonts w:hint="eastAsia" w:ascii="宋体" w:hAnsi="宋体"/>
          <w:szCs w:val="21"/>
          <w:highlight w:val="none"/>
          <w:lang w:eastAsia="zh-CN"/>
        </w:rPr>
        <w:t>2026年融安县东起乡红日村上甲屯人饮灌溉工程</w:t>
      </w:r>
    </w:p>
    <w:p w14:paraId="371D3961">
      <w:pPr>
        <w:pageBreakBefore w:val="0"/>
        <w:widowControl w:val="0"/>
        <w:kinsoku/>
        <w:overflowPunct/>
        <w:autoSpaceDE/>
        <w:autoSpaceDN/>
        <w:bidi w:val="0"/>
        <w:adjustRightInd/>
        <w:snapToGrid/>
        <w:spacing w:line="360" w:lineRule="exact"/>
        <w:ind w:firstLine="420" w:firstLineChars="200"/>
        <w:textAlignment w:val="auto"/>
        <w:rPr>
          <w:rFonts w:ascii="宋体" w:hAnsi="宋体"/>
          <w:szCs w:val="21"/>
          <w:highlight w:val="none"/>
        </w:rPr>
      </w:pPr>
      <w:r>
        <w:rPr>
          <w:rFonts w:hint="eastAsia" w:ascii="宋体" w:hAnsi="宋体"/>
          <w:szCs w:val="21"/>
          <w:highlight w:val="none"/>
        </w:rPr>
        <w:t>数量</w:t>
      </w:r>
      <w:r>
        <w:rPr>
          <w:rFonts w:hint="eastAsia" w:ascii="宋体" w:hAnsi="宋体"/>
          <w:szCs w:val="21"/>
          <w:highlight w:val="none"/>
          <w:lang w:eastAsia="zh-CN"/>
        </w:rPr>
        <w:t>：</w:t>
      </w:r>
      <w:r>
        <w:rPr>
          <w:rFonts w:ascii="宋体" w:hAnsi="宋体"/>
          <w:szCs w:val="21"/>
          <w:highlight w:val="none"/>
        </w:rPr>
        <w:t>1</w:t>
      </w:r>
    </w:p>
    <w:p w14:paraId="45549841">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szCs w:val="21"/>
          <w:highlight w:val="none"/>
          <w:lang w:val="en-US" w:eastAsia="zh-CN"/>
        </w:rPr>
      </w:pPr>
      <w:r>
        <w:rPr>
          <w:rFonts w:hint="eastAsia" w:ascii="宋体" w:hAnsi="宋体"/>
          <w:szCs w:val="21"/>
          <w:highlight w:val="none"/>
        </w:rPr>
        <w:t>简要规格描述或项目基本概况介绍、用途：</w:t>
      </w:r>
      <w:r>
        <w:rPr>
          <w:rFonts w:hint="eastAsia" w:ascii="宋体" w:hAnsi="宋体"/>
          <w:szCs w:val="21"/>
          <w:highlight w:val="none"/>
          <w:lang w:eastAsia="zh-CN"/>
        </w:rPr>
        <w:t>2026年融安县东起乡红日村上甲屯人饮灌溉工程</w:t>
      </w:r>
      <w:r>
        <w:rPr>
          <w:rFonts w:hint="eastAsia" w:ascii="宋体" w:hAnsi="宋体"/>
          <w:szCs w:val="21"/>
          <w:highlight w:val="none"/>
        </w:rPr>
        <w:t>1项，主要建设内容</w:t>
      </w:r>
      <w:r>
        <w:rPr>
          <w:rFonts w:hint="eastAsia" w:ascii="宋体" w:hAnsi="宋体"/>
          <w:szCs w:val="21"/>
          <w:highlight w:val="none"/>
          <w:lang w:eastAsia="zh-CN"/>
        </w:rPr>
        <w:t>：融安县东起乡红日村上甲屯人饮灌溉工程，新建拦砂坝及拦水坝一座（长4.2m)、过滤池一座、蓄水池一座（150m³），安装消毒设备一套，铺设管道总长约6400m，其中给水管（PE100）长度为5400m，管径DN90（1.25MPa）；灌溉主管（PE80）长度为1000m，管径DN90（0.6MPa），DN20水表201个以及管道附属工程等。；</w:t>
      </w:r>
      <w:r>
        <w:rPr>
          <w:rFonts w:hint="eastAsia" w:ascii="宋体" w:hAnsi="宋体"/>
          <w:szCs w:val="21"/>
          <w:highlight w:val="none"/>
          <w:lang w:val="en-US" w:eastAsia="zh-CN"/>
        </w:rPr>
        <w:t>如需进一步了解详细内容，详见施工图纸及工程量清单。</w:t>
      </w:r>
    </w:p>
    <w:p w14:paraId="25CC902C">
      <w:pPr>
        <w:pageBreakBefore w:val="0"/>
        <w:widowControl w:val="0"/>
        <w:kinsoku/>
        <w:overflowPunct/>
        <w:autoSpaceDE/>
        <w:autoSpaceDN/>
        <w:bidi w:val="0"/>
        <w:adjustRightInd/>
        <w:snapToGrid/>
        <w:spacing w:line="360" w:lineRule="exact"/>
        <w:ind w:firstLine="420" w:firstLineChars="200"/>
        <w:textAlignment w:val="auto"/>
        <w:rPr>
          <w:rFonts w:hint="default" w:ascii="宋体" w:hAnsi="宋体"/>
          <w:szCs w:val="21"/>
          <w:highlight w:val="none"/>
          <w:lang w:val="en-US" w:eastAsia="zh-CN"/>
        </w:rPr>
      </w:pPr>
      <w:r>
        <w:rPr>
          <w:rFonts w:hint="eastAsia" w:ascii="宋体" w:hAnsi="宋体"/>
          <w:szCs w:val="21"/>
          <w:highlight w:val="none"/>
        </w:rPr>
        <w:t>最高限价（如有）：722573.80</w:t>
      </w:r>
      <w:r>
        <w:rPr>
          <w:rFonts w:hint="eastAsia" w:ascii="宋体" w:hAnsi="宋体"/>
          <w:szCs w:val="21"/>
          <w:highlight w:val="none"/>
          <w:lang w:val="en-US" w:eastAsia="zh-CN"/>
        </w:rPr>
        <w:t>元</w:t>
      </w:r>
    </w:p>
    <w:p w14:paraId="06C3F739">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szCs w:val="21"/>
          <w:highlight w:val="none"/>
          <w:lang w:val="en-US"/>
        </w:rPr>
      </w:pPr>
      <w:r>
        <w:rPr>
          <w:rFonts w:hint="eastAsia" w:ascii="宋体" w:hAnsi="宋体"/>
          <w:szCs w:val="21"/>
          <w:highlight w:val="none"/>
        </w:rPr>
        <w:t>合同履行期限：</w:t>
      </w:r>
      <w:r>
        <w:rPr>
          <w:rFonts w:hint="eastAsia" w:ascii="宋体" w:hAnsi="宋体"/>
          <w:szCs w:val="21"/>
          <w:highlight w:val="none"/>
          <w:lang w:val="en-US" w:eastAsia="zh-CN"/>
        </w:rPr>
        <w:t>自合同签订之日起至2026年12月30日</w:t>
      </w:r>
    </w:p>
    <w:p w14:paraId="023DC839">
      <w:pPr>
        <w:pageBreakBefore w:val="0"/>
        <w:widowControl w:val="0"/>
        <w:kinsoku/>
        <w:overflowPunct/>
        <w:autoSpaceDE/>
        <w:autoSpaceDN/>
        <w:bidi w:val="0"/>
        <w:adjustRightInd/>
        <w:snapToGrid/>
        <w:spacing w:line="360" w:lineRule="exact"/>
        <w:ind w:firstLine="420" w:firstLineChars="200"/>
        <w:textAlignment w:val="auto"/>
        <w:rPr>
          <w:rFonts w:hint="default" w:ascii="宋体" w:hAnsi="宋体" w:eastAsia="宋体"/>
          <w:szCs w:val="21"/>
          <w:highlight w:val="none"/>
          <w:lang w:val="en-US" w:eastAsia="zh-CN"/>
        </w:rPr>
      </w:pPr>
      <w:r>
        <w:rPr>
          <w:rFonts w:hint="eastAsia" w:ascii="宋体" w:hAnsi="宋体"/>
          <w:szCs w:val="21"/>
          <w:highlight w:val="none"/>
        </w:rPr>
        <w:t>本项目（</w:t>
      </w:r>
      <w:r>
        <w:rPr>
          <w:rFonts w:ascii="宋体" w:hAnsi="宋体"/>
          <w:szCs w:val="21"/>
          <w:highlight w:val="none"/>
        </w:rPr>
        <w:t>否</w:t>
      </w:r>
      <w:r>
        <w:rPr>
          <w:rFonts w:hint="eastAsia" w:ascii="宋体" w:hAnsi="宋体"/>
          <w:szCs w:val="21"/>
          <w:highlight w:val="none"/>
        </w:rPr>
        <w:t>）接受联合体</w:t>
      </w:r>
      <w:r>
        <w:rPr>
          <w:rFonts w:hint="eastAsia" w:ascii="宋体" w:hAnsi="宋体"/>
          <w:szCs w:val="21"/>
          <w:highlight w:val="none"/>
          <w:lang w:eastAsia="zh-CN"/>
        </w:rPr>
        <w:t>：</w:t>
      </w:r>
      <w:r>
        <w:rPr>
          <w:rFonts w:hint="eastAsia" w:ascii="宋体" w:hAnsi="宋体"/>
          <w:szCs w:val="21"/>
          <w:highlight w:val="none"/>
          <w:lang w:val="en-US" w:eastAsia="zh-CN"/>
        </w:rPr>
        <w:t>否</w:t>
      </w:r>
    </w:p>
    <w:p w14:paraId="20CB7A36">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eastAsia="宋体"/>
          <w:szCs w:val="21"/>
          <w:highlight w:val="none"/>
          <w:lang w:eastAsia="zh-CN"/>
        </w:rPr>
      </w:pPr>
      <w:r>
        <w:rPr>
          <w:rFonts w:hint="eastAsia" w:ascii="宋体" w:hAnsi="宋体"/>
          <w:szCs w:val="21"/>
          <w:highlight w:val="none"/>
        </w:rPr>
        <w:t>备注</w:t>
      </w:r>
      <w:r>
        <w:rPr>
          <w:rFonts w:hint="eastAsia" w:ascii="宋体" w:hAnsi="宋体"/>
          <w:szCs w:val="21"/>
          <w:highlight w:val="none"/>
          <w:lang w:eastAsia="zh-CN"/>
        </w:rPr>
        <w:t>：本项目为线上电子招标项目，采用远程异地评标，有意向参与本项目的供应商应当做好参与全流程电子招投标交易的充分准备。</w:t>
      </w:r>
    </w:p>
    <w:p w14:paraId="336C5EDE">
      <w:pPr>
        <w:pStyle w:val="2"/>
        <w:pageBreakBefore w:val="0"/>
        <w:widowControl w:val="0"/>
        <w:kinsoku/>
        <w:overflowPunct/>
        <w:autoSpaceDE/>
        <w:autoSpaceDN/>
        <w:bidi w:val="0"/>
        <w:adjustRightInd/>
        <w:snapToGrid/>
        <w:spacing w:line="360" w:lineRule="exact"/>
        <w:textAlignment w:val="auto"/>
        <w:rPr>
          <w:rFonts w:ascii="宋体" w:hAnsi="宋体"/>
          <w:highlight w:val="none"/>
        </w:rPr>
      </w:pPr>
      <w:bookmarkStart w:id="10" w:name="_Toc117860034"/>
      <w:bookmarkStart w:id="11" w:name="_Toc28359013"/>
      <w:bookmarkStart w:id="12" w:name="_Toc2312"/>
      <w:bookmarkStart w:id="13" w:name="_Toc35393799"/>
      <w:bookmarkStart w:id="14" w:name="_Toc28359090"/>
      <w:bookmarkStart w:id="15" w:name="_Toc35393630"/>
      <w:bookmarkStart w:id="16" w:name="_Toc44229879"/>
      <w:bookmarkStart w:id="17" w:name="_Toc20350"/>
      <w:r>
        <w:rPr>
          <w:rFonts w:hint="eastAsia" w:ascii="宋体" w:hAnsi="宋体"/>
          <w:highlight w:val="none"/>
        </w:rPr>
        <w:t>二、供应商的资格条件：</w:t>
      </w:r>
      <w:bookmarkEnd w:id="10"/>
      <w:bookmarkEnd w:id="11"/>
      <w:bookmarkEnd w:id="12"/>
      <w:bookmarkEnd w:id="13"/>
      <w:bookmarkEnd w:id="14"/>
      <w:bookmarkEnd w:id="15"/>
      <w:bookmarkEnd w:id="16"/>
      <w:bookmarkEnd w:id="17"/>
    </w:p>
    <w:p w14:paraId="4620B27D">
      <w:pPr>
        <w:pageBreakBefore w:val="0"/>
        <w:widowControl w:val="0"/>
        <w:kinsoku/>
        <w:overflowPunct/>
        <w:autoSpaceDE/>
        <w:autoSpaceDN/>
        <w:bidi w:val="0"/>
        <w:adjustRightInd/>
        <w:snapToGrid/>
        <w:spacing w:line="360" w:lineRule="exact"/>
        <w:ind w:firstLine="420" w:firstLineChars="200"/>
        <w:textAlignment w:val="auto"/>
        <w:rPr>
          <w:rFonts w:ascii="宋体" w:hAnsi="宋体"/>
          <w:szCs w:val="21"/>
          <w:highlight w:val="none"/>
        </w:rPr>
      </w:pPr>
      <w:bookmarkStart w:id="18" w:name="_Toc28359091"/>
      <w:bookmarkStart w:id="19" w:name="_Toc35393800"/>
      <w:bookmarkStart w:id="20" w:name="_Toc35393631"/>
      <w:bookmarkStart w:id="21" w:name="_Toc44229880"/>
      <w:bookmarkStart w:id="22" w:name="_Toc28359014"/>
      <w:r>
        <w:rPr>
          <w:rFonts w:hint="eastAsia" w:ascii="宋体" w:hAnsi="宋体"/>
          <w:szCs w:val="21"/>
          <w:highlight w:val="none"/>
        </w:rPr>
        <w:t>1.满足《中华人民共和国政府采购法》第二十二条规定；</w:t>
      </w:r>
    </w:p>
    <w:p w14:paraId="7CD0983F">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 xml:space="preserve">.落实政府采购政策需满足的资格要求：本项目属于专门面向中小企业采购的项目，监狱企业、残疾人福利单位视同小型、微型企业；中小企业须符合本项目采购标的所属行业对应的中小企业划分标准； </w:t>
      </w:r>
    </w:p>
    <w:p w14:paraId="2B520EED">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szCs w:val="21"/>
          <w:highlight w:val="none"/>
        </w:rPr>
      </w:pPr>
      <w:r>
        <w:rPr>
          <w:rFonts w:hint="eastAsia" w:ascii="宋体" w:hAnsi="宋体"/>
          <w:szCs w:val="21"/>
          <w:highlight w:val="none"/>
        </w:rPr>
        <w:t>3.本项目的特定资格要求：</w:t>
      </w:r>
      <w:bookmarkStart w:id="23" w:name="_Toc20379"/>
      <w:bookmarkStart w:id="24" w:name="_Toc117860035"/>
    </w:p>
    <w:p w14:paraId="02078D67">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highlight w:val="none"/>
        </w:rPr>
      </w:pPr>
      <w:r>
        <w:rPr>
          <w:rFonts w:hint="eastAsia" w:ascii="宋体" w:hAnsi="宋体"/>
          <w:highlight w:val="none"/>
          <w:lang w:val="en-US" w:eastAsia="zh-CN"/>
        </w:rPr>
        <w:t>（1）具备</w:t>
      </w:r>
      <w:r>
        <w:rPr>
          <w:rFonts w:hint="eastAsia" w:ascii="宋体" w:hAnsi="宋体"/>
          <w:highlight w:val="none"/>
        </w:rPr>
        <w:t>水利水电工程施工总承包叁级以上（含叁级）资质</w:t>
      </w:r>
      <w:r>
        <w:rPr>
          <w:rFonts w:hint="eastAsia" w:ascii="宋体" w:hAnsi="宋体"/>
          <w:highlight w:val="none"/>
          <w:lang w:eastAsia="zh-CN"/>
        </w:rPr>
        <w:t>，</w:t>
      </w:r>
      <w:r>
        <w:rPr>
          <w:rFonts w:hint="eastAsia" w:ascii="宋体" w:hAnsi="宋体"/>
          <w:highlight w:val="none"/>
        </w:rPr>
        <w:t>具有省级及以上建设行政主管部门颁发的安全生产许可证。在人员、设备、资金等方面具备相应的施工能力。</w:t>
      </w:r>
    </w:p>
    <w:p w14:paraId="2BF0ABD3">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highlight w:val="none"/>
        </w:rPr>
      </w:pPr>
      <w:r>
        <w:rPr>
          <w:rFonts w:hint="eastAsia" w:ascii="宋体" w:hAnsi="宋体"/>
          <w:highlight w:val="none"/>
          <w:lang w:eastAsia="zh-CN"/>
        </w:rPr>
        <w:t>（</w:t>
      </w:r>
      <w:r>
        <w:rPr>
          <w:rFonts w:hint="eastAsia" w:ascii="宋体" w:hAnsi="宋体"/>
          <w:highlight w:val="none"/>
          <w:lang w:val="en-US" w:eastAsia="zh-CN"/>
        </w:rPr>
        <w:t>2</w:t>
      </w:r>
      <w:r>
        <w:rPr>
          <w:rFonts w:hint="eastAsia" w:ascii="宋体" w:hAnsi="宋体"/>
          <w:highlight w:val="none"/>
          <w:lang w:eastAsia="zh-CN"/>
        </w:rPr>
        <w:t>）</w:t>
      </w:r>
      <w:r>
        <w:rPr>
          <w:rFonts w:hint="eastAsia" w:ascii="宋体" w:hAnsi="宋体"/>
          <w:highlight w:val="none"/>
        </w:rPr>
        <w:t>投标人拟派项目经理须具有水利水电工程专业</w:t>
      </w:r>
      <w:r>
        <w:rPr>
          <w:rFonts w:hint="eastAsia" w:ascii="宋体" w:hAnsi="宋体"/>
          <w:highlight w:val="none"/>
          <w:lang w:eastAsia="zh-CN"/>
        </w:rPr>
        <w:t>，</w:t>
      </w:r>
      <w:r>
        <w:rPr>
          <w:rFonts w:hint="eastAsia" w:ascii="宋体" w:hAnsi="宋体"/>
          <w:highlight w:val="none"/>
        </w:rPr>
        <w:t>注册建造师执业资格和安全生产考核合格证书（B类）。</w:t>
      </w:r>
    </w:p>
    <w:p w14:paraId="3A91BCA3">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highlight w:val="none"/>
        </w:rPr>
      </w:pPr>
      <w:r>
        <w:rPr>
          <w:rFonts w:hint="eastAsia" w:ascii="宋体" w:hAnsi="宋体"/>
          <w:highlight w:val="none"/>
        </w:rPr>
        <w:t>（3）专职安全员要求：拟派专职安全员须持有省级或其授权部门（机构）颁发的C类安全生产考核合格证书。</w:t>
      </w:r>
    </w:p>
    <w:p w14:paraId="235E1D4E">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highlight w:val="none"/>
        </w:rPr>
      </w:pPr>
      <w:r>
        <w:rPr>
          <w:rFonts w:hint="eastAsia" w:ascii="宋体" w:hAnsi="宋体"/>
          <w:highlight w:val="none"/>
        </w:rPr>
        <w:t>三、获取竞争性磋商文件</w:t>
      </w:r>
      <w:bookmarkEnd w:id="18"/>
      <w:bookmarkEnd w:id="19"/>
      <w:bookmarkEnd w:id="20"/>
      <w:bookmarkEnd w:id="21"/>
      <w:bookmarkEnd w:id="22"/>
      <w:bookmarkEnd w:id="23"/>
      <w:bookmarkEnd w:id="24"/>
    </w:p>
    <w:p w14:paraId="29058797">
      <w:pPr>
        <w:pageBreakBefore w:val="0"/>
        <w:widowControl w:val="0"/>
        <w:kinsoku/>
        <w:overflowPunct/>
        <w:autoSpaceDE/>
        <w:autoSpaceDN/>
        <w:bidi w:val="0"/>
        <w:adjustRightInd/>
        <w:snapToGrid/>
        <w:spacing w:line="360" w:lineRule="exact"/>
        <w:ind w:firstLine="540"/>
        <w:textAlignment w:val="auto"/>
        <w:rPr>
          <w:rFonts w:ascii="宋体" w:hAnsi="宋体" w:cs="宋体"/>
          <w:bCs/>
          <w:kern w:val="0"/>
          <w:szCs w:val="21"/>
          <w:highlight w:val="none"/>
        </w:rPr>
      </w:pPr>
      <w:r>
        <w:rPr>
          <w:rFonts w:hint="eastAsia" w:ascii="宋体" w:hAnsi="宋体" w:cs="宋体"/>
          <w:bCs/>
          <w:kern w:val="0"/>
          <w:szCs w:val="21"/>
          <w:highlight w:val="none"/>
        </w:rPr>
        <w:t>时间：</w:t>
      </w:r>
      <w:r>
        <w:rPr>
          <w:rFonts w:ascii="宋体" w:hAnsi="宋体"/>
          <w:szCs w:val="21"/>
          <w:highlight w:val="none"/>
        </w:rPr>
        <w:t>202</w:t>
      </w:r>
      <w:r>
        <w:rPr>
          <w:rFonts w:hint="eastAsia" w:ascii="宋体" w:hAnsi="宋体"/>
          <w:szCs w:val="21"/>
          <w:highlight w:val="none"/>
          <w:lang w:val="en-US" w:eastAsia="zh-CN"/>
        </w:rPr>
        <w:t>6</w:t>
      </w:r>
      <w:r>
        <w:rPr>
          <w:rFonts w:hint="eastAsia" w:ascii="宋体" w:hAnsi="宋体"/>
          <w:bCs/>
          <w:szCs w:val="21"/>
          <w:highlight w:val="none"/>
        </w:rPr>
        <w:t>年</w:t>
      </w:r>
      <w:r>
        <w:rPr>
          <w:rFonts w:hint="eastAsia" w:ascii="宋体" w:hAnsi="宋体"/>
          <w:bCs/>
          <w:szCs w:val="21"/>
          <w:highlight w:val="none"/>
          <w:lang w:val="en-US" w:eastAsia="zh-CN"/>
        </w:rPr>
        <w:t>6</w:t>
      </w:r>
      <w:r>
        <w:rPr>
          <w:rFonts w:hint="eastAsia" w:ascii="宋体" w:hAnsi="宋体"/>
          <w:bCs/>
          <w:szCs w:val="21"/>
          <w:highlight w:val="none"/>
        </w:rPr>
        <w:t>月</w:t>
      </w:r>
      <w:r>
        <w:rPr>
          <w:rFonts w:hint="eastAsia" w:ascii="宋体" w:hAnsi="宋体"/>
          <w:bCs/>
          <w:szCs w:val="21"/>
          <w:highlight w:val="none"/>
          <w:lang w:val="en-US" w:eastAsia="zh-CN"/>
        </w:rPr>
        <w:t>8</w:t>
      </w:r>
      <w:r>
        <w:rPr>
          <w:rFonts w:hint="eastAsia" w:ascii="宋体" w:hAnsi="宋体"/>
          <w:bCs/>
          <w:szCs w:val="21"/>
          <w:highlight w:val="none"/>
        </w:rPr>
        <w:t>日</w:t>
      </w:r>
      <w:r>
        <w:rPr>
          <w:rFonts w:hint="eastAsia" w:ascii="宋体" w:hAnsi="宋体" w:cs="宋体"/>
          <w:bCs/>
          <w:kern w:val="0"/>
          <w:szCs w:val="21"/>
          <w:highlight w:val="none"/>
        </w:rPr>
        <w:t>至</w:t>
      </w:r>
      <w:r>
        <w:rPr>
          <w:rFonts w:ascii="宋体" w:hAnsi="宋体"/>
          <w:szCs w:val="21"/>
          <w:highlight w:val="none"/>
        </w:rPr>
        <w:t>202</w:t>
      </w:r>
      <w:r>
        <w:rPr>
          <w:rFonts w:hint="eastAsia" w:ascii="宋体" w:hAnsi="宋体"/>
          <w:szCs w:val="21"/>
          <w:highlight w:val="none"/>
          <w:lang w:val="en-US" w:eastAsia="zh-CN"/>
        </w:rPr>
        <w:t>6</w:t>
      </w:r>
      <w:r>
        <w:rPr>
          <w:rFonts w:hint="eastAsia" w:ascii="宋体" w:hAnsi="宋体"/>
          <w:bCs/>
          <w:szCs w:val="21"/>
          <w:highlight w:val="none"/>
        </w:rPr>
        <w:t>年</w:t>
      </w:r>
      <w:r>
        <w:rPr>
          <w:rFonts w:hint="eastAsia" w:ascii="宋体" w:hAnsi="宋体"/>
          <w:bCs/>
          <w:szCs w:val="21"/>
          <w:highlight w:val="none"/>
          <w:lang w:val="en-US" w:eastAsia="zh-CN"/>
        </w:rPr>
        <w:t>6</w:t>
      </w:r>
      <w:r>
        <w:rPr>
          <w:rFonts w:hint="eastAsia" w:ascii="宋体" w:hAnsi="宋体"/>
          <w:bCs/>
          <w:szCs w:val="21"/>
          <w:highlight w:val="none"/>
        </w:rPr>
        <w:t>月</w:t>
      </w:r>
      <w:r>
        <w:rPr>
          <w:rFonts w:hint="eastAsia" w:ascii="宋体" w:hAnsi="宋体"/>
          <w:bCs/>
          <w:szCs w:val="21"/>
          <w:highlight w:val="none"/>
          <w:lang w:val="en-US" w:eastAsia="zh-CN"/>
        </w:rPr>
        <w:t>15</w:t>
      </w:r>
      <w:r>
        <w:rPr>
          <w:rFonts w:hint="eastAsia" w:ascii="宋体" w:hAnsi="宋体"/>
          <w:bCs/>
          <w:szCs w:val="21"/>
          <w:highlight w:val="none"/>
        </w:rPr>
        <w:t>日</w:t>
      </w:r>
      <w:r>
        <w:rPr>
          <w:rFonts w:hint="eastAsia" w:ascii="宋体" w:hAnsi="宋体" w:cs="宋体"/>
          <w:bCs/>
          <w:kern w:val="0"/>
          <w:szCs w:val="21"/>
          <w:highlight w:val="none"/>
        </w:rPr>
        <w:t>，每天上午</w:t>
      </w:r>
      <w:r>
        <w:rPr>
          <w:rFonts w:ascii="宋体" w:hAnsi="宋体" w:cs="宋体"/>
          <w:bCs/>
          <w:kern w:val="0"/>
          <w:szCs w:val="21"/>
          <w:highlight w:val="none"/>
        </w:rPr>
        <w:t>8</w:t>
      </w:r>
      <w:r>
        <w:rPr>
          <w:rFonts w:hint="eastAsia" w:ascii="宋体" w:hAnsi="宋体" w:cs="宋体"/>
          <w:bCs/>
          <w:kern w:val="0"/>
          <w:szCs w:val="21"/>
          <w:highlight w:val="none"/>
          <w:lang w:eastAsia="zh-Hans"/>
        </w:rPr>
        <w:t>:</w:t>
      </w:r>
      <w:r>
        <w:rPr>
          <w:rFonts w:hint="eastAsia" w:ascii="宋体" w:hAnsi="宋体" w:cs="宋体"/>
          <w:bCs/>
          <w:kern w:val="0"/>
          <w:szCs w:val="21"/>
          <w:highlight w:val="none"/>
          <w:lang w:val="en-US" w:eastAsia="zh-CN"/>
        </w:rPr>
        <w:t>30</w:t>
      </w:r>
      <w:r>
        <w:rPr>
          <w:rFonts w:hint="eastAsia" w:ascii="宋体" w:hAnsi="宋体" w:cs="宋体"/>
          <w:bCs/>
          <w:kern w:val="0"/>
          <w:szCs w:val="21"/>
          <w:highlight w:val="none"/>
        </w:rPr>
        <w:t>至</w:t>
      </w:r>
      <w:r>
        <w:rPr>
          <w:rFonts w:ascii="宋体" w:hAnsi="宋体" w:cs="宋体"/>
          <w:bCs/>
          <w:kern w:val="0"/>
          <w:szCs w:val="21"/>
          <w:highlight w:val="none"/>
        </w:rPr>
        <w:t>12</w:t>
      </w:r>
      <w:r>
        <w:rPr>
          <w:rFonts w:hint="eastAsia" w:ascii="宋体" w:hAnsi="宋体" w:cs="宋体"/>
          <w:bCs/>
          <w:kern w:val="0"/>
          <w:szCs w:val="21"/>
          <w:highlight w:val="none"/>
          <w:lang w:eastAsia="zh-Hans"/>
        </w:rPr>
        <w:t>:</w:t>
      </w:r>
      <w:r>
        <w:rPr>
          <w:rFonts w:ascii="宋体" w:hAnsi="宋体" w:cs="宋体"/>
          <w:bCs/>
          <w:kern w:val="0"/>
          <w:szCs w:val="21"/>
          <w:highlight w:val="none"/>
          <w:lang w:eastAsia="zh-Hans"/>
        </w:rPr>
        <w:t>00</w:t>
      </w:r>
      <w:r>
        <w:rPr>
          <w:rFonts w:hint="eastAsia" w:ascii="宋体" w:hAnsi="宋体" w:cs="宋体"/>
          <w:bCs/>
          <w:kern w:val="0"/>
          <w:szCs w:val="21"/>
          <w:highlight w:val="none"/>
        </w:rPr>
        <w:t>，下午</w:t>
      </w:r>
      <w:r>
        <w:rPr>
          <w:rFonts w:hint="eastAsia" w:ascii="宋体" w:hAnsi="宋体" w:cs="宋体"/>
          <w:bCs/>
          <w:kern w:val="0"/>
          <w:szCs w:val="21"/>
          <w:highlight w:val="none"/>
          <w:lang w:val="en-US" w:eastAsia="zh-CN"/>
        </w:rPr>
        <w:t>14</w:t>
      </w:r>
      <w:r>
        <w:rPr>
          <w:rFonts w:hint="eastAsia" w:ascii="宋体" w:hAnsi="宋体" w:cs="宋体"/>
          <w:bCs/>
          <w:kern w:val="0"/>
          <w:szCs w:val="21"/>
          <w:highlight w:val="none"/>
          <w:lang w:eastAsia="zh-Hans"/>
        </w:rPr>
        <w:t>:</w:t>
      </w:r>
      <w:r>
        <w:rPr>
          <w:rFonts w:hint="eastAsia" w:ascii="宋体" w:hAnsi="宋体" w:cs="宋体"/>
          <w:bCs/>
          <w:kern w:val="0"/>
          <w:szCs w:val="21"/>
          <w:highlight w:val="none"/>
          <w:lang w:val="en-US" w:eastAsia="zh-CN"/>
        </w:rPr>
        <w:t>3</w:t>
      </w:r>
      <w:r>
        <w:rPr>
          <w:rFonts w:ascii="宋体" w:hAnsi="宋体" w:cs="宋体"/>
          <w:bCs/>
          <w:kern w:val="0"/>
          <w:szCs w:val="21"/>
          <w:highlight w:val="none"/>
          <w:lang w:eastAsia="zh-Hans"/>
        </w:rPr>
        <w:t>0</w:t>
      </w:r>
      <w:r>
        <w:rPr>
          <w:rFonts w:hint="eastAsia" w:ascii="宋体" w:hAnsi="宋体" w:cs="宋体"/>
          <w:bCs/>
          <w:kern w:val="0"/>
          <w:szCs w:val="21"/>
          <w:highlight w:val="none"/>
        </w:rPr>
        <w:t>至</w:t>
      </w:r>
      <w:r>
        <w:rPr>
          <w:rFonts w:ascii="宋体" w:hAnsi="宋体" w:cs="宋体"/>
          <w:bCs/>
          <w:kern w:val="0"/>
          <w:szCs w:val="21"/>
          <w:highlight w:val="none"/>
        </w:rPr>
        <w:t>17</w:t>
      </w:r>
      <w:r>
        <w:rPr>
          <w:rFonts w:hint="eastAsia" w:ascii="宋体" w:hAnsi="宋体" w:cs="宋体"/>
          <w:bCs/>
          <w:kern w:val="0"/>
          <w:szCs w:val="21"/>
          <w:highlight w:val="none"/>
          <w:lang w:eastAsia="zh-Hans"/>
        </w:rPr>
        <w:t>:</w:t>
      </w:r>
      <w:r>
        <w:rPr>
          <w:rFonts w:hint="eastAsia" w:ascii="宋体" w:hAnsi="宋体" w:cs="宋体"/>
          <w:bCs/>
          <w:kern w:val="0"/>
          <w:szCs w:val="21"/>
          <w:highlight w:val="none"/>
          <w:lang w:val="en-US" w:eastAsia="zh-CN"/>
        </w:rPr>
        <w:t>30</w:t>
      </w:r>
      <w:r>
        <w:rPr>
          <w:rFonts w:hint="eastAsia" w:ascii="宋体" w:hAnsi="宋体" w:cs="宋体"/>
          <w:bCs/>
          <w:kern w:val="0"/>
          <w:szCs w:val="21"/>
          <w:highlight w:val="none"/>
        </w:rPr>
        <w:t>（北京时间，</w:t>
      </w:r>
      <w:r>
        <w:rPr>
          <w:rFonts w:ascii="宋体" w:hAnsi="宋体" w:cs="宋体"/>
          <w:bCs/>
          <w:kern w:val="0"/>
          <w:szCs w:val="21"/>
          <w:highlight w:val="none"/>
        </w:rPr>
        <w:t>法定节假日</w:t>
      </w:r>
      <w:r>
        <w:rPr>
          <w:rFonts w:hint="eastAsia" w:ascii="宋体" w:hAnsi="宋体" w:cs="宋体"/>
          <w:bCs/>
          <w:kern w:val="0"/>
          <w:szCs w:val="21"/>
          <w:highlight w:val="none"/>
        </w:rPr>
        <w:t>除外）</w:t>
      </w:r>
    </w:p>
    <w:p w14:paraId="11A36908">
      <w:pPr>
        <w:pageBreakBefore w:val="0"/>
        <w:widowControl w:val="0"/>
        <w:kinsoku/>
        <w:overflowPunct/>
        <w:autoSpaceDE/>
        <w:autoSpaceDN/>
        <w:bidi w:val="0"/>
        <w:adjustRightInd/>
        <w:snapToGrid/>
        <w:spacing w:line="360" w:lineRule="exact"/>
        <w:ind w:firstLine="567"/>
        <w:textAlignment w:val="auto"/>
        <w:rPr>
          <w:rFonts w:ascii="宋体" w:hAnsi="宋体" w:cs="宋体"/>
          <w:bCs/>
          <w:kern w:val="0"/>
          <w:szCs w:val="21"/>
          <w:highlight w:val="none"/>
        </w:rPr>
      </w:pPr>
      <w:r>
        <w:rPr>
          <w:rFonts w:hint="eastAsia" w:ascii="宋体" w:hAnsi="宋体" w:cs="宋体"/>
          <w:bCs/>
          <w:kern w:val="0"/>
          <w:szCs w:val="21"/>
          <w:highlight w:val="none"/>
        </w:rPr>
        <w:t>地点：广西政府采购云平台（https://www.gcy.zfcg.gxzf.gov.cn/）</w:t>
      </w:r>
    </w:p>
    <w:p w14:paraId="4016EB0C">
      <w:pPr>
        <w:pageBreakBefore w:val="0"/>
        <w:widowControl w:val="0"/>
        <w:kinsoku/>
        <w:overflowPunct/>
        <w:autoSpaceDE/>
        <w:autoSpaceDN/>
        <w:bidi w:val="0"/>
        <w:adjustRightInd/>
        <w:snapToGrid/>
        <w:spacing w:line="360" w:lineRule="exact"/>
        <w:ind w:left="567" w:leftChars="270"/>
        <w:textAlignment w:val="auto"/>
        <w:rPr>
          <w:rFonts w:hint="eastAsia" w:ascii="宋体" w:hAnsi="宋体"/>
          <w:szCs w:val="21"/>
          <w:highlight w:val="none"/>
        </w:rPr>
      </w:pPr>
      <w:r>
        <w:rPr>
          <w:rFonts w:hint="eastAsia" w:ascii="宋体" w:hAnsi="宋体" w:cs="宋体"/>
          <w:bCs/>
          <w:kern w:val="0"/>
          <w:szCs w:val="21"/>
          <w:highlight w:val="none"/>
        </w:rPr>
        <w:t>方式：</w:t>
      </w:r>
      <w:r>
        <w:rPr>
          <w:rFonts w:hint="eastAsia" w:ascii="宋体" w:hAnsi="宋体"/>
          <w:szCs w:val="21"/>
          <w:highlight w:val="none"/>
        </w:rPr>
        <w:t>网上下载。本项目不提供纸质文件，潜在供应商需在广西政府采购云平台（https://www.gcy.zfcg.gxzf.gov.cn/）-进入“项目采购”应用，在获取采购文件菜单中选择项目，获取竞争性磋商文件。电子响应文件制作需要基于广西政府采购云平台获取的磋商文件编制，通过其他方式获取磋商文件的，将有可能导致供应商无法在广西政府采购云平台编制及上传响应文件。 </w:t>
      </w:r>
    </w:p>
    <w:p w14:paraId="6A9F07DD">
      <w:pPr>
        <w:pStyle w:val="2"/>
        <w:pageBreakBefore w:val="0"/>
        <w:widowControl w:val="0"/>
        <w:kinsoku/>
        <w:overflowPunct/>
        <w:autoSpaceDE/>
        <w:autoSpaceDN/>
        <w:bidi w:val="0"/>
        <w:adjustRightInd/>
        <w:snapToGrid/>
        <w:spacing w:line="360" w:lineRule="exact"/>
        <w:textAlignment w:val="auto"/>
        <w:rPr>
          <w:rFonts w:ascii="宋体" w:hAnsi="宋体"/>
          <w:highlight w:val="none"/>
        </w:rPr>
      </w:pPr>
      <w:bookmarkStart w:id="25" w:name="_Toc28359015"/>
      <w:bookmarkStart w:id="26" w:name="_Toc35393632"/>
      <w:bookmarkStart w:id="27" w:name="_Toc28359092"/>
      <w:bookmarkStart w:id="28" w:name="_Toc7598"/>
      <w:bookmarkStart w:id="29" w:name="_Toc44229881"/>
      <w:bookmarkStart w:id="30" w:name="_Toc3276"/>
      <w:bookmarkStart w:id="31" w:name="_Toc117860036"/>
      <w:bookmarkStart w:id="32" w:name="_Toc35393801"/>
      <w:r>
        <w:rPr>
          <w:rFonts w:hint="eastAsia" w:ascii="宋体" w:hAnsi="宋体"/>
          <w:highlight w:val="none"/>
        </w:rPr>
        <w:t>四、响应文件提交</w:t>
      </w:r>
      <w:bookmarkEnd w:id="25"/>
      <w:bookmarkEnd w:id="26"/>
      <w:bookmarkEnd w:id="27"/>
      <w:bookmarkEnd w:id="28"/>
      <w:bookmarkEnd w:id="29"/>
      <w:bookmarkEnd w:id="30"/>
      <w:bookmarkEnd w:id="31"/>
      <w:bookmarkEnd w:id="32"/>
    </w:p>
    <w:p w14:paraId="5460EB13">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bCs/>
          <w:szCs w:val="21"/>
          <w:highlight w:val="none"/>
        </w:rPr>
      </w:pPr>
      <w:r>
        <w:rPr>
          <w:rFonts w:hint="eastAsia" w:ascii="宋体" w:hAnsi="宋体"/>
          <w:szCs w:val="21"/>
          <w:highlight w:val="none"/>
        </w:rPr>
        <w:t>截止</w:t>
      </w:r>
      <w:bookmarkStart w:id="280" w:name="_GoBack"/>
      <w:r>
        <w:rPr>
          <w:rFonts w:hint="eastAsia" w:ascii="宋体" w:hAnsi="宋体"/>
          <w:szCs w:val="21"/>
          <w:highlight w:val="none"/>
        </w:rPr>
        <w:t>时间：</w:t>
      </w:r>
      <w:bookmarkStart w:id="33" w:name="_Hlk117678972"/>
      <w:r>
        <w:rPr>
          <w:rFonts w:ascii="宋体" w:hAnsi="宋体"/>
          <w:szCs w:val="21"/>
          <w:highlight w:val="none"/>
        </w:rPr>
        <w:t>202</w:t>
      </w:r>
      <w:r>
        <w:rPr>
          <w:rFonts w:hint="eastAsia" w:ascii="宋体" w:hAnsi="宋体"/>
          <w:szCs w:val="21"/>
          <w:highlight w:val="none"/>
          <w:lang w:val="en-US" w:eastAsia="zh-CN"/>
        </w:rPr>
        <w:t>6</w:t>
      </w:r>
      <w:r>
        <w:rPr>
          <w:rFonts w:hint="eastAsia" w:ascii="宋体" w:hAnsi="宋体"/>
          <w:bCs/>
          <w:szCs w:val="21"/>
          <w:highlight w:val="none"/>
        </w:rPr>
        <w:t>年</w:t>
      </w:r>
      <w:r>
        <w:rPr>
          <w:rFonts w:hint="eastAsia" w:ascii="宋体" w:hAnsi="宋体"/>
          <w:bCs/>
          <w:szCs w:val="21"/>
          <w:highlight w:val="none"/>
          <w:lang w:val="en-US" w:eastAsia="zh-CN"/>
        </w:rPr>
        <w:t>7</w:t>
      </w:r>
      <w:r>
        <w:rPr>
          <w:rFonts w:hint="eastAsia" w:ascii="宋体" w:hAnsi="宋体"/>
          <w:bCs/>
          <w:szCs w:val="21"/>
          <w:highlight w:val="none"/>
        </w:rPr>
        <w:t>月</w:t>
      </w:r>
      <w:r>
        <w:rPr>
          <w:rFonts w:hint="eastAsia" w:ascii="宋体" w:hAnsi="宋体"/>
          <w:bCs/>
          <w:szCs w:val="21"/>
          <w:highlight w:val="none"/>
          <w:lang w:val="en-US" w:eastAsia="zh-CN"/>
        </w:rPr>
        <w:t>1</w:t>
      </w:r>
      <w:r>
        <w:rPr>
          <w:rFonts w:hint="eastAsia" w:ascii="宋体" w:hAnsi="宋体"/>
          <w:bCs/>
          <w:szCs w:val="21"/>
          <w:highlight w:val="none"/>
        </w:rPr>
        <w:t>日</w:t>
      </w:r>
      <w:r>
        <w:rPr>
          <w:rFonts w:hint="eastAsia" w:ascii="宋体" w:hAnsi="宋体"/>
          <w:bCs/>
          <w:szCs w:val="21"/>
          <w:highlight w:val="none"/>
        </w:rPr>
        <w:t>9时</w:t>
      </w:r>
      <w:r>
        <w:rPr>
          <w:rFonts w:hint="eastAsia" w:ascii="宋体" w:hAnsi="宋体"/>
          <w:bCs/>
          <w:szCs w:val="21"/>
          <w:highlight w:val="none"/>
          <w:lang w:val="en-US" w:eastAsia="zh-CN"/>
        </w:rPr>
        <w:t>2</w:t>
      </w:r>
      <w:r>
        <w:rPr>
          <w:rFonts w:hint="eastAsia" w:ascii="宋体" w:hAnsi="宋体"/>
          <w:bCs/>
          <w:szCs w:val="21"/>
          <w:highlight w:val="none"/>
        </w:rPr>
        <w:t>0分</w:t>
      </w:r>
      <w:bookmarkEnd w:id="33"/>
      <w:r>
        <w:rPr>
          <w:rFonts w:hint="eastAsia" w:ascii="宋体" w:hAnsi="宋体"/>
          <w:bCs/>
          <w:szCs w:val="21"/>
          <w:highlight w:val="none"/>
        </w:rPr>
        <w:t>（北京时间）</w:t>
      </w:r>
    </w:p>
    <w:p w14:paraId="53CA7ADC">
      <w:pPr>
        <w:pageBreakBefore w:val="0"/>
        <w:widowControl w:val="0"/>
        <w:kinsoku/>
        <w:overflowPunct/>
        <w:autoSpaceDE/>
        <w:autoSpaceDN/>
        <w:bidi w:val="0"/>
        <w:adjustRightInd/>
        <w:snapToGrid/>
        <w:spacing w:line="360" w:lineRule="exact"/>
        <w:ind w:firstLine="420" w:firstLineChars="200"/>
        <w:textAlignment w:val="auto"/>
        <w:rPr>
          <w:rFonts w:ascii="宋体" w:hAnsi="宋体"/>
          <w:szCs w:val="21"/>
          <w:highlight w:val="none"/>
        </w:rPr>
      </w:pPr>
      <w:r>
        <w:rPr>
          <w:rFonts w:hint="eastAsia" w:ascii="宋体" w:hAnsi="宋体"/>
          <w:szCs w:val="21"/>
          <w:highlight w:val="none"/>
        </w:rPr>
        <w:t xml:space="preserve">首次响应文件提交地点：广西政府采购云平台（https://www.gcy.zfcg.gxzf.gov.cn/） </w:t>
      </w:r>
      <w:r>
        <w:rPr>
          <w:rFonts w:ascii="宋体" w:hAnsi="宋体"/>
          <w:szCs w:val="21"/>
          <w:highlight w:val="none"/>
        </w:rPr>
        <w:t xml:space="preserve">                           </w:t>
      </w:r>
    </w:p>
    <w:p w14:paraId="1E6EF7D6">
      <w:pPr>
        <w:pStyle w:val="2"/>
        <w:pageBreakBefore w:val="0"/>
        <w:widowControl w:val="0"/>
        <w:kinsoku/>
        <w:overflowPunct/>
        <w:autoSpaceDE/>
        <w:autoSpaceDN/>
        <w:bidi w:val="0"/>
        <w:adjustRightInd/>
        <w:snapToGrid/>
        <w:spacing w:line="360" w:lineRule="exact"/>
        <w:textAlignment w:val="auto"/>
        <w:rPr>
          <w:rFonts w:hint="eastAsia" w:ascii="宋体" w:hAnsi="宋体"/>
          <w:highlight w:val="none"/>
        </w:rPr>
      </w:pPr>
      <w:bookmarkStart w:id="34" w:name="_Toc35393802"/>
      <w:bookmarkStart w:id="35" w:name="_Toc35393633"/>
      <w:bookmarkStart w:id="36" w:name="_Toc28359093"/>
      <w:bookmarkStart w:id="37" w:name="_Toc28359016"/>
      <w:bookmarkStart w:id="38" w:name="_Toc44229882"/>
      <w:bookmarkStart w:id="39" w:name="_Toc117860037"/>
      <w:bookmarkStart w:id="40" w:name="_Toc1792"/>
      <w:bookmarkStart w:id="41" w:name="_Toc16897"/>
      <w:r>
        <w:rPr>
          <w:rFonts w:hint="eastAsia" w:ascii="宋体" w:hAnsi="宋体"/>
          <w:highlight w:val="none"/>
        </w:rPr>
        <w:t>五、</w:t>
      </w:r>
      <w:bookmarkEnd w:id="34"/>
      <w:bookmarkEnd w:id="35"/>
      <w:bookmarkEnd w:id="36"/>
      <w:bookmarkEnd w:id="37"/>
      <w:bookmarkEnd w:id="38"/>
      <w:r>
        <w:rPr>
          <w:rFonts w:hint="eastAsia" w:ascii="宋体" w:hAnsi="宋体"/>
          <w:highlight w:val="none"/>
        </w:rPr>
        <w:t>响应文件开启</w:t>
      </w:r>
      <w:bookmarkEnd w:id="39"/>
      <w:bookmarkEnd w:id="40"/>
      <w:bookmarkEnd w:id="41"/>
    </w:p>
    <w:p w14:paraId="528DB7F1">
      <w:pPr>
        <w:pageBreakBefore w:val="0"/>
        <w:widowControl w:val="0"/>
        <w:kinsoku/>
        <w:overflowPunct/>
        <w:autoSpaceDE/>
        <w:autoSpaceDN/>
        <w:bidi w:val="0"/>
        <w:adjustRightInd/>
        <w:snapToGrid/>
        <w:spacing w:line="360" w:lineRule="exact"/>
        <w:ind w:firstLine="420" w:firstLineChars="200"/>
        <w:textAlignment w:val="auto"/>
        <w:rPr>
          <w:rFonts w:ascii="宋体" w:hAnsi="宋体"/>
          <w:bCs/>
          <w:szCs w:val="21"/>
          <w:highlight w:val="none"/>
          <w:u w:val="single"/>
        </w:rPr>
      </w:pPr>
      <w:r>
        <w:rPr>
          <w:rFonts w:hint="eastAsia" w:ascii="宋体" w:hAnsi="宋体" w:cs="宋体"/>
          <w:bCs/>
          <w:szCs w:val="21"/>
          <w:highlight w:val="none"/>
        </w:rPr>
        <w:t>开启时间</w:t>
      </w:r>
      <w:r>
        <w:rPr>
          <w:rFonts w:hint="eastAsia" w:ascii="宋体" w:hAnsi="宋体"/>
          <w:szCs w:val="21"/>
          <w:highlight w:val="none"/>
        </w:rPr>
        <w:t>：</w:t>
      </w:r>
      <w:r>
        <w:rPr>
          <w:rFonts w:ascii="宋体" w:hAnsi="宋体"/>
          <w:szCs w:val="21"/>
          <w:highlight w:val="none"/>
        </w:rPr>
        <w:t>202</w:t>
      </w:r>
      <w:r>
        <w:rPr>
          <w:rFonts w:hint="eastAsia" w:ascii="宋体" w:hAnsi="宋体"/>
          <w:szCs w:val="21"/>
          <w:highlight w:val="none"/>
          <w:lang w:val="en-US" w:eastAsia="zh-CN"/>
        </w:rPr>
        <w:t>6</w:t>
      </w:r>
      <w:r>
        <w:rPr>
          <w:rFonts w:hint="eastAsia" w:ascii="宋体" w:hAnsi="宋体"/>
          <w:bCs/>
          <w:szCs w:val="21"/>
          <w:highlight w:val="none"/>
        </w:rPr>
        <w:t>年</w:t>
      </w:r>
      <w:r>
        <w:rPr>
          <w:rFonts w:hint="eastAsia" w:ascii="宋体" w:hAnsi="宋体"/>
          <w:bCs/>
          <w:szCs w:val="21"/>
          <w:highlight w:val="none"/>
          <w:lang w:val="en-US" w:eastAsia="zh-CN"/>
        </w:rPr>
        <w:t>7</w:t>
      </w:r>
      <w:r>
        <w:rPr>
          <w:rFonts w:hint="eastAsia" w:ascii="宋体" w:hAnsi="宋体"/>
          <w:bCs/>
          <w:szCs w:val="21"/>
          <w:highlight w:val="none"/>
        </w:rPr>
        <w:t>月</w:t>
      </w:r>
      <w:r>
        <w:rPr>
          <w:rFonts w:hint="eastAsia" w:ascii="宋体" w:hAnsi="宋体"/>
          <w:bCs/>
          <w:szCs w:val="21"/>
          <w:highlight w:val="none"/>
          <w:lang w:val="en-US" w:eastAsia="zh-CN"/>
        </w:rPr>
        <w:t>1</w:t>
      </w:r>
      <w:r>
        <w:rPr>
          <w:rFonts w:hint="eastAsia" w:ascii="宋体" w:hAnsi="宋体"/>
          <w:bCs/>
          <w:szCs w:val="21"/>
          <w:highlight w:val="none"/>
        </w:rPr>
        <w:t>日</w:t>
      </w:r>
      <w:r>
        <w:rPr>
          <w:rFonts w:hint="eastAsia" w:ascii="宋体" w:hAnsi="宋体"/>
          <w:szCs w:val="21"/>
          <w:highlight w:val="none"/>
        </w:rPr>
        <w:t>9时</w:t>
      </w:r>
      <w:r>
        <w:rPr>
          <w:rFonts w:hint="eastAsia" w:ascii="宋体" w:hAnsi="宋体"/>
          <w:szCs w:val="21"/>
          <w:highlight w:val="none"/>
          <w:lang w:val="en-US" w:eastAsia="zh-CN"/>
        </w:rPr>
        <w:t>2</w:t>
      </w:r>
      <w:r>
        <w:rPr>
          <w:rFonts w:hint="eastAsia" w:ascii="宋体" w:hAnsi="宋体"/>
          <w:szCs w:val="21"/>
          <w:highlight w:val="none"/>
        </w:rPr>
        <w:t>0分</w:t>
      </w:r>
      <w:r>
        <w:rPr>
          <w:rFonts w:hint="eastAsia" w:ascii="宋体" w:hAnsi="宋体"/>
          <w:bCs/>
          <w:szCs w:val="21"/>
          <w:highlight w:val="none"/>
        </w:rPr>
        <w:t>（北京时间）</w:t>
      </w:r>
    </w:p>
    <w:p w14:paraId="42CD9917">
      <w:pPr>
        <w:pageBreakBefore w:val="0"/>
        <w:widowControl w:val="0"/>
        <w:kinsoku/>
        <w:overflowPunct/>
        <w:autoSpaceDE/>
        <w:autoSpaceDN/>
        <w:bidi w:val="0"/>
        <w:adjustRightInd/>
        <w:snapToGrid/>
        <w:spacing w:line="360" w:lineRule="exact"/>
        <w:ind w:firstLine="420" w:firstLineChars="200"/>
        <w:textAlignment w:val="auto"/>
        <w:rPr>
          <w:rFonts w:ascii="宋体" w:hAnsi="宋体"/>
          <w:bCs/>
          <w:szCs w:val="21"/>
          <w:highlight w:val="none"/>
          <w:u w:val="single"/>
        </w:rPr>
      </w:pPr>
      <w:r>
        <w:rPr>
          <w:rFonts w:hint="eastAsia" w:ascii="宋体" w:hAnsi="宋体"/>
          <w:szCs w:val="21"/>
          <w:highlight w:val="none"/>
        </w:rPr>
        <w:t>地点：广西政府采购云平台（https://www.gcy.zfcg.gxzf.gov.cn/）</w:t>
      </w:r>
    </w:p>
    <w:p w14:paraId="31FF1DB8">
      <w:pPr>
        <w:pStyle w:val="2"/>
        <w:pageBreakBefore w:val="0"/>
        <w:widowControl w:val="0"/>
        <w:kinsoku/>
        <w:overflowPunct/>
        <w:autoSpaceDE/>
        <w:autoSpaceDN/>
        <w:bidi w:val="0"/>
        <w:adjustRightInd/>
        <w:snapToGrid/>
        <w:spacing w:line="360" w:lineRule="exact"/>
        <w:textAlignment w:val="auto"/>
        <w:rPr>
          <w:rFonts w:ascii="宋体" w:hAnsi="宋体"/>
          <w:highlight w:val="none"/>
        </w:rPr>
      </w:pPr>
      <w:bookmarkStart w:id="42" w:name="_Toc44229883"/>
      <w:bookmarkStart w:id="43" w:name="_Toc117860038"/>
      <w:bookmarkStart w:id="44" w:name="_Toc3477"/>
      <w:bookmarkStart w:id="45" w:name="_Toc28359094"/>
      <w:bookmarkStart w:id="46" w:name="_Toc35393803"/>
      <w:bookmarkStart w:id="47" w:name="_Toc35393634"/>
      <w:bookmarkStart w:id="48" w:name="_Toc28359017"/>
      <w:bookmarkStart w:id="49" w:name="_Toc11137"/>
      <w:r>
        <w:rPr>
          <w:rFonts w:hint="eastAsia" w:ascii="宋体" w:hAnsi="宋体"/>
          <w:highlight w:val="none"/>
        </w:rPr>
        <w:t>六、公告期限</w:t>
      </w:r>
      <w:bookmarkEnd w:id="42"/>
      <w:bookmarkEnd w:id="43"/>
      <w:bookmarkEnd w:id="44"/>
      <w:bookmarkEnd w:id="45"/>
      <w:bookmarkEnd w:id="46"/>
      <w:bookmarkEnd w:id="47"/>
      <w:bookmarkEnd w:id="48"/>
      <w:bookmarkEnd w:id="49"/>
    </w:p>
    <w:bookmarkEnd w:id="280"/>
    <w:p w14:paraId="4BABFCCC">
      <w:pPr>
        <w:pageBreakBefore w:val="0"/>
        <w:widowControl w:val="0"/>
        <w:kinsoku/>
        <w:overflowPunct/>
        <w:autoSpaceDE/>
        <w:autoSpaceDN/>
        <w:bidi w:val="0"/>
        <w:adjustRightInd/>
        <w:snapToGrid/>
        <w:spacing w:line="360" w:lineRule="exact"/>
        <w:ind w:firstLine="420" w:firstLineChars="200"/>
        <w:textAlignment w:val="auto"/>
        <w:rPr>
          <w:rFonts w:ascii="宋体" w:hAnsi="宋体" w:cs="宋体"/>
          <w:kern w:val="0"/>
          <w:szCs w:val="21"/>
          <w:highlight w:val="none"/>
        </w:rPr>
      </w:pPr>
      <w:r>
        <w:rPr>
          <w:rFonts w:hint="eastAsia" w:ascii="宋体" w:hAnsi="宋体" w:cs="宋体"/>
          <w:kern w:val="0"/>
          <w:szCs w:val="21"/>
          <w:highlight w:val="none"/>
        </w:rPr>
        <w:t>自本公告发布之日起</w:t>
      </w:r>
      <w:r>
        <w:rPr>
          <w:rFonts w:hint="eastAsia" w:ascii="宋体" w:hAnsi="宋体" w:cs="宋体"/>
          <w:kern w:val="0"/>
          <w:szCs w:val="21"/>
          <w:highlight w:val="none"/>
          <w:lang w:val="en-US" w:eastAsia="zh-CN"/>
        </w:rPr>
        <w:t>5</w:t>
      </w:r>
      <w:r>
        <w:rPr>
          <w:rFonts w:hint="eastAsia" w:ascii="宋体" w:hAnsi="宋体" w:cs="宋体"/>
          <w:kern w:val="0"/>
          <w:szCs w:val="21"/>
          <w:highlight w:val="none"/>
        </w:rPr>
        <w:t>个工作日。</w:t>
      </w:r>
    </w:p>
    <w:p w14:paraId="6FDCB52C">
      <w:pPr>
        <w:pStyle w:val="2"/>
        <w:pageBreakBefore w:val="0"/>
        <w:widowControl w:val="0"/>
        <w:kinsoku/>
        <w:overflowPunct/>
        <w:autoSpaceDE/>
        <w:autoSpaceDN/>
        <w:bidi w:val="0"/>
        <w:adjustRightInd/>
        <w:snapToGrid/>
        <w:spacing w:line="360" w:lineRule="exact"/>
        <w:textAlignment w:val="auto"/>
        <w:rPr>
          <w:rFonts w:ascii="宋体" w:hAnsi="宋体"/>
          <w:highlight w:val="none"/>
        </w:rPr>
      </w:pPr>
      <w:bookmarkStart w:id="50" w:name="_Toc117860039"/>
      <w:bookmarkStart w:id="51" w:name="_Toc18517"/>
      <w:bookmarkStart w:id="52" w:name="_Toc35393635"/>
      <w:bookmarkStart w:id="53" w:name="_Toc35393804"/>
      <w:bookmarkStart w:id="54" w:name="_Toc44229884"/>
      <w:bookmarkStart w:id="55" w:name="_Toc5278"/>
      <w:r>
        <w:rPr>
          <w:rFonts w:hint="eastAsia" w:ascii="宋体" w:hAnsi="宋体"/>
          <w:highlight w:val="none"/>
        </w:rPr>
        <w:t>七、其他补充事宜</w:t>
      </w:r>
      <w:bookmarkEnd w:id="50"/>
      <w:bookmarkEnd w:id="51"/>
      <w:bookmarkEnd w:id="52"/>
      <w:bookmarkEnd w:id="53"/>
      <w:bookmarkEnd w:id="54"/>
      <w:bookmarkEnd w:id="55"/>
    </w:p>
    <w:p w14:paraId="141AFA24">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（一）磋商保证金：</w:t>
      </w:r>
    </w:p>
    <w:p w14:paraId="316267A1">
      <w:pPr>
        <w:pageBreakBefore w:val="0"/>
        <w:widowControl w:val="0"/>
        <w:kinsoku/>
        <w:overflowPunct/>
        <w:autoSpaceDE/>
        <w:autoSpaceDN/>
        <w:bidi w:val="0"/>
        <w:adjustRightInd/>
        <w:snapToGrid/>
        <w:spacing w:line="360" w:lineRule="exact"/>
        <w:ind w:firstLine="420" w:firstLineChars="200"/>
        <w:textAlignment w:val="auto"/>
        <w:rPr>
          <w:rFonts w:hint="default" w:ascii="宋体" w:hAnsi="宋体" w:eastAsia="宋体" w:cs="宋体"/>
          <w:kern w:val="0"/>
          <w:szCs w:val="21"/>
          <w:highlight w:val="none"/>
          <w:lang w:val="en-US" w:eastAsia="zh-CN"/>
        </w:rPr>
      </w:pPr>
      <w:r>
        <w:rPr>
          <w:rFonts w:hint="eastAsia" w:ascii="宋体" w:hAnsi="宋体" w:cs="宋体"/>
          <w:kern w:val="0"/>
          <w:szCs w:val="21"/>
          <w:highlight w:val="none"/>
        </w:rPr>
        <w:t>磋商保证金：</w:t>
      </w:r>
      <w:r>
        <w:rPr>
          <w:rFonts w:hint="eastAsia" w:ascii="宋体" w:hAnsi="宋体" w:cs="宋体"/>
          <w:kern w:val="0"/>
          <w:szCs w:val="21"/>
          <w:highlight w:val="none"/>
          <w:lang w:val="en-US" w:eastAsia="zh-CN"/>
        </w:rPr>
        <w:t>不需要提交</w:t>
      </w:r>
    </w:p>
    <w:p w14:paraId="111B9208">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cs="宋体"/>
          <w:kern w:val="0"/>
          <w:szCs w:val="21"/>
          <w:highlight w:val="none"/>
        </w:rPr>
      </w:pPr>
      <w:r>
        <w:rPr>
          <w:rFonts w:hint="eastAsia" w:ascii="宋体" w:hAnsi="宋体" w:cs="宋体"/>
          <w:kern w:val="0"/>
          <w:szCs w:val="21"/>
          <w:highlight w:val="none"/>
        </w:rPr>
        <w:t>（二）网上查询地址</w:t>
      </w:r>
    </w:p>
    <w:p w14:paraId="7C07A9A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s="宋体"/>
          <w:kern w:val="0"/>
          <w:szCs w:val="21"/>
          <w:highlight w:val="none"/>
        </w:rPr>
      </w:pPr>
      <w:r>
        <w:rPr>
          <w:rFonts w:hint="eastAsia" w:ascii="宋体" w:hAnsi="宋体" w:cs="宋体"/>
          <w:szCs w:val="21"/>
          <w:highlight w:val="none"/>
        </w:rPr>
        <w:t>广西壮族自治区政府采购网（zfcg.gxzf.gov.cn）、柳州市政府采购网（zfcg.lzscz.liuzhou.gov.cn）</w:t>
      </w:r>
      <w:r>
        <w:rPr>
          <w:rFonts w:hint="eastAsia" w:ascii="宋体" w:hAnsi="宋体" w:cs="宋体"/>
          <w:szCs w:val="21"/>
          <w:highlight w:val="none"/>
          <w:lang w:eastAsia="zh-CN"/>
        </w:rPr>
        <w:t>、</w:t>
      </w:r>
      <w:r>
        <w:rPr>
          <w:rFonts w:hint="eastAsia" w:ascii="宋体" w:hAnsi="宋体" w:eastAsia="宋体" w:cs="宋体"/>
          <w:kern w:val="0"/>
          <w:szCs w:val="21"/>
          <w:highlight w:val="none"/>
          <w:lang w:val="en-US" w:eastAsia="zh-CN"/>
        </w:rPr>
        <w:t>全国公共资源交易平台（广西.柳州） （ggzy.jgswj.gxzf.gov.cn。）</w:t>
      </w:r>
    </w:p>
    <w:p w14:paraId="3F73403B">
      <w:pPr>
        <w:pageBreakBefore w:val="0"/>
        <w:widowControl w:val="0"/>
        <w:kinsoku/>
        <w:overflowPunct/>
        <w:autoSpaceDE/>
        <w:autoSpaceDN/>
        <w:bidi w:val="0"/>
        <w:adjustRightInd/>
        <w:snapToGrid/>
        <w:spacing w:line="360" w:lineRule="exact"/>
        <w:ind w:firstLine="420" w:firstLineChars="200"/>
        <w:textAlignment w:val="auto"/>
        <w:rPr>
          <w:rFonts w:ascii="宋体" w:hAnsi="宋体" w:cs="宋体"/>
          <w:kern w:val="0"/>
          <w:szCs w:val="21"/>
          <w:highlight w:val="none"/>
        </w:rPr>
      </w:pPr>
      <w:r>
        <w:rPr>
          <w:rFonts w:hint="eastAsia" w:ascii="宋体" w:hAnsi="宋体"/>
          <w:szCs w:val="21"/>
          <w:highlight w:val="none"/>
        </w:rPr>
        <w:t>（三）</w:t>
      </w:r>
      <w:r>
        <w:rPr>
          <w:rFonts w:hint="eastAsia" w:ascii="宋体" w:hAnsi="宋体" w:cs="宋体"/>
          <w:kern w:val="0"/>
          <w:szCs w:val="21"/>
          <w:highlight w:val="none"/>
        </w:rPr>
        <w:t>本项目需要落实的政府采购政策</w:t>
      </w:r>
    </w:p>
    <w:p w14:paraId="721497BD">
      <w:pPr>
        <w:pageBreakBefore w:val="0"/>
        <w:widowControl w:val="0"/>
        <w:kinsoku/>
        <w:overflowPunct/>
        <w:topLinePunct/>
        <w:autoSpaceDE/>
        <w:autoSpaceDN/>
        <w:bidi w:val="0"/>
        <w:adjustRightInd/>
        <w:snapToGrid/>
        <w:spacing w:line="360" w:lineRule="exact"/>
        <w:ind w:firstLine="420" w:firstLineChars="200"/>
        <w:textAlignment w:val="auto"/>
        <w:rPr>
          <w:rFonts w:hint="eastAsia" w:ascii="宋体" w:hAnsi="宋体" w:cs="宋体"/>
          <w:szCs w:val="21"/>
          <w:highlight w:val="none"/>
        </w:rPr>
      </w:pPr>
      <w:bookmarkStart w:id="56" w:name="_Toc44229885"/>
      <w:bookmarkStart w:id="57" w:name="_Toc28359018"/>
      <w:bookmarkStart w:id="58" w:name="_Toc35393636"/>
      <w:bookmarkStart w:id="59" w:name="_Toc35393805"/>
      <w:bookmarkStart w:id="60" w:name="_Toc28359095"/>
      <w:r>
        <w:rPr>
          <w:rFonts w:hint="eastAsia" w:ascii="宋体" w:hAnsi="宋体" w:cs="宋体"/>
          <w:szCs w:val="21"/>
          <w:highlight w:val="none"/>
        </w:rPr>
        <w:t>本项目需要落实的政府采购政策：政府采购促进中小企业发展；政府采购支持采用本国产品的政策；强制采购、优先采购环境标志产品、节能产品；支持监狱企业发展；支持残疾人福利性单位发展政策。</w:t>
      </w:r>
    </w:p>
    <w:p w14:paraId="76212B47">
      <w:pPr>
        <w:pageBreakBefore w:val="0"/>
        <w:widowControl w:val="0"/>
        <w:numPr>
          <w:ilvl w:val="0"/>
          <w:numId w:val="3"/>
        </w:numPr>
        <w:kinsoku/>
        <w:overflowPunct/>
        <w:autoSpaceDE/>
        <w:autoSpaceDN/>
        <w:bidi w:val="0"/>
        <w:adjustRightInd/>
        <w:snapToGrid/>
        <w:spacing w:line="36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lang w:eastAsia="zh-Hans"/>
        </w:rPr>
        <w:t>供应商</w:t>
      </w:r>
      <w:r>
        <w:rPr>
          <w:rFonts w:hint="eastAsia" w:ascii="宋体" w:hAnsi="宋体" w:cs="宋体"/>
          <w:szCs w:val="21"/>
          <w:highlight w:val="none"/>
        </w:rPr>
        <w:t>参与电子</w:t>
      </w:r>
      <w:r>
        <w:rPr>
          <w:rFonts w:hint="eastAsia" w:ascii="宋体" w:hAnsi="宋体" w:cs="宋体"/>
          <w:szCs w:val="21"/>
          <w:highlight w:val="none"/>
          <w:lang w:eastAsia="zh-Hans"/>
        </w:rPr>
        <w:t>竞标</w:t>
      </w:r>
      <w:r>
        <w:rPr>
          <w:rFonts w:hint="eastAsia" w:ascii="宋体" w:hAnsi="宋体" w:cs="宋体"/>
          <w:szCs w:val="21"/>
          <w:highlight w:val="none"/>
        </w:rPr>
        <w:t>特别说明</w:t>
      </w:r>
      <w:bookmarkStart w:id="61" w:name="_Toc18404"/>
      <w:bookmarkStart w:id="62" w:name="_Toc117860040"/>
    </w:p>
    <w:p w14:paraId="6406CDF8">
      <w:pPr>
        <w:pageBreakBefore w:val="0"/>
        <w:widowControl w:val="0"/>
        <w:numPr>
          <w:ilvl w:val="0"/>
          <w:numId w:val="4"/>
        </w:numPr>
        <w:kinsoku/>
        <w:overflowPunct/>
        <w:autoSpaceDE/>
        <w:autoSpaceDN/>
        <w:bidi w:val="0"/>
        <w:adjustRightInd/>
        <w:snapToGrid/>
        <w:spacing w:line="360" w:lineRule="exac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本项目为全流程电子化采购项目，通过广西政府采购云平台（https://www.gcy.zfcg.gxzf.gov.cn/）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r>
        <w:rPr>
          <w:rFonts w:hint="eastAsia" w:ascii="宋体" w:hAnsi="宋体" w:eastAsia="宋体" w:cs="宋体"/>
          <w:b w:val="0"/>
          <w:bCs w:val="0"/>
          <w:kern w:val="2"/>
          <w:sz w:val="21"/>
          <w:szCs w:val="21"/>
          <w:highlight w:val="none"/>
          <w:lang w:val="en-US" w:eastAsia="zh-CN" w:bidi="ar-SA"/>
        </w:rPr>
        <w:br w:type="textWrapping"/>
      </w:r>
      <w:r>
        <w:rPr>
          <w:rFonts w:hint="eastAsia" w:ascii="宋体" w:hAnsi="宋体" w:eastAsia="宋体" w:cs="宋体"/>
          <w:b w:val="0"/>
          <w:bCs w:val="0"/>
          <w:kern w:val="2"/>
          <w:sz w:val="21"/>
          <w:szCs w:val="21"/>
          <w:highlight w:val="none"/>
          <w:lang w:val="en-US" w:eastAsia="zh-CN" w:bidi="ar-SA"/>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广西政府采购云平台，依次进入“服务中心-入驻与配置”中查看CA数字证书办理操作流程。如在操作过程中遇到问题或者需要技术支持，请致电广西政府采购云平台客服热线：95763）。</w:t>
      </w:r>
      <w:r>
        <w:rPr>
          <w:rFonts w:hint="eastAsia" w:ascii="宋体" w:hAnsi="宋体" w:eastAsia="宋体" w:cs="宋体"/>
          <w:b w:val="0"/>
          <w:bCs w:val="0"/>
          <w:kern w:val="2"/>
          <w:sz w:val="21"/>
          <w:szCs w:val="21"/>
          <w:highlight w:val="none"/>
          <w:lang w:val="en-US" w:eastAsia="zh-CN" w:bidi="ar-SA"/>
        </w:rPr>
        <w:br w:type="textWrapping"/>
      </w:r>
      <w:r>
        <w:rPr>
          <w:rFonts w:hint="eastAsia" w:ascii="宋体" w:hAnsi="宋体" w:eastAsia="宋体" w:cs="宋体"/>
          <w:b w:val="0"/>
          <w:bCs w:val="0"/>
          <w:kern w:val="2"/>
          <w:sz w:val="21"/>
          <w:szCs w:val="21"/>
          <w:highlight w:val="none"/>
          <w:lang w:val="en-US" w:eastAsia="zh-CN" w:bidi="ar-SA"/>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b w:val="0"/>
          <w:bCs w:val="0"/>
          <w:kern w:val="2"/>
          <w:sz w:val="21"/>
          <w:szCs w:val="21"/>
          <w:highlight w:val="none"/>
          <w:lang w:val="en-US" w:eastAsia="zh-CN" w:bidi="ar-SA"/>
        </w:rPr>
        <w:br w:type="textWrapping"/>
      </w:r>
      <w:r>
        <w:rPr>
          <w:rFonts w:hint="eastAsia" w:ascii="宋体" w:hAnsi="宋体" w:eastAsia="宋体" w:cs="宋体"/>
          <w:b w:val="0"/>
          <w:bCs w:val="0"/>
          <w:kern w:val="2"/>
          <w:sz w:val="21"/>
          <w:szCs w:val="21"/>
          <w:highlight w:val="none"/>
          <w:lang w:val="en-US" w:eastAsia="zh-CN" w:bidi="ar-SA"/>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eastAsia="宋体" w:cs="宋体"/>
          <w:b w:val="0"/>
          <w:bCs w:val="0"/>
          <w:kern w:val="2"/>
          <w:sz w:val="21"/>
          <w:szCs w:val="21"/>
          <w:highlight w:val="none"/>
          <w:lang w:val="en-US" w:eastAsia="zh-CN" w:bidi="ar-SA"/>
        </w:rPr>
        <w:br w:type="textWrapping"/>
      </w:r>
      <w:r>
        <w:rPr>
          <w:rFonts w:hint="eastAsia" w:ascii="宋体" w:hAnsi="宋体" w:eastAsia="宋体" w:cs="宋体"/>
          <w:b w:val="0"/>
          <w:bCs w:val="0"/>
          <w:kern w:val="2"/>
          <w:sz w:val="21"/>
          <w:szCs w:val="21"/>
          <w:highlight w:val="none"/>
          <w:lang w:val="en-US" w:eastAsia="zh-CN" w:bidi="ar-SA"/>
        </w:rPr>
        <w:t>（4）供应商需要在具备有摄像头及语音功能且互联网网络状况良好的电脑登录广西政府采购云平台远程开标大厅参与本次磋商，否则后果自负。</w:t>
      </w:r>
    </w:p>
    <w:p w14:paraId="4FC171B0">
      <w:pPr>
        <w:pageBreakBefore w:val="0"/>
        <w:widowControl w:val="0"/>
        <w:numPr>
          <w:ilvl w:val="0"/>
          <w:numId w:val="0"/>
        </w:numPr>
        <w:kinsoku/>
        <w:overflowPunct/>
        <w:autoSpaceDE/>
        <w:autoSpaceDN/>
        <w:bidi w:val="0"/>
        <w:adjustRightInd/>
        <w:snapToGrid/>
        <w:spacing w:line="360" w:lineRule="exac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八、凡对本次采购提出询问，请按以下方式联系。</w:t>
      </w:r>
      <w:bookmarkEnd w:id="56"/>
      <w:bookmarkEnd w:id="57"/>
      <w:bookmarkEnd w:id="58"/>
      <w:bookmarkEnd w:id="59"/>
      <w:bookmarkEnd w:id="60"/>
      <w:bookmarkEnd w:id="61"/>
      <w:bookmarkEnd w:id="62"/>
    </w:p>
    <w:p w14:paraId="08F55574">
      <w:pPr>
        <w:pageBreakBefore w:val="0"/>
        <w:widowControl w:val="0"/>
        <w:kinsoku/>
        <w:overflowPunct/>
        <w:autoSpaceDE/>
        <w:autoSpaceDN/>
        <w:bidi w:val="0"/>
        <w:adjustRightInd/>
        <w:snapToGrid/>
        <w:spacing w:line="360" w:lineRule="exact"/>
        <w:ind w:firstLine="420" w:firstLineChars="200"/>
        <w:textAlignment w:val="auto"/>
        <w:rPr>
          <w:rFonts w:ascii="宋体" w:hAnsi="宋体" w:cs="宋体"/>
          <w:kern w:val="0"/>
          <w:szCs w:val="21"/>
          <w:highlight w:val="none"/>
        </w:rPr>
      </w:pPr>
      <w:bookmarkStart w:id="63" w:name="_Toc35393637"/>
      <w:bookmarkStart w:id="64" w:name="_Toc35393806"/>
      <w:bookmarkStart w:id="65" w:name="_Toc28359019"/>
      <w:bookmarkStart w:id="66" w:name="_Toc28359096"/>
      <w:r>
        <w:rPr>
          <w:rFonts w:hint="eastAsia" w:ascii="宋体" w:hAnsi="宋体" w:cs="宋体"/>
          <w:kern w:val="0"/>
          <w:szCs w:val="21"/>
          <w:highlight w:val="none"/>
        </w:rPr>
        <w:t>1.采购人信息</w:t>
      </w:r>
      <w:bookmarkEnd w:id="63"/>
      <w:bookmarkEnd w:id="64"/>
      <w:bookmarkEnd w:id="65"/>
      <w:bookmarkEnd w:id="66"/>
    </w:p>
    <w:p w14:paraId="3B2C3973">
      <w:pPr>
        <w:pageBreakBefore w:val="0"/>
        <w:widowControl w:val="0"/>
        <w:kinsoku/>
        <w:overflowPunct/>
        <w:autoSpaceDE/>
        <w:autoSpaceDN/>
        <w:bidi w:val="0"/>
        <w:adjustRightInd/>
        <w:snapToGrid/>
        <w:spacing w:line="360" w:lineRule="exact"/>
        <w:ind w:firstLine="420" w:firstLineChars="200"/>
        <w:jc w:val="left"/>
        <w:textAlignment w:val="auto"/>
        <w:rPr>
          <w:rFonts w:hint="eastAsia" w:ascii="宋体" w:hAnsi="宋体" w:eastAsia="宋体"/>
          <w:szCs w:val="21"/>
          <w:highlight w:val="none"/>
          <w:lang w:eastAsia="zh-CN"/>
        </w:rPr>
      </w:pPr>
      <w:bookmarkStart w:id="67" w:name="_Toc35393807"/>
      <w:bookmarkStart w:id="68" w:name="_Toc28359020"/>
      <w:bookmarkStart w:id="69" w:name="_Toc35393638"/>
      <w:bookmarkStart w:id="70" w:name="_Toc28359097"/>
      <w:r>
        <w:rPr>
          <w:rFonts w:hint="eastAsia" w:ascii="宋体" w:hAnsi="宋体"/>
          <w:szCs w:val="21"/>
          <w:highlight w:val="none"/>
        </w:rPr>
        <w:t>名    称：</w:t>
      </w:r>
      <w:r>
        <w:rPr>
          <w:rFonts w:hint="eastAsia" w:ascii="宋体" w:hAnsi="宋体"/>
          <w:szCs w:val="21"/>
          <w:highlight w:val="none"/>
          <w:lang w:eastAsia="zh-CN"/>
        </w:rPr>
        <w:t>融安县水利局</w:t>
      </w:r>
    </w:p>
    <w:p w14:paraId="6839A19B">
      <w:pPr>
        <w:pageBreakBefore w:val="0"/>
        <w:widowControl w:val="0"/>
        <w:kinsoku/>
        <w:overflowPunct/>
        <w:autoSpaceDE/>
        <w:autoSpaceDN/>
        <w:bidi w:val="0"/>
        <w:adjustRightInd/>
        <w:snapToGrid/>
        <w:spacing w:line="360" w:lineRule="exact"/>
        <w:ind w:firstLine="420" w:firstLineChars="200"/>
        <w:jc w:val="left"/>
        <w:textAlignment w:val="auto"/>
        <w:rPr>
          <w:rFonts w:hint="eastAsia" w:ascii="宋体" w:hAnsi="宋体"/>
          <w:szCs w:val="21"/>
          <w:highlight w:val="none"/>
        </w:rPr>
      </w:pPr>
      <w:r>
        <w:rPr>
          <w:rFonts w:hint="eastAsia" w:ascii="宋体" w:hAnsi="宋体"/>
          <w:szCs w:val="21"/>
          <w:highlight w:val="none"/>
        </w:rPr>
        <w:t>地    址：</w:t>
      </w:r>
      <w:r>
        <w:rPr>
          <w:rFonts w:hint="eastAsia" w:ascii="宋体" w:hAnsi="宋体"/>
          <w:szCs w:val="21"/>
          <w:highlight w:val="none"/>
          <w:lang w:val="en-US" w:eastAsia="zh-CN"/>
        </w:rPr>
        <w:t>融安县长安镇东兴路65号</w:t>
      </w:r>
    </w:p>
    <w:p w14:paraId="6C9F4765">
      <w:pPr>
        <w:pageBreakBefore w:val="0"/>
        <w:widowControl w:val="0"/>
        <w:kinsoku/>
        <w:overflowPunct/>
        <w:autoSpaceDE/>
        <w:autoSpaceDN/>
        <w:bidi w:val="0"/>
        <w:adjustRightInd/>
        <w:snapToGrid/>
        <w:spacing w:line="360" w:lineRule="exact"/>
        <w:ind w:firstLine="420" w:firstLineChars="200"/>
        <w:jc w:val="left"/>
        <w:textAlignment w:val="auto"/>
        <w:rPr>
          <w:rFonts w:hint="eastAsia" w:ascii="宋体" w:hAnsi="宋体" w:eastAsia="宋体"/>
          <w:szCs w:val="21"/>
          <w:highlight w:val="none"/>
          <w:lang w:val="en-US" w:eastAsia="zh-CN"/>
        </w:rPr>
      </w:pPr>
      <w:r>
        <w:rPr>
          <w:rFonts w:hint="eastAsia" w:ascii="宋体" w:hAnsi="宋体"/>
          <w:szCs w:val="21"/>
          <w:highlight w:val="none"/>
        </w:rPr>
        <w:t>项目联系人：</w:t>
      </w:r>
      <w:r>
        <w:rPr>
          <w:rFonts w:hint="eastAsia" w:ascii="宋体" w:hAnsi="宋体"/>
          <w:szCs w:val="21"/>
          <w:highlight w:val="none"/>
          <w:lang w:val="en-US" w:eastAsia="zh-CN"/>
        </w:rPr>
        <w:t xml:space="preserve">韦素云 </w:t>
      </w:r>
    </w:p>
    <w:p w14:paraId="4A742D3A">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szCs w:val="21"/>
          <w:highlight w:val="none"/>
          <w:lang w:val="en-US" w:eastAsia="zh-CN"/>
        </w:rPr>
      </w:pPr>
      <w:r>
        <w:rPr>
          <w:rFonts w:hint="eastAsia" w:ascii="宋体" w:hAnsi="宋体"/>
          <w:szCs w:val="21"/>
          <w:highlight w:val="none"/>
        </w:rPr>
        <w:t>联系方式</w:t>
      </w:r>
      <w:r>
        <w:rPr>
          <w:rFonts w:hint="eastAsia" w:ascii="宋体" w:hAnsi="宋体"/>
          <w:szCs w:val="21"/>
          <w:highlight w:val="none"/>
          <w:lang w:eastAsia="zh-CN"/>
        </w:rPr>
        <w:t>：18178820661</w:t>
      </w:r>
      <w:r>
        <w:rPr>
          <w:rFonts w:hint="eastAsia" w:ascii="宋体" w:hAnsi="宋体"/>
          <w:szCs w:val="21"/>
          <w:highlight w:val="none"/>
          <w:lang w:val="en-US" w:eastAsia="zh-CN"/>
        </w:rPr>
        <w:t xml:space="preserve"> </w:t>
      </w:r>
    </w:p>
    <w:p w14:paraId="2E25AD18">
      <w:pPr>
        <w:pageBreakBefore w:val="0"/>
        <w:widowControl w:val="0"/>
        <w:kinsoku/>
        <w:overflowPunct/>
        <w:autoSpaceDE/>
        <w:autoSpaceDN/>
        <w:bidi w:val="0"/>
        <w:adjustRightInd/>
        <w:snapToGrid/>
        <w:spacing w:line="360" w:lineRule="exact"/>
        <w:ind w:firstLine="420" w:firstLineChars="200"/>
        <w:textAlignment w:val="auto"/>
        <w:rPr>
          <w:rFonts w:ascii="宋体" w:hAnsi="宋体" w:cs="宋体"/>
          <w:kern w:val="0"/>
          <w:szCs w:val="21"/>
          <w:highlight w:val="none"/>
        </w:rPr>
      </w:pPr>
      <w:r>
        <w:rPr>
          <w:rFonts w:hint="eastAsia" w:ascii="宋体" w:hAnsi="宋体" w:cs="宋体"/>
          <w:kern w:val="0"/>
          <w:szCs w:val="21"/>
          <w:highlight w:val="none"/>
        </w:rPr>
        <w:t>2.采购代理机构信息</w:t>
      </w:r>
      <w:bookmarkEnd w:id="67"/>
      <w:bookmarkEnd w:id="68"/>
      <w:bookmarkEnd w:id="69"/>
      <w:bookmarkEnd w:id="70"/>
    </w:p>
    <w:p w14:paraId="1BB46C6E">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eastAsia="宋体"/>
          <w:szCs w:val="21"/>
          <w:highlight w:val="none"/>
          <w:lang w:eastAsia="zh-CN"/>
        </w:rPr>
      </w:pPr>
      <w:r>
        <w:rPr>
          <w:rFonts w:hint="eastAsia" w:ascii="宋体" w:hAnsi="宋体"/>
          <w:szCs w:val="21"/>
          <w:highlight w:val="none"/>
        </w:rPr>
        <w:t>名    称：</w:t>
      </w:r>
      <w:r>
        <w:rPr>
          <w:rFonts w:hint="eastAsia" w:ascii="宋体" w:hAnsi="宋体"/>
          <w:szCs w:val="21"/>
          <w:highlight w:val="none"/>
          <w:lang w:eastAsia="zh-CN"/>
        </w:rPr>
        <w:t>广西恒盛工程集团有限公司</w:t>
      </w:r>
    </w:p>
    <w:p w14:paraId="314F3A35">
      <w:pPr>
        <w:pageBreakBefore w:val="0"/>
        <w:widowControl w:val="0"/>
        <w:kinsoku/>
        <w:overflowPunct/>
        <w:autoSpaceDE/>
        <w:autoSpaceDN/>
        <w:bidi w:val="0"/>
        <w:adjustRightInd/>
        <w:snapToGrid/>
        <w:spacing w:line="360" w:lineRule="exact"/>
        <w:ind w:firstLine="420" w:firstLineChars="200"/>
        <w:textAlignment w:val="auto"/>
        <w:rPr>
          <w:rFonts w:hint="eastAsia" w:ascii="宋体" w:hAnsi="宋体"/>
          <w:szCs w:val="21"/>
          <w:highlight w:val="none"/>
        </w:rPr>
      </w:pPr>
      <w:r>
        <w:rPr>
          <w:rFonts w:hint="eastAsia" w:ascii="宋体" w:hAnsi="宋体"/>
          <w:szCs w:val="21"/>
          <w:highlight w:val="none"/>
        </w:rPr>
        <w:t>地　　址：</w:t>
      </w:r>
      <w:r>
        <w:rPr>
          <w:rFonts w:hint="eastAsia" w:ascii="宋体" w:hAnsi="宋体"/>
          <w:szCs w:val="21"/>
          <w:highlight w:val="none"/>
          <w:lang w:val="en-US" w:eastAsia="zh-CN"/>
        </w:rPr>
        <w:t xml:space="preserve">广西壮族自治区柳州市柳南区柳工大道86号友昇物流园至善楼4009、4011号 </w:t>
      </w:r>
    </w:p>
    <w:p w14:paraId="1EC46983">
      <w:pPr>
        <w:pageBreakBefore w:val="0"/>
        <w:widowControl w:val="0"/>
        <w:kinsoku/>
        <w:overflowPunct/>
        <w:autoSpaceDE/>
        <w:autoSpaceDN/>
        <w:bidi w:val="0"/>
        <w:adjustRightInd/>
        <w:snapToGrid/>
        <w:spacing w:line="360" w:lineRule="exact"/>
        <w:ind w:firstLine="420" w:firstLineChars="200"/>
        <w:textAlignment w:val="auto"/>
        <w:rPr>
          <w:rFonts w:ascii="宋体" w:hAnsi="宋体"/>
          <w:szCs w:val="21"/>
          <w:u w:val="single"/>
        </w:rPr>
      </w:pPr>
      <w:r>
        <w:rPr>
          <w:rFonts w:hint="eastAsia" w:ascii="宋体" w:hAnsi="宋体"/>
          <w:szCs w:val="21"/>
        </w:rPr>
        <w:t>联系方式：</w:t>
      </w:r>
      <w:r>
        <w:rPr>
          <w:rFonts w:hint="eastAsia" w:ascii="宋体" w:hAnsi="宋体"/>
          <w:szCs w:val="21"/>
          <w:lang w:val="en-US" w:eastAsia="zh-CN"/>
        </w:rPr>
        <w:t>13977290071</w:t>
      </w:r>
    </w:p>
    <w:p w14:paraId="239CEFE5">
      <w:pPr>
        <w:pStyle w:val="13"/>
        <w:pageBreakBefore w:val="0"/>
        <w:widowControl w:val="0"/>
        <w:kinsoku/>
        <w:overflowPunct/>
        <w:autoSpaceDE/>
        <w:autoSpaceDN/>
        <w:bidi w:val="0"/>
        <w:adjustRightInd/>
        <w:snapToGrid/>
        <w:spacing w:line="360" w:lineRule="exact"/>
        <w:ind w:firstLine="420" w:firstLineChars="200"/>
        <w:textAlignment w:val="auto"/>
        <w:rPr>
          <w:rFonts w:hint="eastAsia" w:hAnsi="宋体"/>
          <w:sz w:val="21"/>
          <w:lang w:val="en-US" w:eastAsia="zh-CN"/>
        </w:rPr>
      </w:pPr>
      <w:r>
        <w:rPr>
          <w:rFonts w:hint="eastAsia" w:hAnsi="宋体"/>
          <w:sz w:val="21"/>
        </w:rPr>
        <w:t>项目联系人：</w:t>
      </w:r>
      <w:r>
        <w:rPr>
          <w:rFonts w:hint="eastAsia" w:hAnsi="宋体"/>
          <w:sz w:val="21"/>
          <w:lang w:val="en-US" w:eastAsia="zh-CN"/>
        </w:rPr>
        <w:t>黄圆</w:t>
      </w:r>
    </w:p>
    <w:bookmarkEnd w:id="1"/>
    <w:p w14:paraId="61E95B62">
      <w:pPr>
        <w:pageBreakBefore w:val="0"/>
        <w:widowControl w:val="0"/>
        <w:kinsoku/>
        <w:overflowPunct/>
        <w:autoSpaceDE/>
        <w:autoSpaceDN/>
        <w:bidi w:val="0"/>
        <w:adjustRightInd/>
        <w:snapToGrid/>
        <w:spacing w:line="360" w:lineRule="exact"/>
        <w:ind w:firstLine="480" w:firstLineChars="200"/>
        <w:textAlignment w:val="auto"/>
        <w:rPr>
          <w:rFonts w:hint="eastAsia" w:ascii="宋体" w:hAnsi="宋体" w:eastAsia="宋体" w:cs="宋体"/>
          <w:sz w:val="24"/>
          <w:szCs w:val="24"/>
          <w:highlight w:val="none"/>
          <w:u w:val="none"/>
          <w:lang w:eastAsia="zh-CN"/>
        </w:rPr>
      </w:pPr>
    </w:p>
    <w:p w14:paraId="005B1410">
      <w:pPr>
        <w:pStyle w:val="9"/>
        <w:rPr>
          <w:rFonts w:hint="eastAsia"/>
          <w:lang w:eastAsia="zh-CN"/>
        </w:rPr>
      </w:pPr>
    </w:p>
    <w:p w14:paraId="33D58BFA">
      <w:pPr>
        <w:pageBreakBefore w:val="0"/>
        <w:widowControl w:val="0"/>
        <w:kinsoku/>
        <w:wordWrap/>
        <w:overflowPunct/>
        <w:topLinePunct w:val="0"/>
        <w:autoSpaceDE/>
        <w:autoSpaceDN/>
        <w:bidi w:val="0"/>
        <w:adjustRightInd/>
        <w:snapToGrid/>
        <w:spacing w:line="360" w:lineRule="exact"/>
        <w:ind w:right="945"/>
        <w:jc w:val="right"/>
        <w:textAlignment w:val="auto"/>
        <w:rPr>
          <w:rFonts w:hint="eastAsia" w:ascii="宋体" w:hAnsi="宋体" w:eastAsia="宋体" w:cs="宋体"/>
          <w:sz w:val="21"/>
          <w:szCs w:val="21"/>
          <w:highlight w:val="none"/>
          <w:u w:val="none"/>
          <w:lang w:eastAsia="zh-CN"/>
        </w:rPr>
      </w:pPr>
      <w:r>
        <w:rPr>
          <w:rFonts w:hint="eastAsia" w:ascii="宋体" w:hAnsi="宋体" w:eastAsia="宋体" w:cs="宋体"/>
          <w:sz w:val="21"/>
          <w:szCs w:val="21"/>
          <w:highlight w:val="none"/>
          <w:u w:val="none"/>
          <w:lang w:eastAsia="zh-CN"/>
        </w:rPr>
        <w:t>广西恒盛工程集团有限公司</w:t>
      </w:r>
    </w:p>
    <w:p w14:paraId="75BB775D">
      <w:pPr>
        <w:bidi w:val="0"/>
        <w:jc w:val="center"/>
        <w:rPr>
          <w:rFonts w:hint="eastAsia" w:ascii="宋体" w:hAnsi="宋体" w:eastAsia="宋体" w:cs="宋体"/>
          <w:highlight w:val="none"/>
        </w:rPr>
        <w:sectPr>
          <w:footerReference r:id="rId4" w:type="default"/>
          <w:pgSz w:w="11906" w:h="16838"/>
          <w:pgMar w:top="1440" w:right="1440" w:bottom="1440" w:left="1797" w:header="851" w:footer="851" w:gutter="0"/>
          <w:pgNumType w:fmt="decimal" w:start="1"/>
          <w:cols w:space="720" w:num="1"/>
          <w:docGrid w:linePitch="312" w:charSpace="0"/>
        </w:sectPr>
      </w:pPr>
      <w:r>
        <w:rPr>
          <w:rFonts w:hint="eastAsia" w:ascii="宋体" w:hAnsi="宋体" w:eastAsia="宋体" w:cs="宋体"/>
          <w:highlight w:val="none"/>
          <w:lang w:val="en-US" w:eastAsia="zh-CN"/>
        </w:rPr>
        <w:t xml:space="preserve">                                        </w:t>
      </w:r>
      <w:r>
        <w:rPr>
          <w:rFonts w:hint="eastAsia" w:ascii="宋体" w:hAnsi="宋体" w:eastAsia="宋体" w:cs="宋体"/>
          <w:highlight w:val="none"/>
        </w:rPr>
        <w:t>202</w:t>
      </w:r>
      <w:r>
        <w:rPr>
          <w:rFonts w:hint="eastAsia" w:ascii="宋体" w:hAnsi="宋体" w:cs="宋体"/>
          <w:highlight w:val="none"/>
          <w:lang w:val="en-US" w:eastAsia="zh-CN"/>
        </w:rPr>
        <w:t>6</w:t>
      </w:r>
      <w:r>
        <w:rPr>
          <w:rFonts w:hint="eastAsia" w:ascii="宋体" w:hAnsi="宋体" w:eastAsia="宋体" w:cs="宋体"/>
          <w:highlight w:val="none"/>
        </w:rPr>
        <w:t>年</w:t>
      </w:r>
      <w:r>
        <w:rPr>
          <w:rFonts w:hint="eastAsia" w:ascii="宋体" w:hAnsi="宋体" w:cs="宋体"/>
          <w:highlight w:val="none"/>
          <w:lang w:val="en-US" w:eastAsia="zh-CN"/>
        </w:rPr>
        <w:t>6</w:t>
      </w:r>
      <w:r>
        <w:rPr>
          <w:rFonts w:hint="eastAsia" w:ascii="宋体" w:hAnsi="宋体" w:eastAsia="宋体" w:cs="宋体"/>
          <w:highlight w:val="none"/>
        </w:rPr>
        <w:t>月</w:t>
      </w:r>
      <w:r>
        <w:rPr>
          <w:rFonts w:hint="eastAsia" w:ascii="宋体" w:hAnsi="宋体" w:cs="宋体"/>
          <w:highlight w:val="none"/>
          <w:lang w:val="en-US" w:eastAsia="zh-CN"/>
        </w:rPr>
        <w:t>8</w:t>
      </w:r>
      <w:r>
        <w:rPr>
          <w:rFonts w:hint="eastAsia" w:ascii="宋体" w:hAnsi="宋体" w:eastAsia="宋体" w:cs="宋体"/>
          <w:highlight w:val="none"/>
        </w:rPr>
        <w:t>日</w:t>
      </w:r>
    </w:p>
    <w:p w14:paraId="52D63CCC">
      <w:pPr>
        <w:pStyle w:val="3"/>
        <w:rPr>
          <w:rFonts w:hint="eastAsia" w:ascii="宋体" w:hAnsi="宋体"/>
        </w:rPr>
      </w:pPr>
      <w:bookmarkStart w:id="71" w:name="_Toc18367"/>
      <w:r>
        <w:rPr>
          <w:rFonts w:hint="eastAsia" w:ascii="宋体" w:hAnsi="宋体"/>
        </w:rPr>
        <w:t>第二章 供应商须知</w:t>
      </w:r>
      <w:bookmarkEnd w:id="71"/>
    </w:p>
    <w:p w14:paraId="1BDE1265">
      <w:pPr>
        <w:pStyle w:val="2"/>
        <w:jc w:val="center"/>
        <w:rPr>
          <w:rFonts w:hint="eastAsia" w:ascii="宋体" w:hAnsi="宋体"/>
        </w:rPr>
      </w:pPr>
      <w:bookmarkStart w:id="72" w:name="_Toc411"/>
      <w:bookmarkStart w:id="73" w:name="_Toc10494"/>
      <w:bookmarkStart w:id="74" w:name="_Toc117860042"/>
      <w:r>
        <w:rPr>
          <w:rFonts w:hint="eastAsia" w:ascii="宋体" w:hAnsi="宋体"/>
        </w:rPr>
        <w:t>供应商须知前附表</w:t>
      </w:r>
      <w:bookmarkEnd w:id="72"/>
      <w:bookmarkEnd w:id="73"/>
      <w:bookmarkEnd w:id="74"/>
    </w:p>
    <w:p w14:paraId="49A07498">
      <w:pPr>
        <w:spacing w:line="400" w:lineRule="exact"/>
        <w:jc w:val="center"/>
        <w:rPr>
          <w:rFonts w:hint="eastAsia" w:ascii="宋体" w:hAnsi="宋体"/>
          <w:b/>
          <w:sz w:val="32"/>
          <w:szCs w:val="32"/>
        </w:rPr>
      </w:pP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5D4E4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top"/>
          </w:tcPr>
          <w:p w14:paraId="7B9121DA">
            <w:pPr>
              <w:spacing w:line="400" w:lineRule="exact"/>
              <w:jc w:val="center"/>
              <w:rPr>
                <w:rFonts w:hint="eastAsia" w:ascii="宋体" w:hAnsi="宋体" w:cs="宋体"/>
                <w:b/>
                <w:szCs w:val="21"/>
              </w:rPr>
            </w:pPr>
            <w:r>
              <w:rPr>
                <w:rFonts w:hint="eastAsia" w:ascii="宋体" w:hAnsi="宋体" w:cs="宋体"/>
                <w:b/>
                <w:szCs w:val="21"/>
              </w:rPr>
              <w:t>条款号</w:t>
            </w:r>
          </w:p>
        </w:tc>
        <w:tc>
          <w:tcPr>
            <w:tcW w:w="7912" w:type="dxa"/>
            <w:noWrap w:val="0"/>
            <w:vAlign w:val="top"/>
          </w:tcPr>
          <w:p w14:paraId="033F7052">
            <w:pPr>
              <w:spacing w:line="400" w:lineRule="exact"/>
              <w:jc w:val="center"/>
              <w:rPr>
                <w:rFonts w:hint="eastAsia" w:ascii="宋体" w:hAnsi="宋体" w:cs="宋体"/>
                <w:b/>
                <w:szCs w:val="21"/>
              </w:rPr>
            </w:pPr>
            <w:r>
              <w:rPr>
                <w:rFonts w:hint="eastAsia" w:ascii="宋体" w:hAnsi="宋体" w:cs="宋体"/>
                <w:b/>
                <w:szCs w:val="21"/>
              </w:rPr>
              <w:t>内    容</w:t>
            </w:r>
          </w:p>
        </w:tc>
      </w:tr>
      <w:tr w14:paraId="5016B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3971E1E">
            <w:pPr>
              <w:spacing w:line="400" w:lineRule="exact"/>
              <w:jc w:val="center"/>
              <w:rPr>
                <w:rFonts w:hint="eastAsia" w:ascii="宋体" w:hAnsi="宋体" w:cs="宋体"/>
                <w:szCs w:val="21"/>
              </w:rPr>
            </w:pPr>
            <w:r>
              <w:rPr>
                <w:rFonts w:hint="eastAsia" w:ascii="宋体" w:hAnsi="宋体" w:cs="宋体"/>
                <w:szCs w:val="21"/>
              </w:rPr>
              <w:t>3</w:t>
            </w:r>
          </w:p>
        </w:tc>
        <w:tc>
          <w:tcPr>
            <w:tcW w:w="7912" w:type="dxa"/>
            <w:noWrap w:val="0"/>
            <w:vAlign w:val="center"/>
          </w:tcPr>
          <w:p w14:paraId="3E8FB07B">
            <w:pPr>
              <w:numPr>
                <w:ilvl w:val="0"/>
                <w:numId w:val="5"/>
              </w:numPr>
              <w:spacing w:line="400" w:lineRule="exact"/>
              <w:rPr>
                <w:rFonts w:hint="eastAsia" w:ascii="宋体" w:hAnsi="宋体" w:cs="宋体"/>
                <w:szCs w:val="21"/>
              </w:rPr>
            </w:pPr>
            <w:r>
              <w:rPr>
                <w:rFonts w:hint="eastAsia" w:ascii="宋体" w:hAnsi="宋体" w:cs="宋体"/>
                <w:bCs/>
                <w:szCs w:val="21"/>
              </w:rPr>
              <w:t>供应商的资格条件</w:t>
            </w:r>
            <w:r>
              <w:rPr>
                <w:rFonts w:hint="eastAsia" w:ascii="宋体" w:hAnsi="宋体" w:cs="宋体"/>
                <w:szCs w:val="21"/>
              </w:rPr>
              <w:t>：详见竞争性磋商公告</w:t>
            </w:r>
          </w:p>
          <w:p w14:paraId="1B6B2BF8">
            <w:pPr>
              <w:numPr>
                <w:ilvl w:val="0"/>
                <w:numId w:val="5"/>
              </w:numPr>
              <w:spacing w:line="400" w:lineRule="exact"/>
              <w:rPr>
                <w:rFonts w:hint="eastAsia" w:ascii="宋体" w:hAnsi="宋体" w:cs="宋体"/>
                <w:szCs w:val="21"/>
              </w:rPr>
            </w:pPr>
            <w:r>
              <w:rPr>
                <w:rFonts w:hint="eastAsia" w:ascii="宋体" w:hAnsi="宋体"/>
              </w:rPr>
              <w:t>供应商出现下列情形之一的，不得参加政府采购活动：</w:t>
            </w:r>
          </w:p>
          <w:p w14:paraId="3DF8EAD7">
            <w:pPr>
              <w:numPr>
                <w:ilvl w:val="0"/>
                <w:numId w:val="6"/>
              </w:numPr>
              <w:topLinePunct/>
              <w:spacing w:line="400" w:lineRule="exact"/>
              <w:rPr>
                <w:rFonts w:hint="eastAsia" w:ascii="宋体" w:hAnsi="宋体" w:cs="宋体"/>
                <w:szCs w:val="21"/>
              </w:rPr>
            </w:pPr>
            <w:r>
              <w:rPr>
                <w:rFonts w:hint="eastAsia" w:ascii="宋体" w:hAnsi="宋体" w:cs="宋体"/>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67BCD0F">
            <w:pPr>
              <w:numPr>
                <w:ilvl w:val="0"/>
                <w:numId w:val="6"/>
              </w:numPr>
              <w:topLinePunct/>
              <w:spacing w:line="400" w:lineRule="exact"/>
              <w:rPr>
                <w:rFonts w:hint="eastAsia" w:ascii="宋体" w:hAnsi="宋体" w:cs="宋体"/>
                <w:szCs w:val="21"/>
              </w:rPr>
            </w:pPr>
            <w:r>
              <w:rPr>
                <w:rFonts w:hint="eastAsia" w:ascii="宋体" w:hAnsi="宋体" w:cs="宋体"/>
                <w:szCs w:val="21"/>
              </w:rPr>
              <w:t>对在“信用中国”网站(www.creditchina.gov.cn) 、中国政府采购网(www.ccgp.gov.cn)被列入失信被执行人、</w:t>
            </w:r>
            <w:r>
              <w:rPr>
                <w:rFonts w:hint="eastAsia" w:ascii="宋体" w:hAnsi="宋体" w:cs="宋体"/>
                <w:szCs w:val="21"/>
                <w:lang w:eastAsia="zh-CN"/>
              </w:rPr>
              <w:t>重大税收违法失信主体</w:t>
            </w:r>
            <w:r>
              <w:rPr>
                <w:rFonts w:hint="eastAsia" w:ascii="宋体" w:hAnsi="宋体" w:cs="宋体"/>
                <w:szCs w:val="21"/>
              </w:rPr>
              <w:t>、政府采购严重违法失信行为记录名单及其他不符合《中华人民共和国政府采购法》第二十二条规定条件的供应商，不得参与政府采购活动。</w:t>
            </w:r>
          </w:p>
        </w:tc>
      </w:tr>
      <w:tr w14:paraId="7B1A1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A3C0AE6">
            <w:pPr>
              <w:spacing w:line="400" w:lineRule="exact"/>
              <w:jc w:val="center"/>
              <w:rPr>
                <w:rFonts w:hint="eastAsia" w:ascii="宋体" w:hAnsi="宋体" w:cs="宋体"/>
                <w:szCs w:val="21"/>
              </w:rPr>
            </w:pPr>
            <w:r>
              <w:rPr>
                <w:rFonts w:hint="eastAsia" w:ascii="宋体" w:hAnsi="宋体" w:cs="宋体"/>
                <w:szCs w:val="21"/>
              </w:rPr>
              <w:t>5.1</w:t>
            </w:r>
          </w:p>
        </w:tc>
        <w:tc>
          <w:tcPr>
            <w:tcW w:w="7912" w:type="dxa"/>
            <w:noWrap w:val="0"/>
            <w:vAlign w:val="center"/>
          </w:tcPr>
          <w:p w14:paraId="386CB292">
            <w:pPr>
              <w:spacing w:line="400" w:lineRule="exact"/>
              <w:rPr>
                <w:rFonts w:hint="eastAsia" w:ascii="宋体" w:hAnsi="宋体" w:cs="宋体"/>
                <w:szCs w:val="21"/>
              </w:rPr>
            </w:pPr>
            <w:r>
              <w:rPr>
                <w:rFonts w:hint="eastAsia" w:ascii="宋体" w:hAnsi="宋体" w:cs="宋体"/>
                <w:szCs w:val="21"/>
              </w:rPr>
              <w:t>是否接受联合体竞标: 详见竞争性磋商公告</w:t>
            </w:r>
          </w:p>
        </w:tc>
      </w:tr>
      <w:tr w14:paraId="5A3C9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CDFF82C">
            <w:pPr>
              <w:spacing w:line="400" w:lineRule="exact"/>
              <w:jc w:val="center"/>
              <w:rPr>
                <w:rFonts w:hint="eastAsia" w:ascii="宋体" w:hAnsi="宋体" w:cs="宋体"/>
                <w:szCs w:val="21"/>
              </w:rPr>
            </w:pPr>
            <w:r>
              <w:rPr>
                <w:rFonts w:hint="eastAsia" w:ascii="宋体" w:hAnsi="宋体" w:cs="宋体"/>
                <w:szCs w:val="21"/>
              </w:rPr>
              <w:t>6.</w:t>
            </w:r>
            <w:r>
              <w:rPr>
                <w:rFonts w:ascii="宋体" w:hAnsi="宋体" w:cs="宋体"/>
                <w:szCs w:val="21"/>
              </w:rPr>
              <w:t>3</w:t>
            </w:r>
          </w:p>
        </w:tc>
        <w:tc>
          <w:tcPr>
            <w:tcW w:w="7912" w:type="dxa"/>
            <w:noWrap w:val="0"/>
            <w:vAlign w:val="center"/>
          </w:tcPr>
          <w:p w14:paraId="31125A1B">
            <w:pPr>
              <w:pStyle w:val="8"/>
              <w:spacing w:line="400" w:lineRule="exact"/>
              <w:rPr>
                <w:rFonts w:hint="eastAsia" w:ascii="宋体" w:hAnsi="宋体" w:cs="宋体"/>
                <w:szCs w:val="21"/>
              </w:rPr>
            </w:pPr>
            <w:r>
              <w:rPr>
                <w:rFonts w:hint="eastAsia" w:ascii="宋体" w:hAnsi="宋体"/>
                <w:szCs w:val="21"/>
              </w:rPr>
              <w:t>不允许分包</w:t>
            </w:r>
          </w:p>
        </w:tc>
      </w:tr>
      <w:tr w14:paraId="221C2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903DCAC">
            <w:pPr>
              <w:spacing w:line="400" w:lineRule="exact"/>
              <w:jc w:val="center"/>
              <w:rPr>
                <w:rFonts w:hint="eastAsia" w:ascii="宋体" w:hAnsi="宋体" w:cs="宋体"/>
                <w:szCs w:val="21"/>
              </w:rPr>
            </w:pPr>
            <w:bookmarkStart w:id="75" w:name="_Hlk117867921"/>
            <w:r>
              <w:rPr>
                <w:rFonts w:hint="eastAsia" w:ascii="宋体" w:hAnsi="宋体" w:cs="宋体"/>
                <w:szCs w:val="21"/>
              </w:rPr>
              <w:t>12.1.</w:t>
            </w:r>
            <w:r>
              <w:rPr>
                <w:rFonts w:ascii="宋体" w:hAnsi="宋体" w:cs="宋体"/>
                <w:szCs w:val="21"/>
              </w:rPr>
              <w:t>1</w:t>
            </w:r>
          </w:p>
        </w:tc>
        <w:tc>
          <w:tcPr>
            <w:tcW w:w="7912" w:type="dxa"/>
            <w:noWrap w:val="0"/>
            <w:vAlign w:val="center"/>
          </w:tcPr>
          <w:p w14:paraId="0DE0ABCE">
            <w:pPr>
              <w:spacing w:line="400" w:lineRule="exact"/>
              <w:jc w:val="left"/>
              <w:rPr>
                <w:rFonts w:hint="eastAsia" w:ascii="宋体" w:hAnsi="宋体" w:cs="宋体"/>
                <w:b/>
                <w:szCs w:val="21"/>
              </w:rPr>
            </w:pPr>
            <w:r>
              <w:rPr>
                <w:rFonts w:hint="eastAsia" w:ascii="宋体" w:hAnsi="宋体" w:cs="宋体"/>
                <w:b/>
                <w:szCs w:val="21"/>
              </w:rPr>
              <w:t>资格证明文件：</w:t>
            </w:r>
          </w:p>
          <w:p w14:paraId="3E70D808">
            <w:pPr>
              <w:pStyle w:val="8"/>
              <w:spacing w:line="400" w:lineRule="exact"/>
              <w:ind w:firstLine="420" w:firstLineChars="200"/>
              <w:rPr>
                <w:rFonts w:ascii="宋体" w:hAnsi="宋体" w:cs="宋体"/>
                <w:szCs w:val="21"/>
              </w:rPr>
            </w:pPr>
            <w:r>
              <w:rPr>
                <w:rFonts w:ascii="宋体" w:hAnsi="宋体" w:cs="宋体"/>
                <w:szCs w:val="21"/>
              </w:rPr>
              <w:t>1</w:t>
            </w:r>
            <w:r>
              <w:rPr>
                <w:rFonts w:hint="eastAsia" w:ascii="宋体" w:hAnsi="宋体" w:cs="宋体"/>
                <w:szCs w:val="21"/>
              </w:rPr>
              <w:t>、</w:t>
            </w:r>
            <w:r>
              <w:rPr>
                <w:rFonts w:hint="eastAsia" w:ascii="宋体" w:hAnsi="宋体" w:cs="宋体"/>
                <w:szCs w:val="21"/>
                <w:lang w:eastAsia="zh-Hans"/>
              </w:rPr>
              <w:t>竞标</w:t>
            </w:r>
            <w:r>
              <w:rPr>
                <w:rFonts w:hint="eastAsia" w:ascii="宋体" w:hAnsi="宋体" w:cs="宋体"/>
                <w:szCs w:val="21"/>
              </w:rPr>
              <w:t>人基本情况表</w:t>
            </w:r>
            <w:r>
              <w:rPr>
                <w:rFonts w:hint="eastAsia" w:ascii="宋体" w:hAnsi="宋体" w:cs="宋体"/>
                <w:bCs/>
                <w:szCs w:val="21"/>
              </w:rPr>
              <w:t>(包含营业执照、安全生产许可证、资质证书)</w:t>
            </w:r>
            <w:r>
              <w:rPr>
                <w:rFonts w:hint="eastAsia" w:ascii="宋体" w:hAnsi="宋体" w:cs="宋体"/>
                <w:szCs w:val="21"/>
              </w:rPr>
              <w:t>；</w:t>
            </w:r>
            <w:r>
              <w:rPr>
                <w:rFonts w:hint="eastAsia" w:ascii="宋体" w:hAnsi="宋体" w:cs="宋体"/>
                <w:b/>
                <w:bCs/>
                <w:szCs w:val="21"/>
              </w:rPr>
              <w:t>(必须提供，否则作无效竞标处理)</w:t>
            </w:r>
          </w:p>
          <w:p w14:paraId="015651AE">
            <w:pPr>
              <w:pStyle w:val="8"/>
              <w:spacing w:line="400" w:lineRule="exact"/>
              <w:ind w:firstLine="420" w:firstLineChars="200"/>
              <w:rPr>
                <w:rFonts w:ascii="宋体" w:hAnsi="宋体" w:cs="宋体"/>
                <w:szCs w:val="21"/>
              </w:rPr>
            </w:pPr>
            <w:r>
              <w:rPr>
                <w:rFonts w:ascii="宋体" w:hAnsi="宋体" w:cs="宋体"/>
                <w:szCs w:val="21"/>
              </w:rPr>
              <w:t>2</w:t>
            </w:r>
            <w:r>
              <w:rPr>
                <w:rFonts w:hint="eastAsia" w:ascii="宋体" w:hAnsi="宋体" w:cs="宋体"/>
                <w:szCs w:val="21"/>
              </w:rPr>
              <w:t>、政府采购供应商资格信用承诺函；</w:t>
            </w:r>
            <w:r>
              <w:rPr>
                <w:rFonts w:hint="eastAsia" w:ascii="宋体" w:hAnsi="宋体" w:cs="宋体"/>
                <w:b/>
                <w:bCs/>
                <w:szCs w:val="21"/>
              </w:rPr>
              <w:t>(必须提供，否则作无效竞标处理)</w:t>
            </w:r>
          </w:p>
          <w:p w14:paraId="39E44801">
            <w:pPr>
              <w:pStyle w:val="8"/>
              <w:spacing w:line="400" w:lineRule="exact"/>
              <w:ind w:firstLine="420" w:firstLineChars="200"/>
              <w:rPr>
                <w:rFonts w:hint="eastAsia" w:ascii="宋体" w:hAnsi="宋体" w:cs="宋体"/>
                <w:szCs w:val="21"/>
              </w:rPr>
            </w:pPr>
            <w:r>
              <w:rPr>
                <w:rFonts w:ascii="宋体" w:hAnsi="宋体" w:cs="宋体"/>
                <w:szCs w:val="21"/>
              </w:rPr>
              <w:t>3</w:t>
            </w:r>
            <w:r>
              <w:rPr>
                <w:rFonts w:hint="eastAsia" w:ascii="宋体" w:hAnsi="宋体" w:cs="宋体"/>
                <w:szCs w:val="21"/>
              </w:rPr>
              <w:t>、竞标人直接控股股东信息表；</w:t>
            </w:r>
            <w:r>
              <w:rPr>
                <w:rFonts w:hint="eastAsia" w:ascii="宋体" w:hAnsi="宋体" w:cs="宋体"/>
                <w:b/>
                <w:bCs/>
                <w:szCs w:val="21"/>
              </w:rPr>
              <w:t>(必须提供，否则作无效竞标处理)</w:t>
            </w:r>
          </w:p>
          <w:p w14:paraId="5B5ADE28">
            <w:pPr>
              <w:pStyle w:val="8"/>
              <w:spacing w:line="400" w:lineRule="exact"/>
              <w:ind w:firstLine="420" w:firstLineChars="200"/>
              <w:rPr>
                <w:rFonts w:hint="eastAsia" w:ascii="宋体" w:hAnsi="宋体" w:cs="宋体"/>
                <w:szCs w:val="21"/>
              </w:rPr>
            </w:pPr>
            <w:r>
              <w:rPr>
                <w:rFonts w:ascii="宋体" w:hAnsi="宋体" w:cs="宋体"/>
                <w:szCs w:val="21"/>
              </w:rPr>
              <w:t>4</w:t>
            </w:r>
            <w:r>
              <w:rPr>
                <w:rFonts w:hint="eastAsia" w:ascii="宋体" w:hAnsi="宋体" w:cs="宋体"/>
                <w:szCs w:val="21"/>
              </w:rPr>
              <w:t>、竞标人直接管理关系信息表</w:t>
            </w:r>
            <w:r>
              <w:rPr>
                <w:rFonts w:hint="eastAsia" w:ascii="宋体" w:hAnsi="宋体" w:cs="宋体"/>
                <w:b/>
                <w:bCs/>
                <w:szCs w:val="21"/>
              </w:rPr>
              <w:t>(必须提供，否则作无效竞标处理)</w:t>
            </w:r>
          </w:p>
          <w:p w14:paraId="2130E6CE">
            <w:pPr>
              <w:pStyle w:val="8"/>
              <w:spacing w:line="400" w:lineRule="exact"/>
              <w:ind w:firstLine="420" w:firstLineChars="200"/>
              <w:rPr>
                <w:rFonts w:ascii="宋体" w:hAnsi="宋体" w:cs="宋体"/>
                <w:szCs w:val="21"/>
              </w:rPr>
            </w:pPr>
            <w:r>
              <w:rPr>
                <w:rFonts w:ascii="宋体" w:hAnsi="宋体" w:cs="宋体"/>
                <w:szCs w:val="21"/>
              </w:rPr>
              <w:t>5</w:t>
            </w:r>
            <w:r>
              <w:rPr>
                <w:rFonts w:hint="eastAsia" w:ascii="宋体" w:hAnsi="宋体" w:cs="宋体"/>
                <w:szCs w:val="21"/>
              </w:rPr>
              <w:t>、竞标声明书；</w:t>
            </w:r>
            <w:r>
              <w:rPr>
                <w:rFonts w:hint="eastAsia" w:ascii="宋体" w:hAnsi="宋体" w:cs="宋体"/>
                <w:b/>
                <w:bCs/>
                <w:szCs w:val="21"/>
              </w:rPr>
              <w:t>(必须提供，否则作无效竞标处理)</w:t>
            </w:r>
          </w:p>
          <w:p w14:paraId="5DA3ABC7">
            <w:pPr>
              <w:pStyle w:val="8"/>
              <w:spacing w:line="400" w:lineRule="exact"/>
              <w:ind w:firstLine="420" w:firstLineChars="200"/>
              <w:rPr>
                <w:rFonts w:hint="eastAsia" w:ascii="宋体" w:hAnsi="宋体"/>
              </w:rPr>
            </w:pPr>
            <w:r>
              <w:rPr>
                <w:rFonts w:hint="eastAsia" w:ascii="宋体" w:hAnsi="宋体" w:cs="宋体"/>
                <w:szCs w:val="21"/>
              </w:rPr>
              <w:t>6、中小企业声明函或残疾人福利性单位声明函或竞标人属于监狱企业的证明材料</w:t>
            </w:r>
            <w:r>
              <w:rPr>
                <w:rFonts w:hint="eastAsia" w:ascii="宋体" w:hAnsi="宋体" w:cs="宋体"/>
                <w:szCs w:val="21"/>
                <w:lang w:eastAsia="zh-CN"/>
              </w:rPr>
              <w:t>。</w:t>
            </w:r>
            <w:r>
              <w:rPr>
                <w:rFonts w:hint="eastAsia" w:ascii="宋体" w:hAnsi="宋体" w:cs="宋体"/>
                <w:b/>
                <w:bCs/>
                <w:szCs w:val="21"/>
              </w:rPr>
              <w:t>(必须提供，否则作无效竞标处理)</w:t>
            </w:r>
            <w:r>
              <w:rPr>
                <w:rFonts w:hint="eastAsia" w:ascii="宋体" w:hAnsi="宋体"/>
                <w:szCs w:val="21"/>
              </w:rPr>
              <w:t>：</w:t>
            </w:r>
          </w:p>
          <w:p w14:paraId="23A30260">
            <w:pPr>
              <w:pStyle w:val="8"/>
              <w:spacing w:line="400" w:lineRule="exact"/>
              <w:ind w:firstLine="420" w:firstLineChars="200"/>
              <w:rPr>
                <w:rFonts w:hint="eastAsia" w:ascii="宋体" w:hAnsi="宋体" w:eastAsia="宋体"/>
                <w:szCs w:val="21"/>
                <w:lang w:val="en-US" w:eastAsia="zh-CN"/>
              </w:rPr>
            </w:pPr>
            <w:r>
              <w:rPr>
                <w:rFonts w:hint="eastAsia" w:ascii="宋体" w:hAnsi="宋体"/>
                <w:szCs w:val="21"/>
                <w:lang w:val="en-US" w:eastAsia="zh-CN"/>
              </w:rPr>
              <w:t>7、建设工程项目管理承诺书</w:t>
            </w:r>
            <w:r>
              <w:rPr>
                <w:rFonts w:hint="eastAsia" w:ascii="宋体" w:hAnsi="宋体" w:cs="宋体"/>
                <w:b/>
                <w:bCs/>
                <w:szCs w:val="21"/>
              </w:rPr>
              <w:t>(必须提供，否则作无效竞标处理)</w:t>
            </w:r>
          </w:p>
          <w:p w14:paraId="73FE64F0">
            <w:pPr>
              <w:spacing w:line="400" w:lineRule="exact"/>
              <w:ind w:firstLine="420" w:firstLineChars="200"/>
              <w:jc w:val="left"/>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、除磋商文件规定必须提供以外，供应商认为需要提供的其他证明材料（若有请提供）；</w:t>
            </w:r>
          </w:p>
          <w:p w14:paraId="56FAD7F1">
            <w:pPr>
              <w:spacing w:line="400" w:lineRule="exact"/>
              <w:ind w:firstLine="422" w:firstLineChars="200"/>
              <w:jc w:val="left"/>
              <w:rPr>
                <w:rFonts w:hint="eastAsia" w:ascii="宋体" w:hAnsi="宋体" w:cs="宋体"/>
                <w:b/>
                <w:szCs w:val="21"/>
              </w:rPr>
            </w:pPr>
            <w:r>
              <w:rPr>
                <w:rFonts w:hint="eastAsia" w:ascii="宋体" w:hAnsi="宋体" w:cs="宋体"/>
                <w:b/>
                <w:szCs w:val="21"/>
              </w:rPr>
              <w:t>注：</w:t>
            </w:r>
          </w:p>
          <w:p w14:paraId="6562F2EF">
            <w:pPr>
              <w:spacing w:line="400" w:lineRule="exact"/>
              <w:ind w:firstLine="422" w:firstLineChars="200"/>
              <w:jc w:val="left"/>
              <w:rPr>
                <w:rFonts w:ascii="宋体" w:hAnsi="宋体"/>
              </w:rPr>
            </w:pPr>
            <w:r>
              <w:rPr>
                <w:rFonts w:hint="eastAsia" w:ascii="宋体" w:hAnsi="宋体" w:cs="宋体"/>
                <w:b/>
                <w:szCs w:val="21"/>
              </w:rPr>
              <w:t>1.</w:t>
            </w:r>
            <w:r>
              <w:rPr>
                <w:rFonts w:hint="eastAsia" w:ascii="宋体" w:hAnsi="宋体"/>
              </w:rPr>
              <w:t xml:space="preserve"> </w:t>
            </w:r>
            <w:r>
              <w:rPr>
                <w:rFonts w:hint="eastAsia" w:ascii="宋体" w:hAnsi="宋体" w:cs="宋体"/>
                <w:b/>
                <w:szCs w:val="21"/>
              </w:rPr>
              <w:t>格式见第</w:t>
            </w:r>
            <w:r>
              <w:rPr>
                <w:rFonts w:hint="eastAsia" w:ascii="宋体" w:hAnsi="宋体" w:cs="宋体"/>
                <w:b/>
                <w:szCs w:val="21"/>
                <w:lang w:val="en-US" w:eastAsia="zh-CN"/>
              </w:rPr>
              <w:t>九</w:t>
            </w:r>
            <w:r>
              <w:rPr>
                <w:rFonts w:hint="eastAsia" w:ascii="宋体" w:hAnsi="宋体" w:cs="宋体"/>
                <w:b/>
                <w:szCs w:val="21"/>
              </w:rPr>
              <w:t>章，如未提供格式的，格式自拟；</w:t>
            </w:r>
          </w:p>
          <w:p w14:paraId="4987524C">
            <w:pPr>
              <w:spacing w:line="400" w:lineRule="exact"/>
              <w:ind w:firstLine="422" w:firstLineChars="200"/>
              <w:jc w:val="left"/>
              <w:rPr>
                <w:rFonts w:hint="eastAsia" w:ascii="宋体" w:hAnsi="宋体" w:cs="宋体"/>
                <w:b/>
                <w:szCs w:val="21"/>
              </w:rPr>
            </w:pPr>
            <w:r>
              <w:rPr>
                <w:rFonts w:ascii="宋体" w:hAnsi="宋体" w:cs="宋体"/>
                <w:b/>
                <w:szCs w:val="21"/>
              </w:rPr>
              <w:t>2</w:t>
            </w:r>
            <w:r>
              <w:rPr>
                <w:rFonts w:hint="eastAsia" w:ascii="宋体" w:hAnsi="宋体" w:cs="宋体"/>
                <w:b/>
                <w:szCs w:val="21"/>
              </w:rPr>
              <w:t>．要求“必须提供”的文件须加盖竞标人单位电子公章或自然人加盖手指指印，其中要求签字的应按第</w:t>
            </w:r>
            <w:r>
              <w:rPr>
                <w:rFonts w:hint="eastAsia" w:ascii="宋体" w:hAnsi="宋体" w:cs="宋体"/>
                <w:b/>
                <w:szCs w:val="21"/>
                <w:lang w:val="en-US" w:eastAsia="zh-CN"/>
              </w:rPr>
              <w:t>九</w:t>
            </w:r>
            <w:r>
              <w:rPr>
                <w:rFonts w:hint="eastAsia" w:ascii="宋体" w:hAnsi="宋体" w:cs="宋体"/>
                <w:b/>
                <w:szCs w:val="21"/>
              </w:rPr>
              <w:t>章格式要求签字（或加盖CA电子签章），否则资格证明文件按无效响应处理。</w:t>
            </w:r>
          </w:p>
        </w:tc>
      </w:tr>
      <w:tr w14:paraId="23D24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2" w:hRule="atLeast"/>
          <w:jc w:val="center"/>
        </w:trPr>
        <w:tc>
          <w:tcPr>
            <w:tcW w:w="992" w:type="dxa"/>
            <w:vMerge w:val="restart"/>
            <w:noWrap w:val="0"/>
            <w:vAlign w:val="center"/>
          </w:tcPr>
          <w:p w14:paraId="75238BF4">
            <w:pPr>
              <w:spacing w:line="400" w:lineRule="exact"/>
              <w:jc w:val="center"/>
              <w:rPr>
                <w:rFonts w:hint="eastAsia" w:ascii="宋体" w:hAnsi="宋体" w:cs="宋体"/>
                <w:szCs w:val="21"/>
              </w:rPr>
            </w:pPr>
            <w:r>
              <w:rPr>
                <w:rFonts w:hint="eastAsia" w:ascii="宋体" w:hAnsi="宋体" w:cs="宋体"/>
                <w:szCs w:val="21"/>
              </w:rPr>
              <w:t>12.</w:t>
            </w:r>
            <w:r>
              <w:rPr>
                <w:rFonts w:ascii="宋体" w:hAnsi="宋体" w:cs="宋体"/>
                <w:szCs w:val="21"/>
              </w:rPr>
              <w:t>1</w:t>
            </w:r>
            <w:r>
              <w:rPr>
                <w:rFonts w:hint="eastAsia" w:ascii="宋体" w:hAnsi="宋体" w:cs="宋体"/>
                <w:szCs w:val="21"/>
              </w:rPr>
              <w:t>.</w:t>
            </w:r>
            <w:r>
              <w:rPr>
                <w:rFonts w:ascii="宋体" w:hAnsi="宋体" w:cs="宋体"/>
                <w:szCs w:val="21"/>
              </w:rPr>
              <w:t>2</w:t>
            </w:r>
          </w:p>
        </w:tc>
        <w:tc>
          <w:tcPr>
            <w:tcW w:w="7912" w:type="dxa"/>
            <w:noWrap w:val="0"/>
            <w:vAlign w:val="center"/>
          </w:tcPr>
          <w:p w14:paraId="16BEC222">
            <w:pPr>
              <w:spacing w:line="400" w:lineRule="exact"/>
              <w:rPr>
                <w:rFonts w:hint="eastAsia" w:ascii="宋体" w:hAnsi="宋体" w:cs="宋体"/>
                <w:b/>
                <w:bCs/>
                <w:szCs w:val="21"/>
              </w:rPr>
            </w:pPr>
            <w:r>
              <w:rPr>
                <w:rFonts w:hint="eastAsia" w:ascii="宋体" w:hAnsi="宋体" w:cs="宋体"/>
                <w:b/>
                <w:bCs/>
                <w:szCs w:val="21"/>
              </w:rPr>
              <w:t>报价文件：</w:t>
            </w:r>
          </w:p>
          <w:p w14:paraId="143C469D">
            <w:pPr>
              <w:spacing w:line="400" w:lineRule="exact"/>
              <w:ind w:firstLine="420" w:firstLineChars="200"/>
              <w:rPr>
                <w:rFonts w:hint="eastAsia" w:ascii="宋体" w:hAnsi="宋体" w:cs="宋体"/>
                <w:szCs w:val="21"/>
              </w:rPr>
            </w:pPr>
            <w:r>
              <w:rPr>
                <w:rFonts w:hint="eastAsia" w:ascii="宋体" w:hAnsi="宋体" w:cs="宋体"/>
                <w:szCs w:val="21"/>
              </w:rPr>
              <w:t>1、竞标报价表；</w:t>
            </w:r>
            <w:r>
              <w:rPr>
                <w:rFonts w:hint="eastAsia" w:ascii="宋体" w:hAnsi="宋体" w:cs="宋体"/>
                <w:b/>
                <w:bCs/>
                <w:szCs w:val="21"/>
              </w:rPr>
              <w:t>(必须提供，否则作无效竞标处理)</w:t>
            </w:r>
          </w:p>
          <w:p w14:paraId="06DBA9AC">
            <w:pPr>
              <w:spacing w:line="400" w:lineRule="exact"/>
              <w:ind w:firstLine="420" w:firstLineChars="200"/>
              <w:rPr>
                <w:rFonts w:hint="eastAsia" w:ascii="宋体" w:hAnsi="宋体" w:cs="宋体"/>
                <w:szCs w:val="21"/>
              </w:rPr>
            </w:pPr>
            <w:r>
              <w:rPr>
                <w:rFonts w:hint="eastAsia" w:ascii="宋体" w:hAnsi="宋体" w:cs="宋体"/>
                <w:szCs w:val="21"/>
              </w:rPr>
              <w:t>2、报价表附录；</w:t>
            </w:r>
            <w:r>
              <w:rPr>
                <w:rFonts w:hint="eastAsia" w:ascii="宋体" w:hAnsi="宋体" w:cs="宋体"/>
                <w:b/>
                <w:bCs/>
                <w:szCs w:val="21"/>
              </w:rPr>
              <w:t>(必须提供，否则作无效竞标处理)</w:t>
            </w:r>
          </w:p>
          <w:p w14:paraId="2D8EA362">
            <w:pPr>
              <w:spacing w:line="400" w:lineRule="exact"/>
              <w:ind w:firstLine="420" w:firstLineChars="200"/>
              <w:rPr>
                <w:rFonts w:ascii="宋体" w:hAnsi="宋体" w:cs="宋体"/>
                <w:szCs w:val="21"/>
              </w:rPr>
            </w:pPr>
            <w:r>
              <w:rPr>
                <w:rFonts w:hint="eastAsia" w:ascii="宋体" w:hAnsi="宋体" w:cs="宋体"/>
                <w:szCs w:val="21"/>
              </w:rPr>
              <w:t>3、已标价工程量清单；</w:t>
            </w:r>
            <w:r>
              <w:rPr>
                <w:rFonts w:hint="eastAsia" w:ascii="宋体" w:hAnsi="宋体" w:cs="宋体"/>
                <w:b/>
                <w:bCs/>
                <w:szCs w:val="21"/>
              </w:rPr>
              <w:t>(必须提供，否则作无效竞标处理)</w:t>
            </w:r>
          </w:p>
          <w:p w14:paraId="2716018A">
            <w:pPr>
              <w:spacing w:line="400" w:lineRule="exact"/>
              <w:ind w:firstLine="411" w:firstLineChars="196"/>
              <w:rPr>
                <w:rFonts w:ascii="宋体" w:hAnsi="宋体" w:cs="宋体"/>
                <w:szCs w:val="21"/>
              </w:rPr>
            </w:pPr>
            <w:r>
              <w:rPr>
                <w:rFonts w:hint="eastAsia" w:ascii="宋体" w:hAnsi="宋体" w:cs="宋体"/>
                <w:szCs w:val="21"/>
              </w:rPr>
              <w:t>4、除磋商文件规定必须提供以外，供应商认为需要提供的其他证明材料。（若有请提供）</w:t>
            </w:r>
          </w:p>
          <w:p w14:paraId="1F6EE041">
            <w:pPr>
              <w:spacing w:line="400" w:lineRule="exact"/>
              <w:jc w:val="left"/>
              <w:rPr>
                <w:rFonts w:hint="eastAsia" w:ascii="宋体" w:hAnsi="宋体" w:cs="宋体"/>
                <w:b/>
                <w:szCs w:val="21"/>
              </w:rPr>
            </w:pPr>
            <w:r>
              <w:rPr>
                <w:rFonts w:hint="eastAsia" w:ascii="宋体" w:hAnsi="宋体" w:cs="宋体"/>
                <w:b/>
                <w:szCs w:val="21"/>
              </w:rPr>
              <w:t xml:space="preserve">注： </w:t>
            </w:r>
          </w:p>
          <w:p w14:paraId="488AAFA1">
            <w:pPr>
              <w:spacing w:line="400" w:lineRule="exact"/>
              <w:ind w:firstLine="422" w:firstLineChars="200"/>
              <w:jc w:val="left"/>
              <w:rPr>
                <w:rFonts w:ascii="宋体" w:hAnsi="宋体"/>
              </w:rPr>
            </w:pPr>
            <w:r>
              <w:rPr>
                <w:rFonts w:hint="eastAsia" w:ascii="宋体" w:hAnsi="宋体" w:cs="宋体"/>
                <w:b/>
                <w:szCs w:val="21"/>
              </w:rPr>
              <w:t>1、格式见第</w:t>
            </w:r>
            <w:r>
              <w:rPr>
                <w:rFonts w:hint="eastAsia" w:ascii="宋体" w:hAnsi="宋体" w:cs="宋体"/>
                <w:b/>
                <w:szCs w:val="21"/>
                <w:lang w:val="en-US" w:eastAsia="zh-CN"/>
              </w:rPr>
              <w:t>九</w:t>
            </w:r>
            <w:r>
              <w:rPr>
                <w:rFonts w:hint="eastAsia" w:ascii="宋体" w:hAnsi="宋体" w:cs="宋体"/>
                <w:b/>
                <w:szCs w:val="21"/>
              </w:rPr>
              <w:t>章，如未提供格式的，格式自拟；</w:t>
            </w:r>
          </w:p>
          <w:p w14:paraId="48A42EC3">
            <w:pPr>
              <w:spacing w:line="400" w:lineRule="exact"/>
              <w:ind w:firstLine="422" w:firstLineChars="200"/>
              <w:jc w:val="left"/>
              <w:rPr>
                <w:rFonts w:hint="eastAsia" w:ascii="宋体" w:hAnsi="宋体"/>
              </w:rPr>
            </w:pPr>
            <w:r>
              <w:rPr>
                <w:rFonts w:ascii="宋体" w:hAnsi="宋体" w:cs="宋体"/>
                <w:b/>
                <w:szCs w:val="21"/>
              </w:rPr>
              <w:t>2</w:t>
            </w:r>
            <w:r>
              <w:rPr>
                <w:rFonts w:hint="eastAsia" w:ascii="宋体" w:hAnsi="宋体" w:cs="宋体"/>
                <w:b/>
                <w:szCs w:val="21"/>
              </w:rPr>
              <w:t>、要求“必须提供”的文件须加盖竞标人单位电子公章或自然人加盖手指指印，其中要求签字的应按第</w:t>
            </w:r>
            <w:r>
              <w:rPr>
                <w:rFonts w:hint="eastAsia" w:ascii="宋体" w:hAnsi="宋体" w:cs="宋体"/>
                <w:b/>
                <w:szCs w:val="21"/>
                <w:lang w:val="en-US" w:eastAsia="zh-CN"/>
              </w:rPr>
              <w:t>九</w:t>
            </w:r>
            <w:r>
              <w:rPr>
                <w:rFonts w:hint="eastAsia" w:ascii="宋体" w:hAnsi="宋体" w:cs="宋体"/>
                <w:b/>
                <w:szCs w:val="21"/>
              </w:rPr>
              <w:t>章格式要求签字（或加盖CA电子签章），否则报价文件按无效响应处理。</w:t>
            </w:r>
          </w:p>
        </w:tc>
      </w:tr>
      <w:tr w14:paraId="34AC8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992" w:type="dxa"/>
            <w:vMerge w:val="continue"/>
            <w:noWrap w:val="0"/>
            <w:vAlign w:val="center"/>
          </w:tcPr>
          <w:p w14:paraId="27DBA216">
            <w:pPr>
              <w:spacing w:line="400" w:lineRule="exact"/>
              <w:jc w:val="center"/>
              <w:rPr>
                <w:rFonts w:hint="eastAsia" w:ascii="宋体" w:hAnsi="宋体" w:cs="宋体"/>
                <w:szCs w:val="21"/>
              </w:rPr>
            </w:pPr>
          </w:p>
        </w:tc>
        <w:tc>
          <w:tcPr>
            <w:tcW w:w="7912" w:type="dxa"/>
            <w:noWrap w:val="0"/>
            <w:vAlign w:val="center"/>
          </w:tcPr>
          <w:p w14:paraId="452597FB">
            <w:pPr>
              <w:spacing w:line="400" w:lineRule="exact"/>
              <w:rPr>
                <w:rFonts w:ascii="宋体" w:hAnsi="宋体" w:cs="宋体"/>
                <w:b/>
                <w:bCs/>
                <w:szCs w:val="21"/>
              </w:rPr>
            </w:pPr>
            <w:r>
              <w:rPr>
                <w:rFonts w:hint="eastAsia" w:ascii="宋体" w:hAnsi="宋体" w:cs="宋体"/>
                <w:b/>
                <w:bCs/>
                <w:szCs w:val="21"/>
              </w:rPr>
              <w:t>商务技术文件：</w:t>
            </w:r>
          </w:p>
          <w:p w14:paraId="4FF4A862">
            <w:pPr>
              <w:spacing w:line="400" w:lineRule="exact"/>
              <w:ind w:firstLine="420" w:firstLineChars="200"/>
              <w:rPr>
                <w:rFonts w:hint="eastAsia"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）无串通竞标行为的承诺函；</w:t>
            </w:r>
            <w:r>
              <w:rPr>
                <w:rFonts w:hint="eastAsia" w:ascii="宋体" w:hAnsi="宋体" w:cs="宋体"/>
                <w:b/>
                <w:bCs/>
                <w:szCs w:val="21"/>
              </w:rPr>
              <w:t>(必须提供，否则作无效竞标处理)</w:t>
            </w:r>
          </w:p>
          <w:p w14:paraId="228BFB01">
            <w:pPr>
              <w:spacing w:line="400" w:lineRule="exact"/>
              <w:ind w:firstLine="420" w:firstLineChars="200"/>
              <w:rPr>
                <w:rFonts w:hint="eastAsia" w:ascii="宋体" w:hAnsi="宋体" w:cs="宋体"/>
                <w:b/>
                <w:bCs/>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）法定代表人身份证明或授权委托书；</w:t>
            </w:r>
            <w:r>
              <w:rPr>
                <w:rFonts w:hint="eastAsia" w:ascii="宋体" w:hAnsi="宋体" w:cs="宋体"/>
                <w:b/>
                <w:bCs/>
                <w:szCs w:val="21"/>
              </w:rPr>
              <w:t>(必须提供，否则作无效竞标处理)</w:t>
            </w:r>
          </w:p>
          <w:p w14:paraId="18D43CD6">
            <w:pPr>
              <w:spacing w:line="400" w:lineRule="exact"/>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）施工组织设计；</w:t>
            </w:r>
            <w:r>
              <w:rPr>
                <w:rFonts w:hint="eastAsia" w:ascii="宋体" w:hAnsi="宋体" w:cs="宋体"/>
                <w:b/>
                <w:bCs/>
                <w:szCs w:val="21"/>
              </w:rPr>
              <w:t>(必须提供，否则作无效竞标处理)</w:t>
            </w:r>
          </w:p>
          <w:p w14:paraId="6E707653">
            <w:pPr>
              <w:spacing w:line="400" w:lineRule="exact"/>
              <w:ind w:firstLine="420" w:firstLineChars="200"/>
              <w:rPr>
                <w:rFonts w:hint="eastAsia" w:ascii="宋体" w:hAnsi="宋体" w:cs="宋体"/>
                <w:szCs w:val="21"/>
                <w:lang w:val="en-US" w:eastAsia="zh-CN"/>
              </w:rPr>
            </w:pPr>
            <w:r>
              <w:rPr>
                <w:rFonts w:hint="eastAsia" w:ascii="宋体" w:hAnsi="宋体" w:cs="宋体"/>
                <w:szCs w:val="21"/>
                <w:lang w:eastAsia="zh-CN"/>
              </w:rPr>
              <w:t>（</w:t>
            </w:r>
            <w:r>
              <w:rPr>
                <w:rFonts w:hint="eastAsia" w:ascii="宋体" w:hAnsi="宋体" w:cs="宋体"/>
                <w:szCs w:val="21"/>
                <w:lang w:val="en-US" w:eastAsia="zh-CN"/>
              </w:rPr>
              <w:t>4</w:t>
            </w:r>
            <w:r>
              <w:rPr>
                <w:rFonts w:hint="eastAsia" w:ascii="宋体" w:hAnsi="宋体" w:cs="宋体"/>
                <w:szCs w:val="21"/>
                <w:lang w:eastAsia="zh-CN"/>
              </w:rPr>
              <w:t>）类似项目业绩一览表</w:t>
            </w:r>
            <w:r>
              <w:rPr>
                <w:rFonts w:hint="eastAsia" w:ascii="宋体" w:hAnsi="宋体" w:cs="宋体"/>
                <w:szCs w:val="21"/>
                <w:lang w:val="en-US" w:eastAsia="zh-CN"/>
              </w:rPr>
              <w:t>（若有请提供）</w:t>
            </w:r>
          </w:p>
          <w:p w14:paraId="10B24D5D">
            <w:pPr>
              <w:pStyle w:val="9"/>
              <w:ind w:firstLine="420" w:firstLineChars="20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kern w:val="2"/>
                <w:sz w:val="21"/>
                <w:szCs w:val="21"/>
                <w:lang w:val="en-US" w:eastAsia="zh-CN" w:bidi="ar-SA"/>
              </w:rPr>
              <w:t>（5）项目管理机构组成表</w:t>
            </w:r>
            <w:r>
              <w:rPr>
                <w:rFonts w:hint="default" w:ascii="宋体" w:hAnsi="宋体" w:eastAsia="宋体" w:cs="宋体"/>
                <w:kern w:val="2"/>
                <w:sz w:val="21"/>
                <w:szCs w:val="21"/>
                <w:lang w:val="en-US" w:eastAsia="zh-CN" w:bidi="ar-SA"/>
              </w:rPr>
              <w:t>（</w:t>
            </w:r>
            <w:r>
              <w:rPr>
                <w:rFonts w:hint="eastAsia" w:ascii="宋体" w:hAnsi="宋体" w:cs="宋体"/>
                <w:b/>
                <w:bCs/>
                <w:szCs w:val="21"/>
              </w:rPr>
              <w:t>必须提供，否则作无效竞标处理</w:t>
            </w:r>
            <w:r>
              <w:rPr>
                <w:rFonts w:hint="default" w:ascii="宋体" w:hAnsi="宋体" w:eastAsia="宋体" w:cs="宋体"/>
                <w:b w:val="0"/>
                <w:bCs w:val="0"/>
                <w:kern w:val="2"/>
                <w:sz w:val="21"/>
                <w:szCs w:val="21"/>
                <w:lang w:val="en-US" w:eastAsia="zh-CN" w:bidi="ar-SA"/>
              </w:rPr>
              <w:t>）</w:t>
            </w:r>
          </w:p>
          <w:p w14:paraId="0CEB6EE2">
            <w:pPr>
              <w:pStyle w:val="9"/>
              <w:ind w:firstLine="420" w:firstLineChars="200"/>
              <w:jc w:val="left"/>
              <w:rPr>
                <w:rFonts w:hint="eastAsia" w:ascii="宋体" w:hAnsi="宋体" w:eastAsia="宋体" w:cs="宋体"/>
                <w:b/>
                <w:bCs/>
                <w:szCs w:val="21"/>
                <w:lang w:eastAsia="zh-CN"/>
              </w:rPr>
            </w:pP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w:t>
            </w:r>
            <w:r>
              <w:rPr>
                <w:rFonts w:hint="eastAsia" w:ascii="宋体" w:hAnsi="宋体" w:cs="宋体"/>
                <w:b w:val="0"/>
                <w:bCs w:val="0"/>
                <w:szCs w:val="21"/>
                <w:lang w:eastAsia="zh-CN"/>
              </w:rPr>
              <w:t>除磋商文件规定必须提供以外，供应商认为需要提供的其他证明材料。（若有请提供）</w:t>
            </w:r>
          </w:p>
          <w:p w14:paraId="4FB9C5A5">
            <w:pPr>
              <w:spacing w:line="400" w:lineRule="exact"/>
              <w:jc w:val="left"/>
              <w:rPr>
                <w:rFonts w:hint="eastAsia" w:ascii="宋体" w:hAnsi="宋体" w:cs="宋体"/>
                <w:b/>
                <w:szCs w:val="21"/>
              </w:rPr>
            </w:pPr>
            <w:r>
              <w:rPr>
                <w:rFonts w:hint="eastAsia" w:ascii="宋体" w:hAnsi="宋体" w:cs="宋体"/>
                <w:b/>
                <w:szCs w:val="21"/>
              </w:rPr>
              <w:t xml:space="preserve">注： </w:t>
            </w:r>
          </w:p>
          <w:p w14:paraId="26189265">
            <w:pPr>
              <w:topLinePunct/>
              <w:spacing w:line="400" w:lineRule="exact"/>
              <w:ind w:firstLine="413" w:firstLineChars="196"/>
              <w:jc w:val="left"/>
              <w:rPr>
                <w:rFonts w:hint="eastAsia" w:ascii="宋体" w:hAnsi="宋体" w:cs="宋体"/>
                <w:b/>
                <w:szCs w:val="21"/>
              </w:rPr>
            </w:pPr>
            <w:r>
              <w:rPr>
                <w:rFonts w:hint="eastAsia" w:ascii="宋体" w:hAnsi="宋体" w:cs="宋体"/>
                <w:b/>
                <w:szCs w:val="21"/>
              </w:rPr>
              <w:t>1、格式见第</w:t>
            </w:r>
            <w:r>
              <w:rPr>
                <w:rFonts w:hint="eastAsia" w:ascii="宋体" w:hAnsi="宋体" w:cs="宋体"/>
                <w:b/>
                <w:szCs w:val="21"/>
                <w:lang w:val="en-US" w:eastAsia="zh-CN"/>
              </w:rPr>
              <w:t>九</w:t>
            </w:r>
            <w:r>
              <w:rPr>
                <w:rFonts w:hint="eastAsia" w:ascii="宋体" w:hAnsi="宋体" w:cs="宋体"/>
                <w:b/>
                <w:szCs w:val="21"/>
              </w:rPr>
              <w:t>章，如未提供格式的，格式自拟；</w:t>
            </w:r>
          </w:p>
          <w:p w14:paraId="77F495AE">
            <w:pPr>
              <w:topLinePunct/>
              <w:spacing w:line="400" w:lineRule="exact"/>
              <w:ind w:firstLine="413" w:firstLineChars="196"/>
              <w:jc w:val="left"/>
              <w:rPr>
                <w:rFonts w:hint="eastAsia" w:ascii="宋体" w:hAnsi="宋体" w:cs="宋体"/>
                <w:b/>
                <w:szCs w:val="21"/>
              </w:rPr>
            </w:pPr>
            <w:r>
              <w:rPr>
                <w:rFonts w:hint="eastAsia" w:ascii="宋体" w:hAnsi="宋体" w:cs="宋体"/>
                <w:b/>
                <w:szCs w:val="21"/>
              </w:rPr>
              <w:t>2、要求“必须提供”的文件须加盖竞标人单位电子公章或自然人加盖手指指印，其中要求签字的应按第</w:t>
            </w:r>
            <w:r>
              <w:rPr>
                <w:rFonts w:hint="eastAsia" w:ascii="宋体" w:hAnsi="宋体" w:cs="宋体"/>
                <w:b/>
                <w:szCs w:val="21"/>
                <w:lang w:val="en-US" w:eastAsia="zh-CN"/>
              </w:rPr>
              <w:t>九</w:t>
            </w:r>
            <w:r>
              <w:rPr>
                <w:rFonts w:hint="eastAsia" w:ascii="宋体" w:hAnsi="宋体" w:cs="宋体"/>
                <w:b/>
                <w:szCs w:val="21"/>
              </w:rPr>
              <w:t>章格式要求签字（或加盖CA电子签章），否则</w:t>
            </w:r>
            <w:r>
              <w:rPr>
                <w:rFonts w:hint="eastAsia" w:ascii="宋体" w:hAnsi="宋体" w:cs="宋体"/>
                <w:b/>
                <w:bCs/>
                <w:szCs w:val="21"/>
              </w:rPr>
              <w:t>商务技术</w:t>
            </w:r>
            <w:r>
              <w:rPr>
                <w:rFonts w:hint="eastAsia" w:ascii="宋体" w:hAnsi="宋体" w:cs="宋体"/>
                <w:b/>
                <w:szCs w:val="21"/>
              </w:rPr>
              <w:t>文件按无效响应处理。</w:t>
            </w:r>
          </w:p>
        </w:tc>
      </w:tr>
      <w:bookmarkEnd w:id="75"/>
      <w:tr w14:paraId="20475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CEF2F83">
            <w:pPr>
              <w:spacing w:line="400" w:lineRule="exact"/>
              <w:jc w:val="center"/>
              <w:rPr>
                <w:rFonts w:hint="eastAsia" w:ascii="宋体" w:hAnsi="宋体" w:cs="宋体"/>
                <w:szCs w:val="21"/>
              </w:rPr>
            </w:pPr>
            <w:r>
              <w:rPr>
                <w:rFonts w:hint="eastAsia" w:ascii="宋体" w:hAnsi="宋体" w:cs="宋体"/>
                <w:szCs w:val="21"/>
              </w:rPr>
              <w:t>12.</w:t>
            </w:r>
            <w:r>
              <w:rPr>
                <w:rFonts w:ascii="宋体" w:hAnsi="宋体" w:cs="宋体"/>
                <w:szCs w:val="21"/>
              </w:rPr>
              <w:t>2</w:t>
            </w:r>
          </w:p>
        </w:tc>
        <w:tc>
          <w:tcPr>
            <w:tcW w:w="7912" w:type="dxa"/>
            <w:noWrap w:val="0"/>
            <w:vAlign w:val="center"/>
          </w:tcPr>
          <w:p w14:paraId="6A0F9203">
            <w:pPr>
              <w:spacing w:line="400" w:lineRule="exact"/>
              <w:jc w:val="left"/>
              <w:rPr>
                <w:rFonts w:hint="eastAsia" w:ascii="宋体" w:hAnsi="宋体" w:cs="宋体"/>
                <w:szCs w:val="21"/>
              </w:rPr>
            </w:pPr>
            <w:r>
              <w:rPr>
                <w:rFonts w:hint="eastAsia" w:ascii="宋体" w:hAnsi="宋体" w:cs="宋体"/>
                <w:szCs w:val="21"/>
              </w:rPr>
              <w:t xml:space="preserve">电子响应文件： </w:t>
            </w:r>
          </w:p>
          <w:p w14:paraId="6E8C00AB">
            <w:pPr>
              <w:numPr>
                <w:ilvl w:val="0"/>
                <w:numId w:val="7"/>
              </w:numPr>
              <w:spacing w:line="400" w:lineRule="exact"/>
              <w:ind w:firstLine="420" w:firstLineChars="200"/>
              <w:jc w:val="left"/>
              <w:rPr>
                <w:rFonts w:hint="eastAsia" w:ascii="宋体" w:hAnsi="宋体" w:cs="宋体"/>
                <w:szCs w:val="21"/>
              </w:rPr>
            </w:pPr>
            <w:r>
              <w:rPr>
                <w:rFonts w:hint="eastAsia" w:ascii="宋体" w:hAnsi="宋体" w:cs="宋体"/>
                <w:szCs w:val="21"/>
              </w:rPr>
              <w:t>供应商应按照磋商文件和</w:t>
            </w:r>
            <w:r>
              <w:rPr>
                <w:rFonts w:hint="eastAsia" w:ascii="宋体" w:hAnsi="宋体" w:cs="宋体"/>
                <w:szCs w:val="21"/>
                <w:lang w:eastAsia="zh-CN"/>
              </w:rPr>
              <w:t>广西政府采购云平台</w:t>
            </w:r>
            <w:r>
              <w:rPr>
                <w:rFonts w:hint="eastAsia" w:ascii="宋体" w:hAnsi="宋体" w:cs="宋体"/>
                <w:szCs w:val="21"/>
              </w:rPr>
              <w:t>的要求，通过“政采云电子投标客户端”编制、加密电子响应文件，并于响应文件截止时间前在</w:t>
            </w:r>
            <w:r>
              <w:rPr>
                <w:rFonts w:hint="eastAsia" w:ascii="宋体" w:hAnsi="宋体" w:cs="宋体"/>
                <w:szCs w:val="21"/>
                <w:lang w:eastAsia="zh-CN"/>
              </w:rPr>
              <w:t>广西政府采购云平台</w:t>
            </w:r>
            <w:r>
              <w:rPr>
                <w:rFonts w:hint="eastAsia" w:ascii="宋体" w:hAnsi="宋体" w:cs="宋体"/>
                <w:szCs w:val="21"/>
              </w:rPr>
              <w:t>上提交加密的电子响应文件。</w:t>
            </w:r>
          </w:p>
          <w:p w14:paraId="48CE36B7">
            <w:pPr>
              <w:spacing w:line="400" w:lineRule="exact"/>
              <w:ind w:firstLine="420" w:firstLineChars="200"/>
              <w:jc w:val="left"/>
              <w:rPr>
                <w:rFonts w:hint="eastAsia" w:ascii="宋体" w:hAnsi="宋体" w:cs="宋体"/>
                <w:szCs w:val="21"/>
              </w:rPr>
            </w:pPr>
            <w:r>
              <w:rPr>
                <w:rFonts w:hint="eastAsia" w:ascii="宋体" w:hAnsi="宋体" w:cs="宋体"/>
                <w:szCs w:val="21"/>
              </w:rPr>
              <w:t>2、未按规定传输提交电子响应文件的，视为竞标无效。</w:t>
            </w:r>
          </w:p>
        </w:tc>
      </w:tr>
      <w:tr w14:paraId="1B16D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324DAB3">
            <w:pPr>
              <w:spacing w:line="400" w:lineRule="exact"/>
              <w:jc w:val="center"/>
              <w:rPr>
                <w:rFonts w:hint="eastAsia" w:ascii="宋体" w:hAnsi="宋体" w:cs="宋体"/>
                <w:szCs w:val="21"/>
              </w:rPr>
            </w:pPr>
            <w:r>
              <w:rPr>
                <w:rFonts w:hint="eastAsia" w:ascii="宋体" w:hAnsi="宋体" w:cs="宋体"/>
                <w:szCs w:val="21"/>
              </w:rPr>
              <w:t>15.2</w:t>
            </w:r>
          </w:p>
        </w:tc>
        <w:tc>
          <w:tcPr>
            <w:tcW w:w="7912" w:type="dxa"/>
            <w:noWrap w:val="0"/>
            <w:vAlign w:val="center"/>
          </w:tcPr>
          <w:p w14:paraId="0BC6CD47">
            <w:pPr>
              <w:spacing w:line="400" w:lineRule="exact"/>
              <w:ind w:firstLine="420" w:firstLineChars="200"/>
              <w:jc w:val="left"/>
              <w:rPr>
                <w:rFonts w:hint="eastAsia" w:ascii="宋体" w:hAnsi="宋体"/>
              </w:rPr>
            </w:pPr>
            <w:r>
              <w:rPr>
                <w:rFonts w:hint="eastAsia" w:ascii="宋体" w:hAnsi="宋体"/>
                <w:szCs w:val="21"/>
                <w:lang w:eastAsia="zh-Hans"/>
              </w:rPr>
              <w:t>最后</w:t>
            </w:r>
            <w:r>
              <w:rPr>
                <w:rFonts w:hint="eastAsia" w:ascii="宋体" w:hAnsi="宋体"/>
                <w:szCs w:val="21"/>
              </w:rPr>
              <w:t>报价是履行合同的最终价格，包括完成该工程项目的成本、利润、税金、开办费、技术措施费、大型机械进出场费、风险费、政策性文件规定费用等所有费用。</w:t>
            </w:r>
          </w:p>
        </w:tc>
      </w:tr>
      <w:tr w14:paraId="0B5B4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6F77A71">
            <w:pPr>
              <w:spacing w:line="400" w:lineRule="exact"/>
              <w:jc w:val="center"/>
              <w:rPr>
                <w:rFonts w:hint="eastAsia" w:ascii="宋体" w:hAnsi="宋体" w:cs="宋体"/>
                <w:szCs w:val="21"/>
              </w:rPr>
            </w:pPr>
            <w:r>
              <w:rPr>
                <w:rFonts w:hint="eastAsia" w:ascii="宋体" w:hAnsi="宋体" w:cs="宋体"/>
                <w:szCs w:val="21"/>
              </w:rPr>
              <w:t>16.</w:t>
            </w:r>
            <w:r>
              <w:rPr>
                <w:rFonts w:ascii="宋体" w:hAnsi="宋体" w:cs="宋体"/>
                <w:szCs w:val="21"/>
              </w:rPr>
              <w:t>2</w:t>
            </w:r>
          </w:p>
        </w:tc>
        <w:tc>
          <w:tcPr>
            <w:tcW w:w="7912" w:type="dxa"/>
            <w:noWrap w:val="0"/>
            <w:vAlign w:val="center"/>
          </w:tcPr>
          <w:p w14:paraId="4B151248">
            <w:pPr>
              <w:pStyle w:val="6"/>
              <w:widowControl w:val="0"/>
              <w:tabs>
                <w:tab w:val="left" w:pos="720"/>
                <w:tab w:val="left" w:pos="840"/>
              </w:tabs>
              <w:spacing w:after="0" w:afterLines="0" w:line="400" w:lineRule="exact"/>
              <w:ind w:left="283" w:hanging="283" w:hangingChars="135"/>
              <w:rPr>
                <w:rFonts w:hint="eastAsia" w:ascii="宋体" w:hAnsi="宋体" w:cs="宋体"/>
                <w:kern w:val="2"/>
                <w:sz w:val="21"/>
                <w:szCs w:val="21"/>
              </w:rPr>
            </w:pPr>
            <w:r>
              <w:rPr>
                <w:rFonts w:hint="eastAsia" w:ascii="宋体" w:hAnsi="宋体" w:cs="宋体"/>
                <w:kern w:val="2"/>
                <w:sz w:val="21"/>
                <w:szCs w:val="21"/>
              </w:rPr>
              <w:t>竞标有效期：自首次响应文件提交截止之日起</w:t>
            </w:r>
            <w:r>
              <w:rPr>
                <w:rFonts w:ascii="宋体" w:hAnsi="宋体" w:cs="宋体"/>
                <w:kern w:val="2"/>
                <w:sz w:val="21"/>
                <w:szCs w:val="21"/>
                <w:u w:val="single"/>
              </w:rPr>
              <w:t xml:space="preserve"> 60 </w:t>
            </w:r>
            <w:r>
              <w:rPr>
                <w:rFonts w:hint="eastAsia" w:ascii="宋体" w:hAnsi="宋体" w:cs="宋体"/>
                <w:kern w:val="2"/>
                <w:sz w:val="21"/>
                <w:szCs w:val="21"/>
              </w:rPr>
              <w:t>日。</w:t>
            </w:r>
          </w:p>
        </w:tc>
      </w:tr>
      <w:tr w14:paraId="48628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3A7CEBF">
            <w:pPr>
              <w:spacing w:line="400" w:lineRule="exact"/>
              <w:jc w:val="center"/>
              <w:rPr>
                <w:rFonts w:hint="eastAsia" w:ascii="宋体" w:hAnsi="宋体" w:cs="宋体"/>
                <w:szCs w:val="21"/>
              </w:rPr>
            </w:pPr>
            <w:r>
              <w:rPr>
                <w:rFonts w:hint="eastAsia" w:ascii="宋体" w:hAnsi="宋体" w:cs="宋体"/>
                <w:szCs w:val="21"/>
              </w:rPr>
              <w:t>17.1</w:t>
            </w:r>
          </w:p>
        </w:tc>
        <w:tc>
          <w:tcPr>
            <w:tcW w:w="7912" w:type="dxa"/>
            <w:noWrap w:val="0"/>
            <w:vAlign w:val="center"/>
          </w:tcPr>
          <w:p w14:paraId="5043F59F">
            <w:pPr>
              <w:spacing w:line="400" w:lineRule="exact"/>
              <w:rPr>
                <w:rFonts w:hint="eastAsia" w:ascii="宋体" w:hAnsi="宋体" w:cs="宋体"/>
                <w:szCs w:val="21"/>
              </w:rPr>
            </w:pPr>
            <w:r>
              <w:rPr>
                <w:rFonts w:hint="eastAsia" w:ascii="宋体" w:hAnsi="宋体" w:cs="宋体"/>
                <w:szCs w:val="21"/>
              </w:rPr>
              <w:t>磋商保证金的交纳方式：银行转账、支票、汇票、本票或者银行、保险机构出具的保函、保险，禁止采用现钞方式。</w:t>
            </w:r>
          </w:p>
          <w:p w14:paraId="4437A48B">
            <w:pPr>
              <w:spacing w:line="400" w:lineRule="exact"/>
              <w:rPr>
                <w:rFonts w:hint="eastAsia" w:ascii="宋体" w:hAnsi="宋体" w:eastAsia="宋体" w:cs="宋体"/>
                <w:szCs w:val="21"/>
                <w:highlight w:val="none"/>
                <w:lang w:val="en-US" w:eastAsia="zh-CN"/>
              </w:rPr>
            </w:pPr>
            <w:r>
              <w:rPr>
                <w:rFonts w:hint="eastAsia" w:ascii="宋体" w:hAnsi="宋体" w:cs="宋体"/>
                <w:szCs w:val="21"/>
                <w:highlight w:val="none"/>
              </w:rPr>
              <w:t>磋商保证金的金额：</w:t>
            </w:r>
            <w:r>
              <w:rPr>
                <w:rFonts w:hint="eastAsia" w:ascii="宋体" w:hAnsi="宋体" w:cs="宋体"/>
                <w:kern w:val="0"/>
                <w:szCs w:val="21"/>
                <w:highlight w:val="none"/>
                <w:lang w:val="en-US" w:eastAsia="zh-CN"/>
              </w:rPr>
              <w:t>不需要提交</w:t>
            </w:r>
          </w:p>
          <w:p w14:paraId="75775114">
            <w:pPr>
              <w:spacing w:line="400" w:lineRule="exact"/>
              <w:rPr>
                <w:rFonts w:hint="eastAsia" w:ascii="宋体" w:hAnsi="宋体" w:cs="宋体"/>
                <w:szCs w:val="21"/>
              </w:rPr>
            </w:pPr>
            <w:r>
              <w:rPr>
                <w:rFonts w:hint="eastAsia" w:ascii="宋体" w:hAnsi="宋体" w:cs="宋体"/>
                <w:szCs w:val="21"/>
              </w:rPr>
              <w:t>相关要求：</w:t>
            </w:r>
          </w:p>
          <w:p w14:paraId="10635D1B">
            <w:pPr>
              <w:spacing w:line="400" w:lineRule="exact"/>
              <w:ind w:firstLine="420" w:firstLineChars="200"/>
              <w:rPr>
                <w:rFonts w:hint="eastAsia" w:ascii="宋体" w:hAnsi="宋体" w:cs="宋体"/>
                <w:szCs w:val="21"/>
              </w:rPr>
            </w:pPr>
            <w:r>
              <w:rPr>
                <w:rFonts w:hint="eastAsia" w:ascii="宋体" w:hAnsi="宋体" w:cs="宋体"/>
                <w:szCs w:val="21"/>
              </w:rPr>
              <w:t>1. 磋商保证金采用银行转账交纳方式的，在首次响应文件提交截止时间前交至采购代理机构指定账户并且到账，供应商应将银行转账底单的复印件作为磋商保证金提交凭证，放置于商务文件中，</w:t>
            </w:r>
            <w:r>
              <w:rPr>
                <w:rFonts w:hint="eastAsia" w:ascii="宋体" w:hAnsi="宋体" w:cs="宋体"/>
                <w:b/>
                <w:szCs w:val="21"/>
              </w:rPr>
              <w:t>否则响应文件按无效响应处理</w:t>
            </w:r>
            <w:r>
              <w:rPr>
                <w:rFonts w:hint="eastAsia" w:ascii="宋体" w:hAnsi="宋体" w:cs="宋体"/>
                <w:szCs w:val="21"/>
              </w:rPr>
              <w:t>。</w:t>
            </w:r>
          </w:p>
          <w:p w14:paraId="1D49DC02">
            <w:pPr>
              <w:spacing w:line="400" w:lineRule="exact"/>
              <w:ind w:firstLine="420" w:firstLineChars="200"/>
              <w:rPr>
                <w:rFonts w:hint="eastAsia" w:ascii="宋体" w:hAnsi="宋体"/>
                <w:szCs w:val="21"/>
              </w:rPr>
            </w:pPr>
            <w:r>
              <w:rPr>
                <w:rFonts w:hint="eastAsia" w:ascii="宋体" w:hAnsi="宋体"/>
                <w:szCs w:val="21"/>
              </w:rPr>
              <w:t>2.磋商保证金采用支票、汇票、本票或者金融、担保机构出具的保函交纳方式的，供应商应将支票、汇票、本票或者金融、担保机构出具的保函的复印件作为磋商保证金提交凭证，放置于</w:t>
            </w:r>
            <w:r>
              <w:rPr>
                <w:rFonts w:hint="eastAsia" w:ascii="宋体" w:hAnsi="宋体" w:cs="宋体"/>
                <w:szCs w:val="21"/>
              </w:rPr>
              <w:t>商务文件</w:t>
            </w:r>
            <w:r>
              <w:rPr>
                <w:rFonts w:hint="eastAsia" w:ascii="宋体" w:hAnsi="宋体"/>
                <w:szCs w:val="21"/>
              </w:rPr>
              <w:t>中，</w:t>
            </w:r>
            <w:r>
              <w:rPr>
                <w:rFonts w:hint="eastAsia" w:ascii="宋体" w:hAnsi="宋体" w:cs="宋体"/>
                <w:b/>
                <w:szCs w:val="21"/>
              </w:rPr>
              <w:t>否则响应文件按无效响应处理</w:t>
            </w:r>
            <w:r>
              <w:rPr>
                <w:rFonts w:hint="eastAsia" w:ascii="宋体" w:hAnsi="宋体"/>
                <w:szCs w:val="21"/>
              </w:rPr>
              <w:t>。</w:t>
            </w:r>
          </w:p>
          <w:p w14:paraId="59214804">
            <w:pPr>
              <w:pStyle w:val="8"/>
              <w:spacing w:line="400" w:lineRule="exact"/>
              <w:ind w:firstLine="420" w:firstLineChars="200"/>
              <w:rPr>
                <w:rFonts w:hint="eastAsia" w:ascii="宋体" w:hAnsi="宋体" w:cs="宋体"/>
                <w:szCs w:val="21"/>
              </w:rPr>
            </w:pPr>
            <w:r>
              <w:rPr>
                <w:rFonts w:hint="eastAsia" w:ascii="宋体" w:hAnsi="宋体" w:cs="宋体"/>
                <w:szCs w:val="21"/>
              </w:rPr>
              <w:t>3.磋商保证金指定帐户：</w:t>
            </w:r>
          </w:p>
          <w:p w14:paraId="534BEFB0">
            <w:pPr>
              <w:pStyle w:val="8"/>
              <w:spacing w:line="400" w:lineRule="exact"/>
              <w:ind w:firstLine="420" w:firstLineChars="200"/>
              <w:rPr>
                <w:rFonts w:hint="eastAsia" w:ascii="宋体" w:hAnsi="宋体" w:eastAsia="宋体"/>
                <w:szCs w:val="21"/>
                <w:lang w:eastAsia="zh-CN"/>
              </w:rPr>
            </w:pPr>
            <w:r>
              <w:rPr>
                <w:rFonts w:hint="eastAsia" w:ascii="宋体" w:hAnsi="宋体"/>
                <w:szCs w:val="21"/>
              </w:rPr>
              <w:t>开户名称：</w:t>
            </w:r>
            <w:r>
              <w:rPr>
                <w:rFonts w:hint="eastAsia" w:ascii="宋体" w:hAnsi="宋体"/>
                <w:szCs w:val="21"/>
                <w:lang w:eastAsia="zh-CN"/>
              </w:rPr>
              <w:t>广西恒盛工程集团有限公司</w:t>
            </w:r>
          </w:p>
          <w:p w14:paraId="24D3AFC5">
            <w:pPr>
              <w:pStyle w:val="8"/>
              <w:spacing w:line="400" w:lineRule="exact"/>
              <w:ind w:firstLine="420" w:firstLineChars="200"/>
              <w:rPr>
                <w:rFonts w:hint="eastAsia" w:ascii="宋体" w:hAnsi="宋体"/>
                <w:szCs w:val="21"/>
              </w:rPr>
            </w:pPr>
            <w:r>
              <w:rPr>
                <w:rFonts w:hint="eastAsia" w:ascii="宋体" w:hAnsi="宋体"/>
                <w:szCs w:val="21"/>
              </w:rPr>
              <w:t>开户银行：</w:t>
            </w:r>
            <w:r>
              <w:rPr>
                <w:rFonts w:hint="eastAsia" w:ascii="宋体" w:hAnsi="宋体"/>
                <w:szCs w:val="21"/>
                <w:lang w:val="en-US" w:eastAsia="zh-CN"/>
              </w:rPr>
              <w:t>广西百色右江农村合作银行银兴支行</w:t>
            </w:r>
          </w:p>
          <w:p w14:paraId="28445EF1">
            <w:pPr>
              <w:pStyle w:val="8"/>
              <w:spacing w:line="400" w:lineRule="exact"/>
              <w:ind w:firstLine="420" w:firstLineChars="200"/>
              <w:rPr>
                <w:rFonts w:hint="eastAsia" w:ascii="宋体" w:hAnsi="宋体" w:cs="宋体"/>
                <w:szCs w:val="21"/>
              </w:rPr>
            </w:pPr>
            <w:r>
              <w:rPr>
                <w:rFonts w:hint="eastAsia" w:ascii="宋体" w:hAnsi="宋体"/>
                <w:szCs w:val="21"/>
              </w:rPr>
              <w:t>银行账号：</w:t>
            </w:r>
            <w:r>
              <w:rPr>
                <w:rFonts w:hint="eastAsia" w:ascii="宋体" w:hAnsi="宋体"/>
                <w:szCs w:val="21"/>
                <w:lang w:val="en-US" w:eastAsia="zh-CN"/>
              </w:rPr>
              <w:t>604912010102874555</w:t>
            </w:r>
          </w:p>
          <w:p w14:paraId="36B8F9C0">
            <w:pPr>
              <w:spacing w:line="400" w:lineRule="exact"/>
              <w:rPr>
                <w:rFonts w:hint="eastAsia" w:ascii="宋体" w:hAnsi="宋体" w:cs="宋体"/>
                <w:b/>
                <w:szCs w:val="21"/>
              </w:rPr>
            </w:pPr>
            <w:r>
              <w:rPr>
                <w:rFonts w:hint="eastAsia" w:ascii="宋体" w:hAnsi="宋体" w:cs="宋体"/>
                <w:b/>
                <w:szCs w:val="21"/>
              </w:rPr>
              <w:t xml:space="preserve">备注： </w:t>
            </w:r>
          </w:p>
          <w:p w14:paraId="3E354141">
            <w:pPr>
              <w:spacing w:line="400" w:lineRule="exact"/>
              <w:ind w:firstLine="422" w:firstLineChars="200"/>
              <w:rPr>
                <w:rFonts w:hint="eastAsia" w:ascii="宋体" w:hAnsi="宋体" w:cs="宋体"/>
                <w:b/>
                <w:szCs w:val="21"/>
              </w:rPr>
            </w:pPr>
            <w:r>
              <w:rPr>
                <w:rFonts w:hint="eastAsia" w:ascii="宋体" w:hAnsi="宋体" w:cs="宋体"/>
                <w:b/>
                <w:szCs w:val="21"/>
              </w:rPr>
              <w:t>1.磋商保证金在首次响应文件提交截止时间后提交的，或者不按规定交纳方式交纳的，或者未足额交纳的（包含保函额度不足的），视为无效磋商保证金。</w:t>
            </w:r>
          </w:p>
          <w:p w14:paraId="41CF5E38">
            <w:pPr>
              <w:spacing w:line="400" w:lineRule="exact"/>
              <w:ind w:firstLine="422" w:firstLineChars="200"/>
              <w:rPr>
                <w:rFonts w:hint="eastAsia" w:ascii="宋体" w:hAnsi="宋体" w:cs="宋体"/>
                <w:b/>
                <w:szCs w:val="21"/>
              </w:rPr>
            </w:pPr>
            <w:r>
              <w:rPr>
                <w:rFonts w:hint="eastAsia" w:ascii="宋体" w:hAnsi="宋体" w:cs="宋体"/>
                <w:b/>
                <w:szCs w:val="21"/>
              </w:rPr>
              <w:t>2.供应商采用现钞方式或者从个人账户（自然人竞标除外）转出的磋商保证金，视为无效磋商保证金。</w:t>
            </w:r>
          </w:p>
          <w:p w14:paraId="25F8F110">
            <w:pPr>
              <w:spacing w:line="400" w:lineRule="exact"/>
              <w:ind w:firstLine="422" w:firstLineChars="200"/>
              <w:rPr>
                <w:rFonts w:hint="eastAsia" w:ascii="宋体" w:hAnsi="宋体" w:cs="宋体"/>
                <w:b/>
                <w:szCs w:val="21"/>
              </w:rPr>
            </w:pPr>
            <w:r>
              <w:rPr>
                <w:rFonts w:hint="eastAsia" w:ascii="宋体" w:hAnsi="宋体" w:cs="宋体"/>
                <w:b/>
                <w:szCs w:val="21"/>
              </w:rPr>
              <w:t>3.支票、汇票或者本票出现无效或者背书情形的，视为无效磋商保证金。</w:t>
            </w:r>
          </w:p>
          <w:p w14:paraId="34B7D2BE">
            <w:pPr>
              <w:spacing w:line="400" w:lineRule="exact"/>
              <w:ind w:firstLine="422" w:firstLineChars="200"/>
              <w:rPr>
                <w:rFonts w:hint="eastAsia" w:ascii="宋体" w:hAnsi="宋体" w:cs="宋体"/>
                <w:b/>
                <w:szCs w:val="21"/>
              </w:rPr>
            </w:pPr>
            <w:r>
              <w:rPr>
                <w:rFonts w:hint="eastAsia" w:ascii="宋体" w:hAnsi="宋体" w:cs="宋体"/>
                <w:b/>
                <w:szCs w:val="21"/>
              </w:rPr>
              <w:t>4.保函有效期低于竞标有效期的，视为无效磋商保证金。</w:t>
            </w:r>
          </w:p>
          <w:p w14:paraId="2FC7EF84">
            <w:pPr>
              <w:spacing w:line="400" w:lineRule="exact"/>
              <w:ind w:firstLine="422" w:firstLineChars="200"/>
              <w:rPr>
                <w:rFonts w:hint="eastAsia" w:ascii="宋体" w:hAnsi="宋体" w:cs="宋体"/>
                <w:szCs w:val="21"/>
              </w:rPr>
            </w:pPr>
            <w:r>
              <w:rPr>
                <w:rFonts w:hint="eastAsia" w:ascii="宋体" w:hAnsi="宋体" w:cs="宋体"/>
                <w:b/>
                <w:szCs w:val="21"/>
              </w:rPr>
              <w:t>5.采用金融、担保机构出具保函的，必须为无条件保函，否则视为无效磋商保证金。</w:t>
            </w:r>
          </w:p>
        </w:tc>
      </w:tr>
      <w:tr w14:paraId="2E75F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0647E43">
            <w:pPr>
              <w:spacing w:line="400" w:lineRule="exact"/>
              <w:jc w:val="center"/>
              <w:rPr>
                <w:rFonts w:hint="eastAsia" w:ascii="宋体" w:hAnsi="宋体" w:cs="宋体"/>
                <w:szCs w:val="21"/>
              </w:rPr>
            </w:pPr>
            <w:r>
              <w:rPr>
                <w:rFonts w:hint="eastAsia" w:ascii="宋体" w:hAnsi="宋体" w:cs="宋体"/>
                <w:szCs w:val="21"/>
              </w:rPr>
              <w:t>20.1</w:t>
            </w:r>
          </w:p>
        </w:tc>
        <w:tc>
          <w:tcPr>
            <w:tcW w:w="7912" w:type="dxa"/>
            <w:noWrap w:val="0"/>
            <w:vAlign w:val="center"/>
          </w:tcPr>
          <w:p w14:paraId="36B0BE99">
            <w:pPr>
              <w:spacing w:line="400" w:lineRule="exact"/>
              <w:jc w:val="left"/>
              <w:rPr>
                <w:rFonts w:hint="eastAsia" w:ascii="宋体" w:hAnsi="宋体"/>
              </w:rPr>
            </w:pPr>
            <w:r>
              <w:rPr>
                <w:rFonts w:hint="eastAsia" w:ascii="宋体" w:hAnsi="宋体"/>
              </w:rPr>
              <w:t>1</w:t>
            </w:r>
            <w:r>
              <w:rPr>
                <w:rFonts w:hint="eastAsia" w:ascii="宋体" w:hAnsi="宋体"/>
                <w:lang w:eastAsia="zh-Hans"/>
              </w:rPr>
              <w:t>.</w:t>
            </w:r>
            <w:r>
              <w:rPr>
                <w:rFonts w:hint="eastAsia" w:ascii="宋体" w:hAnsi="宋体"/>
              </w:rPr>
              <w:t>首次响应文件提交截止时间：详见竞争性磋商公告</w:t>
            </w:r>
          </w:p>
          <w:p w14:paraId="4A73830E">
            <w:pPr>
              <w:spacing w:line="400" w:lineRule="exact"/>
              <w:jc w:val="left"/>
              <w:rPr>
                <w:rFonts w:hint="eastAsia" w:ascii="宋体" w:hAnsi="宋体"/>
              </w:rPr>
            </w:pPr>
            <w:r>
              <w:rPr>
                <w:rFonts w:hint="eastAsia" w:ascii="宋体" w:hAnsi="宋体"/>
              </w:rPr>
              <w:t>2</w:t>
            </w:r>
            <w:r>
              <w:rPr>
                <w:rFonts w:hint="eastAsia" w:ascii="宋体" w:hAnsi="宋体"/>
                <w:lang w:eastAsia="zh-Hans"/>
              </w:rPr>
              <w:t>.</w:t>
            </w:r>
            <w:r>
              <w:rPr>
                <w:rFonts w:hint="eastAsia" w:ascii="宋体" w:hAnsi="宋体"/>
              </w:rPr>
              <w:t>电子响应文件解密时间：响应文件提交截止时间后30分钟内，供应商必须在此时间段内登录</w:t>
            </w:r>
            <w:r>
              <w:rPr>
                <w:rFonts w:hint="eastAsia" w:ascii="宋体" w:hAnsi="宋体"/>
                <w:lang w:eastAsia="zh-CN"/>
              </w:rPr>
              <w:t>广西政府采购云平台</w:t>
            </w:r>
            <w:r>
              <w:rPr>
                <w:rFonts w:hint="eastAsia" w:ascii="宋体" w:hAnsi="宋体"/>
              </w:rPr>
              <w:t>，完成电子响应文件的解密。若供应商在规定时间内未按时解密的视为</w:t>
            </w:r>
            <w:r>
              <w:rPr>
                <w:rFonts w:hint="eastAsia" w:ascii="宋体" w:hAnsi="宋体"/>
                <w:lang w:eastAsia="zh-Hans"/>
              </w:rPr>
              <w:t>竞标人</w:t>
            </w:r>
            <w:r>
              <w:rPr>
                <w:rFonts w:hint="eastAsia" w:ascii="宋体" w:hAnsi="宋体"/>
              </w:rPr>
              <w:t>放弃</w:t>
            </w:r>
            <w:r>
              <w:rPr>
                <w:rFonts w:hint="eastAsia" w:ascii="宋体" w:hAnsi="宋体"/>
                <w:lang w:eastAsia="zh-Hans"/>
              </w:rPr>
              <w:t>竞标</w:t>
            </w:r>
            <w:r>
              <w:rPr>
                <w:rFonts w:hint="eastAsia" w:ascii="宋体" w:hAnsi="宋体"/>
              </w:rPr>
              <w:t>。</w:t>
            </w:r>
          </w:p>
        </w:tc>
      </w:tr>
      <w:tr w14:paraId="5BD04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B15BA8D">
            <w:pPr>
              <w:spacing w:line="400" w:lineRule="exact"/>
              <w:jc w:val="center"/>
              <w:rPr>
                <w:rFonts w:hint="eastAsia" w:ascii="宋体" w:hAnsi="宋体" w:cs="宋体"/>
                <w:szCs w:val="21"/>
              </w:rPr>
            </w:pPr>
            <w:r>
              <w:rPr>
                <w:rFonts w:hint="eastAsia" w:ascii="宋体" w:hAnsi="宋体" w:cs="宋体"/>
                <w:szCs w:val="21"/>
              </w:rPr>
              <w:t>24.1</w:t>
            </w:r>
          </w:p>
        </w:tc>
        <w:tc>
          <w:tcPr>
            <w:tcW w:w="7912" w:type="dxa"/>
            <w:noWrap w:val="0"/>
            <w:vAlign w:val="center"/>
          </w:tcPr>
          <w:p w14:paraId="69B335BF">
            <w:pPr>
              <w:spacing w:line="400" w:lineRule="exact"/>
              <w:jc w:val="left"/>
              <w:rPr>
                <w:rFonts w:hint="eastAsia" w:ascii="宋体" w:hAnsi="宋体" w:cs="宋体"/>
                <w:szCs w:val="21"/>
                <w:u w:val="single"/>
              </w:rPr>
            </w:pPr>
            <w:r>
              <w:rPr>
                <w:rFonts w:hint="eastAsia" w:ascii="宋体" w:hAnsi="宋体" w:cs="宋体"/>
                <w:szCs w:val="21"/>
              </w:rPr>
              <w:t>磋商小组的人数：</w:t>
            </w:r>
            <w:r>
              <w:rPr>
                <w:rFonts w:hint="eastAsia" w:ascii="宋体" w:hAnsi="宋体" w:cs="宋体"/>
                <w:szCs w:val="21"/>
                <w:u w:val="single"/>
              </w:rPr>
              <w:t xml:space="preserve"> </w:t>
            </w:r>
            <w:r>
              <w:rPr>
                <w:rFonts w:ascii="宋体" w:hAnsi="宋体" w:cs="宋体"/>
                <w:szCs w:val="21"/>
                <w:u w:val="single"/>
              </w:rPr>
              <w:t>3</w:t>
            </w:r>
            <w:r>
              <w:rPr>
                <w:rFonts w:hint="eastAsia" w:ascii="宋体" w:hAnsi="宋体" w:cs="宋体"/>
                <w:szCs w:val="21"/>
                <w:u w:val="single"/>
              </w:rPr>
              <w:t xml:space="preserve"> </w:t>
            </w:r>
            <w:r>
              <w:rPr>
                <w:rFonts w:hint="eastAsia" w:ascii="宋体" w:hAnsi="宋体" w:cs="宋体"/>
                <w:szCs w:val="21"/>
              </w:rPr>
              <w:t>人</w:t>
            </w:r>
          </w:p>
        </w:tc>
      </w:tr>
      <w:tr w14:paraId="505C8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noWrap w:val="0"/>
            <w:vAlign w:val="center"/>
          </w:tcPr>
          <w:p w14:paraId="4A0578CF">
            <w:pPr>
              <w:spacing w:line="400" w:lineRule="exact"/>
              <w:jc w:val="center"/>
              <w:rPr>
                <w:rFonts w:hint="eastAsia" w:ascii="宋体" w:hAnsi="宋体" w:cs="宋体"/>
                <w:szCs w:val="21"/>
              </w:rPr>
            </w:pPr>
            <w:r>
              <w:rPr>
                <w:rFonts w:hint="eastAsia" w:ascii="宋体" w:hAnsi="宋体" w:cs="宋体"/>
                <w:szCs w:val="21"/>
              </w:rPr>
              <w:t>2</w:t>
            </w:r>
            <w:r>
              <w:rPr>
                <w:rFonts w:ascii="宋体" w:hAnsi="宋体" w:cs="宋体"/>
                <w:szCs w:val="21"/>
              </w:rPr>
              <w:t>6.2</w:t>
            </w:r>
          </w:p>
        </w:tc>
        <w:tc>
          <w:tcPr>
            <w:tcW w:w="7912" w:type="dxa"/>
            <w:noWrap w:val="0"/>
            <w:vAlign w:val="center"/>
          </w:tcPr>
          <w:p w14:paraId="00C9B008">
            <w:pPr>
              <w:spacing w:line="400" w:lineRule="exact"/>
              <w:rPr>
                <w:rFonts w:hint="eastAsia" w:ascii="宋体" w:hAnsi="宋体" w:cs="宋体"/>
                <w:szCs w:val="21"/>
              </w:rPr>
            </w:pPr>
            <w:r>
              <w:rPr>
                <w:rFonts w:hint="eastAsia" w:ascii="宋体" w:hAnsi="宋体" w:cs="宋体"/>
                <w:szCs w:val="21"/>
              </w:rPr>
              <w:t>商务条款评审中允许负偏离的条款数为</w:t>
            </w:r>
            <w:r>
              <w:rPr>
                <w:rFonts w:hint="eastAsia" w:ascii="宋体" w:hAnsi="宋体" w:cs="宋体"/>
                <w:szCs w:val="21"/>
                <w:u w:val="single"/>
              </w:rPr>
              <w:t xml:space="preserve"> </w:t>
            </w:r>
            <w:r>
              <w:rPr>
                <w:rFonts w:ascii="宋体" w:hAnsi="宋体" w:cs="宋体"/>
                <w:szCs w:val="21"/>
                <w:u w:val="single"/>
              </w:rPr>
              <w:t>0</w:t>
            </w:r>
            <w:r>
              <w:rPr>
                <w:rFonts w:hint="eastAsia" w:ascii="宋体" w:hAnsi="宋体" w:cs="宋体"/>
                <w:szCs w:val="21"/>
                <w:u w:val="single"/>
              </w:rPr>
              <w:t xml:space="preserve"> </w:t>
            </w:r>
            <w:r>
              <w:rPr>
                <w:rFonts w:hint="eastAsia" w:ascii="宋体" w:hAnsi="宋体" w:cs="宋体"/>
                <w:szCs w:val="21"/>
              </w:rPr>
              <w:t>项。</w:t>
            </w:r>
          </w:p>
          <w:p w14:paraId="396E5FC7">
            <w:pPr>
              <w:spacing w:line="400" w:lineRule="exact"/>
              <w:rPr>
                <w:rFonts w:hint="eastAsia" w:ascii="宋体" w:hAnsi="宋体" w:cs="宋体"/>
                <w:szCs w:val="21"/>
              </w:rPr>
            </w:pPr>
            <w:r>
              <w:rPr>
                <w:rFonts w:hint="eastAsia" w:ascii="宋体" w:hAnsi="宋体" w:cs="宋体"/>
                <w:szCs w:val="21"/>
              </w:rPr>
              <w:t>技术需求评审中允许负偏离的条款数为</w:t>
            </w:r>
            <w:r>
              <w:rPr>
                <w:rFonts w:hint="eastAsia" w:ascii="宋体" w:hAnsi="宋体" w:cs="宋体"/>
                <w:szCs w:val="21"/>
                <w:u w:val="single"/>
              </w:rPr>
              <w:t xml:space="preserve"> </w:t>
            </w:r>
            <w:r>
              <w:rPr>
                <w:rFonts w:ascii="宋体" w:hAnsi="宋体" w:cs="宋体"/>
                <w:szCs w:val="21"/>
                <w:u w:val="single"/>
              </w:rPr>
              <w:t>0</w:t>
            </w:r>
            <w:r>
              <w:rPr>
                <w:rFonts w:hint="eastAsia" w:ascii="宋体" w:hAnsi="宋体" w:cs="宋体"/>
                <w:szCs w:val="21"/>
                <w:u w:val="single"/>
              </w:rPr>
              <w:t xml:space="preserve"> </w:t>
            </w:r>
            <w:r>
              <w:rPr>
                <w:rFonts w:hint="eastAsia" w:ascii="宋体" w:hAnsi="宋体" w:cs="宋体"/>
                <w:szCs w:val="21"/>
              </w:rPr>
              <w:t>项。</w:t>
            </w:r>
          </w:p>
        </w:tc>
      </w:tr>
      <w:tr w14:paraId="04C78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0"/>
            <w:vAlign w:val="center"/>
          </w:tcPr>
          <w:p w14:paraId="2A4BD089">
            <w:pPr>
              <w:spacing w:line="400" w:lineRule="exact"/>
              <w:jc w:val="center"/>
              <w:rPr>
                <w:rFonts w:hint="eastAsia" w:ascii="宋体" w:hAnsi="宋体" w:cs="宋体"/>
                <w:szCs w:val="21"/>
              </w:rPr>
            </w:pPr>
          </w:p>
        </w:tc>
        <w:tc>
          <w:tcPr>
            <w:tcW w:w="7912" w:type="dxa"/>
            <w:noWrap w:val="0"/>
            <w:vAlign w:val="center"/>
          </w:tcPr>
          <w:p w14:paraId="3197DB17">
            <w:pPr>
              <w:pStyle w:val="8"/>
              <w:spacing w:line="400" w:lineRule="exact"/>
              <w:rPr>
                <w:rFonts w:hint="eastAsia" w:ascii="宋体" w:hAnsi="宋体" w:cs="宋体"/>
                <w:b/>
                <w:szCs w:val="21"/>
              </w:rPr>
            </w:pPr>
            <w:r>
              <w:rPr>
                <w:rFonts w:hint="eastAsia" w:ascii="宋体" w:hAnsi="宋体" w:cs="宋体"/>
                <w:szCs w:val="21"/>
              </w:rPr>
              <w:t>磋商的顺序：</w:t>
            </w:r>
            <w:r>
              <w:rPr>
                <w:rFonts w:hint="eastAsia" w:ascii="宋体" w:hAnsi="宋体" w:cs="宋体"/>
                <w:bCs/>
                <w:szCs w:val="21"/>
              </w:rPr>
              <w:t>按照响应文件的解密顺序。通知磋商时，若磋商过程中某供应商未能按时参加磋商（该供应商排序到最后磋商），按照响应文件的解密顺序由其下一位供应商先参与磋商。</w:t>
            </w:r>
          </w:p>
        </w:tc>
      </w:tr>
      <w:tr w14:paraId="49FC4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5805E92">
            <w:pPr>
              <w:spacing w:line="400" w:lineRule="exact"/>
              <w:jc w:val="center"/>
              <w:rPr>
                <w:rFonts w:hint="default" w:ascii="宋体" w:hAnsi="宋体" w:eastAsia="宋体" w:cs="宋体"/>
                <w:szCs w:val="21"/>
                <w:lang w:val="en-US" w:eastAsia="zh-CN"/>
              </w:rPr>
            </w:pPr>
            <w:r>
              <w:rPr>
                <w:rFonts w:hint="eastAsia" w:ascii="宋体" w:hAnsi="宋体" w:cs="宋体"/>
                <w:szCs w:val="21"/>
                <w:lang w:val="en-US" w:eastAsia="zh-CN"/>
              </w:rPr>
              <w:t>28</w:t>
            </w:r>
          </w:p>
        </w:tc>
        <w:tc>
          <w:tcPr>
            <w:tcW w:w="7912" w:type="dxa"/>
            <w:noWrap w:val="0"/>
            <w:vAlign w:val="center"/>
          </w:tcPr>
          <w:p w14:paraId="279EFA44">
            <w:pPr>
              <w:spacing w:line="400" w:lineRule="exact"/>
              <w:rPr>
                <w:rFonts w:hint="eastAsia" w:ascii="宋体" w:hAnsi="宋体" w:eastAsia="宋体"/>
                <w:color w:val="auto"/>
                <w:szCs w:val="21"/>
                <w:lang w:eastAsia="zh-CN"/>
              </w:rPr>
            </w:pPr>
            <w:r>
              <w:rPr>
                <w:color w:val="auto"/>
                <w:spacing w:val="7"/>
              </w:rPr>
              <w:t>履约保证金</w:t>
            </w:r>
            <w:r>
              <w:rPr>
                <w:rFonts w:hint="eastAsia"/>
                <w:color w:val="auto"/>
                <w:spacing w:val="7"/>
                <w:lang w:eastAsia="zh-CN"/>
              </w:rPr>
              <w:t>：</w:t>
            </w:r>
            <w:r>
              <w:rPr>
                <w:rFonts w:hint="eastAsia" w:ascii="宋体" w:hAnsi="宋体" w:cs="宋体"/>
                <w:color w:val="auto"/>
                <w:kern w:val="2"/>
                <w:sz w:val="21"/>
                <w:szCs w:val="21"/>
                <w:highlight w:val="none"/>
                <w:lang w:val="en-US" w:eastAsia="zh-CN" w:bidi="ar-SA"/>
              </w:rPr>
              <w:t>本项目不需要缴纳履约保证金</w:t>
            </w:r>
            <w:r>
              <w:rPr>
                <w:rFonts w:hint="eastAsia" w:ascii="宋体" w:hAnsi="宋体" w:eastAsia="宋体" w:cs="宋体"/>
                <w:color w:val="auto"/>
                <w:kern w:val="2"/>
                <w:sz w:val="21"/>
                <w:szCs w:val="21"/>
                <w:highlight w:val="none"/>
                <w:lang w:val="en-US" w:eastAsia="zh-CN" w:bidi="ar-SA"/>
              </w:rPr>
              <w:t>。</w:t>
            </w:r>
          </w:p>
        </w:tc>
      </w:tr>
      <w:tr w14:paraId="2940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0EB0339">
            <w:pPr>
              <w:spacing w:line="400" w:lineRule="exact"/>
              <w:jc w:val="center"/>
              <w:rPr>
                <w:rFonts w:hint="eastAsia" w:ascii="宋体" w:hAnsi="宋体" w:cs="宋体"/>
                <w:szCs w:val="21"/>
              </w:rPr>
            </w:pPr>
            <w:r>
              <w:rPr>
                <w:rFonts w:ascii="宋体" w:hAnsi="宋体" w:cs="宋体"/>
                <w:szCs w:val="21"/>
              </w:rPr>
              <w:t>29.1</w:t>
            </w:r>
          </w:p>
        </w:tc>
        <w:tc>
          <w:tcPr>
            <w:tcW w:w="7912" w:type="dxa"/>
            <w:noWrap w:val="0"/>
            <w:vAlign w:val="center"/>
          </w:tcPr>
          <w:p w14:paraId="4E83CCEF">
            <w:pPr>
              <w:spacing w:line="400" w:lineRule="exact"/>
              <w:rPr>
                <w:rFonts w:hint="eastAsia" w:ascii="宋体" w:hAnsi="宋体"/>
                <w:szCs w:val="21"/>
              </w:rPr>
            </w:pPr>
            <w:r>
              <w:rPr>
                <w:rFonts w:hint="eastAsia" w:ascii="宋体" w:hAnsi="宋体"/>
                <w:szCs w:val="21"/>
              </w:rPr>
              <w:t xml:space="preserve">签订合同携带的证明材料： </w:t>
            </w:r>
          </w:p>
          <w:p w14:paraId="49C64A34">
            <w:pPr>
              <w:spacing w:line="400" w:lineRule="exact"/>
              <w:rPr>
                <w:rFonts w:hint="eastAsia" w:ascii="宋体" w:hAnsi="宋体"/>
                <w:szCs w:val="21"/>
              </w:rPr>
            </w:pPr>
            <w:r>
              <w:rPr>
                <w:rFonts w:hint="eastAsia" w:ascii="宋体" w:hAnsi="宋体"/>
                <w:szCs w:val="21"/>
              </w:rPr>
              <w:t>委托代理人负责签订合同的，须携带授权委托书及委托代理人身份证原件等其他资格证件。</w:t>
            </w:r>
          </w:p>
          <w:p w14:paraId="3637E0DC">
            <w:pPr>
              <w:spacing w:line="400" w:lineRule="exact"/>
              <w:rPr>
                <w:rFonts w:hint="eastAsia" w:ascii="宋体" w:hAnsi="宋体" w:cs="宋体"/>
                <w:szCs w:val="21"/>
              </w:rPr>
            </w:pPr>
            <w:r>
              <w:rPr>
                <w:rFonts w:hint="eastAsia" w:ascii="宋体" w:hAnsi="宋体"/>
                <w:szCs w:val="21"/>
              </w:rPr>
              <w:t>法定代表人负责签订合同的，须携带法定代表人</w:t>
            </w:r>
            <w:r>
              <w:rPr>
                <w:rFonts w:ascii="宋体" w:hAnsi="宋体"/>
                <w:szCs w:val="21"/>
              </w:rPr>
              <w:t>身份证明原件</w:t>
            </w:r>
            <w:r>
              <w:rPr>
                <w:rFonts w:hint="eastAsia" w:ascii="宋体" w:hAnsi="宋体"/>
                <w:szCs w:val="21"/>
              </w:rPr>
              <w:t>及</w:t>
            </w:r>
            <w:r>
              <w:rPr>
                <w:rFonts w:ascii="宋体" w:hAnsi="宋体"/>
                <w:szCs w:val="21"/>
              </w:rPr>
              <w:t>身份证原件</w:t>
            </w:r>
            <w:r>
              <w:rPr>
                <w:rFonts w:hint="eastAsia" w:ascii="宋体" w:hAnsi="宋体"/>
                <w:szCs w:val="21"/>
              </w:rPr>
              <w:t>等其他证明材料。</w:t>
            </w:r>
          </w:p>
        </w:tc>
      </w:tr>
      <w:tr w14:paraId="66E4E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EB974A0">
            <w:pPr>
              <w:spacing w:line="400" w:lineRule="exact"/>
              <w:jc w:val="center"/>
              <w:rPr>
                <w:rFonts w:hint="eastAsia" w:ascii="宋体" w:hAnsi="宋体" w:cs="宋体"/>
                <w:szCs w:val="21"/>
              </w:rPr>
            </w:pPr>
            <w:r>
              <w:rPr>
                <w:rFonts w:ascii="宋体" w:hAnsi="宋体" w:cs="宋体"/>
                <w:szCs w:val="21"/>
              </w:rPr>
              <w:t>32.1</w:t>
            </w:r>
          </w:p>
        </w:tc>
        <w:tc>
          <w:tcPr>
            <w:tcW w:w="7912" w:type="dxa"/>
            <w:noWrap w:val="0"/>
            <w:vAlign w:val="center"/>
          </w:tcPr>
          <w:p w14:paraId="46165DC0">
            <w:pPr>
              <w:pStyle w:val="13"/>
              <w:spacing w:line="400" w:lineRule="exact"/>
              <w:rPr>
                <w:rFonts w:hint="eastAsia" w:hAnsi="宋体" w:cs="宋体"/>
                <w:sz w:val="21"/>
              </w:rPr>
            </w:pPr>
            <w:r>
              <w:rPr>
                <w:rFonts w:hint="eastAsia" w:hAnsi="宋体" w:cs="宋体"/>
                <w:sz w:val="21"/>
              </w:rPr>
              <w:t xml:space="preserve">本项目代理服务费按原国家发展计划委员会文件计价格[2002]1980号“国家计委关于印发《招标代理服务收费管理暂行办法》的通知”及国家发改委（发改价格[2015]299号文）规定标准收取，由成交供应商向采购代理机构支付。成交供应商在领取成交通知书前，一次性向采购代理机构付清全部代理服务费。 </w:t>
            </w:r>
          </w:p>
        </w:tc>
      </w:tr>
      <w:tr w14:paraId="288F7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5FF1774">
            <w:pPr>
              <w:spacing w:line="400" w:lineRule="exact"/>
              <w:jc w:val="center"/>
              <w:rPr>
                <w:rFonts w:hint="eastAsia" w:ascii="宋体" w:hAnsi="宋体" w:cs="宋体"/>
                <w:kern w:val="0"/>
                <w:szCs w:val="21"/>
              </w:rPr>
            </w:pPr>
            <w:r>
              <w:rPr>
                <w:rFonts w:hint="eastAsia" w:ascii="宋体" w:hAnsi="宋体" w:cs="宋体"/>
                <w:kern w:val="0"/>
                <w:szCs w:val="21"/>
              </w:rPr>
              <w:t>33.1</w:t>
            </w:r>
          </w:p>
        </w:tc>
        <w:tc>
          <w:tcPr>
            <w:tcW w:w="7912" w:type="dxa"/>
            <w:noWrap w:val="0"/>
            <w:vAlign w:val="center"/>
          </w:tcPr>
          <w:p w14:paraId="3B089C23">
            <w:pPr>
              <w:pStyle w:val="13"/>
              <w:spacing w:line="400" w:lineRule="exact"/>
              <w:rPr>
                <w:rFonts w:hint="eastAsia" w:hAnsi="宋体" w:cs="宋体"/>
                <w:sz w:val="21"/>
              </w:rPr>
            </w:pPr>
            <w:r>
              <w:rPr>
                <w:rFonts w:hint="eastAsia" w:hAnsi="宋体" w:cs="宋体"/>
                <w:sz w:val="21"/>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7DD7A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78F2CB7">
            <w:pPr>
              <w:spacing w:line="400" w:lineRule="exact"/>
              <w:jc w:val="center"/>
              <w:rPr>
                <w:rFonts w:hint="eastAsia" w:ascii="宋体" w:hAnsi="宋体" w:cs="宋体"/>
                <w:szCs w:val="21"/>
              </w:rPr>
            </w:pPr>
            <w:r>
              <w:rPr>
                <w:rFonts w:hint="eastAsia" w:ascii="宋体" w:hAnsi="宋体" w:cs="宋体"/>
                <w:szCs w:val="21"/>
              </w:rPr>
              <w:t>3</w:t>
            </w:r>
            <w:r>
              <w:rPr>
                <w:rFonts w:ascii="宋体" w:hAnsi="宋体" w:cs="宋体"/>
                <w:szCs w:val="21"/>
              </w:rPr>
              <w:t>3.2</w:t>
            </w:r>
          </w:p>
        </w:tc>
        <w:tc>
          <w:tcPr>
            <w:tcW w:w="7912" w:type="dxa"/>
            <w:noWrap w:val="0"/>
            <w:vAlign w:val="center"/>
          </w:tcPr>
          <w:p w14:paraId="44180855">
            <w:pPr>
              <w:pStyle w:val="13"/>
              <w:numPr>
                <w:ilvl w:val="0"/>
                <w:numId w:val="8"/>
              </w:numPr>
              <w:spacing w:line="400" w:lineRule="exact"/>
              <w:rPr>
                <w:rFonts w:hint="eastAsia" w:hAnsi="宋体" w:cs="宋体"/>
                <w:sz w:val="21"/>
              </w:rPr>
            </w:pPr>
            <w:r>
              <w:rPr>
                <w:rFonts w:hint="eastAsia" w:hAnsi="宋体" w:cs="宋体"/>
                <w:sz w:val="21"/>
              </w:rPr>
              <w:t>本磋商文件中描述供应商的“公章”是指根据我国对公章的管理规定，用供应商法定主体行为名称制作的印章（CA 电子公章），除本磋商文件有特殊规定外，供应商的财务章、部门章、分公司章、工会章、合同章、竞标/投标专用章、业务专用章及银行的转账章、现金收讫章、现金付讫章等其他形式印章均不能代替公章。</w:t>
            </w:r>
          </w:p>
          <w:p w14:paraId="4986E547">
            <w:pPr>
              <w:numPr>
                <w:ilvl w:val="0"/>
                <w:numId w:val="8"/>
              </w:numPr>
              <w:spacing w:line="400" w:lineRule="exact"/>
              <w:rPr>
                <w:rFonts w:ascii="宋体" w:hAnsi="宋体" w:cs="宋体"/>
              </w:rPr>
            </w:pPr>
            <w:r>
              <w:rPr>
                <w:rFonts w:hint="eastAsia" w:ascii="宋体" w:hAnsi="宋体" w:cs="宋体"/>
                <w:kern w:val="0"/>
                <w:szCs w:val="21"/>
              </w:rPr>
              <w:t>电子响应文件中须加盖供应商公章部分均建议采用 CA 电子</w:t>
            </w:r>
            <w:r>
              <w:rPr>
                <w:rFonts w:hint="eastAsia" w:ascii="宋体" w:hAnsi="宋体"/>
              </w:rPr>
              <w:t>公</w:t>
            </w:r>
            <w:r>
              <w:rPr>
                <w:rFonts w:hint="eastAsia" w:ascii="宋体" w:hAnsi="宋体" w:cs="宋体"/>
                <w:kern w:val="0"/>
                <w:szCs w:val="21"/>
              </w:rPr>
              <w:t>章，并根据《政府采购项目电子交易管理操作指南-供应商》及本采购文件规定的格式和顺序编制电子响应文件并进行关联定位，以便磋商小组在评审时，点击评分项可直接定位到该评审内容。如对采购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容的，由供应商自行承担。</w:t>
            </w:r>
          </w:p>
          <w:p w14:paraId="756D47B2">
            <w:pPr>
              <w:numPr>
                <w:ilvl w:val="0"/>
                <w:numId w:val="8"/>
              </w:numPr>
              <w:spacing w:line="400" w:lineRule="exact"/>
              <w:rPr>
                <w:rFonts w:hint="eastAsia" w:ascii="宋体" w:hAnsi="宋体" w:cs="宋体"/>
              </w:rPr>
            </w:pPr>
            <w:r>
              <w:rPr>
                <w:rFonts w:hint="eastAsia" w:ascii="宋体" w:hAnsi="宋体" w:cs="宋体"/>
              </w:rPr>
              <w:t>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3EE251A">
            <w:pPr>
              <w:numPr>
                <w:ilvl w:val="0"/>
                <w:numId w:val="8"/>
              </w:numPr>
              <w:spacing w:line="400" w:lineRule="exact"/>
              <w:rPr>
                <w:rFonts w:ascii="宋体" w:hAnsi="宋体"/>
              </w:rPr>
            </w:pPr>
            <w:r>
              <w:rPr>
                <w:rFonts w:hint="eastAsia" w:ascii="宋体" w:hAnsi="宋体" w:cs="宋体"/>
              </w:rPr>
              <w:t>本磋商文件中描述供应商的“签字”是指供应商的法定代表人或者委托代理人亲自在文件规定签署处亲笔写上个人的名字的行为或 CA 电子签章。</w:t>
            </w:r>
          </w:p>
          <w:p w14:paraId="41857FAE">
            <w:pPr>
              <w:numPr>
                <w:ilvl w:val="0"/>
                <w:numId w:val="8"/>
              </w:numPr>
              <w:spacing w:line="400" w:lineRule="exact"/>
              <w:rPr>
                <w:rFonts w:ascii="宋体" w:hAnsi="宋体"/>
              </w:rPr>
            </w:pPr>
            <w:r>
              <w:rPr>
                <w:rFonts w:hint="eastAsia" w:ascii="宋体" w:hAnsi="宋体" w:cs="宋体"/>
              </w:rPr>
              <w:t>CA中没有法人（负责人）或授权代表签字信息，供应商在响应文件</w:t>
            </w:r>
            <w:r>
              <w:rPr>
                <w:rFonts w:hint="eastAsia" w:ascii="宋体" w:hAnsi="宋体"/>
              </w:rPr>
              <w:t>中要求签字处签字后扫描上传（PDF格式）</w:t>
            </w:r>
            <w:r>
              <w:rPr>
                <w:rFonts w:hint="eastAsia" w:ascii="宋体" w:hAnsi="宋体" w:cs="宋体"/>
              </w:rPr>
              <w:t>。响应文件中涉及到签字的位置未按要求签字的，提供的材料视为无效。</w:t>
            </w:r>
          </w:p>
          <w:p w14:paraId="0D73FC33">
            <w:pPr>
              <w:numPr>
                <w:ilvl w:val="0"/>
                <w:numId w:val="8"/>
              </w:numPr>
              <w:spacing w:line="400" w:lineRule="exact"/>
              <w:rPr>
                <w:rFonts w:hint="eastAsia" w:ascii="宋体" w:hAnsi="宋体" w:cs="宋体"/>
              </w:rPr>
            </w:pPr>
            <w:r>
              <w:rPr>
                <w:rFonts w:hint="eastAsia" w:ascii="宋体" w:hAnsi="宋体" w:cs="宋体"/>
              </w:rPr>
              <w:t>自然人竞标的，磋商文件规定盖公章处由自然人摁手指指印。</w:t>
            </w:r>
          </w:p>
          <w:p w14:paraId="1E2E4989">
            <w:pPr>
              <w:numPr>
                <w:ilvl w:val="0"/>
                <w:numId w:val="8"/>
              </w:numPr>
              <w:spacing w:line="400" w:lineRule="exact"/>
              <w:rPr>
                <w:rFonts w:hint="eastAsia" w:ascii="宋体" w:hAnsi="宋体" w:cs="宋体"/>
              </w:rPr>
            </w:pPr>
            <w:r>
              <w:rPr>
                <w:rFonts w:hint="eastAsia" w:ascii="宋体" w:hAnsi="宋体" w:cs="宋体"/>
              </w:rPr>
              <w:t>本磋商文件所称的“以上”“以下”“以内”“届满”，包括本数；所称的“不满”“超过”“以外”，不包括本数。</w:t>
            </w:r>
          </w:p>
        </w:tc>
      </w:tr>
      <w:tr w14:paraId="11225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08CABFB">
            <w:pPr>
              <w:spacing w:line="400" w:lineRule="exact"/>
              <w:jc w:val="center"/>
              <w:rPr>
                <w:rFonts w:hint="eastAsia" w:ascii="宋体" w:hAnsi="宋体" w:cs="宋体"/>
                <w:szCs w:val="21"/>
              </w:rPr>
            </w:pPr>
            <w:r>
              <w:rPr>
                <w:rFonts w:hint="eastAsia" w:ascii="宋体" w:hAnsi="宋体" w:cs="宋体"/>
                <w:szCs w:val="21"/>
              </w:rPr>
              <w:t>3</w:t>
            </w:r>
            <w:r>
              <w:rPr>
                <w:rFonts w:ascii="宋体" w:hAnsi="宋体" w:cs="宋体"/>
                <w:szCs w:val="21"/>
              </w:rPr>
              <w:t>3.3</w:t>
            </w:r>
          </w:p>
        </w:tc>
        <w:tc>
          <w:tcPr>
            <w:tcW w:w="7912" w:type="dxa"/>
            <w:noWrap w:val="0"/>
            <w:vAlign w:val="center"/>
          </w:tcPr>
          <w:p w14:paraId="667FD6B0">
            <w:pPr>
              <w:pStyle w:val="13"/>
              <w:spacing w:line="400" w:lineRule="exact"/>
              <w:rPr>
                <w:rFonts w:hint="eastAsia" w:hAnsi="宋体" w:cs="宋体"/>
                <w:sz w:val="21"/>
              </w:rPr>
            </w:pPr>
            <w:r>
              <w:rPr>
                <w:rFonts w:hint="eastAsia" w:hAnsi="宋体" w:cs="宋体"/>
                <w:sz w:val="21"/>
              </w:rPr>
              <w:t>质量标准：达到国家施工验收规范合格标准</w:t>
            </w:r>
          </w:p>
        </w:tc>
      </w:tr>
      <w:tr w14:paraId="0F125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8024F57">
            <w:pPr>
              <w:spacing w:line="400" w:lineRule="exact"/>
              <w:jc w:val="center"/>
              <w:rPr>
                <w:rFonts w:hint="default" w:ascii="宋体" w:hAnsi="宋体" w:eastAsia="宋体" w:cs="宋体"/>
                <w:szCs w:val="21"/>
                <w:lang w:val="en-US" w:eastAsia="zh-CN"/>
              </w:rPr>
            </w:pPr>
            <w:r>
              <w:rPr>
                <w:rFonts w:hint="eastAsia" w:ascii="宋体" w:hAnsi="宋体" w:cs="宋体"/>
                <w:szCs w:val="21"/>
                <w:lang w:val="en-US" w:eastAsia="zh-CN"/>
              </w:rPr>
              <w:t>34</w:t>
            </w:r>
          </w:p>
        </w:tc>
        <w:tc>
          <w:tcPr>
            <w:tcW w:w="7912" w:type="dxa"/>
            <w:noWrap w:val="0"/>
            <w:vAlign w:val="center"/>
          </w:tcPr>
          <w:p w14:paraId="5FBE3292">
            <w:pPr>
              <w:pStyle w:val="13"/>
              <w:spacing w:line="400" w:lineRule="exact"/>
              <w:rPr>
                <w:rFonts w:hint="eastAsia" w:hAnsi="宋体" w:cs="宋体"/>
                <w:sz w:val="21"/>
              </w:rPr>
            </w:pPr>
            <w:r>
              <w:rPr>
                <w:rFonts w:hint="eastAsia" w:hAnsi="宋体" w:cs="宋体"/>
                <w:sz w:val="21"/>
              </w:rPr>
              <w:t>根据《自治区水利厅自治区发展改革委关于发布广西水利水电工程设计概 (预) 算编制规定及系列定额的通知》（桂水建设〔2025〕26号），新编规及配套系列定额自2026年3月1日起执行。本项目2026年4月编制预算期间，新编定尚未正式出版、计价软件未同步更新，本次招标控制价暂按2007 年版广西水利水电工程概（预）算编制规定及系列定额编制，后期结算按政策规定予以政策性调差。</w:t>
            </w:r>
          </w:p>
        </w:tc>
      </w:tr>
    </w:tbl>
    <w:p w14:paraId="6E4BFA99">
      <w:pPr>
        <w:pStyle w:val="3"/>
        <w:rPr>
          <w:rFonts w:hint="eastAsia" w:ascii="宋体" w:hAnsi="宋体"/>
          <w:lang w:val="en-US" w:eastAsia="zh-CN"/>
        </w:rPr>
      </w:pPr>
    </w:p>
    <w:p w14:paraId="31F7DF44">
      <w:pPr>
        <w:pStyle w:val="3"/>
        <w:rPr>
          <w:rFonts w:hint="eastAsia" w:ascii="宋体" w:hAnsi="宋体"/>
          <w:lang w:val="en-US" w:eastAsia="zh-CN"/>
        </w:rPr>
      </w:pPr>
    </w:p>
    <w:p w14:paraId="7ED50634">
      <w:pPr>
        <w:pStyle w:val="3"/>
        <w:rPr>
          <w:rFonts w:hint="eastAsia" w:ascii="宋体" w:hAnsi="宋体"/>
          <w:lang w:val="en-US" w:eastAsia="zh-CN"/>
        </w:rPr>
      </w:pPr>
    </w:p>
    <w:p w14:paraId="46879BBF">
      <w:pPr>
        <w:rPr>
          <w:rFonts w:hint="eastAsia"/>
          <w:lang w:val="en-US" w:eastAsia="zh-CN"/>
        </w:rPr>
      </w:pPr>
    </w:p>
    <w:p w14:paraId="65D1B8D6">
      <w:pPr>
        <w:pStyle w:val="9"/>
        <w:rPr>
          <w:rFonts w:hint="eastAsia"/>
          <w:lang w:val="en-US" w:eastAsia="zh-CN"/>
        </w:rPr>
      </w:pPr>
    </w:p>
    <w:p w14:paraId="5387CBD6">
      <w:pPr>
        <w:rPr>
          <w:rFonts w:hint="eastAsia"/>
          <w:lang w:val="en-US" w:eastAsia="zh-CN"/>
        </w:rPr>
      </w:pPr>
    </w:p>
    <w:p w14:paraId="2BA3C945">
      <w:pPr>
        <w:pStyle w:val="9"/>
        <w:rPr>
          <w:rFonts w:hint="eastAsia"/>
          <w:lang w:val="en-US" w:eastAsia="zh-CN"/>
        </w:rPr>
      </w:pPr>
    </w:p>
    <w:p w14:paraId="203C2452">
      <w:pPr>
        <w:rPr>
          <w:rFonts w:hint="eastAsia"/>
          <w:lang w:val="en-US" w:eastAsia="zh-CN"/>
        </w:rPr>
      </w:pPr>
    </w:p>
    <w:p w14:paraId="22755D71">
      <w:pPr>
        <w:pStyle w:val="9"/>
        <w:rPr>
          <w:rFonts w:hint="eastAsia"/>
          <w:lang w:val="en-US" w:eastAsia="zh-CN"/>
        </w:rPr>
      </w:pPr>
    </w:p>
    <w:p w14:paraId="25722029">
      <w:pPr>
        <w:rPr>
          <w:rFonts w:hint="eastAsia"/>
          <w:lang w:val="en-US" w:eastAsia="zh-CN"/>
        </w:rPr>
      </w:pPr>
    </w:p>
    <w:p w14:paraId="6081E79F">
      <w:pPr>
        <w:pStyle w:val="9"/>
        <w:rPr>
          <w:rFonts w:hint="eastAsia"/>
          <w:lang w:val="en-US" w:eastAsia="zh-CN"/>
        </w:rPr>
      </w:pPr>
    </w:p>
    <w:p w14:paraId="685F50E3">
      <w:pPr>
        <w:rPr>
          <w:rFonts w:hint="eastAsia"/>
          <w:lang w:val="en-US" w:eastAsia="zh-CN"/>
        </w:rPr>
      </w:pPr>
    </w:p>
    <w:p w14:paraId="1FA0B2FD">
      <w:pPr>
        <w:pStyle w:val="9"/>
        <w:rPr>
          <w:rFonts w:hint="eastAsia"/>
          <w:lang w:val="en-US" w:eastAsia="zh-CN"/>
        </w:rPr>
      </w:pPr>
    </w:p>
    <w:p w14:paraId="5D6EF7D4">
      <w:pPr>
        <w:rPr>
          <w:rFonts w:hint="eastAsia"/>
          <w:lang w:val="en-US" w:eastAsia="zh-CN"/>
        </w:rPr>
      </w:pPr>
    </w:p>
    <w:p w14:paraId="5DA6561A">
      <w:pPr>
        <w:pStyle w:val="9"/>
        <w:rPr>
          <w:rFonts w:hint="eastAsia"/>
          <w:lang w:val="en-US" w:eastAsia="zh-CN"/>
        </w:rPr>
      </w:pPr>
    </w:p>
    <w:p w14:paraId="310F6185">
      <w:pPr>
        <w:rPr>
          <w:rFonts w:hint="eastAsia"/>
          <w:lang w:val="en-US" w:eastAsia="zh-CN"/>
        </w:rPr>
      </w:pPr>
    </w:p>
    <w:p w14:paraId="7D3BC09C">
      <w:pPr>
        <w:pStyle w:val="3"/>
        <w:rPr>
          <w:rFonts w:hint="eastAsia" w:ascii="宋体" w:hAnsi="宋体"/>
          <w:lang w:val="en-US" w:eastAsia="zh-CN"/>
        </w:rPr>
      </w:pPr>
    </w:p>
    <w:p w14:paraId="5104BCEA">
      <w:pPr>
        <w:rPr>
          <w:rFonts w:hint="eastAsia" w:ascii="宋体" w:hAnsi="宋体"/>
          <w:lang w:val="en-US" w:eastAsia="zh-CN"/>
        </w:rPr>
      </w:pPr>
    </w:p>
    <w:p w14:paraId="2F82CC88">
      <w:pPr>
        <w:pStyle w:val="9"/>
        <w:rPr>
          <w:rFonts w:hint="eastAsia" w:ascii="宋体" w:hAnsi="宋体"/>
          <w:lang w:val="en-US" w:eastAsia="zh-CN"/>
        </w:rPr>
      </w:pPr>
    </w:p>
    <w:p w14:paraId="7E32ABB8">
      <w:pPr>
        <w:pStyle w:val="9"/>
        <w:rPr>
          <w:rFonts w:hint="eastAsia" w:ascii="宋体" w:hAnsi="宋体"/>
          <w:lang w:val="en-US" w:eastAsia="zh-CN"/>
        </w:rPr>
      </w:pPr>
    </w:p>
    <w:p w14:paraId="60379050">
      <w:pPr>
        <w:pStyle w:val="9"/>
        <w:rPr>
          <w:rFonts w:hint="eastAsia" w:ascii="宋体" w:hAnsi="宋体"/>
          <w:lang w:val="en-US" w:eastAsia="zh-CN"/>
        </w:rPr>
      </w:pPr>
    </w:p>
    <w:p w14:paraId="02A8E1F1">
      <w:pPr>
        <w:rPr>
          <w:rFonts w:hint="eastAsia"/>
          <w:lang w:val="en-US" w:eastAsia="zh-CN"/>
        </w:rPr>
      </w:pPr>
    </w:p>
    <w:p w14:paraId="4A20435E">
      <w:pPr>
        <w:pStyle w:val="9"/>
        <w:rPr>
          <w:rFonts w:hint="eastAsia"/>
          <w:lang w:val="en-US" w:eastAsia="zh-CN"/>
        </w:rPr>
      </w:pPr>
    </w:p>
    <w:p w14:paraId="620A3C68">
      <w:pPr>
        <w:pStyle w:val="3"/>
        <w:rPr>
          <w:rFonts w:hint="eastAsia" w:ascii="宋体" w:hAnsi="宋体" w:cs="Times New Roman"/>
          <w:lang w:val="en-US" w:eastAsia="zh-CN"/>
        </w:rPr>
      </w:pPr>
      <w:bookmarkStart w:id="76" w:name="_Toc827"/>
      <w:r>
        <w:rPr>
          <w:rFonts w:hint="eastAsia" w:ascii="宋体" w:hAnsi="宋体" w:cs="Times New Roman"/>
          <w:lang w:val="en-US" w:eastAsia="zh-CN"/>
        </w:rPr>
        <w:t>第三章 采购需求</w:t>
      </w:r>
      <w:bookmarkEnd w:id="76"/>
    </w:p>
    <w:tbl>
      <w:tblPr>
        <w:tblStyle w:val="20"/>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15"/>
        <w:gridCol w:w="1303"/>
        <w:gridCol w:w="885"/>
        <w:gridCol w:w="1110"/>
        <w:gridCol w:w="5115"/>
      </w:tblGrid>
      <w:tr w14:paraId="3DC4F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9628" w:type="dxa"/>
            <w:gridSpan w:val="5"/>
            <w:tcBorders>
              <w:top w:val="single" w:color="auto" w:sz="4" w:space="0"/>
            </w:tcBorders>
            <w:noWrap w:val="0"/>
            <w:vAlign w:val="top"/>
          </w:tcPr>
          <w:p w14:paraId="6F466134">
            <w:pPr>
              <w:spacing w:line="400" w:lineRule="exact"/>
              <w:jc w:val="left"/>
              <w:rPr>
                <w:rFonts w:hint="eastAsia" w:ascii="宋体" w:hAnsi="宋体" w:eastAsia="宋体" w:cs="宋体"/>
                <w:b/>
                <w:sz w:val="21"/>
                <w:szCs w:val="21"/>
              </w:rPr>
            </w:pPr>
            <w:r>
              <w:rPr>
                <w:rFonts w:hint="eastAsia" w:ascii="宋体" w:hAnsi="宋体" w:eastAsia="宋体" w:cs="宋体"/>
                <w:b/>
                <w:sz w:val="21"/>
                <w:szCs w:val="21"/>
                <w:lang w:val="en-US" w:eastAsia="zh-CN"/>
              </w:rPr>
              <w:t>一项目概况</w:t>
            </w:r>
          </w:p>
        </w:tc>
      </w:tr>
      <w:tr w14:paraId="53C43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1215" w:type="dxa"/>
            <w:noWrap w:val="0"/>
            <w:vAlign w:val="center"/>
          </w:tcPr>
          <w:p w14:paraId="052B9F7F">
            <w:pPr>
              <w:keepNext w:val="0"/>
              <w:keepLines w:val="0"/>
              <w:widowControl/>
              <w:suppressLineNumbers w:val="0"/>
              <w:jc w:val="left"/>
              <w:rPr>
                <w:rFonts w:hint="eastAsia" w:ascii="宋体" w:hAnsi="宋体" w:eastAsia="宋体" w:cs="宋体"/>
                <w:b/>
                <w:bCs/>
                <w:sz w:val="21"/>
                <w:szCs w:val="21"/>
              </w:rPr>
            </w:pPr>
            <w:r>
              <w:rPr>
                <w:rFonts w:hint="eastAsia" w:ascii="宋体" w:hAnsi="宋体" w:eastAsia="宋体" w:cs="宋体"/>
                <w:b/>
                <w:bCs/>
                <w:color w:val="000000"/>
                <w:kern w:val="0"/>
                <w:sz w:val="21"/>
                <w:szCs w:val="21"/>
                <w:lang w:val="en-US" w:eastAsia="zh-CN" w:bidi="ar"/>
              </w:rPr>
              <w:t>序号</w:t>
            </w:r>
          </w:p>
          <w:p w14:paraId="684F534D">
            <w:pPr>
              <w:spacing w:line="400" w:lineRule="exact"/>
              <w:jc w:val="center"/>
              <w:rPr>
                <w:rFonts w:hint="eastAsia" w:ascii="宋体" w:hAnsi="宋体" w:eastAsia="宋体" w:cs="宋体"/>
                <w:b/>
                <w:bCs/>
                <w:sz w:val="21"/>
                <w:szCs w:val="21"/>
              </w:rPr>
            </w:pPr>
          </w:p>
        </w:tc>
        <w:tc>
          <w:tcPr>
            <w:tcW w:w="1303" w:type="dxa"/>
            <w:noWrap w:val="0"/>
            <w:vAlign w:val="center"/>
          </w:tcPr>
          <w:p w14:paraId="34426301">
            <w:pPr>
              <w:numPr>
                <w:ilvl w:val="0"/>
                <w:numId w:val="0"/>
              </w:numPr>
              <w:topLinePunct/>
              <w:spacing w:line="400" w:lineRule="exact"/>
              <w:rPr>
                <w:rFonts w:hint="eastAsia" w:ascii="宋体" w:hAnsi="宋体" w:eastAsia="宋体" w:cs="宋体"/>
                <w:b/>
                <w:bCs/>
                <w:sz w:val="21"/>
                <w:szCs w:val="21"/>
              </w:rPr>
            </w:pPr>
            <w:r>
              <w:rPr>
                <w:rFonts w:hint="eastAsia" w:ascii="宋体" w:hAnsi="宋体" w:eastAsia="宋体" w:cs="宋体"/>
                <w:b/>
                <w:bCs/>
                <w:sz w:val="21"/>
                <w:szCs w:val="21"/>
                <w:lang w:val="en-US" w:eastAsia="zh-CN"/>
              </w:rPr>
              <w:t xml:space="preserve">服务内容 </w:t>
            </w:r>
          </w:p>
          <w:p w14:paraId="7FE2DB7D">
            <w:pPr>
              <w:numPr>
                <w:ilvl w:val="0"/>
                <w:numId w:val="0"/>
              </w:numPr>
              <w:topLinePunct/>
              <w:spacing w:line="400" w:lineRule="exact"/>
              <w:ind w:left="400" w:leftChars="0"/>
              <w:rPr>
                <w:rFonts w:hint="eastAsia" w:ascii="宋体" w:hAnsi="宋体" w:eastAsia="宋体" w:cs="宋体"/>
                <w:b/>
                <w:bCs/>
                <w:sz w:val="21"/>
                <w:szCs w:val="21"/>
              </w:rPr>
            </w:pPr>
          </w:p>
        </w:tc>
        <w:tc>
          <w:tcPr>
            <w:tcW w:w="885" w:type="dxa"/>
            <w:noWrap w:val="0"/>
            <w:vAlign w:val="center"/>
          </w:tcPr>
          <w:p w14:paraId="31C044C8">
            <w:pPr>
              <w:numPr>
                <w:ilvl w:val="0"/>
                <w:numId w:val="0"/>
              </w:numPr>
              <w:topLinePunct/>
              <w:spacing w:line="400" w:lineRule="exact"/>
              <w:rPr>
                <w:rFonts w:hint="eastAsia" w:ascii="宋体" w:hAnsi="宋体" w:eastAsia="宋体" w:cs="宋体"/>
                <w:b/>
                <w:bCs/>
                <w:sz w:val="21"/>
                <w:szCs w:val="21"/>
              </w:rPr>
            </w:pPr>
            <w:r>
              <w:rPr>
                <w:rFonts w:hint="eastAsia" w:ascii="宋体" w:hAnsi="宋体" w:eastAsia="宋体" w:cs="宋体"/>
                <w:b/>
                <w:bCs/>
                <w:sz w:val="21"/>
                <w:szCs w:val="21"/>
                <w:lang w:val="en-US" w:eastAsia="zh-CN"/>
              </w:rPr>
              <w:t xml:space="preserve">数量及单位 </w:t>
            </w:r>
          </w:p>
        </w:tc>
        <w:tc>
          <w:tcPr>
            <w:tcW w:w="1110" w:type="dxa"/>
            <w:noWrap w:val="0"/>
            <w:vAlign w:val="center"/>
          </w:tcPr>
          <w:p w14:paraId="00F2DFFB">
            <w:pPr>
              <w:numPr>
                <w:ilvl w:val="0"/>
                <w:numId w:val="0"/>
              </w:numPr>
              <w:topLinePunct/>
              <w:spacing w:line="400" w:lineRule="exact"/>
              <w:rPr>
                <w:rFonts w:hint="eastAsia" w:ascii="宋体" w:hAnsi="宋体" w:eastAsia="宋体" w:cs="宋体"/>
                <w:b/>
                <w:bCs/>
                <w:sz w:val="21"/>
                <w:szCs w:val="21"/>
              </w:rPr>
            </w:pPr>
            <w:r>
              <w:rPr>
                <w:rFonts w:hint="eastAsia" w:ascii="宋体" w:hAnsi="宋体" w:eastAsia="宋体" w:cs="宋体"/>
                <w:b/>
                <w:bCs/>
                <w:sz w:val="21"/>
                <w:szCs w:val="21"/>
                <w:lang w:val="en-US" w:eastAsia="zh-CN"/>
              </w:rPr>
              <w:t xml:space="preserve">所属行业 </w:t>
            </w:r>
          </w:p>
        </w:tc>
        <w:tc>
          <w:tcPr>
            <w:tcW w:w="5115" w:type="dxa"/>
            <w:noWrap w:val="0"/>
            <w:vAlign w:val="center"/>
          </w:tcPr>
          <w:p w14:paraId="3A804F8C">
            <w:pPr>
              <w:numPr>
                <w:ilvl w:val="0"/>
                <w:numId w:val="0"/>
              </w:numPr>
              <w:topLinePunct/>
              <w:spacing w:line="400" w:lineRule="exact"/>
              <w:ind w:left="400" w:leftChars="0"/>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技术要求</w:t>
            </w:r>
          </w:p>
          <w:p w14:paraId="1A74F922">
            <w:pPr>
              <w:numPr>
                <w:ilvl w:val="0"/>
                <w:numId w:val="0"/>
              </w:numPr>
              <w:topLinePunct/>
              <w:spacing w:line="400" w:lineRule="exact"/>
              <w:ind w:left="400" w:leftChars="0"/>
              <w:rPr>
                <w:rFonts w:hint="eastAsia" w:ascii="宋体" w:hAnsi="宋体" w:eastAsia="宋体" w:cs="宋体"/>
                <w:b/>
                <w:bCs/>
                <w:sz w:val="21"/>
                <w:szCs w:val="21"/>
              </w:rPr>
            </w:pPr>
          </w:p>
        </w:tc>
      </w:tr>
      <w:tr w14:paraId="62F2B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5" w:hRule="atLeast"/>
          <w:jc w:val="center"/>
        </w:trPr>
        <w:tc>
          <w:tcPr>
            <w:tcW w:w="1215" w:type="dxa"/>
            <w:noWrap w:val="0"/>
            <w:vAlign w:val="center"/>
          </w:tcPr>
          <w:p w14:paraId="495F9D44">
            <w:pPr>
              <w:topLinePunct/>
              <w:spacing w:line="40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303" w:type="dxa"/>
            <w:noWrap w:val="0"/>
            <w:vAlign w:val="center"/>
          </w:tcPr>
          <w:p w14:paraId="508D2CDC">
            <w:pPr>
              <w:numPr>
                <w:ilvl w:val="0"/>
                <w:numId w:val="0"/>
              </w:numPr>
              <w:topLinePunct/>
              <w:spacing w:line="400" w:lineRule="exact"/>
              <w:jc w:val="center"/>
              <w:rPr>
                <w:rFonts w:hint="eastAsia" w:ascii="宋体" w:hAnsi="宋体" w:eastAsia="宋体" w:cs="宋体"/>
                <w:sz w:val="21"/>
                <w:szCs w:val="21"/>
                <w:lang w:eastAsia="zh-CN"/>
              </w:rPr>
            </w:pPr>
            <w:r>
              <w:rPr>
                <w:rFonts w:hint="eastAsia" w:ascii="宋体" w:hAnsi="宋体" w:eastAsia="宋体" w:cs="宋体"/>
                <w:sz w:val="21"/>
                <w:szCs w:val="21"/>
              </w:rPr>
              <w:t xml:space="preserve"> </w:t>
            </w:r>
            <w:r>
              <w:rPr>
                <w:rFonts w:hint="eastAsia" w:ascii="宋体" w:hAnsi="宋体" w:cs="宋体"/>
                <w:sz w:val="21"/>
                <w:szCs w:val="21"/>
                <w:lang w:eastAsia="zh-CN"/>
              </w:rPr>
              <w:t>2026年融安县东起乡红日村上甲屯人饮灌溉工程</w:t>
            </w:r>
          </w:p>
        </w:tc>
        <w:tc>
          <w:tcPr>
            <w:tcW w:w="885" w:type="dxa"/>
            <w:noWrap w:val="0"/>
            <w:vAlign w:val="center"/>
          </w:tcPr>
          <w:p w14:paraId="03328654">
            <w:pPr>
              <w:numPr>
                <w:ilvl w:val="0"/>
                <w:numId w:val="0"/>
              </w:numPr>
              <w:topLinePunct/>
              <w:spacing w:line="400" w:lineRule="exact"/>
              <w:jc w:val="center"/>
              <w:rPr>
                <w:rFonts w:hint="default" w:ascii="宋体" w:hAnsi="宋体" w:eastAsia="宋体" w:cs="宋体"/>
                <w:sz w:val="21"/>
                <w:szCs w:val="21"/>
                <w:lang w:val="en-US"/>
              </w:rPr>
            </w:pPr>
            <w:r>
              <w:rPr>
                <w:rFonts w:hint="eastAsia" w:ascii="宋体" w:hAnsi="宋体" w:eastAsia="宋体" w:cs="宋体"/>
                <w:color w:val="000000"/>
                <w:kern w:val="0"/>
                <w:sz w:val="21"/>
                <w:szCs w:val="21"/>
                <w:lang w:val="en-US" w:eastAsia="zh-CN" w:bidi="ar"/>
              </w:rPr>
              <w:t>1项</w:t>
            </w:r>
          </w:p>
        </w:tc>
        <w:tc>
          <w:tcPr>
            <w:tcW w:w="1110" w:type="dxa"/>
            <w:noWrap w:val="0"/>
            <w:vAlign w:val="center"/>
          </w:tcPr>
          <w:p w14:paraId="6950ED89">
            <w:pPr>
              <w:numPr>
                <w:ilvl w:val="0"/>
                <w:numId w:val="0"/>
              </w:numPr>
              <w:topLinePunct/>
              <w:spacing w:line="40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建筑业</w:t>
            </w:r>
          </w:p>
          <w:p w14:paraId="5AC6D4BD">
            <w:pPr>
              <w:numPr>
                <w:ilvl w:val="0"/>
                <w:numId w:val="0"/>
              </w:numPr>
              <w:topLinePunct/>
              <w:spacing w:line="400" w:lineRule="exact"/>
              <w:ind w:left="400" w:leftChars="0"/>
              <w:rPr>
                <w:rFonts w:hint="eastAsia" w:ascii="宋体" w:hAnsi="宋体" w:eastAsia="宋体" w:cs="宋体"/>
                <w:sz w:val="21"/>
                <w:szCs w:val="21"/>
              </w:rPr>
            </w:pPr>
          </w:p>
        </w:tc>
        <w:tc>
          <w:tcPr>
            <w:tcW w:w="5115" w:type="dxa"/>
            <w:noWrap w:val="0"/>
            <w:vAlign w:val="center"/>
          </w:tcPr>
          <w:p w14:paraId="1BC28948">
            <w:pPr>
              <w:numPr>
                <w:ilvl w:val="0"/>
                <w:numId w:val="9"/>
              </w:numPr>
              <w:bidi w:val="0"/>
              <w:rPr>
                <w:rFonts w:hint="default" w:ascii="宋体" w:hAnsi="宋体" w:eastAsia="宋体" w:cs="宋体"/>
                <w:lang w:val="en-US" w:eastAsia="zh-CN"/>
              </w:rPr>
            </w:pPr>
            <w:r>
              <w:rPr>
                <w:rFonts w:hint="default" w:ascii="宋体" w:hAnsi="宋体" w:eastAsia="宋体" w:cs="宋体"/>
                <w:lang w:val="en-US" w:eastAsia="zh-CN"/>
              </w:rPr>
              <w:t>项目建设地点：融安县东起乡</w:t>
            </w:r>
          </w:p>
          <w:p w14:paraId="41B567A4">
            <w:pPr>
              <w:numPr>
                <w:ilvl w:val="0"/>
                <w:numId w:val="0"/>
              </w:numPr>
              <w:bidi w:val="0"/>
              <w:rPr>
                <w:rFonts w:hint="default" w:ascii="宋体" w:hAnsi="宋体" w:eastAsia="宋体" w:cs="宋体"/>
                <w:lang w:val="en-US" w:eastAsia="zh-CN"/>
              </w:rPr>
            </w:pPr>
            <w:r>
              <w:rPr>
                <w:rFonts w:hint="default" w:ascii="宋体" w:hAnsi="宋体" w:eastAsia="宋体" w:cs="宋体"/>
                <w:lang w:val="en-US" w:eastAsia="zh-CN"/>
              </w:rPr>
              <w:t>二、工程建设规模与内容：融安县东起乡红日村上甲屯人饮灌溉工程，新建拦砂坝及拦水坝一座（长4.2m)、过滤池一座、蓄水池一座（150m³），安装消毒设备一套，铺设管道总长约6400m，其中给水管（PE100）长度为5400m，管径DN90（1.25MPa）；灌溉主管（PE80）长度为1000m，管径DN90（0.6MPa），DN20水表201个以及管道附属工程等。；如需进一步了解详细内容，详见施工图纸及工程量清单。</w:t>
            </w:r>
          </w:p>
          <w:p w14:paraId="5DBEC80E">
            <w:pPr>
              <w:bidi w:val="0"/>
              <w:rPr>
                <w:rFonts w:hint="default" w:ascii="宋体" w:hAnsi="宋体" w:eastAsia="宋体" w:cs="宋体"/>
                <w:lang w:val="en-US" w:eastAsia="zh-CN"/>
              </w:rPr>
            </w:pPr>
            <w:r>
              <w:rPr>
                <w:rFonts w:hint="default" w:ascii="宋体" w:hAnsi="宋体" w:eastAsia="宋体" w:cs="宋体"/>
                <w:lang w:val="en-US" w:eastAsia="zh-CN"/>
              </w:rPr>
              <w:t xml:space="preserve">三、工程质量要求 </w:t>
            </w:r>
          </w:p>
          <w:p w14:paraId="5DB8AA98">
            <w:pPr>
              <w:bidi w:val="0"/>
              <w:rPr>
                <w:rFonts w:hint="default" w:ascii="宋体" w:hAnsi="宋体" w:eastAsia="宋体" w:cs="宋体"/>
                <w:lang w:val="en-US" w:eastAsia="zh-CN"/>
              </w:rPr>
            </w:pPr>
            <w:r>
              <w:rPr>
                <w:rFonts w:hint="default" w:ascii="宋体" w:hAnsi="宋体" w:eastAsia="宋体" w:cs="宋体"/>
                <w:lang w:val="en-US" w:eastAsia="zh-CN"/>
              </w:rPr>
              <w:t>达到国家施工验收规范合格标准。</w:t>
            </w:r>
          </w:p>
        </w:tc>
      </w:tr>
      <w:tr w14:paraId="2E011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jc w:val="center"/>
        </w:trPr>
        <w:tc>
          <w:tcPr>
            <w:tcW w:w="1215" w:type="dxa"/>
            <w:noWrap w:val="0"/>
            <w:vAlign w:val="center"/>
          </w:tcPr>
          <w:p w14:paraId="71FD70B0">
            <w:pPr>
              <w:keepNext w:val="0"/>
              <w:keepLines w:val="0"/>
              <w:widowControl/>
              <w:suppressLineNumbers w:val="0"/>
              <w:spacing w:line="400" w:lineRule="exact"/>
              <w:jc w:val="left"/>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▲二、商务要求 </w:t>
            </w:r>
          </w:p>
        </w:tc>
        <w:tc>
          <w:tcPr>
            <w:tcW w:w="8413" w:type="dxa"/>
            <w:gridSpan w:val="4"/>
            <w:noWrap w:val="0"/>
            <w:vAlign w:val="center"/>
          </w:tcPr>
          <w:p w14:paraId="66AEF7AC">
            <w:pPr>
              <w:keepNext w:val="0"/>
              <w:keepLines w:val="0"/>
              <w:widowControl/>
              <w:suppressLineNumbers w:val="0"/>
              <w:spacing w:line="400" w:lineRule="exact"/>
              <w:jc w:val="left"/>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 xml:space="preserve">▲二、商务要求 </w:t>
            </w:r>
          </w:p>
        </w:tc>
      </w:tr>
      <w:tr w14:paraId="0CA13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5" w:type="dxa"/>
            <w:noWrap w:val="0"/>
            <w:vAlign w:val="center"/>
          </w:tcPr>
          <w:p w14:paraId="641491CF">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序号</w:t>
            </w:r>
          </w:p>
        </w:tc>
        <w:tc>
          <w:tcPr>
            <w:tcW w:w="2188" w:type="dxa"/>
            <w:gridSpan w:val="2"/>
            <w:noWrap w:val="0"/>
            <w:vAlign w:val="center"/>
          </w:tcPr>
          <w:p w14:paraId="5413FC67">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商务条款</w:t>
            </w:r>
          </w:p>
        </w:tc>
        <w:tc>
          <w:tcPr>
            <w:tcW w:w="6225" w:type="dxa"/>
            <w:gridSpan w:val="2"/>
            <w:noWrap w:val="0"/>
            <w:vAlign w:val="center"/>
          </w:tcPr>
          <w:p w14:paraId="4547F035">
            <w:pPr>
              <w:keepNext w:val="0"/>
              <w:keepLines w:val="0"/>
              <w:widowControl/>
              <w:suppressLineNumbers w:val="0"/>
              <w:jc w:val="center"/>
              <w:rPr>
                <w:rFonts w:hint="eastAsia" w:ascii="宋体" w:hAnsi="宋体" w:eastAsia="宋体" w:cs="宋体"/>
                <w:sz w:val="21"/>
                <w:szCs w:val="21"/>
              </w:rPr>
            </w:pPr>
            <w:r>
              <w:rPr>
                <w:rFonts w:hint="eastAsia" w:ascii="宋体" w:hAnsi="宋体" w:eastAsia="宋体" w:cs="宋体"/>
                <w:b/>
                <w:bCs/>
                <w:color w:val="000000"/>
                <w:kern w:val="0"/>
                <w:sz w:val="21"/>
                <w:szCs w:val="21"/>
                <w:lang w:val="en-US" w:eastAsia="zh-CN" w:bidi="ar"/>
              </w:rPr>
              <w:t>商务要求</w:t>
            </w:r>
          </w:p>
        </w:tc>
      </w:tr>
      <w:tr w14:paraId="07560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1215" w:type="dxa"/>
            <w:noWrap w:val="0"/>
            <w:vAlign w:val="center"/>
          </w:tcPr>
          <w:p w14:paraId="0F9C3228">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2188" w:type="dxa"/>
            <w:gridSpan w:val="2"/>
            <w:noWrap w:val="0"/>
            <w:vAlign w:val="center"/>
          </w:tcPr>
          <w:p w14:paraId="50390D12">
            <w:pPr>
              <w:spacing w:line="400" w:lineRule="exact"/>
              <w:jc w:val="left"/>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 xml:space="preserve">合同签订日期 </w:t>
            </w:r>
          </w:p>
        </w:tc>
        <w:tc>
          <w:tcPr>
            <w:tcW w:w="6225" w:type="dxa"/>
            <w:gridSpan w:val="2"/>
            <w:noWrap w:val="0"/>
            <w:vAlign w:val="center"/>
          </w:tcPr>
          <w:p w14:paraId="78A15DCB">
            <w:pPr>
              <w:keepNext w:val="0"/>
              <w:keepLines w:val="0"/>
              <w:widowControl/>
              <w:suppressLineNumbers w:val="0"/>
              <w:jc w:val="left"/>
              <w:rPr>
                <w:rFonts w:hint="eastAsia" w:ascii="宋体" w:hAnsi="宋体" w:eastAsia="宋体" w:cs="宋体"/>
                <w:b/>
                <w:sz w:val="21"/>
                <w:szCs w:val="21"/>
              </w:rPr>
            </w:pPr>
            <w:r>
              <w:rPr>
                <w:rFonts w:hint="eastAsia" w:ascii="宋体" w:hAnsi="宋体" w:eastAsia="宋体" w:cs="宋体"/>
                <w:color w:val="000000"/>
                <w:kern w:val="0"/>
                <w:sz w:val="21"/>
                <w:szCs w:val="21"/>
                <w:lang w:val="en-US" w:eastAsia="zh-CN" w:bidi="ar"/>
              </w:rPr>
              <w:t xml:space="preserve">中标通知书发出后 25 日内。 </w:t>
            </w:r>
          </w:p>
        </w:tc>
      </w:tr>
      <w:tr w14:paraId="42AC4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5" w:type="dxa"/>
            <w:noWrap w:val="0"/>
            <w:vAlign w:val="center"/>
          </w:tcPr>
          <w:p w14:paraId="2B6E819D">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w:t>
            </w:r>
          </w:p>
        </w:tc>
        <w:tc>
          <w:tcPr>
            <w:tcW w:w="2188" w:type="dxa"/>
            <w:gridSpan w:val="2"/>
            <w:noWrap w:val="0"/>
            <w:vAlign w:val="center"/>
          </w:tcPr>
          <w:p w14:paraId="6D343501">
            <w:pPr>
              <w:spacing w:line="40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 xml:space="preserve">合同履约期限 </w:t>
            </w:r>
          </w:p>
        </w:tc>
        <w:tc>
          <w:tcPr>
            <w:tcW w:w="6225" w:type="dxa"/>
            <w:gridSpan w:val="2"/>
            <w:noWrap w:val="0"/>
            <w:vAlign w:val="center"/>
          </w:tcPr>
          <w:p w14:paraId="0738E779">
            <w:pPr>
              <w:pStyle w:val="8"/>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自合同签订之日起至2026年12月30日</w:t>
            </w:r>
          </w:p>
        </w:tc>
      </w:tr>
      <w:tr w14:paraId="4790F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5" w:type="dxa"/>
            <w:noWrap w:val="0"/>
            <w:vAlign w:val="center"/>
          </w:tcPr>
          <w:p w14:paraId="56831C01">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w:t>
            </w:r>
          </w:p>
        </w:tc>
        <w:tc>
          <w:tcPr>
            <w:tcW w:w="2188" w:type="dxa"/>
            <w:gridSpan w:val="2"/>
            <w:noWrap w:val="0"/>
            <w:vAlign w:val="center"/>
          </w:tcPr>
          <w:p w14:paraId="056BB8AC">
            <w:pPr>
              <w:spacing w:line="400" w:lineRule="exact"/>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提交服务成果地点</w:t>
            </w:r>
          </w:p>
        </w:tc>
        <w:tc>
          <w:tcPr>
            <w:tcW w:w="6225" w:type="dxa"/>
            <w:gridSpan w:val="2"/>
            <w:noWrap w:val="0"/>
            <w:vAlign w:val="center"/>
          </w:tcPr>
          <w:p w14:paraId="6D5E622F">
            <w:pPr>
              <w:spacing w:line="400" w:lineRule="exact"/>
              <w:jc w:val="left"/>
              <w:rPr>
                <w:rFonts w:hint="eastAsia" w:ascii="宋体" w:hAnsi="宋体" w:eastAsia="宋体" w:cs="宋体"/>
                <w:b/>
                <w:color w:val="auto"/>
                <w:sz w:val="21"/>
                <w:szCs w:val="21"/>
              </w:rPr>
            </w:pPr>
            <w:r>
              <w:rPr>
                <w:rFonts w:hint="eastAsia" w:ascii="宋体" w:hAnsi="宋体" w:eastAsia="宋体" w:cs="宋体"/>
                <w:b w:val="0"/>
                <w:bCs w:val="0"/>
                <w:color w:val="auto"/>
                <w:sz w:val="21"/>
                <w:szCs w:val="21"/>
                <w:lang w:val="en-US" w:eastAsia="zh-CN"/>
              </w:rPr>
              <w:t>采购人指定地点</w:t>
            </w:r>
          </w:p>
        </w:tc>
      </w:tr>
      <w:tr w14:paraId="7DB13B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5" w:type="dxa"/>
            <w:noWrap w:val="0"/>
            <w:vAlign w:val="center"/>
          </w:tcPr>
          <w:p w14:paraId="629A753E">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2188" w:type="dxa"/>
            <w:gridSpan w:val="2"/>
            <w:noWrap w:val="0"/>
            <w:vAlign w:val="center"/>
          </w:tcPr>
          <w:p w14:paraId="48442159">
            <w:pPr>
              <w:spacing w:line="400" w:lineRule="exact"/>
              <w:ind w:firstLine="420" w:firstLineChars="20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质量要求</w:t>
            </w:r>
          </w:p>
        </w:tc>
        <w:tc>
          <w:tcPr>
            <w:tcW w:w="6225" w:type="dxa"/>
            <w:gridSpan w:val="2"/>
            <w:noWrap w:val="0"/>
            <w:vAlign w:val="center"/>
          </w:tcPr>
          <w:p w14:paraId="090644C4">
            <w:pPr>
              <w:keepNext w:val="0"/>
              <w:keepLines w:val="0"/>
              <w:widowControl/>
              <w:suppressLineNumbers w:val="0"/>
              <w:jc w:val="left"/>
              <w:rPr>
                <w:rFonts w:hint="eastAsia" w:ascii="宋体" w:hAnsi="宋体" w:eastAsia="宋体" w:cs="宋体"/>
                <w:b/>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达到国家施工验收规范合格标准</w:t>
            </w:r>
          </w:p>
        </w:tc>
      </w:tr>
      <w:tr w14:paraId="54C94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9" w:hRule="atLeast"/>
          <w:jc w:val="center"/>
        </w:trPr>
        <w:tc>
          <w:tcPr>
            <w:tcW w:w="1215" w:type="dxa"/>
            <w:noWrap w:val="0"/>
            <w:vAlign w:val="center"/>
          </w:tcPr>
          <w:p w14:paraId="7484EBFF">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w:t>
            </w:r>
          </w:p>
        </w:tc>
        <w:tc>
          <w:tcPr>
            <w:tcW w:w="2188" w:type="dxa"/>
            <w:gridSpan w:val="2"/>
            <w:noWrap w:val="0"/>
            <w:vAlign w:val="center"/>
          </w:tcPr>
          <w:p w14:paraId="00BD06A8">
            <w:pPr>
              <w:spacing w:line="400" w:lineRule="exact"/>
              <w:ind w:firstLine="420" w:firstLineChars="200"/>
              <w:jc w:val="left"/>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项目实施要求</w:t>
            </w:r>
          </w:p>
        </w:tc>
        <w:tc>
          <w:tcPr>
            <w:tcW w:w="6225" w:type="dxa"/>
            <w:gridSpan w:val="2"/>
            <w:noWrap w:val="0"/>
            <w:vAlign w:val="center"/>
          </w:tcPr>
          <w:p w14:paraId="1C50AB0B">
            <w:pPr>
              <w:keepNext w:val="0"/>
              <w:keepLines w:val="0"/>
              <w:widowControl/>
              <w:suppressLineNumbers w:val="0"/>
              <w:jc w:val="left"/>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 xml:space="preserve">1.处理问题响应时间: 接到采购人处理问题通知后 </w:t>
            </w:r>
            <w:r>
              <w:rPr>
                <w:rFonts w:hint="eastAsia" w:ascii="宋体" w:hAnsi="宋体" w:cs="宋体"/>
                <w:b w:val="0"/>
                <w:bCs/>
                <w:color w:val="auto"/>
                <w:kern w:val="2"/>
                <w:sz w:val="21"/>
                <w:szCs w:val="21"/>
                <w:lang w:val="en-US" w:eastAsia="zh-CN" w:bidi="ar-SA"/>
              </w:rPr>
              <w:t>12</w:t>
            </w:r>
            <w:r>
              <w:rPr>
                <w:rFonts w:hint="eastAsia" w:ascii="宋体" w:hAnsi="宋体" w:eastAsia="宋体" w:cs="宋体"/>
                <w:b w:val="0"/>
                <w:bCs/>
                <w:color w:val="auto"/>
                <w:kern w:val="2"/>
                <w:sz w:val="21"/>
                <w:szCs w:val="21"/>
                <w:lang w:val="en-US" w:eastAsia="zh-CN" w:bidi="ar-SA"/>
              </w:rPr>
              <w:t xml:space="preserve"> 小时内到达采购人指定现场。 </w:t>
            </w:r>
          </w:p>
          <w:p w14:paraId="72E3111B">
            <w:pPr>
              <w:keepNext w:val="0"/>
              <w:keepLines w:val="0"/>
              <w:widowControl/>
              <w:suppressLineNumbers w:val="0"/>
              <w:jc w:val="left"/>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 xml:space="preserve">2.成交人如需更换项目管理人员，需向采购人书面申请，经采购人审批许可，替换的人员所具备的资质不得低于原人员的资质。 </w:t>
            </w:r>
          </w:p>
          <w:p w14:paraId="2C28A768">
            <w:pPr>
              <w:keepNext w:val="0"/>
              <w:keepLines w:val="0"/>
              <w:widowControl/>
              <w:suppressLineNumbers w:val="0"/>
              <w:jc w:val="left"/>
              <w:rPr>
                <w:rFonts w:hint="eastAsia" w:ascii="宋体" w:hAnsi="宋体" w:eastAsia="宋体" w:cs="宋体"/>
                <w:b/>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3，如因成交人原因导致本项目竣工验收不合格的，成交人应整改至通过竣工验收为止且自行承担相应的费用，采购人不另行支付费用。如因成交人原因导致本项目竣工验收不合格的，采购人不予支付合同款项并按合同扣罚违约金。</w:t>
            </w:r>
          </w:p>
        </w:tc>
      </w:tr>
      <w:tr w14:paraId="73026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15" w:type="dxa"/>
            <w:noWrap w:val="0"/>
            <w:vAlign w:val="center"/>
          </w:tcPr>
          <w:p w14:paraId="36427D9C">
            <w:pPr>
              <w:spacing w:line="400" w:lineRule="exact"/>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w:t>
            </w:r>
          </w:p>
        </w:tc>
        <w:tc>
          <w:tcPr>
            <w:tcW w:w="2188" w:type="dxa"/>
            <w:gridSpan w:val="2"/>
            <w:noWrap w:val="0"/>
            <w:vAlign w:val="center"/>
          </w:tcPr>
          <w:p w14:paraId="4C58AAA3">
            <w:pPr>
              <w:spacing w:line="400" w:lineRule="exact"/>
              <w:ind w:firstLine="420" w:firstLineChars="200"/>
              <w:jc w:val="lef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 xml:space="preserve">其他要求 </w:t>
            </w:r>
          </w:p>
          <w:p w14:paraId="588AA91A">
            <w:pPr>
              <w:spacing w:line="400" w:lineRule="exact"/>
              <w:ind w:firstLine="420" w:firstLineChars="200"/>
              <w:jc w:val="left"/>
              <w:rPr>
                <w:rFonts w:hint="eastAsia" w:ascii="宋体" w:hAnsi="宋体" w:eastAsia="宋体" w:cs="宋体"/>
                <w:b w:val="0"/>
                <w:bCs w:val="0"/>
                <w:color w:val="auto"/>
                <w:kern w:val="2"/>
                <w:sz w:val="21"/>
                <w:szCs w:val="21"/>
                <w:lang w:val="en-US" w:eastAsia="zh-CN" w:bidi="ar-SA"/>
              </w:rPr>
            </w:pPr>
          </w:p>
        </w:tc>
        <w:tc>
          <w:tcPr>
            <w:tcW w:w="6225" w:type="dxa"/>
            <w:gridSpan w:val="2"/>
            <w:noWrap w:val="0"/>
            <w:vAlign w:val="center"/>
          </w:tcPr>
          <w:p w14:paraId="2707B911">
            <w:pPr>
              <w:keepNext w:val="0"/>
              <w:keepLines w:val="0"/>
              <w:widowControl/>
              <w:suppressLineNumbers w:val="0"/>
              <w:jc w:val="left"/>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 xml:space="preserve">1.报价形式:综合单价报价，投标文件在综合单价报价不能超过招标控制价，否则竞标无效。本项目采用二次报价方式，竞标人的最终报价如有变动，则必须以工程量清单报价表的格式编制提交，竞标人须提前做好相关准备并按时递交最终报价文件，否则报价无效。 </w:t>
            </w:r>
          </w:p>
          <w:p w14:paraId="048B674B">
            <w:pPr>
              <w:keepNext w:val="0"/>
              <w:keepLines w:val="0"/>
              <w:widowControl/>
              <w:suppressLineNumbers w:val="0"/>
              <w:jc w:val="left"/>
              <w:rPr>
                <w:rFonts w:hint="eastAsia" w:ascii="宋体" w:hAnsi="宋体" w:eastAsia="宋体" w:cs="宋体"/>
                <w:b w:val="0"/>
                <w:bCs/>
                <w:color w:val="auto"/>
                <w:kern w:val="2"/>
                <w:sz w:val="21"/>
                <w:szCs w:val="21"/>
                <w:lang w:val="en-US" w:eastAsia="zh-CN" w:bidi="ar-SA"/>
              </w:rPr>
            </w:pPr>
            <w:r>
              <w:rPr>
                <w:rFonts w:hint="eastAsia" w:ascii="宋体" w:hAnsi="宋体" w:eastAsia="宋体" w:cs="宋体"/>
                <w:b w:val="0"/>
                <w:bCs/>
                <w:color w:val="auto"/>
                <w:kern w:val="2"/>
                <w:sz w:val="21"/>
                <w:szCs w:val="21"/>
                <w:lang w:val="en-US" w:eastAsia="zh-CN" w:bidi="ar-SA"/>
              </w:rPr>
              <w:t>2.其他要求按合同要求执行。</w:t>
            </w:r>
          </w:p>
          <w:p w14:paraId="6E913FC9">
            <w:pPr>
              <w:keepNext w:val="0"/>
              <w:keepLines w:val="0"/>
              <w:widowControl/>
              <w:suppressLineNumbers w:val="0"/>
              <w:jc w:val="left"/>
              <w:rPr>
                <w:rFonts w:hint="eastAsia" w:ascii="宋体" w:hAnsi="宋体" w:eastAsia="宋体" w:cs="宋体"/>
                <w:b/>
                <w:color w:val="auto"/>
                <w:kern w:val="2"/>
                <w:sz w:val="21"/>
                <w:szCs w:val="21"/>
                <w:lang w:val="en-US" w:eastAsia="zh-CN" w:bidi="ar-SA"/>
              </w:rPr>
            </w:pPr>
          </w:p>
        </w:tc>
      </w:tr>
    </w:tbl>
    <w:p w14:paraId="23AE276E">
      <w:pPr>
        <w:pStyle w:val="2"/>
        <w:jc w:val="center"/>
        <w:rPr>
          <w:rFonts w:hint="eastAsia" w:ascii="宋体" w:hAnsi="宋体"/>
        </w:rPr>
      </w:pPr>
      <w:r>
        <w:rPr>
          <w:rFonts w:ascii="宋体" w:hAnsi="宋体"/>
        </w:rPr>
        <w:br w:type="page"/>
      </w:r>
      <w:bookmarkStart w:id="77" w:name="_Toc25925"/>
      <w:bookmarkStart w:id="78" w:name="_Toc6593"/>
      <w:bookmarkStart w:id="79" w:name="_Toc117860043"/>
      <w:r>
        <w:rPr>
          <w:rFonts w:hint="eastAsia" w:ascii="宋体" w:hAnsi="宋体"/>
        </w:rPr>
        <w:t>供应商须知正文</w:t>
      </w:r>
      <w:bookmarkEnd w:id="77"/>
      <w:bookmarkEnd w:id="78"/>
      <w:bookmarkEnd w:id="79"/>
    </w:p>
    <w:p w14:paraId="7028E2CD">
      <w:pPr>
        <w:spacing w:line="400" w:lineRule="exact"/>
        <w:jc w:val="center"/>
        <w:rPr>
          <w:rFonts w:hint="eastAsia" w:ascii="宋体" w:hAnsi="宋体"/>
          <w:b/>
          <w:sz w:val="32"/>
          <w:szCs w:val="32"/>
        </w:rPr>
      </w:pPr>
    </w:p>
    <w:p w14:paraId="509138E6">
      <w:pPr>
        <w:pStyle w:val="2"/>
        <w:spacing w:line="400" w:lineRule="exact"/>
        <w:rPr>
          <w:rFonts w:hint="eastAsia" w:ascii="宋体" w:hAnsi="宋体"/>
        </w:rPr>
      </w:pPr>
      <w:bookmarkStart w:id="80" w:name="_Toc117860044"/>
      <w:bookmarkStart w:id="81" w:name="_Toc27165"/>
      <w:bookmarkStart w:id="82" w:name="_Toc27864"/>
      <w:r>
        <w:rPr>
          <w:rFonts w:hint="eastAsia" w:ascii="宋体" w:hAnsi="宋体"/>
        </w:rPr>
        <w:t>一、总则</w:t>
      </w:r>
      <w:bookmarkEnd w:id="80"/>
      <w:bookmarkEnd w:id="81"/>
      <w:bookmarkEnd w:id="82"/>
    </w:p>
    <w:p w14:paraId="1AAEB1AB">
      <w:pPr>
        <w:spacing w:line="400" w:lineRule="exact"/>
        <w:ind w:firstLine="482" w:firstLineChars="200"/>
        <w:outlineLvl w:val="2"/>
        <w:rPr>
          <w:rFonts w:hint="eastAsia" w:ascii="宋体" w:hAnsi="宋体" w:cs="宋体"/>
          <w:b/>
          <w:bCs/>
          <w:sz w:val="24"/>
        </w:rPr>
      </w:pPr>
      <w:bookmarkStart w:id="83" w:name="_Toc3383"/>
      <w:bookmarkStart w:id="84" w:name="_Toc117860045"/>
      <w:bookmarkStart w:id="85" w:name="_Toc2192"/>
      <w:r>
        <w:rPr>
          <w:rFonts w:hint="eastAsia" w:ascii="宋体" w:hAnsi="宋体" w:cs="宋体"/>
          <w:b/>
          <w:bCs/>
          <w:sz w:val="24"/>
        </w:rPr>
        <w:t>1.适用范围</w:t>
      </w:r>
      <w:bookmarkEnd w:id="83"/>
      <w:bookmarkEnd w:id="84"/>
      <w:bookmarkEnd w:id="85"/>
    </w:p>
    <w:p w14:paraId="0CF3D086">
      <w:pPr>
        <w:spacing w:line="400" w:lineRule="exact"/>
        <w:ind w:firstLine="420" w:firstLineChars="200"/>
        <w:rPr>
          <w:rFonts w:hint="eastAsia" w:ascii="宋体" w:hAnsi="宋体" w:cs="宋体"/>
          <w:szCs w:val="21"/>
        </w:rPr>
      </w:pPr>
      <w:r>
        <w:rPr>
          <w:rFonts w:hint="eastAsia" w:ascii="宋体" w:hAnsi="宋体" w:cs="宋体"/>
          <w:szCs w:val="21"/>
        </w:rPr>
        <w:t>1.1本项目采购人、采购代理机构、供应商、磋商小组的相关行为均受《中华人民共和国政府采购法》《中华人民共和国政府采购法实施条例》</w:t>
      </w:r>
      <w:r>
        <w:rPr>
          <w:rFonts w:hint="eastAsia" w:ascii="宋体" w:hAnsi="宋体"/>
          <w:szCs w:val="21"/>
        </w:rPr>
        <w:t>《政府采购竞争性磋商采购方式管理暂行办法》《财政部关于政府采购竞争性磋商采购方式管理暂行办法有关问题的补充通知》</w:t>
      </w:r>
      <w:r>
        <w:rPr>
          <w:rFonts w:hint="eastAsia" w:ascii="宋体" w:hAnsi="宋体" w:cs="宋体"/>
          <w:szCs w:val="21"/>
        </w:rPr>
        <w:t>及本项目本级和上级财政部门政府采购有关规定的约束和保护。</w:t>
      </w:r>
    </w:p>
    <w:p w14:paraId="1BFD56D4">
      <w:pPr>
        <w:spacing w:line="400" w:lineRule="exact"/>
        <w:ind w:firstLine="420" w:firstLineChars="200"/>
        <w:rPr>
          <w:rFonts w:hint="eastAsia" w:ascii="宋体" w:hAnsi="宋体" w:cs="宋体"/>
          <w:szCs w:val="21"/>
        </w:rPr>
      </w:pPr>
      <w:r>
        <w:rPr>
          <w:rFonts w:hint="eastAsia" w:ascii="宋体" w:hAnsi="宋体" w:cs="宋体"/>
          <w:szCs w:val="21"/>
        </w:rPr>
        <w:t>1.2</w:t>
      </w:r>
      <w:r>
        <w:rPr>
          <w:rFonts w:hint="eastAsia" w:ascii="宋体" w:hAnsi="宋体" w:cs="宋体"/>
          <w:spacing w:val="-6"/>
          <w:szCs w:val="21"/>
        </w:rPr>
        <w:t>本竞争性磋商文件（以下简称磋商文件）适用于本项目的所有采购程序和环节（法律、法规另有规定的，从其规定）。</w:t>
      </w:r>
    </w:p>
    <w:p w14:paraId="6C707B0D">
      <w:pPr>
        <w:spacing w:line="400" w:lineRule="exact"/>
        <w:ind w:firstLine="482" w:firstLineChars="200"/>
        <w:outlineLvl w:val="2"/>
        <w:rPr>
          <w:rFonts w:hint="eastAsia" w:ascii="宋体" w:hAnsi="宋体" w:cs="宋体"/>
          <w:b/>
          <w:bCs/>
          <w:sz w:val="24"/>
        </w:rPr>
      </w:pPr>
      <w:bookmarkStart w:id="86" w:name="_Toc117860046"/>
      <w:bookmarkStart w:id="87" w:name="_Toc1599"/>
      <w:bookmarkStart w:id="88" w:name="_Toc12497"/>
      <w:r>
        <w:rPr>
          <w:rFonts w:hint="eastAsia" w:ascii="宋体" w:hAnsi="宋体" w:cs="宋体"/>
          <w:b/>
          <w:bCs/>
          <w:sz w:val="24"/>
        </w:rPr>
        <w:t>2.定义</w:t>
      </w:r>
      <w:bookmarkEnd w:id="86"/>
      <w:bookmarkEnd w:id="87"/>
      <w:bookmarkEnd w:id="88"/>
    </w:p>
    <w:p w14:paraId="68E6DF29">
      <w:pPr>
        <w:spacing w:line="400" w:lineRule="exact"/>
        <w:ind w:firstLine="420" w:firstLineChars="200"/>
        <w:rPr>
          <w:rFonts w:hint="eastAsia" w:ascii="宋体" w:hAnsi="宋体" w:cs="宋体"/>
          <w:szCs w:val="21"/>
        </w:rPr>
      </w:pPr>
      <w:r>
        <w:rPr>
          <w:rFonts w:hint="eastAsia" w:ascii="宋体" w:hAnsi="宋体" w:cs="宋体"/>
          <w:szCs w:val="21"/>
        </w:rPr>
        <w:t>2.1“采购人”是指依法进行政府采购的国家机关、事业单位、团体组织。</w:t>
      </w:r>
    </w:p>
    <w:p w14:paraId="5E689392">
      <w:pPr>
        <w:spacing w:line="400" w:lineRule="exact"/>
        <w:ind w:firstLine="420" w:firstLineChars="200"/>
        <w:rPr>
          <w:rFonts w:hint="eastAsia" w:ascii="宋体" w:hAnsi="宋体" w:cs="宋体"/>
          <w:szCs w:val="21"/>
          <w:u w:val="single"/>
        </w:rPr>
      </w:pPr>
      <w:r>
        <w:rPr>
          <w:rFonts w:hint="eastAsia" w:ascii="宋体" w:hAnsi="宋体" w:cs="宋体"/>
          <w:szCs w:val="21"/>
        </w:rPr>
        <w:t>2.2“采购代理机构”是指政府采购代理机构（以下简称采购代理机构）是指集中采购机构以外、受采购人委托从事政府采购代理业务的社会中介机构。</w:t>
      </w:r>
    </w:p>
    <w:p w14:paraId="4A882562">
      <w:pPr>
        <w:spacing w:line="400" w:lineRule="exact"/>
        <w:ind w:firstLine="420" w:firstLineChars="200"/>
        <w:rPr>
          <w:rFonts w:hint="eastAsia" w:ascii="宋体" w:hAnsi="宋体" w:cs="宋体"/>
          <w:szCs w:val="21"/>
        </w:rPr>
      </w:pPr>
      <w:r>
        <w:rPr>
          <w:rFonts w:hint="eastAsia" w:ascii="宋体" w:hAnsi="宋体" w:cs="宋体"/>
          <w:szCs w:val="21"/>
        </w:rPr>
        <w:t>2.3“供应商”是指向采购人提供货物、工程或者服务的法人、其他组织或者自然人。</w:t>
      </w:r>
    </w:p>
    <w:p w14:paraId="070FBF30">
      <w:pPr>
        <w:spacing w:line="400" w:lineRule="exact"/>
        <w:ind w:firstLine="420" w:firstLineChars="200"/>
        <w:rPr>
          <w:rFonts w:hint="eastAsia" w:ascii="宋体" w:hAnsi="宋体" w:cs="宋体"/>
          <w:szCs w:val="21"/>
        </w:rPr>
      </w:pPr>
      <w:r>
        <w:rPr>
          <w:rFonts w:hint="eastAsia" w:ascii="宋体" w:hAnsi="宋体"/>
          <w:szCs w:val="21"/>
        </w:rPr>
        <w:t>2.4</w:t>
      </w:r>
      <w:r>
        <w:rPr>
          <w:rFonts w:hint="eastAsia" w:ascii="宋体" w:hAnsi="宋体" w:cs="宋体"/>
          <w:szCs w:val="21"/>
        </w:rPr>
        <w:t>“货物”是指各种形态和种类的物品，包括原材料、燃料、设备、产品等。</w:t>
      </w:r>
    </w:p>
    <w:p w14:paraId="7A7A5926">
      <w:pPr>
        <w:spacing w:line="400" w:lineRule="exact"/>
        <w:ind w:firstLine="420" w:firstLineChars="200"/>
        <w:rPr>
          <w:rFonts w:hint="eastAsia" w:ascii="宋体" w:hAnsi="宋体" w:cs="宋体"/>
          <w:szCs w:val="21"/>
        </w:rPr>
      </w:pPr>
      <w:r>
        <w:rPr>
          <w:rFonts w:hint="eastAsia" w:ascii="宋体" w:hAnsi="宋体" w:cs="宋体"/>
          <w:szCs w:val="21"/>
        </w:rPr>
        <w:t>2.</w:t>
      </w:r>
      <w:r>
        <w:rPr>
          <w:rFonts w:ascii="宋体" w:hAnsi="宋体" w:cs="宋体"/>
          <w:szCs w:val="21"/>
        </w:rPr>
        <w:t>5</w:t>
      </w:r>
      <w:r>
        <w:rPr>
          <w:rFonts w:hint="eastAsia" w:ascii="宋体" w:hAnsi="宋体" w:cs="宋体"/>
          <w:szCs w:val="21"/>
        </w:rPr>
        <w:t>“竞标”是指供应商按照本项目竞争性磋商公告或者邀请函规定的方式获取磋商文件、提交响应文件并希望获得标的的行为。</w:t>
      </w:r>
    </w:p>
    <w:p w14:paraId="0E593B2E">
      <w:pPr>
        <w:spacing w:line="400" w:lineRule="exact"/>
        <w:ind w:firstLine="420" w:firstLineChars="200"/>
        <w:rPr>
          <w:rFonts w:hint="eastAsia"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“响应文件”</w:t>
      </w:r>
      <w:r>
        <w:rPr>
          <w:rFonts w:hint="eastAsia" w:ascii="宋体" w:hAnsi="宋体" w:cs="宋体"/>
          <w:spacing w:val="-6"/>
          <w:szCs w:val="21"/>
        </w:rPr>
        <w:t>是指：供应商根据本磋商文件要求，编制包含资格证明、报价商务技术等所有内容的文件。</w:t>
      </w:r>
    </w:p>
    <w:p w14:paraId="4F78D3C6">
      <w:pPr>
        <w:spacing w:line="400" w:lineRule="exact"/>
        <w:ind w:firstLine="420" w:firstLineChars="200"/>
        <w:rPr>
          <w:rFonts w:hint="eastAsia" w:ascii="宋体" w:hAnsi="宋体" w:cs="宋体"/>
          <w:szCs w:val="21"/>
        </w:rPr>
      </w:pPr>
      <w:r>
        <w:rPr>
          <w:rFonts w:hint="eastAsia" w:ascii="宋体" w:hAnsi="宋体" w:cs="宋体"/>
          <w:szCs w:val="21"/>
        </w:rPr>
        <w:t>2.</w:t>
      </w:r>
      <w:r>
        <w:rPr>
          <w:rFonts w:ascii="宋体" w:hAnsi="宋体" w:cs="宋体"/>
          <w:szCs w:val="21"/>
        </w:rPr>
        <w:t>7</w:t>
      </w:r>
      <w:r>
        <w:rPr>
          <w:rFonts w:hint="eastAsia" w:ascii="宋体" w:hAnsi="宋体" w:cs="宋体"/>
          <w:szCs w:val="21"/>
        </w:rPr>
        <w:t>“实质性要求”是指磋商文件中已经指明不满足则响应文件按无效响应处理的条款，或者不能负偏离的条款，或者采购需求中带“▲”的条款。</w:t>
      </w:r>
    </w:p>
    <w:p w14:paraId="100C9899">
      <w:pPr>
        <w:spacing w:line="40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8</w:t>
      </w:r>
      <w:r>
        <w:rPr>
          <w:rFonts w:hint="eastAsia" w:ascii="宋体" w:hAnsi="宋体" w:cs="宋体"/>
          <w:szCs w:val="21"/>
        </w:rPr>
        <w:t>“正偏离”，是指响应文件对磋商文件“采购需求”中有关条款作出的响应优于条款要求并有利于采购人的情形。</w:t>
      </w:r>
    </w:p>
    <w:p w14:paraId="17F9464B">
      <w:pPr>
        <w:spacing w:line="400" w:lineRule="exact"/>
        <w:ind w:firstLine="420" w:firstLineChars="200"/>
        <w:rPr>
          <w:rFonts w:hint="eastAsia" w:ascii="宋体" w:hAnsi="宋体" w:cs="宋体"/>
          <w:szCs w:val="21"/>
        </w:rPr>
      </w:pPr>
      <w:r>
        <w:rPr>
          <w:rFonts w:ascii="宋体" w:hAnsi="宋体" w:cs="宋体"/>
          <w:szCs w:val="21"/>
        </w:rPr>
        <w:t>2.9</w:t>
      </w:r>
      <w:r>
        <w:rPr>
          <w:rFonts w:hint="eastAsia" w:ascii="宋体" w:hAnsi="宋体" w:cs="宋体"/>
          <w:szCs w:val="21"/>
        </w:rPr>
        <w:t>“负偏离”，是指响应文件对磋商文件“采购需求”中有关条款作出的响应不满足条款要求，导致采购人要求不能得到满足的情形。</w:t>
      </w:r>
    </w:p>
    <w:p w14:paraId="30C37F89">
      <w:pPr>
        <w:spacing w:line="400" w:lineRule="exact"/>
        <w:ind w:firstLine="420" w:firstLineChars="200"/>
        <w:rPr>
          <w:rFonts w:hint="eastAsia" w:ascii="宋体" w:hAnsi="宋体" w:cs="宋体"/>
          <w:szCs w:val="21"/>
        </w:rPr>
      </w:pPr>
      <w:r>
        <w:rPr>
          <w:rFonts w:hint="eastAsia" w:ascii="宋体" w:hAnsi="宋体" w:cs="宋体"/>
          <w:szCs w:val="21"/>
        </w:rPr>
        <w:t>2.10“允许负偏离的条款”是指采购需求中的不属于“实质性要求”的条款。</w:t>
      </w:r>
    </w:p>
    <w:p w14:paraId="689A834D">
      <w:pPr>
        <w:spacing w:line="400" w:lineRule="exact"/>
        <w:ind w:firstLine="420" w:firstLineChars="200"/>
        <w:rPr>
          <w:rFonts w:hint="eastAsia" w:ascii="宋体" w:hAnsi="宋体" w:cs="宋体"/>
          <w:szCs w:val="21"/>
        </w:rPr>
      </w:pPr>
      <w:r>
        <w:rPr>
          <w:rFonts w:hint="eastAsia" w:ascii="宋体" w:hAnsi="宋体" w:cs="宋体"/>
          <w:szCs w:val="21"/>
        </w:rPr>
        <w:t>2.</w:t>
      </w:r>
      <w:r>
        <w:rPr>
          <w:rFonts w:ascii="宋体" w:hAnsi="宋体" w:cs="宋体"/>
          <w:szCs w:val="21"/>
        </w:rPr>
        <w:t>11</w:t>
      </w:r>
      <w:r>
        <w:rPr>
          <w:rFonts w:hint="eastAsia" w:ascii="宋体" w:hAnsi="宋体" w:cs="宋体"/>
          <w:szCs w:val="21"/>
        </w:rPr>
        <w:t>“书面形式”是指合同书、信件和数据电文（包括电报、电传、传真、电子数据交换和电子邮件）等可以有形地表现所载内容的形式。</w:t>
      </w:r>
    </w:p>
    <w:p w14:paraId="742BBC1F">
      <w:pPr>
        <w:spacing w:line="400" w:lineRule="exact"/>
        <w:ind w:firstLine="420" w:firstLineChars="200"/>
        <w:rPr>
          <w:rFonts w:hint="eastAsia" w:ascii="宋体" w:hAnsi="宋体" w:cs="宋体"/>
          <w:szCs w:val="21"/>
        </w:rPr>
      </w:pPr>
      <w:r>
        <w:rPr>
          <w:rFonts w:hint="eastAsia" w:ascii="宋体" w:hAnsi="宋体" w:cs="宋体"/>
          <w:szCs w:val="21"/>
        </w:rPr>
        <w:t>2.</w:t>
      </w:r>
      <w:r>
        <w:rPr>
          <w:rFonts w:ascii="宋体" w:hAnsi="宋体" w:cs="宋体"/>
          <w:szCs w:val="21"/>
        </w:rPr>
        <w:t>12</w:t>
      </w:r>
      <w:r>
        <w:rPr>
          <w:rFonts w:hint="eastAsia" w:ascii="宋体" w:hAnsi="宋体" w:cs="宋体"/>
          <w:szCs w:val="21"/>
        </w:rPr>
        <w:t>“首次报价”是指供应商提交的首次响应文件中的报价。</w:t>
      </w:r>
    </w:p>
    <w:p w14:paraId="6C923838">
      <w:pPr>
        <w:spacing w:line="400" w:lineRule="exact"/>
        <w:ind w:firstLine="420" w:firstLineChars="200"/>
        <w:rPr>
          <w:rFonts w:hint="eastAsia" w:ascii="宋体" w:hAnsi="宋体" w:cs="宋体"/>
          <w:szCs w:val="21"/>
        </w:rPr>
      </w:pPr>
      <w:r>
        <w:rPr>
          <w:rFonts w:hint="eastAsia" w:ascii="宋体" w:hAnsi="宋体" w:cs="宋体"/>
          <w:szCs w:val="21"/>
        </w:rPr>
        <w:t>2.1</w:t>
      </w:r>
      <w:r>
        <w:rPr>
          <w:rFonts w:ascii="宋体" w:hAnsi="宋体" w:cs="宋体"/>
          <w:szCs w:val="21"/>
        </w:rPr>
        <w:t>3</w:t>
      </w:r>
      <w:r>
        <w:rPr>
          <w:rFonts w:hint="eastAsia" w:ascii="宋体" w:hAnsi="宋体" w:cs="宋体"/>
          <w:szCs w:val="21"/>
        </w:rPr>
        <w:t>“评审价”是指供应商提交的最后报价并经修正（如有）和政策功能价格扣除（如有）后的价格。</w:t>
      </w:r>
    </w:p>
    <w:p w14:paraId="41FF686E">
      <w:pPr>
        <w:spacing w:line="400" w:lineRule="exact"/>
        <w:ind w:firstLine="482" w:firstLineChars="200"/>
        <w:outlineLvl w:val="2"/>
        <w:rPr>
          <w:rFonts w:ascii="宋体" w:hAnsi="宋体" w:cs="宋体"/>
          <w:b/>
          <w:bCs/>
          <w:sz w:val="24"/>
        </w:rPr>
      </w:pPr>
      <w:bookmarkStart w:id="89" w:name="_Toc22188"/>
      <w:bookmarkStart w:id="90" w:name="_Toc117860047"/>
      <w:bookmarkStart w:id="91" w:name="_Toc20074"/>
      <w:r>
        <w:rPr>
          <w:rFonts w:hint="eastAsia" w:ascii="宋体" w:hAnsi="宋体" w:cs="宋体"/>
          <w:b/>
          <w:bCs/>
          <w:sz w:val="24"/>
        </w:rPr>
        <w:t>3.供应商的资格条件</w:t>
      </w:r>
      <w:bookmarkEnd w:id="89"/>
      <w:bookmarkEnd w:id="90"/>
      <w:bookmarkEnd w:id="91"/>
    </w:p>
    <w:p w14:paraId="0241762B">
      <w:pPr>
        <w:spacing w:line="400" w:lineRule="exact"/>
        <w:ind w:firstLine="420" w:firstLineChars="200"/>
        <w:rPr>
          <w:rFonts w:hint="eastAsia" w:ascii="宋体" w:hAnsi="宋体" w:cs="宋体"/>
          <w:szCs w:val="21"/>
        </w:rPr>
      </w:pPr>
      <w:r>
        <w:rPr>
          <w:rFonts w:hint="eastAsia" w:ascii="宋体" w:hAnsi="宋体" w:cs="宋体"/>
          <w:szCs w:val="21"/>
        </w:rPr>
        <w:t>供应商的资格条件详见“供应商须知前附表”。</w:t>
      </w:r>
    </w:p>
    <w:p w14:paraId="366DCC37">
      <w:pPr>
        <w:spacing w:line="400" w:lineRule="exact"/>
        <w:ind w:firstLine="482" w:firstLineChars="200"/>
        <w:outlineLvl w:val="2"/>
        <w:rPr>
          <w:rFonts w:hint="eastAsia" w:ascii="宋体" w:hAnsi="宋体" w:cs="宋体"/>
          <w:b/>
          <w:bCs/>
          <w:sz w:val="24"/>
        </w:rPr>
      </w:pPr>
      <w:bookmarkStart w:id="92" w:name="_Toc19700"/>
      <w:bookmarkStart w:id="93" w:name="_Toc117860048"/>
      <w:bookmarkStart w:id="94" w:name="_Toc22290"/>
      <w:r>
        <w:rPr>
          <w:rFonts w:hint="eastAsia" w:ascii="宋体" w:hAnsi="宋体" w:cs="宋体"/>
          <w:b/>
          <w:bCs/>
          <w:sz w:val="24"/>
        </w:rPr>
        <w:t>4.竞标费用</w:t>
      </w:r>
      <w:bookmarkEnd w:id="92"/>
      <w:bookmarkEnd w:id="93"/>
      <w:bookmarkEnd w:id="94"/>
    </w:p>
    <w:p w14:paraId="3C6B250F">
      <w:pPr>
        <w:spacing w:line="400" w:lineRule="exact"/>
        <w:ind w:firstLine="420" w:firstLineChars="200"/>
        <w:rPr>
          <w:rFonts w:hint="eastAsia" w:ascii="宋体" w:hAnsi="宋体" w:cs="宋体"/>
          <w:szCs w:val="21"/>
        </w:rPr>
      </w:pPr>
      <w:r>
        <w:rPr>
          <w:rFonts w:hint="eastAsia" w:ascii="宋体" w:hAnsi="宋体" w:cs="宋体"/>
          <w:szCs w:val="21"/>
        </w:rPr>
        <w:t>供应商应承担参与本次采购活动有关的所有费用，包括但不限于获取磋商文件、勘查现场、编制和提交响应文件、参加磋商与应答、签订合同等，不论竞标结果如何，均应自行承担。</w:t>
      </w:r>
    </w:p>
    <w:p w14:paraId="2A370F86">
      <w:pPr>
        <w:spacing w:line="400" w:lineRule="exact"/>
        <w:ind w:firstLine="482" w:firstLineChars="200"/>
        <w:outlineLvl w:val="2"/>
        <w:rPr>
          <w:rFonts w:hint="eastAsia" w:ascii="宋体" w:hAnsi="宋体" w:cs="宋体"/>
          <w:b/>
          <w:bCs/>
          <w:sz w:val="24"/>
        </w:rPr>
      </w:pPr>
      <w:bookmarkStart w:id="95" w:name="_Toc10114"/>
      <w:bookmarkStart w:id="96" w:name="_Toc26828"/>
      <w:bookmarkStart w:id="97" w:name="_Toc117860049"/>
      <w:r>
        <w:rPr>
          <w:rFonts w:hint="eastAsia" w:ascii="宋体" w:hAnsi="宋体" w:cs="宋体"/>
          <w:b/>
          <w:bCs/>
          <w:sz w:val="24"/>
        </w:rPr>
        <w:t>5.联合体竞标</w:t>
      </w:r>
      <w:bookmarkEnd w:id="95"/>
      <w:bookmarkEnd w:id="96"/>
      <w:bookmarkEnd w:id="97"/>
    </w:p>
    <w:p w14:paraId="2E672278">
      <w:pPr>
        <w:spacing w:line="400" w:lineRule="exact"/>
        <w:ind w:firstLine="420" w:firstLineChars="200"/>
        <w:rPr>
          <w:rFonts w:hint="eastAsia" w:ascii="宋体" w:hAnsi="宋体" w:cs="宋体"/>
          <w:szCs w:val="21"/>
        </w:rPr>
      </w:pPr>
      <w:r>
        <w:rPr>
          <w:rFonts w:hint="eastAsia" w:ascii="宋体" w:hAnsi="宋体" w:cs="宋体"/>
          <w:szCs w:val="21"/>
        </w:rPr>
        <w:t>5.1本项目是否接受联合体竞标，详见“供应商须知前附表”。</w:t>
      </w:r>
    </w:p>
    <w:p w14:paraId="6F428F8F">
      <w:pPr>
        <w:spacing w:line="400" w:lineRule="exact"/>
        <w:ind w:firstLine="420" w:firstLineChars="200"/>
        <w:rPr>
          <w:rFonts w:hint="eastAsia" w:ascii="宋体" w:hAnsi="宋体" w:cs="宋体"/>
          <w:szCs w:val="21"/>
        </w:rPr>
      </w:pPr>
      <w:r>
        <w:rPr>
          <w:rFonts w:hint="eastAsia" w:ascii="宋体" w:hAnsi="宋体" w:cs="宋体"/>
          <w:szCs w:val="21"/>
        </w:rPr>
        <w:t>5.2如接受联合体竞标，联合体竞标要求详见“供应商须知前附表”。</w:t>
      </w:r>
    </w:p>
    <w:p w14:paraId="50457467">
      <w:pPr>
        <w:spacing w:line="400" w:lineRule="exact"/>
        <w:ind w:firstLine="420" w:firstLineChars="200"/>
        <w:rPr>
          <w:rFonts w:hint="eastAsia" w:ascii="宋体" w:hAnsi="宋体" w:cs="宋体"/>
          <w:szCs w:val="21"/>
        </w:rPr>
      </w:pPr>
      <w:r>
        <w:rPr>
          <w:rFonts w:hint="eastAsia" w:ascii="宋体" w:hAnsi="宋体" w:cs="宋体"/>
          <w:szCs w:val="21"/>
        </w:rPr>
        <w:t>5.3根据《国务院关于印发扎实稳住经济一揽子政策措施的通知》（国发[2022]12号）、《政府采购促进中小企业发展管理办法》（财库[2020]46号）、《关于进一步加大政府采购支持中小</w:t>
      </w:r>
      <w:r>
        <w:rPr>
          <w:rFonts w:hint="eastAsia" w:ascii="宋体" w:hAnsi="宋体"/>
          <w:bCs/>
          <w:szCs w:val="21"/>
        </w:rPr>
        <w:t>企业力度的通知》（财库[2022]19号)、 《广西壮族自治区财政厅关于进一步发挥政府采购政策功能促进企业发展的通知》（桂财采[2022]30号)、《关于对政府采购领域扶持中小企业的政策进行调整的通知》（柳财采[2022]18号）的规定，允许大中型企业向一家或者多家小微企业分包的采购项目，对于分包意向协议约定小微企业的合同份额占到合同总金额</w:t>
      </w:r>
      <w:r>
        <w:rPr>
          <w:rFonts w:ascii="宋体" w:hAnsi="宋体"/>
          <w:bCs/>
          <w:szCs w:val="21"/>
        </w:rPr>
        <w:t>3</w:t>
      </w:r>
      <w:r>
        <w:rPr>
          <w:rFonts w:hint="eastAsia" w:ascii="宋体" w:hAnsi="宋体"/>
          <w:bCs/>
          <w:szCs w:val="21"/>
        </w:rPr>
        <w:t>0%以上的，采购人、采购代理机构应当对大中型企业的报价给予1%的扣除，用扣除后的价格参加评审。接受分包的小微企业与分包企业之间存在直接控股、管理关系的，不享受价格扣除优惠政策。</w:t>
      </w:r>
    </w:p>
    <w:p w14:paraId="4B75007F">
      <w:pPr>
        <w:spacing w:line="400" w:lineRule="exact"/>
        <w:ind w:firstLine="482" w:firstLineChars="200"/>
        <w:outlineLvl w:val="2"/>
        <w:rPr>
          <w:rFonts w:hint="eastAsia" w:ascii="宋体" w:hAnsi="宋体" w:cs="宋体"/>
          <w:b/>
          <w:bCs/>
          <w:sz w:val="24"/>
        </w:rPr>
      </w:pPr>
      <w:bookmarkStart w:id="98" w:name="_Toc762"/>
      <w:bookmarkStart w:id="99" w:name="_Toc117860050"/>
      <w:bookmarkStart w:id="100" w:name="_Toc16597"/>
      <w:r>
        <w:rPr>
          <w:rFonts w:hint="eastAsia" w:ascii="宋体" w:hAnsi="宋体" w:cs="宋体"/>
          <w:b/>
          <w:bCs/>
          <w:sz w:val="24"/>
        </w:rPr>
        <w:t>6.转包与分包</w:t>
      </w:r>
      <w:bookmarkEnd w:id="98"/>
      <w:bookmarkEnd w:id="99"/>
      <w:bookmarkEnd w:id="100"/>
      <w:r>
        <w:rPr>
          <w:rFonts w:hint="eastAsia" w:ascii="宋体" w:hAnsi="宋体" w:cs="宋体"/>
          <w:b/>
          <w:bCs/>
          <w:sz w:val="24"/>
        </w:rPr>
        <w:t xml:space="preserve">             </w:t>
      </w:r>
    </w:p>
    <w:p w14:paraId="7B7C6B81">
      <w:pPr>
        <w:spacing w:line="400" w:lineRule="exact"/>
        <w:ind w:firstLine="420" w:firstLineChars="200"/>
        <w:rPr>
          <w:rFonts w:hint="eastAsia" w:ascii="宋体" w:hAnsi="宋体"/>
          <w:bCs/>
          <w:szCs w:val="21"/>
        </w:rPr>
      </w:pPr>
      <w:r>
        <w:rPr>
          <w:rFonts w:hint="eastAsia" w:ascii="宋体" w:hAnsi="宋体"/>
          <w:bCs/>
          <w:szCs w:val="21"/>
        </w:rPr>
        <w:t>6.1本项目不允许转包。</w:t>
      </w:r>
    </w:p>
    <w:p w14:paraId="2C222B6D">
      <w:pPr>
        <w:spacing w:line="400" w:lineRule="exact"/>
        <w:ind w:firstLine="420" w:firstLineChars="200"/>
        <w:rPr>
          <w:rFonts w:hint="eastAsia" w:ascii="宋体" w:hAnsi="宋体"/>
          <w:bCs/>
          <w:szCs w:val="21"/>
        </w:rPr>
      </w:pPr>
      <w:r>
        <w:rPr>
          <w:rFonts w:ascii="宋体" w:hAnsi="宋体"/>
          <w:bCs/>
          <w:szCs w:val="21"/>
        </w:rPr>
        <w:t>6</w:t>
      </w:r>
      <w:r>
        <w:rPr>
          <w:rFonts w:hint="eastAsia" w:ascii="宋体" w:hAnsi="宋体"/>
          <w:bCs/>
          <w:szCs w:val="21"/>
        </w:rPr>
        <w:t>.</w:t>
      </w:r>
      <w:r>
        <w:rPr>
          <w:rFonts w:ascii="宋体" w:hAnsi="宋体"/>
          <w:bCs/>
          <w:szCs w:val="21"/>
        </w:rPr>
        <w:t>2</w:t>
      </w:r>
      <w:r>
        <w:rPr>
          <w:rFonts w:hint="eastAsia" w:ascii="宋体" w:hAnsi="宋体"/>
          <w:bCs/>
          <w:szCs w:val="21"/>
        </w:rPr>
        <w:t>本项目是否允许分包及分包要求详见“供应商须知前附表”，本项目不允许违法分包。</w:t>
      </w:r>
    </w:p>
    <w:p w14:paraId="0945F30C">
      <w:pPr>
        <w:spacing w:line="400" w:lineRule="exact"/>
        <w:ind w:firstLine="482" w:firstLineChars="200"/>
        <w:outlineLvl w:val="2"/>
        <w:rPr>
          <w:rFonts w:hint="eastAsia" w:ascii="宋体" w:hAnsi="宋体" w:cs="宋体"/>
          <w:b/>
          <w:bCs/>
          <w:sz w:val="24"/>
        </w:rPr>
      </w:pPr>
      <w:bookmarkStart w:id="101" w:name="_Toc254970532"/>
      <w:bookmarkStart w:id="102" w:name="_Toc5720"/>
      <w:bookmarkStart w:id="103" w:name="_Toc254970673"/>
      <w:bookmarkStart w:id="104" w:name="_Toc117860051"/>
      <w:bookmarkStart w:id="105" w:name="_Toc3856"/>
      <w:r>
        <w:rPr>
          <w:rFonts w:hint="eastAsia" w:ascii="宋体" w:hAnsi="宋体" w:cs="宋体"/>
          <w:b/>
          <w:bCs/>
          <w:sz w:val="24"/>
        </w:rPr>
        <w:t>7.特别说明</w:t>
      </w:r>
      <w:bookmarkEnd w:id="101"/>
      <w:bookmarkEnd w:id="102"/>
      <w:bookmarkEnd w:id="103"/>
      <w:bookmarkEnd w:id="104"/>
      <w:bookmarkEnd w:id="105"/>
    </w:p>
    <w:p w14:paraId="1CC32261">
      <w:pPr>
        <w:spacing w:line="400" w:lineRule="exact"/>
        <w:ind w:firstLine="420" w:firstLineChars="200"/>
        <w:rPr>
          <w:rFonts w:hint="eastAsia" w:ascii="宋体" w:hAnsi="宋体"/>
          <w:bCs/>
        </w:rPr>
      </w:pPr>
      <w:bookmarkStart w:id="106" w:name="_8.1提供相同品牌产品且通过资格审查、符合性审查的不同投标人参加同一合"/>
      <w:bookmarkEnd w:id="106"/>
      <w:r>
        <w:rPr>
          <w:rFonts w:ascii="宋体" w:hAnsi="宋体"/>
          <w:bCs/>
        </w:rPr>
        <w:fldChar w:fldCharType="begin"/>
      </w:r>
      <w:r>
        <w:rPr>
          <w:rFonts w:ascii="宋体" w:hAnsi="宋体"/>
          <w:bCs/>
        </w:rPr>
        <w:instrText xml:space="preserve"> HYPERLINK  \l "_8.1" </w:instrText>
      </w:r>
      <w:r>
        <w:rPr>
          <w:rFonts w:ascii="宋体" w:hAnsi="宋体"/>
          <w:bCs/>
        </w:rPr>
        <w:fldChar w:fldCharType="separate"/>
      </w:r>
      <w:r>
        <w:rPr>
          <w:rFonts w:ascii="宋体" w:hAnsi="宋体"/>
          <w:bCs/>
        </w:rPr>
        <w:t>7</w:t>
      </w:r>
      <w:r>
        <w:rPr>
          <w:rFonts w:hint="eastAsia" w:ascii="宋体" w:hAnsi="宋体"/>
          <w:bCs/>
        </w:rPr>
        <w:t>.1</w:t>
      </w:r>
      <w:r>
        <w:rPr>
          <w:rFonts w:ascii="宋体" w:hAnsi="宋体"/>
          <w:bCs/>
        </w:rPr>
        <w:fldChar w:fldCharType="end"/>
      </w:r>
      <w:r>
        <w:rPr>
          <w:rFonts w:hint="eastAsia" w:ascii="宋体" w:hAnsi="宋体"/>
          <w:bCs/>
        </w:rPr>
        <w:t>提供相同品牌产品且通过资格审查、符合性审查的不同</w:t>
      </w:r>
      <w:r>
        <w:rPr>
          <w:rFonts w:hint="eastAsia" w:ascii="宋体" w:hAnsi="宋体"/>
          <w:bCs/>
          <w:lang w:eastAsia="zh-Hans"/>
        </w:rPr>
        <w:t>竞标人</w:t>
      </w:r>
      <w:r>
        <w:rPr>
          <w:rFonts w:hint="eastAsia" w:ascii="宋体" w:hAnsi="宋体"/>
          <w:bCs/>
        </w:rPr>
        <w:t>参加同一合同项下</w:t>
      </w:r>
      <w:r>
        <w:rPr>
          <w:rFonts w:hint="eastAsia" w:ascii="宋体" w:hAnsi="宋体"/>
          <w:bCs/>
          <w:lang w:eastAsia="zh-Hans"/>
        </w:rPr>
        <w:t>竞标</w:t>
      </w:r>
      <w:r>
        <w:rPr>
          <w:rFonts w:hint="eastAsia" w:ascii="宋体" w:hAnsi="宋体"/>
          <w:bCs/>
        </w:rPr>
        <w:t>的，按一家</w:t>
      </w:r>
      <w:r>
        <w:rPr>
          <w:rFonts w:hint="eastAsia" w:ascii="宋体" w:hAnsi="宋体"/>
          <w:bCs/>
          <w:lang w:eastAsia="zh-Hans"/>
        </w:rPr>
        <w:t>竞标</w:t>
      </w:r>
      <w:r>
        <w:rPr>
          <w:rFonts w:hint="eastAsia" w:ascii="宋体" w:hAnsi="宋体"/>
          <w:bCs/>
        </w:rPr>
        <w:t>人计算，评审后得分最高的同品牌</w:t>
      </w:r>
      <w:r>
        <w:rPr>
          <w:rFonts w:hint="eastAsia" w:ascii="宋体" w:hAnsi="宋体"/>
          <w:bCs/>
          <w:lang w:eastAsia="zh-Hans"/>
        </w:rPr>
        <w:t>竞标人</w:t>
      </w:r>
      <w:r>
        <w:rPr>
          <w:rFonts w:hint="eastAsia" w:ascii="宋体" w:hAnsi="宋体"/>
          <w:bCs/>
        </w:rPr>
        <w:t>获得</w:t>
      </w:r>
      <w:r>
        <w:rPr>
          <w:rFonts w:hint="eastAsia" w:ascii="宋体" w:hAnsi="宋体"/>
          <w:bCs/>
          <w:lang w:eastAsia="zh-Hans"/>
        </w:rPr>
        <w:t>成交人</w:t>
      </w:r>
      <w:r>
        <w:rPr>
          <w:rFonts w:hint="eastAsia" w:ascii="宋体" w:hAnsi="宋体"/>
          <w:bCs/>
        </w:rPr>
        <w:t>推荐资格；评审得分相同的，由采购人或者采购人委托评标委员会采取随机抽取的方式确定一个</w:t>
      </w:r>
      <w:r>
        <w:rPr>
          <w:rFonts w:hint="eastAsia" w:ascii="宋体" w:hAnsi="宋体"/>
          <w:bCs/>
          <w:lang w:eastAsia="zh-Hans"/>
        </w:rPr>
        <w:t>竞标人</w:t>
      </w:r>
      <w:r>
        <w:rPr>
          <w:rFonts w:hint="eastAsia" w:ascii="宋体" w:hAnsi="宋体"/>
          <w:bCs/>
        </w:rPr>
        <w:t>获得</w:t>
      </w:r>
      <w:r>
        <w:rPr>
          <w:rFonts w:hint="eastAsia" w:ascii="宋体" w:hAnsi="宋体"/>
          <w:bCs/>
          <w:lang w:eastAsia="zh-Hans"/>
        </w:rPr>
        <w:t>成交人</w:t>
      </w:r>
      <w:r>
        <w:rPr>
          <w:rFonts w:hint="eastAsia" w:ascii="宋体" w:hAnsi="宋体"/>
          <w:bCs/>
        </w:rPr>
        <w:t>推荐资格，其他同品牌</w:t>
      </w:r>
      <w:r>
        <w:rPr>
          <w:rFonts w:hint="eastAsia" w:ascii="宋体" w:hAnsi="宋体"/>
          <w:bCs/>
          <w:lang w:eastAsia="zh-Hans"/>
        </w:rPr>
        <w:t>竞标</w:t>
      </w:r>
      <w:r>
        <w:rPr>
          <w:rFonts w:hint="eastAsia" w:ascii="宋体" w:hAnsi="宋体"/>
          <w:bCs/>
        </w:rPr>
        <w:t>人不作为</w:t>
      </w:r>
      <w:r>
        <w:rPr>
          <w:rFonts w:hint="eastAsia" w:ascii="宋体" w:hAnsi="宋体"/>
          <w:bCs/>
          <w:lang w:eastAsia="zh-Hans"/>
        </w:rPr>
        <w:t>成交</w:t>
      </w:r>
      <w:r>
        <w:rPr>
          <w:rFonts w:hint="eastAsia" w:ascii="宋体" w:hAnsi="宋体"/>
          <w:bCs/>
        </w:rPr>
        <w:t>候选人。</w:t>
      </w:r>
    </w:p>
    <w:p w14:paraId="664E3A70">
      <w:pPr>
        <w:pStyle w:val="13"/>
        <w:snapToGrid w:val="0"/>
        <w:spacing w:line="400" w:lineRule="exact"/>
        <w:ind w:left="2" w:leftChars="1" w:firstLine="420" w:firstLineChars="200"/>
        <w:rPr>
          <w:rFonts w:hint="eastAsia" w:hAnsi="宋体"/>
          <w:kern w:val="2"/>
          <w:sz w:val="21"/>
        </w:rPr>
      </w:pPr>
      <w:r>
        <w:rPr>
          <w:rFonts w:hint="eastAsia" w:hAnsi="宋体"/>
          <w:kern w:val="2"/>
          <w:sz w:val="21"/>
        </w:rPr>
        <w:t>非单一产品采购项目，多家</w:t>
      </w:r>
      <w:r>
        <w:rPr>
          <w:rFonts w:hint="eastAsia" w:hAnsi="宋体"/>
          <w:kern w:val="2"/>
          <w:sz w:val="21"/>
          <w:lang w:eastAsia="zh-Hans"/>
        </w:rPr>
        <w:t>竞标</w:t>
      </w:r>
      <w:r>
        <w:rPr>
          <w:rFonts w:hint="eastAsia" w:hAnsi="宋体"/>
          <w:kern w:val="2"/>
          <w:sz w:val="21"/>
        </w:rPr>
        <w:t>人提供的核心产品品牌相同的，按前款规定处理。</w:t>
      </w:r>
    </w:p>
    <w:p w14:paraId="0753CD8A">
      <w:pPr>
        <w:spacing w:line="400" w:lineRule="exact"/>
        <w:ind w:firstLine="420" w:firstLineChars="200"/>
        <w:rPr>
          <w:rFonts w:hint="eastAsia" w:ascii="宋体" w:hAnsi="宋体" w:cs="宋体"/>
          <w:szCs w:val="21"/>
        </w:rPr>
      </w:pPr>
      <w:r>
        <w:rPr>
          <w:rFonts w:hint="eastAsia" w:ascii="宋体" w:hAnsi="宋体" w:cs="宋体"/>
          <w:szCs w:val="21"/>
        </w:rPr>
        <w:t>7.2</w:t>
      </w:r>
      <w:r>
        <w:rPr>
          <w:rFonts w:hint="eastAsia" w:ascii="宋体" w:hAnsi="宋体"/>
          <w:szCs w:val="21"/>
        </w:rPr>
        <w:t>如果本磋商文件要求供应商提供资格、信誉、荣誉、业绩与企业认证等材料的，则供应商所提供的以上材料必须为供应商所拥有</w:t>
      </w:r>
      <w:r>
        <w:rPr>
          <w:rFonts w:hint="eastAsia" w:ascii="宋体" w:hAnsi="宋体" w:cs="宋体"/>
          <w:szCs w:val="21"/>
        </w:rPr>
        <w:t>。</w:t>
      </w:r>
    </w:p>
    <w:p w14:paraId="76CF7FBF">
      <w:pPr>
        <w:spacing w:line="400" w:lineRule="exact"/>
        <w:ind w:firstLine="420" w:firstLineChars="200"/>
        <w:rPr>
          <w:rFonts w:hint="eastAsia" w:ascii="宋体" w:hAnsi="宋体" w:cs="宋体"/>
          <w:szCs w:val="21"/>
        </w:rPr>
      </w:pPr>
      <w:r>
        <w:rPr>
          <w:rFonts w:hint="eastAsia" w:ascii="宋体" w:hAnsi="宋体" w:cs="宋体"/>
          <w:szCs w:val="21"/>
        </w:rPr>
        <w:t>7.3供应商应仔细阅读磋商文件的所有内容，按照磋商文件的要求提交响应文件，并对所提供的全部资料的真实性承担法律责任。</w:t>
      </w:r>
    </w:p>
    <w:p w14:paraId="7C8620E7">
      <w:pPr>
        <w:spacing w:line="400" w:lineRule="exact"/>
        <w:ind w:firstLine="420" w:firstLineChars="200"/>
        <w:rPr>
          <w:rFonts w:hint="eastAsia" w:ascii="宋体" w:hAnsi="宋体" w:cs="宋体"/>
          <w:szCs w:val="21"/>
        </w:rPr>
      </w:pPr>
      <w:r>
        <w:rPr>
          <w:rFonts w:hint="eastAsia" w:ascii="宋体" w:hAnsi="宋体" w:cs="宋体"/>
          <w:szCs w:val="21"/>
        </w:rPr>
        <w:t>7.4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105D62C2">
      <w:pPr>
        <w:spacing w:line="400" w:lineRule="exact"/>
        <w:ind w:firstLine="420" w:firstLineChars="200"/>
        <w:rPr>
          <w:rFonts w:hint="eastAsia" w:ascii="宋体" w:hAnsi="宋体" w:cs="宋体"/>
          <w:szCs w:val="21"/>
        </w:rPr>
      </w:pPr>
      <w:r>
        <w:rPr>
          <w:rFonts w:hint="eastAsia" w:ascii="宋体" w:hAnsi="宋体" w:cs="宋体"/>
          <w:szCs w:val="21"/>
        </w:rPr>
        <w:t>7.5在政府采购活动中，采购人员及相关人员与供应商有下列利害关系之一的，应当回避：</w:t>
      </w:r>
    </w:p>
    <w:p w14:paraId="20329E95">
      <w:pPr>
        <w:spacing w:line="400" w:lineRule="exact"/>
        <w:ind w:firstLine="420" w:firstLineChars="200"/>
        <w:rPr>
          <w:rFonts w:hint="eastAsia" w:ascii="宋体" w:hAnsi="宋体" w:cs="宋体"/>
          <w:szCs w:val="21"/>
        </w:rPr>
      </w:pPr>
      <w:r>
        <w:rPr>
          <w:rFonts w:hint="eastAsia" w:ascii="宋体" w:hAnsi="宋体" w:cs="宋体"/>
          <w:szCs w:val="21"/>
        </w:rPr>
        <w:t>（1）参加采购活动前3年内与供应商存在劳动关系；</w:t>
      </w:r>
    </w:p>
    <w:p w14:paraId="0F1874C4">
      <w:pPr>
        <w:spacing w:line="400" w:lineRule="exact"/>
        <w:ind w:firstLine="420" w:firstLineChars="200"/>
        <w:rPr>
          <w:rFonts w:hint="eastAsia" w:ascii="宋体" w:hAnsi="宋体" w:cs="宋体"/>
          <w:szCs w:val="21"/>
        </w:rPr>
      </w:pPr>
      <w:r>
        <w:rPr>
          <w:rFonts w:hint="eastAsia" w:ascii="宋体" w:hAnsi="宋体" w:cs="宋体"/>
          <w:szCs w:val="21"/>
        </w:rPr>
        <w:t>（2）参加采购活动前3年内担任供应商的董事、监事；</w:t>
      </w:r>
    </w:p>
    <w:p w14:paraId="2D5105E6">
      <w:pPr>
        <w:spacing w:line="400" w:lineRule="exact"/>
        <w:ind w:firstLine="420" w:firstLineChars="200"/>
        <w:rPr>
          <w:rFonts w:hint="eastAsia" w:ascii="宋体" w:hAnsi="宋体" w:cs="宋体"/>
          <w:szCs w:val="21"/>
        </w:rPr>
      </w:pPr>
      <w:r>
        <w:rPr>
          <w:rFonts w:hint="eastAsia" w:ascii="宋体" w:hAnsi="宋体" w:cs="宋体"/>
          <w:szCs w:val="21"/>
        </w:rPr>
        <w:t>（3）参加采购活动前3年内是供应商的控股股东或者实际控制人；</w:t>
      </w:r>
    </w:p>
    <w:p w14:paraId="5FB2AB57">
      <w:pPr>
        <w:spacing w:line="400" w:lineRule="exact"/>
        <w:ind w:firstLine="420" w:firstLineChars="200"/>
        <w:rPr>
          <w:rFonts w:hint="eastAsia" w:ascii="宋体" w:hAnsi="宋体" w:cs="宋体"/>
          <w:szCs w:val="21"/>
        </w:rPr>
      </w:pPr>
      <w:r>
        <w:rPr>
          <w:rFonts w:hint="eastAsia" w:ascii="宋体" w:hAnsi="宋体" w:cs="宋体"/>
          <w:szCs w:val="21"/>
        </w:rPr>
        <w:t>（4）与供应商的法定代表人或者负责人有夫妻、直系血亲、三代以内旁系血亲或者近姻亲关系；</w:t>
      </w:r>
    </w:p>
    <w:p w14:paraId="2A51E5BF">
      <w:pPr>
        <w:spacing w:line="400" w:lineRule="exact"/>
        <w:ind w:firstLine="420" w:firstLineChars="200"/>
        <w:rPr>
          <w:rFonts w:hint="eastAsia" w:ascii="宋体" w:hAnsi="宋体" w:cs="宋体"/>
          <w:szCs w:val="21"/>
        </w:rPr>
      </w:pPr>
      <w:r>
        <w:rPr>
          <w:rFonts w:hint="eastAsia" w:ascii="宋体" w:hAnsi="宋体" w:cs="宋体"/>
          <w:szCs w:val="21"/>
        </w:rPr>
        <w:t>（5）与供应商有其他可能影响政府采购活动公平、公正进行的关系。</w:t>
      </w:r>
    </w:p>
    <w:p w14:paraId="189164E4">
      <w:pPr>
        <w:spacing w:line="400" w:lineRule="exact"/>
        <w:ind w:firstLine="420" w:firstLineChars="200"/>
        <w:rPr>
          <w:rFonts w:hint="eastAsia" w:ascii="宋体" w:hAnsi="宋体" w:cs="宋体"/>
          <w:szCs w:val="21"/>
        </w:rPr>
      </w:pPr>
      <w:r>
        <w:rPr>
          <w:rFonts w:hint="eastAsia" w:ascii="宋体" w:hAnsi="宋体"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54C48C7">
      <w:pPr>
        <w:spacing w:line="400" w:lineRule="exact"/>
        <w:ind w:firstLine="420" w:firstLineChars="200"/>
        <w:rPr>
          <w:rFonts w:hint="eastAsia" w:ascii="宋体" w:hAnsi="宋体" w:cs="宋体"/>
          <w:szCs w:val="21"/>
        </w:rPr>
      </w:pPr>
      <w:r>
        <w:rPr>
          <w:rFonts w:hint="eastAsia" w:ascii="宋体" w:hAnsi="宋体" w:cs="宋体"/>
          <w:szCs w:val="21"/>
        </w:rPr>
        <w:t>7.6有下列情形之一的视为供应商相互串通竞标，响应文件将被视为无效：</w:t>
      </w:r>
    </w:p>
    <w:p w14:paraId="78FD38ED">
      <w:pPr>
        <w:spacing w:line="400" w:lineRule="exact"/>
        <w:ind w:firstLine="420" w:firstLineChars="200"/>
        <w:rPr>
          <w:rFonts w:hint="eastAsia" w:ascii="宋体" w:hAnsi="宋体" w:cs="宋体"/>
          <w:szCs w:val="21"/>
        </w:rPr>
      </w:pPr>
      <w:r>
        <w:rPr>
          <w:rFonts w:hint="eastAsia" w:ascii="宋体" w:hAnsi="宋体" w:cs="宋体"/>
          <w:szCs w:val="21"/>
        </w:rPr>
        <w:t>（1）不同供应商的响应文件由同一单位或者个人编制；或者不同供应商报名的IP地址一致的；</w:t>
      </w:r>
    </w:p>
    <w:p w14:paraId="0CA01500">
      <w:pPr>
        <w:spacing w:line="400" w:lineRule="exact"/>
        <w:ind w:firstLine="420" w:firstLineChars="200"/>
        <w:rPr>
          <w:rFonts w:hint="eastAsia" w:ascii="宋体" w:hAnsi="宋体" w:cs="宋体"/>
          <w:szCs w:val="21"/>
        </w:rPr>
      </w:pPr>
      <w:r>
        <w:rPr>
          <w:rFonts w:hint="eastAsia" w:ascii="宋体" w:hAnsi="宋体" w:cs="宋体"/>
          <w:szCs w:val="21"/>
        </w:rPr>
        <w:t>（2）不同供应商委托同一单位或者个人办理竞标事宜；</w:t>
      </w:r>
    </w:p>
    <w:p w14:paraId="466916B2">
      <w:pPr>
        <w:spacing w:line="400" w:lineRule="exact"/>
        <w:ind w:firstLine="420" w:firstLineChars="200"/>
        <w:rPr>
          <w:rFonts w:hint="eastAsia" w:ascii="宋体" w:hAnsi="宋体" w:cs="宋体"/>
          <w:szCs w:val="21"/>
        </w:rPr>
      </w:pPr>
      <w:r>
        <w:rPr>
          <w:rFonts w:hint="eastAsia" w:ascii="宋体" w:hAnsi="宋体" w:cs="宋体"/>
          <w:szCs w:val="21"/>
        </w:rPr>
        <w:t>（3）不同的供应商的响应文件载明的项目管理员为同一个人；</w:t>
      </w:r>
    </w:p>
    <w:p w14:paraId="13D3E6F9">
      <w:pPr>
        <w:spacing w:line="400" w:lineRule="exact"/>
        <w:ind w:firstLine="420" w:firstLineChars="200"/>
        <w:rPr>
          <w:rFonts w:hint="eastAsia" w:ascii="宋体" w:hAnsi="宋体" w:cs="宋体"/>
          <w:szCs w:val="21"/>
        </w:rPr>
      </w:pPr>
      <w:r>
        <w:rPr>
          <w:rFonts w:hint="eastAsia" w:ascii="宋体" w:hAnsi="宋体" w:cs="宋体"/>
          <w:szCs w:val="21"/>
        </w:rPr>
        <w:t>（4）不同供应商的响应文件异常一致或者报价呈规律性差异；</w:t>
      </w:r>
    </w:p>
    <w:p w14:paraId="0D5A4BE4">
      <w:pPr>
        <w:spacing w:line="400" w:lineRule="exact"/>
        <w:ind w:firstLine="420" w:firstLineChars="200"/>
        <w:rPr>
          <w:rFonts w:hint="eastAsia" w:ascii="宋体" w:hAnsi="宋体" w:cs="宋体"/>
          <w:szCs w:val="21"/>
        </w:rPr>
      </w:pPr>
      <w:r>
        <w:rPr>
          <w:rFonts w:hint="eastAsia" w:ascii="宋体" w:hAnsi="宋体" w:cs="宋体"/>
          <w:szCs w:val="21"/>
        </w:rPr>
        <w:t>（5）不同供应商的响应文件相互混装；</w:t>
      </w:r>
    </w:p>
    <w:p w14:paraId="1DFE0230">
      <w:pPr>
        <w:tabs>
          <w:tab w:val="left" w:pos="6931"/>
        </w:tabs>
        <w:spacing w:line="400" w:lineRule="exact"/>
        <w:ind w:firstLine="420" w:firstLineChars="200"/>
        <w:rPr>
          <w:rFonts w:hint="eastAsia" w:ascii="宋体" w:hAnsi="宋体" w:cs="宋体"/>
          <w:szCs w:val="21"/>
        </w:rPr>
      </w:pPr>
      <w:r>
        <w:rPr>
          <w:rFonts w:hint="eastAsia" w:ascii="宋体" w:hAnsi="宋体" w:cs="宋体"/>
          <w:szCs w:val="21"/>
        </w:rPr>
        <w:t>（6）不同供应商的磋商保证金从同一单位或者个人账户转出。</w:t>
      </w:r>
      <w:r>
        <w:rPr>
          <w:rFonts w:ascii="宋体" w:hAnsi="宋体" w:cs="宋体"/>
          <w:szCs w:val="21"/>
        </w:rPr>
        <w:tab/>
      </w:r>
    </w:p>
    <w:p w14:paraId="6D79C316">
      <w:pPr>
        <w:spacing w:line="400" w:lineRule="exact"/>
        <w:ind w:firstLine="420" w:firstLineChars="200"/>
        <w:rPr>
          <w:rFonts w:hint="eastAsia" w:ascii="宋体" w:hAnsi="宋体" w:cs="宋体"/>
          <w:szCs w:val="21"/>
        </w:rPr>
      </w:pPr>
      <w:r>
        <w:rPr>
          <w:rFonts w:hint="eastAsia" w:ascii="宋体" w:hAnsi="宋体" w:cs="宋体"/>
          <w:szCs w:val="21"/>
        </w:rPr>
        <w:t>7.7供应商有下列情形之一的，属于恶意串通行为，将报同级监督管理部门：</w:t>
      </w:r>
    </w:p>
    <w:p w14:paraId="5F2BD39C">
      <w:pPr>
        <w:spacing w:line="400" w:lineRule="exact"/>
        <w:ind w:firstLine="420" w:firstLineChars="200"/>
        <w:rPr>
          <w:rFonts w:hint="eastAsia" w:ascii="宋体" w:hAnsi="宋体" w:cs="宋体"/>
          <w:szCs w:val="21"/>
        </w:rPr>
      </w:pPr>
      <w:r>
        <w:rPr>
          <w:rFonts w:hint="eastAsia" w:ascii="宋体" w:hAnsi="宋体" w:cs="宋体"/>
          <w:szCs w:val="21"/>
        </w:rPr>
        <w:t>（1）供应商直接或者间接从采购人或者采购代理机构处获得其他供应商的相关信息并修改其响应文件；</w:t>
      </w:r>
    </w:p>
    <w:p w14:paraId="6E137B4A">
      <w:pPr>
        <w:spacing w:line="400" w:lineRule="exact"/>
        <w:ind w:firstLine="420" w:firstLineChars="200"/>
        <w:rPr>
          <w:rFonts w:hint="eastAsia" w:ascii="宋体" w:hAnsi="宋体" w:cs="宋体"/>
          <w:szCs w:val="21"/>
        </w:rPr>
      </w:pPr>
      <w:r>
        <w:rPr>
          <w:rFonts w:hint="eastAsia" w:ascii="宋体" w:hAnsi="宋体" w:cs="宋体"/>
          <w:szCs w:val="21"/>
        </w:rPr>
        <w:t>（2）供应商按照采购人或者采购代理机构的授意撤换、修改响应文件；</w:t>
      </w:r>
    </w:p>
    <w:p w14:paraId="66E02091">
      <w:pPr>
        <w:spacing w:line="400" w:lineRule="exact"/>
        <w:ind w:firstLine="420" w:firstLineChars="200"/>
        <w:rPr>
          <w:rFonts w:hint="eastAsia" w:ascii="宋体" w:hAnsi="宋体" w:cs="宋体"/>
          <w:szCs w:val="21"/>
        </w:rPr>
      </w:pPr>
      <w:r>
        <w:rPr>
          <w:rFonts w:hint="eastAsia" w:ascii="宋体" w:hAnsi="宋体" w:cs="宋体"/>
          <w:szCs w:val="21"/>
        </w:rPr>
        <w:t>（3）供应商之间协商报价、技术方案等响应文件或者响应文件的实质性内容；</w:t>
      </w:r>
    </w:p>
    <w:p w14:paraId="1BC34F3F">
      <w:pPr>
        <w:spacing w:line="400" w:lineRule="exact"/>
        <w:ind w:firstLine="420" w:firstLineChars="200"/>
        <w:rPr>
          <w:rFonts w:hint="eastAsia" w:ascii="宋体" w:hAnsi="宋体" w:cs="宋体"/>
          <w:szCs w:val="21"/>
        </w:rPr>
      </w:pPr>
      <w:r>
        <w:rPr>
          <w:rFonts w:hint="eastAsia" w:ascii="宋体" w:hAnsi="宋体" w:cs="宋体"/>
          <w:szCs w:val="21"/>
        </w:rPr>
        <w:t>（4）属于同一集团、协会、商会等组织成员的供应商按照该组织要求协同参加政府采购活动；</w:t>
      </w:r>
    </w:p>
    <w:p w14:paraId="0AC25B49">
      <w:pPr>
        <w:spacing w:line="400" w:lineRule="exact"/>
        <w:ind w:firstLine="420" w:firstLineChars="200"/>
        <w:rPr>
          <w:rFonts w:hint="eastAsia" w:ascii="宋体" w:hAnsi="宋体" w:cs="宋体"/>
          <w:szCs w:val="21"/>
        </w:rPr>
      </w:pPr>
      <w:r>
        <w:rPr>
          <w:rFonts w:hint="eastAsia" w:ascii="宋体" w:hAnsi="宋体" w:cs="宋体"/>
          <w:szCs w:val="21"/>
        </w:rPr>
        <w:t>（5）供应商之间事先约定一致抬高或者压低报价，或者在政府采购活动中事先约定轮流以高价位或者低价位成交，或者事先约定由某一特定供应商成交，然后再参加竞标；</w:t>
      </w:r>
    </w:p>
    <w:p w14:paraId="12663C01">
      <w:pPr>
        <w:spacing w:line="400" w:lineRule="exact"/>
        <w:ind w:firstLine="420" w:firstLineChars="200"/>
        <w:rPr>
          <w:rFonts w:hint="eastAsia" w:ascii="宋体" w:hAnsi="宋体" w:cs="宋体"/>
          <w:szCs w:val="21"/>
        </w:rPr>
      </w:pPr>
      <w:r>
        <w:rPr>
          <w:rFonts w:hint="eastAsia" w:ascii="宋体" w:hAnsi="宋体" w:cs="宋体"/>
          <w:szCs w:val="21"/>
        </w:rPr>
        <w:t>（6）供应商之间商定部分供应商放弃参加政府采购活动或者放弃成交；</w:t>
      </w:r>
    </w:p>
    <w:p w14:paraId="173DE230">
      <w:pPr>
        <w:spacing w:line="400" w:lineRule="exact"/>
        <w:ind w:firstLine="420" w:firstLineChars="200"/>
        <w:rPr>
          <w:rFonts w:ascii="宋体" w:hAnsi="宋体" w:cs="宋体"/>
          <w:szCs w:val="21"/>
        </w:rPr>
      </w:pPr>
      <w:r>
        <w:rPr>
          <w:rFonts w:hint="eastAsia" w:ascii="宋体" w:hAnsi="宋体" w:cs="宋体"/>
          <w:szCs w:val="21"/>
        </w:rPr>
        <w:t>（7）供应商与采购人或者采购代理机构之间、供应商相互之间，为谋求特定供应商成交或者排斥其他供应商的其他串通行为</w:t>
      </w:r>
      <w:bookmarkStart w:id="107" w:name="_Toc254970534"/>
      <w:bookmarkStart w:id="108" w:name="_Toc254970675"/>
      <w:r>
        <w:rPr>
          <w:rFonts w:ascii="宋体" w:hAnsi="宋体" w:cs="宋体"/>
          <w:szCs w:val="21"/>
        </w:rPr>
        <w:t>。</w:t>
      </w:r>
    </w:p>
    <w:p w14:paraId="3E0ECCD9">
      <w:pPr>
        <w:pStyle w:val="9"/>
        <w:rPr>
          <w:rFonts w:hint="eastAsia" w:ascii="宋体" w:hAnsi="宋体"/>
        </w:rPr>
      </w:pPr>
    </w:p>
    <w:p w14:paraId="0CF16E27">
      <w:pPr>
        <w:pStyle w:val="2"/>
        <w:spacing w:line="400" w:lineRule="exact"/>
        <w:rPr>
          <w:rFonts w:hint="eastAsia" w:ascii="宋体" w:hAnsi="宋体"/>
        </w:rPr>
      </w:pPr>
      <w:bookmarkStart w:id="109" w:name="_Toc117860052"/>
      <w:bookmarkStart w:id="110" w:name="_Toc7180"/>
      <w:bookmarkStart w:id="111" w:name="_Toc16605"/>
      <w:r>
        <w:rPr>
          <w:rFonts w:hint="eastAsia" w:ascii="宋体" w:hAnsi="宋体"/>
        </w:rPr>
        <w:t>二、磋商文件</w:t>
      </w:r>
      <w:bookmarkEnd w:id="107"/>
      <w:bookmarkEnd w:id="108"/>
      <w:bookmarkEnd w:id="109"/>
      <w:bookmarkEnd w:id="110"/>
      <w:bookmarkEnd w:id="111"/>
    </w:p>
    <w:p w14:paraId="4762F47B">
      <w:pPr>
        <w:spacing w:line="400" w:lineRule="exact"/>
        <w:ind w:firstLine="482" w:firstLineChars="200"/>
        <w:outlineLvl w:val="2"/>
        <w:rPr>
          <w:rFonts w:hint="eastAsia" w:ascii="宋体" w:hAnsi="宋体" w:cs="宋体"/>
          <w:b/>
          <w:bCs/>
          <w:sz w:val="24"/>
        </w:rPr>
      </w:pPr>
      <w:bookmarkStart w:id="112" w:name="_Toc30754"/>
      <w:bookmarkStart w:id="113" w:name="_Toc14205"/>
      <w:bookmarkStart w:id="114" w:name="_Toc117860053"/>
      <w:r>
        <w:rPr>
          <w:rFonts w:hint="eastAsia" w:ascii="宋体" w:hAnsi="宋体" w:cs="宋体"/>
          <w:b/>
          <w:bCs/>
          <w:sz w:val="24"/>
        </w:rPr>
        <w:t>8.磋商文件的构成</w:t>
      </w:r>
      <w:bookmarkEnd w:id="112"/>
      <w:bookmarkEnd w:id="113"/>
      <w:bookmarkEnd w:id="114"/>
    </w:p>
    <w:p w14:paraId="7141CA67">
      <w:pPr>
        <w:spacing w:line="400" w:lineRule="exact"/>
        <w:ind w:firstLine="420" w:firstLineChars="200"/>
        <w:jc w:val="left"/>
        <w:rPr>
          <w:rFonts w:hint="eastAsia" w:ascii="宋体" w:hAnsi="宋体"/>
          <w:szCs w:val="21"/>
        </w:rPr>
      </w:pPr>
      <w:r>
        <w:rPr>
          <w:rFonts w:hint="eastAsia" w:ascii="宋体" w:hAnsi="宋体"/>
          <w:szCs w:val="21"/>
        </w:rPr>
        <w:t>（1）竞争性磋商公告；</w:t>
      </w:r>
    </w:p>
    <w:p w14:paraId="25639D58">
      <w:pPr>
        <w:spacing w:line="400" w:lineRule="exact"/>
        <w:ind w:firstLine="420" w:firstLineChars="200"/>
        <w:jc w:val="left"/>
        <w:rPr>
          <w:rFonts w:hint="eastAsia" w:ascii="宋体" w:hAnsi="宋体"/>
          <w:szCs w:val="21"/>
        </w:rPr>
      </w:pPr>
      <w:r>
        <w:rPr>
          <w:rFonts w:hint="eastAsia" w:ascii="宋体" w:hAnsi="宋体"/>
          <w:szCs w:val="21"/>
        </w:rPr>
        <w:t xml:space="preserve">（2）供应商须知； </w:t>
      </w:r>
    </w:p>
    <w:p w14:paraId="20BD7E35">
      <w:pPr>
        <w:spacing w:line="400" w:lineRule="exact"/>
        <w:ind w:firstLine="420" w:firstLineChars="200"/>
        <w:jc w:val="left"/>
        <w:rPr>
          <w:rFonts w:hint="default" w:ascii="宋体" w:hAnsi="宋体" w:eastAsia="宋体"/>
          <w:szCs w:val="21"/>
          <w:lang w:val="en-US" w:eastAsia="zh-CN"/>
        </w:rPr>
      </w:pPr>
      <w:r>
        <w:rPr>
          <w:rFonts w:hint="eastAsia" w:ascii="宋体" w:hAnsi="宋体"/>
          <w:szCs w:val="21"/>
        </w:rPr>
        <w:t>（3）</w:t>
      </w:r>
      <w:r>
        <w:rPr>
          <w:rFonts w:hint="eastAsia" w:ascii="宋体" w:hAnsi="宋体"/>
          <w:szCs w:val="21"/>
          <w:lang w:val="en-US" w:eastAsia="zh-CN"/>
        </w:rPr>
        <w:t>采购需求</w:t>
      </w:r>
    </w:p>
    <w:p w14:paraId="0C2D87A2">
      <w:pPr>
        <w:spacing w:line="400" w:lineRule="exact"/>
        <w:ind w:firstLine="420" w:firstLineChars="200"/>
        <w:jc w:val="left"/>
        <w:rPr>
          <w:rFonts w:hint="eastAsia" w:ascii="宋体" w:hAnsi="宋体"/>
          <w:szCs w:val="21"/>
        </w:rPr>
      </w:pPr>
      <w:r>
        <w:rPr>
          <w:rFonts w:hint="eastAsia" w:ascii="宋体" w:hAnsi="宋体"/>
          <w:szCs w:val="21"/>
        </w:rPr>
        <w:t>（4）评审程序、评审方法和评审标准；</w:t>
      </w:r>
    </w:p>
    <w:p w14:paraId="236106DD">
      <w:pPr>
        <w:spacing w:line="400" w:lineRule="exact"/>
        <w:ind w:firstLine="420" w:firstLineChars="200"/>
        <w:jc w:val="left"/>
        <w:rPr>
          <w:rFonts w:hint="eastAsia" w:ascii="宋体" w:hAnsi="宋体"/>
          <w:szCs w:val="21"/>
        </w:rPr>
      </w:pPr>
      <w:r>
        <w:rPr>
          <w:rFonts w:hint="eastAsia" w:ascii="宋体" w:hAnsi="宋体"/>
          <w:szCs w:val="21"/>
        </w:rPr>
        <w:t>（5）合同文本。</w:t>
      </w:r>
    </w:p>
    <w:p w14:paraId="3914BF84">
      <w:pPr>
        <w:spacing w:line="400" w:lineRule="exact"/>
        <w:ind w:firstLine="420" w:firstLineChars="200"/>
        <w:jc w:val="left"/>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）工程量清单；</w:t>
      </w:r>
    </w:p>
    <w:p w14:paraId="59FEF10A">
      <w:pPr>
        <w:spacing w:line="400" w:lineRule="exact"/>
        <w:ind w:firstLine="420" w:firstLineChars="200"/>
        <w:jc w:val="left"/>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）图纸</w:t>
      </w:r>
    </w:p>
    <w:p w14:paraId="560D295A">
      <w:pPr>
        <w:spacing w:line="400" w:lineRule="exact"/>
        <w:ind w:firstLine="420" w:firstLineChars="200"/>
        <w:jc w:val="left"/>
        <w:rPr>
          <w:rFonts w:hint="eastAsia" w:ascii="宋体" w:hAnsi="宋体"/>
          <w:szCs w:val="21"/>
        </w:rPr>
      </w:pPr>
      <w:r>
        <w:rPr>
          <w:rFonts w:hint="eastAsia" w:ascii="宋体" w:hAnsi="宋体"/>
          <w:szCs w:val="21"/>
        </w:rPr>
        <w:t>（</w:t>
      </w:r>
      <w:r>
        <w:rPr>
          <w:rFonts w:ascii="宋体" w:hAnsi="宋体"/>
          <w:szCs w:val="21"/>
        </w:rPr>
        <w:t>8</w:t>
      </w:r>
      <w:r>
        <w:rPr>
          <w:rFonts w:hint="eastAsia" w:ascii="宋体" w:hAnsi="宋体"/>
          <w:szCs w:val="21"/>
        </w:rPr>
        <w:t>）技术规范</w:t>
      </w:r>
    </w:p>
    <w:p w14:paraId="29A83562">
      <w:pPr>
        <w:spacing w:line="400" w:lineRule="exact"/>
        <w:ind w:firstLine="420" w:firstLineChars="200"/>
        <w:jc w:val="left"/>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9</w:t>
      </w:r>
      <w:r>
        <w:rPr>
          <w:rFonts w:hint="eastAsia" w:ascii="宋体" w:hAnsi="宋体"/>
          <w:szCs w:val="21"/>
          <w:lang w:eastAsia="zh-CN"/>
        </w:rPr>
        <w:t>）</w:t>
      </w:r>
      <w:r>
        <w:rPr>
          <w:rFonts w:hint="eastAsia" w:ascii="宋体" w:hAnsi="宋体"/>
          <w:szCs w:val="21"/>
        </w:rPr>
        <w:t>响应文件格式</w:t>
      </w:r>
    </w:p>
    <w:p w14:paraId="2809E742">
      <w:pPr>
        <w:spacing w:line="400" w:lineRule="exact"/>
        <w:ind w:firstLine="482" w:firstLineChars="200"/>
        <w:outlineLvl w:val="2"/>
        <w:rPr>
          <w:rFonts w:hint="eastAsia" w:ascii="宋体" w:hAnsi="宋体" w:cs="宋体"/>
          <w:b/>
          <w:bCs/>
          <w:sz w:val="24"/>
        </w:rPr>
      </w:pPr>
      <w:bookmarkStart w:id="115" w:name="_Toc23674"/>
      <w:bookmarkStart w:id="116" w:name="_Toc17656"/>
      <w:bookmarkStart w:id="117" w:name="_Toc117860054"/>
      <w:r>
        <w:rPr>
          <w:rFonts w:hint="eastAsia" w:ascii="宋体" w:hAnsi="宋体" w:cs="宋体"/>
          <w:b/>
          <w:bCs/>
          <w:sz w:val="24"/>
        </w:rPr>
        <w:t>9.供应商的询问</w:t>
      </w:r>
      <w:bookmarkEnd w:id="115"/>
      <w:bookmarkEnd w:id="116"/>
      <w:bookmarkEnd w:id="117"/>
    </w:p>
    <w:p w14:paraId="561A93B4">
      <w:pPr>
        <w:spacing w:line="400" w:lineRule="exact"/>
        <w:ind w:firstLine="420" w:firstLineChars="200"/>
        <w:rPr>
          <w:rFonts w:hint="eastAsia" w:ascii="宋体" w:hAnsi="宋体"/>
          <w:szCs w:val="21"/>
        </w:rPr>
      </w:pPr>
      <w:r>
        <w:rPr>
          <w:rFonts w:hint="eastAsia" w:ascii="宋体" w:hAnsi="宋体"/>
          <w:szCs w:val="21"/>
        </w:rPr>
        <w:t>供应商应认真阅读磋商文件的采购需求，如供应商对磋商文件有疑问的，如要求采购人作出澄清或者修改的，供应商尽可能在</w:t>
      </w:r>
      <w:r>
        <w:rPr>
          <w:rFonts w:ascii="宋体" w:hAnsi="宋体"/>
          <w:szCs w:val="21"/>
        </w:rPr>
        <w:t>提交首次响应文件截止之日前</w:t>
      </w:r>
      <w:r>
        <w:rPr>
          <w:rFonts w:hint="eastAsia" w:ascii="宋体" w:hAnsi="宋体"/>
          <w:szCs w:val="21"/>
        </w:rPr>
        <w:t>，以书面形式向</w:t>
      </w:r>
      <w:r>
        <w:rPr>
          <w:rFonts w:ascii="宋体" w:hAnsi="宋体"/>
          <w:szCs w:val="21"/>
        </w:rPr>
        <w:t>采购人、采购代理机构</w:t>
      </w:r>
      <w:r>
        <w:rPr>
          <w:rFonts w:hint="eastAsia" w:ascii="宋体" w:hAnsi="宋体"/>
          <w:szCs w:val="21"/>
        </w:rPr>
        <w:t>提出。</w:t>
      </w:r>
    </w:p>
    <w:p w14:paraId="1B0C097D">
      <w:pPr>
        <w:spacing w:line="400" w:lineRule="exact"/>
        <w:ind w:firstLine="482" w:firstLineChars="200"/>
        <w:outlineLvl w:val="2"/>
        <w:rPr>
          <w:rFonts w:hint="eastAsia" w:ascii="宋体" w:hAnsi="宋体" w:cs="宋体"/>
          <w:b/>
          <w:bCs/>
          <w:sz w:val="24"/>
        </w:rPr>
      </w:pPr>
      <w:bookmarkStart w:id="118" w:name="_Toc17687"/>
      <w:bookmarkStart w:id="119" w:name="_Toc18467"/>
      <w:bookmarkStart w:id="120" w:name="_Toc117860055"/>
      <w:r>
        <w:rPr>
          <w:rFonts w:hint="eastAsia" w:ascii="宋体" w:hAnsi="宋体" w:cs="宋体"/>
          <w:b/>
          <w:bCs/>
          <w:sz w:val="24"/>
        </w:rPr>
        <w:t>10.磋商文件的澄清和修改</w:t>
      </w:r>
      <w:bookmarkEnd w:id="118"/>
      <w:bookmarkEnd w:id="119"/>
      <w:bookmarkEnd w:id="120"/>
    </w:p>
    <w:p w14:paraId="1289ED4D">
      <w:pPr>
        <w:spacing w:line="400" w:lineRule="exact"/>
        <w:ind w:firstLine="420" w:firstLineChars="200"/>
        <w:rPr>
          <w:rFonts w:hint="eastAsia" w:ascii="宋体" w:hAnsi="宋体"/>
          <w:szCs w:val="21"/>
        </w:rPr>
      </w:pPr>
      <w:r>
        <w:rPr>
          <w:rFonts w:ascii="宋体" w:hAnsi="宋体"/>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szCs w:val="21"/>
        </w:rPr>
        <w:t>获取</w:t>
      </w:r>
      <w:r>
        <w:rPr>
          <w:rFonts w:ascii="宋体" w:hAnsi="宋体"/>
          <w:szCs w:val="21"/>
        </w:rPr>
        <w:t>磋商文件的供应商，不足3个工作日的，应当顺延提交首次响应文件截止之日。</w:t>
      </w:r>
    </w:p>
    <w:p w14:paraId="50A1BF80">
      <w:pPr>
        <w:spacing w:line="400" w:lineRule="exact"/>
        <w:rPr>
          <w:rFonts w:hint="eastAsia" w:ascii="宋体" w:hAnsi="宋体"/>
          <w:szCs w:val="21"/>
        </w:rPr>
      </w:pPr>
    </w:p>
    <w:p w14:paraId="79E23213">
      <w:pPr>
        <w:pStyle w:val="2"/>
        <w:spacing w:line="400" w:lineRule="exact"/>
        <w:rPr>
          <w:rFonts w:hint="eastAsia" w:ascii="宋体" w:hAnsi="宋体"/>
          <w:szCs w:val="21"/>
        </w:rPr>
      </w:pPr>
      <w:bookmarkStart w:id="121" w:name="_Toc31936"/>
      <w:bookmarkStart w:id="122" w:name="_Toc117860056"/>
      <w:bookmarkStart w:id="123" w:name="_Toc3074"/>
      <w:r>
        <w:rPr>
          <w:rFonts w:hint="eastAsia" w:ascii="宋体" w:hAnsi="宋体"/>
        </w:rPr>
        <w:t>三、响应文件的编制</w:t>
      </w:r>
      <w:bookmarkEnd w:id="121"/>
      <w:bookmarkEnd w:id="122"/>
      <w:bookmarkEnd w:id="123"/>
    </w:p>
    <w:p w14:paraId="0F3727FD">
      <w:pPr>
        <w:spacing w:line="400" w:lineRule="exact"/>
        <w:ind w:firstLine="482" w:firstLineChars="200"/>
        <w:outlineLvl w:val="2"/>
        <w:rPr>
          <w:rFonts w:hint="eastAsia" w:ascii="宋体" w:hAnsi="宋体" w:cs="宋体"/>
          <w:b/>
          <w:bCs/>
          <w:sz w:val="24"/>
        </w:rPr>
      </w:pPr>
      <w:bookmarkStart w:id="124" w:name="_Toc8641"/>
      <w:bookmarkStart w:id="125" w:name="_Toc12267"/>
      <w:bookmarkStart w:id="126" w:name="_Toc117860057"/>
      <w:r>
        <w:rPr>
          <w:rFonts w:hint="eastAsia" w:ascii="宋体" w:hAnsi="宋体" w:cs="宋体"/>
          <w:b/>
          <w:bCs/>
          <w:sz w:val="24"/>
        </w:rPr>
        <w:t>11.响应文件的编制原则</w:t>
      </w:r>
      <w:bookmarkEnd w:id="124"/>
      <w:bookmarkEnd w:id="125"/>
      <w:bookmarkEnd w:id="126"/>
    </w:p>
    <w:p w14:paraId="35996257">
      <w:pPr>
        <w:spacing w:line="400" w:lineRule="exact"/>
        <w:ind w:firstLine="420" w:firstLineChars="200"/>
        <w:rPr>
          <w:rFonts w:hint="eastAsia" w:ascii="宋体" w:hAnsi="宋体" w:cs="宋体"/>
          <w:szCs w:val="21"/>
        </w:rPr>
      </w:pPr>
      <w:r>
        <w:rPr>
          <w:rFonts w:hint="eastAsia" w:ascii="宋体" w:hAnsi="宋体" w:cs="宋体"/>
          <w:szCs w:val="21"/>
        </w:rPr>
        <w:t>供应商必须按照磋商文件的要求编制响应文件，并对其提交的响应文件的真实性、合法性承担法律责任。响应文件必须对磋商文件作出实质性响应。</w:t>
      </w:r>
    </w:p>
    <w:p w14:paraId="0978941D">
      <w:pPr>
        <w:spacing w:line="400" w:lineRule="exact"/>
        <w:ind w:firstLine="482" w:firstLineChars="200"/>
        <w:outlineLvl w:val="2"/>
        <w:rPr>
          <w:rFonts w:ascii="宋体" w:hAnsi="宋体" w:cs="宋体"/>
          <w:b/>
          <w:bCs/>
          <w:sz w:val="24"/>
        </w:rPr>
      </w:pPr>
      <w:bookmarkStart w:id="127" w:name="_Toc117860058"/>
      <w:bookmarkStart w:id="128" w:name="_Toc10595"/>
      <w:bookmarkStart w:id="129" w:name="_Toc12967"/>
      <w:r>
        <w:rPr>
          <w:rFonts w:hint="eastAsia" w:ascii="宋体" w:hAnsi="宋体" w:cs="宋体"/>
          <w:b/>
          <w:bCs/>
          <w:sz w:val="24"/>
        </w:rPr>
        <w:t>12.响应文件的组成</w:t>
      </w:r>
      <w:bookmarkEnd w:id="127"/>
      <w:bookmarkEnd w:id="128"/>
      <w:bookmarkEnd w:id="129"/>
    </w:p>
    <w:p w14:paraId="00FD07E9">
      <w:pPr>
        <w:spacing w:line="400" w:lineRule="exact"/>
        <w:ind w:firstLine="420" w:firstLineChars="200"/>
        <w:rPr>
          <w:rFonts w:hint="eastAsia" w:ascii="宋体" w:hAnsi="宋体" w:cs="宋体"/>
          <w:szCs w:val="21"/>
        </w:rPr>
      </w:pPr>
      <w:r>
        <w:rPr>
          <w:rFonts w:hint="eastAsia" w:ascii="宋体" w:hAnsi="宋体" w:cs="宋体"/>
          <w:szCs w:val="21"/>
        </w:rPr>
        <w:t>12.1响应文件由资格证明文件、报价文件、商务技术文件三部分组成。</w:t>
      </w:r>
    </w:p>
    <w:p w14:paraId="7A40B478">
      <w:pPr>
        <w:spacing w:line="400" w:lineRule="exact"/>
        <w:ind w:firstLine="420" w:firstLineChars="200"/>
        <w:rPr>
          <w:rFonts w:hint="eastAsia" w:ascii="宋体" w:hAnsi="宋体" w:cs="宋体"/>
          <w:szCs w:val="21"/>
        </w:rPr>
      </w:pPr>
      <w:r>
        <w:rPr>
          <w:rFonts w:hint="eastAsia" w:ascii="宋体" w:hAnsi="宋体" w:cs="宋体"/>
          <w:szCs w:val="21"/>
        </w:rPr>
        <w:t>1</w:t>
      </w:r>
      <w:r>
        <w:rPr>
          <w:rFonts w:ascii="宋体" w:hAnsi="宋体" w:cs="宋体"/>
          <w:szCs w:val="21"/>
        </w:rPr>
        <w:t>2.1.1</w:t>
      </w:r>
      <w:r>
        <w:rPr>
          <w:rFonts w:hint="eastAsia" w:ascii="宋体" w:hAnsi="宋体" w:cs="宋体"/>
          <w:szCs w:val="21"/>
        </w:rPr>
        <w:t>资格证明文件：详见须知前附表</w:t>
      </w:r>
    </w:p>
    <w:p w14:paraId="62E4AF14">
      <w:pPr>
        <w:spacing w:line="400" w:lineRule="exact"/>
        <w:ind w:firstLine="420" w:firstLineChars="200"/>
        <w:rPr>
          <w:rFonts w:hint="eastAsia" w:ascii="宋体" w:hAnsi="宋体" w:cs="宋体"/>
          <w:szCs w:val="21"/>
        </w:rPr>
      </w:pPr>
      <w:r>
        <w:rPr>
          <w:rFonts w:hint="eastAsia" w:ascii="宋体" w:hAnsi="宋体" w:cs="宋体"/>
          <w:szCs w:val="21"/>
        </w:rPr>
        <w:t>1</w:t>
      </w:r>
      <w:r>
        <w:rPr>
          <w:rFonts w:ascii="宋体" w:hAnsi="宋体" w:cs="宋体"/>
          <w:szCs w:val="21"/>
        </w:rPr>
        <w:t>2.1.2</w:t>
      </w:r>
      <w:r>
        <w:rPr>
          <w:rFonts w:hint="eastAsia" w:ascii="宋体" w:hAnsi="宋体" w:cs="宋体"/>
          <w:szCs w:val="21"/>
        </w:rPr>
        <w:t>报价文件：详见须知前附表</w:t>
      </w:r>
    </w:p>
    <w:p w14:paraId="1A68F615">
      <w:pPr>
        <w:spacing w:line="400" w:lineRule="exact"/>
        <w:ind w:firstLine="420" w:firstLineChars="200"/>
        <w:rPr>
          <w:rFonts w:hint="eastAsia" w:ascii="宋体" w:hAnsi="宋体" w:cs="宋体"/>
          <w:szCs w:val="21"/>
        </w:rPr>
      </w:pPr>
      <w:r>
        <w:rPr>
          <w:rFonts w:hint="eastAsia" w:ascii="宋体" w:hAnsi="宋体" w:cs="宋体"/>
          <w:szCs w:val="21"/>
        </w:rPr>
        <w:t>1</w:t>
      </w:r>
      <w:r>
        <w:rPr>
          <w:rFonts w:ascii="宋体" w:hAnsi="宋体" w:cs="宋体"/>
          <w:szCs w:val="21"/>
        </w:rPr>
        <w:t>2.1.</w:t>
      </w:r>
      <w:r>
        <w:rPr>
          <w:rFonts w:hint="eastAsia" w:ascii="宋体" w:hAnsi="宋体" w:cs="宋体"/>
          <w:szCs w:val="21"/>
        </w:rPr>
        <w:t>3商务技术文件：详见须知前附表</w:t>
      </w:r>
    </w:p>
    <w:p w14:paraId="456963B2">
      <w:pPr>
        <w:spacing w:line="400" w:lineRule="exact"/>
        <w:ind w:firstLine="420" w:firstLineChars="200"/>
        <w:rPr>
          <w:rFonts w:hint="eastAsia" w:ascii="宋体" w:hAnsi="宋体" w:cs="宋体"/>
          <w:szCs w:val="21"/>
        </w:rPr>
      </w:pPr>
      <w:r>
        <w:rPr>
          <w:rFonts w:hint="eastAsia" w:ascii="宋体" w:hAnsi="宋体" w:cs="宋体"/>
          <w:szCs w:val="21"/>
        </w:rPr>
        <w:t>12.</w:t>
      </w:r>
      <w:r>
        <w:rPr>
          <w:rFonts w:ascii="宋体" w:hAnsi="宋体" w:cs="宋体"/>
          <w:szCs w:val="21"/>
        </w:rPr>
        <w:t>2</w:t>
      </w:r>
      <w:r>
        <w:rPr>
          <w:rFonts w:hint="eastAsia" w:ascii="宋体" w:hAnsi="宋体" w:cs="宋体"/>
          <w:szCs w:val="21"/>
        </w:rPr>
        <w:t>响应文件电子版：详见须知前附表</w:t>
      </w:r>
    </w:p>
    <w:p w14:paraId="08F69EA8">
      <w:pPr>
        <w:spacing w:line="400" w:lineRule="exact"/>
        <w:ind w:firstLine="482" w:firstLineChars="200"/>
        <w:outlineLvl w:val="2"/>
        <w:rPr>
          <w:rFonts w:hint="eastAsia" w:ascii="宋体" w:hAnsi="宋体" w:cs="宋体"/>
          <w:b/>
          <w:bCs/>
          <w:sz w:val="24"/>
        </w:rPr>
      </w:pPr>
      <w:bookmarkStart w:id="130" w:name="_Toc117860059"/>
      <w:bookmarkStart w:id="131" w:name="_Toc26342"/>
      <w:bookmarkStart w:id="132" w:name="_Toc24533"/>
      <w:r>
        <w:rPr>
          <w:rFonts w:hint="eastAsia" w:ascii="宋体" w:hAnsi="宋体" w:cs="宋体"/>
          <w:b/>
          <w:bCs/>
          <w:sz w:val="24"/>
        </w:rPr>
        <w:t>13.计量单位</w:t>
      </w:r>
      <w:bookmarkEnd w:id="130"/>
      <w:bookmarkEnd w:id="131"/>
      <w:bookmarkEnd w:id="132"/>
    </w:p>
    <w:p w14:paraId="4AED3A53">
      <w:pPr>
        <w:spacing w:line="400" w:lineRule="exact"/>
        <w:ind w:firstLine="420" w:firstLineChars="200"/>
        <w:rPr>
          <w:rFonts w:hint="eastAsia" w:ascii="宋体" w:hAnsi="宋体" w:cs="宋体"/>
          <w:szCs w:val="21"/>
        </w:rPr>
      </w:pPr>
      <w:r>
        <w:rPr>
          <w:rFonts w:hint="eastAsia" w:ascii="宋体" w:hAnsi="宋体" w:cs="宋体"/>
          <w:szCs w:val="21"/>
        </w:rPr>
        <w:t>磋商文件已有明确规定的，使用磋商文件规定的计量单位；磋商文件没有规定的，应采用中华人民共和国法定计量单位，货币种类为人民币，否则视同未响应。</w:t>
      </w:r>
    </w:p>
    <w:p w14:paraId="62B17877">
      <w:pPr>
        <w:spacing w:line="400" w:lineRule="exact"/>
        <w:ind w:firstLine="482" w:firstLineChars="200"/>
        <w:outlineLvl w:val="2"/>
        <w:rPr>
          <w:rFonts w:hint="eastAsia" w:ascii="宋体" w:hAnsi="宋体" w:cs="宋体"/>
          <w:b/>
          <w:bCs/>
          <w:sz w:val="24"/>
        </w:rPr>
      </w:pPr>
      <w:bookmarkStart w:id="133" w:name="_Toc117860060"/>
      <w:bookmarkStart w:id="134" w:name="_Toc8513"/>
      <w:bookmarkStart w:id="135" w:name="_Toc7328"/>
      <w:r>
        <w:rPr>
          <w:rFonts w:hint="eastAsia" w:ascii="宋体" w:hAnsi="宋体" w:cs="宋体"/>
          <w:b/>
          <w:bCs/>
          <w:sz w:val="24"/>
        </w:rPr>
        <w:t>14.竞标的风险</w:t>
      </w:r>
      <w:bookmarkEnd w:id="133"/>
      <w:bookmarkEnd w:id="134"/>
      <w:bookmarkEnd w:id="135"/>
    </w:p>
    <w:p w14:paraId="4F669772">
      <w:pPr>
        <w:spacing w:line="400" w:lineRule="exact"/>
        <w:ind w:firstLine="420" w:firstLineChars="200"/>
        <w:rPr>
          <w:rFonts w:hint="eastAsia" w:ascii="宋体" w:hAnsi="宋体" w:cs="宋体"/>
          <w:szCs w:val="21"/>
        </w:rPr>
      </w:pPr>
      <w:r>
        <w:rPr>
          <w:rFonts w:hint="eastAsia" w:ascii="宋体" w:hAnsi="宋体" w:cs="宋体"/>
          <w:szCs w:val="21"/>
        </w:rPr>
        <w:t>供应商没有按照磋商文件要求提供全部资料，或者供应商没有对磋商文件在各方面作出实质性响应可能导致其响应无效，是供应商应当考虑的风险。</w:t>
      </w:r>
    </w:p>
    <w:p w14:paraId="66BD8521">
      <w:pPr>
        <w:spacing w:line="400" w:lineRule="exact"/>
        <w:ind w:firstLine="482" w:firstLineChars="200"/>
        <w:outlineLvl w:val="2"/>
        <w:rPr>
          <w:rFonts w:hint="eastAsia" w:ascii="宋体" w:hAnsi="宋体" w:cs="宋体"/>
          <w:b/>
          <w:bCs/>
          <w:sz w:val="24"/>
        </w:rPr>
      </w:pPr>
      <w:bookmarkStart w:id="136" w:name="_Toc11211"/>
      <w:bookmarkStart w:id="137" w:name="_Toc117860061"/>
      <w:bookmarkStart w:id="138" w:name="_Toc2325"/>
      <w:r>
        <w:rPr>
          <w:rFonts w:hint="eastAsia" w:ascii="宋体" w:hAnsi="宋体" w:cs="宋体"/>
          <w:b/>
          <w:bCs/>
          <w:sz w:val="24"/>
        </w:rPr>
        <w:t>15.竞标报价要求和构成</w:t>
      </w:r>
      <w:bookmarkEnd w:id="136"/>
      <w:bookmarkEnd w:id="137"/>
      <w:bookmarkEnd w:id="138"/>
    </w:p>
    <w:p w14:paraId="7FF0C7ED">
      <w:pPr>
        <w:spacing w:line="400" w:lineRule="exact"/>
        <w:ind w:firstLine="420" w:firstLineChars="200"/>
        <w:rPr>
          <w:rFonts w:hint="eastAsia" w:ascii="宋体" w:hAnsi="宋体"/>
        </w:rPr>
      </w:pPr>
      <w:r>
        <w:rPr>
          <w:rFonts w:hint="eastAsia" w:ascii="宋体" w:hAnsi="宋体"/>
        </w:rPr>
        <w:t>15.1竞标报价应按磋商文件中“竞标报价表”格式填写。</w:t>
      </w:r>
    </w:p>
    <w:p w14:paraId="287632B0">
      <w:pPr>
        <w:spacing w:line="400" w:lineRule="exact"/>
        <w:ind w:firstLine="420" w:firstLineChars="200"/>
        <w:rPr>
          <w:rFonts w:hint="eastAsia" w:ascii="宋体" w:hAnsi="宋体"/>
        </w:rPr>
      </w:pPr>
      <w:r>
        <w:rPr>
          <w:rFonts w:hint="eastAsia" w:ascii="宋体" w:hAnsi="宋体"/>
        </w:rPr>
        <w:t>15.2竞标报价的价格构成见“供应商须知前附表”。</w:t>
      </w:r>
    </w:p>
    <w:p w14:paraId="2294B50C">
      <w:pPr>
        <w:spacing w:line="400" w:lineRule="exact"/>
        <w:ind w:firstLine="420" w:firstLineChars="200"/>
        <w:rPr>
          <w:rFonts w:hint="eastAsia" w:ascii="宋体" w:hAnsi="宋体"/>
        </w:rPr>
      </w:pPr>
      <w:r>
        <w:rPr>
          <w:rFonts w:hint="eastAsia" w:ascii="宋体" w:hAnsi="宋体"/>
        </w:rPr>
        <w:t>15.3竞标报价要求</w:t>
      </w:r>
    </w:p>
    <w:p w14:paraId="128BB477">
      <w:pPr>
        <w:spacing w:line="400" w:lineRule="exact"/>
        <w:ind w:firstLine="420" w:firstLineChars="200"/>
        <w:rPr>
          <w:rFonts w:ascii="宋体" w:hAnsi="宋体"/>
        </w:rPr>
      </w:pPr>
      <w:r>
        <w:rPr>
          <w:rFonts w:hint="eastAsia" w:ascii="宋体" w:hAnsi="宋体"/>
        </w:rPr>
        <w:t>1</w:t>
      </w:r>
      <w:r>
        <w:rPr>
          <w:rFonts w:ascii="宋体" w:hAnsi="宋体"/>
        </w:rPr>
        <w:t>5.3.1</w:t>
      </w:r>
      <w:r>
        <w:rPr>
          <w:rFonts w:hint="eastAsia" w:ascii="宋体" w:hAnsi="宋体"/>
        </w:rPr>
        <w:t>供应商的竞标报价应符合以下要求，否则响应文件按无效响应处理：</w:t>
      </w:r>
    </w:p>
    <w:p w14:paraId="5D008213">
      <w:pPr>
        <w:spacing w:line="400" w:lineRule="exact"/>
        <w:ind w:firstLine="420" w:firstLineChars="200"/>
        <w:rPr>
          <w:rFonts w:hint="eastAsia" w:ascii="宋体" w:hAnsi="宋体"/>
        </w:rPr>
      </w:pPr>
      <w:bookmarkStart w:id="139" w:name="_Toc117860062"/>
      <w:r>
        <w:rPr>
          <w:rFonts w:hint="eastAsia" w:ascii="宋体" w:hAnsi="宋体"/>
        </w:rPr>
        <w:t>1</w:t>
      </w:r>
      <w:r>
        <w:rPr>
          <w:rFonts w:ascii="宋体" w:hAnsi="宋体"/>
        </w:rPr>
        <w:t>5.3.1.</w:t>
      </w:r>
      <w:r>
        <w:rPr>
          <w:rFonts w:hint="eastAsia" w:ascii="宋体" w:hAnsi="宋体"/>
        </w:rPr>
        <w:t>1本工程竞标报价采用工程量清单报价的方式。</w:t>
      </w:r>
    </w:p>
    <w:p w14:paraId="39E77608">
      <w:pPr>
        <w:spacing w:line="400" w:lineRule="exact"/>
        <w:ind w:firstLine="420" w:firstLineChars="200"/>
        <w:rPr>
          <w:rFonts w:hint="eastAsia" w:ascii="宋体" w:hAnsi="宋体"/>
        </w:rPr>
      </w:pPr>
      <w:r>
        <w:rPr>
          <w:rFonts w:hint="eastAsia" w:ascii="宋体" w:hAnsi="宋体"/>
        </w:rPr>
        <w:t>1</w:t>
      </w:r>
      <w:r>
        <w:rPr>
          <w:rFonts w:ascii="宋体" w:hAnsi="宋体"/>
        </w:rPr>
        <w:t>5.3.1.2</w:t>
      </w:r>
      <w:bookmarkStart w:id="140" w:name="_Hlk117860871"/>
      <w:r>
        <w:rPr>
          <w:rFonts w:hint="eastAsia" w:ascii="宋体" w:hAnsi="宋体"/>
        </w:rPr>
        <w:t>竞</w:t>
      </w:r>
      <w:bookmarkEnd w:id="140"/>
      <w:r>
        <w:rPr>
          <w:rFonts w:hint="eastAsia" w:ascii="宋体" w:hAnsi="宋体"/>
        </w:rPr>
        <w:t>标人应认真填写工程量清单中所列的所有各细目的单价和合价，填写时应注意：</w:t>
      </w:r>
    </w:p>
    <w:p w14:paraId="27943B85">
      <w:pPr>
        <w:spacing w:line="400" w:lineRule="exact"/>
        <w:ind w:firstLine="420" w:firstLineChars="200"/>
        <w:rPr>
          <w:rFonts w:hint="eastAsia" w:ascii="宋体" w:hAnsi="宋体"/>
        </w:rPr>
      </w:pPr>
      <w:r>
        <w:rPr>
          <w:rFonts w:hint="eastAsia" w:ascii="宋体" w:hAnsi="宋体"/>
        </w:rPr>
        <w:t>1</w:t>
      </w:r>
      <w:r>
        <w:rPr>
          <w:rFonts w:ascii="宋体" w:hAnsi="宋体"/>
        </w:rPr>
        <w:t>5.3.1.2.</w:t>
      </w:r>
      <w:r>
        <w:rPr>
          <w:rFonts w:hint="eastAsia" w:ascii="宋体" w:hAnsi="宋体"/>
        </w:rPr>
        <w:t>1有工程数量的应报单价和合价。</w:t>
      </w:r>
    </w:p>
    <w:p w14:paraId="277D6D93">
      <w:pPr>
        <w:spacing w:line="400" w:lineRule="exact"/>
        <w:ind w:firstLine="420" w:firstLineChars="200"/>
        <w:rPr>
          <w:rFonts w:hint="eastAsia" w:ascii="宋体" w:hAnsi="宋体"/>
        </w:rPr>
      </w:pPr>
      <w:r>
        <w:rPr>
          <w:rFonts w:hint="eastAsia" w:ascii="宋体" w:hAnsi="宋体"/>
        </w:rPr>
        <w:t>1</w:t>
      </w:r>
      <w:r>
        <w:rPr>
          <w:rFonts w:ascii="宋体" w:hAnsi="宋体"/>
        </w:rPr>
        <w:t>5.3.1.2.2</w:t>
      </w:r>
      <w:r>
        <w:rPr>
          <w:rFonts w:hint="eastAsia" w:ascii="宋体" w:hAnsi="宋体"/>
        </w:rPr>
        <w:t>无工程数量的项目不报价。</w:t>
      </w:r>
    </w:p>
    <w:p w14:paraId="3E6F8B38">
      <w:pPr>
        <w:spacing w:line="400" w:lineRule="exact"/>
        <w:ind w:firstLine="420" w:firstLineChars="200"/>
        <w:rPr>
          <w:rFonts w:hint="eastAsia" w:ascii="宋体" w:hAnsi="宋体"/>
        </w:rPr>
      </w:pPr>
      <w:r>
        <w:rPr>
          <w:rFonts w:hint="eastAsia" w:ascii="宋体" w:hAnsi="宋体"/>
        </w:rPr>
        <w:t>1</w:t>
      </w:r>
      <w:r>
        <w:rPr>
          <w:rFonts w:ascii="宋体" w:hAnsi="宋体"/>
        </w:rPr>
        <w:t>5.3.1.2.3</w:t>
      </w:r>
      <w:r>
        <w:rPr>
          <w:rFonts w:hint="eastAsia" w:ascii="宋体" w:hAnsi="宋体"/>
        </w:rPr>
        <w:t>除非招标人对采购文件予以修改，竞标人应按招标人提供的工程量清单中列出的工程项目和工程量填报单价和合价。每一项目只允许有一个报价。任何有选择的报价将不予接受。竞标人未填单价或合价的工程项目时，在实施后，招标人将不予以支付，并视为该项费用已包括在其他有价款的单价或合价内，承包人必须按监理工程师的指令完成工程量清单中未填入单价和总价的工程细目，但不能得到支付与结算。</w:t>
      </w:r>
    </w:p>
    <w:p w14:paraId="2CEB8BC1">
      <w:pPr>
        <w:spacing w:line="400" w:lineRule="exact"/>
        <w:ind w:firstLine="420" w:firstLineChars="200"/>
        <w:rPr>
          <w:rFonts w:hint="eastAsia" w:ascii="宋体" w:hAnsi="宋体"/>
        </w:rPr>
      </w:pPr>
      <w:r>
        <w:rPr>
          <w:rFonts w:hint="eastAsia" w:ascii="宋体" w:hAnsi="宋体"/>
        </w:rPr>
        <w:t>1</w:t>
      </w:r>
      <w:r>
        <w:rPr>
          <w:rFonts w:ascii="宋体" w:hAnsi="宋体"/>
        </w:rPr>
        <w:t>5.3.1.3</w:t>
      </w:r>
      <w:r>
        <w:rPr>
          <w:rFonts w:hint="eastAsia" w:ascii="宋体" w:hAnsi="宋体"/>
        </w:rPr>
        <w:t>招标人所提供的工程量清单，应认为已包括完成本工程的所有项目。凡设计图纸已指明的工程或图纸所示的附属工程、相关工程、衔接与后续工程所需的费用，竞标人应计入相关项目的单价中。</w:t>
      </w:r>
    </w:p>
    <w:p w14:paraId="48686E32">
      <w:pPr>
        <w:spacing w:line="400" w:lineRule="exact"/>
        <w:ind w:firstLine="420" w:firstLineChars="200"/>
        <w:rPr>
          <w:rFonts w:hint="eastAsia" w:ascii="宋体" w:hAnsi="宋体"/>
        </w:rPr>
      </w:pPr>
      <w:r>
        <w:rPr>
          <w:rFonts w:hint="eastAsia" w:ascii="宋体" w:hAnsi="宋体"/>
        </w:rPr>
        <w:t>1</w:t>
      </w:r>
      <w:r>
        <w:rPr>
          <w:rFonts w:ascii="宋体" w:hAnsi="宋体"/>
        </w:rPr>
        <w:t>5.3.1.4</w:t>
      </w:r>
      <w:r>
        <w:rPr>
          <w:rFonts w:hint="eastAsia" w:ascii="宋体" w:hAnsi="宋体"/>
        </w:rPr>
        <w:t>承包人的临时占地（含预制厂、料厂、拌和站、借弃土场、项目部驻地等）租用费（含拆迁补偿）、临时用地的环保、恢复及所有临时性占地的青苗补偿及地面附着物发生的费用均由承包人负责；由于承包人原因引起工期延长造成承包人临时占地的租用费增加由承包人负责。以上费用在投标价中自行考虑。</w:t>
      </w:r>
    </w:p>
    <w:p w14:paraId="0A894CFA">
      <w:pPr>
        <w:spacing w:line="400" w:lineRule="exact"/>
        <w:ind w:firstLine="420" w:firstLineChars="200"/>
        <w:rPr>
          <w:rFonts w:hint="eastAsia" w:ascii="宋体" w:hAnsi="宋体"/>
        </w:rPr>
      </w:pPr>
      <w:r>
        <w:rPr>
          <w:rFonts w:hint="eastAsia" w:ascii="宋体" w:hAnsi="宋体"/>
        </w:rPr>
        <w:t>1</w:t>
      </w:r>
      <w:r>
        <w:rPr>
          <w:rFonts w:ascii="宋体" w:hAnsi="宋体"/>
        </w:rPr>
        <w:t>5.3.1.5</w:t>
      </w:r>
      <w:r>
        <w:rPr>
          <w:rFonts w:hint="eastAsia" w:ascii="宋体" w:hAnsi="宋体"/>
        </w:rPr>
        <w:t>竞标人在报价中所报的单价和合价，以及投标报价汇总表中的价格均包括完成该工程项目的成本、利润、税金、开办费、技术措施费、大型机械进出场费、风险费、政策性文件规定费用等所有费用。</w:t>
      </w:r>
    </w:p>
    <w:p w14:paraId="26DBE589">
      <w:pPr>
        <w:spacing w:line="400" w:lineRule="exact"/>
        <w:ind w:firstLine="420" w:firstLineChars="200"/>
        <w:rPr>
          <w:rFonts w:hint="eastAsia" w:ascii="宋体" w:hAnsi="宋体"/>
        </w:rPr>
      </w:pPr>
      <w:r>
        <w:rPr>
          <w:rFonts w:hint="eastAsia" w:ascii="宋体" w:hAnsi="宋体"/>
        </w:rPr>
        <w:t>1</w:t>
      </w:r>
      <w:r>
        <w:rPr>
          <w:rFonts w:ascii="宋体" w:hAnsi="宋体"/>
        </w:rPr>
        <w:t>5.3.1.6</w:t>
      </w:r>
      <w:r>
        <w:rPr>
          <w:rFonts w:hint="eastAsia" w:ascii="宋体" w:hAnsi="宋体"/>
        </w:rPr>
        <w:t>发包人不提供取土点、弃土点，土石方单价包含但不限于以下费用：</w:t>
      </w:r>
    </w:p>
    <w:p w14:paraId="494A9172">
      <w:pPr>
        <w:spacing w:line="400" w:lineRule="exact"/>
        <w:ind w:firstLine="420" w:firstLineChars="200"/>
        <w:rPr>
          <w:rFonts w:hint="eastAsia" w:ascii="宋体" w:hAnsi="宋体"/>
        </w:rPr>
      </w:pPr>
      <w:r>
        <w:rPr>
          <w:rFonts w:hint="eastAsia" w:ascii="宋体" w:hAnsi="宋体"/>
        </w:rPr>
        <w:t>1</w:t>
      </w:r>
      <w:r>
        <w:rPr>
          <w:rFonts w:ascii="宋体" w:hAnsi="宋体"/>
        </w:rPr>
        <w:t>5.3.1.6.1</w:t>
      </w:r>
      <w:r>
        <w:rPr>
          <w:rFonts w:hint="eastAsia" w:ascii="宋体" w:hAnsi="宋体"/>
        </w:rPr>
        <w:t>有关土石方挖、填、弃(含超运)等一切作业的费用；</w:t>
      </w:r>
    </w:p>
    <w:p w14:paraId="0A52882C">
      <w:pPr>
        <w:spacing w:line="400" w:lineRule="exact"/>
        <w:ind w:firstLine="420" w:firstLineChars="200"/>
        <w:rPr>
          <w:rFonts w:hint="eastAsia" w:ascii="宋体" w:hAnsi="宋体"/>
        </w:rPr>
      </w:pPr>
      <w:r>
        <w:rPr>
          <w:rFonts w:hint="eastAsia" w:ascii="宋体" w:hAnsi="宋体"/>
        </w:rPr>
        <w:t>1</w:t>
      </w:r>
      <w:r>
        <w:rPr>
          <w:rFonts w:ascii="宋体" w:hAnsi="宋体"/>
        </w:rPr>
        <w:t>5.3.1.6.2</w:t>
      </w:r>
      <w:r>
        <w:rPr>
          <w:rFonts w:hint="eastAsia" w:ascii="宋体" w:hAnsi="宋体"/>
        </w:rPr>
        <w:t>取、弃土场的租用、青苗补偿、场地的恢复、平整、压实、检测等一切作业的费用;</w:t>
      </w:r>
    </w:p>
    <w:p w14:paraId="2384566E">
      <w:pPr>
        <w:spacing w:line="400" w:lineRule="exact"/>
        <w:ind w:firstLine="420" w:firstLineChars="200"/>
        <w:rPr>
          <w:rFonts w:hint="eastAsia" w:ascii="宋体" w:hAnsi="宋体"/>
        </w:rPr>
      </w:pPr>
      <w:r>
        <w:rPr>
          <w:rFonts w:hint="eastAsia" w:ascii="宋体" w:hAnsi="宋体"/>
        </w:rPr>
        <w:t>1</w:t>
      </w:r>
      <w:r>
        <w:rPr>
          <w:rFonts w:ascii="宋体" w:hAnsi="宋体"/>
        </w:rPr>
        <w:t>5.3.1.6.3</w:t>
      </w:r>
      <w:r>
        <w:rPr>
          <w:rFonts w:hint="eastAsia" w:ascii="宋体" w:hAnsi="宋体"/>
        </w:rPr>
        <w:t>土石方作业的其他费用，含政府临时性管制政策影响因素而发生的费用，如城乡清洁工程管理要求等因素；</w:t>
      </w:r>
    </w:p>
    <w:p w14:paraId="6296E002">
      <w:pPr>
        <w:spacing w:line="400" w:lineRule="exact"/>
        <w:ind w:firstLine="420" w:firstLineChars="200"/>
        <w:rPr>
          <w:rFonts w:hint="eastAsia" w:ascii="宋体" w:hAnsi="宋体"/>
        </w:rPr>
      </w:pPr>
      <w:r>
        <w:rPr>
          <w:rFonts w:hint="eastAsia" w:ascii="宋体" w:hAnsi="宋体"/>
        </w:rPr>
        <w:t>1</w:t>
      </w:r>
      <w:r>
        <w:rPr>
          <w:rFonts w:ascii="宋体" w:hAnsi="宋体"/>
        </w:rPr>
        <w:t>5.3.1.6.4</w:t>
      </w:r>
      <w:r>
        <w:rPr>
          <w:rFonts w:hint="eastAsia" w:ascii="宋体" w:hAnsi="宋体"/>
        </w:rPr>
        <w:t>土石方单价按市场报价。土石方单价以综合单价包干，运距由竞标人按所能承受能力自行考虑。结算时不对运距进行费用签证。</w:t>
      </w:r>
    </w:p>
    <w:p w14:paraId="3669F965">
      <w:pPr>
        <w:spacing w:line="400" w:lineRule="exact"/>
        <w:ind w:firstLine="420" w:firstLineChars="200"/>
        <w:rPr>
          <w:rFonts w:hint="eastAsia" w:ascii="宋体" w:hAnsi="宋体"/>
        </w:rPr>
      </w:pPr>
      <w:r>
        <w:rPr>
          <w:rFonts w:hint="eastAsia" w:ascii="宋体" w:hAnsi="宋体"/>
        </w:rPr>
        <w:t>1</w:t>
      </w:r>
      <w:r>
        <w:rPr>
          <w:rFonts w:ascii="宋体" w:hAnsi="宋体"/>
        </w:rPr>
        <w:t>5.3.1.7</w:t>
      </w:r>
      <w:r>
        <w:rPr>
          <w:rFonts w:hint="eastAsia" w:ascii="宋体" w:hAnsi="宋体"/>
        </w:rPr>
        <w:t>承包人承建本工程所需的水电报装（含设备的购买、安装、维修、使用、拆除、维护及场地租用、恢复等一切与此相关的费用）由承包人负责，以上费用在竞标报价中综合考虑。</w:t>
      </w:r>
    </w:p>
    <w:p w14:paraId="7A7C4036">
      <w:pPr>
        <w:spacing w:line="400" w:lineRule="exact"/>
        <w:ind w:firstLine="420" w:firstLineChars="200"/>
        <w:rPr>
          <w:rFonts w:hint="eastAsia" w:ascii="宋体" w:hAnsi="宋体"/>
        </w:rPr>
      </w:pPr>
      <w:r>
        <w:rPr>
          <w:rFonts w:hint="eastAsia" w:ascii="宋体" w:hAnsi="宋体"/>
        </w:rPr>
        <w:t>1</w:t>
      </w:r>
      <w:r>
        <w:rPr>
          <w:rFonts w:ascii="宋体" w:hAnsi="宋体"/>
        </w:rPr>
        <w:t>5.3.1.8</w:t>
      </w:r>
      <w:r>
        <w:rPr>
          <w:rFonts w:hint="eastAsia" w:ascii="宋体" w:hAnsi="宋体"/>
        </w:rPr>
        <w:t>工程量清单中涉及混凝土的细目，竞标人应综合考虑现行地方政府有关规定，自行报价。</w:t>
      </w:r>
    </w:p>
    <w:p w14:paraId="48173C94">
      <w:pPr>
        <w:spacing w:line="400" w:lineRule="exact"/>
        <w:ind w:firstLine="420" w:firstLineChars="200"/>
        <w:rPr>
          <w:rFonts w:hint="eastAsia" w:ascii="宋体" w:hAnsi="宋体"/>
        </w:rPr>
      </w:pPr>
      <w:r>
        <w:rPr>
          <w:rFonts w:hint="eastAsia" w:ascii="宋体" w:hAnsi="宋体"/>
        </w:rPr>
        <w:t>1</w:t>
      </w:r>
      <w:r>
        <w:rPr>
          <w:rFonts w:ascii="宋体" w:hAnsi="宋体"/>
        </w:rPr>
        <w:t>5.3.1.9</w:t>
      </w:r>
      <w:r>
        <w:rPr>
          <w:rFonts w:hint="eastAsia" w:ascii="宋体" w:hAnsi="宋体"/>
        </w:rPr>
        <w:t>竞标人在进行工程量清单报价时，应按照招标人的工程量清单进行报价。竞标人对自已所填写的序号、项目名称、合同内工程量、单位、单价、金额负责。评标中，如序号、项目名称、合同内工程量、单位无法一一对应，该清单项目作废，该清单项目的费用视为包含在其他清单中；如作废的清单项目达到三项以上（含本数）或作废的清单项目造价累计超过单位工程竞标报价的2%（含本数），视为不响应采购文件实质性内容，作无效投标处理。</w:t>
      </w:r>
    </w:p>
    <w:p w14:paraId="07FD6658">
      <w:pPr>
        <w:spacing w:line="400" w:lineRule="exact"/>
        <w:ind w:firstLine="420" w:firstLineChars="200"/>
        <w:rPr>
          <w:rFonts w:hint="eastAsia" w:ascii="宋体" w:hAnsi="宋体"/>
        </w:rPr>
      </w:pPr>
      <w:r>
        <w:rPr>
          <w:rFonts w:hint="eastAsia" w:ascii="宋体" w:hAnsi="宋体"/>
        </w:rPr>
        <w:t>1</w:t>
      </w:r>
      <w:r>
        <w:rPr>
          <w:rFonts w:ascii="宋体" w:hAnsi="宋体"/>
        </w:rPr>
        <w:t>5.3.1.10</w:t>
      </w:r>
      <w:r>
        <w:rPr>
          <w:rFonts w:hint="eastAsia" w:ascii="宋体" w:hAnsi="宋体"/>
        </w:rPr>
        <w:t>竞标人不得采用总价优惠、总价百分比优惠或以报价调整函的方式进行竞标报价，其优惠应直接体现在各项投标报价的单价中，竞标报价表中的报价必须与工程量清单汇总表一致，否则作废标处理。</w:t>
      </w:r>
    </w:p>
    <w:p w14:paraId="701F3A54">
      <w:pPr>
        <w:spacing w:line="400" w:lineRule="exact"/>
        <w:ind w:firstLine="420" w:firstLineChars="200"/>
        <w:rPr>
          <w:rFonts w:hint="eastAsia" w:ascii="宋体" w:hAnsi="宋体"/>
        </w:rPr>
      </w:pPr>
      <w:r>
        <w:rPr>
          <w:rFonts w:hint="eastAsia" w:ascii="宋体" w:hAnsi="宋体"/>
        </w:rPr>
        <w:t>1</w:t>
      </w:r>
      <w:r>
        <w:rPr>
          <w:rFonts w:ascii="宋体" w:hAnsi="宋体"/>
        </w:rPr>
        <w:t>5.3.1.11</w:t>
      </w:r>
      <w:r>
        <w:rPr>
          <w:rFonts w:hint="eastAsia" w:ascii="宋体" w:hAnsi="宋体"/>
        </w:rPr>
        <w:t>因施工产生的污水、废水、建筑垃圾以及噪音扰民等的处置由承包人负责，相关费用结合工程量清单综合考虑。</w:t>
      </w:r>
    </w:p>
    <w:p w14:paraId="67D29755">
      <w:pPr>
        <w:spacing w:line="400" w:lineRule="exact"/>
        <w:ind w:firstLine="420" w:firstLineChars="200"/>
        <w:rPr>
          <w:rFonts w:hint="eastAsia" w:ascii="宋体" w:hAnsi="宋体"/>
        </w:rPr>
      </w:pPr>
      <w:bookmarkStart w:id="141" w:name="_Hlk117861067"/>
      <w:r>
        <w:rPr>
          <w:rFonts w:hint="eastAsia" w:ascii="宋体" w:hAnsi="宋体"/>
        </w:rPr>
        <w:t>1</w:t>
      </w:r>
      <w:r>
        <w:rPr>
          <w:rFonts w:ascii="宋体" w:hAnsi="宋体"/>
        </w:rPr>
        <w:t>5.3.1.12</w:t>
      </w:r>
      <w:r>
        <w:rPr>
          <w:rFonts w:hint="eastAsia" w:ascii="宋体" w:hAnsi="宋体"/>
        </w:rPr>
        <w:t>竞</w:t>
      </w:r>
      <w:bookmarkEnd w:id="141"/>
      <w:r>
        <w:rPr>
          <w:rFonts w:hint="eastAsia" w:ascii="宋体" w:hAnsi="宋体"/>
        </w:rPr>
        <w:t>标人可先到工地踏勘以充分了解工地位置、情况、道路、储存空间、装卸限制及任何其他足以影响承包价的情况，任何因忽视或误解工地情况而导致的索赔或工期延长申请将不被批准。由竞标人自行考虑主要材料价格涨跌的风险。因征地拆迁影响及重大设计变更等建设单位原因，在招标后延迟开工或中途停建重新复工的施工工期内，按有关政策规定执行。</w:t>
      </w:r>
    </w:p>
    <w:p w14:paraId="4805135D">
      <w:pPr>
        <w:spacing w:line="400" w:lineRule="exact"/>
        <w:ind w:firstLine="420" w:firstLineChars="200"/>
        <w:rPr>
          <w:rFonts w:hint="eastAsia" w:ascii="宋体" w:hAnsi="宋体"/>
        </w:rPr>
      </w:pPr>
      <w:r>
        <w:rPr>
          <w:rFonts w:hint="eastAsia" w:ascii="宋体" w:hAnsi="宋体"/>
        </w:rPr>
        <w:t>1</w:t>
      </w:r>
      <w:r>
        <w:rPr>
          <w:rFonts w:ascii="宋体" w:hAnsi="宋体"/>
        </w:rPr>
        <w:t>5.3.1.13</w:t>
      </w:r>
      <w:r>
        <w:rPr>
          <w:rFonts w:hint="eastAsia" w:ascii="宋体" w:hAnsi="宋体"/>
        </w:rPr>
        <w:t>竞标人应充分考虑沿路单位及过路车辆、行人的交通疏导问题，因交通管理导致的费用由竞标人自行承担。</w:t>
      </w:r>
    </w:p>
    <w:p w14:paraId="449B3543">
      <w:pPr>
        <w:spacing w:line="400" w:lineRule="exact"/>
        <w:ind w:firstLine="420" w:firstLineChars="200"/>
        <w:rPr>
          <w:rFonts w:hint="eastAsia" w:ascii="宋体" w:hAnsi="宋体"/>
        </w:rPr>
      </w:pPr>
      <w:r>
        <w:rPr>
          <w:rFonts w:hint="eastAsia" w:ascii="宋体" w:hAnsi="宋体"/>
        </w:rPr>
        <w:t>1</w:t>
      </w:r>
      <w:r>
        <w:rPr>
          <w:rFonts w:ascii="宋体" w:hAnsi="宋体"/>
        </w:rPr>
        <w:t>5.3.1.14</w:t>
      </w:r>
      <w:r>
        <w:rPr>
          <w:rFonts w:hint="eastAsia" w:ascii="宋体" w:hAnsi="宋体"/>
        </w:rPr>
        <w:t>竞标人的竞标报价与招标预算控制价相比，如下浮的比例超过10%以上的，竞标人需提供相关支持证明材料，否则其竞标报价无效。</w:t>
      </w:r>
    </w:p>
    <w:p w14:paraId="7E890799">
      <w:pPr>
        <w:spacing w:line="400" w:lineRule="exact"/>
        <w:ind w:firstLine="420" w:firstLineChars="200"/>
        <w:rPr>
          <w:rFonts w:hint="eastAsia" w:ascii="宋体" w:hAnsi="宋体"/>
        </w:rPr>
      </w:pPr>
      <w:r>
        <w:rPr>
          <w:rFonts w:hint="eastAsia" w:ascii="宋体" w:hAnsi="宋体"/>
        </w:rPr>
        <w:t>1</w:t>
      </w:r>
      <w:r>
        <w:rPr>
          <w:rFonts w:ascii="宋体" w:hAnsi="宋体"/>
        </w:rPr>
        <w:t>5.3.1.15</w:t>
      </w:r>
      <w:r>
        <w:rPr>
          <w:rFonts w:hint="eastAsia" w:ascii="宋体" w:hAnsi="宋体"/>
        </w:rPr>
        <w:t>竞标人竞标工程量清单中原有项目的工程量结算时无论增减，均按原中标单价支付，承包人必须按发包人的指令进行施工，不得以任何理由拒绝，否则将视为违约，竞标人必须在报价中充分考虑由工程量变化带来的风险。</w:t>
      </w:r>
    </w:p>
    <w:p w14:paraId="02041A7D">
      <w:pPr>
        <w:spacing w:line="400" w:lineRule="exact"/>
        <w:ind w:firstLine="420" w:firstLineChars="200"/>
        <w:rPr>
          <w:rFonts w:ascii="宋体" w:hAnsi="宋体"/>
        </w:rPr>
      </w:pPr>
      <w:r>
        <w:rPr>
          <w:rFonts w:hint="eastAsia" w:ascii="宋体" w:hAnsi="宋体"/>
        </w:rPr>
        <w:t>1</w:t>
      </w:r>
      <w:r>
        <w:rPr>
          <w:rFonts w:ascii="宋体" w:hAnsi="宋体"/>
        </w:rPr>
        <w:t>5.3.1.16</w:t>
      </w:r>
      <w:r>
        <w:rPr>
          <w:rFonts w:hint="eastAsia" w:ascii="宋体" w:hAnsi="宋体"/>
        </w:rPr>
        <w:t>本工程的竞标报价不准使用报价调整函、投标函中的报价必须与工程量清单汇总表一致，否则作无效竞标处理。</w:t>
      </w:r>
    </w:p>
    <w:p w14:paraId="73CADEF7">
      <w:pPr>
        <w:spacing w:line="400" w:lineRule="exact"/>
        <w:ind w:firstLine="420" w:firstLineChars="200"/>
        <w:rPr>
          <w:rFonts w:hint="eastAsia" w:ascii="宋体" w:hAnsi="宋体"/>
        </w:rPr>
      </w:pPr>
      <w:r>
        <w:rPr>
          <w:rFonts w:hint="eastAsia" w:ascii="宋体" w:hAnsi="宋体"/>
        </w:rPr>
        <w:t>1</w:t>
      </w:r>
      <w:r>
        <w:rPr>
          <w:rFonts w:ascii="宋体" w:hAnsi="宋体"/>
        </w:rPr>
        <w:t>5.3.2</w:t>
      </w:r>
      <w:r>
        <w:rPr>
          <w:rFonts w:hint="eastAsia" w:ascii="宋体" w:hAnsi="宋体"/>
        </w:rPr>
        <w:t>竞标报价（包含首次报价、最后报价）超过所竞标分标规定的采购预算金额或者最高限价的，其响应文件将作无效处理。</w:t>
      </w:r>
    </w:p>
    <w:p w14:paraId="5C102E77">
      <w:pPr>
        <w:spacing w:line="400" w:lineRule="exact"/>
        <w:ind w:firstLine="482" w:firstLineChars="200"/>
        <w:outlineLvl w:val="2"/>
        <w:rPr>
          <w:rFonts w:hint="eastAsia" w:ascii="宋体" w:hAnsi="宋体" w:cs="宋体"/>
          <w:b/>
          <w:bCs/>
          <w:sz w:val="24"/>
        </w:rPr>
      </w:pPr>
      <w:bookmarkStart w:id="142" w:name="_Toc15313"/>
      <w:bookmarkStart w:id="143" w:name="_Toc30814"/>
      <w:r>
        <w:rPr>
          <w:rFonts w:hint="eastAsia" w:ascii="宋体" w:hAnsi="宋体" w:cs="宋体"/>
          <w:b/>
          <w:bCs/>
          <w:sz w:val="24"/>
        </w:rPr>
        <w:t>16.竞标有效期</w:t>
      </w:r>
      <w:bookmarkEnd w:id="139"/>
      <w:bookmarkEnd w:id="142"/>
      <w:bookmarkEnd w:id="143"/>
    </w:p>
    <w:p w14:paraId="73172BF5">
      <w:pPr>
        <w:spacing w:line="400" w:lineRule="exact"/>
        <w:ind w:firstLine="420" w:firstLineChars="200"/>
        <w:rPr>
          <w:rFonts w:hint="eastAsia" w:ascii="宋体" w:hAnsi="宋体" w:cs="宋体"/>
          <w:szCs w:val="21"/>
        </w:rPr>
      </w:pPr>
      <w:r>
        <w:rPr>
          <w:rFonts w:hint="eastAsia" w:ascii="宋体" w:hAnsi="宋体" w:cs="宋体"/>
          <w:szCs w:val="21"/>
        </w:rPr>
        <w:t>16.1竞标有效期是指为保证采购人有足够的时间在提交响应文件后完成评审、确定成交供应商、合同签订等工作而要求供应商提交的响应文件在一定时间内保持有效的期限。</w:t>
      </w:r>
    </w:p>
    <w:p w14:paraId="0EAAF28C">
      <w:pPr>
        <w:spacing w:line="400" w:lineRule="exact"/>
        <w:ind w:firstLine="420" w:firstLineChars="200"/>
        <w:rPr>
          <w:rFonts w:hint="eastAsia" w:ascii="宋体" w:hAnsi="宋体" w:cs="宋体"/>
          <w:szCs w:val="21"/>
        </w:rPr>
      </w:pPr>
      <w:r>
        <w:rPr>
          <w:rFonts w:hint="eastAsia" w:ascii="宋体" w:hAnsi="宋体" w:cs="宋体"/>
          <w:szCs w:val="21"/>
        </w:rPr>
        <w:t>16.2 竞标有效期应由供应商按“供应商须知前附表”规定的期限作出响应。</w:t>
      </w:r>
    </w:p>
    <w:p w14:paraId="776E9C49">
      <w:pPr>
        <w:spacing w:line="400" w:lineRule="exact"/>
        <w:ind w:firstLine="420" w:firstLineChars="200"/>
        <w:rPr>
          <w:rFonts w:hint="eastAsia" w:ascii="宋体" w:hAnsi="宋体" w:cs="宋体"/>
          <w:szCs w:val="21"/>
        </w:rPr>
      </w:pPr>
      <w:r>
        <w:rPr>
          <w:rFonts w:hint="eastAsia" w:ascii="宋体" w:hAnsi="宋体" w:cs="宋体"/>
          <w:szCs w:val="21"/>
        </w:rPr>
        <w:t>16.3供应商的响应文件在竞标有效期内均保持有效。</w:t>
      </w:r>
    </w:p>
    <w:p w14:paraId="13C27D1A">
      <w:pPr>
        <w:spacing w:line="400" w:lineRule="exact"/>
        <w:ind w:firstLine="482" w:firstLineChars="200"/>
        <w:outlineLvl w:val="2"/>
        <w:rPr>
          <w:rFonts w:hint="eastAsia" w:ascii="宋体" w:hAnsi="宋体" w:cs="宋体"/>
          <w:b/>
          <w:bCs/>
          <w:sz w:val="24"/>
        </w:rPr>
      </w:pPr>
      <w:bookmarkStart w:id="144" w:name="_Toc117860063"/>
      <w:bookmarkStart w:id="145" w:name="_Toc13288"/>
      <w:bookmarkStart w:id="146" w:name="_Toc26781"/>
      <w:r>
        <w:rPr>
          <w:rFonts w:hint="eastAsia" w:ascii="宋体" w:hAnsi="宋体" w:cs="宋体"/>
          <w:b/>
          <w:bCs/>
          <w:sz w:val="24"/>
        </w:rPr>
        <w:t>17.磋商保证金</w:t>
      </w:r>
      <w:bookmarkEnd w:id="144"/>
      <w:bookmarkEnd w:id="145"/>
      <w:bookmarkEnd w:id="146"/>
    </w:p>
    <w:p w14:paraId="4D57E086">
      <w:pPr>
        <w:spacing w:line="400" w:lineRule="exact"/>
        <w:ind w:left="420" w:leftChars="200"/>
        <w:rPr>
          <w:rFonts w:hint="eastAsia" w:ascii="宋体" w:hAnsi="宋体" w:cs="宋体"/>
          <w:szCs w:val="21"/>
        </w:rPr>
      </w:pPr>
      <w:r>
        <w:rPr>
          <w:rFonts w:hint="eastAsia" w:ascii="宋体" w:hAnsi="宋体" w:cs="宋体"/>
          <w:szCs w:val="21"/>
        </w:rPr>
        <w:t>17.1供应商须按“供应商须知前附表”的规定提交磋商保证金。</w:t>
      </w:r>
    </w:p>
    <w:p w14:paraId="2DCF842F">
      <w:pPr>
        <w:spacing w:line="400" w:lineRule="exact"/>
        <w:ind w:left="420" w:leftChars="200"/>
        <w:rPr>
          <w:rFonts w:hint="eastAsia" w:ascii="宋体" w:hAnsi="宋体" w:cs="宋体"/>
          <w:szCs w:val="21"/>
        </w:rPr>
      </w:pPr>
      <w:r>
        <w:rPr>
          <w:rFonts w:hint="eastAsia" w:ascii="宋体" w:hAnsi="宋体" w:cs="宋体"/>
          <w:szCs w:val="21"/>
        </w:rPr>
        <w:t>17.2磋商保证金的退还</w:t>
      </w:r>
    </w:p>
    <w:p w14:paraId="1E405C0C">
      <w:pPr>
        <w:spacing w:line="400" w:lineRule="exact"/>
        <w:ind w:firstLine="420" w:firstLineChars="200"/>
        <w:rPr>
          <w:rFonts w:hint="eastAsia" w:ascii="宋体" w:hAnsi="宋体" w:cs="宋体"/>
          <w:szCs w:val="21"/>
        </w:rPr>
      </w:pPr>
      <w:r>
        <w:rPr>
          <w:rFonts w:hint="eastAsia" w:ascii="宋体" w:hAnsi="宋体" w:cs="宋体"/>
          <w:szCs w:val="21"/>
        </w:rPr>
        <w:t>17.2.1未</w:t>
      </w:r>
      <w:r>
        <w:rPr>
          <w:rFonts w:hint="eastAsia" w:ascii="宋体" w:hAnsi="宋体" w:cs="宋体"/>
          <w:spacing w:val="-6"/>
          <w:szCs w:val="21"/>
        </w:rPr>
        <w:t>成交供应商的磋商保证金自成交通知书发出之日起</w:t>
      </w:r>
      <w:r>
        <w:rPr>
          <w:rFonts w:ascii="宋体" w:hAnsi="宋体" w:cs="宋体"/>
          <w:spacing w:val="-6"/>
          <w:szCs w:val="21"/>
        </w:rPr>
        <w:t>4</w:t>
      </w:r>
      <w:r>
        <w:rPr>
          <w:rFonts w:hint="eastAsia" w:ascii="宋体" w:hAnsi="宋体" w:cs="宋体"/>
          <w:spacing w:val="-6"/>
          <w:szCs w:val="21"/>
        </w:rPr>
        <w:t>个工作日内退还，退还方式如下：</w:t>
      </w:r>
    </w:p>
    <w:p w14:paraId="7CFAE71C">
      <w:pPr>
        <w:spacing w:line="400" w:lineRule="exact"/>
        <w:ind w:firstLine="420" w:firstLineChars="200"/>
        <w:rPr>
          <w:rFonts w:hint="eastAsia" w:ascii="宋体" w:hAnsi="宋体" w:cs="宋体"/>
          <w:szCs w:val="21"/>
        </w:rPr>
      </w:pPr>
      <w:r>
        <w:rPr>
          <w:rFonts w:hint="eastAsia" w:ascii="宋体" w:hAnsi="宋体" w:cs="宋体"/>
          <w:szCs w:val="21"/>
        </w:rPr>
        <w:t>（1）采用银行转账方式的，以转账方式退回到供应商银行账户。</w:t>
      </w:r>
    </w:p>
    <w:p w14:paraId="3B18B56D">
      <w:pPr>
        <w:spacing w:line="400" w:lineRule="exact"/>
        <w:ind w:firstLine="420" w:firstLineChars="200"/>
        <w:rPr>
          <w:rFonts w:hint="eastAsia" w:ascii="宋体" w:hAnsi="宋体"/>
          <w:szCs w:val="21"/>
        </w:rPr>
      </w:pPr>
      <w:r>
        <w:rPr>
          <w:rFonts w:hint="eastAsia" w:ascii="宋体" w:hAnsi="宋体" w:cs="宋体"/>
          <w:szCs w:val="21"/>
        </w:rPr>
        <w:t>（2）</w:t>
      </w:r>
      <w:r>
        <w:rPr>
          <w:rFonts w:hint="eastAsia" w:ascii="宋体" w:hAnsi="宋体"/>
          <w:szCs w:val="21"/>
        </w:rPr>
        <w:t>采用支票、汇票、本票或者金融、担保机构出具的保函方式的，由供应商代表持相关授权证明材料至采购人或者采购代理机构办理支票、汇票、本票或者金融、担保机构出具的保函原件退还手续。</w:t>
      </w:r>
    </w:p>
    <w:p w14:paraId="58C9009C">
      <w:pPr>
        <w:spacing w:line="400" w:lineRule="exact"/>
        <w:ind w:firstLine="420" w:firstLineChars="200"/>
        <w:rPr>
          <w:rFonts w:hint="eastAsia" w:ascii="宋体" w:hAnsi="宋体" w:cs="宋体"/>
          <w:szCs w:val="21"/>
        </w:rPr>
      </w:pPr>
      <w:r>
        <w:rPr>
          <w:rFonts w:hint="eastAsia" w:ascii="宋体" w:hAnsi="宋体" w:cs="宋体"/>
          <w:szCs w:val="21"/>
        </w:rPr>
        <w:t>17.2.2成交供应商的磋商保证金自签订合同之日起</w:t>
      </w:r>
      <w:r>
        <w:rPr>
          <w:rFonts w:ascii="宋体" w:hAnsi="宋体" w:cs="宋体"/>
          <w:szCs w:val="21"/>
        </w:rPr>
        <w:t>4</w:t>
      </w:r>
      <w:r>
        <w:rPr>
          <w:rFonts w:hint="eastAsia" w:ascii="宋体" w:hAnsi="宋体" w:cs="宋体"/>
          <w:szCs w:val="21"/>
        </w:rPr>
        <w:t xml:space="preserve">个工作日内退还，退还方式同未成交供应商的磋商保证金的退还方式。 </w:t>
      </w:r>
    </w:p>
    <w:p w14:paraId="2E2D891D">
      <w:pPr>
        <w:spacing w:line="400" w:lineRule="exact"/>
        <w:ind w:left="420" w:leftChars="200"/>
        <w:rPr>
          <w:rFonts w:hint="eastAsia" w:ascii="宋体" w:hAnsi="宋体" w:cs="宋体"/>
          <w:szCs w:val="21"/>
        </w:rPr>
      </w:pPr>
      <w:r>
        <w:rPr>
          <w:rFonts w:hint="eastAsia" w:ascii="宋体" w:hAnsi="宋体" w:cs="宋体"/>
          <w:szCs w:val="21"/>
        </w:rPr>
        <w:t>17.3磋商保证金不计息。</w:t>
      </w:r>
    </w:p>
    <w:p w14:paraId="0F0DED17">
      <w:pPr>
        <w:spacing w:line="400" w:lineRule="exact"/>
        <w:ind w:left="420" w:leftChars="200"/>
        <w:rPr>
          <w:rFonts w:hint="eastAsia" w:ascii="宋体" w:hAnsi="宋体" w:cs="宋体"/>
          <w:szCs w:val="21"/>
        </w:rPr>
      </w:pPr>
      <w:r>
        <w:rPr>
          <w:rFonts w:hint="eastAsia" w:ascii="宋体" w:hAnsi="宋体" w:cs="宋体"/>
          <w:szCs w:val="21"/>
        </w:rPr>
        <w:t xml:space="preserve">17.4供应商有下列情形之一的，磋商保证金将不予退还： </w:t>
      </w:r>
    </w:p>
    <w:p w14:paraId="7586ADBA">
      <w:pPr>
        <w:spacing w:line="400" w:lineRule="exact"/>
        <w:ind w:left="420" w:leftChars="200"/>
        <w:rPr>
          <w:rFonts w:hint="eastAsia" w:ascii="宋体" w:hAnsi="宋体" w:cs="宋体"/>
          <w:szCs w:val="21"/>
        </w:rPr>
      </w:pPr>
      <w:r>
        <w:rPr>
          <w:rFonts w:hint="eastAsia" w:ascii="宋体" w:hAnsi="宋体" w:cs="宋体"/>
          <w:szCs w:val="21"/>
        </w:rPr>
        <w:t>（1）供应商在提交响应文件截止时间后撤回响应文件的；</w:t>
      </w:r>
    </w:p>
    <w:p w14:paraId="2DC94FFE">
      <w:pPr>
        <w:spacing w:line="400" w:lineRule="exact"/>
        <w:ind w:left="420" w:leftChars="200"/>
        <w:rPr>
          <w:rFonts w:hint="eastAsia" w:ascii="宋体" w:hAnsi="宋体" w:cs="宋体"/>
          <w:szCs w:val="21"/>
        </w:rPr>
      </w:pPr>
      <w:r>
        <w:rPr>
          <w:rFonts w:hint="eastAsia" w:ascii="宋体" w:hAnsi="宋体" w:cs="宋体"/>
          <w:szCs w:val="21"/>
        </w:rPr>
        <w:t>（2）供应商在响应文件中提供虚假材料的；</w:t>
      </w:r>
    </w:p>
    <w:p w14:paraId="5F13E4AC">
      <w:pPr>
        <w:spacing w:line="400" w:lineRule="exact"/>
        <w:ind w:firstLine="420" w:firstLineChars="200"/>
        <w:rPr>
          <w:rFonts w:hint="eastAsia" w:ascii="宋体" w:hAnsi="宋体" w:cs="宋体"/>
          <w:szCs w:val="21"/>
        </w:rPr>
      </w:pPr>
      <w:r>
        <w:rPr>
          <w:rFonts w:hint="eastAsia" w:ascii="宋体" w:hAnsi="宋体" w:cs="宋体"/>
          <w:szCs w:val="21"/>
        </w:rPr>
        <w:t>（3）除因不可抗力或者磋商文件认可的情形以外，成交供应商不与采购人签订合同的；</w:t>
      </w:r>
    </w:p>
    <w:p w14:paraId="0D6FCD85">
      <w:pPr>
        <w:spacing w:line="400" w:lineRule="exact"/>
        <w:ind w:left="420" w:leftChars="200"/>
        <w:rPr>
          <w:rFonts w:hint="eastAsia" w:ascii="宋体" w:hAnsi="宋体" w:cs="宋体"/>
          <w:szCs w:val="21"/>
        </w:rPr>
      </w:pPr>
      <w:r>
        <w:rPr>
          <w:rFonts w:hint="eastAsia" w:ascii="宋体" w:hAnsi="宋体" w:cs="宋体"/>
          <w:szCs w:val="21"/>
        </w:rPr>
        <w:t>（4）供应商与采购人、其他供应商或者采购代理机构恶意串通的；</w:t>
      </w:r>
    </w:p>
    <w:p w14:paraId="63301365">
      <w:pPr>
        <w:spacing w:line="400" w:lineRule="exact"/>
        <w:ind w:left="420" w:leftChars="200"/>
        <w:rPr>
          <w:rFonts w:hint="eastAsia" w:ascii="宋体" w:hAnsi="宋体" w:cs="宋体"/>
          <w:szCs w:val="21"/>
        </w:rPr>
      </w:pPr>
      <w:r>
        <w:rPr>
          <w:rFonts w:hint="eastAsia" w:ascii="宋体" w:hAnsi="宋体" w:cs="宋体"/>
          <w:szCs w:val="21"/>
        </w:rPr>
        <w:t>（5）磋商文件规定的其他情形。</w:t>
      </w:r>
    </w:p>
    <w:p w14:paraId="34020EED">
      <w:pPr>
        <w:spacing w:line="400" w:lineRule="exact"/>
        <w:ind w:firstLine="482" w:firstLineChars="200"/>
        <w:outlineLvl w:val="2"/>
        <w:rPr>
          <w:rFonts w:hint="eastAsia" w:ascii="宋体" w:hAnsi="宋体" w:cs="宋体"/>
          <w:b/>
          <w:bCs/>
          <w:sz w:val="24"/>
        </w:rPr>
      </w:pPr>
      <w:bookmarkStart w:id="147" w:name="_Toc117860064"/>
      <w:bookmarkStart w:id="148" w:name="_Toc19284"/>
      <w:bookmarkStart w:id="149" w:name="_Toc11273"/>
      <w:r>
        <w:rPr>
          <w:rFonts w:hint="eastAsia" w:ascii="宋体" w:hAnsi="宋体" w:cs="宋体"/>
          <w:b/>
          <w:bCs/>
          <w:sz w:val="24"/>
        </w:rPr>
        <w:t>18.响应文件编制的要求</w:t>
      </w:r>
      <w:bookmarkEnd w:id="147"/>
      <w:bookmarkEnd w:id="148"/>
      <w:bookmarkEnd w:id="149"/>
    </w:p>
    <w:p w14:paraId="4F2141D2">
      <w:pPr>
        <w:spacing w:line="400" w:lineRule="exact"/>
        <w:ind w:firstLine="420" w:firstLineChars="200"/>
        <w:rPr>
          <w:rFonts w:hint="eastAsia" w:ascii="宋体" w:hAnsi="宋体" w:cs="宋体"/>
          <w:szCs w:val="21"/>
        </w:rPr>
      </w:pPr>
      <w:r>
        <w:rPr>
          <w:rFonts w:hint="eastAsia" w:ascii="宋体" w:hAnsi="宋体" w:cs="宋体"/>
          <w:szCs w:val="21"/>
        </w:rPr>
        <w:t>18.1供应商应根据</w:t>
      </w:r>
      <w:r>
        <w:rPr>
          <w:rFonts w:hint="eastAsia" w:ascii="宋体" w:hAnsi="宋体" w:cs="宋体"/>
          <w:szCs w:val="21"/>
          <w:lang w:eastAsia="zh-CN"/>
        </w:rPr>
        <w:t>广西政府采购云平台</w:t>
      </w:r>
      <w:r>
        <w:rPr>
          <w:rFonts w:hint="eastAsia" w:ascii="宋体" w:hAnsi="宋体" w:cs="宋体"/>
          <w:szCs w:val="21"/>
        </w:rPr>
        <w:t>的要求及磋商文件规定的格式和顺序编制响应文件并标注页码，响应文件内容</w:t>
      </w:r>
      <w:r>
        <w:rPr>
          <w:rFonts w:hint="eastAsia" w:ascii="宋体" w:hAnsi="宋体" w:cs="宋体"/>
          <w:spacing w:val="-6"/>
          <w:szCs w:val="21"/>
        </w:rPr>
        <w:t>不完整、编排混乱导致响应文件被误读、漏读或者查找不到相关内容的，</w:t>
      </w:r>
      <w:r>
        <w:rPr>
          <w:rFonts w:hint="eastAsia" w:ascii="宋体" w:hAnsi="宋体"/>
        </w:rPr>
        <w:t>由此引发的</w:t>
      </w:r>
      <w:r>
        <w:rPr>
          <w:rFonts w:hint="eastAsia" w:ascii="宋体" w:hAnsi="宋体" w:cs="宋体"/>
          <w:spacing w:val="-6"/>
          <w:szCs w:val="21"/>
        </w:rPr>
        <w:t>后果由供应商承担。</w:t>
      </w:r>
    </w:p>
    <w:p w14:paraId="225496AE">
      <w:pPr>
        <w:spacing w:line="400" w:lineRule="exact"/>
        <w:ind w:firstLine="396" w:firstLineChars="200"/>
        <w:rPr>
          <w:rFonts w:hint="eastAsia" w:ascii="宋体" w:hAnsi="宋体" w:cs="宋体"/>
          <w:spacing w:val="-6"/>
          <w:szCs w:val="21"/>
        </w:rPr>
      </w:pPr>
      <w:r>
        <w:rPr>
          <w:rFonts w:hint="eastAsia" w:ascii="宋体" w:hAnsi="宋体" w:cs="宋体"/>
          <w:spacing w:val="-6"/>
          <w:szCs w:val="21"/>
        </w:rPr>
        <w:t>18.2响应文件应按资格证明文件、报价文件、商务技术文件分别编制。</w:t>
      </w:r>
    </w:p>
    <w:p w14:paraId="5429EF68">
      <w:pPr>
        <w:spacing w:line="400" w:lineRule="exact"/>
        <w:ind w:firstLine="420" w:firstLineChars="200"/>
        <w:rPr>
          <w:rFonts w:hint="eastAsia" w:ascii="宋体" w:hAnsi="宋体" w:cs="宋体"/>
          <w:szCs w:val="21"/>
        </w:rPr>
      </w:pPr>
      <w:r>
        <w:rPr>
          <w:rFonts w:hint="eastAsia" w:ascii="宋体" w:hAnsi="宋体" w:cs="宋体"/>
          <w:szCs w:val="21"/>
        </w:rPr>
        <w:t>18.3响应文件须由供应商在规定位置盖公章并签字（具体以本须知前附表或响应文件格式规定为准），否则其响应文件按无效处理。</w:t>
      </w:r>
    </w:p>
    <w:p w14:paraId="4BF4397E">
      <w:pPr>
        <w:spacing w:line="400" w:lineRule="exact"/>
        <w:ind w:firstLine="420" w:firstLineChars="200"/>
        <w:rPr>
          <w:rFonts w:hint="eastAsia" w:ascii="宋体" w:hAnsi="宋体" w:cs="宋体"/>
          <w:szCs w:val="21"/>
        </w:rPr>
      </w:pPr>
      <w:r>
        <w:rPr>
          <w:rFonts w:hint="eastAsia" w:ascii="宋体" w:hAnsi="宋体" w:cs="宋体"/>
          <w:szCs w:val="21"/>
        </w:rPr>
        <w:t>18.4响应文件中标注的供应商名称应与营业执照（事业单位法人证书、执业许可证、自然人身份证）及公章一致，否则其响应文件按无效响应处理。</w:t>
      </w:r>
    </w:p>
    <w:p w14:paraId="45F25883">
      <w:pPr>
        <w:spacing w:line="400" w:lineRule="exact"/>
        <w:ind w:firstLine="420" w:firstLineChars="200"/>
        <w:rPr>
          <w:rFonts w:hint="eastAsia" w:ascii="宋体" w:hAnsi="宋体" w:cs="宋体"/>
          <w:szCs w:val="21"/>
        </w:rPr>
      </w:pPr>
      <w:r>
        <w:rPr>
          <w:rFonts w:hint="eastAsia" w:ascii="宋体" w:hAnsi="宋体" w:cs="宋体"/>
          <w:szCs w:val="21"/>
        </w:rPr>
        <w:t>18.5响应文件应尽量避免涂改、行间插字或者删除。如果出现上述情况，改动之处应由供应商的法定代表人或者其委托代理人签字或者加盖公章（或</w:t>
      </w:r>
      <w:r>
        <w:rPr>
          <w:rFonts w:hint="eastAsia" w:ascii="宋体" w:hAnsi="宋体" w:cs="宋体"/>
        </w:rPr>
        <w:t xml:space="preserve"> CA电子公章</w:t>
      </w:r>
      <w:r>
        <w:rPr>
          <w:rFonts w:hint="eastAsia" w:ascii="宋体" w:hAnsi="宋体" w:cs="宋体"/>
          <w:szCs w:val="21"/>
        </w:rPr>
        <w:t>）。</w:t>
      </w:r>
    </w:p>
    <w:p w14:paraId="2FEC7D94">
      <w:pPr>
        <w:spacing w:line="400" w:lineRule="exact"/>
        <w:ind w:firstLine="420" w:firstLineChars="200"/>
        <w:rPr>
          <w:rFonts w:hint="eastAsia" w:ascii="宋体" w:hAnsi="宋体" w:cs="宋体"/>
        </w:rPr>
      </w:pPr>
      <w:r>
        <w:rPr>
          <w:rFonts w:hint="eastAsia" w:ascii="宋体" w:hAnsi="宋体" w:cs="宋体"/>
          <w:szCs w:val="21"/>
        </w:rPr>
        <w:t>18.6</w:t>
      </w:r>
      <w:r>
        <w:rPr>
          <w:rFonts w:hint="eastAsia" w:ascii="宋体" w:hAnsi="宋体" w:cs="宋体"/>
        </w:rPr>
        <w:t>电子响应文件中须加盖供应商公章部分均建议采用 CA电子公章，并根据《政府采购项目电子交易管理操作指南-供应商》及本采购文件规定的格式和顺序编制电子响应文件并进行关联定位，以便磋商小组在评审时，点击评分项可直接定位到该评审内容。如对采购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容的，由供应商自行承担。</w:t>
      </w:r>
    </w:p>
    <w:p w14:paraId="3FDC5532">
      <w:pPr>
        <w:spacing w:line="400" w:lineRule="exact"/>
        <w:ind w:firstLine="420" w:firstLineChars="200"/>
        <w:rPr>
          <w:rFonts w:hint="eastAsia" w:ascii="宋体" w:hAnsi="宋体" w:cs="宋体"/>
          <w:szCs w:val="21"/>
        </w:rPr>
      </w:pPr>
      <w:r>
        <w:rPr>
          <w:rFonts w:hint="eastAsia" w:ascii="宋体" w:hAnsi="宋体" w:cs="宋体"/>
          <w:szCs w:val="21"/>
        </w:rPr>
        <w:t>18.7 CA电子签字章中没有法人（负责人）或授权代表签字信息，供应商在响应文件中要求签字处签字后扫描上传（PDF格式）。响应文件中涉及到签字的位置未按要求签字的，提供的材料视为无效。</w:t>
      </w:r>
    </w:p>
    <w:p w14:paraId="5C0DB33F">
      <w:pPr>
        <w:spacing w:line="400" w:lineRule="exact"/>
        <w:ind w:firstLine="482" w:firstLineChars="200"/>
        <w:outlineLvl w:val="2"/>
        <w:rPr>
          <w:rFonts w:hint="eastAsia" w:ascii="宋体" w:hAnsi="宋体" w:cs="宋体"/>
          <w:b/>
          <w:bCs/>
          <w:sz w:val="24"/>
        </w:rPr>
      </w:pPr>
      <w:bookmarkStart w:id="150" w:name="_Toc10445"/>
      <w:bookmarkStart w:id="151" w:name="_Toc117860065"/>
      <w:bookmarkStart w:id="152" w:name="_Toc11924"/>
      <w:r>
        <w:rPr>
          <w:rFonts w:hint="eastAsia" w:ascii="宋体" w:hAnsi="宋体" w:cs="宋体"/>
          <w:b/>
          <w:bCs/>
          <w:sz w:val="24"/>
        </w:rPr>
        <w:t>19.响应文件的标记</w:t>
      </w:r>
      <w:bookmarkEnd w:id="150"/>
      <w:bookmarkEnd w:id="151"/>
      <w:bookmarkEnd w:id="152"/>
    </w:p>
    <w:p w14:paraId="7999E3D7">
      <w:pPr>
        <w:spacing w:line="400" w:lineRule="exact"/>
        <w:ind w:firstLine="420" w:firstLineChars="200"/>
        <w:rPr>
          <w:rFonts w:hint="eastAsia" w:ascii="宋体" w:hAnsi="宋体" w:cs="宋体"/>
          <w:szCs w:val="21"/>
        </w:rPr>
      </w:pPr>
      <w:r>
        <w:rPr>
          <w:rFonts w:hint="eastAsia" w:ascii="宋体" w:hAnsi="宋体" w:cs="宋体"/>
        </w:rPr>
        <w:t>未按</w:t>
      </w:r>
      <w:r>
        <w:rPr>
          <w:rFonts w:hint="eastAsia" w:ascii="宋体" w:hAnsi="宋体" w:cs="宋体"/>
          <w:lang w:eastAsia="zh-CN"/>
        </w:rPr>
        <w:t>广西政府采购云平台</w:t>
      </w:r>
      <w:r>
        <w:rPr>
          <w:rFonts w:hint="eastAsia" w:ascii="宋体" w:hAnsi="宋体" w:cs="宋体"/>
        </w:rPr>
        <w:t>的要求及磋商文件规定进行编制，由此引发的后果由供应商承担。</w:t>
      </w:r>
    </w:p>
    <w:p w14:paraId="26C62ABF">
      <w:pPr>
        <w:spacing w:line="400" w:lineRule="exact"/>
        <w:ind w:firstLine="482" w:firstLineChars="200"/>
        <w:outlineLvl w:val="2"/>
        <w:rPr>
          <w:rFonts w:hint="eastAsia" w:ascii="宋体" w:hAnsi="宋体" w:cs="宋体"/>
          <w:b/>
          <w:bCs/>
          <w:sz w:val="24"/>
        </w:rPr>
      </w:pPr>
      <w:bookmarkStart w:id="153" w:name="_Toc25757"/>
      <w:bookmarkStart w:id="154" w:name="_Toc31929"/>
      <w:bookmarkStart w:id="155" w:name="_Toc117860066"/>
      <w:r>
        <w:rPr>
          <w:rFonts w:hint="eastAsia" w:ascii="宋体" w:hAnsi="宋体" w:cs="宋体"/>
          <w:b/>
          <w:bCs/>
          <w:sz w:val="24"/>
        </w:rPr>
        <w:t>20.响应文件的提交</w:t>
      </w:r>
      <w:bookmarkEnd w:id="153"/>
      <w:bookmarkEnd w:id="154"/>
      <w:bookmarkEnd w:id="155"/>
    </w:p>
    <w:p w14:paraId="389B4511">
      <w:pPr>
        <w:spacing w:line="400" w:lineRule="exact"/>
        <w:ind w:firstLine="420" w:firstLineChars="200"/>
        <w:rPr>
          <w:rFonts w:hint="eastAsia" w:ascii="宋体" w:hAnsi="宋体" w:cs="宋体"/>
          <w:szCs w:val="21"/>
        </w:rPr>
      </w:pPr>
      <w:r>
        <w:rPr>
          <w:rFonts w:hint="eastAsia" w:ascii="宋体" w:hAnsi="宋体" w:cs="宋体"/>
          <w:szCs w:val="21"/>
        </w:rPr>
        <w:t>20.1供应商必须在“供应商须知前附表”规定的时间和地点提交响应文件。</w:t>
      </w:r>
    </w:p>
    <w:p w14:paraId="16C01AD1">
      <w:pPr>
        <w:snapToGrid w:val="0"/>
        <w:spacing w:line="400" w:lineRule="exact"/>
        <w:ind w:firstLine="420"/>
        <w:jc w:val="left"/>
        <w:rPr>
          <w:rFonts w:hint="eastAsia" w:ascii="宋体" w:hAnsi="宋体"/>
          <w:szCs w:val="21"/>
        </w:rPr>
      </w:pPr>
      <w:bookmarkStart w:id="156" w:name="_Hlk45702405"/>
      <w:r>
        <w:rPr>
          <w:rFonts w:hint="eastAsia" w:ascii="宋体" w:hAnsi="宋体"/>
          <w:szCs w:val="21"/>
        </w:rPr>
        <w:t>2</w:t>
      </w:r>
      <w:r>
        <w:rPr>
          <w:rFonts w:ascii="宋体" w:hAnsi="宋体"/>
          <w:szCs w:val="21"/>
        </w:rPr>
        <w:t>0</w:t>
      </w:r>
      <w:r>
        <w:rPr>
          <w:rFonts w:hint="eastAsia" w:ascii="宋体" w:hAnsi="宋体"/>
          <w:szCs w:val="21"/>
        </w:rPr>
        <w:t>.2 供应商应当在提交响应文件截止时间前，将生成的“电子加密响应文件”上传递交至</w:t>
      </w:r>
      <w:r>
        <w:rPr>
          <w:rFonts w:hint="eastAsia" w:ascii="宋体" w:hAnsi="宋体"/>
          <w:szCs w:val="21"/>
          <w:lang w:eastAsia="zh-CN"/>
        </w:rPr>
        <w:t>广西政府采购云平台</w:t>
      </w:r>
      <w:r>
        <w:rPr>
          <w:rFonts w:hint="eastAsia" w:ascii="宋体" w:hAnsi="宋体"/>
          <w:szCs w:val="21"/>
        </w:rPr>
        <w:t>。提交响应文件截止时间前可以补充、修改或者撤回电子响应文件。补充或者修改电子响应文件的，应当先行撤回原文件，补充、修改后重新传输递交，提交响应文件截止时间前未完成传输的，视为撤回响应文件。</w:t>
      </w:r>
    </w:p>
    <w:p w14:paraId="657C1DDC">
      <w:pPr>
        <w:snapToGrid w:val="0"/>
        <w:spacing w:line="400" w:lineRule="exact"/>
        <w:ind w:firstLine="420"/>
        <w:jc w:val="left"/>
        <w:rPr>
          <w:rFonts w:hint="eastAsia" w:ascii="宋体" w:hAnsi="宋体"/>
          <w:szCs w:val="21"/>
        </w:rPr>
      </w:pPr>
      <w:r>
        <w:rPr>
          <w:rFonts w:hint="eastAsia" w:ascii="宋体" w:hAnsi="宋体"/>
          <w:szCs w:val="21"/>
        </w:rPr>
        <w:t>2</w:t>
      </w:r>
      <w:r>
        <w:rPr>
          <w:rFonts w:ascii="宋体" w:hAnsi="宋体"/>
          <w:szCs w:val="21"/>
        </w:rPr>
        <w:t>0</w:t>
      </w:r>
      <w:r>
        <w:rPr>
          <w:rFonts w:hint="eastAsia" w:ascii="宋体" w:hAnsi="宋体"/>
          <w:szCs w:val="21"/>
        </w:rPr>
        <w:t>.3 供应商在电子交易平台传输递交响应文件后，还可以在响应截止时间前提交电子备份响应文件，若供应商未提交电子备份响应文件，其后果由供应商自行承担。</w:t>
      </w:r>
    </w:p>
    <w:p w14:paraId="495378F3">
      <w:pPr>
        <w:spacing w:line="400" w:lineRule="exact"/>
        <w:ind w:firstLine="482" w:firstLineChars="200"/>
        <w:outlineLvl w:val="2"/>
        <w:rPr>
          <w:rFonts w:hint="eastAsia" w:ascii="宋体" w:hAnsi="宋体" w:cs="宋体"/>
          <w:b/>
          <w:bCs/>
          <w:sz w:val="24"/>
        </w:rPr>
      </w:pPr>
      <w:bookmarkStart w:id="157" w:name="_Toc20021"/>
      <w:bookmarkStart w:id="158" w:name="_Toc1119"/>
      <w:bookmarkStart w:id="159" w:name="_Toc117860067"/>
      <w:r>
        <w:rPr>
          <w:rFonts w:hint="eastAsia" w:ascii="宋体" w:hAnsi="宋体" w:cs="宋体"/>
          <w:b/>
          <w:bCs/>
          <w:sz w:val="24"/>
        </w:rPr>
        <w:t>21.响应文件修改、撤回和解密</w:t>
      </w:r>
      <w:bookmarkEnd w:id="157"/>
      <w:bookmarkEnd w:id="158"/>
      <w:bookmarkEnd w:id="159"/>
    </w:p>
    <w:p w14:paraId="5D4A962A">
      <w:pPr>
        <w:snapToGrid w:val="0"/>
        <w:spacing w:line="400" w:lineRule="exact"/>
        <w:ind w:firstLine="420"/>
        <w:jc w:val="left"/>
        <w:rPr>
          <w:rFonts w:hint="eastAsia" w:ascii="宋体" w:hAnsi="宋体"/>
          <w:szCs w:val="21"/>
        </w:rPr>
      </w:pPr>
      <w:bookmarkStart w:id="160" w:name="_Toc254970543"/>
      <w:bookmarkStart w:id="161" w:name="_Toc254970684"/>
      <w:r>
        <w:rPr>
          <w:rFonts w:hint="eastAsia" w:ascii="宋体" w:hAnsi="宋体"/>
          <w:szCs w:val="21"/>
        </w:rPr>
        <w:t>2</w:t>
      </w:r>
      <w:r>
        <w:rPr>
          <w:rFonts w:ascii="宋体" w:hAnsi="宋体"/>
          <w:szCs w:val="21"/>
        </w:rPr>
        <w:t>2.1</w:t>
      </w:r>
      <w:r>
        <w:rPr>
          <w:rFonts w:hint="eastAsia" w:ascii="宋体" w:hAnsi="宋体"/>
          <w:szCs w:val="21"/>
        </w:rPr>
        <w:t>供应商在</w:t>
      </w:r>
      <w:r>
        <w:rPr>
          <w:rFonts w:hint="eastAsia" w:ascii="宋体" w:hAnsi="宋体"/>
          <w:szCs w:val="21"/>
          <w:lang w:eastAsia="zh-Hans"/>
        </w:rPr>
        <w:t>响应</w:t>
      </w:r>
      <w:r>
        <w:rPr>
          <w:rFonts w:hint="eastAsia" w:ascii="宋体" w:hAnsi="宋体"/>
          <w:szCs w:val="21"/>
        </w:rPr>
        <w:t>截止时间之前，可以对已提交的</w:t>
      </w:r>
      <w:r>
        <w:rPr>
          <w:rFonts w:hint="eastAsia" w:ascii="宋体" w:hAnsi="宋体"/>
          <w:szCs w:val="21"/>
          <w:lang w:eastAsia="zh-Hans"/>
        </w:rPr>
        <w:t>响应</w:t>
      </w:r>
      <w:r>
        <w:rPr>
          <w:rFonts w:hint="eastAsia" w:ascii="宋体" w:hAnsi="宋体"/>
          <w:szCs w:val="21"/>
        </w:rPr>
        <w:t>文件进行补充、修改或者撤回，并书面通知采购人或者采购代理机构。补充、修改的内容应当撤回原</w:t>
      </w:r>
      <w:r>
        <w:rPr>
          <w:rFonts w:hint="eastAsia" w:ascii="宋体" w:hAnsi="宋体"/>
          <w:szCs w:val="21"/>
          <w:lang w:eastAsia="zh-Hans"/>
        </w:rPr>
        <w:t>响应</w:t>
      </w:r>
      <w:r>
        <w:rPr>
          <w:rFonts w:hint="eastAsia" w:ascii="宋体" w:hAnsi="宋体"/>
          <w:szCs w:val="21"/>
        </w:rPr>
        <w:t>文件，修改后重新上传；</w:t>
      </w:r>
      <w:r>
        <w:rPr>
          <w:rFonts w:hint="eastAsia" w:ascii="宋体" w:hAnsi="宋体"/>
          <w:szCs w:val="21"/>
          <w:lang w:eastAsia="zh-Hans"/>
        </w:rPr>
        <w:t>响应</w:t>
      </w:r>
      <w:r>
        <w:rPr>
          <w:rFonts w:hint="eastAsia" w:ascii="宋体" w:hAnsi="宋体"/>
          <w:szCs w:val="21"/>
        </w:rPr>
        <w:t>截止时间前未完成传输的，视为撤回</w:t>
      </w:r>
      <w:r>
        <w:rPr>
          <w:rFonts w:hint="eastAsia" w:ascii="宋体" w:hAnsi="宋体"/>
          <w:szCs w:val="21"/>
          <w:lang w:eastAsia="zh-Hans"/>
        </w:rPr>
        <w:t>响应</w:t>
      </w:r>
      <w:r>
        <w:rPr>
          <w:rFonts w:hint="eastAsia" w:ascii="宋体" w:hAnsi="宋体"/>
          <w:szCs w:val="21"/>
        </w:rPr>
        <w:t>文件。</w:t>
      </w:r>
      <w:r>
        <w:rPr>
          <w:rFonts w:hint="eastAsia" w:ascii="宋体" w:hAnsi="宋体"/>
          <w:szCs w:val="21"/>
          <w:lang w:eastAsia="zh-Hans"/>
        </w:rPr>
        <w:t>响应</w:t>
      </w:r>
      <w:r>
        <w:rPr>
          <w:rFonts w:hint="eastAsia" w:ascii="宋体" w:hAnsi="宋体"/>
          <w:szCs w:val="21"/>
        </w:rPr>
        <w:t>截止时间后递交的</w:t>
      </w:r>
      <w:r>
        <w:rPr>
          <w:rFonts w:hint="eastAsia" w:ascii="宋体" w:hAnsi="宋体"/>
          <w:szCs w:val="21"/>
          <w:lang w:eastAsia="zh-Hans"/>
        </w:rPr>
        <w:t>响应</w:t>
      </w:r>
      <w:r>
        <w:rPr>
          <w:rFonts w:hint="eastAsia" w:ascii="宋体" w:hAnsi="宋体"/>
          <w:szCs w:val="21"/>
        </w:rPr>
        <w:t>文件，电子交易平台将拒收；</w:t>
      </w:r>
      <w:r>
        <w:rPr>
          <w:rFonts w:hint="eastAsia" w:ascii="宋体" w:hAnsi="宋体"/>
          <w:szCs w:val="21"/>
          <w:lang w:eastAsia="zh-Hans"/>
        </w:rPr>
        <w:t>响应</w:t>
      </w:r>
      <w:r>
        <w:rPr>
          <w:rFonts w:hint="eastAsia" w:ascii="宋体" w:hAnsi="宋体"/>
          <w:szCs w:val="21"/>
        </w:rPr>
        <w:t>截止时间后，供应商不得撤回、修改电子</w:t>
      </w:r>
      <w:r>
        <w:rPr>
          <w:rFonts w:hint="eastAsia" w:ascii="宋体" w:hAnsi="宋体"/>
          <w:szCs w:val="21"/>
          <w:lang w:eastAsia="zh-Hans"/>
        </w:rPr>
        <w:t>响应</w:t>
      </w:r>
      <w:r>
        <w:rPr>
          <w:rFonts w:hint="eastAsia" w:ascii="宋体" w:hAnsi="宋体"/>
          <w:szCs w:val="21"/>
        </w:rPr>
        <w:t>文件。修改后重新递交的电子备份</w:t>
      </w:r>
      <w:r>
        <w:rPr>
          <w:rFonts w:hint="eastAsia" w:ascii="宋体" w:hAnsi="宋体"/>
          <w:szCs w:val="21"/>
          <w:lang w:eastAsia="zh-Hans"/>
        </w:rPr>
        <w:t>响应</w:t>
      </w:r>
      <w:r>
        <w:rPr>
          <w:rFonts w:hint="eastAsia" w:ascii="宋体" w:hAnsi="宋体"/>
          <w:szCs w:val="21"/>
        </w:rPr>
        <w:t>文件将作为</w:t>
      </w:r>
      <w:r>
        <w:rPr>
          <w:rFonts w:hint="eastAsia" w:ascii="宋体" w:hAnsi="宋体"/>
          <w:szCs w:val="21"/>
          <w:lang w:eastAsia="zh-Hans"/>
        </w:rPr>
        <w:t>响应</w:t>
      </w:r>
      <w:r>
        <w:rPr>
          <w:rFonts w:hint="eastAsia" w:ascii="宋体" w:hAnsi="宋体"/>
          <w:szCs w:val="21"/>
        </w:rPr>
        <w:t>文件的组成部分。</w:t>
      </w:r>
      <w:bookmarkEnd w:id="160"/>
      <w:bookmarkEnd w:id="161"/>
    </w:p>
    <w:p w14:paraId="6F42E438">
      <w:pPr>
        <w:spacing w:line="400" w:lineRule="exact"/>
        <w:ind w:firstLine="420" w:firstLineChars="200"/>
        <w:rPr>
          <w:rFonts w:hint="eastAsia" w:ascii="宋体" w:hAnsi="宋体" w:cs="宋体"/>
          <w:szCs w:val="21"/>
        </w:rPr>
      </w:pPr>
      <w:r>
        <w:rPr>
          <w:rFonts w:hint="eastAsia" w:ascii="宋体" w:hAnsi="宋体" w:cs="宋体"/>
          <w:szCs w:val="21"/>
        </w:rPr>
        <w:t>2</w:t>
      </w:r>
      <w:r>
        <w:rPr>
          <w:rFonts w:ascii="宋体" w:hAnsi="宋体" w:cs="宋体"/>
          <w:szCs w:val="21"/>
        </w:rPr>
        <w:t>2.</w:t>
      </w:r>
      <w:r>
        <w:rPr>
          <w:rFonts w:hint="eastAsia" w:ascii="宋体" w:hAnsi="宋体" w:cs="宋体"/>
          <w:szCs w:val="21"/>
        </w:rPr>
        <w:t xml:space="preserve">2 </w:t>
      </w:r>
      <w:r>
        <w:rPr>
          <w:rFonts w:hint="eastAsia" w:ascii="宋体" w:hAnsi="宋体"/>
          <w:szCs w:val="21"/>
        </w:rPr>
        <w:t>供应商</w:t>
      </w:r>
      <w:r>
        <w:rPr>
          <w:rFonts w:hint="eastAsia" w:ascii="宋体" w:hAnsi="宋体" w:cs="宋体"/>
          <w:szCs w:val="21"/>
        </w:rPr>
        <w:t>在</w:t>
      </w:r>
      <w:r>
        <w:rPr>
          <w:rFonts w:hint="eastAsia" w:ascii="宋体" w:hAnsi="宋体"/>
          <w:szCs w:val="21"/>
          <w:lang w:eastAsia="zh-Hans"/>
        </w:rPr>
        <w:t>响应</w:t>
      </w:r>
      <w:r>
        <w:rPr>
          <w:rFonts w:hint="eastAsia" w:ascii="宋体" w:hAnsi="宋体" w:cs="宋体"/>
          <w:szCs w:val="21"/>
        </w:rPr>
        <w:t>截止时间后向采购人、采购代理机构书面申请撤回</w:t>
      </w:r>
      <w:r>
        <w:rPr>
          <w:rFonts w:hint="eastAsia" w:ascii="宋体" w:hAnsi="宋体"/>
          <w:szCs w:val="21"/>
          <w:lang w:eastAsia="zh-Hans"/>
        </w:rPr>
        <w:t>响应</w:t>
      </w:r>
      <w:r>
        <w:rPr>
          <w:rFonts w:hint="eastAsia" w:ascii="宋体" w:hAnsi="宋体" w:cs="宋体"/>
          <w:szCs w:val="21"/>
        </w:rPr>
        <w:t>文件的，将根据本须知正文1</w:t>
      </w:r>
      <w:r>
        <w:rPr>
          <w:rFonts w:ascii="宋体" w:hAnsi="宋体" w:cs="宋体"/>
          <w:szCs w:val="21"/>
        </w:rPr>
        <w:t>8</w:t>
      </w:r>
      <w:r>
        <w:rPr>
          <w:rFonts w:hint="eastAsia" w:ascii="宋体" w:hAnsi="宋体" w:cs="宋体"/>
          <w:szCs w:val="21"/>
        </w:rPr>
        <w:t>.4的规定不予退还其</w:t>
      </w:r>
      <w:r>
        <w:rPr>
          <w:rFonts w:hint="eastAsia" w:ascii="宋体" w:hAnsi="宋体" w:cs="宋体"/>
          <w:szCs w:val="21"/>
          <w:lang w:eastAsia="zh-Hans"/>
        </w:rPr>
        <w:t>磋商</w:t>
      </w:r>
      <w:r>
        <w:rPr>
          <w:rFonts w:hint="eastAsia" w:ascii="宋体" w:hAnsi="宋体" w:cs="宋体"/>
          <w:szCs w:val="21"/>
        </w:rPr>
        <w:t>保证金。</w:t>
      </w:r>
    </w:p>
    <w:bookmarkEnd w:id="156"/>
    <w:p w14:paraId="3796CE60">
      <w:pPr>
        <w:spacing w:line="400" w:lineRule="exact"/>
        <w:rPr>
          <w:rFonts w:hint="eastAsia" w:ascii="宋体" w:hAnsi="宋体"/>
          <w:szCs w:val="21"/>
        </w:rPr>
      </w:pPr>
    </w:p>
    <w:p w14:paraId="071ED778">
      <w:pPr>
        <w:pStyle w:val="2"/>
        <w:spacing w:line="400" w:lineRule="exact"/>
        <w:rPr>
          <w:rFonts w:hint="eastAsia" w:ascii="宋体" w:hAnsi="宋体"/>
        </w:rPr>
      </w:pPr>
      <w:bookmarkStart w:id="162" w:name="_Toc24644"/>
      <w:bookmarkStart w:id="163" w:name="_Toc18912"/>
      <w:bookmarkStart w:id="164" w:name="_Toc117860068"/>
      <w:r>
        <w:rPr>
          <w:rFonts w:hint="eastAsia" w:ascii="宋体" w:hAnsi="宋体"/>
        </w:rPr>
        <w:t>四、评审及磋商</w:t>
      </w:r>
      <w:bookmarkEnd w:id="162"/>
      <w:bookmarkEnd w:id="163"/>
      <w:bookmarkEnd w:id="164"/>
    </w:p>
    <w:p w14:paraId="2F75203F">
      <w:pPr>
        <w:spacing w:line="400" w:lineRule="exact"/>
        <w:ind w:firstLine="482" w:firstLineChars="200"/>
        <w:outlineLvl w:val="2"/>
        <w:rPr>
          <w:rFonts w:hint="eastAsia" w:ascii="宋体" w:hAnsi="宋体" w:cs="宋体"/>
          <w:b/>
          <w:bCs/>
          <w:sz w:val="24"/>
        </w:rPr>
      </w:pPr>
      <w:bookmarkStart w:id="165" w:name="_Toc28661"/>
      <w:bookmarkStart w:id="166" w:name="_Toc117860069"/>
      <w:bookmarkStart w:id="167" w:name="_Toc10184"/>
      <w:r>
        <w:rPr>
          <w:rFonts w:hint="eastAsia" w:ascii="宋体" w:hAnsi="宋体" w:cs="宋体"/>
          <w:b/>
          <w:bCs/>
          <w:sz w:val="24"/>
        </w:rPr>
        <w:t>24.磋商小组成立</w:t>
      </w:r>
      <w:bookmarkEnd w:id="165"/>
      <w:bookmarkEnd w:id="166"/>
      <w:bookmarkEnd w:id="167"/>
    </w:p>
    <w:p w14:paraId="6E837B83">
      <w:pPr>
        <w:spacing w:line="400" w:lineRule="exact"/>
        <w:ind w:firstLine="420" w:firstLineChars="200"/>
        <w:rPr>
          <w:rFonts w:hint="eastAsia" w:ascii="宋体" w:hAnsi="宋体" w:cs="宋体"/>
          <w:szCs w:val="21"/>
        </w:rPr>
      </w:pPr>
      <w:r>
        <w:rPr>
          <w:rFonts w:hint="eastAsia" w:ascii="宋体" w:hAnsi="宋体" w:cs="宋体"/>
          <w:szCs w:val="21"/>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3C97607">
      <w:pPr>
        <w:spacing w:line="400" w:lineRule="exact"/>
        <w:ind w:firstLine="420" w:firstLineChars="200"/>
        <w:rPr>
          <w:rFonts w:hint="eastAsia" w:ascii="宋体" w:hAnsi="宋体" w:cs="宋体"/>
          <w:szCs w:val="21"/>
        </w:rPr>
      </w:pPr>
      <w:r>
        <w:rPr>
          <w:rFonts w:hint="eastAsia" w:ascii="宋体" w:hAnsi="宋体" w:cs="宋体"/>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31413FD6">
      <w:pPr>
        <w:spacing w:line="400" w:lineRule="exact"/>
        <w:ind w:firstLine="482" w:firstLineChars="200"/>
        <w:outlineLvl w:val="2"/>
        <w:rPr>
          <w:rFonts w:ascii="宋体" w:hAnsi="宋体" w:cs="宋体"/>
          <w:b/>
          <w:bCs/>
          <w:sz w:val="24"/>
        </w:rPr>
      </w:pPr>
      <w:bookmarkStart w:id="168" w:name="_Toc22935"/>
      <w:bookmarkStart w:id="169" w:name="_Toc117860070"/>
      <w:bookmarkStart w:id="170" w:name="_Toc13850"/>
      <w:r>
        <w:rPr>
          <w:rFonts w:ascii="宋体" w:hAnsi="宋体" w:cs="宋体"/>
          <w:b/>
          <w:bCs/>
          <w:sz w:val="24"/>
        </w:rPr>
        <w:t>25.</w:t>
      </w:r>
      <w:r>
        <w:rPr>
          <w:rFonts w:hint="eastAsia" w:ascii="宋体" w:hAnsi="宋体" w:cs="宋体"/>
          <w:b/>
          <w:bCs/>
          <w:sz w:val="24"/>
        </w:rPr>
        <w:t>首次响应文件的开启</w:t>
      </w:r>
      <w:bookmarkEnd w:id="168"/>
      <w:bookmarkEnd w:id="169"/>
      <w:bookmarkEnd w:id="170"/>
    </w:p>
    <w:p w14:paraId="451569CA">
      <w:pPr>
        <w:spacing w:line="400" w:lineRule="exact"/>
        <w:ind w:firstLine="420" w:firstLineChars="200"/>
        <w:rPr>
          <w:rFonts w:hint="eastAsia" w:ascii="宋体" w:hAnsi="宋体" w:cs="宋体"/>
          <w:szCs w:val="21"/>
        </w:rPr>
      </w:pPr>
      <w:r>
        <w:rPr>
          <w:rFonts w:hint="eastAsia" w:ascii="宋体" w:hAnsi="宋体" w:cs="宋体"/>
          <w:szCs w:val="21"/>
        </w:rPr>
        <w:t>首次响应文件由磋商小组或者采购代理机构在“供应商须知前附表”规定的时间开启。</w:t>
      </w:r>
    </w:p>
    <w:p w14:paraId="5EAB9E01">
      <w:pPr>
        <w:spacing w:line="400" w:lineRule="exact"/>
        <w:ind w:firstLine="482" w:firstLineChars="200"/>
        <w:outlineLvl w:val="2"/>
        <w:rPr>
          <w:rFonts w:hint="eastAsia" w:ascii="宋体" w:hAnsi="宋体" w:cs="宋体"/>
          <w:b/>
          <w:bCs/>
          <w:sz w:val="24"/>
        </w:rPr>
      </w:pPr>
      <w:bookmarkStart w:id="171" w:name="_Toc26313"/>
      <w:bookmarkStart w:id="172" w:name="_Toc117860071"/>
      <w:bookmarkStart w:id="173" w:name="_Toc9712"/>
      <w:r>
        <w:rPr>
          <w:rFonts w:ascii="宋体" w:hAnsi="宋体" w:cs="宋体"/>
          <w:b/>
          <w:bCs/>
          <w:sz w:val="24"/>
        </w:rPr>
        <w:t>26</w:t>
      </w:r>
      <w:r>
        <w:rPr>
          <w:rFonts w:hint="eastAsia" w:ascii="宋体" w:hAnsi="宋体" w:cs="宋体"/>
          <w:b/>
          <w:bCs/>
          <w:sz w:val="24"/>
        </w:rPr>
        <w:t>.评审程序、评审方法和评审标准</w:t>
      </w:r>
      <w:bookmarkEnd w:id="171"/>
      <w:bookmarkEnd w:id="172"/>
      <w:bookmarkEnd w:id="173"/>
    </w:p>
    <w:p w14:paraId="26BBB246">
      <w:pPr>
        <w:spacing w:line="40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.1本项目的评审方法为综合评分法。</w:t>
      </w:r>
    </w:p>
    <w:p w14:paraId="6CEDE1DF">
      <w:pPr>
        <w:spacing w:line="400" w:lineRule="exact"/>
        <w:ind w:firstLine="420" w:firstLineChars="200"/>
        <w:rPr>
          <w:rFonts w:hint="eastAsia" w:ascii="宋体" w:hAnsi="宋体" w:cs="宋体"/>
          <w:szCs w:val="21"/>
        </w:rPr>
      </w:pPr>
      <w:r>
        <w:rPr>
          <w:rFonts w:ascii="宋体" w:hAnsi="宋体" w:cs="宋体"/>
          <w:szCs w:val="21"/>
        </w:rPr>
        <w:t>26.2</w:t>
      </w:r>
      <w:r>
        <w:rPr>
          <w:rFonts w:hint="eastAsia" w:ascii="宋体" w:hAnsi="宋体" w:cs="宋体"/>
          <w:szCs w:val="21"/>
        </w:rPr>
        <w:t>磋商小组</w:t>
      </w:r>
      <w:r>
        <w:rPr>
          <w:rFonts w:ascii="宋体" w:hAnsi="宋体" w:cs="宋体"/>
          <w:szCs w:val="21"/>
        </w:rPr>
        <w:t>按照</w:t>
      </w:r>
      <w:r>
        <w:rPr>
          <w:rFonts w:hint="eastAsia" w:ascii="宋体" w:hAnsi="宋体" w:cs="宋体"/>
          <w:szCs w:val="21"/>
        </w:rPr>
        <w:t>“第</w:t>
      </w:r>
      <w:r>
        <w:rPr>
          <w:rFonts w:hint="eastAsia" w:ascii="宋体" w:hAnsi="宋体" w:cs="宋体"/>
          <w:szCs w:val="21"/>
          <w:lang w:val="en-US" w:eastAsia="zh-CN"/>
        </w:rPr>
        <w:t>四</w:t>
      </w:r>
      <w:r>
        <w:rPr>
          <w:rFonts w:hint="eastAsia" w:ascii="宋体" w:hAnsi="宋体" w:cs="宋体"/>
          <w:szCs w:val="21"/>
        </w:rPr>
        <w:t>章 评审程序、评审方法和评审标准”</w:t>
      </w:r>
      <w:r>
        <w:rPr>
          <w:rFonts w:ascii="宋体" w:hAnsi="宋体" w:cs="宋体"/>
          <w:szCs w:val="21"/>
        </w:rPr>
        <w:t>规定的方法、评审因素、标准和程序对</w:t>
      </w:r>
      <w:r>
        <w:rPr>
          <w:rFonts w:hint="eastAsia" w:ascii="宋体" w:hAnsi="宋体" w:cs="宋体"/>
          <w:szCs w:val="21"/>
        </w:rPr>
        <w:t>响应</w:t>
      </w:r>
      <w:r>
        <w:rPr>
          <w:rFonts w:ascii="宋体" w:hAnsi="宋体" w:cs="宋体"/>
          <w:szCs w:val="21"/>
        </w:rPr>
        <w:t>文件进行评审。</w:t>
      </w:r>
    </w:p>
    <w:p w14:paraId="112DCA96">
      <w:pPr>
        <w:spacing w:line="400" w:lineRule="exact"/>
        <w:ind w:firstLine="482" w:firstLineChars="200"/>
        <w:outlineLvl w:val="2"/>
        <w:rPr>
          <w:rFonts w:hint="eastAsia" w:ascii="宋体" w:hAnsi="宋体" w:cs="宋体"/>
          <w:b/>
          <w:bCs/>
          <w:sz w:val="24"/>
        </w:rPr>
      </w:pPr>
      <w:bookmarkStart w:id="174" w:name="_Toc117860072"/>
      <w:bookmarkStart w:id="175" w:name="_Toc25671"/>
      <w:bookmarkStart w:id="176" w:name="_Toc3410"/>
      <w:r>
        <w:rPr>
          <w:rFonts w:ascii="宋体" w:hAnsi="宋体" w:cs="宋体"/>
          <w:b/>
          <w:bCs/>
          <w:sz w:val="24"/>
        </w:rPr>
        <w:t>27</w:t>
      </w:r>
      <w:r>
        <w:rPr>
          <w:rFonts w:hint="eastAsia" w:ascii="宋体" w:hAnsi="宋体" w:cs="宋体"/>
          <w:b/>
          <w:bCs/>
          <w:sz w:val="24"/>
        </w:rPr>
        <w:t>.确定成交供应商及结果公告</w:t>
      </w:r>
      <w:bookmarkEnd w:id="174"/>
      <w:bookmarkEnd w:id="175"/>
      <w:bookmarkEnd w:id="176"/>
    </w:p>
    <w:p w14:paraId="49923EAE">
      <w:pPr>
        <w:spacing w:line="400" w:lineRule="exact"/>
        <w:ind w:firstLine="420" w:firstLineChars="200"/>
        <w:rPr>
          <w:rFonts w:hint="eastAsia" w:ascii="宋体" w:hAnsi="宋体" w:cs="宋体"/>
          <w:szCs w:val="21"/>
        </w:rPr>
      </w:pPr>
      <w:r>
        <w:rPr>
          <w:rFonts w:ascii="宋体" w:hAnsi="宋体" w:cs="宋体"/>
          <w:szCs w:val="21"/>
        </w:rPr>
        <w:t>27</w:t>
      </w:r>
      <w:r>
        <w:rPr>
          <w:rFonts w:hint="eastAsia" w:ascii="宋体" w:hAnsi="宋体" w:cs="宋体"/>
          <w:szCs w:val="21"/>
        </w:rPr>
        <w:t>.1</w:t>
      </w:r>
      <w:r>
        <w:rPr>
          <w:rFonts w:hint="eastAsia" w:ascii="宋体" w:hAnsi="宋体" w:cs="宋体"/>
          <w:kern w:val="0"/>
          <w:szCs w:val="21"/>
        </w:rPr>
        <w:t xml:space="preserve"> </w:t>
      </w:r>
      <w:r>
        <w:rPr>
          <w:rFonts w:hint="eastAsia" w:ascii="宋体" w:hAnsi="宋体" w:cs="宋体"/>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C0AC7F7">
      <w:pPr>
        <w:spacing w:line="400" w:lineRule="exact"/>
        <w:ind w:firstLine="420" w:firstLineChars="200"/>
        <w:rPr>
          <w:rFonts w:ascii="宋体" w:hAnsi="宋体" w:cs="宋体"/>
          <w:szCs w:val="21"/>
        </w:rPr>
      </w:pPr>
      <w:r>
        <w:rPr>
          <w:rFonts w:ascii="宋体" w:hAnsi="宋体" w:cs="宋体"/>
          <w:szCs w:val="21"/>
        </w:rPr>
        <w:t>27</w:t>
      </w:r>
      <w:r>
        <w:rPr>
          <w:rFonts w:hint="eastAsia" w:ascii="宋体" w:hAnsi="宋体" w:cs="宋体"/>
          <w:szCs w:val="21"/>
        </w:rPr>
        <w:t>.2采购代理机构应当在</w:t>
      </w:r>
      <w:r>
        <w:rPr>
          <w:rFonts w:hint="eastAsia" w:ascii="宋体" w:hAnsi="宋体" w:cs="宋体"/>
          <w:kern w:val="0"/>
          <w:szCs w:val="21"/>
        </w:rPr>
        <w:t>成交</w:t>
      </w:r>
      <w:r>
        <w:rPr>
          <w:rFonts w:hint="eastAsia" w:ascii="宋体" w:hAnsi="宋体" w:cs="宋体"/>
          <w:szCs w:val="21"/>
        </w:rPr>
        <w:t>供应商确定后2个工作日内，在省级以上财政部门指定的媒体上公告成交结果，同时向成交供应商发出成交通知书。采购人或者采购代理机构发出成交通知书前，应当对成交供应商信用进行查询，对列入失信被执行人、</w:t>
      </w:r>
      <w:r>
        <w:rPr>
          <w:rFonts w:hint="eastAsia" w:ascii="宋体" w:hAnsi="宋体" w:cs="宋体"/>
          <w:szCs w:val="21"/>
          <w:lang w:eastAsia="zh-CN"/>
        </w:rPr>
        <w:t>重大税收违法失信主体</w:t>
      </w:r>
      <w:r>
        <w:rPr>
          <w:rFonts w:hint="eastAsia" w:ascii="宋体" w:hAnsi="宋体" w:cs="宋体"/>
          <w:szCs w:val="21"/>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p>
    <w:p w14:paraId="1F7204A1">
      <w:pPr>
        <w:spacing w:line="400" w:lineRule="exact"/>
        <w:ind w:firstLine="420" w:firstLineChars="200"/>
        <w:rPr>
          <w:rFonts w:ascii="宋体" w:hAnsi="宋体" w:cs="宋体"/>
          <w:szCs w:val="21"/>
        </w:rPr>
      </w:pPr>
      <w:r>
        <w:rPr>
          <w:rFonts w:hint="eastAsia" w:ascii="宋体" w:hAnsi="宋体" w:cs="宋体"/>
          <w:szCs w:val="21"/>
        </w:rPr>
        <w:t>2</w:t>
      </w:r>
      <w:r>
        <w:rPr>
          <w:rFonts w:ascii="宋体" w:hAnsi="宋体" w:cs="宋体"/>
          <w:szCs w:val="21"/>
        </w:rPr>
        <w:t>7.3</w:t>
      </w:r>
      <w:r>
        <w:rPr>
          <w:rFonts w:hint="eastAsia" w:ascii="宋体" w:hAnsi="宋体" w:cs="宋体"/>
          <w:szCs w:val="21"/>
        </w:rPr>
        <w:t xml:space="preserve">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0DBBD547">
      <w:pPr>
        <w:spacing w:line="400" w:lineRule="exact"/>
        <w:ind w:firstLine="420" w:firstLineChars="200"/>
        <w:rPr>
          <w:rFonts w:hint="eastAsia" w:ascii="宋体" w:hAnsi="宋体" w:cs="宋体"/>
          <w:szCs w:val="21"/>
        </w:rPr>
      </w:pPr>
      <w:r>
        <w:rPr>
          <w:rFonts w:ascii="宋体" w:hAnsi="宋体"/>
          <w:bCs/>
          <w:szCs w:val="21"/>
        </w:rPr>
        <w:t>27.4</w:t>
      </w:r>
      <w:r>
        <w:rPr>
          <w:rFonts w:hint="eastAsia" w:ascii="宋体" w:hAnsi="宋体"/>
          <w:bCs/>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5071E8D4">
      <w:pPr>
        <w:spacing w:line="400" w:lineRule="exact"/>
        <w:ind w:firstLine="482" w:firstLineChars="200"/>
        <w:outlineLvl w:val="2"/>
        <w:rPr>
          <w:rFonts w:hint="eastAsia" w:ascii="宋体" w:hAnsi="宋体" w:cs="宋体"/>
          <w:b/>
          <w:bCs/>
          <w:sz w:val="24"/>
        </w:rPr>
      </w:pPr>
      <w:bookmarkStart w:id="177" w:name="_Toc117860073"/>
      <w:bookmarkStart w:id="178" w:name="_Toc5568"/>
      <w:bookmarkStart w:id="179" w:name="_Toc31083"/>
      <w:r>
        <w:rPr>
          <w:rFonts w:ascii="宋体" w:hAnsi="宋体" w:cs="宋体"/>
          <w:b/>
          <w:bCs/>
          <w:sz w:val="24"/>
        </w:rPr>
        <w:t>28</w:t>
      </w:r>
      <w:r>
        <w:rPr>
          <w:rFonts w:hint="eastAsia" w:ascii="宋体" w:hAnsi="宋体" w:cs="宋体"/>
          <w:b/>
          <w:bCs/>
          <w:sz w:val="24"/>
        </w:rPr>
        <w:t>.履约保证金</w:t>
      </w:r>
      <w:bookmarkEnd w:id="177"/>
      <w:bookmarkEnd w:id="178"/>
      <w:bookmarkEnd w:id="179"/>
    </w:p>
    <w:p w14:paraId="5D41AE43">
      <w:pPr>
        <w:spacing w:line="400" w:lineRule="exact"/>
        <w:ind w:firstLine="424" w:firstLineChars="202"/>
        <w:rPr>
          <w:rFonts w:hint="eastAsia" w:ascii="宋体" w:hAnsi="宋体" w:cs="宋体"/>
          <w:szCs w:val="21"/>
        </w:rPr>
      </w:pPr>
      <w:r>
        <w:rPr>
          <w:rFonts w:ascii="宋体" w:hAnsi="宋体" w:cs="宋体"/>
          <w:szCs w:val="21"/>
        </w:rPr>
        <w:t>28</w:t>
      </w:r>
      <w:r>
        <w:rPr>
          <w:rFonts w:hint="eastAsia" w:ascii="宋体" w:hAnsi="宋体" w:cs="宋体"/>
          <w:szCs w:val="21"/>
        </w:rPr>
        <w:t>.1</w:t>
      </w:r>
      <w:r>
        <w:rPr>
          <w:rFonts w:ascii="宋体" w:hAnsi="宋体" w:cs="宋体"/>
          <w:szCs w:val="21"/>
        </w:rPr>
        <w:t xml:space="preserve"> </w:t>
      </w:r>
      <w:r>
        <w:rPr>
          <w:rFonts w:hint="eastAsia" w:ascii="宋体" w:hAnsi="宋体" w:cs="宋体"/>
          <w:szCs w:val="21"/>
        </w:rPr>
        <w:t>履约保证金的金额、提交方式、退付的时间和条件详见 “供应商须知前附表”。成交供应商未按规定提交履约保证金的，视为拒绝</w:t>
      </w:r>
      <w:r>
        <w:rPr>
          <w:rFonts w:ascii="宋体" w:hAnsi="宋体"/>
        </w:rPr>
        <w:t>与采购人</w:t>
      </w:r>
      <w:r>
        <w:rPr>
          <w:rFonts w:hint="eastAsia" w:ascii="宋体" w:hAnsi="宋体" w:cs="宋体"/>
          <w:szCs w:val="21"/>
        </w:rPr>
        <w:t>签订合同，采购人可以按照评审报告推荐的成交候选人名单排序，确定下一候选人为成交供应商，也可以重新开展政府采购活动。</w:t>
      </w:r>
    </w:p>
    <w:p w14:paraId="4E354C46">
      <w:pPr>
        <w:spacing w:line="400" w:lineRule="exact"/>
        <w:ind w:firstLine="424" w:firstLineChars="202"/>
        <w:rPr>
          <w:rFonts w:hint="eastAsia" w:ascii="宋体" w:hAnsi="宋体" w:cs="宋体"/>
          <w:szCs w:val="21"/>
        </w:rPr>
      </w:pPr>
      <w:r>
        <w:rPr>
          <w:rFonts w:ascii="宋体" w:hAnsi="宋体" w:cs="宋体"/>
          <w:szCs w:val="21"/>
        </w:rPr>
        <w:t>28</w:t>
      </w:r>
      <w:r>
        <w:rPr>
          <w:rFonts w:hint="eastAsia" w:ascii="宋体" w:hAnsi="宋体" w:cs="宋体"/>
          <w:szCs w:val="21"/>
        </w:rPr>
        <w:t>.2签订合同后，如成交供应商不按双方签订的合同规定履约，则没收其全部履约保证金，履约保证金不足以赔偿损失的，按实际损失赔偿。</w:t>
      </w:r>
    </w:p>
    <w:p w14:paraId="3D951D00">
      <w:pPr>
        <w:spacing w:line="400" w:lineRule="exact"/>
        <w:ind w:firstLine="424" w:firstLineChars="202"/>
        <w:rPr>
          <w:rFonts w:hint="eastAsia" w:ascii="宋体" w:hAnsi="宋体" w:cs="宋体"/>
          <w:szCs w:val="21"/>
        </w:rPr>
      </w:pPr>
      <w:r>
        <w:rPr>
          <w:rFonts w:ascii="宋体" w:hAnsi="宋体" w:cs="宋体"/>
          <w:szCs w:val="21"/>
        </w:rPr>
        <w:t>28</w:t>
      </w:r>
      <w:r>
        <w:rPr>
          <w:rFonts w:hint="eastAsia" w:ascii="宋体" w:hAnsi="宋体" w:cs="宋体"/>
          <w:szCs w:val="21"/>
        </w:rPr>
        <w:t>.</w:t>
      </w:r>
      <w:r>
        <w:rPr>
          <w:rFonts w:ascii="宋体" w:hAnsi="宋体" w:cs="宋体"/>
          <w:szCs w:val="21"/>
        </w:rPr>
        <w:t>3</w:t>
      </w:r>
      <w:r>
        <w:rPr>
          <w:rFonts w:hint="eastAsia" w:ascii="宋体" w:hAnsi="宋体" w:cs="宋体"/>
          <w:szCs w:val="21"/>
        </w:rPr>
        <w:t>在履约保证金退还日期前，若成交供应商的开户名称、开户银行、帐号有变动的，请以书面形式通知履约保证金收取单位，否则由此产生的后果由成交供应商自行承担。</w:t>
      </w:r>
    </w:p>
    <w:p w14:paraId="330C19A6">
      <w:pPr>
        <w:spacing w:line="400" w:lineRule="exact"/>
        <w:ind w:firstLine="482" w:firstLineChars="200"/>
        <w:outlineLvl w:val="2"/>
        <w:rPr>
          <w:rFonts w:hint="eastAsia" w:ascii="宋体" w:hAnsi="宋体" w:cs="宋体"/>
          <w:b/>
          <w:bCs/>
          <w:sz w:val="24"/>
        </w:rPr>
      </w:pPr>
      <w:bookmarkStart w:id="180" w:name="_Toc30701"/>
      <w:bookmarkStart w:id="181" w:name="_Toc117860074"/>
      <w:bookmarkStart w:id="182" w:name="_Toc14733"/>
      <w:r>
        <w:rPr>
          <w:rFonts w:ascii="宋体" w:hAnsi="宋体" w:cs="宋体"/>
          <w:b/>
          <w:bCs/>
          <w:sz w:val="24"/>
        </w:rPr>
        <w:t>29</w:t>
      </w:r>
      <w:r>
        <w:rPr>
          <w:rFonts w:hint="eastAsia" w:ascii="宋体" w:hAnsi="宋体" w:cs="宋体"/>
          <w:b/>
          <w:bCs/>
          <w:sz w:val="24"/>
        </w:rPr>
        <w:t>.签订合同</w:t>
      </w:r>
      <w:bookmarkEnd w:id="180"/>
      <w:bookmarkEnd w:id="181"/>
      <w:bookmarkEnd w:id="182"/>
    </w:p>
    <w:p w14:paraId="49E5D104">
      <w:pPr>
        <w:spacing w:line="400" w:lineRule="exact"/>
        <w:ind w:firstLine="424" w:firstLineChars="202"/>
        <w:rPr>
          <w:rFonts w:hint="eastAsia" w:ascii="宋体" w:hAnsi="宋体" w:cs="宋体"/>
          <w:szCs w:val="21"/>
        </w:rPr>
      </w:pPr>
      <w:r>
        <w:rPr>
          <w:rFonts w:ascii="宋体" w:hAnsi="宋体" w:cs="宋体"/>
          <w:szCs w:val="21"/>
        </w:rPr>
        <w:t>29.1</w:t>
      </w:r>
      <w:r>
        <w:rPr>
          <w:rFonts w:hint="eastAsia" w:ascii="宋体" w:hAnsi="宋体" w:cs="宋体"/>
          <w:szCs w:val="21"/>
        </w:rPr>
        <w:t>成交供应商在收到成交通知书后，应当在签订合同时向采购人出示相关证明材料，具体内容详见 “供应商须知前附表”，经采购人核验合格后方可签订合同。</w:t>
      </w:r>
    </w:p>
    <w:p w14:paraId="7096458D">
      <w:pPr>
        <w:spacing w:line="400" w:lineRule="exact"/>
        <w:ind w:firstLine="424" w:firstLineChars="202"/>
        <w:rPr>
          <w:rFonts w:hint="eastAsia" w:ascii="宋体" w:hAnsi="宋体" w:cs="宋体"/>
          <w:szCs w:val="21"/>
        </w:rPr>
      </w:pPr>
      <w:r>
        <w:rPr>
          <w:rFonts w:ascii="宋体" w:hAnsi="宋体" w:cs="宋体"/>
          <w:szCs w:val="21"/>
        </w:rPr>
        <w:t>29</w:t>
      </w:r>
      <w:r>
        <w:rPr>
          <w:rFonts w:hint="eastAsia" w:ascii="宋体" w:hAnsi="宋体" w:cs="宋体"/>
          <w:szCs w:val="21"/>
        </w:rPr>
        <w:t>.2 签订合同时间：按成交通知书规定的时间与采购人签订政府采购合同。</w:t>
      </w:r>
    </w:p>
    <w:p w14:paraId="525F426E">
      <w:pPr>
        <w:spacing w:line="400" w:lineRule="exact"/>
        <w:ind w:firstLine="424" w:firstLineChars="202"/>
        <w:rPr>
          <w:rFonts w:hint="eastAsia" w:ascii="宋体" w:hAnsi="宋体" w:cs="宋体"/>
          <w:szCs w:val="21"/>
        </w:rPr>
      </w:pPr>
      <w:r>
        <w:rPr>
          <w:rFonts w:ascii="宋体" w:hAnsi="宋体" w:cs="宋体"/>
          <w:szCs w:val="21"/>
        </w:rPr>
        <w:t>29</w:t>
      </w:r>
      <w:r>
        <w:rPr>
          <w:rFonts w:hint="eastAsia" w:ascii="宋体" w:hAnsi="宋体" w:cs="宋体"/>
          <w:szCs w:val="21"/>
        </w:rPr>
        <w:t>.3成交供应商拒绝与采购人签订合同的，采购人可以按照评审报告推荐的成交候选人名单排序，确定下一候选人为成交供应商，也可以重新开展政府采购活动。拒绝签订政府采购合同的成交供应商不得参加对该合同项重新开展的采购活动。</w:t>
      </w:r>
    </w:p>
    <w:p w14:paraId="766A016D">
      <w:pPr>
        <w:spacing w:line="400" w:lineRule="exact"/>
        <w:ind w:firstLine="482" w:firstLineChars="200"/>
        <w:outlineLvl w:val="2"/>
        <w:rPr>
          <w:rFonts w:hint="eastAsia" w:ascii="宋体" w:hAnsi="宋体" w:cs="宋体"/>
          <w:b/>
          <w:bCs/>
          <w:sz w:val="24"/>
        </w:rPr>
      </w:pPr>
      <w:bookmarkStart w:id="183" w:name="_Toc20554"/>
      <w:bookmarkStart w:id="184" w:name="_Toc27218"/>
      <w:bookmarkStart w:id="185" w:name="_Toc117860075"/>
      <w:r>
        <w:rPr>
          <w:rFonts w:ascii="宋体" w:hAnsi="宋体" w:cs="宋体"/>
          <w:b/>
          <w:bCs/>
          <w:sz w:val="24"/>
        </w:rPr>
        <w:t>30</w:t>
      </w:r>
      <w:r>
        <w:rPr>
          <w:rFonts w:hint="eastAsia" w:ascii="宋体" w:hAnsi="宋体" w:cs="宋体"/>
          <w:b/>
          <w:bCs/>
          <w:sz w:val="24"/>
        </w:rPr>
        <w:t>.政府采购合同公告</w:t>
      </w:r>
      <w:bookmarkEnd w:id="183"/>
      <w:bookmarkEnd w:id="184"/>
      <w:bookmarkEnd w:id="185"/>
    </w:p>
    <w:p w14:paraId="045A55A3">
      <w:pPr>
        <w:spacing w:line="400" w:lineRule="exact"/>
        <w:ind w:firstLine="420" w:firstLineChars="200"/>
        <w:rPr>
          <w:rFonts w:hint="eastAsia" w:ascii="宋体" w:hAnsi="宋体" w:cs="宋体"/>
          <w:szCs w:val="21"/>
        </w:rPr>
      </w:pPr>
      <w:r>
        <w:rPr>
          <w:rFonts w:hint="eastAsia" w:ascii="宋体" w:hAnsi="宋体" w:cs="宋体"/>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BF1F904">
      <w:pPr>
        <w:spacing w:line="400" w:lineRule="exact"/>
        <w:ind w:firstLine="482" w:firstLineChars="200"/>
        <w:outlineLvl w:val="2"/>
        <w:rPr>
          <w:rFonts w:hint="eastAsia" w:ascii="宋体" w:hAnsi="宋体" w:cs="宋体"/>
          <w:b/>
          <w:bCs/>
          <w:sz w:val="24"/>
        </w:rPr>
      </w:pPr>
      <w:bookmarkStart w:id="186" w:name="_Toc18743"/>
      <w:bookmarkStart w:id="187" w:name="_Toc25205"/>
      <w:bookmarkStart w:id="188" w:name="_Toc117860076"/>
      <w:r>
        <w:rPr>
          <w:rFonts w:ascii="宋体" w:hAnsi="宋体" w:cs="宋体"/>
          <w:b/>
          <w:bCs/>
          <w:sz w:val="24"/>
        </w:rPr>
        <w:t>31</w:t>
      </w:r>
      <w:r>
        <w:rPr>
          <w:rFonts w:hint="eastAsia" w:ascii="宋体" w:hAnsi="宋体" w:cs="宋体"/>
          <w:b/>
          <w:bCs/>
          <w:sz w:val="24"/>
        </w:rPr>
        <w:t>. 询问、质疑和投诉</w:t>
      </w:r>
      <w:bookmarkEnd w:id="186"/>
      <w:bookmarkEnd w:id="187"/>
      <w:bookmarkEnd w:id="188"/>
    </w:p>
    <w:p w14:paraId="7EA1858B">
      <w:pPr>
        <w:spacing w:line="400" w:lineRule="exact"/>
        <w:ind w:firstLine="420" w:firstLineChars="200"/>
        <w:rPr>
          <w:rFonts w:hint="eastAsia" w:ascii="宋体" w:hAnsi="宋体" w:cs="宋体"/>
        </w:rPr>
      </w:pPr>
      <w:r>
        <w:rPr>
          <w:rFonts w:hint="eastAsia" w:ascii="宋体" w:hAnsi="宋体" w:cs="宋体"/>
        </w:rPr>
        <w:t>3</w:t>
      </w:r>
      <w:r>
        <w:rPr>
          <w:rFonts w:ascii="宋体" w:hAnsi="宋体" w:cs="宋体"/>
        </w:rPr>
        <w:t>1</w:t>
      </w:r>
      <w:r>
        <w:rPr>
          <w:rFonts w:hint="eastAsia" w:ascii="宋体" w:hAnsi="宋体" w:cs="宋体"/>
        </w:rPr>
        <w:t>.1供应商对政府采购活动事项有疑问的，可以向采购人、采购代理机构提出询问，采购人或者采购代理机构应当在3个工作日内对供应商依法提出的询问作出答复。</w:t>
      </w:r>
    </w:p>
    <w:p w14:paraId="6A223735">
      <w:pPr>
        <w:spacing w:line="400" w:lineRule="exact"/>
        <w:ind w:firstLine="420" w:firstLineChars="200"/>
        <w:rPr>
          <w:rFonts w:hint="eastAsia" w:ascii="宋体" w:hAnsi="宋体" w:cs="宋体"/>
        </w:rPr>
      </w:pPr>
      <w:r>
        <w:rPr>
          <w:rFonts w:hint="eastAsia" w:ascii="宋体" w:hAnsi="宋体" w:cs="宋体"/>
        </w:rPr>
        <w:t>3</w:t>
      </w:r>
      <w:r>
        <w:rPr>
          <w:rFonts w:ascii="宋体" w:hAnsi="宋体" w:cs="宋体"/>
        </w:rPr>
        <w:t>1</w:t>
      </w:r>
      <w:r>
        <w:rPr>
          <w:rFonts w:hint="eastAsia" w:ascii="宋体" w:hAnsi="宋体" w:cs="宋体"/>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shd w:val="clear" w:color="auto" w:fill="FFFFFF"/>
        </w:rPr>
        <w:t>接收质疑函的方式、联系部门、联系电话和通讯地址等信息</w:t>
      </w:r>
      <w:r>
        <w:rPr>
          <w:rFonts w:hint="eastAsia" w:ascii="宋体" w:hAnsi="宋体" w:cs="Arial"/>
          <w:shd w:val="clear" w:color="auto" w:fill="FFFFFF"/>
        </w:rPr>
        <w:t>详见</w:t>
      </w:r>
      <w:r>
        <w:rPr>
          <w:rFonts w:hint="eastAsia" w:ascii="宋体" w:hAnsi="宋体" w:cs="宋体"/>
          <w:szCs w:val="21"/>
        </w:rPr>
        <w:t>“供应商须知前附表”</w:t>
      </w:r>
      <w:r>
        <w:rPr>
          <w:rFonts w:hint="eastAsia" w:ascii="宋体" w:hAnsi="宋体" w:cs="宋体"/>
        </w:rPr>
        <w:t>。具体质疑起算时间如下：</w:t>
      </w:r>
    </w:p>
    <w:p w14:paraId="4C5DD66E">
      <w:pPr>
        <w:spacing w:line="400" w:lineRule="exact"/>
        <w:ind w:firstLine="420" w:firstLineChars="200"/>
        <w:rPr>
          <w:rFonts w:hint="eastAsia" w:ascii="宋体" w:hAnsi="宋体" w:cs="宋体"/>
        </w:rPr>
      </w:pPr>
      <w:r>
        <w:rPr>
          <w:rFonts w:hint="eastAsia" w:ascii="宋体" w:hAnsi="宋体" w:cs="宋体"/>
        </w:rPr>
        <w:t>（1）对可以质疑的磋商文件提出质疑的，为收到磋商文件之日或者</w:t>
      </w:r>
      <w:r>
        <w:rPr>
          <w:rFonts w:hint="eastAsia" w:ascii="宋体" w:hAnsi="宋体"/>
        </w:rPr>
        <w:t>竞争性磋商公告期限届满之日</w:t>
      </w:r>
      <w:r>
        <w:rPr>
          <w:rFonts w:hint="eastAsia" w:ascii="宋体" w:hAnsi="宋体" w:cs="宋体"/>
        </w:rPr>
        <w:t>；</w:t>
      </w:r>
    </w:p>
    <w:p w14:paraId="10BB6E7E">
      <w:pPr>
        <w:spacing w:line="400" w:lineRule="exact"/>
        <w:ind w:firstLine="420" w:firstLineChars="200"/>
        <w:rPr>
          <w:rFonts w:hint="eastAsia" w:ascii="宋体" w:hAnsi="宋体" w:cs="宋体"/>
        </w:rPr>
      </w:pPr>
      <w:r>
        <w:rPr>
          <w:rFonts w:hint="eastAsia" w:ascii="宋体" w:hAnsi="宋体" w:cs="宋体"/>
        </w:rPr>
        <w:t>（2）对采购过程提出质疑的，为各采购程序环节结束之日；</w:t>
      </w:r>
    </w:p>
    <w:p w14:paraId="43017DF8">
      <w:pPr>
        <w:spacing w:line="400" w:lineRule="exact"/>
        <w:ind w:firstLine="420" w:firstLineChars="200"/>
        <w:rPr>
          <w:rFonts w:hint="eastAsia" w:ascii="宋体" w:hAnsi="宋体" w:cs="宋体"/>
        </w:rPr>
      </w:pPr>
      <w:r>
        <w:rPr>
          <w:rFonts w:hint="eastAsia" w:ascii="宋体" w:hAnsi="宋体" w:cs="宋体"/>
        </w:rPr>
        <w:t>（3）对成交结果提出质疑的，为成交结果公告期限届满之日。</w:t>
      </w:r>
    </w:p>
    <w:p w14:paraId="613E66C0">
      <w:pPr>
        <w:spacing w:line="400" w:lineRule="exact"/>
        <w:ind w:firstLine="420" w:firstLineChars="200"/>
        <w:rPr>
          <w:rFonts w:hint="eastAsia" w:ascii="宋体" w:hAnsi="宋体" w:cs="宋体"/>
        </w:rPr>
      </w:pPr>
      <w:r>
        <w:rPr>
          <w:rFonts w:hint="eastAsia" w:ascii="宋体" w:hAnsi="宋体" w:cs="宋体"/>
        </w:rPr>
        <w:t>3</w:t>
      </w:r>
      <w:r>
        <w:rPr>
          <w:rFonts w:ascii="宋体" w:hAnsi="宋体" w:cs="宋体"/>
        </w:rPr>
        <w:t>1</w:t>
      </w:r>
      <w:r>
        <w:rPr>
          <w:rFonts w:hint="eastAsia" w:ascii="宋体" w:hAnsi="宋体" w:cs="宋体"/>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5804A965">
      <w:pPr>
        <w:spacing w:line="400" w:lineRule="exact"/>
        <w:ind w:firstLine="420" w:firstLineChars="200"/>
        <w:rPr>
          <w:rFonts w:hint="eastAsia" w:ascii="宋体" w:hAnsi="宋体" w:cs="宋体"/>
        </w:rPr>
      </w:pPr>
      <w:r>
        <w:rPr>
          <w:rFonts w:hint="eastAsia" w:ascii="宋体" w:hAnsi="宋体" w:cs="宋体"/>
        </w:rPr>
        <w:t>3</w:t>
      </w:r>
      <w:r>
        <w:rPr>
          <w:rFonts w:ascii="宋体" w:hAnsi="宋体" w:cs="宋体"/>
        </w:rPr>
        <w:t>1</w:t>
      </w:r>
      <w:r>
        <w:rPr>
          <w:rFonts w:hint="eastAsia" w:ascii="宋体" w:hAnsi="宋体" w:cs="宋体"/>
        </w:rPr>
        <w:t>.4 供应商提出质疑应当提交质疑函和必要的证明材料，针对同一采购程序环节的质疑必须在法定质疑期内一次性提出。质疑函应当包括下列内容：</w:t>
      </w:r>
    </w:p>
    <w:p w14:paraId="7E7578C2">
      <w:pPr>
        <w:spacing w:line="400" w:lineRule="exact"/>
        <w:ind w:firstLine="420" w:firstLineChars="200"/>
        <w:rPr>
          <w:rFonts w:hint="eastAsia" w:ascii="宋体" w:hAnsi="宋体" w:cs="宋体"/>
        </w:rPr>
      </w:pPr>
      <w:r>
        <w:rPr>
          <w:rFonts w:hint="eastAsia" w:ascii="宋体" w:hAnsi="宋体" w:cs="宋体"/>
        </w:rPr>
        <w:t>（1）供应商的姓名或者名称、地址、邮编、联系人及联系电话；</w:t>
      </w:r>
    </w:p>
    <w:p w14:paraId="55ABBF5F">
      <w:pPr>
        <w:spacing w:line="400" w:lineRule="exact"/>
        <w:ind w:firstLine="420" w:firstLineChars="200"/>
        <w:rPr>
          <w:rFonts w:hint="eastAsia" w:ascii="宋体" w:hAnsi="宋体" w:cs="宋体"/>
        </w:rPr>
      </w:pPr>
      <w:r>
        <w:rPr>
          <w:rFonts w:hint="eastAsia" w:ascii="宋体" w:hAnsi="宋体" w:cs="宋体"/>
        </w:rPr>
        <w:t>（2）质疑项目的名称、编号；</w:t>
      </w:r>
    </w:p>
    <w:p w14:paraId="583BB47F">
      <w:pPr>
        <w:spacing w:line="400" w:lineRule="exact"/>
        <w:ind w:firstLine="420" w:firstLineChars="200"/>
        <w:rPr>
          <w:rFonts w:hint="eastAsia" w:ascii="宋体" w:hAnsi="宋体" w:cs="宋体"/>
        </w:rPr>
      </w:pPr>
      <w:r>
        <w:rPr>
          <w:rFonts w:hint="eastAsia" w:ascii="宋体" w:hAnsi="宋体" w:cs="宋体"/>
        </w:rPr>
        <w:t>（3）具体、明确的质疑事项和与质疑事项相关的请求；</w:t>
      </w:r>
    </w:p>
    <w:p w14:paraId="786B8B0D">
      <w:pPr>
        <w:spacing w:line="400" w:lineRule="exact"/>
        <w:ind w:firstLine="420" w:firstLineChars="200"/>
        <w:rPr>
          <w:rFonts w:hint="eastAsia" w:ascii="宋体" w:hAnsi="宋体" w:cs="宋体"/>
        </w:rPr>
      </w:pPr>
      <w:r>
        <w:rPr>
          <w:rFonts w:hint="eastAsia" w:ascii="宋体" w:hAnsi="宋体" w:cs="宋体"/>
        </w:rPr>
        <w:t>（4）事实依据；</w:t>
      </w:r>
    </w:p>
    <w:p w14:paraId="1DD79AA2">
      <w:pPr>
        <w:spacing w:line="400" w:lineRule="exact"/>
        <w:ind w:firstLine="420" w:firstLineChars="200"/>
        <w:rPr>
          <w:rFonts w:hint="eastAsia" w:ascii="宋体" w:hAnsi="宋体" w:cs="宋体"/>
        </w:rPr>
      </w:pPr>
      <w:r>
        <w:rPr>
          <w:rFonts w:hint="eastAsia" w:ascii="宋体" w:hAnsi="宋体" w:cs="宋体"/>
        </w:rPr>
        <w:t>（5）必要的法律依据；</w:t>
      </w:r>
    </w:p>
    <w:p w14:paraId="2103D760">
      <w:pPr>
        <w:spacing w:line="400" w:lineRule="exact"/>
        <w:ind w:firstLine="420" w:firstLineChars="200"/>
        <w:rPr>
          <w:rFonts w:hint="eastAsia" w:ascii="宋体" w:hAnsi="宋体" w:cs="宋体"/>
        </w:rPr>
      </w:pPr>
      <w:r>
        <w:rPr>
          <w:rFonts w:hint="eastAsia" w:ascii="宋体" w:hAnsi="宋体" w:cs="宋体"/>
        </w:rPr>
        <w:t>（6）提出质疑的日期。</w:t>
      </w:r>
    </w:p>
    <w:p w14:paraId="10632FE8">
      <w:pPr>
        <w:spacing w:line="400" w:lineRule="exact"/>
        <w:ind w:firstLine="420" w:firstLineChars="200"/>
        <w:rPr>
          <w:rFonts w:ascii="宋体" w:hAnsi="宋体" w:cs="宋体"/>
        </w:rPr>
      </w:pPr>
      <w:r>
        <w:rPr>
          <w:rFonts w:hint="eastAsia" w:ascii="宋体" w:hAnsi="宋体" w:cs="宋体"/>
        </w:rPr>
        <w:t>供应商为自然人的，应当由本人签字；供应商为法人或者其他组织的，应当由法定代表人、主要负责人，或者其委托代理人签字或者盖章，并加盖公章。</w:t>
      </w:r>
    </w:p>
    <w:p w14:paraId="11213D72">
      <w:pPr>
        <w:spacing w:line="400" w:lineRule="exact"/>
        <w:ind w:firstLine="420" w:firstLineChars="200"/>
        <w:rPr>
          <w:rFonts w:hint="eastAsia" w:ascii="宋体" w:hAnsi="宋体" w:cs="宋体"/>
        </w:rPr>
      </w:pPr>
      <w:r>
        <w:rPr>
          <w:rFonts w:hint="eastAsia" w:ascii="宋体" w:hAnsi="宋体" w:cs="宋体"/>
        </w:rPr>
        <w:t>3</w:t>
      </w:r>
      <w:r>
        <w:rPr>
          <w:rFonts w:ascii="宋体" w:hAnsi="宋体" w:cs="宋体"/>
        </w:rPr>
        <w:t>1.5</w:t>
      </w:r>
      <w:r>
        <w:rPr>
          <w:rFonts w:hint="eastAsia" w:ascii="宋体" w:hAnsi="宋体" w:cs="宋体"/>
        </w:rPr>
        <w:t>采购人、采购代理机构认为供应商质疑不成立，或者成立但未对成交结果构成影响的，继续开展采购活动；认为供应商质疑成立且影响或者可能影响成交结果的，按照下列情况处理：</w:t>
      </w:r>
    </w:p>
    <w:p w14:paraId="772F8FFA">
      <w:pPr>
        <w:spacing w:line="400" w:lineRule="exact"/>
        <w:ind w:firstLine="420" w:firstLineChars="200"/>
        <w:rPr>
          <w:rFonts w:ascii="宋体" w:hAnsi="宋体" w:cs="宋体"/>
        </w:rPr>
      </w:pPr>
      <w:r>
        <w:rPr>
          <w:rFonts w:hint="eastAsia" w:ascii="宋体" w:hAnsi="宋体" w:cs="宋体"/>
        </w:rPr>
        <w:t>（一）对采购文件提出的质疑，依法通过澄清或者修改可以继续开展采购活动的，澄清或者修改采购文件后继续开展采购活动；否则应当修改采购文件后重新开展采购活动。</w:t>
      </w:r>
    </w:p>
    <w:p w14:paraId="779242B0">
      <w:pPr>
        <w:spacing w:line="400" w:lineRule="exact"/>
        <w:ind w:firstLine="420" w:firstLineChars="200"/>
        <w:rPr>
          <w:rFonts w:ascii="宋体" w:hAnsi="宋体" w:cs="宋体"/>
        </w:rPr>
      </w:pPr>
      <w:r>
        <w:rPr>
          <w:rFonts w:hint="eastAsia" w:ascii="宋体" w:hAnsi="宋体" w:cs="宋体"/>
        </w:rPr>
        <w:t>（二）对采购过程或者成交结果提出的质疑，合格供应商符合法定数量时，可以从合格的成交候选人中另行确定成交供应商的，应当依法另行确定成交供应商；否则应当重新开展采购活动。</w:t>
      </w:r>
    </w:p>
    <w:p w14:paraId="2E2C5AF8">
      <w:pPr>
        <w:spacing w:line="400" w:lineRule="exact"/>
        <w:ind w:firstLine="420" w:firstLineChars="200"/>
        <w:rPr>
          <w:rFonts w:hint="eastAsia" w:ascii="宋体" w:hAnsi="宋体" w:cs="宋体"/>
        </w:rPr>
      </w:pPr>
      <w:r>
        <w:rPr>
          <w:rFonts w:hint="eastAsia" w:ascii="宋体" w:hAnsi="宋体" w:cs="宋体"/>
        </w:rPr>
        <w:t>质疑答复导致成交结果改变的，采购人或者采购代理机构应当将有关情况书面报告本级财政部门。</w:t>
      </w:r>
    </w:p>
    <w:p w14:paraId="159AC99E">
      <w:pPr>
        <w:spacing w:line="400" w:lineRule="exact"/>
        <w:ind w:firstLine="420" w:firstLineChars="200"/>
        <w:rPr>
          <w:rFonts w:hint="eastAsia" w:ascii="宋体" w:hAnsi="宋体" w:cs="宋体"/>
          <w:szCs w:val="21"/>
        </w:rPr>
      </w:pPr>
      <w:r>
        <w:rPr>
          <w:rFonts w:ascii="宋体" w:hAnsi="宋体" w:cs="宋体"/>
        </w:rPr>
        <w:t>31</w:t>
      </w:r>
      <w:r>
        <w:rPr>
          <w:rFonts w:hint="eastAsia" w:ascii="宋体" w:hAnsi="宋体" w:cs="宋体"/>
        </w:rPr>
        <w:t>.</w:t>
      </w:r>
      <w:r>
        <w:rPr>
          <w:rFonts w:ascii="宋体" w:hAnsi="宋体" w:cs="宋体"/>
        </w:rPr>
        <w:t>6</w:t>
      </w:r>
      <w:r>
        <w:rPr>
          <w:rFonts w:hint="eastAsia" w:ascii="宋体" w:hAnsi="宋体" w:cs="宋体"/>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3486C6D">
      <w:pPr>
        <w:spacing w:line="400" w:lineRule="exact"/>
        <w:ind w:firstLine="482" w:firstLineChars="200"/>
        <w:outlineLvl w:val="2"/>
        <w:rPr>
          <w:rFonts w:hint="eastAsia" w:ascii="宋体" w:hAnsi="宋体" w:cs="宋体"/>
          <w:b/>
          <w:bCs/>
          <w:sz w:val="24"/>
        </w:rPr>
      </w:pPr>
      <w:bookmarkStart w:id="189" w:name="_Toc117860077"/>
      <w:bookmarkStart w:id="190" w:name="_Toc21090"/>
      <w:bookmarkStart w:id="191" w:name="_Toc19165"/>
      <w:r>
        <w:rPr>
          <w:rFonts w:ascii="宋体" w:hAnsi="宋体" w:cs="宋体"/>
          <w:b/>
          <w:bCs/>
          <w:sz w:val="24"/>
        </w:rPr>
        <w:t>32</w:t>
      </w:r>
      <w:r>
        <w:rPr>
          <w:rFonts w:hint="eastAsia" w:ascii="宋体" w:hAnsi="宋体" w:cs="宋体"/>
          <w:b/>
          <w:bCs/>
          <w:sz w:val="24"/>
        </w:rPr>
        <w:t>.其他内容</w:t>
      </w:r>
      <w:bookmarkEnd w:id="189"/>
      <w:bookmarkEnd w:id="190"/>
      <w:bookmarkEnd w:id="191"/>
    </w:p>
    <w:p w14:paraId="5F2FDEC8">
      <w:pPr>
        <w:tabs>
          <w:tab w:val="left" w:pos="2835"/>
        </w:tabs>
        <w:spacing w:line="400" w:lineRule="exact"/>
        <w:ind w:firstLine="420" w:firstLineChars="200"/>
        <w:rPr>
          <w:rFonts w:ascii="宋体" w:hAnsi="宋体" w:cs="宋体"/>
          <w:szCs w:val="21"/>
        </w:rPr>
      </w:pPr>
      <w:r>
        <w:rPr>
          <w:rFonts w:ascii="宋体" w:hAnsi="宋体" w:cs="宋体"/>
          <w:szCs w:val="21"/>
        </w:rPr>
        <w:t>32</w:t>
      </w:r>
      <w:r>
        <w:rPr>
          <w:rFonts w:hint="eastAsia" w:ascii="宋体" w:hAnsi="宋体" w:cs="宋体"/>
          <w:szCs w:val="21"/>
        </w:rPr>
        <w:t>.1代理服务收费标准及缴费账户详见“供应商须知前附表”，供应商为联合体的，可以由联合体中的一方或者多方共同交纳代理服务费。</w:t>
      </w:r>
    </w:p>
    <w:p w14:paraId="669B0618">
      <w:pPr>
        <w:tabs>
          <w:tab w:val="left" w:pos="2835"/>
        </w:tabs>
        <w:spacing w:line="400" w:lineRule="exact"/>
        <w:ind w:firstLine="420" w:firstLineChars="200"/>
        <w:rPr>
          <w:rFonts w:hint="eastAsia" w:ascii="宋体" w:hAnsi="宋体" w:cs="宋体"/>
          <w:szCs w:val="21"/>
        </w:rPr>
      </w:pPr>
      <w:r>
        <w:rPr>
          <w:rFonts w:ascii="宋体" w:hAnsi="宋体" w:cs="宋体"/>
          <w:szCs w:val="21"/>
        </w:rPr>
        <w:t>32.2</w:t>
      </w:r>
      <w:r>
        <w:rPr>
          <w:rFonts w:hint="eastAsia" w:ascii="宋体" w:hAnsi="宋体" w:cs="宋体"/>
          <w:szCs w:val="21"/>
        </w:rPr>
        <w:t>代理服务费收费计算标准：</w:t>
      </w:r>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031DA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574BE249">
            <w:pPr>
              <w:spacing w:line="400" w:lineRule="exact"/>
              <w:rPr>
                <w:rFonts w:hint="eastAsia" w:ascii="宋体" w:hAnsi="宋体" w:cs="宋体"/>
                <w:szCs w:val="21"/>
              </w:rPr>
            </w:pPr>
            <w:r>
              <w:rPr>
                <w:rFonts w:hint="eastAsia" w:ascii="宋体" w:hAnsi="宋体" w:cs="宋体"/>
                <w:szCs w:val="21"/>
              </w:rPr>
              <w:t xml:space="preserve">               费率</w:t>
            </w:r>
          </w:p>
          <w:p w14:paraId="0F84C865">
            <w:pPr>
              <w:spacing w:line="400" w:lineRule="exact"/>
              <w:rPr>
                <w:rFonts w:hint="eastAsia" w:ascii="宋体" w:hAnsi="宋体" w:cs="宋体"/>
                <w:szCs w:val="21"/>
              </w:rPr>
            </w:pPr>
            <w:r>
              <w:rPr>
                <w:rFonts w:hint="eastAsia" w:ascii="宋体" w:hAnsi="宋体" w:cs="宋体"/>
                <w:szCs w:val="21"/>
              </w:rPr>
              <w:t>金额</w:t>
            </w:r>
          </w:p>
        </w:tc>
        <w:tc>
          <w:tcPr>
            <w:tcW w:w="1659" w:type="dxa"/>
            <w:noWrap w:val="0"/>
            <w:vAlign w:val="center"/>
          </w:tcPr>
          <w:p w14:paraId="5A9B0072">
            <w:pPr>
              <w:spacing w:line="400" w:lineRule="exact"/>
              <w:ind w:firstLine="105" w:firstLineChars="50"/>
              <w:jc w:val="center"/>
              <w:rPr>
                <w:rFonts w:hint="eastAsia" w:ascii="宋体" w:hAnsi="宋体" w:cs="宋体"/>
                <w:szCs w:val="21"/>
              </w:rPr>
            </w:pPr>
            <w:r>
              <w:rPr>
                <w:rFonts w:hint="eastAsia" w:ascii="宋体" w:hAnsi="宋体" w:cs="宋体"/>
                <w:szCs w:val="21"/>
              </w:rPr>
              <w:t>货物类</w:t>
            </w:r>
          </w:p>
        </w:tc>
        <w:tc>
          <w:tcPr>
            <w:tcW w:w="1532" w:type="dxa"/>
            <w:noWrap w:val="0"/>
            <w:vAlign w:val="center"/>
          </w:tcPr>
          <w:p w14:paraId="7AE93AA7">
            <w:pPr>
              <w:spacing w:line="400" w:lineRule="exact"/>
              <w:jc w:val="center"/>
              <w:rPr>
                <w:rFonts w:hint="eastAsia" w:ascii="宋体" w:hAnsi="宋体" w:cs="宋体"/>
                <w:szCs w:val="21"/>
              </w:rPr>
            </w:pPr>
            <w:r>
              <w:rPr>
                <w:rFonts w:hint="eastAsia" w:ascii="宋体" w:hAnsi="宋体" w:cs="宋体"/>
                <w:szCs w:val="21"/>
              </w:rPr>
              <w:t>服务类</w:t>
            </w:r>
          </w:p>
        </w:tc>
        <w:tc>
          <w:tcPr>
            <w:tcW w:w="1546" w:type="dxa"/>
            <w:noWrap w:val="0"/>
            <w:vAlign w:val="center"/>
          </w:tcPr>
          <w:p w14:paraId="7A655CBF">
            <w:pPr>
              <w:spacing w:line="400" w:lineRule="exact"/>
              <w:jc w:val="center"/>
              <w:rPr>
                <w:rFonts w:hint="eastAsia" w:ascii="宋体" w:hAnsi="宋体" w:cs="宋体"/>
                <w:szCs w:val="21"/>
              </w:rPr>
            </w:pPr>
            <w:r>
              <w:rPr>
                <w:rFonts w:hint="eastAsia" w:ascii="宋体" w:hAnsi="宋体" w:cs="宋体"/>
                <w:szCs w:val="21"/>
              </w:rPr>
              <w:t>工程类</w:t>
            </w:r>
          </w:p>
        </w:tc>
      </w:tr>
      <w:tr w14:paraId="71B2E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4CA14AA">
            <w:pPr>
              <w:spacing w:line="400" w:lineRule="exact"/>
              <w:rPr>
                <w:rFonts w:hint="eastAsia" w:ascii="宋体" w:hAnsi="宋体" w:cs="宋体"/>
                <w:szCs w:val="21"/>
              </w:rPr>
            </w:pPr>
            <w:r>
              <w:rPr>
                <w:rFonts w:hint="eastAsia" w:ascii="宋体" w:hAnsi="宋体" w:cs="宋体"/>
                <w:szCs w:val="21"/>
              </w:rPr>
              <w:t>100万元以下</w:t>
            </w:r>
          </w:p>
        </w:tc>
        <w:tc>
          <w:tcPr>
            <w:tcW w:w="1659" w:type="dxa"/>
            <w:noWrap w:val="0"/>
            <w:vAlign w:val="top"/>
          </w:tcPr>
          <w:p w14:paraId="1A26259B">
            <w:pPr>
              <w:spacing w:line="400" w:lineRule="exact"/>
              <w:rPr>
                <w:rFonts w:hint="eastAsia" w:ascii="宋体" w:hAnsi="宋体" w:cs="宋体"/>
                <w:szCs w:val="21"/>
              </w:rPr>
            </w:pPr>
            <w:r>
              <w:rPr>
                <w:rFonts w:hint="eastAsia" w:ascii="宋体" w:hAnsi="宋体" w:cs="宋体"/>
                <w:kern w:val="0"/>
                <w:szCs w:val="21"/>
              </w:rPr>
              <w:t xml:space="preserve">  1.5%                </w:t>
            </w:r>
          </w:p>
        </w:tc>
        <w:tc>
          <w:tcPr>
            <w:tcW w:w="1532" w:type="dxa"/>
            <w:noWrap w:val="0"/>
            <w:vAlign w:val="top"/>
          </w:tcPr>
          <w:p w14:paraId="783C0DB8">
            <w:pPr>
              <w:spacing w:line="400" w:lineRule="exact"/>
              <w:ind w:firstLine="210" w:firstLineChars="100"/>
              <w:rPr>
                <w:rFonts w:hint="eastAsia" w:ascii="宋体" w:hAnsi="宋体" w:cs="宋体"/>
                <w:szCs w:val="21"/>
              </w:rPr>
            </w:pPr>
            <w:r>
              <w:rPr>
                <w:rFonts w:hint="eastAsia" w:ascii="宋体" w:hAnsi="宋体" w:cs="宋体"/>
                <w:kern w:val="0"/>
                <w:szCs w:val="21"/>
              </w:rPr>
              <w:t>1.5%</w:t>
            </w:r>
          </w:p>
        </w:tc>
        <w:tc>
          <w:tcPr>
            <w:tcW w:w="1546" w:type="dxa"/>
            <w:noWrap w:val="0"/>
            <w:vAlign w:val="top"/>
          </w:tcPr>
          <w:p w14:paraId="4F4060E4">
            <w:pPr>
              <w:spacing w:line="400" w:lineRule="exact"/>
              <w:ind w:firstLine="210" w:firstLineChars="100"/>
              <w:rPr>
                <w:rFonts w:hint="eastAsia" w:ascii="宋体" w:hAnsi="宋体" w:cs="宋体"/>
                <w:szCs w:val="21"/>
              </w:rPr>
            </w:pPr>
            <w:r>
              <w:rPr>
                <w:rFonts w:hint="eastAsia" w:ascii="宋体" w:hAnsi="宋体" w:cs="宋体"/>
                <w:kern w:val="0"/>
                <w:szCs w:val="21"/>
              </w:rPr>
              <w:t xml:space="preserve">1.0% </w:t>
            </w:r>
          </w:p>
        </w:tc>
      </w:tr>
      <w:tr w14:paraId="0CD6E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45541B6">
            <w:pPr>
              <w:spacing w:line="400" w:lineRule="exact"/>
              <w:rPr>
                <w:rFonts w:hint="eastAsia" w:ascii="宋体" w:hAnsi="宋体" w:cs="宋体"/>
                <w:szCs w:val="21"/>
              </w:rPr>
            </w:pPr>
            <w:r>
              <w:rPr>
                <w:rFonts w:hint="eastAsia" w:ascii="宋体" w:hAnsi="宋体" w:cs="宋体"/>
                <w:szCs w:val="21"/>
              </w:rPr>
              <w:t>100～500万元</w:t>
            </w:r>
          </w:p>
        </w:tc>
        <w:tc>
          <w:tcPr>
            <w:tcW w:w="1659" w:type="dxa"/>
            <w:noWrap w:val="0"/>
            <w:vAlign w:val="top"/>
          </w:tcPr>
          <w:p w14:paraId="7CBA444C">
            <w:pPr>
              <w:spacing w:line="400" w:lineRule="exact"/>
              <w:ind w:firstLine="210" w:firstLineChars="100"/>
              <w:rPr>
                <w:rFonts w:hint="eastAsia" w:ascii="宋体" w:hAnsi="宋体" w:cs="宋体"/>
                <w:szCs w:val="21"/>
              </w:rPr>
            </w:pPr>
            <w:r>
              <w:rPr>
                <w:rFonts w:hint="eastAsia" w:ascii="宋体" w:hAnsi="宋体" w:cs="宋体"/>
                <w:kern w:val="0"/>
                <w:szCs w:val="21"/>
              </w:rPr>
              <w:t xml:space="preserve">1.1%                 </w:t>
            </w:r>
          </w:p>
        </w:tc>
        <w:tc>
          <w:tcPr>
            <w:tcW w:w="1532" w:type="dxa"/>
            <w:noWrap w:val="0"/>
            <w:vAlign w:val="top"/>
          </w:tcPr>
          <w:p w14:paraId="7F45D903">
            <w:pPr>
              <w:spacing w:line="400" w:lineRule="exact"/>
              <w:ind w:firstLine="210" w:firstLineChars="100"/>
              <w:rPr>
                <w:rFonts w:hint="eastAsia" w:ascii="宋体" w:hAnsi="宋体" w:cs="宋体"/>
                <w:szCs w:val="21"/>
              </w:rPr>
            </w:pPr>
            <w:r>
              <w:rPr>
                <w:rFonts w:hint="eastAsia" w:ascii="宋体" w:hAnsi="宋体" w:cs="宋体"/>
                <w:kern w:val="0"/>
                <w:szCs w:val="21"/>
              </w:rPr>
              <w:t>0.8%</w:t>
            </w:r>
          </w:p>
        </w:tc>
        <w:tc>
          <w:tcPr>
            <w:tcW w:w="1546" w:type="dxa"/>
            <w:noWrap w:val="0"/>
            <w:vAlign w:val="top"/>
          </w:tcPr>
          <w:p w14:paraId="4D04076F">
            <w:pPr>
              <w:spacing w:line="400" w:lineRule="exact"/>
              <w:ind w:firstLine="210" w:firstLineChars="100"/>
              <w:rPr>
                <w:rFonts w:hint="eastAsia" w:ascii="宋体" w:hAnsi="宋体" w:cs="宋体"/>
                <w:szCs w:val="21"/>
              </w:rPr>
            </w:pPr>
            <w:r>
              <w:rPr>
                <w:rFonts w:hint="eastAsia" w:ascii="宋体" w:hAnsi="宋体" w:cs="宋体"/>
                <w:kern w:val="0"/>
                <w:szCs w:val="21"/>
              </w:rPr>
              <w:t xml:space="preserve">0.7% </w:t>
            </w:r>
          </w:p>
        </w:tc>
      </w:tr>
      <w:tr w14:paraId="6DF95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11DC760">
            <w:pPr>
              <w:spacing w:line="400" w:lineRule="exact"/>
              <w:rPr>
                <w:rFonts w:hint="eastAsia" w:ascii="宋体" w:hAnsi="宋体" w:cs="宋体"/>
                <w:szCs w:val="21"/>
              </w:rPr>
            </w:pPr>
            <w:r>
              <w:rPr>
                <w:rFonts w:hint="eastAsia" w:ascii="宋体" w:hAnsi="宋体" w:cs="宋体"/>
                <w:szCs w:val="21"/>
              </w:rPr>
              <w:t>500～1000万元</w:t>
            </w:r>
          </w:p>
        </w:tc>
        <w:tc>
          <w:tcPr>
            <w:tcW w:w="1659" w:type="dxa"/>
            <w:noWrap w:val="0"/>
            <w:vAlign w:val="top"/>
          </w:tcPr>
          <w:p w14:paraId="6B39C92D">
            <w:pPr>
              <w:spacing w:line="400" w:lineRule="exact"/>
              <w:rPr>
                <w:rFonts w:hint="eastAsia" w:ascii="宋体" w:hAnsi="宋体" w:cs="宋体"/>
                <w:szCs w:val="21"/>
              </w:rPr>
            </w:pPr>
            <w:r>
              <w:rPr>
                <w:rFonts w:hint="eastAsia" w:ascii="宋体" w:hAnsi="宋体" w:cs="宋体"/>
                <w:kern w:val="0"/>
                <w:szCs w:val="21"/>
              </w:rPr>
              <w:t xml:space="preserve">  0.8%                </w:t>
            </w:r>
          </w:p>
        </w:tc>
        <w:tc>
          <w:tcPr>
            <w:tcW w:w="1532" w:type="dxa"/>
            <w:noWrap w:val="0"/>
            <w:vAlign w:val="top"/>
          </w:tcPr>
          <w:p w14:paraId="3F5076D9">
            <w:pPr>
              <w:spacing w:line="400" w:lineRule="exact"/>
              <w:ind w:firstLine="210" w:firstLineChars="100"/>
              <w:rPr>
                <w:rFonts w:hint="eastAsia" w:ascii="宋体" w:hAnsi="宋体" w:cs="宋体"/>
                <w:szCs w:val="21"/>
              </w:rPr>
            </w:pPr>
            <w:r>
              <w:rPr>
                <w:rFonts w:hint="eastAsia" w:ascii="宋体" w:hAnsi="宋体" w:cs="宋体"/>
                <w:kern w:val="0"/>
                <w:szCs w:val="21"/>
              </w:rPr>
              <w:t>0.45%</w:t>
            </w:r>
          </w:p>
        </w:tc>
        <w:tc>
          <w:tcPr>
            <w:tcW w:w="1546" w:type="dxa"/>
            <w:noWrap w:val="0"/>
            <w:vAlign w:val="top"/>
          </w:tcPr>
          <w:p w14:paraId="18D981F5">
            <w:pPr>
              <w:spacing w:line="400" w:lineRule="exact"/>
              <w:ind w:firstLine="210" w:firstLineChars="100"/>
              <w:rPr>
                <w:rFonts w:hint="eastAsia" w:ascii="宋体" w:hAnsi="宋体" w:cs="宋体"/>
                <w:szCs w:val="21"/>
              </w:rPr>
            </w:pPr>
            <w:r>
              <w:rPr>
                <w:rFonts w:hint="eastAsia" w:ascii="宋体" w:hAnsi="宋体" w:cs="宋体"/>
                <w:kern w:val="0"/>
                <w:szCs w:val="21"/>
              </w:rPr>
              <w:t>0.55%</w:t>
            </w:r>
          </w:p>
        </w:tc>
      </w:tr>
      <w:tr w14:paraId="187AE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B4D9AE4">
            <w:pPr>
              <w:spacing w:line="400" w:lineRule="exact"/>
              <w:rPr>
                <w:rFonts w:hint="eastAsia" w:ascii="宋体" w:hAnsi="宋体" w:cs="宋体"/>
                <w:szCs w:val="21"/>
              </w:rPr>
            </w:pPr>
            <w:r>
              <w:rPr>
                <w:rFonts w:hint="eastAsia" w:ascii="宋体" w:hAnsi="宋体" w:cs="宋体"/>
                <w:szCs w:val="21"/>
              </w:rPr>
              <w:t>1000～5000万元</w:t>
            </w:r>
          </w:p>
        </w:tc>
        <w:tc>
          <w:tcPr>
            <w:tcW w:w="1659" w:type="dxa"/>
            <w:noWrap w:val="0"/>
            <w:vAlign w:val="top"/>
          </w:tcPr>
          <w:p w14:paraId="430FB05B">
            <w:pPr>
              <w:spacing w:line="400" w:lineRule="exact"/>
              <w:ind w:firstLine="210" w:firstLineChars="100"/>
              <w:rPr>
                <w:rFonts w:hint="eastAsia" w:ascii="宋体" w:hAnsi="宋体" w:cs="宋体"/>
                <w:szCs w:val="21"/>
              </w:rPr>
            </w:pPr>
            <w:r>
              <w:rPr>
                <w:rFonts w:hint="eastAsia" w:ascii="宋体" w:hAnsi="宋体" w:cs="宋体"/>
                <w:kern w:val="0"/>
                <w:szCs w:val="21"/>
              </w:rPr>
              <w:t xml:space="preserve">0.5%                </w:t>
            </w:r>
          </w:p>
        </w:tc>
        <w:tc>
          <w:tcPr>
            <w:tcW w:w="1532" w:type="dxa"/>
            <w:noWrap w:val="0"/>
            <w:vAlign w:val="top"/>
          </w:tcPr>
          <w:p w14:paraId="70EB5FD5">
            <w:pPr>
              <w:spacing w:line="400" w:lineRule="exact"/>
              <w:ind w:firstLine="210" w:firstLineChars="100"/>
              <w:rPr>
                <w:rFonts w:hint="eastAsia" w:ascii="宋体" w:hAnsi="宋体" w:cs="宋体"/>
                <w:szCs w:val="21"/>
              </w:rPr>
            </w:pPr>
            <w:r>
              <w:rPr>
                <w:rFonts w:hint="eastAsia" w:ascii="宋体" w:hAnsi="宋体" w:cs="宋体"/>
                <w:kern w:val="0"/>
                <w:szCs w:val="21"/>
              </w:rPr>
              <w:t>0.25%</w:t>
            </w:r>
          </w:p>
        </w:tc>
        <w:tc>
          <w:tcPr>
            <w:tcW w:w="1546" w:type="dxa"/>
            <w:noWrap w:val="0"/>
            <w:vAlign w:val="top"/>
          </w:tcPr>
          <w:p w14:paraId="60807C53">
            <w:pPr>
              <w:spacing w:line="400" w:lineRule="exact"/>
              <w:ind w:firstLine="210" w:firstLineChars="100"/>
              <w:rPr>
                <w:rFonts w:hint="eastAsia" w:ascii="宋体" w:hAnsi="宋体" w:cs="宋体"/>
                <w:szCs w:val="21"/>
              </w:rPr>
            </w:pPr>
            <w:r>
              <w:rPr>
                <w:rFonts w:hint="eastAsia" w:ascii="宋体" w:hAnsi="宋体" w:cs="宋体"/>
                <w:kern w:val="0"/>
                <w:szCs w:val="21"/>
              </w:rPr>
              <w:t xml:space="preserve">0.35% </w:t>
            </w:r>
          </w:p>
        </w:tc>
      </w:tr>
      <w:tr w14:paraId="6DD2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85AFA80">
            <w:pPr>
              <w:spacing w:line="400" w:lineRule="exact"/>
              <w:rPr>
                <w:rFonts w:hint="eastAsia" w:ascii="宋体" w:hAnsi="宋体" w:cs="宋体"/>
                <w:szCs w:val="21"/>
              </w:rPr>
            </w:pPr>
            <w:r>
              <w:rPr>
                <w:rFonts w:hint="eastAsia" w:ascii="宋体" w:hAnsi="宋体" w:cs="宋体"/>
                <w:szCs w:val="21"/>
              </w:rPr>
              <w:t>5000万元～1亿元</w:t>
            </w:r>
          </w:p>
        </w:tc>
        <w:tc>
          <w:tcPr>
            <w:tcW w:w="1659" w:type="dxa"/>
            <w:noWrap w:val="0"/>
            <w:vAlign w:val="top"/>
          </w:tcPr>
          <w:p w14:paraId="526A652A">
            <w:pPr>
              <w:spacing w:line="400" w:lineRule="exact"/>
              <w:ind w:firstLine="210" w:firstLineChars="100"/>
              <w:rPr>
                <w:rFonts w:hint="eastAsia" w:ascii="宋体" w:hAnsi="宋体" w:cs="宋体"/>
                <w:szCs w:val="21"/>
              </w:rPr>
            </w:pPr>
            <w:r>
              <w:rPr>
                <w:rFonts w:hint="eastAsia" w:ascii="宋体" w:hAnsi="宋体" w:cs="宋体"/>
                <w:kern w:val="0"/>
                <w:szCs w:val="21"/>
              </w:rPr>
              <w:t xml:space="preserve">0.25%                 </w:t>
            </w:r>
          </w:p>
        </w:tc>
        <w:tc>
          <w:tcPr>
            <w:tcW w:w="1532" w:type="dxa"/>
            <w:noWrap w:val="0"/>
            <w:vAlign w:val="top"/>
          </w:tcPr>
          <w:p w14:paraId="64AD0361">
            <w:pPr>
              <w:spacing w:line="400" w:lineRule="exact"/>
              <w:ind w:firstLine="210" w:firstLineChars="100"/>
              <w:rPr>
                <w:rFonts w:hint="eastAsia" w:ascii="宋体" w:hAnsi="宋体" w:cs="宋体"/>
                <w:szCs w:val="21"/>
              </w:rPr>
            </w:pPr>
            <w:r>
              <w:rPr>
                <w:rFonts w:hint="eastAsia" w:ascii="宋体" w:hAnsi="宋体" w:cs="宋体"/>
                <w:kern w:val="0"/>
                <w:szCs w:val="21"/>
              </w:rPr>
              <w:t>0.1%</w:t>
            </w:r>
          </w:p>
        </w:tc>
        <w:tc>
          <w:tcPr>
            <w:tcW w:w="1546" w:type="dxa"/>
            <w:noWrap w:val="0"/>
            <w:vAlign w:val="top"/>
          </w:tcPr>
          <w:p w14:paraId="113518C9">
            <w:pPr>
              <w:spacing w:line="400" w:lineRule="exact"/>
              <w:ind w:firstLine="210" w:firstLineChars="100"/>
              <w:rPr>
                <w:rFonts w:hint="eastAsia" w:ascii="宋体" w:hAnsi="宋体" w:cs="宋体"/>
                <w:szCs w:val="21"/>
              </w:rPr>
            </w:pPr>
            <w:r>
              <w:rPr>
                <w:rFonts w:hint="eastAsia" w:ascii="宋体" w:hAnsi="宋体" w:cs="宋体"/>
                <w:kern w:val="0"/>
                <w:szCs w:val="21"/>
              </w:rPr>
              <w:t>0.2%</w:t>
            </w:r>
          </w:p>
        </w:tc>
      </w:tr>
      <w:tr w14:paraId="152DE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15A7046">
            <w:pPr>
              <w:spacing w:line="400" w:lineRule="exact"/>
              <w:rPr>
                <w:rFonts w:hint="eastAsia" w:ascii="宋体" w:hAnsi="宋体" w:cs="宋体"/>
                <w:szCs w:val="21"/>
              </w:rPr>
            </w:pPr>
            <w:r>
              <w:rPr>
                <w:rFonts w:hint="eastAsia" w:ascii="宋体" w:hAnsi="宋体" w:cs="宋体"/>
                <w:szCs w:val="21"/>
              </w:rPr>
              <w:t>1～5亿元</w:t>
            </w:r>
          </w:p>
        </w:tc>
        <w:tc>
          <w:tcPr>
            <w:tcW w:w="1659" w:type="dxa"/>
            <w:noWrap w:val="0"/>
            <w:vAlign w:val="top"/>
          </w:tcPr>
          <w:p w14:paraId="621C21C1">
            <w:pPr>
              <w:spacing w:line="400" w:lineRule="exact"/>
              <w:ind w:firstLine="210" w:firstLineChars="100"/>
              <w:rPr>
                <w:rFonts w:hint="eastAsia" w:ascii="宋体" w:hAnsi="宋体" w:cs="宋体"/>
                <w:szCs w:val="21"/>
              </w:rPr>
            </w:pPr>
            <w:r>
              <w:rPr>
                <w:rFonts w:hint="eastAsia" w:ascii="宋体" w:hAnsi="宋体" w:cs="宋体"/>
                <w:szCs w:val="21"/>
              </w:rPr>
              <w:t>0.05%</w:t>
            </w:r>
          </w:p>
        </w:tc>
        <w:tc>
          <w:tcPr>
            <w:tcW w:w="1532" w:type="dxa"/>
            <w:noWrap w:val="0"/>
            <w:vAlign w:val="top"/>
          </w:tcPr>
          <w:p w14:paraId="359D0632">
            <w:pPr>
              <w:spacing w:line="400" w:lineRule="exact"/>
              <w:rPr>
                <w:rFonts w:hint="eastAsia" w:ascii="宋体" w:hAnsi="宋体" w:cs="宋体"/>
                <w:szCs w:val="21"/>
              </w:rPr>
            </w:pPr>
            <w:r>
              <w:rPr>
                <w:rFonts w:hint="eastAsia" w:ascii="宋体" w:hAnsi="宋体" w:cs="宋体"/>
                <w:szCs w:val="21"/>
              </w:rPr>
              <w:t xml:space="preserve">  0.05%</w:t>
            </w:r>
          </w:p>
        </w:tc>
        <w:tc>
          <w:tcPr>
            <w:tcW w:w="1546" w:type="dxa"/>
            <w:noWrap w:val="0"/>
            <w:vAlign w:val="top"/>
          </w:tcPr>
          <w:p w14:paraId="682D09FE">
            <w:pPr>
              <w:spacing w:line="400" w:lineRule="exact"/>
              <w:rPr>
                <w:rFonts w:hint="eastAsia" w:ascii="宋体" w:hAnsi="宋体" w:cs="宋体"/>
                <w:szCs w:val="21"/>
              </w:rPr>
            </w:pPr>
            <w:r>
              <w:rPr>
                <w:rFonts w:hint="eastAsia" w:ascii="宋体" w:hAnsi="宋体" w:cs="宋体"/>
                <w:szCs w:val="21"/>
              </w:rPr>
              <w:t xml:space="preserve">  0.05%</w:t>
            </w:r>
          </w:p>
        </w:tc>
      </w:tr>
      <w:tr w14:paraId="3DC68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2042EFB">
            <w:pPr>
              <w:spacing w:line="400" w:lineRule="exact"/>
              <w:rPr>
                <w:rFonts w:hint="eastAsia" w:ascii="宋体" w:hAnsi="宋体" w:cs="宋体"/>
                <w:szCs w:val="21"/>
              </w:rPr>
            </w:pPr>
            <w:r>
              <w:rPr>
                <w:rFonts w:hint="eastAsia" w:ascii="宋体" w:hAnsi="宋体" w:cs="宋体"/>
                <w:szCs w:val="21"/>
              </w:rPr>
              <w:t>5～10亿元</w:t>
            </w:r>
          </w:p>
        </w:tc>
        <w:tc>
          <w:tcPr>
            <w:tcW w:w="1659" w:type="dxa"/>
            <w:noWrap w:val="0"/>
            <w:vAlign w:val="top"/>
          </w:tcPr>
          <w:p w14:paraId="729CAC1A">
            <w:pPr>
              <w:spacing w:line="400" w:lineRule="exact"/>
              <w:ind w:firstLine="105" w:firstLineChars="50"/>
              <w:rPr>
                <w:rFonts w:hint="eastAsia" w:ascii="宋体" w:hAnsi="宋体" w:cs="宋体"/>
                <w:szCs w:val="21"/>
              </w:rPr>
            </w:pPr>
            <w:r>
              <w:rPr>
                <w:rFonts w:hint="eastAsia" w:ascii="宋体" w:hAnsi="宋体" w:cs="宋体"/>
                <w:szCs w:val="21"/>
              </w:rPr>
              <w:t>0.035%</w:t>
            </w:r>
          </w:p>
        </w:tc>
        <w:tc>
          <w:tcPr>
            <w:tcW w:w="1532" w:type="dxa"/>
            <w:noWrap w:val="0"/>
            <w:vAlign w:val="top"/>
          </w:tcPr>
          <w:p w14:paraId="7DFAE118">
            <w:pPr>
              <w:spacing w:line="400" w:lineRule="exact"/>
              <w:rPr>
                <w:rFonts w:hint="eastAsia" w:ascii="宋体" w:hAnsi="宋体" w:cs="宋体"/>
                <w:szCs w:val="21"/>
              </w:rPr>
            </w:pPr>
            <w:r>
              <w:rPr>
                <w:rFonts w:hint="eastAsia" w:ascii="宋体" w:hAnsi="宋体" w:cs="宋体"/>
                <w:szCs w:val="21"/>
              </w:rPr>
              <w:t xml:space="preserve">  0.035%</w:t>
            </w:r>
          </w:p>
        </w:tc>
        <w:tc>
          <w:tcPr>
            <w:tcW w:w="1546" w:type="dxa"/>
            <w:noWrap w:val="0"/>
            <w:vAlign w:val="top"/>
          </w:tcPr>
          <w:p w14:paraId="01B39748">
            <w:pPr>
              <w:spacing w:line="400" w:lineRule="exact"/>
              <w:ind w:firstLine="105" w:firstLineChars="50"/>
              <w:rPr>
                <w:rFonts w:hint="eastAsia" w:ascii="宋体" w:hAnsi="宋体" w:cs="宋体"/>
                <w:szCs w:val="21"/>
              </w:rPr>
            </w:pPr>
            <w:r>
              <w:rPr>
                <w:rFonts w:hint="eastAsia" w:ascii="宋体" w:hAnsi="宋体" w:cs="宋体"/>
                <w:szCs w:val="21"/>
              </w:rPr>
              <w:t>0.035%</w:t>
            </w:r>
          </w:p>
        </w:tc>
      </w:tr>
      <w:tr w14:paraId="6670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27B0104">
            <w:pPr>
              <w:spacing w:line="400" w:lineRule="exact"/>
              <w:rPr>
                <w:rFonts w:hint="eastAsia" w:ascii="宋体" w:hAnsi="宋体" w:cs="宋体"/>
                <w:szCs w:val="21"/>
              </w:rPr>
            </w:pPr>
            <w:r>
              <w:rPr>
                <w:rFonts w:hint="eastAsia" w:ascii="宋体" w:hAnsi="宋体" w:cs="宋体"/>
                <w:szCs w:val="21"/>
              </w:rPr>
              <w:t>10～50亿元</w:t>
            </w:r>
          </w:p>
        </w:tc>
        <w:tc>
          <w:tcPr>
            <w:tcW w:w="1659" w:type="dxa"/>
            <w:noWrap w:val="0"/>
            <w:vAlign w:val="top"/>
          </w:tcPr>
          <w:p w14:paraId="72D4948C">
            <w:pPr>
              <w:spacing w:line="400" w:lineRule="exact"/>
              <w:ind w:firstLine="105" w:firstLineChars="50"/>
              <w:rPr>
                <w:rFonts w:hint="eastAsia" w:ascii="宋体" w:hAnsi="宋体" w:cs="宋体"/>
                <w:szCs w:val="21"/>
              </w:rPr>
            </w:pPr>
            <w:r>
              <w:rPr>
                <w:rFonts w:hint="eastAsia" w:ascii="宋体" w:hAnsi="宋体" w:cs="宋体"/>
                <w:szCs w:val="21"/>
              </w:rPr>
              <w:t>0.008%</w:t>
            </w:r>
          </w:p>
        </w:tc>
        <w:tc>
          <w:tcPr>
            <w:tcW w:w="1532" w:type="dxa"/>
            <w:noWrap w:val="0"/>
            <w:vAlign w:val="top"/>
          </w:tcPr>
          <w:p w14:paraId="607711B8">
            <w:pPr>
              <w:spacing w:line="400" w:lineRule="exact"/>
              <w:ind w:firstLine="210" w:firstLineChars="100"/>
              <w:rPr>
                <w:rFonts w:hint="eastAsia" w:ascii="宋体" w:hAnsi="宋体" w:cs="宋体"/>
                <w:szCs w:val="21"/>
              </w:rPr>
            </w:pPr>
            <w:r>
              <w:rPr>
                <w:rFonts w:hint="eastAsia" w:ascii="宋体" w:hAnsi="宋体" w:cs="宋体"/>
                <w:szCs w:val="21"/>
              </w:rPr>
              <w:t>0.008%</w:t>
            </w:r>
          </w:p>
        </w:tc>
        <w:tc>
          <w:tcPr>
            <w:tcW w:w="1546" w:type="dxa"/>
            <w:noWrap w:val="0"/>
            <w:vAlign w:val="top"/>
          </w:tcPr>
          <w:p w14:paraId="0DF369A7">
            <w:pPr>
              <w:spacing w:line="400" w:lineRule="exact"/>
              <w:ind w:firstLine="105" w:firstLineChars="50"/>
              <w:rPr>
                <w:rFonts w:hint="eastAsia" w:ascii="宋体" w:hAnsi="宋体" w:cs="宋体"/>
                <w:szCs w:val="21"/>
              </w:rPr>
            </w:pPr>
            <w:r>
              <w:rPr>
                <w:rFonts w:hint="eastAsia" w:ascii="宋体" w:hAnsi="宋体" w:cs="宋体"/>
                <w:szCs w:val="21"/>
              </w:rPr>
              <w:t>0.008%</w:t>
            </w:r>
          </w:p>
        </w:tc>
      </w:tr>
      <w:tr w14:paraId="24850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7F7C02A">
            <w:pPr>
              <w:spacing w:line="400" w:lineRule="exact"/>
              <w:rPr>
                <w:rFonts w:hint="eastAsia" w:ascii="宋体" w:hAnsi="宋体" w:cs="宋体"/>
                <w:szCs w:val="21"/>
              </w:rPr>
            </w:pPr>
            <w:r>
              <w:rPr>
                <w:rFonts w:hint="eastAsia" w:ascii="宋体" w:hAnsi="宋体" w:cs="宋体"/>
                <w:szCs w:val="21"/>
              </w:rPr>
              <w:t>50～100亿元</w:t>
            </w:r>
          </w:p>
        </w:tc>
        <w:tc>
          <w:tcPr>
            <w:tcW w:w="1659" w:type="dxa"/>
            <w:noWrap w:val="0"/>
            <w:vAlign w:val="top"/>
          </w:tcPr>
          <w:p w14:paraId="003D3F59">
            <w:pPr>
              <w:spacing w:line="400" w:lineRule="exact"/>
              <w:rPr>
                <w:rFonts w:hint="eastAsia" w:ascii="宋体" w:hAnsi="宋体" w:cs="宋体"/>
                <w:szCs w:val="21"/>
              </w:rPr>
            </w:pPr>
            <w:r>
              <w:rPr>
                <w:rFonts w:hint="eastAsia" w:ascii="宋体" w:hAnsi="宋体" w:cs="宋体"/>
                <w:szCs w:val="21"/>
              </w:rPr>
              <w:t xml:space="preserve"> 0.006%</w:t>
            </w:r>
          </w:p>
        </w:tc>
        <w:tc>
          <w:tcPr>
            <w:tcW w:w="1532" w:type="dxa"/>
            <w:noWrap w:val="0"/>
            <w:vAlign w:val="top"/>
          </w:tcPr>
          <w:p w14:paraId="00F92AC1">
            <w:pPr>
              <w:spacing w:line="400" w:lineRule="exact"/>
              <w:ind w:firstLine="210" w:firstLineChars="100"/>
              <w:rPr>
                <w:rFonts w:hint="eastAsia" w:ascii="宋体" w:hAnsi="宋体" w:cs="宋体"/>
                <w:szCs w:val="21"/>
              </w:rPr>
            </w:pPr>
            <w:r>
              <w:rPr>
                <w:rFonts w:hint="eastAsia" w:ascii="宋体" w:hAnsi="宋体" w:cs="宋体"/>
                <w:szCs w:val="21"/>
              </w:rPr>
              <w:t>0.006%</w:t>
            </w:r>
          </w:p>
        </w:tc>
        <w:tc>
          <w:tcPr>
            <w:tcW w:w="1546" w:type="dxa"/>
            <w:noWrap w:val="0"/>
            <w:vAlign w:val="top"/>
          </w:tcPr>
          <w:p w14:paraId="13F93559">
            <w:pPr>
              <w:spacing w:line="400" w:lineRule="exact"/>
              <w:ind w:firstLine="105" w:firstLineChars="50"/>
              <w:rPr>
                <w:rFonts w:hint="eastAsia" w:ascii="宋体" w:hAnsi="宋体" w:cs="宋体"/>
                <w:szCs w:val="21"/>
              </w:rPr>
            </w:pPr>
            <w:r>
              <w:rPr>
                <w:rFonts w:hint="eastAsia" w:ascii="宋体" w:hAnsi="宋体" w:cs="宋体"/>
                <w:szCs w:val="21"/>
              </w:rPr>
              <w:t>0.006%</w:t>
            </w:r>
          </w:p>
        </w:tc>
      </w:tr>
      <w:tr w14:paraId="1395E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4102068">
            <w:pPr>
              <w:spacing w:line="400" w:lineRule="exact"/>
              <w:rPr>
                <w:rFonts w:hint="eastAsia" w:ascii="宋体" w:hAnsi="宋体" w:cs="宋体"/>
                <w:szCs w:val="21"/>
              </w:rPr>
            </w:pPr>
            <w:r>
              <w:rPr>
                <w:rFonts w:hint="eastAsia" w:ascii="宋体" w:hAnsi="宋体" w:cs="宋体"/>
                <w:szCs w:val="21"/>
              </w:rPr>
              <w:t>100亿以上</w:t>
            </w:r>
          </w:p>
        </w:tc>
        <w:tc>
          <w:tcPr>
            <w:tcW w:w="1659" w:type="dxa"/>
            <w:noWrap w:val="0"/>
            <w:vAlign w:val="top"/>
          </w:tcPr>
          <w:p w14:paraId="1D201267">
            <w:pPr>
              <w:spacing w:line="400" w:lineRule="exact"/>
              <w:rPr>
                <w:rFonts w:hint="eastAsia" w:ascii="宋体" w:hAnsi="宋体" w:cs="宋体"/>
                <w:szCs w:val="21"/>
              </w:rPr>
            </w:pPr>
            <w:r>
              <w:rPr>
                <w:rFonts w:hint="eastAsia" w:ascii="宋体" w:hAnsi="宋体" w:cs="宋体"/>
                <w:szCs w:val="21"/>
              </w:rPr>
              <w:t xml:space="preserve"> 0.004%</w:t>
            </w:r>
          </w:p>
        </w:tc>
        <w:tc>
          <w:tcPr>
            <w:tcW w:w="1532" w:type="dxa"/>
            <w:noWrap w:val="0"/>
            <w:vAlign w:val="top"/>
          </w:tcPr>
          <w:p w14:paraId="408ADEA5">
            <w:pPr>
              <w:spacing w:line="400" w:lineRule="exact"/>
              <w:ind w:firstLine="210" w:firstLineChars="100"/>
              <w:rPr>
                <w:rFonts w:hint="eastAsia" w:ascii="宋体" w:hAnsi="宋体" w:cs="宋体"/>
                <w:szCs w:val="21"/>
              </w:rPr>
            </w:pPr>
            <w:r>
              <w:rPr>
                <w:rFonts w:hint="eastAsia" w:ascii="宋体" w:hAnsi="宋体" w:cs="宋体"/>
                <w:szCs w:val="21"/>
              </w:rPr>
              <w:t>0.004%</w:t>
            </w:r>
          </w:p>
        </w:tc>
        <w:tc>
          <w:tcPr>
            <w:tcW w:w="1546" w:type="dxa"/>
            <w:noWrap w:val="0"/>
            <w:vAlign w:val="top"/>
          </w:tcPr>
          <w:p w14:paraId="748E5CD2">
            <w:pPr>
              <w:spacing w:line="400" w:lineRule="exact"/>
              <w:ind w:firstLine="105" w:firstLineChars="50"/>
              <w:rPr>
                <w:rFonts w:hint="eastAsia" w:ascii="宋体" w:hAnsi="宋体" w:cs="宋体"/>
                <w:szCs w:val="21"/>
              </w:rPr>
            </w:pPr>
            <w:r>
              <w:rPr>
                <w:rFonts w:hint="eastAsia" w:ascii="宋体" w:hAnsi="宋体" w:cs="宋体"/>
                <w:szCs w:val="21"/>
              </w:rPr>
              <w:t>0.004%</w:t>
            </w:r>
          </w:p>
        </w:tc>
      </w:tr>
    </w:tbl>
    <w:p w14:paraId="1622A944">
      <w:pPr>
        <w:spacing w:line="400" w:lineRule="exact"/>
        <w:ind w:firstLine="420" w:firstLineChars="200"/>
        <w:rPr>
          <w:rFonts w:ascii="宋体" w:hAnsi="宋体" w:cs="宋体"/>
        </w:rPr>
      </w:pPr>
      <w:r>
        <w:rPr>
          <w:rFonts w:ascii="宋体" w:hAnsi="宋体" w:cs="宋体"/>
        </w:rPr>
        <w:t>注：</w:t>
      </w:r>
    </w:p>
    <w:p w14:paraId="70FDF1ED">
      <w:pPr>
        <w:spacing w:line="400" w:lineRule="exact"/>
        <w:ind w:firstLine="420" w:firstLineChars="200"/>
        <w:rPr>
          <w:rFonts w:ascii="宋体" w:hAnsi="宋体" w:cs="宋体"/>
        </w:rPr>
      </w:pPr>
      <w:r>
        <w:rPr>
          <w:rFonts w:hint="eastAsia" w:ascii="宋体" w:hAnsi="宋体" w:cs="宋体"/>
        </w:rPr>
        <w:t>（1）</w:t>
      </w:r>
      <w:r>
        <w:rPr>
          <w:rFonts w:ascii="宋体" w:hAnsi="宋体" w:cs="宋体"/>
        </w:rPr>
        <w:t>按本表费率计算的收费为</w:t>
      </w:r>
      <w:r>
        <w:rPr>
          <w:rFonts w:hint="eastAsia" w:ascii="宋体" w:hAnsi="宋体" w:cs="宋体"/>
        </w:rPr>
        <w:t>采购</w:t>
      </w:r>
      <w:r>
        <w:rPr>
          <w:rFonts w:ascii="宋体" w:hAnsi="宋体" w:cs="宋体"/>
        </w:rPr>
        <w:t>代理的收费基准价格</w:t>
      </w:r>
      <w:r>
        <w:rPr>
          <w:rFonts w:hint="eastAsia" w:ascii="宋体" w:hAnsi="宋体" w:cs="宋体"/>
        </w:rPr>
        <w:t>；</w:t>
      </w:r>
    </w:p>
    <w:p w14:paraId="45C227AD">
      <w:pPr>
        <w:spacing w:line="400" w:lineRule="exact"/>
        <w:ind w:firstLine="420" w:firstLineChars="200"/>
        <w:rPr>
          <w:rFonts w:ascii="宋体" w:hAnsi="宋体" w:cs="宋体"/>
        </w:rPr>
      </w:pPr>
      <w:r>
        <w:rPr>
          <w:rFonts w:hint="eastAsia" w:ascii="宋体" w:hAnsi="宋体" w:cs="宋体"/>
        </w:rPr>
        <w:t>（2）采购</w:t>
      </w:r>
      <w:r>
        <w:rPr>
          <w:rFonts w:ascii="宋体" w:hAnsi="宋体" w:cs="宋体"/>
        </w:rPr>
        <w:t>代理收费按差额定率累进法计算。</w:t>
      </w:r>
    </w:p>
    <w:p w14:paraId="61517196">
      <w:pPr>
        <w:spacing w:line="400" w:lineRule="exact"/>
        <w:ind w:firstLine="420" w:firstLineChars="200"/>
        <w:rPr>
          <w:rFonts w:ascii="宋体" w:hAnsi="宋体" w:cs="宋体"/>
        </w:rPr>
      </w:pPr>
      <w:r>
        <w:rPr>
          <w:rFonts w:ascii="宋体" w:hAnsi="宋体" w:cs="宋体"/>
        </w:rPr>
        <w:t>例如：某</w:t>
      </w:r>
      <w:r>
        <w:rPr>
          <w:rFonts w:hint="eastAsia" w:ascii="宋体" w:hAnsi="宋体" w:cs="宋体"/>
        </w:rPr>
        <w:t>货物采购</w:t>
      </w:r>
      <w:r>
        <w:rPr>
          <w:rFonts w:ascii="宋体" w:hAnsi="宋体" w:cs="宋体"/>
        </w:rPr>
        <w:t>代理业务</w:t>
      </w:r>
      <w:r>
        <w:rPr>
          <w:rFonts w:hint="eastAsia" w:ascii="宋体" w:hAnsi="宋体" w:cs="宋体"/>
        </w:rPr>
        <w:t>成交</w:t>
      </w:r>
      <w:r>
        <w:rPr>
          <w:rFonts w:ascii="宋体" w:hAnsi="宋体" w:cs="宋体"/>
        </w:rPr>
        <w:t>金额</w:t>
      </w:r>
      <w:r>
        <w:rPr>
          <w:rFonts w:hint="eastAsia" w:ascii="宋体" w:hAnsi="宋体" w:cs="宋体"/>
        </w:rPr>
        <w:t>或者暂定价</w:t>
      </w:r>
      <w:r>
        <w:rPr>
          <w:rFonts w:ascii="宋体" w:hAnsi="宋体" w:cs="宋体"/>
        </w:rPr>
        <w:t>为150万元，计算</w:t>
      </w:r>
      <w:r>
        <w:rPr>
          <w:rFonts w:hint="eastAsia" w:ascii="宋体" w:hAnsi="宋体" w:cs="宋体"/>
        </w:rPr>
        <w:t>采购</w:t>
      </w:r>
      <w:r>
        <w:rPr>
          <w:rFonts w:ascii="宋体" w:hAnsi="宋体" w:cs="宋体"/>
        </w:rPr>
        <w:t>代理收费额如下：</w:t>
      </w:r>
    </w:p>
    <w:p w14:paraId="51235DDE">
      <w:pPr>
        <w:spacing w:line="400" w:lineRule="exact"/>
        <w:ind w:firstLine="420" w:firstLineChars="200"/>
        <w:rPr>
          <w:rFonts w:ascii="宋体" w:hAnsi="宋体" w:cs="宋体"/>
        </w:rPr>
      </w:pPr>
      <w:r>
        <w:rPr>
          <w:rFonts w:ascii="宋体" w:hAnsi="宋体" w:cs="宋体"/>
        </w:rPr>
        <w:t>100 万元 ×l.5 ％＝ 1.5 万元</w:t>
      </w:r>
    </w:p>
    <w:p w14:paraId="75FFE6C1">
      <w:pPr>
        <w:spacing w:line="400" w:lineRule="exact"/>
        <w:ind w:firstLine="420" w:firstLineChars="200"/>
        <w:rPr>
          <w:rFonts w:ascii="宋体" w:hAnsi="宋体" w:cs="宋体"/>
        </w:rPr>
      </w:pPr>
      <w:r>
        <w:rPr>
          <w:rFonts w:ascii="宋体" w:hAnsi="宋体" w:cs="宋体"/>
        </w:rPr>
        <w:t>（ 150 － 100 ）万元 ×1.1％＝0.55万元</w:t>
      </w:r>
    </w:p>
    <w:p w14:paraId="0D75F4E7">
      <w:pPr>
        <w:spacing w:line="400" w:lineRule="exact"/>
        <w:ind w:firstLine="420" w:firstLineChars="200"/>
        <w:rPr>
          <w:rFonts w:ascii="宋体" w:hAnsi="宋体" w:cs="宋体"/>
        </w:rPr>
      </w:pPr>
      <w:r>
        <w:rPr>
          <w:rFonts w:ascii="宋体" w:hAnsi="宋体" w:cs="宋体"/>
        </w:rPr>
        <w:t>合计收费＝ 1.5 ＋ 0.55＝ 2.05万元</w:t>
      </w:r>
    </w:p>
    <w:p w14:paraId="3F1EDA8D">
      <w:pPr>
        <w:spacing w:line="400" w:lineRule="exact"/>
        <w:ind w:firstLine="482" w:firstLineChars="200"/>
        <w:outlineLvl w:val="2"/>
        <w:rPr>
          <w:rFonts w:hint="eastAsia" w:ascii="宋体" w:hAnsi="宋体" w:cs="宋体"/>
          <w:b/>
          <w:bCs/>
          <w:sz w:val="24"/>
        </w:rPr>
      </w:pPr>
      <w:bookmarkStart w:id="192" w:name="_Toc26301"/>
      <w:bookmarkStart w:id="193" w:name="_Toc21790"/>
      <w:bookmarkStart w:id="194" w:name="_Toc117860078"/>
      <w:r>
        <w:rPr>
          <w:rFonts w:hint="eastAsia" w:ascii="宋体" w:hAnsi="宋体" w:cs="宋体"/>
          <w:b/>
          <w:bCs/>
          <w:sz w:val="24"/>
        </w:rPr>
        <w:t>3</w:t>
      </w:r>
      <w:r>
        <w:rPr>
          <w:rFonts w:ascii="宋体" w:hAnsi="宋体" w:cs="宋体"/>
          <w:b/>
          <w:bCs/>
          <w:sz w:val="24"/>
        </w:rPr>
        <w:t>3.需要补充的其他内容</w:t>
      </w:r>
      <w:bookmarkEnd w:id="192"/>
      <w:bookmarkEnd w:id="193"/>
      <w:bookmarkEnd w:id="194"/>
    </w:p>
    <w:p w14:paraId="6F22FA68">
      <w:pPr>
        <w:spacing w:line="400" w:lineRule="exact"/>
        <w:ind w:firstLine="420" w:firstLineChars="200"/>
        <w:rPr>
          <w:rFonts w:hint="eastAsia" w:ascii="宋体" w:hAnsi="宋体" w:cs="宋体"/>
        </w:rPr>
      </w:pPr>
      <w:r>
        <w:rPr>
          <w:rFonts w:hint="eastAsia" w:ascii="宋体" w:hAnsi="宋体" w:cs="宋体"/>
        </w:rPr>
        <w:t>3</w:t>
      </w:r>
      <w:r>
        <w:rPr>
          <w:rFonts w:ascii="宋体" w:hAnsi="宋体" w:cs="宋体"/>
        </w:rPr>
        <w:t>3.1</w:t>
      </w:r>
      <w:r>
        <w:rPr>
          <w:rFonts w:hint="eastAsia" w:ascii="宋体" w:hAnsi="宋体" w:cs="宋体"/>
        </w:rPr>
        <w:t>本磋商文件解释规则详见“供应商须知前附表”。</w:t>
      </w:r>
    </w:p>
    <w:p w14:paraId="08BBDDE5">
      <w:pPr>
        <w:pStyle w:val="13"/>
        <w:snapToGrid w:val="0"/>
        <w:spacing w:line="400" w:lineRule="exact"/>
        <w:ind w:firstLine="420" w:firstLineChars="200"/>
        <w:rPr>
          <w:rFonts w:hAnsi="宋体" w:cs="宋体"/>
          <w:kern w:val="2"/>
          <w:sz w:val="21"/>
          <w:szCs w:val="24"/>
        </w:rPr>
      </w:pPr>
      <w:r>
        <w:rPr>
          <w:rFonts w:hAnsi="宋体" w:cs="宋体"/>
          <w:kern w:val="2"/>
          <w:sz w:val="21"/>
          <w:szCs w:val="24"/>
        </w:rPr>
        <w:t>33.2</w:t>
      </w:r>
      <w:r>
        <w:rPr>
          <w:rFonts w:hint="eastAsia" w:hAnsi="宋体" w:cs="宋体"/>
          <w:kern w:val="2"/>
          <w:sz w:val="21"/>
          <w:szCs w:val="24"/>
        </w:rPr>
        <w:t xml:space="preserve"> 其他事项详见“供应商须知前附表”。</w:t>
      </w:r>
    </w:p>
    <w:p w14:paraId="4D1934B0">
      <w:pPr>
        <w:pStyle w:val="13"/>
        <w:snapToGrid w:val="0"/>
        <w:spacing w:line="400" w:lineRule="exact"/>
        <w:ind w:firstLine="420" w:firstLineChars="200"/>
        <w:rPr>
          <w:rFonts w:hAnsi="宋体" w:cs="宋体"/>
          <w:kern w:val="2"/>
          <w:sz w:val="21"/>
          <w:szCs w:val="24"/>
        </w:rPr>
      </w:pPr>
      <w:r>
        <w:rPr>
          <w:rFonts w:hAnsi="宋体" w:cs="宋体"/>
          <w:kern w:val="2"/>
          <w:sz w:val="21"/>
          <w:szCs w:val="24"/>
        </w:rPr>
        <w:t>33.3</w:t>
      </w:r>
      <w:r>
        <w:rPr>
          <w:rFonts w:hint="eastAsia" w:hAnsi="宋体" w:cs="宋体"/>
          <w:kern w:val="2"/>
          <w:sz w:val="21"/>
          <w:szCs w:val="24"/>
        </w:rPr>
        <w:t>质量标准：达到国家施工验收规范合格标准。</w:t>
      </w:r>
    </w:p>
    <w:p w14:paraId="6E211C96">
      <w:pPr>
        <w:pStyle w:val="3"/>
        <w:rPr>
          <w:rFonts w:hint="eastAsia" w:ascii="宋体" w:hAnsi="宋体"/>
        </w:rPr>
      </w:pPr>
      <w:r>
        <w:rPr>
          <w:rFonts w:ascii="宋体" w:hAnsi="宋体"/>
        </w:rPr>
        <w:br w:type="page"/>
      </w:r>
      <w:bookmarkStart w:id="195" w:name="_Toc14070"/>
      <w:r>
        <w:rPr>
          <w:rFonts w:hint="eastAsia" w:ascii="宋体" w:hAnsi="宋体"/>
        </w:rPr>
        <w:t>第</w:t>
      </w:r>
      <w:r>
        <w:rPr>
          <w:rFonts w:hint="eastAsia" w:ascii="宋体" w:hAnsi="宋体"/>
          <w:lang w:val="en-US" w:eastAsia="zh-CN"/>
        </w:rPr>
        <w:t>四</w:t>
      </w:r>
      <w:r>
        <w:rPr>
          <w:rFonts w:hint="eastAsia" w:ascii="宋体" w:hAnsi="宋体"/>
        </w:rPr>
        <w:t>章  评审程序、评审方法和评审标准</w:t>
      </w:r>
      <w:bookmarkEnd w:id="195"/>
    </w:p>
    <w:p w14:paraId="33264EB4">
      <w:pPr>
        <w:pStyle w:val="2"/>
        <w:spacing w:line="400" w:lineRule="exact"/>
        <w:rPr>
          <w:rFonts w:hint="eastAsia" w:ascii="宋体" w:hAnsi="宋体"/>
        </w:rPr>
      </w:pPr>
      <w:bookmarkStart w:id="196" w:name="_Toc12643"/>
      <w:bookmarkStart w:id="197" w:name="_Toc11020"/>
      <w:bookmarkStart w:id="198" w:name="_Toc117860080"/>
      <w:r>
        <w:rPr>
          <w:rFonts w:hint="eastAsia" w:ascii="宋体" w:hAnsi="宋体"/>
        </w:rPr>
        <w:t>一、评审程序和评审方法</w:t>
      </w:r>
      <w:bookmarkEnd w:id="196"/>
      <w:bookmarkEnd w:id="197"/>
      <w:bookmarkEnd w:id="198"/>
    </w:p>
    <w:p w14:paraId="41423517">
      <w:pPr>
        <w:spacing w:line="400" w:lineRule="exact"/>
        <w:ind w:firstLine="422" w:firstLineChars="200"/>
        <w:rPr>
          <w:rFonts w:hint="eastAsia" w:ascii="宋体" w:hAnsi="宋体" w:cs="宋体"/>
          <w:b/>
          <w:bCs/>
          <w:szCs w:val="21"/>
        </w:rPr>
      </w:pPr>
      <w:r>
        <w:rPr>
          <w:rFonts w:ascii="宋体" w:hAnsi="宋体" w:cs="宋体"/>
          <w:b/>
          <w:bCs/>
          <w:szCs w:val="21"/>
        </w:rPr>
        <w:t>1</w:t>
      </w:r>
      <w:r>
        <w:rPr>
          <w:rFonts w:hint="eastAsia" w:ascii="宋体" w:hAnsi="宋体" w:cs="宋体"/>
          <w:b/>
          <w:bCs/>
          <w:szCs w:val="21"/>
        </w:rPr>
        <w:t>.资格审查</w:t>
      </w:r>
    </w:p>
    <w:p w14:paraId="5F75029B">
      <w:pPr>
        <w:snapToGrid w:val="0"/>
        <w:spacing w:line="400" w:lineRule="exact"/>
        <w:ind w:firstLine="420" w:firstLineChars="200"/>
        <w:rPr>
          <w:rFonts w:ascii="宋体" w:hAnsi="宋体"/>
          <w:szCs w:val="21"/>
        </w:rPr>
      </w:pPr>
      <w:r>
        <w:rPr>
          <w:rFonts w:ascii="宋体" w:hAnsi="宋体" w:cs="宋体"/>
          <w:szCs w:val="21"/>
        </w:rPr>
        <w:t>1</w:t>
      </w:r>
      <w:r>
        <w:rPr>
          <w:rFonts w:hint="eastAsia" w:ascii="宋体" w:hAnsi="宋体" w:cs="宋体"/>
          <w:szCs w:val="21"/>
        </w:rPr>
        <w:t>.1</w:t>
      </w:r>
      <w:r>
        <w:rPr>
          <w:rFonts w:hint="eastAsia" w:ascii="宋体" w:hAnsi="宋体"/>
          <w:szCs w:val="21"/>
        </w:rPr>
        <w:t>响应文件开启后，磋商小组依法对供应商的资格证明文件进行审查。</w:t>
      </w:r>
    </w:p>
    <w:p w14:paraId="02E0D1BF">
      <w:pPr>
        <w:snapToGrid w:val="0"/>
        <w:spacing w:line="400" w:lineRule="exact"/>
        <w:rPr>
          <w:rFonts w:hint="eastAsia" w:ascii="宋体" w:hAnsi="宋体" w:cs="宋体"/>
          <w:szCs w:val="21"/>
        </w:rPr>
      </w:pPr>
      <w:r>
        <w:rPr>
          <w:rFonts w:hint="eastAsia" w:ascii="宋体" w:hAnsi="宋体" w:cs="宋体"/>
          <w:szCs w:val="21"/>
        </w:rPr>
        <w:t>注：采购人或者采购代理机构在资格审查结束前，对供应商进行信用查询。</w:t>
      </w:r>
    </w:p>
    <w:p w14:paraId="08C03E09">
      <w:pPr>
        <w:topLinePunct/>
        <w:snapToGrid w:val="0"/>
        <w:spacing w:line="400" w:lineRule="exact"/>
        <w:ind w:firstLine="420" w:firstLineChars="200"/>
        <w:jc w:val="left"/>
        <w:rPr>
          <w:rFonts w:hint="eastAsia" w:ascii="宋体" w:hAnsi="宋体" w:cs="宋体"/>
          <w:szCs w:val="21"/>
        </w:rPr>
      </w:pPr>
      <w:r>
        <w:rPr>
          <w:rFonts w:hint="eastAsia" w:ascii="宋体" w:hAnsi="宋体" w:cs="宋体"/>
          <w:szCs w:val="21"/>
        </w:rPr>
        <w:t>（1）查询渠道：“信用中国”网站(www.creditchina.gov.cn) 、中国政府采购网(www.ccgp.gov.cn)。</w:t>
      </w:r>
    </w:p>
    <w:p w14:paraId="71B71C37">
      <w:pPr>
        <w:snapToGrid w:val="0"/>
        <w:spacing w:line="400" w:lineRule="exact"/>
        <w:ind w:firstLine="420" w:firstLineChars="200"/>
        <w:rPr>
          <w:rFonts w:hint="eastAsia" w:ascii="宋体" w:hAnsi="宋体" w:cs="宋体"/>
          <w:szCs w:val="21"/>
        </w:rPr>
      </w:pPr>
      <w:r>
        <w:rPr>
          <w:rFonts w:hint="eastAsia" w:ascii="宋体" w:hAnsi="宋体" w:cs="宋体"/>
          <w:szCs w:val="21"/>
        </w:rPr>
        <w:t>（2）信用查询截止时点：资格审查结束前。</w:t>
      </w:r>
    </w:p>
    <w:p w14:paraId="21BAEDE9">
      <w:pPr>
        <w:snapToGrid w:val="0"/>
        <w:spacing w:line="400" w:lineRule="exact"/>
        <w:ind w:firstLine="420" w:firstLineChars="200"/>
        <w:rPr>
          <w:rFonts w:hint="eastAsia" w:ascii="宋体" w:hAnsi="宋体" w:cs="宋体"/>
          <w:szCs w:val="21"/>
        </w:rPr>
      </w:pPr>
      <w:r>
        <w:rPr>
          <w:rFonts w:hint="eastAsia" w:ascii="宋体" w:hAnsi="宋体" w:cs="宋体"/>
          <w:szCs w:val="21"/>
        </w:rPr>
        <w:t>查询记录和证据留存方式：在查询网站中直接打印查询记录，打印材料作为评审资料保存。</w:t>
      </w:r>
    </w:p>
    <w:p w14:paraId="26B903CC">
      <w:pPr>
        <w:spacing w:line="400" w:lineRule="exact"/>
        <w:ind w:firstLine="420" w:firstLineChars="200"/>
        <w:rPr>
          <w:rFonts w:hint="eastAsia" w:ascii="宋体" w:hAnsi="宋体" w:cs="宋体"/>
          <w:szCs w:val="21"/>
        </w:rPr>
      </w:pPr>
      <w:r>
        <w:rPr>
          <w:rFonts w:hint="eastAsia" w:ascii="宋体" w:hAnsi="宋体" w:cs="宋体"/>
          <w:szCs w:val="21"/>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4A8755B">
      <w:pPr>
        <w:spacing w:line="400" w:lineRule="exact"/>
        <w:ind w:firstLine="420" w:firstLineChars="200"/>
        <w:rPr>
          <w:rFonts w:hint="eastAsia" w:ascii="宋体" w:hAnsi="宋体" w:cs="宋体"/>
          <w:szCs w:val="21"/>
        </w:rPr>
      </w:pPr>
      <w:r>
        <w:rPr>
          <w:rFonts w:ascii="宋体" w:hAnsi="宋体" w:cs="宋体"/>
          <w:szCs w:val="21"/>
        </w:rPr>
        <w:t>1</w:t>
      </w:r>
      <w:r>
        <w:rPr>
          <w:rFonts w:hint="eastAsia" w:ascii="宋体" w:hAnsi="宋体" w:cs="宋体"/>
          <w:szCs w:val="21"/>
        </w:rPr>
        <w:t>.2资格审查标准为本磋商文件中载明对供应商资格要求的条件。资格审查采用合格制，凡符合磋商文件规定的供应商资格要求的响应文件均通过资格审查。</w:t>
      </w:r>
    </w:p>
    <w:p w14:paraId="49DD5C01">
      <w:pPr>
        <w:spacing w:line="400" w:lineRule="exact"/>
        <w:ind w:firstLine="420" w:firstLineChars="200"/>
        <w:rPr>
          <w:rFonts w:hint="eastAsia" w:ascii="宋体" w:hAnsi="宋体" w:cs="宋体"/>
          <w:szCs w:val="21"/>
        </w:rPr>
      </w:pPr>
      <w:r>
        <w:rPr>
          <w:rFonts w:ascii="宋体" w:hAnsi="宋体" w:cs="宋体"/>
          <w:szCs w:val="21"/>
        </w:rPr>
        <w:t>1</w:t>
      </w:r>
      <w:r>
        <w:rPr>
          <w:rFonts w:hint="eastAsia" w:ascii="宋体" w:hAnsi="宋体" w:cs="宋体"/>
          <w:szCs w:val="21"/>
        </w:rPr>
        <w:t>.3供应商有下列情形之一的，资格审查不通过，其响应文件按无效响应处理：</w:t>
      </w:r>
    </w:p>
    <w:p w14:paraId="50100B9E">
      <w:pPr>
        <w:snapToGrid w:val="0"/>
        <w:spacing w:line="400" w:lineRule="exact"/>
        <w:ind w:firstLine="420" w:firstLineChars="200"/>
        <w:rPr>
          <w:rFonts w:hint="eastAsia"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）不具备磋商文件中规定的资格要求的；</w:t>
      </w:r>
    </w:p>
    <w:p w14:paraId="4236139B">
      <w:pPr>
        <w:spacing w:line="400" w:lineRule="exact"/>
        <w:ind w:firstLine="420" w:firstLineChars="200"/>
        <w:rPr>
          <w:rFonts w:hint="eastAsia"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）响应文件未提供任一项“供应商须知前附表”资格证明文件要求提供的文件或提供的文件无效的；</w:t>
      </w:r>
    </w:p>
    <w:p w14:paraId="4A94EA33">
      <w:pPr>
        <w:spacing w:line="400" w:lineRule="exact"/>
        <w:ind w:firstLine="420" w:firstLineChars="200"/>
        <w:rPr>
          <w:rFonts w:hint="eastAsia" w:ascii="宋体" w:hAnsi="宋体" w:cs="宋体"/>
          <w:szCs w:val="21"/>
        </w:rPr>
      </w:pPr>
      <w:r>
        <w:rPr>
          <w:rFonts w:ascii="宋体" w:hAnsi="宋体" w:cs="宋体"/>
          <w:szCs w:val="21"/>
        </w:rPr>
        <w:t>1</w:t>
      </w:r>
      <w:r>
        <w:rPr>
          <w:rFonts w:hint="eastAsia" w:ascii="宋体" w:hAnsi="宋体" w:cs="宋体"/>
          <w:szCs w:val="21"/>
        </w:rPr>
        <w:t>.4通过资格审查的合格供应商不足3家的，不得进入符合性审查环节，</w:t>
      </w:r>
      <w:r>
        <w:rPr>
          <w:rFonts w:hint="eastAsia" w:ascii="宋体" w:hAnsi="宋体"/>
          <w:szCs w:val="21"/>
        </w:rPr>
        <w:t>采购人或者采购代理机构应当重新开展采购活动。</w:t>
      </w:r>
    </w:p>
    <w:p w14:paraId="744869F3">
      <w:pPr>
        <w:spacing w:line="400" w:lineRule="exact"/>
        <w:ind w:firstLine="422" w:firstLineChars="200"/>
        <w:rPr>
          <w:rFonts w:hint="eastAsia" w:ascii="宋体" w:hAnsi="宋体" w:cs="宋体"/>
          <w:b/>
          <w:bCs/>
          <w:szCs w:val="21"/>
        </w:rPr>
      </w:pPr>
      <w:r>
        <w:rPr>
          <w:rFonts w:ascii="宋体" w:hAnsi="宋体" w:cs="宋体"/>
          <w:b/>
          <w:bCs/>
          <w:szCs w:val="21"/>
        </w:rPr>
        <w:t>2</w:t>
      </w:r>
      <w:r>
        <w:rPr>
          <w:rFonts w:hint="eastAsia" w:ascii="宋体" w:hAnsi="宋体" w:cs="宋体"/>
          <w:b/>
          <w:bCs/>
          <w:szCs w:val="21"/>
        </w:rPr>
        <w:t>.符合性审查</w:t>
      </w:r>
    </w:p>
    <w:p w14:paraId="4B7BA803">
      <w:pPr>
        <w:spacing w:line="400" w:lineRule="exact"/>
        <w:ind w:firstLine="420" w:firstLineChars="200"/>
        <w:rPr>
          <w:rFonts w:hint="eastAsia" w:ascii="宋体" w:hAnsi="宋体" w:cs="宋体"/>
          <w:szCs w:val="21"/>
        </w:rPr>
      </w:pPr>
      <w:bookmarkStart w:id="199" w:name="_Hlk42528882"/>
      <w:r>
        <w:rPr>
          <w:rFonts w:ascii="宋体" w:hAnsi="宋体" w:cs="宋体"/>
          <w:szCs w:val="21"/>
        </w:rPr>
        <w:t>2.1</w:t>
      </w:r>
      <w:r>
        <w:rPr>
          <w:rFonts w:hint="eastAsia" w:ascii="宋体" w:hAnsi="宋体" w:cs="宋体"/>
          <w:szCs w:val="21"/>
        </w:rPr>
        <w:t>由磋商小组对</w:t>
      </w:r>
      <w:r>
        <w:rPr>
          <w:rFonts w:hint="eastAsia" w:ascii="宋体" w:hAnsi="宋体"/>
          <w:szCs w:val="21"/>
        </w:rPr>
        <w:t>通过资格审查的合格供应商</w:t>
      </w:r>
      <w:r>
        <w:rPr>
          <w:rFonts w:hint="eastAsia" w:ascii="宋体" w:hAnsi="宋体" w:cs="宋体"/>
          <w:szCs w:val="21"/>
        </w:rPr>
        <w:t>的响应文件的竞标报价、商务、技术等实质性要求进行符合性审查，以确定其是否满足磋商文件的实质性要求。</w:t>
      </w:r>
    </w:p>
    <w:bookmarkEnd w:id="199"/>
    <w:p w14:paraId="2E94DAD5">
      <w:pPr>
        <w:spacing w:line="400" w:lineRule="exact"/>
        <w:ind w:firstLine="420" w:firstLineChars="200"/>
        <w:rPr>
          <w:rFonts w:ascii="宋体" w:hAnsi="宋体" w:cs="宋体"/>
          <w:szCs w:val="21"/>
        </w:rPr>
      </w:pPr>
      <w:r>
        <w:rPr>
          <w:rFonts w:ascii="宋体" w:hAnsi="宋体" w:cs="宋体"/>
          <w:szCs w:val="21"/>
        </w:rPr>
        <w:t>2.2</w:t>
      </w:r>
      <w:r>
        <w:rPr>
          <w:rFonts w:hint="eastAsia" w:ascii="宋体" w:hAnsi="宋体" w:cs="宋体"/>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B0504EA">
      <w:pPr>
        <w:spacing w:line="400" w:lineRule="exact"/>
        <w:ind w:firstLine="420" w:firstLineChars="200"/>
        <w:rPr>
          <w:rFonts w:ascii="宋体" w:hAnsi="宋体" w:cs="宋体"/>
          <w:spacing w:val="-6"/>
          <w:szCs w:val="21"/>
        </w:rPr>
      </w:pPr>
      <w:r>
        <w:rPr>
          <w:rFonts w:ascii="宋体" w:hAnsi="宋体" w:cs="宋体"/>
          <w:szCs w:val="21"/>
        </w:rPr>
        <w:t>2</w:t>
      </w:r>
      <w:r>
        <w:rPr>
          <w:rFonts w:hint="eastAsia" w:ascii="宋体" w:hAnsi="宋体" w:cs="宋体"/>
          <w:szCs w:val="21"/>
        </w:rPr>
        <w:t>.</w:t>
      </w:r>
      <w:r>
        <w:rPr>
          <w:rFonts w:ascii="宋体" w:hAnsi="宋体" w:cs="宋体"/>
          <w:szCs w:val="21"/>
        </w:rPr>
        <w:t>3</w:t>
      </w:r>
      <w:r>
        <w:rPr>
          <w:rFonts w:hint="eastAsia" w:ascii="宋体" w:hAnsi="宋体" w:cs="宋体"/>
          <w:szCs w:val="21"/>
        </w:rPr>
        <w:t>磋商小组要求供应商澄清、说明或者更正响应文件应当以书面形式作出。供应商的澄清、说明或者更正应当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w:t>
      </w:r>
      <w:r>
        <w:rPr>
          <w:rFonts w:ascii="宋体" w:hAnsi="宋体" w:cs="宋体"/>
          <w:szCs w:val="21"/>
        </w:rPr>
        <w:t>（</w:t>
      </w:r>
      <w:r>
        <w:rPr>
          <w:rFonts w:hint="eastAsia" w:ascii="宋体" w:hAnsi="宋体" w:cs="宋体"/>
          <w:szCs w:val="21"/>
        </w:rPr>
        <w:t>或CA电子签章）或者加盖公章</w:t>
      </w:r>
      <w:r>
        <w:rPr>
          <w:rFonts w:ascii="宋体" w:hAnsi="宋体" w:cs="宋体"/>
          <w:szCs w:val="21"/>
        </w:rPr>
        <w:t>（</w:t>
      </w:r>
      <w:r>
        <w:rPr>
          <w:rFonts w:hint="eastAsia" w:ascii="宋体" w:hAnsi="宋体" w:cs="宋体"/>
          <w:szCs w:val="21"/>
        </w:rPr>
        <w:t>或CA电子公章）。由委托代理人签字的，</w:t>
      </w:r>
      <w:r>
        <w:rPr>
          <w:rFonts w:hint="eastAsia" w:ascii="宋体" w:hAnsi="宋体" w:cs="宋体"/>
          <w:bCs/>
          <w:szCs w:val="21"/>
        </w:rPr>
        <w:t>若委托代理人不是响应文件中授权的委托代理人时，必须同时</w:t>
      </w:r>
      <w:r>
        <w:rPr>
          <w:rFonts w:hint="eastAsia" w:ascii="宋体" w:hAnsi="宋体" w:cs="宋体"/>
          <w:bCs/>
          <w:szCs w:val="21"/>
          <w:lang w:eastAsia="zh-Hans"/>
        </w:rPr>
        <w:t>提供</w:t>
      </w:r>
      <w:r>
        <w:rPr>
          <w:rFonts w:hint="eastAsia" w:ascii="宋体" w:hAnsi="宋体" w:cs="宋体"/>
          <w:bCs/>
          <w:szCs w:val="21"/>
        </w:rPr>
        <w:t>有效的法定代表人授权委托书原件</w:t>
      </w:r>
      <w:r>
        <w:rPr>
          <w:rFonts w:hint="eastAsia" w:ascii="宋体" w:hAnsi="宋体" w:cs="宋体"/>
          <w:spacing w:val="-6"/>
          <w:szCs w:val="21"/>
        </w:rPr>
        <w:t>。供应商为自然人的，必须由本人签字</w:t>
      </w:r>
      <w:r>
        <w:rPr>
          <w:rFonts w:ascii="宋体" w:hAnsi="宋体" w:cs="宋体"/>
          <w:szCs w:val="21"/>
        </w:rPr>
        <w:t>（</w:t>
      </w:r>
      <w:r>
        <w:rPr>
          <w:rFonts w:hint="eastAsia" w:ascii="宋体" w:hAnsi="宋体" w:cs="宋体"/>
          <w:szCs w:val="21"/>
        </w:rPr>
        <w:t>或CA电子签章）</w:t>
      </w:r>
      <w:r>
        <w:rPr>
          <w:rFonts w:hint="eastAsia" w:ascii="宋体" w:hAnsi="宋体" w:cs="宋体"/>
          <w:spacing w:val="-6"/>
          <w:szCs w:val="21"/>
        </w:rPr>
        <w:t>并附身份证明。</w:t>
      </w:r>
    </w:p>
    <w:p w14:paraId="6521998C">
      <w:pPr>
        <w:spacing w:line="400" w:lineRule="exact"/>
        <w:ind w:firstLine="396" w:firstLineChars="200"/>
        <w:rPr>
          <w:rFonts w:hint="eastAsia" w:ascii="宋体" w:hAnsi="宋体" w:cs="宋体"/>
          <w:szCs w:val="21"/>
        </w:rPr>
      </w:pPr>
      <w:r>
        <w:rPr>
          <w:rFonts w:ascii="宋体" w:hAnsi="宋体" w:cs="宋体"/>
          <w:spacing w:val="-6"/>
          <w:szCs w:val="21"/>
        </w:rPr>
        <w:t>2.4</w:t>
      </w:r>
      <w:r>
        <w:rPr>
          <w:rFonts w:hint="eastAsia" w:ascii="宋体" w:hAnsi="宋体" w:cs="宋体"/>
          <w:szCs w:val="21"/>
        </w:rPr>
        <w:t xml:space="preserve">首次响应文件报价出现前后不一致的，按照下列规定修正： </w:t>
      </w:r>
    </w:p>
    <w:p w14:paraId="08B853EB">
      <w:pPr>
        <w:spacing w:line="400" w:lineRule="exact"/>
        <w:ind w:firstLine="420" w:firstLineChars="200"/>
        <w:rPr>
          <w:rFonts w:hint="eastAsia" w:ascii="宋体" w:hAnsi="宋体" w:cs="宋体"/>
          <w:szCs w:val="21"/>
        </w:rPr>
      </w:pPr>
      <w:r>
        <w:rPr>
          <w:rFonts w:hint="eastAsia" w:ascii="宋体" w:hAnsi="宋体" w:cs="宋体"/>
          <w:szCs w:val="21"/>
        </w:rPr>
        <w:t>（1）响应文件中报价表内容与响应文件中相应内容不一致的，以报价表为准；</w:t>
      </w:r>
    </w:p>
    <w:p w14:paraId="7FB4B31E">
      <w:pPr>
        <w:spacing w:line="400" w:lineRule="exact"/>
        <w:ind w:firstLine="420" w:firstLineChars="200"/>
        <w:rPr>
          <w:rFonts w:hint="eastAsia" w:ascii="宋体" w:hAnsi="宋体" w:cs="宋体"/>
          <w:szCs w:val="21"/>
        </w:rPr>
      </w:pPr>
      <w:r>
        <w:rPr>
          <w:rFonts w:hint="eastAsia" w:ascii="宋体" w:hAnsi="宋体" w:cs="宋体"/>
          <w:szCs w:val="21"/>
        </w:rPr>
        <w:t>（2）大写金额和小写金额不一致的，以大写金额为准；</w:t>
      </w:r>
    </w:p>
    <w:p w14:paraId="098D9E1E">
      <w:pPr>
        <w:spacing w:line="400" w:lineRule="exact"/>
        <w:ind w:firstLine="420" w:firstLineChars="200"/>
        <w:rPr>
          <w:rFonts w:hint="eastAsia" w:ascii="宋体" w:hAnsi="宋体" w:cs="宋体"/>
          <w:szCs w:val="21"/>
        </w:rPr>
      </w:pPr>
      <w:r>
        <w:rPr>
          <w:rFonts w:hint="eastAsia" w:ascii="宋体" w:hAnsi="宋体" w:cs="宋体"/>
          <w:szCs w:val="21"/>
        </w:rPr>
        <w:t>（3）单价金额小数点或者百分比有明显错位的，以报价表的总价为准，并修改单价；</w:t>
      </w:r>
    </w:p>
    <w:p w14:paraId="15084297">
      <w:pPr>
        <w:spacing w:line="400" w:lineRule="exact"/>
        <w:ind w:firstLine="420" w:firstLineChars="200"/>
        <w:rPr>
          <w:rFonts w:hint="eastAsia" w:ascii="宋体" w:hAnsi="宋体" w:cs="宋体"/>
          <w:szCs w:val="21"/>
        </w:rPr>
      </w:pPr>
      <w:r>
        <w:rPr>
          <w:rFonts w:hint="eastAsia" w:ascii="宋体" w:hAnsi="宋体" w:cs="宋体"/>
          <w:szCs w:val="21"/>
        </w:rPr>
        <w:t>（4）总价金额与按单价汇总金额不一致的，以单价金额计算结果为准。</w:t>
      </w:r>
    </w:p>
    <w:p w14:paraId="43D1B8E2">
      <w:pPr>
        <w:spacing w:line="400" w:lineRule="exact"/>
        <w:ind w:firstLine="420" w:firstLineChars="200"/>
        <w:rPr>
          <w:rFonts w:hint="eastAsia" w:ascii="宋体" w:hAnsi="宋体" w:cs="宋体"/>
          <w:szCs w:val="21"/>
        </w:rPr>
      </w:pPr>
      <w:r>
        <w:rPr>
          <w:rFonts w:hint="eastAsia" w:ascii="宋体" w:hAnsi="宋体" w:cs="宋体"/>
          <w:szCs w:val="21"/>
        </w:rPr>
        <w:t>同时出现两种以上不一致的，按照以上（1）-（4）规定的顺序逐条进行修正。修正后的报价经供应商确认后产生约束力，供应商不确认的，其响应文件按无效响应处理。</w:t>
      </w:r>
    </w:p>
    <w:p w14:paraId="4A6E3663">
      <w:pPr>
        <w:spacing w:line="400" w:lineRule="exact"/>
        <w:ind w:firstLine="420" w:firstLineChars="200"/>
        <w:rPr>
          <w:rFonts w:hint="eastAsia" w:ascii="宋体" w:hAnsi="宋体" w:cs="宋体"/>
          <w:szCs w:val="21"/>
        </w:rPr>
      </w:pPr>
      <w:r>
        <w:rPr>
          <w:rFonts w:ascii="宋体" w:hAnsi="宋体" w:cs="宋体"/>
          <w:szCs w:val="21"/>
        </w:rPr>
        <w:t>2</w:t>
      </w:r>
      <w:r>
        <w:rPr>
          <w:rFonts w:hint="eastAsia" w:ascii="宋体" w:hAnsi="宋体" w:cs="宋体"/>
          <w:szCs w:val="21"/>
        </w:rPr>
        <w:t>.</w:t>
      </w:r>
      <w:r>
        <w:rPr>
          <w:rFonts w:ascii="宋体" w:hAnsi="宋体" w:cs="宋体"/>
          <w:szCs w:val="21"/>
        </w:rPr>
        <w:t>5</w:t>
      </w:r>
      <w:r>
        <w:rPr>
          <w:rFonts w:hint="eastAsia" w:ascii="宋体" w:hAnsi="宋体" w:cs="宋体"/>
          <w:szCs w:val="21"/>
        </w:rPr>
        <w:t>商务技术报价评审</w:t>
      </w:r>
    </w:p>
    <w:p w14:paraId="055BC6B1">
      <w:pPr>
        <w:spacing w:line="400" w:lineRule="exact"/>
        <w:ind w:firstLine="420" w:firstLineChars="200"/>
        <w:rPr>
          <w:rFonts w:ascii="宋体" w:hAnsi="宋体" w:cs="宋体"/>
          <w:szCs w:val="21"/>
        </w:rPr>
      </w:pPr>
      <w:r>
        <w:rPr>
          <w:rFonts w:hint="eastAsia" w:ascii="宋体" w:hAnsi="宋体" w:cs="宋体"/>
          <w:szCs w:val="21"/>
        </w:rPr>
        <w:t>（1）商务技术评审（在评审时，如发现下列情形之一的，将被视为该项文件无效）</w:t>
      </w:r>
    </w:p>
    <w:p w14:paraId="7B83CA90">
      <w:pPr>
        <w:spacing w:line="400" w:lineRule="exact"/>
        <w:ind w:firstLine="420" w:firstLineChars="200"/>
        <w:rPr>
          <w:rFonts w:hint="eastAsia" w:ascii="宋体" w:hAnsi="宋体" w:cs="宋体"/>
          <w:szCs w:val="21"/>
        </w:rPr>
      </w:pPr>
      <w:r>
        <w:rPr>
          <w:rFonts w:ascii="宋体" w:hAnsi="宋体" w:cs="宋体"/>
          <w:szCs w:val="21"/>
        </w:rPr>
        <w:t>1</w:t>
      </w:r>
      <w:r>
        <w:rPr>
          <w:rFonts w:hint="eastAsia" w:ascii="宋体" w:hAnsi="宋体" w:cs="宋体"/>
          <w:szCs w:val="21"/>
        </w:rPr>
        <w:t>）响应文件未按磋商文件要求签署、盖章；</w:t>
      </w:r>
    </w:p>
    <w:p w14:paraId="67F86514">
      <w:pPr>
        <w:spacing w:line="400" w:lineRule="exact"/>
        <w:ind w:firstLine="420" w:firstLineChars="200"/>
        <w:rPr>
          <w:rFonts w:hint="eastAsia" w:ascii="宋体" w:hAnsi="宋体" w:cs="宋体"/>
          <w:szCs w:val="21"/>
        </w:rPr>
      </w:pPr>
      <w:r>
        <w:rPr>
          <w:rFonts w:ascii="宋体" w:hAnsi="宋体" w:cs="宋体"/>
          <w:szCs w:val="21"/>
        </w:rPr>
        <w:t>2</w:t>
      </w:r>
      <w:r>
        <w:rPr>
          <w:rFonts w:hint="eastAsia" w:ascii="宋体" w:hAnsi="宋体" w:cs="宋体"/>
          <w:szCs w:val="21"/>
        </w:rPr>
        <w:t xml:space="preserve">）响应文件未提供或提供无效的 “供应商须知前附表”商务技术文件中要求提供的文件资料； </w:t>
      </w:r>
    </w:p>
    <w:p w14:paraId="2BE5F2F0">
      <w:pPr>
        <w:spacing w:line="400" w:lineRule="exact"/>
        <w:ind w:firstLine="420" w:firstLineChars="200"/>
        <w:rPr>
          <w:rFonts w:hint="eastAsia" w:ascii="宋体" w:hAnsi="宋体" w:cs="宋体"/>
          <w:szCs w:val="21"/>
        </w:rPr>
      </w:pPr>
      <w:r>
        <w:rPr>
          <w:rFonts w:ascii="宋体" w:hAnsi="宋体" w:cs="宋体"/>
          <w:szCs w:val="21"/>
        </w:rPr>
        <w:t>3</w:t>
      </w:r>
      <w:r>
        <w:rPr>
          <w:rFonts w:hint="eastAsia" w:ascii="宋体" w:hAnsi="宋体" w:cs="宋体"/>
          <w:szCs w:val="21"/>
        </w:rPr>
        <w:t>）响应文件的实质性内容未使用中文表述；</w:t>
      </w:r>
    </w:p>
    <w:p w14:paraId="2D331F04">
      <w:pPr>
        <w:spacing w:line="400" w:lineRule="exact"/>
        <w:ind w:firstLine="420" w:firstLineChars="200"/>
        <w:rPr>
          <w:rFonts w:hint="eastAsia" w:ascii="宋体" w:hAnsi="宋体" w:cs="宋体"/>
          <w:szCs w:val="21"/>
        </w:rPr>
      </w:pPr>
      <w:r>
        <w:rPr>
          <w:rFonts w:ascii="宋体" w:hAnsi="宋体" w:cs="宋体"/>
          <w:szCs w:val="21"/>
        </w:rPr>
        <w:t>4</w:t>
      </w:r>
      <w:r>
        <w:rPr>
          <w:rFonts w:hint="eastAsia" w:ascii="宋体" w:hAnsi="宋体" w:cs="宋体"/>
          <w:szCs w:val="21"/>
        </w:rPr>
        <w:t>）响应文件中的文件资料因填写不齐全或者内容虚假或者出现其他情形而导致被磋商小组认定无效；</w:t>
      </w:r>
    </w:p>
    <w:p w14:paraId="64B9D6F3">
      <w:pPr>
        <w:spacing w:line="400" w:lineRule="exact"/>
        <w:ind w:firstLine="420" w:firstLineChars="200"/>
        <w:rPr>
          <w:rFonts w:hint="eastAsia" w:ascii="宋体" w:hAnsi="宋体" w:cs="宋体"/>
          <w:szCs w:val="21"/>
        </w:rPr>
      </w:pPr>
      <w:r>
        <w:rPr>
          <w:rFonts w:ascii="宋体" w:hAnsi="宋体" w:cs="宋体"/>
          <w:szCs w:val="21"/>
        </w:rPr>
        <w:t>5</w:t>
      </w:r>
      <w:r>
        <w:rPr>
          <w:rFonts w:hint="eastAsia" w:ascii="宋体" w:hAnsi="宋体" w:cs="宋体"/>
          <w:szCs w:val="21"/>
        </w:rPr>
        <w:t>）响应文件含有采购人不能接受的附加条件；</w:t>
      </w:r>
    </w:p>
    <w:p w14:paraId="00EDD78C">
      <w:pPr>
        <w:spacing w:line="400" w:lineRule="exact"/>
        <w:ind w:firstLine="420" w:firstLineChars="200"/>
        <w:rPr>
          <w:rFonts w:hint="eastAsia" w:ascii="宋体" w:hAnsi="宋体" w:cs="宋体"/>
          <w:szCs w:val="21"/>
        </w:rPr>
      </w:pPr>
      <w:r>
        <w:rPr>
          <w:rFonts w:ascii="宋体" w:hAnsi="宋体" w:cs="宋体"/>
          <w:szCs w:val="21"/>
        </w:rPr>
        <w:t>6</w:t>
      </w:r>
      <w:r>
        <w:rPr>
          <w:rFonts w:hint="eastAsia" w:ascii="宋体" w:hAnsi="宋体" w:cs="宋体"/>
          <w:szCs w:val="21"/>
        </w:rPr>
        <w:t>）技术需求允许负偏离的条款数超过“供应商须知前附表”规定项数；</w:t>
      </w:r>
    </w:p>
    <w:p w14:paraId="1188975A">
      <w:pPr>
        <w:spacing w:line="400" w:lineRule="exact"/>
        <w:ind w:firstLine="420" w:firstLineChars="200"/>
        <w:rPr>
          <w:rFonts w:hint="eastAsia" w:ascii="宋体" w:hAnsi="宋体" w:cs="宋体"/>
          <w:szCs w:val="21"/>
        </w:rPr>
      </w:pPr>
      <w:r>
        <w:rPr>
          <w:rFonts w:ascii="宋体" w:hAnsi="宋体" w:cs="宋体"/>
          <w:szCs w:val="21"/>
        </w:rPr>
        <w:t>7</w:t>
      </w:r>
      <w:r>
        <w:rPr>
          <w:rFonts w:hint="eastAsia" w:ascii="宋体" w:hAnsi="宋体" w:cs="宋体"/>
          <w:szCs w:val="21"/>
        </w:rPr>
        <w:t>）虚假竞标，或者出现其他情形而导致被磋商小组认定无效；</w:t>
      </w:r>
    </w:p>
    <w:p w14:paraId="057ACB91">
      <w:pPr>
        <w:spacing w:line="400" w:lineRule="exact"/>
        <w:ind w:firstLine="420" w:firstLineChars="200"/>
        <w:rPr>
          <w:rFonts w:hint="eastAsia" w:ascii="宋体" w:hAnsi="宋体" w:cs="宋体"/>
          <w:szCs w:val="21"/>
        </w:rPr>
      </w:pPr>
      <w:r>
        <w:rPr>
          <w:rFonts w:ascii="宋体" w:hAnsi="宋体" w:cs="宋体"/>
          <w:szCs w:val="21"/>
        </w:rPr>
        <w:t>8</w:t>
      </w:r>
      <w:r>
        <w:rPr>
          <w:rFonts w:hint="eastAsia" w:ascii="宋体" w:hAnsi="宋体" w:cs="宋体"/>
          <w:szCs w:val="21"/>
        </w:rPr>
        <w:t>）竞标技术方案不明确，磋商文件未允许</w:t>
      </w:r>
      <w:r>
        <w:rPr>
          <w:rFonts w:hint="eastAsia" w:ascii="宋体" w:hAnsi="宋体"/>
          <w:szCs w:val="21"/>
        </w:rPr>
        <w:t>但响应文件中</w:t>
      </w:r>
      <w:r>
        <w:rPr>
          <w:rFonts w:hint="eastAsia" w:ascii="宋体" w:hAnsi="宋体" w:cs="宋体"/>
          <w:szCs w:val="21"/>
        </w:rPr>
        <w:t>存在一个或者一个以上备选（替代）竞标方案；</w:t>
      </w:r>
    </w:p>
    <w:p w14:paraId="58337066">
      <w:pPr>
        <w:spacing w:line="400" w:lineRule="exact"/>
        <w:ind w:firstLine="420" w:firstLineChars="200"/>
        <w:rPr>
          <w:rFonts w:hint="eastAsia" w:ascii="宋体" w:hAnsi="宋体" w:cs="宋体"/>
          <w:szCs w:val="21"/>
        </w:rPr>
      </w:pPr>
      <w:r>
        <w:rPr>
          <w:rFonts w:ascii="宋体" w:hAnsi="宋体" w:cs="宋体"/>
          <w:szCs w:val="21"/>
        </w:rPr>
        <w:t>9</w:t>
      </w:r>
      <w:r>
        <w:rPr>
          <w:rFonts w:hint="eastAsia" w:ascii="宋体" w:hAnsi="宋体" w:cs="宋体"/>
          <w:szCs w:val="21"/>
        </w:rPr>
        <w:t>）未响应商务技术文件的实质性要求；</w:t>
      </w:r>
    </w:p>
    <w:p w14:paraId="3F5EB8EF">
      <w:pPr>
        <w:spacing w:line="400" w:lineRule="exact"/>
        <w:ind w:firstLine="420" w:firstLineChars="200"/>
        <w:rPr>
          <w:rFonts w:hint="eastAsia" w:ascii="宋体" w:hAnsi="宋体" w:cs="宋体"/>
          <w:szCs w:val="21"/>
        </w:rPr>
      </w:pPr>
      <w:r>
        <w:rPr>
          <w:rFonts w:hint="eastAsia" w:ascii="宋体" w:hAnsi="宋体" w:cs="宋体"/>
          <w:szCs w:val="21"/>
        </w:rPr>
        <w:t>1</w:t>
      </w:r>
      <w:r>
        <w:rPr>
          <w:rFonts w:ascii="宋体" w:hAnsi="宋体" w:cs="宋体"/>
          <w:szCs w:val="21"/>
        </w:rPr>
        <w:t>0</w:t>
      </w:r>
      <w:r>
        <w:rPr>
          <w:rFonts w:hint="eastAsia" w:ascii="宋体" w:hAnsi="宋体" w:cs="宋体"/>
          <w:szCs w:val="21"/>
        </w:rPr>
        <w:t>）法律、法规和磋商文件规定的其他无效情形。</w:t>
      </w:r>
    </w:p>
    <w:p w14:paraId="02943252">
      <w:pPr>
        <w:spacing w:line="400" w:lineRule="exact"/>
        <w:ind w:firstLine="420" w:firstLineChars="200"/>
        <w:rPr>
          <w:rFonts w:hint="eastAsia"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）报价评审</w:t>
      </w:r>
    </w:p>
    <w:p w14:paraId="61262D9A">
      <w:pPr>
        <w:spacing w:line="400" w:lineRule="exact"/>
        <w:ind w:firstLine="420" w:firstLineChars="200"/>
        <w:rPr>
          <w:rFonts w:hint="eastAsia" w:ascii="宋体" w:hAnsi="宋体" w:cs="宋体"/>
          <w:szCs w:val="21"/>
        </w:rPr>
      </w:pPr>
      <w:r>
        <w:rPr>
          <w:rFonts w:hint="eastAsia" w:ascii="宋体" w:hAnsi="宋体" w:cs="宋体"/>
          <w:szCs w:val="21"/>
        </w:rPr>
        <w:t>1)</w:t>
      </w:r>
      <w:r>
        <w:rPr>
          <w:rFonts w:ascii="宋体" w:hAnsi="宋体" w:cs="宋体"/>
          <w:szCs w:val="21"/>
        </w:rPr>
        <w:t xml:space="preserve"> </w:t>
      </w:r>
      <w:r>
        <w:rPr>
          <w:rFonts w:hint="eastAsia" w:ascii="宋体" w:hAnsi="宋体" w:cs="宋体"/>
          <w:szCs w:val="21"/>
        </w:rPr>
        <w:t>响应文件未提供“供应商须知前附表” 报价文件中规定的“竞标报价表”；</w:t>
      </w:r>
    </w:p>
    <w:p w14:paraId="19F65C92">
      <w:pPr>
        <w:spacing w:line="400" w:lineRule="exact"/>
        <w:ind w:firstLine="420" w:firstLineChars="200"/>
        <w:rPr>
          <w:rFonts w:ascii="宋体" w:hAnsi="宋体" w:cs="宋体"/>
          <w:szCs w:val="21"/>
        </w:rPr>
      </w:pPr>
      <w:r>
        <w:rPr>
          <w:rFonts w:hint="eastAsia" w:ascii="宋体" w:hAnsi="宋体" w:cs="宋体"/>
          <w:szCs w:val="21"/>
        </w:rPr>
        <w:t>2）未采用人民币报价或者未按照磋商文件标明的币种报价</w:t>
      </w:r>
      <w:bookmarkStart w:id="200" w:name="_Hlk117870985"/>
      <w:r>
        <w:rPr>
          <w:rFonts w:hint="eastAsia" w:ascii="宋体" w:hAnsi="宋体" w:cs="宋体"/>
          <w:szCs w:val="21"/>
        </w:rPr>
        <w:t>；</w:t>
      </w:r>
      <w:bookmarkEnd w:id="200"/>
    </w:p>
    <w:p w14:paraId="31365D85">
      <w:pPr>
        <w:spacing w:line="400" w:lineRule="exact"/>
        <w:ind w:firstLine="420" w:firstLineChars="200"/>
        <w:rPr>
          <w:rFonts w:hint="eastAsia" w:ascii="宋体" w:hAnsi="宋体" w:cs="宋体"/>
          <w:szCs w:val="21"/>
        </w:rPr>
      </w:pPr>
      <w:r>
        <w:rPr>
          <w:rFonts w:hint="eastAsia" w:ascii="宋体" w:hAnsi="宋体" w:cs="宋体"/>
          <w:szCs w:val="21"/>
        </w:rPr>
        <w:t>3）未对竞标有效期作出响应或者响应文件承诺的竞标有效期不满足采购文件要求；</w:t>
      </w:r>
    </w:p>
    <w:p w14:paraId="6828D622">
      <w:pPr>
        <w:spacing w:line="400" w:lineRule="exact"/>
        <w:ind w:firstLine="420" w:firstLineChars="200"/>
        <w:rPr>
          <w:rFonts w:hint="eastAsia" w:ascii="宋体" w:hAnsi="宋体" w:cs="宋体"/>
          <w:szCs w:val="21"/>
        </w:rPr>
      </w:pPr>
      <w:r>
        <w:rPr>
          <w:rFonts w:ascii="宋体" w:hAnsi="宋体" w:cs="宋体"/>
          <w:szCs w:val="21"/>
        </w:rPr>
        <w:t>4</w:t>
      </w:r>
      <w:r>
        <w:rPr>
          <w:rFonts w:hint="eastAsia" w:ascii="宋体" w:hAnsi="宋体" w:cs="宋体"/>
          <w:szCs w:val="21"/>
        </w:rPr>
        <w:t>）供应商未就所竞标分标进行报价；供应商未就所竞标分标的单项内容作唯一报价；供应商未就所竞标分标的全部内容作唯一总价报价；供应商响应文件中存在有选择、有条件报价的（磋商文件允许有备选方案或者其他约定的除外）；</w:t>
      </w:r>
    </w:p>
    <w:p w14:paraId="10581C4A">
      <w:pPr>
        <w:spacing w:line="400" w:lineRule="exact"/>
        <w:ind w:firstLine="420" w:firstLineChars="200"/>
        <w:rPr>
          <w:rFonts w:hint="eastAsia" w:ascii="宋体" w:hAnsi="宋体" w:cs="宋体"/>
          <w:szCs w:val="21"/>
        </w:rPr>
      </w:pPr>
      <w:r>
        <w:rPr>
          <w:rFonts w:ascii="宋体" w:hAnsi="宋体" w:cs="宋体"/>
          <w:szCs w:val="21"/>
        </w:rPr>
        <w:t>5</w:t>
      </w:r>
      <w:r>
        <w:rPr>
          <w:rFonts w:hint="eastAsia" w:ascii="宋体" w:hAnsi="宋体" w:cs="宋体"/>
          <w:szCs w:val="21"/>
        </w:rPr>
        <w:t>）竞标报价（包含首次报价、最后报价）超过所竞标项目（分标）规定的采购预算金额或者最高限价的；</w:t>
      </w:r>
    </w:p>
    <w:p w14:paraId="3308A3A6">
      <w:pPr>
        <w:spacing w:line="400" w:lineRule="exact"/>
        <w:ind w:firstLine="420" w:firstLineChars="200"/>
        <w:rPr>
          <w:rFonts w:ascii="宋体" w:hAnsi="宋体" w:cs="宋体"/>
          <w:szCs w:val="21"/>
        </w:rPr>
      </w:pPr>
      <w:r>
        <w:rPr>
          <w:rFonts w:ascii="宋体" w:hAnsi="宋体" w:cs="宋体"/>
          <w:szCs w:val="21"/>
        </w:rPr>
        <w:t>6</w:t>
      </w:r>
      <w:r>
        <w:rPr>
          <w:rFonts w:hint="eastAsia" w:ascii="宋体" w:hAnsi="宋体" w:cs="宋体"/>
          <w:szCs w:val="21"/>
        </w:rPr>
        <w:t>）修正后的报价，供应商不确认的；或者经供应商确认修正后的竞标报价（包含首次报价、最后报价）超过所竞标分标规定的采购预算金额或者最高限价；或者经供应商确认修正后竞标报价（包含首次报价、最后报价）超过磋商文件分项采购预算金额或者最高限价的；</w:t>
      </w:r>
    </w:p>
    <w:p w14:paraId="687D367B">
      <w:pPr>
        <w:spacing w:line="400" w:lineRule="exact"/>
        <w:ind w:firstLine="420" w:firstLineChars="200"/>
        <w:rPr>
          <w:rFonts w:hint="eastAsia" w:ascii="宋体" w:hAnsi="宋体" w:cs="宋体"/>
          <w:szCs w:val="21"/>
        </w:rPr>
      </w:pPr>
      <w:r>
        <w:rPr>
          <w:rFonts w:ascii="宋体" w:hAnsi="宋体" w:cs="宋体"/>
          <w:szCs w:val="21"/>
        </w:rPr>
        <w:t>7</w:t>
      </w:r>
      <w:r>
        <w:rPr>
          <w:rFonts w:hint="eastAsia" w:ascii="宋体" w:hAnsi="宋体" w:cs="宋体"/>
          <w:szCs w:val="21"/>
        </w:rPr>
        <w:t>）未响应报价文件实质性要求。</w:t>
      </w:r>
    </w:p>
    <w:p w14:paraId="2AB9F12B">
      <w:pPr>
        <w:spacing w:line="400" w:lineRule="exact"/>
        <w:ind w:firstLine="420" w:firstLineChars="200"/>
        <w:rPr>
          <w:rFonts w:hint="eastAsia" w:ascii="宋体" w:hAnsi="宋体" w:cs="宋体"/>
          <w:szCs w:val="21"/>
        </w:rPr>
      </w:pPr>
      <w:r>
        <w:rPr>
          <w:rFonts w:ascii="宋体" w:hAnsi="宋体" w:cs="宋体"/>
          <w:szCs w:val="21"/>
        </w:rPr>
        <w:t>2.6</w:t>
      </w:r>
      <w:r>
        <w:rPr>
          <w:rFonts w:hint="eastAsia" w:ascii="宋体" w:hAnsi="宋体" w:cs="宋体"/>
          <w:szCs w:val="21"/>
        </w:rPr>
        <w:t>磋商小组对响应文件进行评审，未实质性响应磋商文件的响应文件按无效处理，由磋商小组告知有关供应商。磋商小组从符合磋商文件规定的相应资格条件的供应商名单中确定不少于3家的供应商参加磋商。</w:t>
      </w:r>
    </w:p>
    <w:p w14:paraId="105D5331">
      <w:pPr>
        <w:spacing w:line="400" w:lineRule="exact"/>
        <w:ind w:firstLine="420" w:firstLineChars="200"/>
        <w:rPr>
          <w:rFonts w:hint="eastAsia" w:ascii="宋体" w:hAnsi="宋体" w:cs="宋体"/>
          <w:szCs w:val="21"/>
        </w:rPr>
      </w:pPr>
      <w:r>
        <w:rPr>
          <w:rFonts w:ascii="宋体" w:hAnsi="宋体" w:cs="宋体"/>
          <w:szCs w:val="21"/>
        </w:rPr>
        <w:t>2.7</w:t>
      </w:r>
      <w:r>
        <w:rPr>
          <w:rFonts w:hint="eastAsia" w:ascii="宋体" w:hAnsi="宋体"/>
          <w:szCs w:val="21"/>
        </w:rPr>
        <w:t>通过符合性审查的合格供应商不足3家的，不得进入磋商环节，采购人或者采购代理机构应当重新开展采购活动。</w:t>
      </w:r>
    </w:p>
    <w:p w14:paraId="58143EF9">
      <w:pPr>
        <w:spacing w:line="400" w:lineRule="exact"/>
        <w:ind w:firstLine="422" w:firstLineChars="200"/>
        <w:rPr>
          <w:rFonts w:hint="eastAsia" w:ascii="宋体" w:hAnsi="宋体" w:cs="宋体"/>
          <w:b/>
          <w:bCs/>
          <w:szCs w:val="21"/>
        </w:rPr>
      </w:pPr>
      <w:r>
        <w:rPr>
          <w:rFonts w:hint="eastAsia" w:ascii="宋体" w:hAnsi="宋体" w:cs="宋体"/>
          <w:b/>
          <w:bCs/>
          <w:szCs w:val="21"/>
        </w:rPr>
        <w:t>3</w:t>
      </w:r>
      <w:r>
        <w:rPr>
          <w:rFonts w:ascii="宋体" w:hAnsi="宋体" w:cs="宋体"/>
          <w:b/>
          <w:bCs/>
          <w:szCs w:val="21"/>
        </w:rPr>
        <w:t>.</w:t>
      </w:r>
      <w:r>
        <w:rPr>
          <w:rFonts w:hint="eastAsia" w:ascii="宋体" w:hAnsi="宋体" w:cs="宋体"/>
          <w:b/>
          <w:bCs/>
          <w:szCs w:val="21"/>
        </w:rPr>
        <w:t>磋商</w:t>
      </w:r>
    </w:p>
    <w:p w14:paraId="5DA37FA1">
      <w:pPr>
        <w:spacing w:line="400" w:lineRule="exact"/>
        <w:ind w:firstLine="420" w:firstLineChars="200"/>
        <w:rPr>
          <w:rFonts w:ascii="宋体" w:hAnsi="宋体" w:cs="宋体"/>
          <w:kern w:val="0"/>
          <w:szCs w:val="21"/>
        </w:rPr>
      </w:pPr>
      <w:r>
        <w:rPr>
          <w:rFonts w:ascii="宋体" w:hAnsi="宋体" w:cs="宋体"/>
          <w:kern w:val="0"/>
          <w:szCs w:val="21"/>
        </w:rPr>
        <w:t>3</w:t>
      </w:r>
      <w:r>
        <w:rPr>
          <w:rFonts w:hint="eastAsia" w:ascii="宋体" w:hAnsi="宋体" w:cs="宋体"/>
          <w:kern w:val="0"/>
          <w:szCs w:val="21"/>
        </w:rPr>
        <w:t>.磋商的程序</w:t>
      </w:r>
    </w:p>
    <w:p w14:paraId="2C09612E">
      <w:pPr>
        <w:spacing w:line="400" w:lineRule="exact"/>
        <w:ind w:firstLine="420" w:firstLineChars="200"/>
        <w:rPr>
          <w:rFonts w:hint="eastAsia" w:ascii="宋体" w:hAnsi="宋体" w:cs="宋体"/>
          <w:kern w:val="0"/>
          <w:szCs w:val="21"/>
        </w:rPr>
      </w:pPr>
      <w:r>
        <w:rPr>
          <w:rFonts w:hint="eastAsia" w:ascii="宋体" w:hAnsi="宋体" w:cs="宋体"/>
          <w:kern w:val="0"/>
          <w:szCs w:val="21"/>
        </w:rPr>
        <w:t>3</w:t>
      </w:r>
      <w:r>
        <w:rPr>
          <w:rFonts w:ascii="宋体" w:hAnsi="宋体" w:cs="宋体"/>
          <w:kern w:val="0"/>
          <w:szCs w:val="21"/>
        </w:rPr>
        <w:t>.1</w:t>
      </w:r>
      <w:r>
        <w:rPr>
          <w:rFonts w:hint="eastAsia" w:ascii="宋体" w:hAnsi="宋体" w:cs="宋体"/>
          <w:kern w:val="0"/>
          <w:szCs w:val="21"/>
        </w:rPr>
        <w:t>磋商小组按照“供应商须知前附表”确定的</w:t>
      </w:r>
      <w:r>
        <w:rPr>
          <w:rFonts w:hint="eastAsia" w:ascii="宋体" w:hAnsi="宋体" w:cs="宋体"/>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089E8D56">
      <w:pPr>
        <w:spacing w:line="400" w:lineRule="exact"/>
        <w:ind w:firstLine="420" w:firstLineChars="200"/>
        <w:rPr>
          <w:rFonts w:hint="eastAsia" w:ascii="宋体" w:hAnsi="宋体" w:cs="宋体"/>
          <w:szCs w:val="21"/>
        </w:rPr>
      </w:pPr>
      <w:r>
        <w:rPr>
          <w:rFonts w:ascii="宋体" w:hAnsi="宋体" w:cs="宋体"/>
          <w:szCs w:val="21"/>
        </w:rPr>
        <w:t>3.2</w:t>
      </w:r>
      <w:r>
        <w:rPr>
          <w:rFonts w:hint="eastAsia" w:ascii="宋体" w:hAnsi="宋体" w:cs="宋体"/>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1B0852FF">
      <w:pPr>
        <w:spacing w:line="400" w:lineRule="exact"/>
        <w:ind w:firstLine="420" w:firstLineChars="200"/>
        <w:rPr>
          <w:rFonts w:hint="eastAsia" w:ascii="宋体" w:hAnsi="宋体" w:cs="宋体"/>
          <w:szCs w:val="21"/>
        </w:rPr>
      </w:pPr>
      <w:r>
        <w:rPr>
          <w:rFonts w:ascii="宋体" w:hAnsi="宋体" w:cs="宋体"/>
          <w:szCs w:val="21"/>
        </w:rPr>
        <w:t>3.3</w:t>
      </w:r>
      <w:r>
        <w:rPr>
          <w:rFonts w:hint="eastAsia" w:ascii="宋体" w:hAnsi="宋体" w:cs="宋体"/>
          <w:szCs w:val="21"/>
        </w:rPr>
        <w:t>对磋商文件作出的实质性变动是磋商文件的有效组成部分，由磋商小组及时以书面形式同时通知所有参加磋商的供应商。</w:t>
      </w:r>
    </w:p>
    <w:p w14:paraId="6DB68C69">
      <w:pPr>
        <w:spacing w:line="400" w:lineRule="exact"/>
        <w:ind w:firstLine="420" w:firstLineChars="200"/>
        <w:rPr>
          <w:rFonts w:hint="eastAsia" w:ascii="宋体" w:hAnsi="宋体" w:cs="宋体"/>
          <w:szCs w:val="21"/>
        </w:rPr>
      </w:pPr>
      <w:r>
        <w:rPr>
          <w:rFonts w:ascii="宋体" w:hAnsi="宋体" w:cs="宋体"/>
          <w:szCs w:val="21"/>
        </w:rPr>
        <w:t>3.4</w:t>
      </w:r>
      <w:r>
        <w:rPr>
          <w:rFonts w:hint="eastAsia" w:ascii="宋体" w:hAnsi="宋体" w:cs="宋体"/>
          <w:szCs w:val="21"/>
        </w:rPr>
        <w:t>供应商必须按照磋商文件的变动情况和磋商小组的要求重新提交响应文件，并由其法定代表人或者授权代表签字或者加盖公章。由委托代理人签字的，</w:t>
      </w:r>
      <w:r>
        <w:rPr>
          <w:rFonts w:hint="eastAsia" w:ascii="宋体" w:hAnsi="宋体" w:cs="宋体"/>
          <w:bCs/>
          <w:szCs w:val="21"/>
        </w:rPr>
        <w:t>若委托代理人不是响应文件中授权的委托代理人时，必须同时出示有效的法定代表人授权委托书原件</w:t>
      </w:r>
      <w:r>
        <w:rPr>
          <w:rFonts w:hint="eastAsia" w:ascii="宋体" w:hAnsi="宋体" w:cs="宋体"/>
          <w:szCs w:val="21"/>
        </w:rPr>
        <w:t>。供应商为自然人的，必须由本人签字并附身份证明。参加磋商的供应商未在规定时间内重新提交响应文件的，视同退出磋商。</w:t>
      </w:r>
    </w:p>
    <w:p w14:paraId="5E267A53">
      <w:pPr>
        <w:spacing w:line="400" w:lineRule="exact"/>
        <w:ind w:firstLine="420" w:firstLineChars="200"/>
        <w:rPr>
          <w:rFonts w:hint="eastAsia" w:ascii="宋体" w:hAnsi="宋体" w:cs="宋体"/>
          <w:szCs w:val="21"/>
        </w:rPr>
      </w:pPr>
      <w:r>
        <w:rPr>
          <w:rFonts w:ascii="宋体" w:hAnsi="宋体" w:cs="宋体"/>
          <w:szCs w:val="21"/>
        </w:rPr>
        <w:t>3.5</w:t>
      </w:r>
      <w:r>
        <w:rPr>
          <w:rFonts w:hint="eastAsia" w:ascii="宋体" w:hAnsi="宋体" w:cs="宋体"/>
          <w:szCs w:val="21"/>
        </w:rPr>
        <w:t>磋商中，</w:t>
      </w:r>
      <w:r>
        <w:rPr>
          <w:rFonts w:hint="eastAsia" w:ascii="宋体" w:hAnsi="宋体" w:cs="宋体"/>
          <w:spacing w:val="-6"/>
          <w:szCs w:val="21"/>
        </w:rPr>
        <w:t>磋商的任何一方不得透露与磋商有关的其他供应商的技术资料、价格和其他信息。</w:t>
      </w:r>
    </w:p>
    <w:p w14:paraId="2802DC80">
      <w:pPr>
        <w:widowControl/>
        <w:tabs>
          <w:tab w:val="left" w:pos="540"/>
        </w:tabs>
        <w:spacing w:line="400" w:lineRule="exact"/>
        <w:ind w:firstLine="420" w:firstLineChars="200"/>
        <w:jc w:val="left"/>
        <w:rPr>
          <w:rFonts w:hint="eastAsia" w:ascii="宋体" w:hAnsi="宋体" w:cs="宋体"/>
          <w:szCs w:val="21"/>
        </w:rPr>
      </w:pPr>
      <w:r>
        <w:rPr>
          <w:rFonts w:ascii="宋体" w:hAnsi="宋体" w:cs="宋体"/>
          <w:szCs w:val="21"/>
        </w:rPr>
        <w:t>3.6</w:t>
      </w:r>
      <w:r>
        <w:rPr>
          <w:rFonts w:hint="eastAsia" w:ascii="宋体" w:hAnsi="宋体" w:cs="宋体"/>
          <w:szCs w:val="21"/>
        </w:rPr>
        <w:t>采购代理机构对磋商过程和重要磋商内容进行记录，磋商双方在记录上签字确认。</w:t>
      </w:r>
    </w:p>
    <w:p w14:paraId="2FF81567">
      <w:pPr>
        <w:widowControl/>
        <w:tabs>
          <w:tab w:val="left" w:pos="540"/>
        </w:tabs>
        <w:spacing w:line="400" w:lineRule="exact"/>
        <w:ind w:firstLine="420" w:firstLineChars="200"/>
        <w:jc w:val="left"/>
        <w:rPr>
          <w:rFonts w:ascii="宋体" w:hAnsi="宋体" w:cs="宋体"/>
          <w:szCs w:val="21"/>
        </w:rPr>
      </w:pPr>
      <w:r>
        <w:rPr>
          <w:rFonts w:ascii="宋体" w:hAnsi="宋体" w:cs="宋体"/>
          <w:szCs w:val="21"/>
        </w:rPr>
        <w:t>3.7</w:t>
      </w:r>
      <w:r>
        <w:rPr>
          <w:rFonts w:hint="eastAsia" w:ascii="宋体" w:hAnsi="宋体" w:cs="宋体"/>
          <w:szCs w:val="21"/>
        </w:rPr>
        <w:t>磋商过程中重新提交的响应文件，供应商可以在开启前补充、修改。</w:t>
      </w:r>
    </w:p>
    <w:p w14:paraId="77B7FC15">
      <w:pPr>
        <w:tabs>
          <w:tab w:val="left" w:pos="2835"/>
        </w:tabs>
        <w:spacing w:line="400" w:lineRule="exact"/>
        <w:ind w:firstLine="420" w:firstLineChars="200"/>
        <w:rPr>
          <w:rFonts w:hint="eastAsia" w:ascii="宋体" w:hAnsi="宋体" w:cs="宋体"/>
          <w:szCs w:val="21"/>
        </w:rPr>
      </w:pPr>
      <w:r>
        <w:rPr>
          <w:rFonts w:ascii="宋体" w:hAnsi="宋体" w:cs="宋体"/>
          <w:szCs w:val="21"/>
        </w:rPr>
        <w:t>3.8</w:t>
      </w:r>
      <w:r>
        <w:rPr>
          <w:rFonts w:hint="eastAsia" w:ascii="宋体" w:hAnsi="宋体"/>
          <w:szCs w:val="21"/>
        </w:rPr>
        <w:t>对磋商过程提交的响应文件进行有效性、完整性和响应程度审查，通过审查的合格供应商不足3家的，采购人或者采购代理机构应当重新开展采购活动。</w:t>
      </w:r>
    </w:p>
    <w:p w14:paraId="7F980744">
      <w:pPr>
        <w:spacing w:line="400" w:lineRule="exact"/>
        <w:ind w:firstLine="422" w:firstLineChars="200"/>
        <w:rPr>
          <w:rFonts w:ascii="宋体" w:hAnsi="宋体" w:cs="宋体"/>
          <w:szCs w:val="21"/>
        </w:rPr>
      </w:pPr>
      <w:r>
        <w:rPr>
          <w:rFonts w:ascii="宋体" w:hAnsi="宋体" w:cs="宋体"/>
          <w:b/>
          <w:bCs/>
          <w:szCs w:val="21"/>
        </w:rPr>
        <w:t>4.</w:t>
      </w:r>
      <w:r>
        <w:rPr>
          <w:rFonts w:hint="eastAsia" w:ascii="宋体" w:hAnsi="宋体" w:cs="宋体"/>
          <w:b/>
          <w:bCs/>
          <w:szCs w:val="21"/>
        </w:rPr>
        <w:t xml:space="preserve"> 最后报价</w:t>
      </w:r>
    </w:p>
    <w:p w14:paraId="26E7A8CE">
      <w:pPr>
        <w:spacing w:line="400" w:lineRule="exact"/>
        <w:ind w:firstLine="420" w:firstLineChars="200"/>
        <w:rPr>
          <w:rFonts w:ascii="宋体" w:hAnsi="宋体" w:cs="宋体"/>
          <w:szCs w:val="21"/>
        </w:rPr>
      </w:pPr>
      <w:r>
        <w:rPr>
          <w:rFonts w:hint="eastAsia" w:ascii="宋体" w:hAnsi="宋体" w:cs="宋体"/>
          <w:szCs w:val="21"/>
        </w:rPr>
        <w:t>4</w:t>
      </w:r>
      <w:r>
        <w:rPr>
          <w:rFonts w:ascii="宋体" w:hAnsi="宋体" w:cs="宋体"/>
          <w:szCs w:val="21"/>
        </w:rPr>
        <w:t>.1</w:t>
      </w:r>
      <w:r>
        <w:rPr>
          <w:rFonts w:hint="eastAsia" w:ascii="宋体" w:hAnsi="宋体" w:cs="宋体"/>
          <w:szCs w:val="21"/>
        </w:rPr>
        <w:t>磋商文件能够详细列明采购标的的技术、服务要求的，磋商结束后，由磋商小组要求所有继续参加磋商的供应商在规定时间内提交最后报价，提交最后报价的供应商不得少于3家，除本章第</w:t>
      </w:r>
      <w:r>
        <w:rPr>
          <w:rFonts w:ascii="宋体" w:hAnsi="宋体" w:cs="宋体"/>
          <w:szCs w:val="21"/>
        </w:rPr>
        <w:t>4.3</w:t>
      </w:r>
      <w:r>
        <w:rPr>
          <w:rFonts w:hint="eastAsia" w:ascii="宋体" w:hAnsi="宋体" w:cs="宋体"/>
          <w:szCs w:val="21"/>
        </w:rPr>
        <w:t>条外，否则必须重新采购。</w:t>
      </w:r>
    </w:p>
    <w:p w14:paraId="6072A104">
      <w:pPr>
        <w:spacing w:line="400" w:lineRule="exact"/>
        <w:ind w:firstLine="420" w:firstLineChars="200"/>
        <w:rPr>
          <w:rFonts w:ascii="宋体" w:hAnsi="宋体" w:cs="宋体"/>
          <w:szCs w:val="21"/>
        </w:rPr>
      </w:pPr>
      <w:r>
        <w:rPr>
          <w:rFonts w:hint="eastAsia" w:ascii="宋体" w:hAnsi="宋体" w:cs="宋体"/>
          <w:szCs w:val="21"/>
        </w:rPr>
        <w:t>4</w:t>
      </w:r>
      <w:r>
        <w:rPr>
          <w:rFonts w:ascii="宋体" w:hAnsi="宋体" w:cs="宋体"/>
          <w:szCs w:val="21"/>
        </w:rPr>
        <w:t>.2</w:t>
      </w:r>
      <w:r>
        <w:rPr>
          <w:rFonts w:hint="eastAsia" w:ascii="宋体" w:hAnsi="宋体" w:cs="宋体"/>
          <w:szCs w:val="21"/>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提交最后报价。</w:t>
      </w:r>
    </w:p>
    <w:p w14:paraId="287BD60A">
      <w:pPr>
        <w:spacing w:line="400" w:lineRule="exact"/>
        <w:ind w:firstLine="420" w:firstLineChars="200"/>
        <w:rPr>
          <w:rFonts w:hint="eastAsia" w:ascii="宋体" w:hAnsi="宋体" w:cs="宋体"/>
          <w:szCs w:val="21"/>
        </w:rPr>
      </w:pPr>
      <w:r>
        <w:rPr>
          <w:rFonts w:ascii="宋体" w:hAnsi="宋体" w:cs="宋体"/>
          <w:szCs w:val="21"/>
        </w:rPr>
        <w:t>4.3</w:t>
      </w:r>
      <w:r>
        <w:rPr>
          <w:rFonts w:hint="eastAsia" w:ascii="宋体" w:hAnsi="宋体" w:cs="宋体"/>
          <w:szCs w:val="21"/>
        </w:rPr>
        <w:t xml:space="preserve">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9BFB746">
      <w:pPr>
        <w:spacing w:line="400" w:lineRule="exact"/>
        <w:ind w:firstLine="420" w:firstLineChars="200"/>
        <w:rPr>
          <w:rFonts w:hint="eastAsia" w:ascii="宋体" w:hAnsi="宋体" w:cs="宋体"/>
          <w:szCs w:val="21"/>
        </w:rPr>
      </w:pPr>
      <w:r>
        <w:rPr>
          <w:rFonts w:ascii="宋体" w:hAnsi="宋体" w:cs="宋体"/>
          <w:szCs w:val="21"/>
        </w:rPr>
        <w:t>4.4</w:t>
      </w:r>
      <w:r>
        <w:rPr>
          <w:rFonts w:hint="eastAsia" w:ascii="宋体" w:hAnsi="宋体" w:cs="宋体"/>
          <w:szCs w:val="21"/>
        </w:rPr>
        <w:t>已经提交响应文件的供应商，在提交最后报价之前，可以根据磋商情况退出磋商，退出磋商的供应商的响应文件按无效响应处理。采购人、采购代理机构将退还退出磋商的供应商的保证金。</w:t>
      </w:r>
    </w:p>
    <w:p w14:paraId="63D6F71B">
      <w:pPr>
        <w:spacing w:line="400" w:lineRule="exact"/>
        <w:ind w:firstLine="420" w:firstLineChars="200"/>
        <w:rPr>
          <w:rFonts w:ascii="宋体" w:hAnsi="宋体" w:cs="宋体"/>
          <w:szCs w:val="21"/>
        </w:rPr>
      </w:pPr>
      <w:r>
        <w:rPr>
          <w:rFonts w:ascii="宋体" w:hAnsi="宋体" w:cs="宋体"/>
          <w:szCs w:val="21"/>
        </w:rPr>
        <w:t>4.5</w:t>
      </w:r>
      <w:r>
        <w:rPr>
          <w:rFonts w:hint="eastAsia" w:ascii="宋体" w:hAnsi="宋体" w:cs="宋体"/>
          <w:szCs w:val="21"/>
        </w:rPr>
        <w:t>供应商未在规定时间内提交最后报价的，视同退出磋商。</w:t>
      </w:r>
    </w:p>
    <w:p w14:paraId="7F21FE9A">
      <w:pPr>
        <w:spacing w:line="400" w:lineRule="exact"/>
        <w:ind w:firstLine="420" w:firstLineChars="200"/>
        <w:rPr>
          <w:rFonts w:hint="eastAsia" w:ascii="宋体" w:hAnsi="宋体" w:cs="宋体"/>
          <w:szCs w:val="21"/>
        </w:rPr>
      </w:pPr>
      <w:r>
        <w:rPr>
          <w:rFonts w:ascii="宋体" w:hAnsi="宋体" w:cs="宋体"/>
          <w:szCs w:val="21"/>
        </w:rPr>
        <w:t>4.6</w:t>
      </w:r>
      <w:r>
        <w:rPr>
          <w:rFonts w:hint="eastAsia" w:ascii="宋体" w:hAnsi="宋体" w:cs="宋体"/>
          <w:szCs w:val="21"/>
        </w:rPr>
        <w:t>磋商小组收齐某一分标最后报价后统一开启，磋商小组对最后报价进行有效性、完整性和响应程度的审查。</w:t>
      </w:r>
    </w:p>
    <w:p w14:paraId="1EEC4CD0">
      <w:pPr>
        <w:spacing w:line="400" w:lineRule="exact"/>
        <w:ind w:firstLine="420" w:firstLineChars="200"/>
        <w:rPr>
          <w:rFonts w:hint="eastAsia" w:ascii="宋体" w:hAnsi="宋体" w:cs="宋体"/>
          <w:szCs w:val="21"/>
        </w:rPr>
      </w:pPr>
      <w:r>
        <w:rPr>
          <w:rFonts w:ascii="宋体" w:hAnsi="宋体" w:cs="宋体"/>
          <w:szCs w:val="21"/>
        </w:rPr>
        <w:t>4.7</w:t>
      </w:r>
      <w:r>
        <w:rPr>
          <w:rFonts w:hint="eastAsia" w:ascii="宋体" w:hAnsi="宋体" w:cs="宋体"/>
          <w:szCs w:val="21"/>
        </w:rPr>
        <w:t>响应文件最后报价出现前后不一致的，按照本章第</w:t>
      </w:r>
      <w:r>
        <w:rPr>
          <w:rFonts w:ascii="宋体" w:hAnsi="宋体" w:cs="宋体"/>
          <w:szCs w:val="21"/>
        </w:rPr>
        <w:t>2.4</w:t>
      </w:r>
      <w:r>
        <w:rPr>
          <w:rFonts w:hint="eastAsia" w:ascii="宋体" w:hAnsi="宋体" w:cs="宋体"/>
          <w:szCs w:val="21"/>
        </w:rPr>
        <w:t xml:space="preserve">条的规定修正。 </w:t>
      </w:r>
    </w:p>
    <w:p w14:paraId="38F55829">
      <w:pPr>
        <w:spacing w:line="400" w:lineRule="exact"/>
        <w:ind w:firstLine="420" w:firstLineChars="200"/>
        <w:rPr>
          <w:rFonts w:ascii="宋体" w:hAnsi="宋体" w:cs="宋体"/>
          <w:szCs w:val="21"/>
        </w:rPr>
      </w:pPr>
      <w:r>
        <w:rPr>
          <w:rFonts w:ascii="宋体" w:hAnsi="宋体" w:cs="宋体"/>
          <w:szCs w:val="21"/>
        </w:rPr>
        <w:t>4.8</w:t>
      </w:r>
      <w:r>
        <w:rPr>
          <w:rFonts w:hint="eastAsia" w:ascii="宋体" w:hAnsi="宋体" w:cs="宋体"/>
          <w:szCs w:val="21"/>
        </w:rPr>
        <w:t>修正后的报价出现下列情形的，按无效响应处理：</w:t>
      </w:r>
    </w:p>
    <w:p w14:paraId="3D56D5B8">
      <w:pPr>
        <w:spacing w:line="400" w:lineRule="exact"/>
        <w:ind w:firstLine="420" w:firstLineChars="200"/>
        <w:rPr>
          <w:rFonts w:ascii="宋体" w:hAnsi="宋体" w:cs="宋体"/>
          <w:szCs w:val="21"/>
        </w:rPr>
      </w:pPr>
      <w:r>
        <w:rPr>
          <w:rFonts w:hint="eastAsia" w:ascii="宋体" w:hAnsi="宋体" w:cs="宋体"/>
          <w:szCs w:val="21"/>
        </w:rPr>
        <w:t>（1）供应商不确认的；</w:t>
      </w:r>
    </w:p>
    <w:p w14:paraId="32DB1F4C">
      <w:pPr>
        <w:spacing w:line="400" w:lineRule="exact"/>
        <w:ind w:firstLine="420" w:firstLineChars="200"/>
        <w:rPr>
          <w:rFonts w:ascii="宋体" w:hAnsi="宋体" w:cs="宋体"/>
          <w:szCs w:val="21"/>
        </w:rPr>
      </w:pPr>
      <w:r>
        <w:rPr>
          <w:rFonts w:hint="eastAsia" w:ascii="宋体" w:hAnsi="宋体" w:cs="宋体"/>
          <w:szCs w:val="21"/>
        </w:rPr>
        <w:t>（2）经供应商确认修正后的竞标报价（包含首次报价、最后报价）超过所竞标项目（分标）规定的采购预算金额或者最高限价的；</w:t>
      </w:r>
    </w:p>
    <w:p w14:paraId="067EAB99">
      <w:pPr>
        <w:spacing w:line="400" w:lineRule="exact"/>
        <w:ind w:firstLine="422" w:firstLineChars="200"/>
        <w:rPr>
          <w:rFonts w:hint="eastAsia" w:ascii="宋体" w:hAnsi="宋体" w:cs="宋体"/>
          <w:szCs w:val="21"/>
        </w:rPr>
      </w:pPr>
      <w:r>
        <w:rPr>
          <w:rFonts w:ascii="宋体" w:hAnsi="宋体" w:cs="宋体"/>
          <w:b/>
          <w:bCs/>
          <w:szCs w:val="21"/>
        </w:rPr>
        <w:t>4.9</w:t>
      </w:r>
      <w:r>
        <w:rPr>
          <w:rFonts w:hint="eastAsia" w:ascii="宋体" w:hAnsi="宋体" w:cs="宋体"/>
          <w:b/>
          <w:bCs/>
          <w:szCs w:val="21"/>
        </w:rPr>
        <w:t>经供应商确认修正后的最后报价作为评审及签订合同的依据</w:t>
      </w:r>
      <w:r>
        <w:rPr>
          <w:rFonts w:hint="eastAsia" w:ascii="宋体" w:hAnsi="宋体"/>
          <w:b/>
          <w:szCs w:val="21"/>
        </w:rPr>
        <w:t>，并以此报价计算价格分。</w:t>
      </w:r>
    </w:p>
    <w:p w14:paraId="7B127204">
      <w:pPr>
        <w:spacing w:line="400" w:lineRule="exact"/>
        <w:ind w:firstLine="420" w:firstLineChars="200"/>
        <w:rPr>
          <w:rFonts w:hint="eastAsia" w:ascii="宋体" w:hAnsi="宋体" w:cs="宋体"/>
          <w:szCs w:val="21"/>
        </w:rPr>
      </w:pPr>
      <w:r>
        <w:rPr>
          <w:rFonts w:ascii="宋体" w:hAnsi="宋体" w:cs="宋体"/>
          <w:szCs w:val="21"/>
        </w:rPr>
        <w:t>4.10</w:t>
      </w:r>
      <w:r>
        <w:rPr>
          <w:rFonts w:hint="eastAsia" w:ascii="宋体" w:hAnsi="宋体" w:cs="宋体"/>
          <w:szCs w:val="21"/>
        </w:rPr>
        <w:t>最后报价结束后，磋商小组不得再与供应商进行任何形式的商谈。</w:t>
      </w:r>
    </w:p>
    <w:p w14:paraId="1D931138">
      <w:pPr>
        <w:spacing w:line="400" w:lineRule="exact"/>
        <w:ind w:firstLine="422" w:firstLineChars="200"/>
        <w:rPr>
          <w:rFonts w:ascii="宋体" w:hAnsi="宋体" w:cs="宋体"/>
          <w:b/>
          <w:bCs/>
          <w:szCs w:val="21"/>
        </w:rPr>
      </w:pPr>
      <w:r>
        <w:rPr>
          <w:rFonts w:hint="eastAsia" w:ascii="宋体" w:hAnsi="宋体" w:cs="宋体"/>
          <w:b/>
          <w:bCs/>
          <w:szCs w:val="21"/>
        </w:rPr>
        <w:t>5</w:t>
      </w:r>
      <w:r>
        <w:rPr>
          <w:rFonts w:ascii="宋体" w:hAnsi="宋体" w:cs="宋体"/>
          <w:b/>
          <w:bCs/>
          <w:szCs w:val="21"/>
        </w:rPr>
        <w:t>.</w:t>
      </w:r>
      <w:r>
        <w:rPr>
          <w:rFonts w:hint="eastAsia" w:ascii="宋体" w:hAnsi="宋体" w:cs="宋体"/>
          <w:b/>
          <w:bCs/>
          <w:szCs w:val="21"/>
        </w:rPr>
        <w:t>比较与评价</w:t>
      </w:r>
    </w:p>
    <w:p w14:paraId="7FF3F1F4">
      <w:pPr>
        <w:spacing w:line="400" w:lineRule="exact"/>
        <w:ind w:firstLine="420" w:firstLineChars="200"/>
        <w:rPr>
          <w:rFonts w:hint="eastAsia" w:ascii="宋体" w:hAnsi="宋体" w:cs="宋体"/>
          <w:szCs w:val="21"/>
        </w:rPr>
      </w:pPr>
      <w:r>
        <w:rPr>
          <w:rFonts w:ascii="宋体" w:hAnsi="宋体" w:cs="宋体"/>
          <w:szCs w:val="21"/>
        </w:rPr>
        <w:t>5.1</w:t>
      </w:r>
      <w:r>
        <w:rPr>
          <w:rFonts w:hint="eastAsia" w:ascii="宋体" w:hAnsi="宋体" w:cs="宋体"/>
          <w:szCs w:val="21"/>
        </w:rPr>
        <w:t>评审方法：综合评分法。</w:t>
      </w:r>
    </w:p>
    <w:p w14:paraId="5177CD23">
      <w:pPr>
        <w:spacing w:line="400" w:lineRule="exact"/>
        <w:ind w:firstLine="420" w:firstLineChars="200"/>
        <w:rPr>
          <w:rFonts w:hint="eastAsia" w:ascii="宋体" w:hAnsi="宋体" w:cs="宋体"/>
          <w:szCs w:val="21"/>
        </w:rPr>
      </w:pPr>
      <w:r>
        <w:rPr>
          <w:rFonts w:ascii="宋体" w:hAnsi="宋体" w:cs="宋体"/>
          <w:szCs w:val="21"/>
        </w:rPr>
        <w:t>5.2</w:t>
      </w:r>
      <w:r>
        <w:rPr>
          <w:rFonts w:hint="eastAsia" w:ascii="宋体" w:hAnsi="宋体" w:cs="宋体"/>
          <w:szCs w:val="21"/>
        </w:rPr>
        <w:t>经磋商确定最终采购需求和提交最后报价的供应商后，由磋商小组采用综合评分法对提交最后报价的供应商的响应文件和最后报价进行综合评分。</w:t>
      </w:r>
    </w:p>
    <w:p w14:paraId="795A58DD">
      <w:pPr>
        <w:spacing w:line="400" w:lineRule="exact"/>
        <w:ind w:firstLine="420" w:firstLineChars="200"/>
        <w:rPr>
          <w:rFonts w:hint="eastAsia" w:ascii="宋体" w:hAnsi="宋体" w:cs="宋体"/>
          <w:szCs w:val="21"/>
        </w:rPr>
      </w:pPr>
      <w:r>
        <w:rPr>
          <w:rFonts w:ascii="宋体" w:hAnsi="宋体" w:cs="宋体"/>
          <w:szCs w:val="21"/>
        </w:rPr>
        <w:t>5.3</w:t>
      </w:r>
      <w:r>
        <w:rPr>
          <w:rFonts w:hint="eastAsia" w:ascii="宋体" w:hAnsi="宋体" w:cs="宋体"/>
          <w:szCs w:val="21"/>
        </w:rPr>
        <w:t>评审时，磋商小组各成员应当独立对每个有效响应的文件进行评价、打分，然后汇总每个供应商每项评分因素的得分。</w:t>
      </w:r>
    </w:p>
    <w:p w14:paraId="0B586CDC">
      <w:pPr>
        <w:spacing w:line="400" w:lineRule="exact"/>
        <w:ind w:firstLine="420" w:firstLineChars="200"/>
        <w:rPr>
          <w:rFonts w:ascii="宋体" w:hAnsi="宋体" w:cs="宋体"/>
          <w:szCs w:val="21"/>
        </w:rPr>
      </w:pPr>
      <w:r>
        <w:rPr>
          <w:rFonts w:ascii="宋体" w:hAnsi="宋体" w:cs="宋体"/>
          <w:szCs w:val="21"/>
        </w:rPr>
        <w:t>5.4</w:t>
      </w:r>
      <w:r>
        <w:rPr>
          <w:rFonts w:hint="eastAsia" w:ascii="宋体" w:hAnsi="宋体" w:cs="宋体"/>
          <w:szCs w:val="21"/>
        </w:rPr>
        <w:t>评审价为供应商的最后报价进行政策性扣除后的价格，评审价只是作为评审时使用。最终成交供应商的成交金额等于最后报价（如有修正，以确认修正后的最后报价为准）。</w:t>
      </w:r>
    </w:p>
    <w:p w14:paraId="5C7A2473">
      <w:pPr>
        <w:spacing w:line="400" w:lineRule="exact"/>
        <w:ind w:firstLine="420" w:firstLineChars="200"/>
        <w:rPr>
          <w:rFonts w:hint="eastAsia" w:ascii="宋体" w:hAnsi="宋体"/>
          <w:kern w:val="0"/>
          <w:szCs w:val="21"/>
        </w:rPr>
      </w:pPr>
      <w:r>
        <w:rPr>
          <w:rFonts w:ascii="宋体" w:hAnsi="宋体" w:cs="宋体"/>
          <w:szCs w:val="21"/>
        </w:rPr>
        <w:t>5.5</w:t>
      </w:r>
      <w:r>
        <w:rPr>
          <w:rFonts w:hint="eastAsia" w:ascii="宋体" w:hAnsi="宋体" w:cs="宋体"/>
          <w:szCs w:val="21"/>
        </w:rPr>
        <w:t>由磋商小组根据综合评分情况，按照评审得分由高到低顺序推荐3名以上成交候选供应商，并编写评</w:t>
      </w:r>
      <w:r>
        <w:rPr>
          <w:rFonts w:hint="eastAsia" w:ascii="宋体" w:hAnsi="宋体"/>
          <w:kern w:val="0"/>
          <w:szCs w:val="21"/>
        </w:rPr>
        <w:t>审报告。符合本章第</w:t>
      </w:r>
      <w:r>
        <w:rPr>
          <w:rFonts w:ascii="宋体" w:hAnsi="宋体"/>
          <w:kern w:val="0"/>
          <w:szCs w:val="21"/>
        </w:rPr>
        <w:t>4.3</w:t>
      </w:r>
      <w:r>
        <w:rPr>
          <w:rFonts w:hint="eastAsia" w:ascii="宋体" w:hAnsi="宋体"/>
          <w:kern w:val="0"/>
          <w:szCs w:val="21"/>
        </w:rPr>
        <w:t>条情形的，可以推荐2家成交候选供应商。评审得分相同的，按照最后报价由低到高的顺序推荐。评审得分且最后报价相同的，按照技术指标优劣顺序推荐。</w:t>
      </w:r>
    </w:p>
    <w:p w14:paraId="3A3B05A9">
      <w:pPr>
        <w:spacing w:line="400" w:lineRule="exact"/>
        <w:ind w:firstLine="420" w:firstLineChars="200"/>
        <w:rPr>
          <w:rFonts w:hint="eastAsia" w:ascii="宋体" w:hAnsi="宋体" w:cs="宋体"/>
          <w:szCs w:val="21"/>
        </w:rPr>
      </w:pPr>
      <w:r>
        <w:rPr>
          <w:rFonts w:ascii="宋体" w:hAnsi="宋体"/>
          <w:kern w:val="0"/>
          <w:szCs w:val="21"/>
        </w:rPr>
        <w:t>5.6</w:t>
      </w:r>
      <w:r>
        <w:rPr>
          <w:rFonts w:hint="eastAsia" w:ascii="宋体" w:hAnsi="宋体"/>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82854DF">
      <w:pPr>
        <w:spacing w:line="400" w:lineRule="exact"/>
        <w:jc w:val="center"/>
        <w:rPr>
          <w:rFonts w:hint="eastAsia" w:ascii="宋体" w:hAnsi="宋体"/>
          <w:b/>
          <w:szCs w:val="21"/>
        </w:rPr>
        <w:sectPr>
          <w:footerReference r:id="rId6" w:type="first"/>
          <w:footerReference r:id="rId5" w:type="default"/>
          <w:pgSz w:w="11906" w:h="16838"/>
          <w:pgMar w:top="1440" w:right="1440" w:bottom="1440" w:left="1587" w:header="851" w:footer="992" w:gutter="0"/>
          <w:cols w:space="720" w:num="1"/>
          <w:docGrid w:type="lines" w:linePitch="312" w:charSpace="0"/>
        </w:sectPr>
      </w:pPr>
    </w:p>
    <w:p w14:paraId="3F76FE95">
      <w:pPr>
        <w:pStyle w:val="2"/>
        <w:rPr>
          <w:rFonts w:ascii="宋体" w:hAnsi="宋体"/>
        </w:rPr>
      </w:pPr>
      <w:bookmarkStart w:id="201" w:name="_Toc5406"/>
      <w:bookmarkStart w:id="202" w:name="_Toc2051"/>
      <w:bookmarkStart w:id="203" w:name="_Toc117860081"/>
      <w:r>
        <w:rPr>
          <w:rFonts w:hint="eastAsia" w:ascii="宋体" w:hAnsi="宋体"/>
        </w:rPr>
        <w:t>二、评审标准</w:t>
      </w:r>
      <w:bookmarkEnd w:id="201"/>
      <w:bookmarkEnd w:id="202"/>
      <w:bookmarkEnd w:id="203"/>
    </w:p>
    <w:p w14:paraId="5F7D6B26">
      <w:pPr>
        <w:spacing w:line="400" w:lineRule="exact"/>
        <w:ind w:firstLine="420" w:firstLineChars="200"/>
        <w:rPr>
          <w:rFonts w:ascii="宋体" w:hAnsi="宋体"/>
          <w:bCs/>
          <w:szCs w:val="21"/>
        </w:rPr>
      </w:pPr>
      <w:r>
        <w:rPr>
          <w:rFonts w:hint="eastAsia" w:ascii="宋体" w:hAnsi="宋体"/>
          <w:bCs/>
          <w:szCs w:val="21"/>
        </w:rPr>
        <w:t>6</w:t>
      </w:r>
      <w:r>
        <w:rPr>
          <w:rFonts w:ascii="宋体" w:hAnsi="宋体"/>
          <w:bCs/>
          <w:szCs w:val="21"/>
        </w:rPr>
        <w:t>.</w:t>
      </w:r>
      <w:r>
        <w:rPr>
          <w:rFonts w:hint="eastAsia" w:ascii="宋体" w:hAnsi="宋体"/>
          <w:bCs/>
          <w:szCs w:val="21"/>
        </w:rPr>
        <w:t>评审依据：磋商小组将以磋商响应文件为评审依据，对供应商的报价、商务、技术等方面内容打分。（计分方法按四舍五入取至百分位）</w:t>
      </w:r>
    </w:p>
    <w:p w14:paraId="1128B63B">
      <w:pPr>
        <w:spacing w:line="400" w:lineRule="exact"/>
        <w:ind w:firstLine="420" w:firstLineChars="200"/>
        <w:rPr>
          <w:rFonts w:hint="eastAsia" w:ascii="宋体" w:hAnsi="宋体"/>
          <w:bCs/>
          <w:szCs w:val="21"/>
        </w:rPr>
      </w:pPr>
      <w:r>
        <w:rPr>
          <w:rFonts w:hint="eastAsia" w:ascii="宋体" w:hAnsi="宋体"/>
          <w:bCs/>
          <w:szCs w:val="21"/>
        </w:rPr>
        <w:t>7</w:t>
      </w:r>
      <w:r>
        <w:rPr>
          <w:rFonts w:ascii="宋体" w:hAnsi="宋体"/>
          <w:bCs/>
          <w:szCs w:val="21"/>
        </w:rPr>
        <w:t>.</w:t>
      </w:r>
      <w:r>
        <w:rPr>
          <w:rFonts w:hint="eastAsia" w:ascii="宋体" w:hAnsi="宋体"/>
          <w:bCs/>
          <w:szCs w:val="21"/>
        </w:rPr>
        <w:t>本项目专门面向中小企业采购，专门面向中小企业预留份额为100%，根据财库[2020]46号文规定，不再执行价格评审优惠的扶持政策。</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993"/>
        <w:gridCol w:w="6860"/>
      </w:tblGrid>
      <w:tr w14:paraId="52D7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1242" w:type="dxa"/>
            <w:noWrap w:val="0"/>
            <w:vAlign w:val="center"/>
          </w:tcPr>
          <w:p w14:paraId="180CAA9C">
            <w:pPr>
              <w:autoSpaceDE w:val="0"/>
              <w:autoSpaceDN w:val="0"/>
              <w:adjustRightInd w:val="0"/>
              <w:spacing w:line="400" w:lineRule="exact"/>
              <w:jc w:val="center"/>
              <w:rPr>
                <w:rFonts w:hint="eastAsia" w:ascii="宋体" w:hAnsi="宋体" w:cs="宋体"/>
                <w:kern w:val="0"/>
                <w:szCs w:val="21"/>
              </w:rPr>
            </w:pPr>
            <w:r>
              <w:rPr>
                <w:rFonts w:hint="eastAsia" w:ascii="宋体" w:hAnsi="宋体" w:cs="宋体"/>
                <w:kern w:val="0"/>
                <w:szCs w:val="21"/>
              </w:rPr>
              <w:t>报价分（ 满分</w:t>
            </w:r>
            <w:r>
              <w:rPr>
                <w:rFonts w:hint="eastAsia" w:ascii="宋体" w:hAnsi="宋体" w:cs="宋体"/>
                <w:kern w:val="0"/>
                <w:szCs w:val="21"/>
                <w:lang w:val="en-US" w:eastAsia="zh-CN"/>
              </w:rPr>
              <w:t>2</w:t>
            </w:r>
            <w:r>
              <w:rPr>
                <w:rFonts w:ascii="宋体" w:hAnsi="宋体" w:cs="宋体"/>
                <w:kern w:val="0"/>
                <w:szCs w:val="21"/>
              </w:rPr>
              <w:t>0</w:t>
            </w:r>
            <w:r>
              <w:rPr>
                <w:rFonts w:hint="eastAsia" w:ascii="宋体" w:hAnsi="宋体" w:cs="宋体"/>
                <w:kern w:val="0"/>
                <w:szCs w:val="21"/>
              </w:rPr>
              <w:t>分）</w:t>
            </w:r>
          </w:p>
        </w:tc>
        <w:tc>
          <w:tcPr>
            <w:tcW w:w="7853" w:type="dxa"/>
            <w:gridSpan w:val="2"/>
            <w:noWrap w:val="0"/>
            <w:vAlign w:val="center"/>
          </w:tcPr>
          <w:p w14:paraId="0FBDF4F9">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（1）以进入评审的最低的评标价为</w:t>
            </w:r>
            <w:r>
              <w:rPr>
                <w:rFonts w:hint="eastAsia" w:ascii="宋体" w:hAnsi="宋体" w:cs="宋体"/>
                <w:kern w:val="0"/>
                <w:szCs w:val="21"/>
                <w:lang w:val="en-US" w:eastAsia="zh-CN"/>
              </w:rPr>
              <w:t>2</w:t>
            </w:r>
            <w:r>
              <w:rPr>
                <w:rFonts w:hint="eastAsia" w:ascii="宋体" w:hAnsi="宋体" w:cs="宋体"/>
                <w:kern w:val="0"/>
                <w:szCs w:val="21"/>
              </w:rPr>
              <w:t>0分。</w:t>
            </w:r>
          </w:p>
          <w:p w14:paraId="6BCCC15E">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（2）某有效供应商价格得分=有效供应商最低评标价/某供应商的最后报价×</w:t>
            </w:r>
            <w:r>
              <w:rPr>
                <w:rFonts w:hint="eastAsia" w:ascii="宋体" w:hAnsi="宋体" w:cs="宋体"/>
                <w:kern w:val="0"/>
                <w:szCs w:val="21"/>
                <w:lang w:val="en-US" w:eastAsia="zh-CN"/>
              </w:rPr>
              <w:t>2</w:t>
            </w:r>
            <w:r>
              <w:rPr>
                <w:rFonts w:hint="eastAsia" w:ascii="宋体" w:hAnsi="宋体" w:cs="宋体"/>
                <w:kern w:val="0"/>
                <w:szCs w:val="21"/>
              </w:rPr>
              <w:t>0分</w:t>
            </w:r>
          </w:p>
        </w:tc>
      </w:tr>
      <w:tr w14:paraId="1F5B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restart"/>
            <w:noWrap w:val="0"/>
            <w:vAlign w:val="center"/>
          </w:tcPr>
          <w:p w14:paraId="74C9F6C5">
            <w:pPr>
              <w:autoSpaceDE w:val="0"/>
              <w:autoSpaceDN w:val="0"/>
              <w:adjustRightInd w:val="0"/>
              <w:spacing w:line="400" w:lineRule="exact"/>
              <w:jc w:val="center"/>
              <w:rPr>
                <w:rFonts w:ascii="宋体" w:hAnsi="宋体" w:cs="宋体"/>
                <w:kern w:val="0"/>
                <w:szCs w:val="21"/>
              </w:rPr>
            </w:pPr>
            <w:r>
              <w:rPr>
                <w:rFonts w:hint="eastAsia" w:ascii="宋体" w:hAnsi="宋体" w:cs="宋体"/>
                <w:kern w:val="0"/>
                <w:szCs w:val="21"/>
              </w:rPr>
              <w:t>技术分（满分</w:t>
            </w:r>
            <w:r>
              <w:rPr>
                <w:rFonts w:hint="eastAsia" w:ascii="宋体" w:hAnsi="宋体" w:cs="宋体"/>
                <w:kern w:val="0"/>
                <w:szCs w:val="21"/>
                <w:lang w:val="en-US" w:eastAsia="zh-CN"/>
              </w:rPr>
              <w:t>74</w:t>
            </w:r>
            <w:r>
              <w:rPr>
                <w:rFonts w:hint="eastAsia" w:ascii="宋体" w:hAnsi="宋体" w:cs="宋体"/>
                <w:kern w:val="0"/>
                <w:szCs w:val="21"/>
              </w:rPr>
              <w:t>分）</w:t>
            </w:r>
          </w:p>
        </w:tc>
        <w:tc>
          <w:tcPr>
            <w:tcW w:w="7853" w:type="dxa"/>
            <w:gridSpan w:val="2"/>
            <w:noWrap w:val="0"/>
            <w:vAlign w:val="center"/>
          </w:tcPr>
          <w:p w14:paraId="65E7D600">
            <w:pPr>
              <w:spacing w:line="400" w:lineRule="exact"/>
              <w:jc w:val="both"/>
              <w:rPr>
                <w:rFonts w:hint="eastAsia" w:ascii="宋体" w:hAnsi="宋体" w:cs="宋体"/>
                <w:kern w:val="0"/>
                <w:szCs w:val="21"/>
              </w:rPr>
            </w:pPr>
            <w:r>
              <w:rPr>
                <w:rFonts w:hint="eastAsia" w:ascii="宋体" w:hAnsi="宋体" w:cs="宋体"/>
                <w:szCs w:val="21"/>
              </w:rPr>
              <w:t>评审因素：</w:t>
            </w:r>
            <w:r>
              <w:rPr>
                <w:rFonts w:hint="eastAsia" w:ascii="宋体" w:hAnsi="宋体" w:cs="宋体"/>
                <w:szCs w:val="21"/>
                <w:lang w:eastAsia="zh-CN"/>
              </w:rPr>
              <w:t>磋商小组</w:t>
            </w:r>
            <w:r>
              <w:rPr>
                <w:rFonts w:hint="eastAsia" w:ascii="宋体" w:hAnsi="宋体" w:cs="宋体"/>
                <w:szCs w:val="21"/>
              </w:rPr>
              <w:t>根据各供应商提供的技术部分内容进行横向比对，综合评定、统一确定各投标人</w:t>
            </w:r>
            <w:r>
              <w:rPr>
                <w:rFonts w:hint="eastAsia" w:ascii="宋体" w:hAnsi="宋体" w:cs="宋体"/>
                <w:szCs w:val="21"/>
                <w:lang w:val="en-US" w:eastAsia="zh-CN"/>
              </w:rPr>
              <w:t>定</w:t>
            </w:r>
            <w:r>
              <w:rPr>
                <w:rFonts w:hint="eastAsia" w:ascii="宋体" w:hAnsi="宋体" w:cs="宋体"/>
                <w:szCs w:val="21"/>
              </w:rPr>
              <w:t>档划分，各评委在相应的档次内独立打分，未达到低档分值要求的可计零分。</w:t>
            </w:r>
          </w:p>
        </w:tc>
      </w:tr>
      <w:tr w14:paraId="0F329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noWrap w:val="0"/>
            <w:vAlign w:val="center"/>
          </w:tcPr>
          <w:p w14:paraId="64D027FF">
            <w:pPr>
              <w:autoSpaceDE w:val="0"/>
              <w:autoSpaceDN w:val="0"/>
              <w:adjustRightInd w:val="0"/>
              <w:spacing w:line="400" w:lineRule="exact"/>
              <w:jc w:val="center"/>
              <w:rPr>
                <w:rFonts w:ascii="宋体" w:hAnsi="宋体" w:cs="宋体"/>
                <w:kern w:val="0"/>
                <w:szCs w:val="21"/>
              </w:rPr>
            </w:pPr>
          </w:p>
        </w:tc>
        <w:tc>
          <w:tcPr>
            <w:tcW w:w="993" w:type="dxa"/>
            <w:noWrap w:val="0"/>
            <w:vAlign w:val="center"/>
          </w:tcPr>
          <w:p w14:paraId="48DBFD40">
            <w:pPr>
              <w:autoSpaceDE w:val="0"/>
              <w:autoSpaceDN w:val="0"/>
              <w:adjustRightInd w:val="0"/>
              <w:spacing w:line="400" w:lineRule="exact"/>
              <w:jc w:val="left"/>
              <w:rPr>
                <w:rFonts w:ascii="宋体" w:hAnsi="宋体" w:cs="宋体"/>
                <w:kern w:val="0"/>
                <w:szCs w:val="21"/>
              </w:rPr>
            </w:pPr>
            <w:r>
              <w:rPr>
                <w:rFonts w:hint="eastAsia" w:ascii="宋体" w:hAnsi="宋体" w:cs="宋体"/>
                <w:kern w:val="0"/>
                <w:szCs w:val="21"/>
              </w:rPr>
              <w:t>主要施工方法（满分</w:t>
            </w:r>
            <w:r>
              <w:rPr>
                <w:rFonts w:hint="eastAsia" w:ascii="宋体" w:hAnsi="宋体" w:cs="宋体"/>
                <w:kern w:val="0"/>
                <w:szCs w:val="21"/>
                <w:lang w:val="en-US" w:eastAsia="zh-CN"/>
              </w:rPr>
              <w:t>10</w:t>
            </w:r>
            <w:r>
              <w:rPr>
                <w:rFonts w:hint="eastAsia" w:ascii="宋体" w:hAnsi="宋体" w:cs="宋体"/>
                <w:kern w:val="0"/>
                <w:szCs w:val="21"/>
              </w:rPr>
              <w:t>分）</w:t>
            </w:r>
          </w:p>
        </w:tc>
        <w:tc>
          <w:tcPr>
            <w:tcW w:w="6860" w:type="dxa"/>
            <w:noWrap w:val="0"/>
            <w:vAlign w:val="top"/>
          </w:tcPr>
          <w:p w14:paraId="6C51C0F3">
            <w:pPr>
              <w:spacing w:line="400" w:lineRule="exact"/>
              <w:jc w:val="left"/>
              <w:rPr>
                <w:rFonts w:hint="eastAsia" w:ascii="宋体" w:hAnsi="宋体" w:cs="宋体"/>
                <w:kern w:val="0"/>
                <w:szCs w:val="21"/>
              </w:rPr>
            </w:pPr>
            <w:r>
              <w:rPr>
                <w:rFonts w:hint="eastAsia" w:ascii="宋体" w:hAnsi="宋体" w:cs="宋体"/>
                <w:kern w:val="0"/>
                <w:szCs w:val="21"/>
              </w:rPr>
              <w:t>各主要分部施工方法符合项目实际，须有详尽的施工技术方案，工艺先进、方法科学合理、可行，能指导具体施工并确保安全。</w:t>
            </w:r>
          </w:p>
          <w:p w14:paraId="06C4A8A6">
            <w:pPr>
              <w:spacing w:line="400" w:lineRule="exact"/>
              <w:jc w:val="left"/>
              <w:rPr>
                <w:rFonts w:hint="eastAsia" w:ascii="宋体" w:hAnsi="宋体" w:cs="宋体"/>
                <w:kern w:val="0"/>
                <w:szCs w:val="21"/>
              </w:rPr>
            </w:pPr>
            <w:r>
              <w:rPr>
                <w:rFonts w:hint="eastAsia" w:ascii="宋体" w:hAnsi="宋体" w:cs="宋体"/>
                <w:kern w:val="0"/>
                <w:szCs w:val="21"/>
              </w:rPr>
              <w:t>一档（1分）：各主要分部施工方法针对性差，施工技术方案差，工艺落后、方法不合理，不能指导具体施工和确保安全；</w:t>
            </w:r>
          </w:p>
          <w:p w14:paraId="078EB756">
            <w:pPr>
              <w:spacing w:line="400" w:lineRule="exact"/>
              <w:jc w:val="left"/>
              <w:rPr>
                <w:rFonts w:hint="eastAsia" w:ascii="宋体" w:hAnsi="宋体" w:cs="宋体"/>
                <w:kern w:val="0"/>
                <w:szCs w:val="21"/>
              </w:rPr>
            </w:pPr>
            <w:r>
              <w:rPr>
                <w:rFonts w:hint="eastAsia" w:ascii="宋体" w:hAnsi="宋体" w:cs="宋体"/>
                <w:kern w:val="0"/>
                <w:szCs w:val="21"/>
              </w:rPr>
              <w:t>二档（</w:t>
            </w:r>
            <w:r>
              <w:rPr>
                <w:rFonts w:ascii="宋体" w:hAnsi="宋体" w:cs="宋体"/>
                <w:kern w:val="0"/>
                <w:szCs w:val="21"/>
              </w:rPr>
              <w:t>3</w:t>
            </w:r>
            <w:r>
              <w:rPr>
                <w:rFonts w:hint="eastAsia" w:ascii="宋体" w:hAnsi="宋体" w:cs="宋体"/>
                <w:kern w:val="0"/>
                <w:szCs w:val="21"/>
              </w:rPr>
              <w:t>分）：各主要分部施工方法基本符合项目实际，施工技术方案基本齐全，方法基本合理、基本可行，基本能指导具体施工并确保安全；</w:t>
            </w:r>
          </w:p>
          <w:p w14:paraId="20847511">
            <w:pPr>
              <w:spacing w:line="400" w:lineRule="exact"/>
              <w:jc w:val="left"/>
              <w:rPr>
                <w:rFonts w:hint="eastAsia" w:ascii="宋体" w:hAnsi="宋体" w:cs="宋体"/>
                <w:kern w:val="0"/>
                <w:szCs w:val="21"/>
              </w:rPr>
            </w:pPr>
            <w:r>
              <w:rPr>
                <w:rFonts w:hint="eastAsia" w:ascii="宋体" w:hAnsi="宋体" w:cs="宋体"/>
                <w:kern w:val="0"/>
                <w:szCs w:val="21"/>
              </w:rPr>
              <w:t>三档（</w:t>
            </w:r>
            <w:r>
              <w:rPr>
                <w:rFonts w:ascii="宋体" w:hAnsi="宋体" w:cs="宋体"/>
                <w:kern w:val="0"/>
                <w:szCs w:val="21"/>
              </w:rPr>
              <w:t>5</w:t>
            </w:r>
            <w:r>
              <w:rPr>
                <w:rFonts w:hint="eastAsia" w:ascii="宋体" w:hAnsi="宋体" w:cs="宋体"/>
                <w:kern w:val="0"/>
                <w:szCs w:val="21"/>
              </w:rPr>
              <w:t>分）：各主要分部施工方法符合项目实际，施工技术方案齐全，工艺成熟、方法合理、可行，能指导具体施工并确保安全；</w:t>
            </w:r>
          </w:p>
          <w:p w14:paraId="28558EFE">
            <w:pPr>
              <w:spacing w:line="400" w:lineRule="exact"/>
              <w:jc w:val="left"/>
              <w:rPr>
                <w:rFonts w:hint="eastAsia" w:ascii="宋体" w:hAnsi="宋体" w:cs="宋体"/>
                <w:kern w:val="0"/>
                <w:szCs w:val="21"/>
              </w:rPr>
            </w:pPr>
            <w:r>
              <w:rPr>
                <w:rFonts w:hint="eastAsia" w:ascii="宋体" w:hAnsi="宋体" w:cs="宋体"/>
                <w:kern w:val="0"/>
                <w:szCs w:val="21"/>
              </w:rPr>
              <w:t>四档（</w:t>
            </w:r>
            <w:r>
              <w:rPr>
                <w:rFonts w:hint="eastAsia" w:ascii="宋体" w:hAnsi="宋体" w:cs="宋体"/>
                <w:kern w:val="0"/>
                <w:szCs w:val="21"/>
                <w:lang w:val="en-US" w:eastAsia="zh-CN"/>
              </w:rPr>
              <w:t>10</w:t>
            </w:r>
            <w:r>
              <w:rPr>
                <w:rFonts w:hint="eastAsia" w:ascii="宋体" w:hAnsi="宋体" w:cs="宋体"/>
                <w:kern w:val="0"/>
                <w:szCs w:val="21"/>
              </w:rPr>
              <w:t>分）：各主要分部施工方法针对性强，施工技术方案详尽周密，工艺先进、方法科学、可行，能很好的指导具体施工并确保安全；</w:t>
            </w:r>
          </w:p>
        </w:tc>
      </w:tr>
      <w:tr w14:paraId="2F86A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2" w:type="dxa"/>
            <w:vMerge w:val="continue"/>
            <w:noWrap w:val="0"/>
            <w:vAlign w:val="center"/>
          </w:tcPr>
          <w:p w14:paraId="3242AAF1">
            <w:pPr>
              <w:autoSpaceDE w:val="0"/>
              <w:autoSpaceDN w:val="0"/>
              <w:adjustRightInd w:val="0"/>
              <w:spacing w:line="400" w:lineRule="exact"/>
              <w:jc w:val="center"/>
              <w:rPr>
                <w:rFonts w:ascii="宋体" w:hAnsi="宋体" w:cs="宋体"/>
                <w:kern w:val="0"/>
                <w:szCs w:val="21"/>
              </w:rPr>
            </w:pPr>
          </w:p>
        </w:tc>
        <w:tc>
          <w:tcPr>
            <w:tcW w:w="993" w:type="dxa"/>
            <w:noWrap w:val="0"/>
            <w:vAlign w:val="center"/>
          </w:tcPr>
          <w:p w14:paraId="0C516875">
            <w:pPr>
              <w:autoSpaceDE w:val="0"/>
              <w:autoSpaceDN w:val="0"/>
              <w:adjustRightInd w:val="0"/>
              <w:spacing w:line="400" w:lineRule="exact"/>
              <w:jc w:val="left"/>
              <w:rPr>
                <w:rFonts w:ascii="宋体" w:hAnsi="宋体" w:cs="宋体"/>
                <w:kern w:val="0"/>
                <w:szCs w:val="21"/>
              </w:rPr>
            </w:pPr>
            <w:r>
              <w:rPr>
                <w:rFonts w:hint="eastAsia" w:ascii="宋体" w:hAnsi="宋体" w:cs="宋体"/>
                <w:kern w:val="0"/>
                <w:szCs w:val="21"/>
              </w:rPr>
              <w:t>拟投入的主要物资计划（满分</w:t>
            </w:r>
            <w:r>
              <w:rPr>
                <w:rFonts w:hint="eastAsia" w:ascii="宋体" w:hAnsi="宋体" w:cs="宋体"/>
                <w:kern w:val="0"/>
                <w:szCs w:val="21"/>
                <w:lang w:val="en-US" w:eastAsia="zh-CN"/>
              </w:rPr>
              <w:t>10</w:t>
            </w:r>
            <w:r>
              <w:rPr>
                <w:rFonts w:hint="eastAsia" w:ascii="宋体" w:hAnsi="宋体" w:cs="宋体"/>
                <w:kern w:val="0"/>
                <w:szCs w:val="21"/>
              </w:rPr>
              <w:t>分）</w:t>
            </w:r>
          </w:p>
        </w:tc>
        <w:tc>
          <w:tcPr>
            <w:tcW w:w="6860" w:type="dxa"/>
            <w:noWrap w:val="0"/>
            <w:vAlign w:val="top"/>
          </w:tcPr>
          <w:p w14:paraId="01AAA854">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投入的施工材料有详细的组织计划且计划周密，数量、选型配置、进场时间安排合理，满足施工需要。</w:t>
            </w:r>
          </w:p>
          <w:p w14:paraId="493B1534">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一档（</w:t>
            </w:r>
            <w:r>
              <w:rPr>
                <w:rFonts w:ascii="宋体" w:hAnsi="宋体" w:cs="宋体"/>
                <w:kern w:val="0"/>
                <w:szCs w:val="21"/>
              </w:rPr>
              <w:t>1</w:t>
            </w:r>
            <w:r>
              <w:rPr>
                <w:rFonts w:hint="eastAsia" w:ascii="宋体" w:hAnsi="宋体" w:cs="宋体"/>
                <w:kern w:val="0"/>
                <w:szCs w:val="21"/>
              </w:rPr>
              <w:t>分）：投入的施工材料的组织计划差，投入计划与进度计划不呼应，不能满足施工需要。</w:t>
            </w:r>
          </w:p>
          <w:p w14:paraId="0819B596">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二档（</w:t>
            </w:r>
            <w:r>
              <w:rPr>
                <w:rFonts w:ascii="宋体" w:hAnsi="宋体" w:cs="宋体"/>
                <w:kern w:val="0"/>
                <w:szCs w:val="21"/>
              </w:rPr>
              <w:t>3</w:t>
            </w:r>
            <w:r>
              <w:rPr>
                <w:rFonts w:hint="eastAsia" w:ascii="宋体" w:hAnsi="宋体" w:cs="宋体"/>
                <w:kern w:val="0"/>
                <w:szCs w:val="21"/>
              </w:rPr>
              <w:t>分）：投入的施工材料有详细的组织计划，投入计划与进度计划呼应，基本满足施工需要，调配投入计划基本合理。</w:t>
            </w:r>
          </w:p>
          <w:p w14:paraId="6C9C1BB3">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三档（</w:t>
            </w:r>
            <w:r>
              <w:rPr>
                <w:rFonts w:ascii="宋体" w:hAnsi="宋体" w:cs="宋体"/>
                <w:kern w:val="0"/>
                <w:szCs w:val="21"/>
              </w:rPr>
              <w:t>5</w:t>
            </w:r>
            <w:r>
              <w:rPr>
                <w:rFonts w:hint="eastAsia" w:ascii="宋体" w:hAnsi="宋体" w:cs="宋体"/>
                <w:kern w:val="0"/>
                <w:szCs w:val="21"/>
              </w:rPr>
              <w:t>分）：投入的施工材料有详细的组织计划，投入计划与进度计划呼应，基本满足施工需要，调配投入计划基本合理、 准确。</w:t>
            </w:r>
          </w:p>
          <w:p w14:paraId="310D426F">
            <w:pPr>
              <w:autoSpaceDE w:val="0"/>
              <w:autoSpaceDN w:val="0"/>
              <w:adjustRightInd w:val="0"/>
              <w:spacing w:line="400" w:lineRule="exact"/>
              <w:jc w:val="left"/>
              <w:rPr>
                <w:rFonts w:ascii="宋体" w:hAnsi="宋体" w:cs="宋体"/>
                <w:kern w:val="0"/>
                <w:szCs w:val="21"/>
              </w:rPr>
            </w:pPr>
            <w:r>
              <w:rPr>
                <w:rFonts w:hint="eastAsia" w:ascii="宋体" w:hAnsi="宋体" w:cs="宋体"/>
                <w:kern w:val="0"/>
                <w:szCs w:val="21"/>
              </w:rPr>
              <w:t>四档（</w:t>
            </w:r>
            <w:r>
              <w:rPr>
                <w:rFonts w:hint="eastAsia" w:ascii="宋体" w:hAnsi="宋体" w:cs="宋体"/>
                <w:kern w:val="0"/>
                <w:szCs w:val="21"/>
                <w:lang w:val="en-US" w:eastAsia="zh-CN"/>
              </w:rPr>
              <w:t>10</w:t>
            </w:r>
            <w:r>
              <w:rPr>
                <w:rFonts w:hint="eastAsia" w:ascii="宋体" w:hAnsi="宋体" w:cs="宋体"/>
                <w:kern w:val="0"/>
                <w:szCs w:val="21"/>
              </w:rPr>
              <w:t>分）：投入的施工材料有详细的组织计划且计划周密，投入计划与进度计划呼应，较好满足施工需要，调配投入计划合理、准确。</w:t>
            </w:r>
          </w:p>
        </w:tc>
      </w:tr>
      <w:tr w14:paraId="507EE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noWrap w:val="0"/>
            <w:vAlign w:val="center"/>
          </w:tcPr>
          <w:p w14:paraId="5FC3245C">
            <w:pPr>
              <w:autoSpaceDE w:val="0"/>
              <w:autoSpaceDN w:val="0"/>
              <w:adjustRightInd w:val="0"/>
              <w:spacing w:line="400" w:lineRule="exact"/>
              <w:jc w:val="center"/>
              <w:rPr>
                <w:rFonts w:ascii="宋体" w:hAnsi="宋体" w:cs="宋体"/>
                <w:kern w:val="0"/>
                <w:szCs w:val="21"/>
              </w:rPr>
            </w:pPr>
          </w:p>
        </w:tc>
        <w:tc>
          <w:tcPr>
            <w:tcW w:w="993" w:type="dxa"/>
            <w:noWrap w:val="0"/>
            <w:vAlign w:val="center"/>
          </w:tcPr>
          <w:p w14:paraId="71A1B990">
            <w:pPr>
              <w:autoSpaceDE w:val="0"/>
              <w:autoSpaceDN w:val="0"/>
              <w:adjustRightInd w:val="0"/>
              <w:spacing w:line="400" w:lineRule="exact"/>
              <w:jc w:val="left"/>
              <w:rPr>
                <w:rFonts w:ascii="宋体" w:hAnsi="宋体" w:cs="宋体"/>
                <w:kern w:val="0"/>
                <w:szCs w:val="21"/>
              </w:rPr>
            </w:pPr>
            <w:r>
              <w:rPr>
                <w:rFonts w:hint="eastAsia" w:ascii="宋体" w:hAnsi="宋体" w:cs="宋体"/>
                <w:kern w:val="0"/>
                <w:szCs w:val="21"/>
              </w:rPr>
              <w:t>劳动力安排计划(满分</w:t>
            </w:r>
            <w:r>
              <w:rPr>
                <w:rFonts w:hint="eastAsia" w:ascii="宋体" w:hAnsi="宋体" w:cs="宋体"/>
                <w:kern w:val="0"/>
                <w:szCs w:val="21"/>
                <w:lang w:val="en-US" w:eastAsia="zh-CN"/>
              </w:rPr>
              <w:t>10</w:t>
            </w:r>
            <w:r>
              <w:rPr>
                <w:rFonts w:hint="eastAsia" w:ascii="宋体" w:hAnsi="宋体" w:cs="宋体"/>
                <w:kern w:val="0"/>
                <w:szCs w:val="21"/>
              </w:rPr>
              <w:t>分)</w:t>
            </w:r>
          </w:p>
        </w:tc>
        <w:tc>
          <w:tcPr>
            <w:tcW w:w="6860" w:type="dxa"/>
            <w:noWrap w:val="0"/>
            <w:vAlign w:val="top"/>
          </w:tcPr>
          <w:p w14:paraId="2ABE73A3">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各主要施工工序应有详细周密的劳动力安排计划，有各工种劳动力安排计划，劳动力投入合理，满足施工需要。</w:t>
            </w:r>
          </w:p>
          <w:p w14:paraId="1025BAEF">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一档(</w:t>
            </w:r>
            <w:r>
              <w:rPr>
                <w:rFonts w:ascii="宋体" w:hAnsi="宋体" w:cs="宋体"/>
                <w:kern w:val="0"/>
                <w:szCs w:val="21"/>
              </w:rPr>
              <w:t>1</w:t>
            </w:r>
            <w:r>
              <w:rPr>
                <w:rFonts w:hint="eastAsia" w:ascii="宋体" w:hAnsi="宋体" w:cs="宋体"/>
                <w:kern w:val="0"/>
                <w:szCs w:val="21"/>
              </w:rPr>
              <w:t>分) ：各主要施工工序劳动力安排计划不全，无各工种劳动力安排计划或计划不全，劳动力投入不合理，不能满足 施工需要。</w:t>
            </w:r>
          </w:p>
          <w:p w14:paraId="7F396041">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二档(</w:t>
            </w:r>
            <w:r>
              <w:rPr>
                <w:rFonts w:ascii="宋体" w:hAnsi="宋体" w:cs="宋体"/>
                <w:kern w:val="0"/>
                <w:szCs w:val="21"/>
              </w:rPr>
              <w:t>3</w:t>
            </w:r>
            <w:r>
              <w:rPr>
                <w:rFonts w:hint="eastAsia" w:ascii="宋体" w:hAnsi="宋体" w:cs="宋体"/>
                <w:kern w:val="0"/>
                <w:szCs w:val="21"/>
              </w:rPr>
              <w:t>分) ：各主要施工工序应有劳动力安排计划，有各工种劳动力安排计划，劳动力投入基本合理，基本满足施工需要。</w:t>
            </w:r>
          </w:p>
          <w:p w14:paraId="0C25080C">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三档(</w:t>
            </w:r>
            <w:r>
              <w:rPr>
                <w:rFonts w:ascii="宋体" w:hAnsi="宋体" w:cs="宋体"/>
                <w:kern w:val="0"/>
                <w:szCs w:val="21"/>
              </w:rPr>
              <w:t>5</w:t>
            </w:r>
            <w:r>
              <w:rPr>
                <w:rFonts w:hint="eastAsia" w:ascii="宋体" w:hAnsi="宋体" w:cs="宋体"/>
                <w:kern w:val="0"/>
                <w:szCs w:val="21"/>
              </w:rPr>
              <w:t>分) ：各主要施工工序有详细的劳动力安排计划，有各工种劳动力安排计划，劳动力投入合理，满足施工需要。</w:t>
            </w:r>
          </w:p>
          <w:p w14:paraId="56796353">
            <w:pPr>
              <w:autoSpaceDE w:val="0"/>
              <w:autoSpaceDN w:val="0"/>
              <w:adjustRightInd w:val="0"/>
              <w:spacing w:line="400" w:lineRule="exact"/>
              <w:jc w:val="left"/>
              <w:rPr>
                <w:rFonts w:ascii="宋体" w:hAnsi="宋体" w:cs="宋体"/>
                <w:kern w:val="0"/>
                <w:szCs w:val="21"/>
              </w:rPr>
            </w:pPr>
            <w:r>
              <w:rPr>
                <w:rFonts w:hint="eastAsia" w:ascii="宋体" w:hAnsi="宋体" w:cs="宋体"/>
                <w:kern w:val="0"/>
                <w:szCs w:val="21"/>
              </w:rPr>
              <w:t>四档(</w:t>
            </w:r>
            <w:r>
              <w:rPr>
                <w:rFonts w:hint="eastAsia" w:ascii="宋体" w:hAnsi="宋体" w:cs="宋体"/>
                <w:kern w:val="0"/>
                <w:szCs w:val="21"/>
                <w:lang w:val="en-US" w:eastAsia="zh-CN"/>
              </w:rPr>
              <w:t>10</w:t>
            </w:r>
            <w:r>
              <w:rPr>
                <w:rFonts w:hint="eastAsia" w:ascii="宋体" w:hAnsi="宋体" w:cs="宋体"/>
                <w:kern w:val="0"/>
                <w:szCs w:val="21"/>
              </w:rPr>
              <w:t>分) ：各主要施工工序有详细周密的劳动力安排计划，各工种劳动力安排计划齐全，劳动力投入与进度计划呼应合理，满足施工需要。</w:t>
            </w:r>
          </w:p>
        </w:tc>
      </w:tr>
      <w:tr w14:paraId="25EEF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1242" w:type="dxa"/>
            <w:vMerge w:val="continue"/>
            <w:noWrap w:val="0"/>
            <w:vAlign w:val="center"/>
          </w:tcPr>
          <w:p w14:paraId="6249C439">
            <w:pPr>
              <w:autoSpaceDE w:val="0"/>
              <w:autoSpaceDN w:val="0"/>
              <w:adjustRightInd w:val="0"/>
              <w:spacing w:line="400" w:lineRule="exact"/>
              <w:jc w:val="center"/>
              <w:rPr>
                <w:rFonts w:ascii="宋体" w:hAnsi="宋体" w:cs="宋体"/>
                <w:kern w:val="0"/>
                <w:szCs w:val="21"/>
              </w:rPr>
            </w:pPr>
          </w:p>
        </w:tc>
        <w:tc>
          <w:tcPr>
            <w:tcW w:w="993" w:type="dxa"/>
            <w:noWrap w:val="0"/>
            <w:vAlign w:val="center"/>
          </w:tcPr>
          <w:p w14:paraId="24BEF519">
            <w:pPr>
              <w:autoSpaceDE w:val="0"/>
              <w:autoSpaceDN w:val="0"/>
              <w:adjustRightInd w:val="0"/>
              <w:spacing w:line="400" w:lineRule="exact"/>
              <w:jc w:val="left"/>
              <w:rPr>
                <w:rFonts w:ascii="宋体" w:hAnsi="宋体" w:cs="宋体"/>
                <w:kern w:val="0"/>
                <w:szCs w:val="21"/>
              </w:rPr>
            </w:pPr>
            <w:r>
              <w:rPr>
                <w:rFonts w:hint="eastAsia" w:ascii="宋体" w:hAnsi="宋体" w:cs="宋体"/>
                <w:kern w:val="0"/>
                <w:szCs w:val="21"/>
              </w:rPr>
              <w:t>确保工程质量的技术组织措施(满分</w:t>
            </w:r>
            <w:r>
              <w:rPr>
                <w:rFonts w:hint="eastAsia" w:ascii="宋体" w:hAnsi="宋体" w:cs="宋体"/>
                <w:kern w:val="0"/>
                <w:szCs w:val="21"/>
                <w:lang w:val="en-US" w:eastAsia="zh-CN"/>
              </w:rPr>
              <w:t>10</w:t>
            </w:r>
            <w:r>
              <w:rPr>
                <w:rFonts w:hint="eastAsia" w:ascii="宋体" w:hAnsi="宋体" w:cs="宋体"/>
                <w:kern w:val="0"/>
                <w:szCs w:val="21"/>
              </w:rPr>
              <w:t>分)</w:t>
            </w:r>
          </w:p>
        </w:tc>
        <w:tc>
          <w:tcPr>
            <w:tcW w:w="6860" w:type="dxa"/>
            <w:noWrap w:val="0"/>
            <w:vAlign w:val="top"/>
          </w:tcPr>
          <w:p w14:paraId="1ACB96F1">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应有专门的质量技术管理班子和制度，且人员配备合理，制度健全。主要工序应有质量技术保证措施和手段，自控体系完整，能有效保证技术质量，达到承诺的质量标准。</w:t>
            </w:r>
          </w:p>
          <w:p w14:paraId="55BB71C7">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一档(</w:t>
            </w:r>
            <w:r>
              <w:rPr>
                <w:rFonts w:ascii="宋体" w:hAnsi="宋体" w:cs="宋体"/>
                <w:kern w:val="0"/>
                <w:szCs w:val="21"/>
              </w:rPr>
              <w:t>1</w:t>
            </w:r>
            <w:r>
              <w:rPr>
                <w:rFonts w:hint="eastAsia" w:ascii="宋体" w:hAnsi="宋体" w:cs="宋体"/>
                <w:kern w:val="0"/>
                <w:szCs w:val="21"/>
              </w:rPr>
              <w:t>分) ：质量技术管理班子人员配备不合理，制度不健全。质量技术保证措施和手段不可行，没有质量违约责任承诺。</w:t>
            </w:r>
          </w:p>
          <w:p w14:paraId="58E07A03">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二档(</w:t>
            </w:r>
            <w:r>
              <w:rPr>
                <w:rFonts w:ascii="宋体" w:hAnsi="宋体" w:cs="宋体"/>
                <w:kern w:val="0"/>
                <w:szCs w:val="21"/>
              </w:rPr>
              <w:t>3</w:t>
            </w:r>
            <w:r>
              <w:rPr>
                <w:rFonts w:hint="eastAsia" w:ascii="宋体" w:hAnsi="宋体" w:cs="宋体"/>
                <w:kern w:val="0"/>
                <w:szCs w:val="21"/>
              </w:rPr>
              <w:t>分) ：质量技术管理班子人员配备基本合理，制度基本健全。主要工序有质量技术保证措施和手段，能有效保证技术质量，满足招标文件的质量要求。</w:t>
            </w:r>
          </w:p>
          <w:p w14:paraId="6DF23934">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三档(</w:t>
            </w:r>
            <w:r>
              <w:rPr>
                <w:rFonts w:ascii="宋体" w:hAnsi="宋体" w:cs="宋体"/>
                <w:kern w:val="0"/>
                <w:szCs w:val="21"/>
              </w:rPr>
              <w:t>5</w:t>
            </w:r>
            <w:r>
              <w:rPr>
                <w:rFonts w:hint="eastAsia" w:ascii="宋体" w:hAnsi="宋体" w:cs="宋体"/>
                <w:kern w:val="0"/>
                <w:szCs w:val="21"/>
              </w:rPr>
              <w:t>分) ：有专门的质量技术管理班子和制度，且人员配备合理，制度健全。主要工序有质量技术保证措施和手段，自控体系完整，能有效保证技术质量，达到承诺的质量标准。</w:t>
            </w:r>
          </w:p>
          <w:p w14:paraId="797E2647">
            <w:pPr>
              <w:autoSpaceDE w:val="0"/>
              <w:autoSpaceDN w:val="0"/>
              <w:adjustRightInd w:val="0"/>
              <w:spacing w:line="400" w:lineRule="exact"/>
              <w:jc w:val="left"/>
              <w:rPr>
                <w:rFonts w:ascii="宋体" w:hAnsi="宋体" w:cs="宋体"/>
                <w:kern w:val="0"/>
                <w:szCs w:val="21"/>
              </w:rPr>
            </w:pPr>
            <w:r>
              <w:rPr>
                <w:rFonts w:hint="eastAsia" w:ascii="宋体" w:hAnsi="宋体" w:cs="宋体"/>
                <w:kern w:val="0"/>
                <w:szCs w:val="21"/>
              </w:rPr>
              <w:t>四档(</w:t>
            </w:r>
            <w:r>
              <w:rPr>
                <w:rFonts w:hint="eastAsia" w:ascii="宋体" w:hAnsi="宋体" w:cs="宋体"/>
                <w:kern w:val="0"/>
                <w:szCs w:val="21"/>
                <w:lang w:val="en-US" w:eastAsia="zh-CN"/>
              </w:rPr>
              <w:t>10</w:t>
            </w:r>
            <w:r>
              <w:rPr>
                <w:rFonts w:hint="eastAsia" w:ascii="宋体" w:hAnsi="宋体" w:cs="宋体"/>
                <w:kern w:val="0"/>
                <w:szCs w:val="21"/>
              </w:rPr>
              <w:t>分) ：有专门的质量技术管理班子和制度，且人员配备合理，制度健全。主要工序有质量技术保证措施和手段，且先进、可行、具体，高于招标文件的质量要求及施工验收规范要求，达到承诺的质量标准。</w:t>
            </w:r>
          </w:p>
        </w:tc>
      </w:tr>
      <w:tr w14:paraId="3CECC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noWrap w:val="0"/>
            <w:vAlign w:val="center"/>
          </w:tcPr>
          <w:p w14:paraId="303A3D0E">
            <w:pPr>
              <w:autoSpaceDE w:val="0"/>
              <w:autoSpaceDN w:val="0"/>
              <w:adjustRightInd w:val="0"/>
              <w:spacing w:line="400" w:lineRule="exact"/>
              <w:jc w:val="center"/>
              <w:rPr>
                <w:rFonts w:ascii="宋体" w:hAnsi="宋体" w:cs="宋体"/>
                <w:kern w:val="0"/>
                <w:szCs w:val="21"/>
              </w:rPr>
            </w:pPr>
          </w:p>
        </w:tc>
        <w:tc>
          <w:tcPr>
            <w:tcW w:w="993" w:type="dxa"/>
            <w:noWrap w:val="0"/>
            <w:vAlign w:val="center"/>
          </w:tcPr>
          <w:p w14:paraId="66DC41ED">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确保安全生产的技术组织措施(满分</w:t>
            </w:r>
            <w:r>
              <w:rPr>
                <w:rFonts w:hint="eastAsia" w:ascii="宋体" w:hAnsi="宋体" w:cs="宋体"/>
                <w:kern w:val="0"/>
                <w:szCs w:val="21"/>
                <w:lang w:val="en-US" w:eastAsia="zh-CN"/>
              </w:rPr>
              <w:t>10</w:t>
            </w:r>
            <w:r>
              <w:rPr>
                <w:rFonts w:hint="eastAsia" w:ascii="宋体" w:hAnsi="宋体" w:cs="宋体"/>
                <w:kern w:val="0"/>
                <w:szCs w:val="21"/>
              </w:rPr>
              <w:t>分)</w:t>
            </w:r>
          </w:p>
        </w:tc>
        <w:tc>
          <w:tcPr>
            <w:tcW w:w="6860" w:type="dxa"/>
            <w:noWrap w:val="0"/>
            <w:vAlign w:val="top"/>
          </w:tcPr>
          <w:p w14:paraId="5D447DD4">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应有专门的安全管理人员和制度，且人员配备合理，制度健全，各道工序安全技术措施针对性强，符合实际且满足有关安全技术标准要求。现场防火、应急救援、社会治安安全措施得力。</w:t>
            </w:r>
          </w:p>
          <w:p w14:paraId="788CE793">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一档(1分) ：安全生产管理人员配备不合理，安全管理制度不健全，各道工序安全技术措施基本符合实际，不能满足有关安全技术标准要求。现场防火、应急救援、社会治安安全措施不合理。</w:t>
            </w:r>
          </w:p>
          <w:p w14:paraId="3B3869FC">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二档(</w:t>
            </w:r>
            <w:r>
              <w:rPr>
                <w:rFonts w:ascii="宋体" w:hAnsi="宋体" w:cs="宋体"/>
                <w:kern w:val="0"/>
                <w:szCs w:val="21"/>
              </w:rPr>
              <w:t>3</w:t>
            </w:r>
            <w:r>
              <w:rPr>
                <w:rFonts w:hint="eastAsia" w:ascii="宋体" w:hAnsi="宋体" w:cs="宋体"/>
                <w:kern w:val="0"/>
                <w:szCs w:val="21"/>
              </w:rPr>
              <w:t>分) ：安全生产管理人员配备基本合理，安全管理制度基本健全，各道工序安全技术措施基本符合实际，基本满足有关安全技术标准要求。现场防火、应急救援、社会治安安全措施基本合理。</w:t>
            </w:r>
          </w:p>
          <w:p w14:paraId="30BD3FFA">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三档(</w:t>
            </w:r>
            <w:r>
              <w:rPr>
                <w:rFonts w:hint="eastAsia" w:ascii="宋体" w:hAnsi="宋体" w:cs="宋体"/>
                <w:kern w:val="0"/>
                <w:szCs w:val="21"/>
                <w:lang w:val="en-US" w:eastAsia="zh-CN"/>
              </w:rPr>
              <w:t>5</w:t>
            </w:r>
            <w:r>
              <w:rPr>
                <w:rFonts w:hint="eastAsia" w:ascii="宋体" w:hAnsi="宋体" w:cs="宋体"/>
                <w:kern w:val="0"/>
                <w:szCs w:val="21"/>
              </w:rPr>
              <w:t>分) ：安全生产管理人员配备合理；有健全的安全管理制度，各道工序安全技术措施符合实际且满足有关安全技术标准要求。现场防火、应急救援、社会治安安全措施合理。</w:t>
            </w:r>
          </w:p>
          <w:p w14:paraId="3A3AE0E6">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四档(</w:t>
            </w:r>
            <w:r>
              <w:rPr>
                <w:rFonts w:hint="eastAsia" w:ascii="宋体" w:hAnsi="宋体" w:cs="宋体"/>
                <w:kern w:val="0"/>
                <w:szCs w:val="21"/>
                <w:lang w:val="en-US" w:eastAsia="zh-CN"/>
              </w:rPr>
              <w:t>10</w:t>
            </w:r>
            <w:r>
              <w:rPr>
                <w:rFonts w:hint="eastAsia" w:ascii="宋体" w:hAnsi="宋体" w:cs="宋体"/>
                <w:kern w:val="0"/>
                <w:szCs w:val="21"/>
              </w:rPr>
              <w:t>分) ：安全生产管理人员配备合理；有健全的安全管理制度，各道工序安全技术措施针对性强，符合实际且高于国家有关安全技术标准要求。现场防火、应急救援、社会治安安全措施得力。</w:t>
            </w:r>
          </w:p>
        </w:tc>
      </w:tr>
      <w:tr w14:paraId="18082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1242" w:type="dxa"/>
            <w:vMerge w:val="continue"/>
            <w:noWrap w:val="0"/>
            <w:vAlign w:val="center"/>
          </w:tcPr>
          <w:p w14:paraId="2FCDF421">
            <w:pPr>
              <w:autoSpaceDE w:val="0"/>
              <w:autoSpaceDN w:val="0"/>
              <w:adjustRightInd w:val="0"/>
              <w:spacing w:line="400" w:lineRule="exact"/>
              <w:jc w:val="center"/>
              <w:rPr>
                <w:rFonts w:ascii="宋体" w:hAnsi="宋体" w:cs="宋体"/>
                <w:kern w:val="0"/>
                <w:szCs w:val="21"/>
              </w:rPr>
            </w:pPr>
          </w:p>
        </w:tc>
        <w:tc>
          <w:tcPr>
            <w:tcW w:w="993" w:type="dxa"/>
            <w:noWrap w:val="0"/>
            <w:vAlign w:val="center"/>
          </w:tcPr>
          <w:p w14:paraId="2A164C1B">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确保工期的技术组织措施(满分</w:t>
            </w:r>
            <w:r>
              <w:rPr>
                <w:rFonts w:hint="eastAsia" w:ascii="宋体" w:hAnsi="宋体" w:cs="宋体"/>
                <w:kern w:val="0"/>
                <w:szCs w:val="21"/>
                <w:lang w:val="en-US" w:eastAsia="zh-CN"/>
              </w:rPr>
              <w:t>7</w:t>
            </w:r>
            <w:r>
              <w:rPr>
                <w:rFonts w:hint="eastAsia" w:ascii="宋体" w:hAnsi="宋体" w:cs="宋体"/>
                <w:kern w:val="0"/>
                <w:szCs w:val="21"/>
              </w:rPr>
              <w:t>分)</w:t>
            </w:r>
          </w:p>
        </w:tc>
        <w:tc>
          <w:tcPr>
            <w:tcW w:w="6860" w:type="dxa"/>
            <w:noWrap w:val="0"/>
            <w:vAlign w:val="top"/>
          </w:tcPr>
          <w:p w14:paraId="6A3B57E4">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p w14:paraId="56F18B75">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一档(</w:t>
            </w:r>
            <w:r>
              <w:rPr>
                <w:rFonts w:ascii="宋体" w:hAnsi="宋体" w:cs="宋体"/>
                <w:kern w:val="0"/>
                <w:szCs w:val="21"/>
              </w:rPr>
              <w:t>1</w:t>
            </w:r>
            <w:r>
              <w:rPr>
                <w:rFonts w:hint="eastAsia" w:ascii="宋体" w:hAnsi="宋体" w:cs="宋体"/>
                <w:kern w:val="0"/>
                <w:szCs w:val="21"/>
              </w:rPr>
              <w:t>分) ：有保证工期的具体措施。各项计划图表编制不完善，安排不合理，不能满足本项目施工实际要求。</w:t>
            </w:r>
          </w:p>
          <w:p w14:paraId="255BF5EB">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二档(</w:t>
            </w:r>
            <w:r>
              <w:rPr>
                <w:rFonts w:hint="eastAsia" w:ascii="宋体" w:hAnsi="宋体" w:cs="宋体"/>
                <w:kern w:val="0"/>
                <w:szCs w:val="21"/>
                <w:lang w:val="en-US" w:eastAsia="zh-CN"/>
              </w:rPr>
              <w:t>4</w:t>
            </w:r>
            <w:r>
              <w:rPr>
                <w:rFonts w:hint="eastAsia" w:ascii="宋体" w:hAnsi="宋体" w:cs="宋体"/>
                <w:kern w:val="0"/>
                <w:szCs w:val="21"/>
              </w:rPr>
              <w:t>分) ：有保证工期的具体措施，措施基本得当。各项计划图表编制基本齐全，安排基本合理，基本符合本项目施工 实际要求。</w:t>
            </w:r>
          </w:p>
          <w:p w14:paraId="45325A8B">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三档(</w:t>
            </w:r>
            <w:r>
              <w:rPr>
                <w:rFonts w:hint="eastAsia" w:ascii="宋体" w:hAnsi="宋体" w:cs="宋体"/>
                <w:kern w:val="0"/>
                <w:szCs w:val="21"/>
                <w:lang w:val="en-US" w:eastAsia="zh-CN"/>
              </w:rPr>
              <w:t>7</w:t>
            </w:r>
            <w:r>
              <w:rPr>
                <w:rFonts w:hint="eastAsia" w:ascii="宋体" w:hAnsi="宋体" w:cs="宋体"/>
                <w:kern w:val="0"/>
                <w:szCs w:val="21"/>
              </w:rPr>
              <w:t>分) ：有保证工期的具体措施且措施得当。各项计划图表编制完善，安排较合理，符合本项目施工实际要求。</w:t>
            </w:r>
          </w:p>
          <w:p w14:paraId="3BAE9B65">
            <w:pPr>
              <w:autoSpaceDE w:val="0"/>
              <w:autoSpaceDN w:val="0"/>
              <w:adjustRightInd w:val="0"/>
              <w:spacing w:line="400" w:lineRule="exact"/>
              <w:jc w:val="left"/>
              <w:rPr>
                <w:rFonts w:hint="eastAsia" w:ascii="宋体" w:hAnsi="宋体" w:cs="宋体"/>
                <w:kern w:val="0"/>
                <w:szCs w:val="21"/>
              </w:rPr>
            </w:pPr>
          </w:p>
        </w:tc>
      </w:tr>
      <w:tr w14:paraId="2A35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1" w:hRule="atLeast"/>
          <w:jc w:val="center"/>
        </w:trPr>
        <w:tc>
          <w:tcPr>
            <w:tcW w:w="1242" w:type="dxa"/>
            <w:vMerge w:val="continue"/>
            <w:noWrap w:val="0"/>
            <w:vAlign w:val="center"/>
          </w:tcPr>
          <w:p w14:paraId="694DBEC1">
            <w:pPr>
              <w:autoSpaceDE w:val="0"/>
              <w:autoSpaceDN w:val="0"/>
              <w:adjustRightInd w:val="0"/>
              <w:spacing w:line="400" w:lineRule="exact"/>
              <w:jc w:val="center"/>
              <w:rPr>
                <w:rFonts w:ascii="宋体" w:hAnsi="宋体" w:cs="宋体"/>
                <w:kern w:val="0"/>
                <w:szCs w:val="21"/>
              </w:rPr>
            </w:pPr>
          </w:p>
        </w:tc>
        <w:tc>
          <w:tcPr>
            <w:tcW w:w="993" w:type="dxa"/>
            <w:noWrap w:val="0"/>
            <w:vAlign w:val="center"/>
          </w:tcPr>
          <w:p w14:paraId="7EF613DD">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确保文明施工的技术组织措施(满分</w:t>
            </w:r>
            <w:r>
              <w:rPr>
                <w:rFonts w:hint="eastAsia" w:ascii="宋体" w:hAnsi="宋体" w:cs="宋体"/>
                <w:kern w:val="0"/>
                <w:szCs w:val="21"/>
                <w:lang w:val="en-US" w:eastAsia="zh-CN"/>
              </w:rPr>
              <w:t>7</w:t>
            </w:r>
            <w:r>
              <w:rPr>
                <w:rFonts w:hint="eastAsia" w:ascii="宋体" w:hAnsi="宋体" w:cs="宋体"/>
                <w:kern w:val="0"/>
                <w:szCs w:val="21"/>
              </w:rPr>
              <w:t>分)</w:t>
            </w:r>
          </w:p>
        </w:tc>
        <w:tc>
          <w:tcPr>
            <w:tcW w:w="6860" w:type="dxa"/>
            <w:noWrap w:val="0"/>
            <w:vAlign w:val="top"/>
          </w:tcPr>
          <w:p w14:paraId="0C483922">
            <w:pPr>
              <w:autoSpaceDE w:val="0"/>
              <w:autoSpaceDN w:val="0"/>
              <w:adjustRightInd w:val="0"/>
              <w:spacing w:line="400" w:lineRule="exact"/>
              <w:jc w:val="left"/>
              <w:rPr>
                <w:rFonts w:hint="eastAsia" w:ascii="宋体" w:hAnsi="宋体" w:cs="宋体"/>
                <w:kern w:val="0"/>
                <w:szCs w:val="21"/>
              </w:rPr>
            </w:pPr>
          </w:p>
          <w:p w14:paraId="6BB4DEF4">
            <w:pPr>
              <w:autoSpaceDE w:val="0"/>
              <w:autoSpaceDN w:val="0"/>
              <w:adjustRightInd w:val="0"/>
              <w:spacing w:line="400" w:lineRule="exact"/>
              <w:jc w:val="left"/>
              <w:rPr>
                <w:rFonts w:hint="eastAsia" w:ascii="宋体" w:hAnsi="宋体" w:cs="宋体"/>
                <w:kern w:val="0"/>
                <w:szCs w:val="21"/>
              </w:rPr>
            </w:pPr>
          </w:p>
          <w:p w14:paraId="53C6D970">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针对本工程项目特点，应有现场文明施工、环境保护措施，且措施内容应达到《建筑施工安全生产检查标准》(JGJ59-2011) 合格标准并符合《广西壮族自治区建筑工程文明施工导则》要求。各项措施周全、具体、有效。有具体实现现场文明施工目标的承诺。</w:t>
            </w:r>
          </w:p>
          <w:p w14:paraId="39582E37">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一档(</w:t>
            </w:r>
            <w:r>
              <w:rPr>
                <w:rFonts w:ascii="宋体" w:hAnsi="宋体" w:cs="宋体"/>
                <w:kern w:val="0"/>
                <w:szCs w:val="21"/>
              </w:rPr>
              <w:t>1</w:t>
            </w:r>
            <w:r>
              <w:rPr>
                <w:rFonts w:hint="eastAsia" w:ascii="宋体" w:hAnsi="宋体" w:cs="宋体"/>
                <w:kern w:val="0"/>
                <w:szCs w:val="21"/>
              </w:rPr>
              <w:t>分)：现场文明施工、环境保护措施和内容与《建筑施工安全生产检查标准》、《广西壮族自治区建筑工程文明施工导则》的要求偏差大，无现场文明施工目标的承诺。</w:t>
            </w:r>
          </w:p>
          <w:p w14:paraId="4C717057">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二档(</w:t>
            </w:r>
            <w:r>
              <w:rPr>
                <w:rFonts w:hint="eastAsia" w:ascii="宋体" w:hAnsi="宋体" w:cs="宋体"/>
                <w:kern w:val="0"/>
                <w:szCs w:val="21"/>
                <w:lang w:val="en-US" w:eastAsia="zh-CN"/>
              </w:rPr>
              <w:t>4</w:t>
            </w:r>
            <w:r>
              <w:rPr>
                <w:rFonts w:hint="eastAsia" w:ascii="宋体" w:hAnsi="宋体" w:cs="宋体"/>
                <w:kern w:val="0"/>
                <w:szCs w:val="21"/>
              </w:rPr>
              <w:t>分)：现场文明施工、环境保护措施和内容基本达到《建筑施工安全生产检查标准》、《广西壮族自治区建筑工程文明施工导则》；有具体实现现场文明施工目标的承诺，而且各项措施基本全面、具体、有效的。</w:t>
            </w:r>
          </w:p>
          <w:p w14:paraId="37793935">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三档(</w:t>
            </w:r>
            <w:r>
              <w:rPr>
                <w:rFonts w:hint="eastAsia" w:ascii="宋体" w:hAnsi="宋体" w:cs="宋体"/>
                <w:kern w:val="0"/>
                <w:szCs w:val="21"/>
                <w:lang w:val="en-US" w:eastAsia="zh-CN"/>
              </w:rPr>
              <w:t>7</w:t>
            </w:r>
            <w:r>
              <w:rPr>
                <w:rFonts w:hint="eastAsia" w:ascii="宋体" w:hAnsi="宋体" w:cs="宋体"/>
                <w:kern w:val="0"/>
                <w:szCs w:val="21"/>
              </w:rPr>
              <w:t>分)：现场文明施工、环境保护措施和内容达到《建 筑施工安全生产检查标准》、《广西壮族自治区建筑工程文明施工导则》；有具体实现现场文明施工目标的承诺，而且各项措施周全、具体、有效的。</w:t>
            </w:r>
          </w:p>
          <w:p w14:paraId="19223235">
            <w:pPr>
              <w:autoSpaceDE w:val="0"/>
              <w:autoSpaceDN w:val="0"/>
              <w:adjustRightInd w:val="0"/>
              <w:spacing w:line="400" w:lineRule="exact"/>
              <w:jc w:val="left"/>
              <w:rPr>
                <w:rFonts w:hint="eastAsia" w:ascii="宋体" w:hAnsi="宋体" w:cs="宋体"/>
                <w:kern w:val="0"/>
                <w:szCs w:val="21"/>
              </w:rPr>
            </w:pPr>
          </w:p>
          <w:p w14:paraId="0E9E1626">
            <w:pPr>
              <w:pStyle w:val="7"/>
              <w:rPr>
                <w:rFonts w:hint="eastAsia" w:ascii="宋体" w:hAnsi="宋体" w:cs="宋体"/>
                <w:kern w:val="0"/>
                <w:szCs w:val="21"/>
              </w:rPr>
            </w:pPr>
          </w:p>
          <w:p w14:paraId="6674F93B">
            <w:pPr>
              <w:rPr>
                <w:rFonts w:hint="eastAsia" w:ascii="宋体" w:hAnsi="宋体" w:cs="宋体"/>
                <w:kern w:val="0"/>
                <w:szCs w:val="21"/>
              </w:rPr>
            </w:pPr>
          </w:p>
          <w:p w14:paraId="06D3A60D">
            <w:pPr>
              <w:pStyle w:val="7"/>
              <w:rPr>
                <w:rFonts w:hint="eastAsia"/>
              </w:rPr>
            </w:pPr>
          </w:p>
        </w:tc>
      </w:tr>
    </w:tbl>
    <w:p w14:paraId="138F7F8D"/>
    <w:tbl>
      <w:tblPr>
        <w:tblStyle w:val="20"/>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1333"/>
        <w:gridCol w:w="7120"/>
      </w:tblGrid>
      <w:tr w14:paraId="50976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6" w:hRule="atLeast"/>
          <w:jc w:val="center"/>
        </w:trPr>
        <w:tc>
          <w:tcPr>
            <w:tcW w:w="902" w:type="dxa"/>
            <w:noWrap w:val="0"/>
            <w:vAlign w:val="center"/>
          </w:tcPr>
          <w:p w14:paraId="4FBE13F2">
            <w:pPr>
              <w:autoSpaceDE w:val="0"/>
              <w:autoSpaceDN w:val="0"/>
              <w:adjustRightInd w:val="0"/>
              <w:spacing w:line="400" w:lineRule="exact"/>
              <w:jc w:val="center"/>
              <w:rPr>
                <w:rFonts w:ascii="宋体" w:hAnsi="宋体" w:cs="宋体"/>
                <w:kern w:val="0"/>
                <w:szCs w:val="21"/>
              </w:rPr>
            </w:pPr>
          </w:p>
        </w:tc>
        <w:tc>
          <w:tcPr>
            <w:tcW w:w="1333" w:type="dxa"/>
            <w:noWrap w:val="0"/>
            <w:vAlign w:val="center"/>
          </w:tcPr>
          <w:p w14:paraId="56D8E1E1">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工程施工的重点和难点及保证措施(满分</w:t>
            </w:r>
            <w:r>
              <w:rPr>
                <w:rFonts w:hint="eastAsia" w:ascii="宋体" w:hAnsi="宋体" w:cs="宋体"/>
                <w:kern w:val="0"/>
                <w:szCs w:val="21"/>
                <w:lang w:val="en-US" w:eastAsia="zh-CN"/>
              </w:rPr>
              <w:t>10</w:t>
            </w:r>
            <w:r>
              <w:rPr>
                <w:rFonts w:hint="eastAsia" w:ascii="宋体" w:hAnsi="宋体" w:cs="宋体"/>
                <w:kern w:val="0"/>
                <w:szCs w:val="21"/>
              </w:rPr>
              <w:t>分)</w:t>
            </w:r>
          </w:p>
        </w:tc>
        <w:tc>
          <w:tcPr>
            <w:tcW w:w="7120" w:type="dxa"/>
            <w:noWrap w:val="0"/>
            <w:vAlign w:val="top"/>
          </w:tcPr>
          <w:p w14:paraId="72206E5B">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针对本工程的特点，阐述本工程的重点和难点，解决重点和难点问题的方法是否合理。</w:t>
            </w:r>
          </w:p>
          <w:p w14:paraId="006F6D16">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一档(</w:t>
            </w:r>
            <w:r>
              <w:rPr>
                <w:rFonts w:ascii="宋体" w:hAnsi="宋体" w:cs="宋体"/>
                <w:kern w:val="0"/>
                <w:szCs w:val="21"/>
              </w:rPr>
              <w:t>1</w:t>
            </w:r>
            <w:r>
              <w:rPr>
                <w:rFonts w:hint="eastAsia" w:ascii="宋体" w:hAnsi="宋体" w:cs="宋体"/>
                <w:kern w:val="0"/>
                <w:szCs w:val="21"/>
              </w:rPr>
              <w:t>分)：对项目关键技术有表述，对重点、难点有建议，解决方案不可行。</w:t>
            </w:r>
          </w:p>
          <w:p w14:paraId="1AE3E5E0">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二档(</w:t>
            </w:r>
            <w:r>
              <w:rPr>
                <w:rFonts w:ascii="宋体" w:hAnsi="宋体" w:cs="宋体"/>
                <w:kern w:val="0"/>
                <w:szCs w:val="21"/>
              </w:rPr>
              <w:t>3</w:t>
            </w:r>
            <w:r>
              <w:rPr>
                <w:rFonts w:hint="eastAsia" w:ascii="宋体" w:hAnsi="宋体" w:cs="宋体"/>
                <w:kern w:val="0"/>
                <w:szCs w:val="21"/>
              </w:rPr>
              <w:t>分)：对项目关键技术有一定了解，对重点、难点有建议，解决方案基本可行。</w:t>
            </w:r>
          </w:p>
          <w:p w14:paraId="0A8E1B77">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三档(</w:t>
            </w:r>
            <w:r>
              <w:rPr>
                <w:rFonts w:ascii="宋体" w:hAnsi="宋体" w:cs="宋体"/>
                <w:kern w:val="0"/>
                <w:szCs w:val="21"/>
              </w:rPr>
              <w:t>5</w:t>
            </w:r>
            <w:r>
              <w:rPr>
                <w:rFonts w:hint="eastAsia" w:ascii="宋体" w:hAnsi="宋体" w:cs="宋体"/>
                <w:kern w:val="0"/>
                <w:szCs w:val="21"/>
              </w:rPr>
              <w:t>分)：对项目关键技术、工艺有深入的表述，对重点、难点有合理的建议，解决方案经济、安全、基本可行。</w:t>
            </w:r>
          </w:p>
          <w:p w14:paraId="1C909713">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四档(</w:t>
            </w:r>
            <w:r>
              <w:rPr>
                <w:rFonts w:hint="eastAsia" w:ascii="宋体" w:hAnsi="宋体" w:cs="宋体"/>
                <w:kern w:val="0"/>
                <w:szCs w:val="21"/>
                <w:lang w:val="en-US" w:eastAsia="zh-CN"/>
              </w:rPr>
              <w:t>10</w:t>
            </w:r>
            <w:r>
              <w:rPr>
                <w:rFonts w:hint="eastAsia" w:ascii="宋体" w:hAnsi="宋体" w:cs="宋体"/>
                <w:kern w:val="0"/>
                <w:szCs w:val="21"/>
              </w:rPr>
              <w:t>分)：对项目关键技术、工艺有深入的表述。对重点、难点有先进合理的施工措施并有可行的安全措施，解决方案完整、经济、安全、切实可行，措施得力。</w:t>
            </w:r>
          </w:p>
        </w:tc>
      </w:tr>
      <w:tr w14:paraId="5A13A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7" w:hRule="atLeast"/>
          <w:jc w:val="center"/>
        </w:trPr>
        <w:tc>
          <w:tcPr>
            <w:tcW w:w="902" w:type="dxa"/>
            <w:noWrap w:val="0"/>
            <w:vAlign w:val="center"/>
          </w:tcPr>
          <w:p w14:paraId="02B2051D">
            <w:pPr>
              <w:autoSpaceDE w:val="0"/>
              <w:autoSpaceDN w:val="0"/>
              <w:adjustRightInd w:val="0"/>
              <w:spacing w:line="400" w:lineRule="exact"/>
              <w:jc w:val="left"/>
              <w:rPr>
                <w:rFonts w:hint="eastAsia" w:ascii="宋体" w:hAnsi="宋体" w:cs="宋体"/>
                <w:kern w:val="0"/>
                <w:sz w:val="21"/>
                <w:szCs w:val="21"/>
                <w:lang w:val="en-US" w:eastAsia="zh-CN" w:bidi="ar-SA"/>
              </w:rPr>
            </w:pPr>
            <w:r>
              <w:rPr>
                <w:rFonts w:hint="eastAsia" w:ascii="宋体" w:hAnsi="宋体" w:cs="宋体"/>
                <w:kern w:val="0"/>
                <w:szCs w:val="21"/>
              </w:rPr>
              <w:t>商务分（满分</w:t>
            </w:r>
            <w:r>
              <w:rPr>
                <w:rFonts w:hint="eastAsia" w:ascii="宋体" w:hAnsi="宋体" w:cs="宋体"/>
                <w:kern w:val="0"/>
                <w:szCs w:val="21"/>
                <w:lang w:val="en-US" w:eastAsia="zh-CN"/>
              </w:rPr>
              <w:t>6</w:t>
            </w:r>
            <w:r>
              <w:rPr>
                <w:rFonts w:hint="eastAsia" w:ascii="宋体" w:hAnsi="宋体" w:cs="宋体"/>
                <w:kern w:val="0"/>
                <w:szCs w:val="21"/>
              </w:rPr>
              <w:t>分）</w:t>
            </w:r>
          </w:p>
        </w:tc>
        <w:tc>
          <w:tcPr>
            <w:tcW w:w="1333" w:type="dxa"/>
            <w:noWrap w:val="0"/>
            <w:vAlign w:val="top"/>
          </w:tcPr>
          <w:p w14:paraId="0317D0F3">
            <w:pPr>
              <w:bidi w:val="0"/>
              <w:jc w:val="center"/>
              <w:rPr>
                <w:rFonts w:hint="eastAsia" w:ascii="宋体" w:hAnsi="宋体" w:eastAsia="宋体" w:cs="宋体"/>
                <w:color w:val="auto"/>
                <w:lang w:val="en-US" w:eastAsia="zh-CN"/>
              </w:rPr>
            </w:pPr>
          </w:p>
          <w:p w14:paraId="447C3624">
            <w:pPr>
              <w:bidi w:val="0"/>
              <w:jc w:val="center"/>
              <w:rPr>
                <w:rFonts w:hint="eastAsia" w:ascii="宋体" w:hAnsi="宋体" w:eastAsia="宋体" w:cs="宋体"/>
                <w:color w:val="auto"/>
                <w:lang w:val="en-US" w:eastAsia="zh-CN"/>
              </w:rPr>
            </w:pPr>
          </w:p>
          <w:p w14:paraId="039D91F4">
            <w:pPr>
              <w:bidi w:val="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业绩</w:t>
            </w:r>
          </w:p>
          <w:p w14:paraId="24EF7A96">
            <w:pPr>
              <w:bidi w:val="0"/>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（满分</w:t>
            </w:r>
            <w:r>
              <w:rPr>
                <w:rFonts w:hint="eastAsia" w:ascii="宋体" w:hAnsi="宋体" w:cs="宋体"/>
                <w:color w:val="auto"/>
                <w:lang w:val="en-US" w:eastAsia="zh-CN"/>
              </w:rPr>
              <w:t>6</w:t>
            </w:r>
            <w:r>
              <w:rPr>
                <w:rFonts w:hint="eastAsia" w:ascii="宋体" w:hAnsi="宋体" w:eastAsia="宋体" w:cs="宋体"/>
                <w:color w:val="auto"/>
                <w:lang w:val="en-US" w:eastAsia="zh-CN"/>
              </w:rPr>
              <w:t>分）</w:t>
            </w:r>
          </w:p>
        </w:tc>
        <w:tc>
          <w:tcPr>
            <w:tcW w:w="7120" w:type="dxa"/>
            <w:noWrap w:val="0"/>
            <w:vAlign w:val="top"/>
          </w:tcPr>
          <w:p w14:paraId="12242FBB">
            <w:pPr>
              <w:autoSpaceDE w:val="0"/>
              <w:autoSpaceDN w:val="0"/>
              <w:adjustRightInd w:val="0"/>
              <w:spacing w:line="400" w:lineRule="exact"/>
              <w:jc w:val="lef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投标人自2023年以来完成过类似</w:t>
            </w:r>
            <w:r>
              <w:rPr>
                <w:rFonts w:hint="eastAsia" w:ascii="宋体" w:hAnsi="宋体" w:cs="宋体"/>
                <w:b w:val="0"/>
                <w:bCs w:val="0"/>
                <w:color w:val="auto"/>
                <w:highlight w:val="none"/>
                <w:lang w:val="en-US" w:eastAsia="zh-CN"/>
              </w:rPr>
              <w:t>人饮灌溉工程</w:t>
            </w:r>
            <w:r>
              <w:rPr>
                <w:rFonts w:hint="eastAsia" w:ascii="宋体" w:hAnsi="宋体" w:eastAsia="宋体" w:cs="宋体"/>
                <w:b w:val="0"/>
                <w:bCs w:val="0"/>
                <w:color w:val="auto"/>
                <w:highlight w:val="none"/>
                <w:lang w:val="en-US" w:eastAsia="zh-CN"/>
              </w:rPr>
              <w:t>类项目，每个得</w:t>
            </w:r>
            <w:r>
              <w:rPr>
                <w:rFonts w:hint="eastAsia" w:ascii="宋体" w:hAnsi="宋体" w:cs="宋体"/>
                <w:b w:val="0"/>
                <w:bCs w:val="0"/>
                <w:color w:val="auto"/>
                <w:highlight w:val="none"/>
                <w:lang w:val="en-US" w:eastAsia="zh-CN"/>
              </w:rPr>
              <w:t>1</w:t>
            </w:r>
            <w:r>
              <w:rPr>
                <w:rFonts w:hint="eastAsia" w:ascii="宋体" w:hAnsi="宋体" w:eastAsia="宋体" w:cs="宋体"/>
                <w:b w:val="0"/>
                <w:bCs w:val="0"/>
                <w:color w:val="auto"/>
                <w:highlight w:val="none"/>
                <w:lang w:val="en-US" w:eastAsia="zh-CN"/>
              </w:rPr>
              <w:t>分，本项满分6分。</w:t>
            </w:r>
          </w:p>
          <w:p w14:paraId="23E29244">
            <w:pPr>
              <w:autoSpaceDE w:val="0"/>
              <w:autoSpaceDN w:val="0"/>
              <w:adjustRightInd w:val="0"/>
              <w:spacing w:line="400" w:lineRule="exact"/>
              <w:jc w:val="lef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注：须提供①中标通知书或合同协议书；②竣工验收证明材料复印件且加盖公章，复印件必须清晰可见，否则不予计分。（备注：以竣工验收证明材料标注的时间为准。）</w:t>
            </w:r>
          </w:p>
        </w:tc>
      </w:tr>
      <w:tr w14:paraId="4B041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5" w:type="dxa"/>
            <w:gridSpan w:val="3"/>
            <w:noWrap w:val="0"/>
            <w:vAlign w:val="center"/>
          </w:tcPr>
          <w:p w14:paraId="6B4DCA17">
            <w:pPr>
              <w:autoSpaceDE w:val="0"/>
              <w:autoSpaceDN w:val="0"/>
              <w:adjustRightInd w:val="0"/>
              <w:spacing w:line="400" w:lineRule="exact"/>
              <w:jc w:val="left"/>
              <w:rPr>
                <w:rFonts w:hint="eastAsia" w:ascii="宋体" w:hAnsi="宋体" w:cs="宋体"/>
                <w:kern w:val="0"/>
                <w:szCs w:val="21"/>
              </w:rPr>
            </w:pPr>
            <w:r>
              <w:rPr>
                <w:rFonts w:hint="eastAsia" w:ascii="宋体" w:hAnsi="宋体" w:cs="宋体"/>
                <w:kern w:val="0"/>
                <w:szCs w:val="21"/>
              </w:rPr>
              <w:t>竞标人综合得分（满分100 分）=报价分（</w:t>
            </w:r>
            <w:r>
              <w:rPr>
                <w:rFonts w:hint="eastAsia" w:ascii="宋体" w:hAnsi="宋体" w:cs="宋体"/>
                <w:kern w:val="0"/>
                <w:szCs w:val="21"/>
                <w:lang w:val="en-US" w:eastAsia="zh-CN"/>
              </w:rPr>
              <w:t>2</w:t>
            </w:r>
            <w:r>
              <w:rPr>
                <w:rFonts w:hint="eastAsia" w:ascii="宋体" w:hAnsi="宋体" w:cs="宋体"/>
                <w:kern w:val="0"/>
                <w:szCs w:val="21"/>
              </w:rPr>
              <w:t>0分）+技术分（</w:t>
            </w:r>
            <w:r>
              <w:rPr>
                <w:rFonts w:hint="eastAsia" w:ascii="宋体" w:hAnsi="宋体" w:cs="宋体"/>
                <w:kern w:val="0"/>
                <w:szCs w:val="21"/>
                <w:lang w:val="en-US" w:eastAsia="zh-CN"/>
              </w:rPr>
              <w:t>74</w:t>
            </w:r>
            <w:r>
              <w:rPr>
                <w:rFonts w:hint="eastAsia" w:ascii="宋体" w:hAnsi="宋体" w:cs="宋体"/>
                <w:kern w:val="0"/>
                <w:szCs w:val="21"/>
              </w:rPr>
              <w:t>分）+商务分（</w:t>
            </w:r>
            <w:r>
              <w:rPr>
                <w:rFonts w:hint="eastAsia" w:ascii="宋体" w:hAnsi="宋体" w:cs="宋体"/>
                <w:kern w:val="0"/>
                <w:szCs w:val="21"/>
                <w:lang w:val="en-US" w:eastAsia="zh-CN"/>
              </w:rPr>
              <w:t>6</w:t>
            </w:r>
            <w:r>
              <w:rPr>
                <w:rFonts w:hint="eastAsia" w:ascii="宋体" w:hAnsi="宋体" w:cs="宋体"/>
                <w:kern w:val="0"/>
                <w:szCs w:val="21"/>
              </w:rPr>
              <w:t>分）</w:t>
            </w:r>
          </w:p>
        </w:tc>
      </w:tr>
    </w:tbl>
    <w:p w14:paraId="72C4D79B">
      <w:pPr>
        <w:spacing w:line="400" w:lineRule="exact"/>
        <w:ind w:firstLine="420" w:firstLineChars="200"/>
        <w:rPr>
          <w:rFonts w:hint="eastAsia" w:ascii="宋体" w:hAnsi="宋体"/>
          <w:bCs/>
          <w:szCs w:val="21"/>
        </w:rPr>
      </w:pPr>
    </w:p>
    <w:p w14:paraId="338A09C8"/>
    <w:p w14:paraId="083F7E9C">
      <w:pPr>
        <w:numPr>
          <w:ilvl w:val="0"/>
          <w:numId w:val="8"/>
        </w:numPr>
        <w:spacing w:line="400" w:lineRule="exact"/>
        <w:ind w:firstLine="420"/>
        <w:rPr>
          <w:rFonts w:ascii="宋体" w:hAnsi="宋体"/>
          <w:bCs/>
          <w:szCs w:val="21"/>
        </w:rPr>
      </w:pPr>
      <w:r>
        <w:rPr>
          <w:rFonts w:hint="eastAsia" w:ascii="宋体" w:hAnsi="宋体"/>
          <w:bCs/>
          <w:szCs w:val="21"/>
        </w:rPr>
        <w:t>由磋商小组根据综合评分情况，按照评审得分由高到低顺序推荐3名以上</w:t>
      </w:r>
      <w:bookmarkStart w:id="204" w:name="_Hlk117866743"/>
      <w:r>
        <w:rPr>
          <w:rFonts w:hint="eastAsia" w:ascii="宋体" w:hAnsi="宋体"/>
          <w:bCs/>
          <w:szCs w:val="21"/>
        </w:rPr>
        <w:t>成交</w:t>
      </w:r>
      <w:bookmarkEnd w:id="204"/>
      <w:r>
        <w:rPr>
          <w:rFonts w:hint="eastAsia" w:ascii="宋体" w:hAnsi="宋体"/>
          <w:bCs/>
          <w:szCs w:val="21"/>
        </w:rPr>
        <w:t>候选供应商，并编写评审报告。符合本章第</w:t>
      </w:r>
      <w:r>
        <w:rPr>
          <w:rFonts w:ascii="宋体" w:hAnsi="宋体"/>
          <w:bCs/>
          <w:szCs w:val="21"/>
        </w:rPr>
        <w:t>4.3</w:t>
      </w:r>
      <w:r>
        <w:rPr>
          <w:rFonts w:hint="eastAsia" w:ascii="宋体" w:hAnsi="宋体"/>
          <w:bCs/>
          <w:szCs w:val="21"/>
        </w:rPr>
        <w:t>条情形的，可以推荐2家成交候选供应商。评审得分相同的，按照最后报价（不计算价格折扣）由低到高的顺序推荐。评审得分且最后报价（不计算价格折扣）相同的，按照技术指标优劣顺序推荐（按技术得分由高到低排序）。评审得分、最后报价（不计算价格折扣）、技术得分均相同的，由磋商小组随机抽取推荐。</w:t>
      </w:r>
    </w:p>
    <w:p w14:paraId="480F2D37">
      <w:pPr>
        <w:spacing w:line="400" w:lineRule="exact"/>
        <w:ind w:firstLine="420" w:firstLineChars="200"/>
        <w:rPr>
          <w:rFonts w:hint="eastAsia" w:ascii="宋体" w:hAnsi="宋体"/>
          <w:bCs/>
          <w:szCs w:val="21"/>
        </w:rPr>
      </w:pPr>
      <w:r>
        <w:rPr>
          <w:rFonts w:hint="eastAsia" w:ascii="宋体" w:hAnsi="宋体"/>
          <w:bCs/>
          <w:szCs w:val="21"/>
        </w:rPr>
        <w:t>根据评标委员会推荐的成交候选人（按最后得分高低排序），由招标人按顺序根据有关规定书面确定成交人，并将结果通知所有参与本项目的竞标人。本项目的合同授予被确定为实质上响应招标人需求，具备履行合同能力，评标报告中推荐的排名第一的成交候选人为成交人。</w:t>
      </w:r>
    </w:p>
    <w:p w14:paraId="19BCD6CD">
      <w:pPr>
        <w:spacing w:line="400" w:lineRule="exact"/>
        <w:ind w:firstLine="420" w:firstLineChars="200"/>
        <w:rPr>
          <w:rFonts w:hint="eastAsia" w:ascii="宋体" w:hAnsi="宋体" w:cs="宋体"/>
        </w:rPr>
      </w:pPr>
    </w:p>
    <w:p w14:paraId="08894650">
      <w:pPr>
        <w:rPr>
          <w:rFonts w:ascii="宋体" w:hAnsi="宋体"/>
        </w:rPr>
      </w:pPr>
    </w:p>
    <w:p w14:paraId="70C0ABDA">
      <w:pPr>
        <w:rPr>
          <w:rFonts w:ascii="宋体" w:hAnsi="宋体"/>
        </w:rPr>
        <w:sectPr>
          <w:pgSz w:w="11906" w:h="16838"/>
          <w:pgMar w:top="1440" w:right="1440" w:bottom="1440" w:left="1587" w:header="851" w:footer="992" w:gutter="0"/>
          <w:cols w:space="720" w:num="1"/>
          <w:docGrid w:type="lines" w:linePitch="312" w:charSpace="0"/>
        </w:sectPr>
      </w:pPr>
    </w:p>
    <w:p w14:paraId="69C264A2">
      <w:pPr>
        <w:pStyle w:val="3"/>
        <w:jc w:val="center"/>
        <w:rPr>
          <w:rFonts w:ascii="宋体" w:hAnsi="宋体"/>
        </w:rPr>
      </w:pPr>
      <w:bookmarkStart w:id="205" w:name="_Toc23771"/>
      <w:r>
        <w:rPr>
          <w:rFonts w:hint="eastAsia" w:ascii="宋体" w:hAnsi="宋体"/>
        </w:rPr>
        <w:t>第</w:t>
      </w:r>
      <w:r>
        <w:rPr>
          <w:rFonts w:hint="eastAsia" w:ascii="宋体" w:hAnsi="宋体"/>
          <w:lang w:val="en-US" w:eastAsia="zh-CN"/>
        </w:rPr>
        <w:t>五</w:t>
      </w:r>
      <w:r>
        <w:rPr>
          <w:rFonts w:hint="eastAsia" w:ascii="宋体" w:hAnsi="宋体"/>
        </w:rPr>
        <w:t>章 合同文本</w:t>
      </w:r>
      <w:bookmarkEnd w:id="205"/>
    </w:p>
    <w:p w14:paraId="28ED8743">
      <w:pPr>
        <w:rPr>
          <w:rFonts w:ascii="宋体" w:hAnsi="宋体"/>
        </w:rPr>
      </w:pPr>
    </w:p>
    <w:p w14:paraId="0DB4BC9E">
      <w:pPr>
        <w:pStyle w:val="9"/>
        <w:rPr>
          <w:rFonts w:hint="eastAsia" w:ascii="宋体" w:hAnsi="宋体"/>
        </w:rPr>
      </w:pPr>
    </w:p>
    <w:p w14:paraId="1C312985">
      <w:pPr>
        <w:jc w:val="center"/>
        <w:rPr>
          <w:rFonts w:hint="eastAsia"/>
          <w:sz w:val="44"/>
          <w:szCs w:val="56"/>
          <w:lang w:eastAsia="zh-CN"/>
        </w:rPr>
      </w:pPr>
    </w:p>
    <w:p w14:paraId="3FE15973">
      <w:pPr>
        <w:jc w:val="center"/>
        <w:rPr>
          <w:rFonts w:hint="eastAsia"/>
          <w:sz w:val="44"/>
          <w:szCs w:val="56"/>
          <w:lang w:eastAsia="zh-CN"/>
        </w:rPr>
      </w:pPr>
    </w:p>
    <w:p w14:paraId="52282CC5">
      <w:pPr>
        <w:jc w:val="center"/>
        <w:rPr>
          <w:rFonts w:ascii="宋体" w:hAnsi="宋体" w:cs="仿宋"/>
          <w:b/>
          <w:sz w:val="48"/>
          <w:szCs w:val="48"/>
          <w:lang w:bidi="ar"/>
        </w:rPr>
      </w:pPr>
      <w:r>
        <w:rPr>
          <w:rFonts w:hint="eastAsia"/>
          <w:sz w:val="44"/>
          <w:szCs w:val="56"/>
          <w:lang w:eastAsia="zh-CN"/>
        </w:rPr>
        <w:t>2026年融安县东起乡红日村上甲屯人饮灌溉工程</w:t>
      </w:r>
      <w:r>
        <w:rPr>
          <w:rFonts w:hint="eastAsia" w:ascii="宋体" w:hAnsi="宋体" w:cs="仿宋"/>
          <w:b/>
          <w:sz w:val="48"/>
          <w:szCs w:val="48"/>
          <w:lang w:bidi="ar"/>
        </w:rPr>
        <w:t xml:space="preserve"> </w:t>
      </w:r>
    </w:p>
    <w:p w14:paraId="6EB0AAB8">
      <w:pPr>
        <w:jc w:val="center"/>
        <w:rPr>
          <w:rFonts w:ascii="宋体" w:hAnsi="宋体" w:cs="仿宋"/>
          <w:b/>
          <w:sz w:val="48"/>
          <w:szCs w:val="48"/>
          <w:lang w:bidi="ar"/>
        </w:rPr>
      </w:pPr>
      <w:r>
        <w:rPr>
          <w:rFonts w:hint="eastAsia" w:ascii="宋体" w:hAnsi="宋体" w:cs="仿宋"/>
          <w:b/>
          <w:sz w:val="48"/>
          <w:szCs w:val="48"/>
          <w:lang w:bidi="ar"/>
        </w:rPr>
        <w:t xml:space="preserve"> </w:t>
      </w:r>
    </w:p>
    <w:p w14:paraId="55451CF6">
      <w:pPr>
        <w:jc w:val="center"/>
        <w:rPr>
          <w:rFonts w:ascii="宋体" w:hAnsi="宋体" w:cs="仿宋_GB2312"/>
          <w:b/>
          <w:sz w:val="84"/>
          <w:szCs w:val="84"/>
        </w:rPr>
      </w:pPr>
      <w:r>
        <w:rPr>
          <w:rFonts w:hint="eastAsia" w:ascii="宋体" w:hAnsi="宋体" w:cs="仿宋_GB2312"/>
          <w:b/>
          <w:sz w:val="84"/>
          <w:szCs w:val="84"/>
          <w:lang w:bidi="ar"/>
        </w:rPr>
        <w:t>施 工 合 同 书</w:t>
      </w:r>
    </w:p>
    <w:p w14:paraId="2CDD3B7C">
      <w:pPr>
        <w:jc w:val="center"/>
        <w:rPr>
          <w:rFonts w:ascii="宋体" w:hAnsi="宋体" w:cs="黑体"/>
          <w:b/>
          <w:sz w:val="56"/>
          <w:szCs w:val="56"/>
        </w:rPr>
      </w:pPr>
      <w:r>
        <w:rPr>
          <w:rFonts w:hint="eastAsia" w:ascii="宋体" w:hAnsi="宋体" w:cs="黑体"/>
          <w:b/>
          <w:sz w:val="56"/>
          <w:szCs w:val="56"/>
          <w:lang w:bidi="ar"/>
        </w:rPr>
        <w:t xml:space="preserve"> </w:t>
      </w:r>
    </w:p>
    <w:p w14:paraId="033E51F3">
      <w:pPr>
        <w:pStyle w:val="18"/>
        <w:spacing w:line="480" w:lineRule="atLeast"/>
        <w:rPr>
          <w:rFonts w:ascii="宋体" w:hAnsi="宋体" w:cs="微软雅黑"/>
          <w:sz w:val="32"/>
          <w:szCs w:val="32"/>
        </w:rPr>
      </w:pPr>
      <w:r>
        <w:rPr>
          <w:rFonts w:hint="eastAsia" w:ascii="宋体" w:hAnsi="宋体" w:cs="微软雅黑"/>
          <w:kern w:val="0"/>
          <w:sz w:val="36"/>
          <w:szCs w:val="36"/>
          <w:lang w:bidi="ar"/>
        </w:rPr>
        <w:t xml:space="preserve">                 </w:t>
      </w:r>
    </w:p>
    <w:p w14:paraId="5877AED5">
      <w:pPr>
        <w:jc w:val="center"/>
        <w:rPr>
          <w:rFonts w:ascii="宋体" w:hAnsi="宋体" w:cs="仿宋"/>
          <w:b/>
          <w:sz w:val="44"/>
          <w:szCs w:val="44"/>
        </w:rPr>
      </w:pPr>
      <w:r>
        <w:rPr>
          <w:rFonts w:hint="eastAsia" w:ascii="宋体" w:hAnsi="宋体" w:cs="仿宋"/>
          <w:b/>
          <w:sz w:val="44"/>
          <w:szCs w:val="44"/>
          <w:lang w:bidi="ar"/>
        </w:rPr>
        <w:t xml:space="preserve"> </w:t>
      </w:r>
    </w:p>
    <w:p w14:paraId="7CD38748">
      <w:pPr>
        <w:pStyle w:val="9"/>
        <w:rPr>
          <w:rFonts w:ascii="宋体" w:hAnsi="宋体"/>
        </w:rPr>
      </w:pPr>
    </w:p>
    <w:p w14:paraId="3C705967">
      <w:pPr>
        <w:rPr>
          <w:rFonts w:hint="eastAsia" w:ascii="宋体" w:hAnsi="宋体"/>
        </w:rPr>
      </w:pPr>
    </w:p>
    <w:p w14:paraId="4BD277FB">
      <w:pPr>
        <w:ind w:firstLine="1620" w:firstLineChars="450"/>
        <w:rPr>
          <w:rFonts w:ascii="宋体" w:hAnsi="宋体" w:cs="仿宋"/>
          <w:sz w:val="36"/>
          <w:szCs w:val="36"/>
        </w:rPr>
      </w:pPr>
      <w:r>
        <w:rPr>
          <w:rFonts w:hint="eastAsia" w:ascii="宋体" w:hAnsi="宋体" w:cs="仿宋"/>
          <w:sz w:val="36"/>
          <w:szCs w:val="36"/>
          <w:lang w:bidi="ar"/>
        </w:rPr>
        <w:t xml:space="preserve"> </w:t>
      </w:r>
    </w:p>
    <w:p w14:paraId="1B15B966">
      <w:pPr>
        <w:ind w:left="1277" w:leftChars="608" w:firstLine="0" w:firstLineChars="0"/>
        <w:rPr>
          <w:rFonts w:hint="eastAsia" w:ascii="宋体" w:hAnsi="宋体" w:cs="仿宋"/>
          <w:sz w:val="32"/>
          <w:szCs w:val="32"/>
          <w:u w:val="single"/>
          <w:lang w:eastAsia="zh-CN" w:bidi="ar"/>
        </w:rPr>
      </w:pPr>
      <w:r>
        <w:rPr>
          <w:rFonts w:hint="eastAsia" w:ascii="宋体" w:hAnsi="宋体" w:cs="仿宋"/>
          <w:sz w:val="32"/>
          <w:szCs w:val="32"/>
          <w:lang w:bidi="ar"/>
        </w:rPr>
        <w:t>工程名称：</w:t>
      </w:r>
      <w:r>
        <w:rPr>
          <w:rFonts w:hint="eastAsia" w:ascii="宋体" w:hAnsi="宋体" w:cs="仿宋"/>
          <w:sz w:val="32"/>
          <w:szCs w:val="32"/>
          <w:u w:val="single"/>
          <w:lang w:eastAsia="zh-CN" w:bidi="ar"/>
        </w:rPr>
        <w:t>2026年融安县东起乡红日村上甲屯人饮灌溉工程</w:t>
      </w:r>
    </w:p>
    <w:p w14:paraId="5538D24B">
      <w:pPr>
        <w:ind w:firstLine="1280" w:firstLineChars="400"/>
        <w:rPr>
          <w:rFonts w:ascii="宋体" w:hAnsi="宋体" w:cs="仿宋"/>
          <w:sz w:val="32"/>
          <w:szCs w:val="32"/>
        </w:rPr>
      </w:pPr>
      <w:r>
        <w:rPr>
          <w:rFonts w:hint="eastAsia" w:ascii="宋体" w:hAnsi="宋体" w:cs="仿宋"/>
          <w:sz w:val="32"/>
          <w:szCs w:val="32"/>
          <w:lang w:bidi="ar"/>
        </w:rPr>
        <w:t xml:space="preserve">发 包 人: </w:t>
      </w:r>
      <w:r>
        <w:rPr>
          <w:rFonts w:hint="eastAsia" w:ascii="宋体" w:hAnsi="宋体" w:cs="仿宋"/>
          <w:sz w:val="32"/>
          <w:szCs w:val="32"/>
          <w:u w:val="single"/>
          <w:lang w:bidi="ar"/>
        </w:rPr>
        <w:t xml:space="preserve"> </w:t>
      </w:r>
      <w:r>
        <w:rPr>
          <w:rFonts w:ascii="宋体" w:hAnsi="宋体" w:cs="仿宋"/>
          <w:sz w:val="32"/>
          <w:szCs w:val="32"/>
          <w:u w:val="single"/>
          <w:lang w:bidi="ar"/>
        </w:rPr>
        <w:t xml:space="preserve">                             </w:t>
      </w:r>
    </w:p>
    <w:p w14:paraId="199460A2">
      <w:pPr>
        <w:ind w:firstLine="1280" w:firstLineChars="400"/>
        <w:rPr>
          <w:rFonts w:ascii="宋体" w:hAnsi="宋体" w:cs="仿宋"/>
          <w:sz w:val="32"/>
          <w:szCs w:val="32"/>
          <w:u w:val="single"/>
          <w:lang w:bidi="ar"/>
        </w:rPr>
      </w:pPr>
      <w:r>
        <w:rPr>
          <w:rFonts w:hint="eastAsia" w:ascii="宋体" w:hAnsi="宋体" w:cs="仿宋"/>
          <w:sz w:val="32"/>
          <w:szCs w:val="32"/>
          <w:lang w:bidi="ar"/>
        </w:rPr>
        <w:t xml:space="preserve">承 包 人: </w:t>
      </w:r>
      <w:r>
        <w:rPr>
          <w:rFonts w:hint="eastAsia" w:ascii="宋体" w:hAnsi="宋体" w:cs="仿宋"/>
          <w:sz w:val="32"/>
          <w:szCs w:val="32"/>
          <w:u w:val="single"/>
          <w:lang w:bidi="ar"/>
        </w:rPr>
        <w:t xml:space="preserve"> </w:t>
      </w:r>
      <w:r>
        <w:rPr>
          <w:rFonts w:ascii="宋体" w:hAnsi="宋体" w:cs="仿宋"/>
          <w:sz w:val="32"/>
          <w:szCs w:val="32"/>
          <w:u w:val="single"/>
          <w:lang w:bidi="ar"/>
        </w:rPr>
        <w:t xml:space="preserve">                             </w:t>
      </w:r>
    </w:p>
    <w:p w14:paraId="2DAE66B8">
      <w:pPr>
        <w:ind w:firstLine="1280" w:firstLineChars="400"/>
        <w:rPr>
          <w:rFonts w:ascii="宋体" w:hAnsi="宋体" w:cs="仿宋"/>
          <w:sz w:val="36"/>
          <w:szCs w:val="36"/>
          <w:lang w:bidi="ar"/>
        </w:rPr>
      </w:pPr>
      <w:r>
        <w:rPr>
          <w:rFonts w:hint="eastAsia" w:ascii="宋体" w:hAnsi="宋体" w:cs="仿宋"/>
          <w:sz w:val="32"/>
          <w:szCs w:val="32"/>
          <w:lang w:bidi="ar"/>
        </w:rPr>
        <w:t xml:space="preserve">签订日期: </w:t>
      </w:r>
      <w:r>
        <w:rPr>
          <w:rFonts w:hint="eastAsia" w:ascii="宋体" w:hAnsi="宋体" w:cs="仿宋"/>
          <w:sz w:val="32"/>
          <w:szCs w:val="32"/>
          <w:lang w:val="en-US" w:eastAsia="zh-CN" w:bidi="ar"/>
        </w:rPr>
        <w:t xml:space="preserve">   </w:t>
      </w:r>
      <w:r>
        <w:rPr>
          <w:rFonts w:hint="eastAsia" w:ascii="宋体" w:hAnsi="宋体" w:cs="仿宋"/>
          <w:sz w:val="32"/>
          <w:szCs w:val="32"/>
          <w:lang w:bidi="ar"/>
        </w:rPr>
        <w:t>年</w:t>
      </w:r>
      <w:r>
        <w:rPr>
          <w:rFonts w:ascii="宋体" w:hAnsi="宋体" w:cs="仿宋"/>
          <w:sz w:val="32"/>
          <w:szCs w:val="32"/>
          <w:lang w:bidi="ar"/>
        </w:rPr>
        <w:t xml:space="preserve">  </w:t>
      </w:r>
      <w:r>
        <w:rPr>
          <w:rFonts w:hint="eastAsia" w:ascii="宋体" w:hAnsi="宋体" w:cs="仿宋"/>
          <w:sz w:val="32"/>
          <w:szCs w:val="32"/>
          <w:lang w:bidi="ar"/>
        </w:rPr>
        <w:t>月</w:t>
      </w:r>
      <w:r>
        <w:rPr>
          <w:rFonts w:ascii="宋体" w:hAnsi="宋体" w:cs="仿宋"/>
          <w:sz w:val="32"/>
          <w:szCs w:val="32"/>
          <w:lang w:bidi="ar"/>
        </w:rPr>
        <w:t xml:space="preserve">  </w:t>
      </w:r>
      <w:r>
        <w:rPr>
          <w:rFonts w:hint="eastAsia" w:ascii="宋体" w:hAnsi="宋体" w:cs="仿宋"/>
          <w:sz w:val="32"/>
          <w:szCs w:val="32"/>
          <w:lang w:bidi="ar"/>
        </w:rPr>
        <w:t xml:space="preserve">日  </w:t>
      </w:r>
      <w:r>
        <w:rPr>
          <w:rFonts w:hint="eastAsia" w:ascii="宋体" w:hAnsi="宋体" w:cs="仿宋"/>
          <w:sz w:val="36"/>
          <w:szCs w:val="36"/>
          <w:lang w:bidi="ar"/>
        </w:rPr>
        <w:t xml:space="preserve"> </w:t>
      </w:r>
    </w:p>
    <w:p w14:paraId="2BC0A99E">
      <w:pPr>
        <w:spacing w:line="480" w:lineRule="exact"/>
        <w:rPr>
          <w:rFonts w:ascii="宋体" w:hAnsi="宋体" w:cs="仿宋"/>
          <w:sz w:val="36"/>
          <w:szCs w:val="36"/>
        </w:rPr>
      </w:pPr>
      <w:r>
        <w:rPr>
          <w:rFonts w:hint="eastAsia" w:ascii="宋体" w:hAnsi="宋体" w:cs="仿宋"/>
          <w:sz w:val="36"/>
          <w:szCs w:val="36"/>
          <w:lang w:bidi="ar"/>
        </w:rPr>
        <w:t xml:space="preserve"> </w:t>
      </w:r>
    </w:p>
    <w:p w14:paraId="4E12ACF8">
      <w:pPr>
        <w:spacing w:line="480" w:lineRule="exact"/>
        <w:rPr>
          <w:rFonts w:ascii="宋体" w:hAnsi="宋体" w:cs="宋体"/>
          <w:b/>
          <w:sz w:val="28"/>
          <w:szCs w:val="28"/>
        </w:rPr>
        <w:sectPr>
          <w:footerReference r:id="rId7" w:type="default"/>
          <w:pgSz w:w="11907" w:h="16840"/>
          <w:pgMar w:top="1701" w:right="1000" w:bottom="1247" w:left="1077" w:header="851" w:footer="992" w:gutter="0"/>
          <w:cols w:space="720" w:num="1"/>
          <w:docGrid w:type="lines" w:linePitch="312" w:charSpace="0"/>
        </w:sectPr>
      </w:pPr>
    </w:p>
    <w:p w14:paraId="242040CB">
      <w:pPr>
        <w:keepNext/>
        <w:keepLines/>
        <w:numPr>
          <w:ilvl w:val="0"/>
          <w:numId w:val="10"/>
        </w:numPr>
        <w:spacing w:before="340" w:after="330" w:line="578" w:lineRule="auto"/>
        <w:jc w:val="center"/>
        <w:outlineLvl w:val="0"/>
        <w:rPr>
          <w:rFonts w:hint="eastAsia" w:ascii="宋体" w:hAnsi="宋体" w:cs="宋体"/>
          <w:b/>
          <w:bCs/>
          <w:kern w:val="44"/>
          <w:sz w:val="44"/>
          <w:szCs w:val="44"/>
          <w:lang w:val="zh-CN"/>
        </w:rPr>
      </w:pPr>
      <w:bookmarkStart w:id="206" w:name="_Toc296503025"/>
      <w:bookmarkStart w:id="207" w:name="_Toc5338"/>
      <w:bookmarkStart w:id="208" w:name="_Toc373227552"/>
      <w:bookmarkStart w:id="209" w:name="_Toc389065255"/>
      <w:bookmarkStart w:id="210" w:name="_Toc23781182"/>
      <w:bookmarkStart w:id="211" w:name="_Toc296890982"/>
      <w:bookmarkStart w:id="212" w:name="_Toc373478199"/>
      <w:bookmarkStart w:id="213" w:name="_Toc351203480"/>
      <w:bookmarkStart w:id="214" w:name="_Toc407135191"/>
      <w:bookmarkStart w:id="215" w:name="_Toc27125"/>
      <w:bookmarkStart w:id="216" w:name="_Toc256000098"/>
      <w:r>
        <w:rPr>
          <w:rFonts w:hint="eastAsia" w:ascii="宋体" w:hAnsi="宋体" w:cs="宋体"/>
          <w:b/>
          <w:bCs/>
          <w:kern w:val="44"/>
          <w:sz w:val="44"/>
          <w:szCs w:val="44"/>
          <w:lang w:val="zh-CN"/>
        </w:rPr>
        <w:t>合同协议书</w:t>
      </w:r>
      <w:bookmarkEnd w:id="206"/>
      <w:bookmarkEnd w:id="207"/>
      <w:bookmarkEnd w:id="208"/>
      <w:bookmarkEnd w:id="209"/>
      <w:bookmarkEnd w:id="210"/>
      <w:bookmarkEnd w:id="211"/>
      <w:bookmarkEnd w:id="212"/>
      <w:bookmarkEnd w:id="213"/>
      <w:bookmarkEnd w:id="214"/>
      <w:bookmarkEnd w:id="215"/>
      <w:bookmarkEnd w:id="216"/>
    </w:p>
    <w:p w14:paraId="7DB413D4">
      <w:pPr>
        <w:pStyle w:val="2"/>
        <w:jc w:val="center"/>
        <w:rPr>
          <w:rFonts w:hint="eastAsia" w:ascii="宋体" w:hAnsi="宋体" w:eastAsia="宋体" w:cs="Times New Roman"/>
          <w:b/>
          <w:bCs/>
          <w:color w:val="auto"/>
          <w:highlight w:val="none"/>
        </w:rPr>
      </w:pPr>
      <w:bookmarkStart w:id="217" w:name="_Toc18234"/>
      <w:bookmarkStart w:id="218" w:name="_Toc7607"/>
      <w:bookmarkStart w:id="219" w:name="_Toc21779"/>
      <w:r>
        <w:rPr>
          <w:rFonts w:hint="eastAsia" w:ascii="宋体" w:hAnsi="宋体" w:eastAsia="宋体" w:cs="Times New Roman"/>
          <w:b/>
          <w:bCs/>
          <w:color w:val="auto"/>
          <w:highlight w:val="none"/>
        </w:rPr>
        <w:t>第一部分 合同协议书</w:t>
      </w:r>
      <w:bookmarkEnd w:id="217"/>
      <w:bookmarkEnd w:id="218"/>
      <w:bookmarkEnd w:id="219"/>
    </w:p>
    <w:p w14:paraId="6E062CD9">
      <w:pPr>
        <w:pStyle w:val="9"/>
        <w:spacing w:before="8"/>
        <w:rPr>
          <w:b/>
          <w:color w:val="auto"/>
          <w:sz w:val="33"/>
          <w:highlight w:val="none"/>
        </w:rPr>
      </w:pPr>
    </w:p>
    <w:p w14:paraId="697A77F3">
      <w:pPr>
        <w:pageBreakBefore w:val="0"/>
        <w:tabs>
          <w:tab w:val="left" w:pos="9630"/>
        </w:tabs>
        <w:kinsoku/>
        <w:wordWrap/>
        <w:overflowPunct/>
        <w:topLinePunct w:val="0"/>
        <w:autoSpaceDE/>
        <w:autoSpaceDN/>
        <w:bidi w:val="0"/>
        <w:adjustRightInd/>
        <w:snapToGrid/>
        <w:spacing w:line="400" w:lineRule="exact"/>
        <w:ind w:right="725"/>
        <w:textAlignment w:val="auto"/>
        <w:rPr>
          <w:rFonts w:hint="eastAsia" w:ascii="宋体" w:hAnsi="宋体" w:eastAsia="宋体" w:cs="宋体"/>
          <w:b/>
          <w:color w:val="auto"/>
          <w:w w:val="95"/>
          <w:sz w:val="24"/>
          <w:szCs w:val="24"/>
          <w:highlight w:val="none"/>
          <w:u w:val="single"/>
          <w:lang w:val="en-US"/>
        </w:rPr>
      </w:pPr>
      <w:r>
        <w:rPr>
          <w:rFonts w:hint="eastAsia" w:ascii="宋体" w:hAnsi="宋体" w:eastAsia="宋体" w:cs="宋体"/>
          <w:color w:val="auto"/>
          <w:sz w:val="24"/>
          <w:szCs w:val="24"/>
          <w:highlight w:val="none"/>
          <w:lang w:val="en-US" w:bidi="ar-SA"/>
        </w:rPr>
        <w:drawing>
          <wp:anchor distT="0" distB="0" distL="114300" distR="114300" simplePos="0" relativeHeight="251659264" behindDoc="1" locked="0" layoutInCell="1" allowOverlap="1">
            <wp:simplePos x="0" y="0"/>
            <wp:positionH relativeFrom="page">
              <wp:posOffset>5732780</wp:posOffset>
            </wp:positionH>
            <wp:positionV relativeFrom="paragraph">
              <wp:posOffset>27305</wp:posOffset>
            </wp:positionV>
            <wp:extent cx="574040" cy="190500"/>
            <wp:effectExtent l="0" t="0" r="0" b="0"/>
            <wp:wrapNone/>
            <wp:docPr id="2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a:picLocks noChangeAspect="1"/>
                    </pic:cNvPicPr>
                  </pic:nvPicPr>
                  <pic:blipFill>
                    <a:blip r:embed="rId12"/>
                    <a:stretch>
                      <a:fillRect/>
                    </a:stretch>
                  </pic:blipFill>
                  <pic:spPr>
                    <a:xfrm>
                      <a:off x="0" y="0"/>
                      <a:ext cx="574040" cy="190500"/>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mc:AlternateContent>
          <mc:Choice Requires="wpg">
            <w:drawing>
              <wp:anchor distT="0" distB="0" distL="114300" distR="114300" simplePos="0" relativeHeight="251660288" behindDoc="1" locked="0" layoutInCell="1" allowOverlap="1">
                <wp:simplePos x="0" y="0"/>
                <wp:positionH relativeFrom="page">
                  <wp:posOffset>2551430</wp:posOffset>
                </wp:positionH>
                <wp:positionV relativeFrom="paragraph">
                  <wp:posOffset>328930</wp:posOffset>
                </wp:positionV>
                <wp:extent cx="1106805" cy="190500"/>
                <wp:effectExtent l="0" t="0" r="0" b="0"/>
                <wp:wrapNone/>
                <wp:docPr id="97" name="组合 97"/>
                <wp:cNvGraphicFramePr/>
                <a:graphic xmlns:a="http://schemas.openxmlformats.org/drawingml/2006/main">
                  <a:graphicData uri="http://schemas.microsoft.com/office/word/2010/wordprocessingGroup">
                    <wpg:wgp>
                      <wpg:cNvGrpSpPr/>
                      <wpg:grpSpPr>
                        <a:xfrm>
                          <a:off x="0" y="0"/>
                          <a:ext cx="1106805" cy="190500"/>
                          <a:chOff x="4019" y="518"/>
                          <a:chExt cx="1743" cy="300"/>
                        </a:xfrm>
                        <a:effectLst/>
                      </wpg:grpSpPr>
                      <pic:pic xmlns:pic="http://schemas.openxmlformats.org/drawingml/2006/picture">
                        <pic:nvPicPr>
                          <pic:cNvPr id="35" name="图片 20"/>
                          <pic:cNvPicPr>
                            <a:picLocks noChangeAspect="1"/>
                          </pic:cNvPicPr>
                        </pic:nvPicPr>
                        <pic:blipFill>
                          <a:blip r:embed="rId13"/>
                          <a:stretch>
                            <a:fillRect/>
                          </a:stretch>
                        </pic:blipFill>
                        <pic:spPr>
                          <a:xfrm>
                            <a:off x="4018" y="518"/>
                            <a:ext cx="600" cy="300"/>
                          </a:xfrm>
                          <a:prstGeom prst="rect">
                            <a:avLst/>
                          </a:prstGeom>
                          <a:noFill/>
                          <a:ln>
                            <a:noFill/>
                          </a:ln>
                          <a:effectLst/>
                        </pic:spPr>
                      </pic:pic>
                      <pic:pic xmlns:pic="http://schemas.openxmlformats.org/drawingml/2006/picture">
                        <pic:nvPicPr>
                          <pic:cNvPr id="37" name="图片 21"/>
                          <pic:cNvPicPr>
                            <a:picLocks noChangeAspect="1"/>
                          </pic:cNvPicPr>
                        </pic:nvPicPr>
                        <pic:blipFill>
                          <a:blip r:embed="rId14"/>
                          <a:stretch>
                            <a:fillRect/>
                          </a:stretch>
                        </pic:blipFill>
                        <pic:spPr>
                          <a:xfrm>
                            <a:off x="4318" y="518"/>
                            <a:ext cx="1443" cy="300"/>
                          </a:xfrm>
                          <a:prstGeom prst="rect">
                            <a:avLst/>
                          </a:prstGeom>
                          <a:noFill/>
                          <a:ln>
                            <a:noFill/>
                          </a:ln>
                          <a:effectLst/>
                        </pic:spPr>
                      </pic:pic>
                    </wpg:wgp>
                  </a:graphicData>
                </a:graphic>
              </wp:anchor>
            </w:drawing>
          </mc:Choice>
          <mc:Fallback>
            <w:pict>
              <v:group id="_x0000_s1026" o:spid="_x0000_s1026" o:spt="203" style="position:absolute;left:0pt;margin-left:200.9pt;margin-top:25.9pt;height:15pt;width:87.15pt;mso-position-horizontal-relative:page;z-index:-251656192;mso-width-relative:page;mso-height-relative:page;" coordorigin="4019,518" coordsize="1743,300" o:gfxdata="UEsDBAoAAAAAAIdO4kAAAAAAAAAAAAAAAAAEAAAAZHJzL1BLAwQUAAAACACHTuJA1Q9/Q9kAAAAJ&#10;AQAADwAAAGRycy9kb3ducmV2LnhtbE2PQU/DMAyF70j8h8hI3FgSoGMqTSc0AacJiQ0JcfMar63W&#10;OFWTtdu/JzvByfLz03ufi+XJdWKkIbSeDeiZAkFcedtybeBr+3a3ABEissXOMxk4U4BleX1VYG79&#10;xJ80bmItUgiHHA00Mfa5lKFqyGGY+Z443fZ+cBjTOtTSDjilcNfJe6Xm0mHLqaHBnlYNVYfN0Rl4&#10;n3B6edCv4/qwX51/ttnH91qTMbc3Wj2DiHSKf2a44Cd0KBPTzh/ZBtEZeFQ6oUcD2WUmQ/Y01yB2&#10;BhZJkGUh/39Q/gJQSwMEFAAAAAgAh07iQFdyuA6EAgAAhwcAAA4AAABkcnMvZTJvRG9jLnhtbNVV&#10;22obMRB9L/QfhN7r3fUlsRfbodSNKYTW9PIBsla7K7orCUm+5L3Q5q3v/ZRC/ybkNzqS1veGhhIC&#10;ffB6NNKMzpw5koYX67pCS6YNl2KEk1aMERNUZlwUI/zp4+WLPkbGEpGRSgo2wtfM4Ivx82fDlUpZ&#10;W5ayyphGkESYdKVGuLRWpVFkaMlqYlpSMQGTudQ1sTDURZRpsoLsdRW14/gsWkmdKS0pMwa8kzCJ&#10;m4z6IQllnnPKJpIuaiZsyKpZRSyUZEquDB57tHnOqH2X54ZZVI0wVGr9FzYBe+6+0XhI0kITVXLa&#10;QCAPgXBUU024gE23qSbEErTQ/CRVzamWRua2RWUdhUI8I1BFEh9xM9VyoXwtRboq1JZ0aNQR6/+c&#10;lr5dzjTi2QgPzjESpIaO3/38cvv9GwIHsLNSRQqLplp9UDPdOIowcgWvc127fygFrT2v11te2doi&#10;Cs4kic/6cQ8jCnPJIO7FDfG0hO64sG6cDDCC2V7SDz2h5etN9Hm3E0I7IS7a7cp8i6+MBWCRg7pF&#10;pjhN4ddwBtYJZ39XKkTZhWbQAZdNLGecznQY7HjrQF2Bt9sfv+5uvqK2L85FuEUhhDgsV5J+NkjI&#10;VyURBXtpFKgT+HD1RofL/fBgv3nF1SWvKke1sx/3uCCdsnrOQAX6TeYBkdRYzSwt3YY5bPwewDqg&#10;exMe5Q6YK8GARv6gCmgv3Cr77d1I4wxa6mVx2luljZ0yWSNnADIAAJ0gKVk2/QZSmyXOLaTjByCS&#10;tBIHDsAcPAdq2cH1dcAwdBaMJxDN9rBtRONZd5j+T9G0w6l9VNF07hNN0r3/RthI4glV4y8euJ/9&#10;6WjeEvcA7I/B3n8/x78BUEsDBAoAAAAAAIdO4kAAAAAAAAAAAAAAAAAKAAAAZHJzL21lZGlhL1BL&#10;AwQUAAAACACHTuJAYgQ2TpEAAACMAAAAFAAAAGRycy9tZWRpYS9pbWFnZTIucG5nAYwAc/+JUE5H&#10;DQoaCgAAAA1JSERSAAAA3AAAAC4IBgAAAEMAd5MAAAAJcEhZcwAAIdUAACHVAQSctJ0AAAA+SURB&#10;VHic7cGBAAAAAMOg+VMf4ApVAQAAAAAAAAAAAAAAAAAAAAAAAAAAAAAAAAAAAAAAAAAAAAAAAAAA&#10;8AaeTgABur8+OAAAAABJRU5ErkJgglBLAwQUAAAACACHTuJAxNR2VvQAAADvAAAAFAAAAGRycy9t&#10;ZWRpYS9pbWFnZTEucG5nAe8AEP+JUE5HDQoaCgAAAA1JSERSAAAA+gAAAH0IBgAAAItZfl0AAAAG&#10;YktHRAD/AP8A/6C9p5MAAAAJcEhZcwAADsQAAA7EAZUrDhsAAACPSURBVHic7cEBAQAAAIIg/69u&#10;SEABAAAAAAAAAAAAAAAAAAAAAAAAAAAAAAAAAAAAAAAAAAAAAAAAAAAAAAAAAAAAAAAAAAAAAAAA&#10;AAAAAAAAAAAAAAAAAAAAAAAAAAAAAAAAAAAAAAAAAAAAAAAAAAAAAAAAAAAAAAAAAAAAAAAAAAAA&#10;AAAAAAAAAAAAHBvo1AABZ9Pb+gAAAABJRU5ErkJgg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AoAAABkcnMvX3JlbHMvUEsDBBQAAAAIAIdO4kAubPAAvwAAAKUBAAAZAAAAZHJzL19yZWxzL2Uy&#10;b0RvYy54bWwucmVsc72QwYrCMBCG7wv7DmHu27Q9LLKY9iKCV3EfYEimabCZhCSKvr2BZUFB8OZx&#10;Zvi//2PW48Uv4kwpu8AKuqYFQayDcWwV/B62XysQuSAbXAKTgitlGIfPj/WeFiw1lGcXs6gUzgrm&#10;UuKPlFnP5DE3IRLXyxSSx1LHZGVEfURLsm/bb5nuGTA8MMXOKEg704M4XGNtfs0O0+Q0bYI+eeLy&#10;pEI6X7srEJOlosCTcfi37JvIFuRzh+49Dt2/g3x47nADUEsDBBQAAAAIAIdO4kB557oEBAEAABMC&#10;AAATAAAAW0NvbnRlbnRfVHlwZXNdLnhtbJWRwU7DMAyG70i8Q5QralN2QAit3YGOIyA0HiBK3Dai&#10;caI4lO3tSbpNgokh7Rjb3+8vyXK1tSObIJBxWPPbsuIMUDltsK/5++apuOeMokQtR4dQ8x0QXzXX&#10;V8vNzgOxRCPVfIjRPwhBagArqXQeMHU6F6yM6Rh64aX6kD2IRVXdCeUwAsYi5gzeLFvo5OcY2Xqb&#10;ynsTjz1nj/u5vKrmxmY+18WfRICRThDp/WiUjOluYkJ94lUcnMpEzjM0GE83SfzMhtz57fRzwYF7&#10;SY8ZjAb2KkN8ljaZCx1IaPeFAaby/5BsaalwXWcUlG2gNmFvMB2tzqXDwrVOXRq+nqljtpi/tPkG&#10;UEsBAhQAFAAAAAgAh07iQHnnugQEAQAAEwIAABMAAAAAAAAAAQAgAAAAJQgAAFtDb250ZW50X1R5&#10;cGVzXS54bWxQSwECFAAKAAAAAACHTuJAAAAAAAAAAAAAAAAABgAAAAAAAAAAABAAAADpBQAAX3Jl&#10;bHMvUEsBAhQAFAAAAAgAh07iQIoUZjzRAAAAlAEAAAsAAAAAAAAAAQAgAAAADQYAAF9yZWxzLy5y&#10;ZWxzUEsBAhQACgAAAAAAh07iQAAAAAAAAAAAAAAAAAQAAAAAAAAAAAAQAAAAAAAAAGRycy9QSwEC&#10;FAAKAAAAAACHTuJAAAAAAAAAAAAAAAAACgAAAAAAAAAAABAAAAAHBwAAZHJzL19yZWxzL1BLAQIU&#10;ABQAAAAIAIdO4kAubPAAvwAAAKUBAAAZAAAAAAAAAAEAIAAAAC8HAABkcnMvX3JlbHMvZTJvRG9j&#10;LnhtbC5yZWxzUEsBAhQAFAAAAAgAh07iQNUPf0PZAAAACQEAAA8AAAAAAAAAAQAgAAAAIgAAAGRy&#10;cy9kb3ducmV2LnhtbFBLAQIUABQAAAAIAIdO4kBXcrgOhAIAAIcHAAAOAAAAAAAAAAEAIAAAACgB&#10;AABkcnMvZTJvRG9jLnhtbFBLAQIUAAoAAAAAAIdO4kAAAAAAAAAAAAAAAAAKAAAAAAAAAAAAEAAA&#10;ANgDAABkcnMvbWVkaWEvUEsBAhQAFAAAAAgAh07iQMTUdlb0AAAA7wAAABQAAAAAAAAAAQAgAAAA&#10;wwQAAGRycy9tZWRpYS9pbWFnZTEucG5nUEsBAhQAFAAAAAgAh07iQGIENk6RAAAAjAAAABQAAAAA&#10;AAAAAQAgAAAAAAQAAGRycy9tZWRpYS9pbWFnZTIucG5nUEsFBgAAAAALAAsAlAIAAFoJAAAAAA==&#10;">
                <o:lock v:ext="edit" aspectratio="f"/>
                <v:shape id="图片 20" o:spid="_x0000_s1026" o:spt="75" type="#_x0000_t75" style="position:absolute;left:4018;top:518;height:300;width:600;" filled="f" o:preferrelative="t" stroked="f" coordsize="21600,21600" o:gfxdata="UEsDBAoAAAAAAIdO4kAAAAAAAAAAAAAAAAAEAAAAZHJzL1BLAwQUAAAACACHTuJAysO/dLwAAADb&#10;AAAADwAAAGRycy9kb3ducmV2LnhtbEWPzWoCQRCE74G8w9ABb3FGxWBWR4mCIHgxKuTa7nR2N9np&#10;WXfav7d3AgGPRVV9RU1mV1+rM7WxCmyh1zWgiPPgKi4s7HfL1xGoKMgO68Bk4UYRZtPnpwlmLlz4&#10;k85bKVSCcMzQQinSZFrHvCSPsRsa4uR9h9ajJNkW2rV4SXBf674xb9pjxWmhxIYWJeW/25O3QMWP&#10;8VJv1ubYmMPu49197edibeelZ8aghK7yCP+3V87CYAh/X9IP0NM7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rDv3S8AAAA&#10;2wAAAA8AAAAAAAAAAQAgAAAAIgAAAGRycy9kb3ducmV2LnhtbFBLAQIUABQAAAAIAIdO4kAzLwWe&#10;OwAAADkAAAAQAAAAAAAAAAEAIAAAAAsBAABkcnMvc2hhcGV4bWwueG1sUEsFBgAAAAAGAAYAWwEA&#10;ALUDAAAAAA==&#10;">
                  <v:fill on="f" focussize="0,0"/>
                  <v:stroke on="f"/>
                  <v:imagedata r:id="rId13" o:title=""/>
                  <o:lock v:ext="edit" aspectratio="t"/>
                </v:shape>
                <v:shape id="图片 21" o:spid="_x0000_s1026" o:spt="75" type="#_x0000_t75" style="position:absolute;left:4318;top:518;height:300;width:1443;" filled="f" o:preferrelative="t" stroked="f" coordsize="21600,21600" o:gfxdata="UEsDBAoAAAAAAIdO4kAAAAAAAAAAAAAAAAAEAAAAZHJzL1BLAwQUAAAACACHTuJAniBV8boAAADb&#10;AAAADwAAAGRycy9kb3ducmV2LnhtbEWPT4vCMBTE78J+h/CEvWlS139UowdBWfSk7t4fzbMtNi8l&#10;yVb32xtB8DjMzG+Y5fpuG9GRD7VjDdlQgSAunKm51PBz3g7mIEJENtg4Jg3/FGC9+ugtMTfuxkfq&#10;TrEUCcIhRw1VjG0uZSgqshiGriVO3sV5izFJX0rj8ZbgtpEjpabSYs1pocKWNhUV19Of1bBXk/J3&#10;uqFZNrn6g+nGVo5wp/VnP1MLEJHu8R1+tb+Nhq8ZPL+kH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eIFXxugAAANsA&#10;AAAPAAAAAAAAAAEAIAAAACIAAABkcnMvZG93bnJldi54bWxQSwECFAAUAAAACACHTuJAMy8FnjsA&#10;AAA5AAAAEAAAAAAAAAABACAAAAAJAQAAZHJzL3NoYXBleG1sLnhtbFBLBQYAAAAABgAGAFsBAACz&#10;AwAAAAA=&#10;">
                  <v:fill on="f" focussize="0,0"/>
                  <v:stroke on="f"/>
                  <v:imagedata r:id="rId14" o:title=""/>
                  <o:lock v:ext="edit" aspectratio="t"/>
                </v:shape>
              </v:group>
            </w:pict>
          </mc:Fallback>
        </mc:AlternateContent>
      </w:r>
      <w:r>
        <w:rPr>
          <w:rFonts w:hint="eastAsia" w:ascii="宋体" w:hAnsi="宋体" w:eastAsia="宋体" w:cs="宋体"/>
          <w:color w:val="auto"/>
          <w:sz w:val="24"/>
          <w:szCs w:val="24"/>
          <w:highlight w:val="none"/>
          <w:lang w:val="en-US" w:bidi="ar-SA"/>
        </w:rPr>
        <w:drawing>
          <wp:anchor distT="0" distB="0" distL="114300" distR="114300" simplePos="0" relativeHeight="251661312" behindDoc="1" locked="0" layoutInCell="1" allowOverlap="1">
            <wp:simplePos x="0" y="0"/>
            <wp:positionH relativeFrom="page">
              <wp:posOffset>4648835</wp:posOffset>
            </wp:positionH>
            <wp:positionV relativeFrom="paragraph">
              <wp:posOffset>328930</wp:posOffset>
            </wp:positionV>
            <wp:extent cx="762000" cy="190500"/>
            <wp:effectExtent l="0" t="0" r="0" b="0"/>
            <wp:wrapNone/>
            <wp:docPr id="18"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a:picLocks noChangeAspect="1"/>
                    </pic:cNvPicPr>
                  </pic:nvPicPr>
                  <pic:blipFill>
                    <a:blip r:embed="rId15"/>
                    <a:stretch>
                      <a:fillRect/>
                    </a:stretch>
                  </pic:blipFill>
                  <pic:spPr>
                    <a:xfrm>
                      <a:off x="0" y="0"/>
                      <a:ext cx="762000" cy="190500"/>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662336" behindDoc="1" locked="0" layoutInCell="1" allowOverlap="1">
            <wp:simplePos x="0" y="0"/>
            <wp:positionH relativeFrom="page">
              <wp:posOffset>6078855</wp:posOffset>
            </wp:positionH>
            <wp:positionV relativeFrom="paragraph">
              <wp:posOffset>328930</wp:posOffset>
            </wp:positionV>
            <wp:extent cx="758825" cy="190500"/>
            <wp:effectExtent l="0" t="0" r="0" b="0"/>
            <wp:wrapNone/>
            <wp:docPr id="4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6.png"/>
                    <pic:cNvPicPr>
                      <a:picLocks noChangeAspect="1"/>
                    </pic:cNvPicPr>
                  </pic:nvPicPr>
                  <pic:blipFill>
                    <a:blip r:embed="rId15"/>
                    <a:stretch>
                      <a:fillRect/>
                    </a:stretch>
                  </pic:blipFill>
                  <pic:spPr>
                    <a:xfrm>
                      <a:off x="0" y="0"/>
                      <a:ext cx="758825" cy="190500"/>
                    </a:xfrm>
                    <a:prstGeom prst="rect">
                      <a:avLst/>
                    </a:prstGeom>
                    <a:noFill/>
                    <a:ln>
                      <a:noFill/>
                    </a:ln>
                  </pic:spPr>
                </pic:pic>
              </a:graphicData>
            </a:graphic>
          </wp:anchor>
        </w:drawing>
      </w:r>
      <w:r>
        <w:rPr>
          <w:rFonts w:hint="eastAsia" w:ascii="宋体" w:hAnsi="宋体" w:eastAsia="宋体" w:cs="宋体"/>
          <w:b/>
          <w:color w:val="auto"/>
          <w:w w:val="95"/>
          <w:sz w:val="24"/>
          <w:szCs w:val="24"/>
          <w:highlight w:val="none"/>
        </w:rPr>
        <w:t>发包人（全称）：</w:t>
      </w:r>
      <w:r>
        <w:rPr>
          <w:rFonts w:hint="eastAsia" w:ascii="宋体" w:hAnsi="宋体" w:eastAsia="宋体" w:cs="宋体"/>
          <w:b/>
          <w:color w:val="auto"/>
          <w:w w:val="95"/>
          <w:sz w:val="24"/>
          <w:szCs w:val="24"/>
          <w:highlight w:val="none"/>
          <w:u w:val="single"/>
        </w:rPr>
        <w:t xml:space="preserve">   </w:t>
      </w:r>
      <w:r>
        <w:rPr>
          <w:rFonts w:hint="eastAsia" w:ascii="宋体" w:hAnsi="宋体" w:eastAsia="宋体" w:cs="宋体"/>
          <w:b/>
          <w:color w:val="auto"/>
          <w:w w:val="95"/>
          <w:sz w:val="24"/>
          <w:szCs w:val="24"/>
          <w:highlight w:val="none"/>
          <w:u w:val="single"/>
          <w:lang w:val="en-US"/>
        </w:rPr>
        <w:t xml:space="preserve">                           </w:t>
      </w:r>
    </w:p>
    <w:p w14:paraId="546FD03B">
      <w:pPr>
        <w:pageBreakBefore w:val="0"/>
        <w:tabs>
          <w:tab w:val="left" w:pos="9630"/>
        </w:tabs>
        <w:kinsoku/>
        <w:wordWrap/>
        <w:overflowPunct/>
        <w:topLinePunct w:val="0"/>
        <w:autoSpaceDE/>
        <w:autoSpaceDN/>
        <w:bidi w:val="0"/>
        <w:adjustRightInd/>
        <w:snapToGrid/>
        <w:spacing w:line="400" w:lineRule="exact"/>
        <w:ind w:right="725"/>
        <w:textAlignment w:val="auto"/>
        <w:rPr>
          <w:rFonts w:hint="eastAsia" w:ascii="宋体" w:hAnsi="宋体" w:eastAsia="宋体" w:cs="宋体"/>
          <w:b/>
          <w:color w:val="auto"/>
          <w:w w:val="95"/>
          <w:sz w:val="24"/>
          <w:szCs w:val="24"/>
          <w:highlight w:val="none"/>
          <w:u w:val="single"/>
          <w:lang w:val="en-US"/>
        </w:rPr>
      </w:pPr>
      <w:r>
        <w:rPr>
          <w:rFonts w:hint="eastAsia" w:ascii="宋体" w:hAnsi="宋体" w:eastAsia="宋体" w:cs="宋体"/>
          <w:b/>
          <w:color w:val="auto"/>
          <w:w w:val="95"/>
          <w:sz w:val="24"/>
          <w:szCs w:val="24"/>
          <w:highlight w:val="none"/>
        </w:rPr>
        <w:t>承包人（全称）：</w:t>
      </w:r>
      <w:r>
        <w:rPr>
          <w:rFonts w:hint="eastAsia" w:ascii="宋体" w:hAnsi="宋体" w:eastAsia="宋体" w:cs="宋体"/>
          <w:b/>
          <w:color w:val="auto"/>
          <w:w w:val="95"/>
          <w:sz w:val="24"/>
          <w:szCs w:val="24"/>
          <w:highlight w:val="none"/>
          <w:u w:val="single"/>
          <w:lang w:val="en-US"/>
        </w:rPr>
        <w:t xml:space="preserve">                            </w:t>
      </w:r>
    </w:p>
    <w:p w14:paraId="7B14163A">
      <w:pPr>
        <w:keepNext w:val="0"/>
        <w:keepLines w:val="0"/>
        <w:pageBreakBefore w:val="0"/>
        <w:widowControl w:val="0"/>
        <w:tabs>
          <w:tab w:val="left" w:pos="9630"/>
        </w:tabs>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根据《中华人民共和国民法典》、《中华人民共和国建筑法》及有关法律规定，遵循平等、自愿、公平和诚实信用的原则，双方就</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及有关事项协商一致，共同达成如下协议：</w:t>
      </w:r>
    </w:p>
    <w:p w14:paraId="76EF9D9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一、工程概况</w:t>
      </w:r>
    </w:p>
    <w:p w14:paraId="4A498A0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工程名称：</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3A684C2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工程地点：</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56FF9AE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rPr>
        <w:t>工程立项批准文号：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099121F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4.</w:t>
      </w:r>
      <w:r>
        <w:rPr>
          <w:rFonts w:hint="eastAsia" w:ascii="宋体" w:hAnsi="宋体" w:eastAsia="宋体" w:cs="宋体"/>
          <w:color w:val="auto"/>
          <w:sz w:val="24"/>
          <w:szCs w:val="24"/>
          <w:highlight w:val="none"/>
        </w:rPr>
        <w:t>资金来源：</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70029B8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5.</w:t>
      </w:r>
      <w:r>
        <w:rPr>
          <w:rFonts w:hint="eastAsia" w:ascii="宋体" w:hAnsi="宋体" w:eastAsia="宋体" w:cs="宋体"/>
          <w:color w:val="auto"/>
          <w:sz w:val="24"/>
          <w:szCs w:val="24"/>
          <w:highlight w:val="none"/>
        </w:rPr>
        <w:t>工程内容：</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67C9252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6.工程承包范围：</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0A8BD61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二、合同工期</w:t>
      </w:r>
    </w:p>
    <w:p w14:paraId="5355495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计划开工日期：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rPr>
        <w:t xml:space="preserve"> 年</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lang w:val="en-US"/>
        </w:rPr>
        <w:t>月</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lang w:val="en-US"/>
        </w:rPr>
        <w:t>日。计划竣工日期：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rPr>
        <w:t>年</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lang w:val="en-US"/>
        </w:rPr>
        <w:t>月</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lang w:val="en-US"/>
        </w:rPr>
        <w:t>日。</w:t>
      </w:r>
    </w:p>
    <w:p w14:paraId="50AA435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工期总日历天数：</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lang w:val="en-US"/>
        </w:rPr>
        <w:t>日历天。工期总日历天数与根据前述计划开竣工日期计算的工期天数不一致的，以工期总日历天数为准。</w:t>
      </w:r>
    </w:p>
    <w:p w14:paraId="63BD814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质量标准</w:t>
      </w:r>
    </w:p>
    <w:p w14:paraId="4146894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drawing>
          <wp:anchor distT="0" distB="0" distL="114300" distR="114300" simplePos="0" relativeHeight="251663360" behindDoc="1" locked="0" layoutInCell="1" allowOverlap="1">
            <wp:simplePos x="0" y="0"/>
            <wp:positionH relativeFrom="page">
              <wp:posOffset>2576195</wp:posOffset>
            </wp:positionH>
            <wp:positionV relativeFrom="paragraph">
              <wp:posOffset>161925</wp:posOffset>
            </wp:positionV>
            <wp:extent cx="571500" cy="190500"/>
            <wp:effectExtent l="0" t="0" r="0" b="0"/>
            <wp:wrapNone/>
            <wp:docPr id="28"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7.png"/>
                    <pic:cNvPicPr>
                      <a:picLocks noChangeAspect="1"/>
                    </pic:cNvPicPr>
                  </pic:nvPicPr>
                  <pic:blipFill>
                    <a:blip r:embed="rId16"/>
                    <a:stretch>
                      <a:fillRect/>
                    </a:stretch>
                  </pic:blipFill>
                  <pic:spPr>
                    <a:xfrm>
                      <a:off x="0" y="0"/>
                      <a:ext cx="571500" cy="190500"/>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rPr>
        <w:drawing>
          <wp:anchor distT="0" distB="0" distL="114300" distR="114300" simplePos="0" relativeHeight="251664384" behindDoc="1" locked="0" layoutInCell="1" allowOverlap="1">
            <wp:simplePos x="0" y="0"/>
            <wp:positionH relativeFrom="page">
              <wp:posOffset>3338195</wp:posOffset>
            </wp:positionH>
            <wp:positionV relativeFrom="paragraph">
              <wp:posOffset>161925</wp:posOffset>
            </wp:positionV>
            <wp:extent cx="571500" cy="190500"/>
            <wp:effectExtent l="0" t="0" r="0" b="0"/>
            <wp:wrapNone/>
            <wp:docPr id="1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9"/>
                    <pic:cNvPicPr>
                      <a:picLocks noChangeAspect="1"/>
                    </pic:cNvPicPr>
                  </pic:nvPicPr>
                  <pic:blipFill>
                    <a:blip r:embed="rId16"/>
                    <a:stretch>
                      <a:fillRect/>
                    </a:stretch>
                  </pic:blipFill>
                  <pic:spPr>
                    <a:xfrm>
                      <a:off x="0" y="0"/>
                      <a:ext cx="571500" cy="190500"/>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rPr>
        <w:t>工程质量符合</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lang w:val="en-US"/>
        </w:rPr>
        <w:t>。</w:t>
      </w:r>
    </w:p>
    <w:p w14:paraId="2DD78EC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四、签约合同价与合同价格形式</w:t>
      </w:r>
    </w:p>
    <w:p w14:paraId="13994B7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rPr>
        <w:t>签约合同价为：人民币</w:t>
      </w:r>
      <w:r>
        <w:rPr>
          <w:rFonts w:hint="eastAsia" w:ascii="宋体" w:hAnsi="宋体" w:eastAsia="宋体" w:cs="宋体"/>
          <w:color w:val="auto"/>
          <w:sz w:val="24"/>
          <w:szCs w:val="24"/>
          <w:highlight w:val="none"/>
          <w:u w:val="single"/>
          <w:lang w:val="en-US"/>
        </w:rPr>
        <w:t xml:space="preserve">（大写） </w:t>
      </w:r>
      <w:r>
        <w:rPr>
          <w:rFonts w:hint="eastAsia" w:ascii="宋体" w:hAnsi="宋体" w:eastAsia="宋体" w:cs="宋体"/>
          <w:color w:val="auto"/>
          <w:sz w:val="24"/>
          <w:szCs w:val="24"/>
          <w:highlight w:val="none"/>
          <w:u w:val="single"/>
          <w:lang w:val="en-US"/>
        </w:rPr>
        <w:tab/>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lang w:val="en-US"/>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rPr>
        <w:t>元)</w:t>
      </w:r>
      <w:r>
        <w:rPr>
          <w:rFonts w:hint="eastAsia" w:ascii="宋体" w:hAnsi="宋体" w:eastAsia="宋体" w:cs="宋体"/>
          <w:color w:val="auto"/>
          <w:sz w:val="24"/>
          <w:szCs w:val="24"/>
          <w:highlight w:val="none"/>
          <w:lang w:val="en-US"/>
        </w:rPr>
        <w:t xml:space="preserve">； </w:t>
      </w:r>
    </w:p>
    <w:p w14:paraId="43890AF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rPr>
        <w:t>合同价格形式：</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lang w:val="en-US"/>
        </w:rPr>
        <w:t>。</w:t>
      </w:r>
    </w:p>
    <w:p w14:paraId="710B0B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五、项目经理</w:t>
      </w:r>
    </w:p>
    <w:p w14:paraId="25E4848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drawing>
          <wp:anchor distT="0" distB="0" distL="114300" distR="114300" simplePos="0" relativeHeight="251666432" behindDoc="1" locked="0" layoutInCell="1" allowOverlap="1">
            <wp:simplePos x="0" y="0"/>
            <wp:positionH relativeFrom="page">
              <wp:posOffset>5240020</wp:posOffset>
            </wp:positionH>
            <wp:positionV relativeFrom="paragraph">
              <wp:posOffset>162560</wp:posOffset>
            </wp:positionV>
            <wp:extent cx="887095" cy="190500"/>
            <wp:effectExtent l="0" t="0" r="0" b="0"/>
            <wp:wrapNone/>
            <wp:docPr id="39"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1.png"/>
                    <pic:cNvPicPr>
                      <a:picLocks noChangeAspect="1"/>
                    </pic:cNvPicPr>
                  </pic:nvPicPr>
                  <pic:blipFill>
                    <a:blip r:embed="rId17"/>
                    <a:stretch>
                      <a:fillRect/>
                    </a:stretch>
                  </pic:blipFill>
                  <pic:spPr>
                    <a:xfrm>
                      <a:off x="0" y="0"/>
                      <a:ext cx="887095" cy="190500"/>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eastAsia="zh-CN"/>
        </w:rPr>
        <w:t>承包人项目经理：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lang w:val="en-US" w:eastAsia="zh-CN"/>
        </w:rPr>
        <w:t>。</w:t>
      </w:r>
    </w:p>
    <w:p w14:paraId="29070557">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drawing>
          <wp:anchor distT="0" distB="0" distL="114300" distR="114300" simplePos="0" relativeHeight="251665408" behindDoc="1" locked="0" layoutInCell="1" allowOverlap="1">
            <wp:simplePos x="0" y="0"/>
            <wp:positionH relativeFrom="page">
              <wp:posOffset>-898525</wp:posOffset>
            </wp:positionH>
            <wp:positionV relativeFrom="paragraph">
              <wp:posOffset>27305</wp:posOffset>
            </wp:positionV>
            <wp:extent cx="1179830" cy="190500"/>
            <wp:effectExtent l="0" t="0" r="0" b="0"/>
            <wp:wrapNone/>
            <wp:docPr id="21"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0.png"/>
                    <pic:cNvPicPr>
                      <a:picLocks noChangeAspect="1"/>
                    </pic:cNvPicPr>
                  </pic:nvPicPr>
                  <pic:blipFill>
                    <a:blip r:embed="rId18"/>
                    <a:stretch>
                      <a:fillRect/>
                    </a:stretch>
                  </pic:blipFill>
                  <pic:spPr>
                    <a:xfrm>
                      <a:off x="0" y="0"/>
                      <a:ext cx="1179830" cy="190500"/>
                    </a:xfrm>
                    <a:prstGeom prst="rect">
                      <a:avLst/>
                    </a:prstGeom>
                    <a:noFill/>
                    <a:ln>
                      <a:noFill/>
                    </a:ln>
                  </pic:spPr>
                </pic:pic>
              </a:graphicData>
            </a:graphic>
          </wp:anchor>
        </w:drawing>
      </w:r>
      <w:r>
        <w:rPr>
          <w:rFonts w:hint="eastAsia" w:ascii="宋体" w:hAnsi="宋体" w:eastAsia="宋体" w:cs="宋体"/>
          <w:b/>
          <w:bCs/>
          <w:color w:val="auto"/>
          <w:sz w:val="24"/>
          <w:szCs w:val="24"/>
          <w:highlight w:val="none"/>
          <w:lang w:val="en-US" w:eastAsia="zh-CN"/>
        </w:rPr>
        <w:t>六、合同文件构成</w:t>
      </w:r>
    </w:p>
    <w:p w14:paraId="3ABBC53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本协议书与下列文件一起构成合同文件：</w:t>
      </w:r>
    </w:p>
    <w:p w14:paraId="2942BC1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（1）成交通知书（如有）；</w:t>
      </w:r>
    </w:p>
    <w:p w14:paraId="505FBBC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（2）响应函及响应报价表（如有）；</w:t>
      </w:r>
    </w:p>
    <w:p w14:paraId="375E607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（3）专用合同条款及其附件；</w:t>
      </w:r>
    </w:p>
    <w:p w14:paraId="59870AD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（4）通用合同条款；</w:t>
      </w:r>
    </w:p>
    <w:p w14:paraId="32C5A9A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（5）技术标准和要求；</w:t>
      </w:r>
    </w:p>
    <w:p w14:paraId="34DF9EE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（6）图纸；</w:t>
      </w:r>
    </w:p>
    <w:p w14:paraId="052C2A9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（7）已标价工程量清单或预算书；</w:t>
      </w:r>
    </w:p>
    <w:p w14:paraId="3FB05F5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（8）其他合同文件。</w:t>
      </w:r>
    </w:p>
    <w:p w14:paraId="5476D5B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在合同订立及履行过程中形成的与合同有关的文件均构成合同文件组成部分。</w:t>
      </w:r>
    </w:p>
    <w:p w14:paraId="189E7D2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上述各项合同文件包括合同当事人就该项合同文件所作出的补充和修改，属于同一类内容的文件，应以最新签署的为准。专用合同条款及其附件须经合同当事人签字或盖章。</w:t>
      </w:r>
    </w:p>
    <w:p w14:paraId="35F0234C">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七、承诺</w:t>
      </w:r>
    </w:p>
    <w:p w14:paraId="1CD8DF2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1.发包人承诺按照法律规定履行项目审批手续、筹集工程建设资金并按照合同约定的期限和方式支付合同价款。</w:t>
      </w:r>
    </w:p>
    <w:p w14:paraId="62AA42D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2.承包人承诺按照法律规定及合同约定组织完成工程施工，确保工程质量和安全，不进行转包及违法分包，并在缺陷责任期及保修期内承担相应的工程维修责任。</w:t>
      </w:r>
    </w:p>
    <w:p w14:paraId="655422C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3.发包人和承包人通过磋商形式签订合同的，双方理解并承诺不再就同一工程另行签订与合同实质性内容相背离的协议。</w:t>
      </w:r>
    </w:p>
    <w:p w14:paraId="6C6EF972">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八、词语含义</w:t>
      </w:r>
    </w:p>
    <w:p w14:paraId="3B6F974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本协议书中词语含义与第二部分通用合同条款中赋予的含义相同。</w:t>
      </w:r>
    </w:p>
    <w:p w14:paraId="1BCB1770">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九、签订时间</w:t>
      </w:r>
    </w:p>
    <w:p w14:paraId="430F29C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本合同于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日签订。</w:t>
      </w:r>
    </w:p>
    <w:p w14:paraId="691FBF71">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十、</w:t>
      </w:r>
      <w:r>
        <w:rPr>
          <w:rFonts w:hint="eastAsia" w:ascii="宋体" w:hAnsi="宋体" w:eastAsia="宋体" w:cs="宋体"/>
          <w:b/>
          <w:bCs/>
          <w:color w:val="auto"/>
          <w:sz w:val="24"/>
          <w:szCs w:val="24"/>
          <w:highlight w:val="none"/>
          <w:lang w:val="en-US" w:eastAsia="zh-CN"/>
        </w:rPr>
        <w:t>签订地点</w:t>
      </w:r>
    </w:p>
    <w:p w14:paraId="03AF51D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本合同在</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签订。</w:t>
      </w:r>
    </w:p>
    <w:p w14:paraId="69C540D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十一、</w:t>
      </w:r>
      <w:r>
        <w:rPr>
          <w:rFonts w:hint="eastAsia" w:ascii="宋体" w:hAnsi="宋体" w:eastAsia="宋体" w:cs="宋体"/>
          <w:b/>
          <w:bCs/>
          <w:color w:val="auto"/>
          <w:sz w:val="24"/>
          <w:szCs w:val="24"/>
          <w:highlight w:val="none"/>
          <w:lang w:val="en-US" w:eastAsia="zh-CN"/>
        </w:rPr>
        <w:t>补充协议</w:t>
      </w:r>
    </w:p>
    <w:p w14:paraId="050EDC4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合同未尽事宜，合同当事人另行签订补充协议，补充协议是合同的组成部分。</w:t>
      </w:r>
    </w:p>
    <w:p w14:paraId="4D02BDD1">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十二、合同生效</w:t>
      </w:r>
    </w:p>
    <w:p w14:paraId="2B042C5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本合同自法定代表（双方）或委托人签字之日起生效。</w:t>
      </w:r>
    </w:p>
    <w:p w14:paraId="51BC274F">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drawing>
          <wp:anchor distT="0" distB="0" distL="114300" distR="114300" simplePos="0" relativeHeight="251682816" behindDoc="1" locked="0" layoutInCell="1" allowOverlap="1">
            <wp:simplePos x="0" y="0"/>
            <wp:positionH relativeFrom="page">
              <wp:posOffset>4857750</wp:posOffset>
            </wp:positionH>
            <wp:positionV relativeFrom="page">
              <wp:posOffset>6760845</wp:posOffset>
            </wp:positionV>
            <wp:extent cx="1975485" cy="190500"/>
            <wp:effectExtent l="0" t="0" r="0" b="0"/>
            <wp:wrapNone/>
            <wp:docPr id="2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2"/>
                    <pic:cNvPicPr>
                      <a:picLocks noChangeAspect="1"/>
                    </pic:cNvPicPr>
                  </pic:nvPicPr>
                  <pic:blipFill>
                    <a:blip r:embed="rId19"/>
                    <a:stretch>
                      <a:fillRect/>
                    </a:stretch>
                  </pic:blipFill>
                  <pic:spPr>
                    <a:xfrm>
                      <a:off x="0" y="0"/>
                      <a:ext cx="1975485" cy="190500"/>
                    </a:xfrm>
                    <a:prstGeom prst="rect">
                      <a:avLst/>
                    </a:prstGeom>
                    <a:noFill/>
                    <a:ln>
                      <a:noFill/>
                    </a:ln>
                  </pic:spPr>
                </pic:pic>
              </a:graphicData>
            </a:graphic>
          </wp:anchor>
        </w:drawing>
      </w:r>
      <w:r>
        <w:rPr>
          <w:rFonts w:hint="eastAsia" w:ascii="宋体" w:hAnsi="宋体" w:eastAsia="宋体" w:cs="宋体"/>
          <w:b/>
          <w:bCs/>
          <w:color w:val="auto"/>
          <w:sz w:val="24"/>
          <w:szCs w:val="24"/>
          <w:highlight w:val="none"/>
          <w:lang w:val="en-US" w:eastAsia="zh-CN"/>
        </w:rPr>
        <w:drawing>
          <wp:anchor distT="0" distB="0" distL="114300" distR="114300" simplePos="0" relativeHeight="251683840" behindDoc="1" locked="0" layoutInCell="1" allowOverlap="1">
            <wp:simplePos x="0" y="0"/>
            <wp:positionH relativeFrom="page">
              <wp:posOffset>2093595</wp:posOffset>
            </wp:positionH>
            <wp:positionV relativeFrom="page">
              <wp:posOffset>7131685</wp:posOffset>
            </wp:positionV>
            <wp:extent cx="1782445" cy="190500"/>
            <wp:effectExtent l="0" t="0" r="0" b="0"/>
            <wp:wrapNone/>
            <wp:docPr id="26"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a:picLocks noChangeAspect="1"/>
                    </pic:cNvPicPr>
                  </pic:nvPicPr>
                  <pic:blipFill>
                    <a:blip r:embed="rId20"/>
                    <a:stretch>
                      <a:fillRect/>
                    </a:stretch>
                  </pic:blipFill>
                  <pic:spPr>
                    <a:xfrm>
                      <a:off x="0" y="0"/>
                      <a:ext cx="1782445" cy="190500"/>
                    </a:xfrm>
                    <a:prstGeom prst="rect">
                      <a:avLst/>
                    </a:prstGeom>
                    <a:noFill/>
                    <a:ln>
                      <a:noFill/>
                    </a:ln>
                  </pic:spPr>
                </pic:pic>
              </a:graphicData>
            </a:graphic>
          </wp:anchor>
        </w:drawing>
      </w:r>
      <w:r>
        <w:rPr>
          <w:rFonts w:hint="eastAsia" w:ascii="宋体" w:hAnsi="宋体" w:eastAsia="宋体" w:cs="宋体"/>
          <w:b/>
          <w:bCs/>
          <w:color w:val="auto"/>
          <w:sz w:val="24"/>
          <w:szCs w:val="24"/>
          <w:highlight w:val="none"/>
          <w:lang w:val="en-US" w:eastAsia="zh-CN"/>
        </w:rPr>
        <w:drawing>
          <wp:anchor distT="0" distB="0" distL="114300" distR="114300" simplePos="0" relativeHeight="251684864" behindDoc="1" locked="0" layoutInCell="1" allowOverlap="1">
            <wp:simplePos x="0" y="0"/>
            <wp:positionH relativeFrom="page">
              <wp:posOffset>4857750</wp:posOffset>
            </wp:positionH>
            <wp:positionV relativeFrom="page">
              <wp:posOffset>7131685</wp:posOffset>
            </wp:positionV>
            <wp:extent cx="1975485" cy="190500"/>
            <wp:effectExtent l="0" t="0" r="0" b="0"/>
            <wp:wrapNone/>
            <wp:docPr id="2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4"/>
                    <pic:cNvPicPr>
                      <a:picLocks noChangeAspect="1"/>
                    </pic:cNvPicPr>
                  </pic:nvPicPr>
                  <pic:blipFill>
                    <a:blip r:embed="rId19"/>
                    <a:stretch>
                      <a:fillRect/>
                    </a:stretch>
                  </pic:blipFill>
                  <pic:spPr>
                    <a:xfrm>
                      <a:off x="0" y="0"/>
                      <a:ext cx="1975485" cy="190500"/>
                    </a:xfrm>
                    <a:prstGeom prst="rect">
                      <a:avLst/>
                    </a:prstGeom>
                    <a:noFill/>
                    <a:ln>
                      <a:noFill/>
                    </a:ln>
                  </pic:spPr>
                </pic:pic>
              </a:graphicData>
            </a:graphic>
          </wp:anchor>
        </w:drawing>
      </w:r>
      <w:r>
        <w:rPr>
          <w:rFonts w:hint="eastAsia" w:ascii="宋体" w:hAnsi="宋体" w:eastAsia="宋体" w:cs="宋体"/>
          <w:b/>
          <w:bCs/>
          <w:color w:val="auto"/>
          <w:sz w:val="24"/>
          <w:szCs w:val="24"/>
          <w:highlight w:val="none"/>
          <w:lang w:val="en-US" w:eastAsia="zh-CN"/>
        </w:rPr>
        <w:drawing>
          <wp:anchor distT="0" distB="0" distL="114300" distR="114300" simplePos="0" relativeHeight="251685888" behindDoc="1" locked="0" layoutInCell="1" allowOverlap="1">
            <wp:simplePos x="0" y="0"/>
            <wp:positionH relativeFrom="page">
              <wp:posOffset>1905000</wp:posOffset>
            </wp:positionH>
            <wp:positionV relativeFrom="page">
              <wp:posOffset>7501890</wp:posOffset>
            </wp:positionV>
            <wp:extent cx="1948180" cy="190500"/>
            <wp:effectExtent l="0" t="0" r="0" b="0"/>
            <wp:wrapNone/>
            <wp:docPr id="4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14.png"/>
                    <pic:cNvPicPr>
                      <a:picLocks noChangeAspect="1"/>
                    </pic:cNvPicPr>
                  </pic:nvPicPr>
                  <pic:blipFill>
                    <a:blip r:embed="rId21"/>
                    <a:stretch>
                      <a:fillRect/>
                    </a:stretch>
                  </pic:blipFill>
                  <pic:spPr>
                    <a:xfrm>
                      <a:off x="0" y="0"/>
                      <a:ext cx="1948180" cy="190500"/>
                    </a:xfrm>
                    <a:prstGeom prst="rect">
                      <a:avLst/>
                    </a:prstGeom>
                    <a:noFill/>
                    <a:ln>
                      <a:noFill/>
                    </a:ln>
                  </pic:spPr>
                </pic:pic>
              </a:graphicData>
            </a:graphic>
          </wp:anchor>
        </w:drawing>
      </w:r>
      <w:r>
        <w:rPr>
          <w:rFonts w:hint="eastAsia" w:ascii="宋体" w:hAnsi="宋体" w:eastAsia="宋体" w:cs="宋体"/>
          <w:b/>
          <w:bCs/>
          <w:color w:val="auto"/>
          <w:sz w:val="24"/>
          <w:szCs w:val="24"/>
          <w:highlight w:val="none"/>
          <w:lang w:val="en-US" w:eastAsia="zh-CN"/>
        </w:rPr>
        <mc:AlternateContent>
          <mc:Choice Requires="wpg">
            <w:drawing>
              <wp:anchor distT="0" distB="0" distL="114300" distR="114300" simplePos="0" relativeHeight="251686912" behindDoc="1" locked="0" layoutInCell="1" allowOverlap="1">
                <wp:simplePos x="0" y="0"/>
                <wp:positionH relativeFrom="page">
                  <wp:posOffset>4763135</wp:posOffset>
                </wp:positionH>
                <wp:positionV relativeFrom="page">
                  <wp:posOffset>7501890</wp:posOffset>
                </wp:positionV>
                <wp:extent cx="1713865" cy="190500"/>
                <wp:effectExtent l="0" t="0" r="0" b="0"/>
                <wp:wrapNone/>
                <wp:docPr id="98" name="组合 98"/>
                <wp:cNvGraphicFramePr/>
                <a:graphic xmlns:a="http://schemas.openxmlformats.org/drawingml/2006/main">
                  <a:graphicData uri="http://schemas.microsoft.com/office/word/2010/wordprocessingGroup">
                    <wpg:wgp>
                      <wpg:cNvGrpSpPr/>
                      <wpg:grpSpPr>
                        <a:xfrm>
                          <a:off x="0" y="0"/>
                          <a:ext cx="1713865" cy="190500"/>
                          <a:chOff x="7501" y="11815"/>
                          <a:chExt cx="2699" cy="300"/>
                        </a:xfrm>
                        <a:effectLst/>
                      </wpg:grpSpPr>
                      <pic:pic xmlns:pic="http://schemas.openxmlformats.org/drawingml/2006/picture">
                        <pic:nvPicPr>
                          <pic:cNvPr id="44" name="图片 24"/>
                          <pic:cNvPicPr>
                            <a:picLocks noChangeAspect="1"/>
                          </pic:cNvPicPr>
                        </pic:nvPicPr>
                        <pic:blipFill>
                          <a:blip r:embed="rId22"/>
                          <a:stretch>
                            <a:fillRect/>
                          </a:stretch>
                        </pic:blipFill>
                        <pic:spPr>
                          <a:xfrm>
                            <a:off x="7501" y="11814"/>
                            <a:ext cx="2098" cy="300"/>
                          </a:xfrm>
                          <a:prstGeom prst="rect">
                            <a:avLst/>
                          </a:prstGeom>
                          <a:noFill/>
                          <a:ln>
                            <a:noFill/>
                          </a:ln>
                          <a:effectLst/>
                        </pic:spPr>
                      </pic:pic>
                      <pic:pic xmlns:pic="http://schemas.openxmlformats.org/drawingml/2006/picture">
                        <pic:nvPicPr>
                          <pic:cNvPr id="46" name="图片 25"/>
                          <pic:cNvPicPr>
                            <a:picLocks noChangeAspect="1"/>
                          </pic:cNvPicPr>
                        </pic:nvPicPr>
                        <pic:blipFill>
                          <a:blip r:embed="rId16"/>
                          <a:stretch>
                            <a:fillRect/>
                          </a:stretch>
                        </pic:blipFill>
                        <pic:spPr>
                          <a:xfrm>
                            <a:off x="9299" y="11814"/>
                            <a:ext cx="900" cy="300"/>
                          </a:xfrm>
                          <a:prstGeom prst="rect">
                            <a:avLst/>
                          </a:prstGeom>
                          <a:noFill/>
                          <a:ln>
                            <a:noFill/>
                          </a:ln>
                          <a:effectLst/>
                        </pic:spPr>
                      </pic:pic>
                    </wpg:wgp>
                  </a:graphicData>
                </a:graphic>
              </wp:anchor>
            </w:drawing>
          </mc:Choice>
          <mc:Fallback>
            <w:pict>
              <v:group id="_x0000_s1026" o:spid="_x0000_s1026" o:spt="203" style="position:absolute;left:0pt;margin-left:375.05pt;margin-top:590.7pt;height:15pt;width:134.95pt;mso-position-horizontal-relative:page;mso-position-vertical-relative:page;z-index:-251629568;mso-width-relative:page;mso-height-relative:page;" coordorigin="7501,11815" coordsize="2699,300" o:gfxdata="UEsDBAoAAAAAAIdO4kAAAAAAAAAAAAAAAAAEAAAAZHJzL1BLAwQUAAAACACHTuJAVIVLW9sAAAAO&#10;AQAADwAAAGRycy9kb3ducmV2LnhtbE2PQU/DMAyF70j8h8hI3FiSwWAqTSc0AacJiQ1p2i1rvLZa&#10;41RN1m7/Hu8EN9vv6b3P+eLsWzFgH5tABvREgUAqg2uoMvCz+XiYg4jJkrNtIDRwwQiL4vYmt5kL&#10;I33jsE6V4BCKmTVQp9RlUsayRm/jJHRIrB1C723ita+k6+3I4b6VU6WepbcNcUNtO1zWWB7XJ2/g&#10;c7Tj26N+H1bHw/Ky28y+tiuNxtzfafUKIuE5/Znhis/oUDDTPpzIRdEaeJkpzVYW9Fw/gbhaFFeC&#10;2PM01XyTRS7/v1H8AlBLAwQUAAAACACHTuJAinrDMoYCAACNBwAADgAAAGRycy9lMm9Eb2MueG1s&#10;1VXbbhMxEH1H4h8sv5O9tEmTVZIKURohVRBx+QDH69212LUt27n0HQn6xjufgsTfVP0NZrzbpEmR&#10;qFCF4CGb8dgzPnPm2B6fbpqarIR1UqsJTXoxJUJxnUtVTuiH9+fPhpQ4z1TOaq3EhF4KR0+nT5+M&#10;1yYTqa50nQtLIIly2dpMaOW9yaLI8Uo0zPW0EQomC20b5mFoyyi3bA3ZmzpK43gQrbXNjdVcOAfe&#10;s3aSdhntQxLqopBcnGm+bITybVYrauahJFdJ4+g0oC0Kwf2bonDCk3pCoVIfvrAJ2Av8RtMxy0rL&#10;TCV5B4E9BMJBTQ2TCjbdpjpjnpGllfdSNZJb7XThe1w3UVtIYASqSOIDbmZWL02opczWpdmSDo06&#10;YP2P0/LXq7klMp/QEfRdsQY6fvP90/XXLwQcwM7alBksmlnzzsxt5yjbERa8KWyD/1AK2QReL7e8&#10;io0nHJzJSXI0HPQp4TCXjOJ+3BHPK+gOhp3044QSnE2GSb/tCq9edvHpYDRqg4/ayGi3rwhNvnAe&#10;oEUIdovNSJ7Br2MNrHus/V6rEOWXVkAPMJtazSWf23awY+74+Ja5628/bq4+k/QYK8AIXNSGMMRy&#10;oflHR5R+UTFViufOgD6hZlwd7S8Pw739FrU057KukWy0H/fAEJuJZiFAB/ZVHgCxzHkrPK9wwwI2&#10;fgtgEeidiYByBwxLcKCSX+hir8GBHpbdyiONUXuojfvtNdb5mdANQQPAAQZoBsvYqms58NotQbfS&#10;SBGgZFmt9hwAu/XsCWaHOJQCw7ZvYPwF3QwOdROUj5j+T92k7cF9TN2MUjz63cVwoJsRXAb/jmzC&#10;5QO3dDgh3YuCz8DdMdh3X9HpT1BLAwQKAAAAAACHTuJAAAAAAAAAAAAAAAAACgAAAGRycy9tZWRp&#10;YS9QSwMEFAAAAAgAh07iQDiLC5GjAAAAngAAABQAAABkcnMvbWVkaWEvaW1hZ2UxLnBuZwGeAGH/&#10;iVBORw0KGgoAAAANSUhEUgAAAUEAAAAuCAYAAAC226sKAAAACXBIWXMAACHVAAAh1QEEnLSdAAAA&#10;UElEQVR4nO3BgQAAAADDoPlTn+AGVQEAAAAAAAAAAAAAAAAAAAAAAAAAAAAAAAAAAAAAAAAAAAAA&#10;AAAAAAAAAAAAAAAAAAAAAAAAAAAAAPAN5uYAAdhTtlYAAAAASUVORK5CYIJQSwMEFAAAAAgAh07i&#10;QHZdZewyAQAALQEAABQAAABkcnMvbWVkaWEvaW1hZ2UyLnBuZwEtAdL+iVBORw0KGgoAAAANSUhE&#10;UgAAAXcAAAB9CAYAAABZLCMsAAAABmJLR0QA/wD/AP+gvaeTAAAACXBIWXMAAA7EAAAOxAGVKw4b&#10;AAAAzUlEQVR4nO3BMQEAAADCoPVPbQdvoAAAAAAAAAAAAAAAAAAAAAAAAAAAAAAAAAAAAAAAAAAA&#10;AAAAAAAAAAAAAAAAAAAAAAAAAAAAAAAAAAAAAAAAAAAAAAAAAAAAAAAAAAAAAAAAAAAAAAAAAAAA&#10;AAAAAAAAAAAAAAAAAAAAAAAAAAAAAAAAAAAAAAAAAAAAAAAAAAAAAAAAAAAAAAAAAAAAAAAAAAAA&#10;AAAAAAAAAAAAAAAAAAAAAAAAAAAAAAAAAAAAAAAAAAAAAACA2wDdBwAB41fMogAAAABJRU5ErkJg&#10;g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Au&#10;bPAAvwAAAKUBAAAZAAAAZHJzL19yZWxzL2Uyb0RvYy54bWwucmVsc72QwYrCMBCG7wv7DmHu27Q9&#10;LLKY9iKCV3EfYEimabCZhCSKvr2BZUFB8OZxZvi//2PW48Uv4kwpu8AKuqYFQayDcWwV/B62XysQ&#10;uSAbXAKTgitlGIfPj/WeFiw1lGcXs6gUzgrmUuKPlFnP5DE3IRLXyxSSx1LHZGVEfURLsm/bb5nu&#10;GTA8MMXOKEg704M4XGNtfs0O0+Q0bYI+eeLypEI6X7srEJOlosCTcfi37JvIFuRzh+49Dt2/g3x4&#10;7nADUEsDBBQAAAAIAIdO4kB557oEBAEAABMCAAATAAAAW0NvbnRlbnRfVHlwZXNdLnhtbJWRwU7D&#10;MAyG70i8Q5QralN2QAit3YGOIyA0HiBK3DaicaI4lO3tSbpNgokh7Rjb3+8vyXK1tSObIJBxWPPb&#10;suIMUDltsK/5++apuOeMokQtR4dQ8x0QXzXXV8vNzgOxRCPVfIjRPwhBagArqXQeMHU6F6yM6Rh6&#10;4aX6kD2IRVXdCeUwAsYi5gzeLFvo5OcY2XqbynsTjz1nj/u5vKrmxmY+18WfRICRThDp/WiUjOlu&#10;YkJ94lUcnMpEzjM0GE83SfzMhtz57fRzwYF7SY8ZjAb2KkN8ljaZCx1IaPeFAaby/5BsaalwXWcU&#10;lG2gNmFvMB2tzqXDwrVOXRq+nqljtpi/tPkGUEsBAhQAFAAAAAgAh07iQHnnugQEAQAAEwIAABMA&#10;AAAAAAAAAQAgAAAAeQgAAFtDb250ZW50X1R5cGVzXS54bWxQSwECFAAKAAAAAACHTuJAAAAAAAAA&#10;AAAAAAAABgAAAAAAAAAAABAAAAA9BgAAX3JlbHMvUEsBAhQAFAAAAAgAh07iQIoUZjzRAAAAlAEA&#10;AAsAAAAAAAAAAQAgAAAAYQYAAF9yZWxzLy5yZWxzUEsBAhQACgAAAAAAh07iQAAAAAAAAAAAAAAA&#10;AAQAAAAAAAAAAAAQAAAAAAAAAGRycy9QSwECFAAKAAAAAACHTuJAAAAAAAAAAAAAAAAACgAAAAAA&#10;AAAAABAAAABbBwAAZHJzL19yZWxzL1BLAQIUABQAAAAIAIdO4kAubPAAvwAAAKUBAAAZAAAAAAAA&#10;AAEAIAAAAIMHAABkcnMvX3JlbHMvZTJvRG9jLnhtbC5yZWxzUEsBAhQAFAAAAAgAh07iQFSFS1vb&#10;AAAADgEAAA8AAAAAAAAAAQAgAAAAIgAAAGRycy9kb3ducmV2LnhtbFBLAQIUABQAAAAIAIdO4kCK&#10;esMyhgIAAI0HAAAOAAAAAAAAAAEAIAAAACoBAABkcnMvZTJvRG9jLnhtbFBLAQIUAAoAAAAAAIdO&#10;4kAAAAAAAAAAAAAAAAAKAAAAAAAAAAAAEAAAANwDAABkcnMvbWVkaWEvUEsBAhQAFAAAAAgAh07i&#10;QDiLC5GjAAAAngAAABQAAAAAAAAAAQAgAAAABAQAAGRycy9tZWRpYS9pbWFnZTEucG5nUEsBAhQA&#10;FAAAAAgAh07iQHZdZewyAQAALQEAABQAAAAAAAAAAQAgAAAA2QQAAGRycy9tZWRpYS9pbWFnZTIu&#10;cG5nUEsFBgAAAAALAAsAlAIAAK4JAAAAAA==&#10;">
                <o:lock v:ext="edit" aspectratio="f"/>
                <v:shape id="图片 24" o:spid="_x0000_s1026" o:spt="75" type="#_x0000_t75" style="position:absolute;left:7501;top:11814;height:300;width:2098;" filled="f" o:preferrelative="t" stroked="f" coordsize="21600,21600" o:gfxdata="UEsDBAoAAAAAAIdO4kAAAAAAAAAAAAAAAAAEAAAAZHJzL1BLAwQUAAAACACHTuJA9mUMxrsAAADb&#10;AAAADwAAAGRycy9kb3ducmV2LnhtbEWPQYvCMBSE74L/ITzB25ooxZVq9FB20avd9eDt0TzbYvNS&#10;m2jrv98sCB6HmfmG2ewG24gHdb52rGE+UyCIC2dqLjX8/nx/rED4gGywcUwanuRhtx2PNpga1/OR&#10;HnkoRYSwT1FDFUKbSumLiiz6mWuJo3dxncUQZVdK02Ef4baRC6WW0mLNcaHClrKKimt+txpUjufj&#10;1+edFlk2nE97LpPbqdd6OpmrNYhAQ3iHX+2D0ZAk8P8l/g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mUMxrsAAADb&#10;AAAADwAAAAAAAAABACAAAAAiAAAAZHJzL2Rvd25yZXYueG1sUEsBAhQAFAAAAAgAh07iQDMvBZ47&#10;AAAAOQAAABAAAAAAAAAAAQAgAAAACgEAAGRycy9zaGFwZXhtbC54bWxQSwUGAAAAAAYABgBbAQAA&#10;tAMAAAAA&#10;">
                  <v:fill on="f" focussize="0,0"/>
                  <v:stroke on="f"/>
                  <v:imagedata r:id="rId22" o:title=""/>
                  <o:lock v:ext="edit" aspectratio="t"/>
                </v:shape>
                <v:shape id="图片 25" o:spid="_x0000_s1026" o:spt="75" type="#_x0000_t75" style="position:absolute;left:9299;top:11814;height:300;width:900;" filled="f" o:preferrelative="t" stroked="f" coordsize="21600,21600" o:gfxdata="UEsDBAoAAAAAAIdO4kAAAAAAAAAAAAAAAAAEAAAAZHJzL1BLAwQUAAAACACHTuJAt2EpAb4AAADb&#10;AAAADwAAAGRycy9kb3ducmV2LnhtbEWPzYvCMBTE78L+D+EteBFN/UCkGj10Efw4WQWvj+Y1rTYv&#10;pcmq+99vhIU9DjPzG2a1edlGPKjztWMF41ECgrhwumaj4HLeDhcgfEDW2DgmBT/kYbP+6K0w1e7J&#10;J3rkwYgIYZ+igiqENpXSFxVZ9CPXEkevdJ3FEGVnpO7wGeG2kZMkmUuLNceFClvKKiru+bdVcJ2a&#10;cnvYnSf77Ms0t4FelMesUKr/OU6WIAK9wn/4r73TCmZzeH+JP0C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2EpAb4A&#10;AADbAAAADwAAAAAAAAABACAAAAAiAAAAZHJzL2Rvd25yZXYueG1sUEsBAhQAFAAAAAgAh07iQDMv&#10;BZ47AAAAOQAAABAAAAAAAAAAAQAgAAAADQEAAGRycy9zaGFwZXhtbC54bWxQSwUGAAAAAAYABgBb&#10;AQAAtwMAAAAA&#10;">
                  <v:fill on="f" focussize="0,0"/>
                  <v:stroke on="f"/>
                  <v:imagedata r:id="rId16" o:title=""/>
                  <o:lock v:ext="edit" aspectratio="t"/>
                </v:shape>
              </v:group>
            </w:pict>
          </mc:Fallback>
        </mc:AlternateContent>
      </w:r>
      <w:r>
        <w:rPr>
          <w:rFonts w:hint="eastAsia" w:ascii="宋体" w:hAnsi="宋体" w:eastAsia="宋体" w:cs="宋体"/>
          <w:b/>
          <w:bCs/>
          <w:color w:val="auto"/>
          <w:sz w:val="24"/>
          <w:szCs w:val="24"/>
          <w:highlight w:val="none"/>
          <w:lang w:val="en-US" w:eastAsia="zh-CN"/>
        </w:rPr>
        <w:t>十三、合同份数</w:t>
      </w:r>
    </w:p>
    <w:p w14:paraId="45B1BF6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本合同一式</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份，均具有同等法律效力，发包人执</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份，承包人执</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份。</w:t>
      </w:r>
    </w:p>
    <w:p w14:paraId="688BE1D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p>
    <w:p w14:paraId="14F2F59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发包人：</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(公章)</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承包人：</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 xml:space="preserve">(公章)            </w:t>
      </w:r>
    </w:p>
    <w:p w14:paraId="708A4BD7">
      <w:pPr>
        <w:keepNext w:val="0"/>
        <w:keepLines w:val="0"/>
        <w:pageBreakBefore w:val="0"/>
        <w:widowControl w:val="0"/>
        <w:kinsoku/>
        <w:wordWrap/>
        <w:overflowPunct/>
        <w:topLinePunct w:val="0"/>
        <w:autoSpaceDE/>
        <w:autoSpaceDN/>
        <w:bidi w:val="0"/>
        <w:adjustRightInd/>
        <w:snapToGrid/>
        <w:spacing w:line="500" w:lineRule="exact"/>
        <w:ind w:left="1919" w:leftChars="228" w:hanging="1440" w:hangingChars="6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法定代表人或其委托代理人：</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法定代表人或其委托代理人：</w:t>
      </w:r>
      <w:r>
        <w:rPr>
          <w:rFonts w:hint="eastAsia" w:ascii="宋体" w:hAnsi="宋体" w:eastAsia="宋体" w:cs="宋体"/>
          <w:color w:val="auto"/>
          <w:sz w:val="24"/>
          <w:szCs w:val="24"/>
          <w:highlight w:val="none"/>
          <w:u w:val="single"/>
          <w:lang w:val="en-US" w:eastAsia="zh-CN"/>
        </w:rPr>
        <w:t xml:space="preserve">   </w:t>
      </w:r>
    </w:p>
    <w:p w14:paraId="1FEB9991">
      <w:pPr>
        <w:keepNext w:val="0"/>
        <w:keepLines w:val="0"/>
        <w:pageBreakBefore w:val="0"/>
        <w:widowControl w:val="0"/>
        <w:kinsoku/>
        <w:wordWrap/>
        <w:overflowPunct/>
        <w:topLinePunct w:val="0"/>
        <w:autoSpaceDE/>
        <w:autoSpaceDN/>
        <w:bidi w:val="0"/>
        <w:adjustRightInd/>
        <w:snapToGrid/>
        <w:spacing w:line="500" w:lineRule="exact"/>
        <w:ind w:left="1919" w:leftChars="228" w:hanging="1440" w:hangingChars="6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single"/>
          <w:lang w:val="en-US" w:eastAsia="zh-CN"/>
        </w:rPr>
        <w:t>（签字）</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（签字）                    </w:t>
      </w:r>
    </w:p>
    <w:p w14:paraId="07191E09">
      <w:pPr>
        <w:keepNext w:val="0"/>
        <w:keepLines w:val="0"/>
        <w:pageBreakBefore w:val="0"/>
        <w:widowControl w:val="0"/>
        <w:kinsoku/>
        <w:wordWrap/>
        <w:overflowPunct/>
        <w:topLinePunct w:val="0"/>
        <w:autoSpaceDE/>
        <w:autoSpaceDN/>
        <w:bidi w:val="0"/>
        <w:adjustRightInd/>
        <w:snapToGrid/>
        <w:spacing w:line="500" w:lineRule="exact"/>
        <w:ind w:left="719" w:leftChars="228" w:hanging="240" w:hangingChars="1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mc:AlternateContent>
          <mc:Choice Requires="wpg">
            <w:drawing>
              <wp:anchor distT="0" distB="0" distL="114300" distR="114300" simplePos="0" relativeHeight="251667456" behindDoc="1" locked="0" layoutInCell="1" allowOverlap="1">
                <wp:simplePos x="0" y="0"/>
                <wp:positionH relativeFrom="page">
                  <wp:posOffset>2475230</wp:posOffset>
                </wp:positionH>
                <wp:positionV relativeFrom="paragraph">
                  <wp:posOffset>27305</wp:posOffset>
                </wp:positionV>
                <wp:extent cx="1362075" cy="190500"/>
                <wp:effectExtent l="0" t="0" r="0" b="0"/>
                <wp:wrapNone/>
                <wp:docPr id="99" name="组合 99"/>
                <wp:cNvGraphicFramePr/>
                <a:graphic xmlns:a="http://schemas.openxmlformats.org/drawingml/2006/main">
                  <a:graphicData uri="http://schemas.microsoft.com/office/word/2010/wordprocessingGroup">
                    <wpg:wgp>
                      <wpg:cNvGrpSpPr/>
                      <wpg:grpSpPr>
                        <a:xfrm>
                          <a:off x="0" y="0"/>
                          <a:ext cx="1362075" cy="190500"/>
                          <a:chOff x="3899" y="43"/>
                          <a:chExt cx="2145" cy="300"/>
                        </a:xfrm>
                        <a:effectLst/>
                      </wpg:grpSpPr>
                      <pic:pic xmlns:pic="http://schemas.openxmlformats.org/drawingml/2006/picture">
                        <pic:nvPicPr>
                          <pic:cNvPr id="47" name="图片 27"/>
                          <pic:cNvPicPr>
                            <a:picLocks noChangeAspect="1"/>
                          </pic:cNvPicPr>
                        </pic:nvPicPr>
                        <pic:blipFill>
                          <a:blip r:embed="rId23"/>
                          <a:stretch>
                            <a:fillRect/>
                          </a:stretch>
                        </pic:blipFill>
                        <pic:spPr>
                          <a:xfrm>
                            <a:off x="3898" y="43"/>
                            <a:ext cx="677" cy="300"/>
                          </a:xfrm>
                          <a:prstGeom prst="rect">
                            <a:avLst/>
                          </a:prstGeom>
                          <a:noFill/>
                          <a:ln>
                            <a:noFill/>
                          </a:ln>
                          <a:effectLst/>
                        </pic:spPr>
                      </pic:pic>
                      <pic:pic xmlns:pic="http://schemas.openxmlformats.org/drawingml/2006/picture">
                        <pic:nvPicPr>
                          <pic:cNvPr id="49" name="图片 28"/>
                          <pic:cNvPicPr>
                            <a:picLocks noChangeAspect="1"/>
                          </pic:cNvPicPr>
                        </pic:nvPicPr>
                        <pic:blipFill>
                          <a:blip r:embed="rId24"/>
                          <a:stretch>
                            <a:fillRect/>
                          </a:stretch>
                        </pic:blipFill>
                        <pic:spPr>
                          <a:xfrm>
                            <a:off x="4501" y="43"/>
                            <a:ext cx="1543" cy="300"/>
                          </a:xfrm>
                          <a:prstGeom prst="rect">
                            <a:avLst/>
                          </a:prstGeom>
                          <a:noFill/>
                          <a:ln>
                            <a:noFill/>
                          </a:ln>
                          <a:effectLst/>
                        </pic:spPr>
                      </pic:pic>
                    </wpg:wgp>
                  </a:graphicData>
                </a:graphic>
              </wp:anchor>
            </w:drawing>
          </mc:Choice>
          <mc:Fallback>
            <w:pict>
              <v:group id="_x0000_s1026" o:spid="_x0000_s1026" o:spt="203" style="position:absolute;left:0pt;margin-left:194.9pt;margin-top:2.15pt;height:15pt;width:107.25pt;mso-position-horizontal-relative:page;z-index:-251649024;mso-width-relative:page;mso-height-relative:page;" coordorigin="3899,43" coordsize="2145,300" o:gfxdata="UEsDBAoAAAAAAIdO4kAAAAAAAAAAAAAAAAAEAAAAZHJzL1BLAwQUAAAACACHTuJAoOhFI9cAAAAI&#10;AQAADwAAAGRycy9kb3ducmV2LnhtbE2PwU7DMAyG70i8Q2QkbiwphWmUphOagNOExIaEuHmt11Zr&#10;nKrJ2u3t8U5wsq3P+v05X55cp0YaQuvZQjIzoIhLX7VcW/javt0tQIWIXGHnmSycKcCyuL7KMav8&#10;xJ80bmKtJIRDhhaaGPtM61A25DDMfE8sbO8Hh1HGodbVgJOEu07fGzPXDluWCw32tGqoPGyOzsL7&#10;hNNLmryO68N+df7ZPn58rxOy9vYmMc+gIp3i3zJc9EUdCnHa+SNXQXUW0sWTqEcLDyko4XNzaXYC&#10;pOoi1/8fKH4BUEsDBBQAAAAIAIdO4kDJwdg6fwIAAIQHAAAOAAAAZHJzL2Uyb0RvYy54bWzVVduO&#10;0zAQfUfiHyy/01zabtuo6QpRtkJaQcXlA1zHSSwS27Ldy74jAW+88ylI/M1qf4Oxk95XYoVWCB6S&#10;2GPPzJkzx874clNXaMW04VKkOOqEGDFBZcZFkeIP76+eDTEyloiMVFKwFN8wgy8nT5+M1yphsSxl&#10;lTGNIIgwyVqluLRWJUFgaMlqYjpSMQGLudQ1sTDVRZBpsobodRXEYXgRrKXOlJaUGQPWabOI24j6&#10;IQFlnnPKppIuayZsE1WzilgoyZRcGTzxaPOcUfsmzw2zqEoxVGr9G5LAeOHewWRMkkITVXLaQiAP&#10;gXBSU024gKS7UFNiCVpqfhaq5lRLI3PbobIOmkI8I1BFFJ5wM9NyqXwtRbIu1I50aNQJ638clr5e&#10;zTXiWYpHI4wEqaHjdz8+3X77gsAA7KxVkcCmmVbv1Fy3hqKZuYI3ua7dF0pBG8/rzY5XtrGIgjHq&#10;XsThoI8RhbVoFPbDlnhaQnecW3fo0sNqr9u0hJYvW+c46rWe3cYt2CdlvsPXxgKuwCHdAVOcJvC0&#10;lMHojLLfCxW87FIzaICLJlZzTue6mexp6w22tN1+/3n39TOKB64C5+E2NS7EYbmW9KNBQr4oiSjY&#10;c6NAnECH2x0cb/fTo3yLiqsrXlWOaTd+3NOCdMLqBQMR6FeZB0QSYzWztHQJc0j8FsA6oAcLHuUe&#10;mCvBgETuEQV0Fy6Vg+5uhXExAPacKM5bq7SxMyZr5AYADPJDI0hCVm27gdN2izML6egBhCSpxJEB&#10;IDeWI7Hs0foyYNr0DAZ/QTO7o7bVzPD/1kzcHNrH1EyvH0b3aibqwx3x74jGXztwOfuz0f5I3O1/&#10;OIfx4c9z8gtQSwMECgAAAAAAh07iQAAAAAAAAAAAAAAAAAoAAABkcnMvbWVkaWEvUEsDBBQAAAAI&#10;AIdO4kA4MyfulAAAAI8AAAAUAAAAZHJzL21lZGlhL2ltYWdlMi5wbmcBjwBw/4lQTkcNChoKAAAA&#10;DUlIRFIAAADsAAAALggGAAAAK/P1qwAAAAlwSFlzAAAh1QAAIdUBBJy0nQAAAEFJREFUeJztwTEB&#10;AAAAwqD1T20MH6AAAAAAAAAAAAAAAAAAAAAAAAAAAAAAAAAAAAAAAAAAAAAAAAAAAAAAAACeBqnO&#10;AAGdp4OgAAAAAElFTkSuQmCCUEsDBBQAAAAIAIdO4kBmGeeDBAEAAP8AAAAUAAAAZHJzL21lZGlh&#10;L2ltYWdlMS5wbmcB/wAA/4lQTkcNChoKAAAADUlIRFIAAAEaAAAAfQgGAAAAfTWs7AAAAAZiS0dE&#10;AP8A/wD/oL2nkwAAAAlwSFlzAAAOxAAADsQBlSsOGwAAAJ9JREFUeJztwQEBAAAAgiD/r25IQAEA&#10;AAAAAAAAAAAAAAAAAAAAAAAAAAAAAAAAAAAAAAAAAAAAAAAAAAAAAAAAAAAAAAAAAAAAAAAAAAAA&#10;AAAAAAAAAAAAAAAAAAAAAAAAAAAAAAAAAAAAAAAAAAAAAAAAAAAAAAAAAAAAAAAAAAAAAAAAAAAA&#10;AAAAAAAAAAAAAAAAAAAAAAAAAADAuQEnYwAByI0vxwAAAABJRU5ErkJgg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AubPAAvwAAAKUBAAAZAAAA&#10;ZHJzL19yZWxzL2Uyb0RvYy54bWwucmVsc72QwYrCMBCG7wv7DmHu27Q9LLKY9iKCV3EfYEimabCZ&#10;hCSKvr2BZUFB8OZxZvi//2PW48Uv4kwpu8AKuqYFQayDcWwV/B62XysQuSAbXAKTgitlGIfPj/We&#10;Fiw1lGcXs6gUzgrmUuKPlFnP5DE3IRLXyxSSx1LHZGVEfURLsm/bb5nuGTA8MMXOKEg704M4XGNt&#10;fs0O0+Q0bYI+eeLypEI6X7srEJOlosCTcfi37JvIFuRzh+49Dt2/g3x47nADUEsDBBQAAAAIAIdO&#10;4kB557oEBAEAABMCAAATAAAAW0NvbnRlbnRfVHlwZXNdLnhtbJWRwU7DMAyG70i8Q5QralN2QAit&#10;3YGOIyA0HiBK3DaicaI4lO3tSbpNgokh7Rjb3+8vyXK1tSObIJBxWPPbsuIMUDltsK/5++apuOeM&#10;okQtR4dQ8x0QXzXXV8vNzgOxRCPVfIjRPwhBagArqXQeMHU6F6yM6Rh64aX6kD2IRVXdCeUwAsYi&#10;5gzeLFvo5OcY2XqbynsTjz1nj/u5vKrmxmY+18WfRICRThDp/WiUjOluYkJ94lUcnMpEzjM0GE83&#10;SfzMhtz57fRzwYF7SY8ZjAb2KkN8ljaZCx1IaPeFAaby/5BsaalwXWcUlG2gNmFvMB2tzqXDwrVO&#10;XRq+nqljtpi/tPkGUEsBAhQAFAAAAAgAh07iQHnnugQEAQAAEwIAABMAAAAAAAAAAQAgAAAAMQgA&#10;AFtDb250ZW50X1R5cGVzXS54bWxQSwECFAAKAAAAAACHTuJAAAAAAAAAAAAAAAAABgAAAAAAAAAA&#10;ABAAAAD1BQAAX3JlbHMvUEsBAhQAFAAAAAgAh07iQIoUZjzRAAAAlAEAAAsAAAAAAAAAAQAgAAAA&#10;GQYAAF9yZWxzLy5yZWxzUEsBAhQACgAAAAAAh07iQAAAAAAAAAAAAAAAAAQAAAAAAAAAAAAQAAAA&#10;AAAAAGRycy9QSwECFAAKAAAAAACHTuJAAAAAAAAAAAAAAAAACgAAAAAAAAAAABAAAAATBwAAZHJz&#10;L19yZWxzL1BLAQIUABQAAAAIAIdO4kAubPAAvwAAAKUBAAAZAAAAAAAAAAEAIAAAADsHAABkcnMv&#10;X3JlbHMvZTJvRG9jLnhtbC5yZWxzUEsBAhQAFAAAAAgAh07iQKDoRSPXAAAACAEAAA8AAAAAAAAA&#10;AQAgAAAAIgAAAGRycy9kb3ducmV2LnhtbFBLAQIUABQAAAAIAIdO4kDJwdg6fwIAAIQHAAAOAAAA&#10;AAAAAAEAIAAAACYBAABkcnMvZTJvRG9jLnhtbFBLAQIUAAoAAAAAAIdO4kAAAAAAAAAAAAAAAAAK&#10;AAAAAAAAAAAAEAAAANEDAABkcnMvbWVkaWEvUEsBAhQAFAAAAAgAh07iQGYZ54MEAQAA/wAAABQA&#10;AAAAAAAAAQAgAAAAvwQAAGRycy9tZWRpYS9pbWFnZTEucG5nUEsBAhQAFAAAAAgAh07iQDgzJ+6U&#10;AAAAjwAAABQAAAAAAAAAAQAgAAAA+QMAAGRycy9tZWRpYS9pbWFnZTIucG5nUEsFBgAAAAALAAsA&#10;lAIAAGYJAAAAAA==&#10;">
                <o:lock v:ext="edit" aspectratio="f"/>
                <v:shape id="图片 27" o:spid="_x0000_s1026" o:spt="75" type="#_x0000_t75" style="position:absolute;left:3898;top:43;height:300;width:677;" filled="f" o:preferrelative="t" stroked="f" coordsize="21600,21600" o:gfxdata="UEsDBAoAAAAAAIdO4kAAAAAAAAAAAAAAAAAEAAAAZHJzL1BLAwQUAAAACACHTuJAIJCM8L0AAADb&#10;AAAADwAAAGRycy9kb3ducmV2LnhtbEWPT4vCMBTE7wt+h/AEb2taXapWowdhQS/d9Q94fTTPtti8&#10;lCRr9dubhYU9DjPzG2a1eZhW3Mn5xrKCdJyAIC6tbrhScD59vs9B+ICssbVMCp7kYbMevK0w17bn&#10;A92PoRIRwj5HBXUIXS6lL2sy6Me2I47e1TqDIUpXSe2wj3DTykmSZNJgw3Ghxo62NZW3449RYPtL&#10;VXazLLP7Yjr/ThfFl2sKpUbDNFmCCPQI/+G/9k4r+JjB75f4A+T6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kIzwvQAA&#10;ANsAAAAPAAAAAAAAAAEAIAAAACIAAABkcnMvZG93bnJldi54bWxQSwECFAAUAAAACACHTuJAMy8F&#10;njsAAAA5AAAAEAAAAAAAAAABACAAAAAMAQAAZHJzL3NoYXBleG1sLnhtbFBLBQYAAAAABgAGAFsB&#10;AAC2AwAAAAA=&#10;">
                  <v:fill on="f" focussize="0,0"/>
                  <v:stroke on="f"/>
                  <v:imagedata r:id="rId23" o:title=""/>
                  <o:lock v:ext="edit" aspectratio="t"/>
                </v:shape>
                <v:shape id="图片 28" o:spid="_x0000_s1026" o:spt="75" type="#_x0000_t75" style="position:absolute;left:4501;top:43;height:300;width:1543;" filled="f" o:preferrelative="t" stroked="f" coordsize="21600,21600" o:gfxdata="UEsDBAoAAAAAAIdO4kAAAAAAAAAAAAAAAAAEAAAAZHJzL1BLAwQUAAAACACHTuJAY4J2Lr4AAADb&#10;AAAADwAAAGRycy9kb3ducmV2LnhtbEWPQWvCQBSE70L/w/IK3nSTImpTN9JWCkXxUFvo9TX7moRk&#10;34bdNdF/7wqCx2FmvmFW65NpRU/O15YVpNMEBHFhdc2lgp/vj8kShA/IGlvLpOBMHtb5w2iFmbYD&#10;f1F/CKWIEPYZKqhC6DIpfVGRQT+1HXH0/q0zGKJ0pdQOhwg3rXxKkrk0WHNcqLCj94qK5nA0Cgbc&#10;9xuvF29/8+Nylm4bF15/d0qNH9PkBUSgU7iHb+1PrWD2DNcv8QfI/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4J2Lr4A&#10;AADbAAAADwAAAAAAAAABACAAAAAiAAAAZHJzL2Rvd25yZXYueG1sUEsBAhQAFAAAAAgAh07iQDMv&#10;BZ47AAAAOQAAABAAAAAAAAAAAQAgAAAADQEAAGRycy9zaGFwZXhtbC54bWxQSwUGAAAAAAYABgBb&#10;AQAAtwMAAAAA&#10;">
                  <v:fill on="f" focussize="0,0"/>
                  <v:stroke on="f"/>
                  <v:imagedata r:id="rId24" o:title=""/>
                  <o:lock v:ext="edit" aspectratio="t"/>
                </v:shape>
              </v:group>
            </w:pict>
          </mc:Fallback>
        </mc:AlternateContent>
      </w:r>
      <w:r>
        <w:rPr>
          <w:rFonts w:hint="eastAsia" w:ascii="宋体" w:hAnsi="宋体" w:eastAsia="宋体" w:cs="宋体"/>
          <w:color w:val="auto"/>
          <w:sz w:val="24"/>
          <w:szCs w:val="24"/>
          <w:highlight w:val="none"/>
          <w:lang w:val="en-US" w:eastAsia="zh-CN"/>
        </w:rPr>
        <mc:AlternateContent>
          <mc:Choice Requires="wpg">
            <w:drawing>
              <wp:anchor distT="0" distB="0" distL="114300" distR="114300" simplePos="0" relativeHeight="251668480" behindDoc="1" locked="0" layoutInCell="1" allowOverlap="1">
                <wp:simplePos x="0" y="0"/>
                <wp:positionH relativeFrom="page">
                  <wp:posOffset>5238750</wp:posOffset>
                </wp:positionH>
                <wp:positionV relativeFrom="paragraph">
                  <wp:posOffset>27305</wp:posOffset>
                </wp:positionV>
                <wp:extent cx="891540" cy="190500"/>
                <wp:effectExtent l="0" t="0" r="0" b="0"/>
                <wp:wrapNone/>
                <wp:docPr id="100" name="组合 100"/>
                <wp:cNvGraphicFramePr/>
                <a:graphic xmlns:a="http://schemas.openxmlformats.org/drawingml/2006/main">
                  <a:graphicData uri="http://schemas.microsoft.com/office/word/2010/wordprocessingGroup">
                    <wpg:wgp>
                      <wpg:cNvGrpSpPr/>
                      <wpg:grpSpPr>
                        <a:xfrm>
                          <a:off x="0" y="0"/>
                          <a:ext cx="891540" cy="190500"/>
                          <a:chOff x="8250" y="43"/>
                          <a:chExt cx="1404" cy="300"/>
                        </a:xfrm>
                        <a:effectLst/>
                      </wpg:grpSpPr>
                      <pic:pic xmlns:pic="http://schemas.openxmlformats.org/drawingml/2006/picture">
                        <pic:nvPicPr>
                          <pic:cNvPr id="30" name="图片 30"/>
                          <pic:cNvPicPr>
                            <a:picLocks noChangeAspect="1"/>
                          </pic:cNvPicPr>
                        </pic:nvPicPr>
                        <pic:blipFill>
                          <a:blip r:embed="rId23"/>
                          <a:stretch>
                            <a:fillRect/>
                          </a:stretch>
                        </pic:blipFill>
                        <pic:spPr>
                          <a:xfrm>
                            <a:off x="8250" y="43"/>
                            <a:ext cx="677" cy="300"/>
                          </a:xfrm>
                          <a:prstGeom prst="rect">
                            <a:avLst/>
                          </a:prstGeom>
                          <a:noFill/>
                          <a:ln>
                            <a:noFill/>
                          </a:ln>
                          <a:effectLst/>
                        </pic:spPr>
                      </pic:pic>
                      <pic:pic xmlns:pic="http://schemas.openxmlformats.org/drawingml/2006/picture">
                        <pic:nvPicPr>
                          <pic:cNvPr id="32" name="图片 31"/>
                          <pic:cNvPicPr>
                            <a:picLocks noChangeAspect="1"/>
                          </pic:cNvPicPr>
                        </pic:nvPicPr>
                        <pic:blipFill>
                          <a:blip r:embed="rId25"/>
                          <a:stretch>
                            <a:fillRect/>
                          </a:stretch>
                        </pic:blipFill>
                        <pic:spPr>
                          <a:xfrm>
                            <a:off x="8850" y="43"/>
                            <a:ext cx="804" cy="300"/>
                          </a:xfrm>
                          <a:prstGeom prst="rect">
                            <a:avLst/>
                          </a:prstGeom>
                          <a:noFill/>
                          <a:ln>
                            <a:noFill/>
                          </a:ln>
                          <a:effectLst/>
                        </pic:spPr>
                      </pic:pic>
                    </wpg:wgp>
                  </a:graphicData>
                </a:graphic>
              </wp:anchor>
            </w:drawing>
          </mc:Choice>
          <mc:Fallback>
            <w:pict>
              <v:group id="_x0000_s1026" o:spid="_x0000_s1026" o:spt="203" style="position:absolute;left:0pt;margin-left:412.5pt;margin-top:2.15pt;height:15pt;width:70.2pt;mso-position-horizontal-relative:page;z-index:-251648000;mso-width-relative:page;mso-height-relative:page;" coordorigin="8250,43" coordsize="1404,300" o:gfxdata="UEsDBAoAAAAAAIdO4kAAAAAAAAAAAAAAAAAEAAAAZHJzL1BLAwQUAAAACACHTuJAiNbD09kAAAAI&#10;AQAADwAAAGRycy9kb3ducmV2LnhtbE2PQUvDQBCF74L/YRnBm92kaUqNmRQp6qkItoJ42ybTJDQ7&#10;G7LbpP33jic9vnnDe9/L1xfbqZEG3zpGiGcRKOLSVS3XCJ/714cVKB8MV6ZzTAhX8rAubm9yk1Vu&#10;4g8ad6FWEsI+MwhNCH2mtS8bssbPXE8s3tEN1gSRQ62rwUwSbjs9j6KltqZlaWhMT5uGytPubBHe&#10;JjM9J/HLuD0dN9fvffr+tY0J8f4ujp5ABbqEv2f4xRd0KITp4M5cedUhrOapbAkIiwSU+I/LdAHq&#10;gJDIQRe5/j+g+AFQSwMEFAAAAAgAh07iQDWHsih8AgAAhAcAAA4AAABkcnMvZTJvRG9jLnhtbNVV&#10;22rcMBB9L/QfhN+79t6SjdjdULpNKIR26eUDtLJsi1oXJO0l74U2b33vpxT6NyG/0ZHkvTc0lBDo&#10;g21ppJk5c+ZIHp6vRI0WzFiu5Chpt7IEMUlVzmU5Sj59vHgxSJB1ROakVpKNkmtmk/Px82fDpcas&#10;oypV58wgCCItXupRUjmncZpaWjFBbEtpJmGxUEYQB1NTprkhS4gu6rSTZSfpUplcG0WZtWCdxMWk&#10;iWgeElAVBadsouhcMOliVMNq4qAkW3Ftk3FAWxSMundFYZlD9SiBSl14QxIYz/w7HQ8JLg3RFacN&#10;BPIQCAc1CcIlJN2EmhBH0Nzwo1CCU6OsKlyLKpHGQgIjUEU7O+Dm0qi5DrWUeFnqDenQqAPW/zks&#10;fbuYGsRzUEIGnEgioOV3P7/cfv+GvAX4WeoSw7ZLoz/oqWkMZZz5kleFEf4LxaBVYPZ6wyxbOUTB&#10;ODhr93sQn8JS+yzrx8gE0wra470GnT4sw2qvG3tCq9eNb7uX9aJnN7ql25wstPjKOoCVeqAbXJpT&#10;DE/DGYyOOPu7UsHLzQ2DDvhocjHldGriZMtbd0Pb7Y9fdzdfERgAjffwm6IL8ViuFP1skVSvKiJL&#10;9tJqUCfQ4Xen+9vDdC/frOb6gte1J9qPH/e4IIOZmDFQgXmTB0AEW2eYo5VPWEDi9wDWA91ZCCi3&#10;wHwJFhTyB00cdXeti5PT0/taq411l0wJ5AcADPJDIwgmi6bdwGmzxZul8vQAQoJruWcAyNGyJ5Yt&#10;2lAGTGPPYPAEmumsj9paM4F0j+n/1EwnHtpH1czg4EZYa2Zw/3WwFsQTaibcOnA5h6PR/Ej87b87&#10;h/Huz3P8G1BLAwQKAAAAAACHTuJAAAAAAAAAAAAAAAAACgAAAGRycy9tZWRpYS9QSwMEFAAAAAgA&#10;h07iQGYZ54MEAQAA/wAAABQAAABkcnMvbWVkaWEvaW1hZ2UxLnBuZwH/AAD/iVBORw0KGgoAAAAN&#10;SUhEUgAAARoAAAB9CAYAAAB9NazsAAAABmJLR0QA/wD/AP+gvaeTAAAACXBIWXMAAA7EAAAOxAGV&#10;Kw4bAAAAn0lEQVR4nO3BAQEAAACCIP+vbkhAAQAAAAAAAAAAAAAAAAAAAAAAAAAAAAAAAAAAAAAA&#10;AAAAAAAAAAAAAAAAAAAAAAAAAAAAAAAAAAAAAAAAAAAAAAAAAAAAAAAAAAAAAAAAAAAAAAAAAAAA&#10;AAAAAAAAAAAAAAAAAAAAAAAAAAAAAAAAAAAAAAAAAAAAAAAAAAAAAAAAAAAAAAAAAMC5ASdjAAHI&#10;jS/HAAAAAElFTkSuQmCCUEsDBBQAAAAIAIdO4kAklTbKfwAAAHoAAAAUAAAAZHJzL21lZGlhL2lt&#10;YWdlMi5wbmcBegCF/4lQTkcNChoKAAAADUlIRFIAAAB7AAAALggGAAAACIRmOwAAAAlwSFlzAAAh&#10;1QAAIdUBBJy0nQAAACxJREFUeJztwQEBAAAAgiD/r25IQAEAAAAAAAAAAAAAAAAAAAAAAAAAAAAf&#10;BliWAAHHm0TVAAAAAElFTkSuQmC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KAAAAAACHTuJAAAAAAAAAAAAAAAAACgAAAGRycy9f&#10;cmVscy9QSwMEFAAAAAgAh07iQC5s8AC/AAAApQEAABkAAABkcnMvX3JlbHMvZTJvRG9jLnhtbC5y&#10;ZWxzvZDBisIwEIbvC/sOYe7btD0sspj2IoJXcR9gSKZpsJmEJIq+vYFlQUHw5nFm+L//Y9bjxS/i&#10;TCm7wAq6pgVBrINxbBX8HrZfKxC5IBtcApOCK2UYh8+P9Z4WLDWUZxezqBTOCuZS4o+UWc/kMTch&#10;EtfLFJLHUsdkZUR9REuyb9tvme4ZMDwwxc4oSDvTgzhcY21+zQ7T5DRtgj554vKkQjpfuysQk6Wi&#10;wJNx+Lfsm8gW5HOH7j0O3b+DfHjucANQSwMEFAAAAAgAh07iQHnnugQEAQAAEwIAABMAAABbQ29u&#10;dGVudF9UeXBlc10ueG1slZHBTsMwDIbvSLxDlCtqU3ZACK3dgY4jIDQeIErcNqJxojiU7e1Juk2C&#10;iSHtGNvf7y/JcrW1I5sgkHFY89uy4gxQOW2wr/n75qm454yiRC1Hh1DzHRBfNddXy83OA7FEI9V8&#10;iNE/CEFqACupdB4wdToXrIzpGHrhpfqQPYhFVd0J5TACxiLmDN4sW+jk5xjZepvKexOPPWeP+7m8&#10;qubGZj7XxZ9EgJFOEOn9aJSM6W5iQn3iVRycykTOMzQYTzdJ/MyG3Pnt9HPBgXtJjxmMBvYqQ3yW&#10;NpkLHUho94UBpvL/kGxpqXBdZxSUbaA2YW8wHa3OpcPCtU5dGr6eqWO2mL+0+QZQSwECFAAUAAAA&#10;CACHTuJAeee6BAQBAAATAgAAEwAAAAAAAAABACAAAAAbCAAAW0NvbnRlbnRfVHlwZXNdLnhtbFBL&#10;AQIUAAoAAAAAAIdO4kAAAAAAAAAAAAAAAAAGAAAAAAAAAAAAEAAAAN8FAABfcmVscy9QSwECFAAU&#10;AAAACACHTuJAihRmPNEAAACUAQAACwAAAAAAAAABACAAAAADBgAAX3JlbHMvLnJlbHNQSwECFAAK&#10;AAAAAACHTuJAAAAAAAAAAAAAAAAABAAAAAAAAAAAABAAAAAAAAAAZHJzL1BLAQIUAAoAAAAAAIdO&#10;4kAAAAAAAAAAAAAAAAAKAAAAAAAAAAAAEAAAAP0GAABkcnMvX3JlbHMvUEsBAhQAFAAAAAgAh07i&#10;QC5s8AC/AAAApQEAABkAAAAAAAAAAQAgAAAAJQcAAGRycy9fcmVscy9lMm9Eb2MueG1sLnJlbHNQ&#10;SwECFAAUAAAACACHTuJAiNbD09kAAAAIAQAADwAAAAAAAAABACAAAAAiAAAAZHJzL2Rvd25yZXYu&#10;eG1sUEsBAhQAFAAAAAgAh07iQDWHsih8AgAAhAcAAA4AAAAAAAAAAQAgAAAAKAEAAGRycy9lMm9E&#10;b2MueG1sUEsBAhQACgAAAAAAh07iQAAAAAAAAAAAAAAAAAoAAAAAAAAAAAAQAAAA0AMAAGRycy9t&#10;ZWRpYS9QSwECFAAUAAAACACHTuJAZhnngwQBAAD/AAAAFAAAAAAAAAABACAAAAD4AwAAZHJzL21l&#10;ZGlhL2ltYWdlMS5wbmdQSwECFAAUAAAACACHTuJAJJU2yn8AAAB6AAAAFAAAAAAAAAABACAAAAAu&#10;BQAAZHJzL21lZGlhL2ltYWdlMi5wbmdQSwUGAAAAAAsACwCUAgAAUAkAAAAA&#10;">
                <o:lock v:ext="edit" aspectratio="f"/>
                <v:shape id="_x0000_s1026" o:spid="_x0000_s1026" o:spt="75" type="#_x0000_t75" style="position:absolute;left:8250;top:43;height:300;width:677;" filled="f" o:preferrelative="t" stroked="f" coordsize="21600,21600" o:gfxdata="UEsDBAoAAAAAAIdO4kAAAAAAAAAAAAAAAAAEAAAAZHJzL1BLAwQUAAAACACHTuJA939n+bkAAADb&#10;AAAADwAAAGRycy9kb3ducmV2LnhtbEVPTYvCMBC9C/6HMII3TatQ3a7RgyDopWp3Ya9DM9sWm0lJ&#10;onX//eYgeHy8783uaTrxIOdbywrSeQKCuLK65VrB99dhtgbhA7LGzjIp+CMPu+14tMFc24Gv9ChD&#10;LWII+xwVNCH0uZS+asign9ueOHK/1hkMEbpaaodDDDedXCRJJg22HBsa7GnfUHUr70aBHX7qql9l&#10;mT0Vy/Ul/SjOri2Umk7S5BNEoGd4i1/uo1awjOvjl/gD5PY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d/Z/m5AAAA2wAA&#10;AA8AAAAAAAAAAQAgAAAAIgAAAGRycy9kb3ducmV2LnhtbFBLAQIUABQAAAAIAIdO4kAzLwWeOwAA&#10;ADkAAAAQAAAAAAAAAAEAIAAAAAgBAABkcnMvc2hhcGV4bWwueG1sUEsFBgAAAAAGAAYAWwEAALID&#10;AAAAAA==&#10;">
                  <v:fill on="f" focussize="0,0"/>
                  <v:stroke on="f"/>
                  <v:imagedata r:id="rId23" o:title=""/>
                  <o:lock v:ext="edit" aspectratio="t"/>
                </v:shape>
                <v:shape id="图片 31" o:spid="_x0000_s1026" o:spt="75" type="#_x0000_t75" style="position:absolute;left:8850;top:43;height:300;width:804;" filled="f" o:preferrelative="t" stroked="f" coordsize="21600,21600" o:gfxdata="UEsDBAoAAAAAAIdO4kAAAAAAAAAAAAAAAAAEAAAAZHJzL1BLAwQUAAAACACHTuJAbCacsb0AAADb&#10;AAAADwAAAGRycy9kb3ducmV2LnhtbEWPS6vCMBSE94L/IRzB3TX1wVWq0YUoXBcivnB7bI5ttTnp&#10;beLr3xtBcDnMzDfMaPIwhbhR5XLLCtqtCARxYnXOqYLddv4zAOE8ssbCMil4koPJuF4bYaztndd0&#10;2/hUBAi7GBVk3pexlC7JyKBr2ZI4eCdbGfRBVqnUFd4D3BSyE0W/0mDOYSHDkqYZJZfN1Sgok//n&#10;cr/q7Zc0W1x3J+rPz4ejUs1GOxqC8PTw3/Cn/acVdDvw/hJ+gBy/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JpyxvQAA&#10;ANsAAAAPAAAAAAAAAAEAIAAAACIAAABkcnMvZG93bnJldi54bWxQSwECFAAUAAAACACHTuJAMy8F&#10;njsAAAA5AAAAEAAAAAAAAAABACAAAAAMAQAAZHJzL3NoYXBleG1sLnhtbFBLBQYAAAAABgAGAFsB&#10;AAC2AwAAAAA=&#10;">
                  <v:fill on="f" focussize="0,0"/>
                  <v:stroke on="f"/>
                  <v:imagedata r:id="rId25" o:title=""/>
                  <o:lock v:ext="edit" aspectratio="t"/>
                </v:shape>
              </v:group>
            </w:pict>
          </mc:Fallback>
        </mc:AlternateContent>
      </w:r>
      <w:r>
        <w:rPr>
          <w:rFonts w:hint="eastAsia" w:ascii="宋体" w:hAnsi="宋体" w:eastAsia="宋体" w:cs="宋体"/>
          <w:color w:val="auto"/>
          <w:sz w:val="24"/>
          <w:szCs w:val="24"/>
          <w:highlight w:val="none"/>
          <w:lang w:val="en-US" w:eastAsia="zh-CN"/>
        </w:rPr>
        <w:drawing>
          <wp:anchor distT="0" distB="0" distL="114300" distR="114300" simplePos="0" relativeHeight="251669504" behindDoc="1" locked="0" layoutInCell="1" allowOverlap="1">
            <wp:simplePos x="0" y="0"/>
            <wp:positionH relativeFrom="page">
              <wp:posOffset>2000885</wp:posOffset>
            </wp:positionH>
            <wp:positionV relativeFrom="paragraph">
              <wp:posOffset>397510</wp:posOffset>
            </wp:positionV>
            <wp:extent cx="1870710" cy="190500"/>
            <wp:effectExtent l="0" t="0" r="0" b="0"/>
            <wp:wrapNone/>
            <wp:docPr id="2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8.png"/>
                    <pic:cNvPicPr>
                      <a:picLocks noChangeAspect="1"/>
                    </pic:cNvPicPr>
                  </pic:nvPicPr>
                  <pic:blipFill>
                    <a:blip r:embed="rId26"/>
                    <a:stretch>
                      <a:fillRect/>
                    </a:stretch>
                  </pic:blipFill>
                  <pic:spPr>
                    <a:xfrm>
                      <a:off x="0" y="0"/>
                      <a:ext cx="1870710" cy="190500"/>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eastAsia="zh-CN"/>
        </w:rPr>
        <mc:AlternateContent>
          <mc:Choice Requires="wpg">
            <w:drawing>
              <wp:anchor distT="0" distB="0" distL="114300" distR="114300" simplePos="0" relativeHeight="251670528" behindDoc="1" locked="0" layoutInCell="1" allowOverlap="1">
                <wp:simplePos x="0" y="0"/>
                <wp:positionH relativeFrom="page">
                  <wp:posOffset>4668520</wp:posOffset>
                </wp:positionH>
                <wp:positionV relativeFrom="paragraph">
                  <wp:posOffset>397510</wp:posOffset>
                </wp:positionV>
                <wp:extent cx="1764030" cy="190500"/>
                <wp:effectExtent l="0" t="0" r="0" b="0"/>
                <wp:wrapNone/>
                <wp:docPr id="101" name="组合 101"/>
                <wp:cNvGraphicFramePr/>
                <a:graphic xmlns:a="http://schemas.openxmlformats.org/drawingml/2006/main">
                  <a:graphicData uri="http://schemas.microsoft.com/office/word/2010/wordprocessingGroup">
                    <wpg:wgp>
                      <wpg:cNvGrpSpPr/>
                      <wpg:grpSpPr>
                        <a:xfrm>
                          <a:off x="0" y="0"/>
                          <a:ext cx="1764030" cy="190500"/>
                          <a:chOff x="7353" y="626"/>
                          <a:chExt cx="2778" cy="300"/>
                        </a:xfrm>
                        <a:effectLst/>
                      </wpg:grpSpPr>
                      <pic:pic xmlns:pic="http://schemas.openxmlformats.org/drawingml/2006/picture">
                        <pic:nvPicPr>
                          <pic:cNvPr id="36" name="图片 33"/>
                          <pic:cNvPicPr>
                            <a:picLocks noChangeAspect="1"/>
                          </pic:cNvPicPr>
                        </pic:nvPicPr>
                        <pic:blipFill>
                          <a:blip r:embed="rId27"/>
                          <a:stretch>
                            <a:fillRect/>
                          </a:stretch>
                        </pic:blipFill>
                        <pic:spPr>
                          <a:xfrm>
                            <a:off x="7352" y="626"/>
                            <a:ext cx="1500" cy="300"/>
                          </a:xfrm>
                          <a:prstGeom prst="rect">
                            <a:avLst/>
                          </a:prstGeom>
                          <a:noFill/>
                          <a:ln>
                            <a:noFill/>
                          </a:ln>
                          <a:effectLst/>
                        </pic:spPr>
                      </pic:pic>
                      <pic:pic xmlns:pic="http://schemas.openxmlformats.org/drawingml/2006/picture">
                        <pic:nvPicPr>
                          <pic:cNvPr id="38" name="图片 34"/>
                          <pic:cNvPicPr>
                            <a:picLocks noChangeAspect="1"/>
                          </pic:cNvPicPr>
                        </pic:nvPicPr>
                        <pic:blipFill>
                          <a:blip r:embed="rId16"/>
                          <a:stretch>
                            <a:fillRect/>
                          </a:stretch>
                        </pic:blipFill>
                        <pic:spPr>
                          <a:xfrm>
                            <a:off x="8702" y="626"/>
                            <a:ext cx="900" cy="300"/>
                          </a:xfrm>
                          <a:prstGeom prst="rect">
                            <a:avLst/>
                          </a:prstGeom>
                          <a:noFill/>
                          <a:ln>
                            <a:noFill/>
                          </a:ln>
                          <a:effectLst/>
                        </pic:spPr>
                      </pic:pic>
                      <pic:pic xmlns:pic="http://schemas.openxmlformats.org/drawingml/2006/picture">
                        <pic:nvPicPr>
                          <pic:cNvPr id="40" name="图片 35"/>
                          <pic:cNvPicPr>
                            <a:picLocks noChangeAspect="1"/>
                          </pic:cNvPicPr>
                        </pic:nvPicPr>
                        <pic:blipFill>
                          <a:blip r:embed="rId23"/>
                          <a:stretch>
                            <a:fillRect/>
                          </a:stretch>
                        </pic:blipFill>
                        <pic:spPr>
                          <a:xfrm>
                            <a:off x="9453" y="626"/>
                            <a:ext cx="677" cy="300"/>
                          </a:xfrm>
                          <a:prstGeom prst="rect">
                            <a:avLst/>
                          </a:prstGeom>
                          <a:noFill/>
                          <a:ln>
                            <a:noFill/>
                          </a:ln>
                          <a:effectLst/>
                        </pic:spPr>
                      </pic:pic>
                    </wpg:wgp>
                  </a:graphicData>
                </a:graphic>
              </wp:anchor>
            </w:drawing>
          </mc:Choice>
          <mc:Fallback>
            <w:pict>
              <v:group id="_x0000_s1026" o:spid="_x0000_s1026" o:spt="203" style="position:absolute;left:0pt;margin-left:367.6pt;margin-top:31.3pt;height:15pt;width:138.9pt;mso-position-horizontal-relative:page;z-index:-251645952;mso-width-relative:page;mso-height-relative:page;" coordorigin="7353,626" coordsize="2778,300" o:gfxdata="UEsDBAoAAAAAAIdO4kAAAAAAAAAAAAAAAAAEAAAAZHJzL1BLAwQUAAAACACHTuJAtGXVn9oAAAAK&#10;AQAADwAAAGRycy9kb3ducmV2LnhtbE2PwU7DMAyG70i8Q2QkbixJqxVWmk5oAk4T0jYktJvXeG21&#10;JqmarN3enuwER9uffn9/sbyYjo00+NZZBXImgJGtnG5treB79/H0AswHtBo7Z0nBlTwsy/u7AnPt&#10;JruhcRtqFkOsz1FBE0Kfc+6rhgz6mevJxtvRDQZDHIea6wGnGG46ngiRcYOtjR8a7GnVUHXano2C&#10;zwmnt1S+j+vTcXXd7+ZfP2tJSj0+SPEKLNAl/MFw04/qUEangztb7Vmn4DmdJxFVkCUZsBsgZBrb&#10;HRQs4oaXBf9fofwFUEsDBBQAAAAIAIdO4kCHIM9qngIAAL4JAAAOAAAAZHJzL2Uyb0RvYy54bWzl&#10;VsuO0zAU3SPxD1b2NGnTJtOo7QhRpkIaQcXjA1zHSSwS27LdprNHgtmx51OQ+JvR/AbXTvocRoxQ&#10;hRixaGpf+16fe+7xY3S+rkq0okozwcdetxN4iHIiUsbzsffh/cWzMw9pg3mKS8Hp2Lui2jufPH0y&#10;qmVCe6IQZUoVgiBcJ7Uce4UxMvF9TQpaYd0RknIYzISqsIGuyv1U4RqiV6XfC4LIr4VKpRKEag3W&#10;aTPotRHVQwKKLGOETgVZVpSbJqqiJTaQki6Y1N7Eoc0ySsybLNPUoHLsQabGfWERaC/s15+McJIr&#10;LAtGWgj4IRCOcqow47DoNtQUG4yWit0JVTGihBaZ6RBR+U0ijhHIohsccTNTYildLnlS53JLOhTq&#10;iPU/Dkter+YKsRSUEHQ9xHEFJb/9/unm6xdkLcBPLfMEps2UfCfnqjXkTc+mvM5UZf8hGbR2zF5t&#10;maVrgwgYu3HUD0IgncBYdxgMgpZ6UkB9rFscDkIPwWjUi5qqkOJl692LYxCldQ0bP3+3KnVFvtQG&#10;gPkW6haZZCSBX8satO6w9nutgpdZKgo1sNH4as7IXDWdHXNhtCHu5tuP2+vPKAxtBtbDTmpcsMVy&#10;KchHjbh4UWCe0+dagj6BDzvbP5zuugfrLUomL1hZWqpt+7QbBqmEVgsKOlCvUgcIJ9ooakhhF8xg&#10;4bcA1gLdG3Aod8BsCho08gtVQHl7h+XdSsNq4Z7iSqXNjIoK2QZAAwRQCpzgVVtwYLWdYs1cWIIA&#10;I05KfmAA0I3lQC47vC4R6DZVg8ZfUA1IutluG9X0H7dqes22PaVqzuLgHtUM/0/R9GGrHIpm8LhF&#10;407KvRPlBEfNsH98k2yOmiiO/6GTxt1WcK27I7V9gth3w34f2vvPrslPUEsDBAoAAAAAAIdO4kAA&#10;AAAAAAAAAAAAAAAKAAAAZHJzL21lZGlhL1BLAwQUAAAACACHTuJAQRIj6pMAAACOAAAAFAAAAGRy&#10;cy9tZWRpYS9pbWFnZTEucG5nAY4Acf+JUE5HDQoaCgAAAA1JSERSAAAA5QAAAC4IBgAAANfm3mEA&#10;AAAJcEhZcwAAIdUAACHVAQSctJ0AAABASURBVHic7cExAQAAAMKg9U9tDB+gAAAAAAAAAAAAAAAA&#10;AAAAAAAAAAAAAAAAAAAAAAAAAAAAAAAAAAAAAICvAaTGAAHPAxFvAAAAAElFTkSuQmCCUEsDBBQA&#10;AAAIAIdO4kB2XWXsMgEAAC0BAAAUAAAAZHJzL21lZGlhL2ltYWdlMi5wbmcBLQHS/olQTkcNChoK&#10;AAAADUlIRFIAAAF3AAAAfQgGAAAAWSwjLAAAAAZiS0dEAP8A/wD/oL2nkwAAAAlwSFlzAAAOxAAA&#10;DsQBlSsOGwAAAM1JREFUeJztwTEBAAAAwqD1T20Hb6AAAAAAAAAAAAAAAAAAAAAAAAAAAAAAAAAA&#10;AAAAAAAAAAAAAAAAAAAAAAAAAAAAAAAAAAAAAAAAAAAAAAAAAAAAAAAAAAAAAAAAAAAAAAAAAAAA&#10;AAAAAAAAAAAAAAAAAAAAAAAAAAAAAAAAAAAAAAAAAAAAAAAAAAAAAAAAAAAAAAAAAAAAAAAAAAAA&#10;AAAAAAAAAAAAAAAAAAAAAAAAAAAAAAAAAAAAAAAAAAAAAAAAAAAAAAAAgNsA3QcAAeNXzKIAAAAA&#10;SUVORK5CYIJQSwMEFAAAAAgAh07iQGYZ54MEAQAA/wAAABQAAABkcnMvbWVkaWEvaW1hZ2UzLnBu&#10;ZwH/AAD/iVBORw0KGgoAAAANSUhEUgAAARoAAAB9CAYAAAB9NazsAAAABmJLR0QA/wD/AP+gvaeT&#10;AAAACXBIWXMAAA7EAAAOxAGVKw4bAAAAn0lEQVR4nO3BAQEAAACCIP+vbkhAAQAAAAAAAAAAAAAA&#10;AAAAAAAAAAAAAAAAAAAAAAAAAAAAAAAAAAAAAAAAAAAAAAAAAAAAAAAAAAAAAAAAAAAAAAAAAAAA&#10;AAAAAAAAAAAAAAAAAAAAAAAAAAAAAAAAAAAAAAAAAAAAAAAAAAAAAAAAAAAAAAAAAAAAAAAAAAAA&#10;AAAAAAAAAAAAAMC5ASdjAAHIjS/HAAAAAElFTkSuQmC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DcnR2HGAAAAKQIAABkAAABkcnMvX3JlbHMv&#10;ZTJvRG9jLnhtbC5yZWxzvZHBagIxEIbvQt8hzL2b3RWKiFkvIngV+wBDMpsNbiYhiaW+vYFSqCD1&#10;5nFm+L//g9lsv/0svihlF1hB17QgiHUwjq2Cz9P+fQUiF2SDc2BScKUM2+FtsTnSjKWG8uRiFpXC&#10;WcFUSlxLmfVEHnMTInG9jCF5LHVMVkbUZ7Qk+7b9kOkvA4Y7pjgYBelgliBO11ibn7PDODpNu6Av&#10;nrg8qJDO1+4KxGSpKPBkHP4sl01kC/KxQ/8ah/4/h+41Dt2vg7x78HADUEsDBBQAAAAIAIdO4kB5&#10;57oEBAEAABMCAAATAAAAW0NvbnRlbnRfVHlwZXNdLnhtbJWRwU7DMAyG70i8Q5QralN2QAit3YGO&#10;IyA0HiBK3DaicaI4lO3tSbpNgokh7Rjb3+8vyXK1tSObIJBxWPPbsuIMUDltsK/5++apuOeMokQt&#10;R4dQ8x0QXzXXV8vNzgOxRCPVfIjRPwhBagArqXQeMHU6F6yM6Rh64aX6kD2IRVXdCeUwAsYi5gze&#10;LFvo5OcY2XqbynsTjz1nj/u5vKrmxmY+18WfRICRThDp/WiUjOluYkJ94lUcnMpEzjM0GE83SfzM&#10;htz57fRzwYF7SY8ZjAb2KkN8ljaZCx1IaPeFAaby/5BsaalwXWcUlG2gNmFvMB2tzqXDwrVOXRq+&#10;nqljtpi/tPkGUEsBAhQAFAAAAAgAh07iQHnnugQEAQAAEwIAABMAAAAAAAAAAQAgAAAAvQkAAFtD&#10;b250ZW50X1R5cGVzXS54bWxQSwECFAAKAAAAAACHTuJAAAAAAAAAAAAAAAAABgAAAAAAAAAAABAA&#10;AAB6BwAAX3JlbHMvUEsBAhQAFAAAAAgAh07iQIoUZjzRAAAAlAEAAAsAAAAAAAAAAQAgAAAAngcA&#10;AF9yZWxzLy5yZWxzUEsBAhQACgAAAAAAh07iQAAAAAAAAAAAAAAAAAQAAAAAAAAAAAAQAAAAAAAA&#10;AGRycy9QSwECFAAKAAAAAACHTuJAAAAAAAAAAAAAAAAACgAAAAAAAAAAABAAAACYCAAAZHJzL19y&#10;ZWxzL1BLAQIUABQAAAAIAIdO4kA3J0dhxgAAACkCAAAZAAAAAAAAAAEAIAAAAMAIAABkcnMvX3Jl&#10;bHMvZTJvRG9jLnhtbC5yZWxzUEsBAhQAFAAAAAgAh07iQLRl1Z/aAAAACgEAAA8AAAAAAAAAAQAg&#10;AAAAIgAAAGRycy9kb3ducmV2LnhtbFBLAQIUABQAAAAIAIdO4kCHIM9qngIAAL4JAAAOAAAAAAAA&#10;AAEAIAAAACkBAABkcnMvZTJvRG9jLnhtbFBLAQIUAAoAAAAAAIdO4kAAAAAAAAAAAAAAAAAKAAAA&#10;AAAAAAAAEAAAAPMDAABkcnMvbWVkaWEvUEsBAhQAFAAAAAgAh07iQEESI+qTAAAAjgAAABQAAAAA&#10;AAAAAQAgAAAAGwQAAGRycy9tZWRpYS9pbWFnZTEucG5nUEsBAhQAFAAAAAgAh07iQHZdZewyAQAA&#10;LQEAABQAAAAAAAAAAQAgAAAA4AQAAGRycy9tZWRpYS9pbWFnZTIucG5nUEsBAhQAFAAAAAgAh07i&#10;QGYZ54MEAQAA/wAAABQAAAAAAAAAAQAgAAAARAYAAGRycy9tZWRpYS9pbWFnZTMucG5nUEsFBgAA&#10;AAAMAAwA1gIAAPIKAAAAAA==&#10;">
                <o:lock v:ext="edit" aspectratio="f"/>
                <v:shape id="图片 33" o:spid="_x0000_s1026" o:spt="75" type="#_x0000_t75" style="position:absolute;left:7352;top:626;height:300;width:1500;" filled="f" o:preferrelative="t" stroked="f" coordsize="21600,21600" o:gfxdata="UEsDBAoAAAAAAIdO4kAAAAAAAAAAAAAAAAAEAAAAZHJzL1BLAwQUAAAACACHTuJAAhvNarsAAADb&#10;AAAADwAAAGRycy9kb3ducmV2LnhtbEWPQWvCQBSE7wX/w/IK3uquTQkSXT0Igldjaa/P7DMbm30b&#10;s1sT/323IHgcZuYbZrUZXStu1IfGs4b5TIEgrrxpuNbwedy9LUCEiGyw9Uwa7hRgs568rLAwfuAD&#10;3cpYiwThUKAGG2NXSBkqSw7DzHfEyTv73mFMsq+l6XFIcNfKd6Vy6bDhtGCxo62l6qf8dRrCbq8+&#10;TsfvPFTGXuWh+bpkW6f19HWuliAijfEZfrT3RkOWw/+X9APk+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hvNarsAAADb&#10;AAAADwAAAAAAAAABACAAAAAiAAAAZHJzL2Rvd25yZXYueG1sUEsBAhQAFAAAAAgAh07iQDMvBZ47&#10;AAAAOQAAABAAAAAAAAAAAQAgAAAACgEAAGRycy9zaGFwZXhtbC54bWxQSwUGAAAAAAYABgBbAQAA&#10;tAMAAAAA&#10;">
                  <v:fill on="f" focussize="0,0"/>
                  <v:stroke on="f"/>
                  <v:imagedata r:id="rId27" o:title=""/>
                  <o:lock v:ext="edit" aspectratio="t"/>
                </v:shape>
                <v:shape id="图片 34" o:spid="_x0000_s1026" o:spt="75" type="#_x0000_t75" style="position:absolute;left:8702;top:626;height:300;width:900;" filled="f" o:preferrelative="t" stroked="f" coordsize="21600,21600" o:gfxdata="UEsDBAoAAAAAAIdO4kAAAAAAAAAAAAAAAAAEAAAAZHJzL1BLAwQUAAAACACHTuJA8bRrlbkAAADb&#10;AAAADwAAAGRycy9kb3ducmV2LnhtbEVPy4rCMBTdC/5DuIIbGVMVRDpGFxXBx0oruL00t2lnmpvS&#10;xNffm4Xg8nDey/XTNuJOna8dK5iMExDEhdM1GwWXfPuzAOEDssbGMSl4kYf1qt9bYqrdg090Pwcj&#10;Ygj7FBVUIbSplL6oyKIfu5Y4cqXrLIYIOyN1h48Ybhs5TZK5tFhzbKiwpayi4v98swquM1NuD7t8&#10;us82pvkb6UV5zAqlhoNJ8gsi0DN8xR/3TiuYxbHxS/wBcvU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G0a5W5AAAA2wAA&#10;AA8AAAAAAAAAAQAgAAAAIgAAAGRycy9kb3ducmV2LnhtbFBLAQIUABQAAAAIAIdO4kAzLwWeOwAA&#10;ADkAAAAQAAAAAAAAAAEAIAAAAAgBAABkcnMvc2hhcGV4bWwueG1sUEsFBgAAAAAGAAYAWwEAALID&#10;AAAAAA==&#10;">
                  <v:fill on="f" focussize="0,0"/>
                  <v:stroke on="f"/>
                  <v:imagedata r:id="rId16" o:title=""/>
                  <o:lock v:ext="edit" aspectratio="t"/>
                </v:shape>
                <v:shape id="图片 35" o:spid="_x0000_s1026" o:spt="75" type="#_x0000_t75" style="position:absolute;left:9453;top:626;height:300;width:677;" filled="f" o:preferrelative="t" stroked="f" coordsize="21600,21600" o:gfxdata="UEsDBAoAAAAAAIdO4kAAAAAAAAAAAAAAAAAEAAAAZHJzL1BLAwQUAAAACACHTuJAr3kUhLsAAADb&#10;AAAADwAAAGRycy9kb3ducmV2LnhtbEVPPWvDMBDdC/0P4gLdatltcBMnSoZCIV3c1C1kPayLbWKd&#10;jKTY7r+PhkLGx/ve7mfTi5Gc7ywryJIUBHFtdceNgt+fj+cVCB+QNfaWScEfedjvHh+2WGg78TeN&#10;VWhEDGFfoII2hKGQ0tctGfSJHYgjd7bOYIjQNVI7nGK46eVLmubSYMexocWB3luqL9XVKLDTqamH&#10;tzy3n+Xr6pityy/XlUo9LbJ0AyLQHO7if/dBK1jG9fFL/AFyd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3kUhLsAAADb&#10;AAAADwAAAAAAAAABACAAAAAiAAAAZHJzL2Rvd25yZXYueG1sUEsBAhQAFAAAAAgAh07iQDMvBZ47&#10;AAAAOQAAABAAAAAAAAAAAQAgAAAACgEAAGRycy9zaGFwZXhtbC54bWxQSwUGAAAAAAYABgBbAQAA&#10;tAMAAAAA&#10;">
                  <v:fill on="f" focussize="0,0"/>
                  <v:stroke on="f"/>
                  <v:imagedata r:id="rId23" o:title=""/>
                  <o:lock v:ext="edit" aspectratio="t"/>
                </v:shape>
              </v:group>
            </w:pict>
          </mc:Fallback>
        </mc:AlternateContent>
      </w:r>
      <w:r>
        <w:rPr>
          <w:rFonts w:hint="eastAsia" w:ascii="宋体" w:hAnsi="宋体" w:eastAsia="宋体" w:cs="宋体"/>
          <w:color w:val="auto"/>
          <w:sz w:val="24"/>
          <w:szCs w:val="24"/>
          <w:highlight w:val="none"/>
          <w:lang w:val="en-US" w:eastAsia="zh-CN"/>
        </w:rPr>
        <w:drawing>
          <wp:anchor distT="0" distB="0" distL="114300" distR="114300" simplePos="0" relativeHeight="251671552" behindDoc="1" locked="0" layoutInCell="1" allowOverlap="1">
            <wp:simplePos x="0" y="0"/>
            <wp:positionH relativeFrom="page">
              <wp:posOffset>4953635</wp:posOffset>
            </wp:positionH>
            <wp:positionV relativeFrom="paragraph">
              <wp:posOffset>767715</wp:posOffset>
            </wp:positionV>
            <wp:extent cx="1975485" cy="190500"/>
            <wp:effectExtent l="0" t="0" r="0" b="0"/>
            <wp:wrapNone/>
            <wp:docPr id="6"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2.png"/>
                    <pic:cNvPicPr>
                      <a:picLocks noChangeAspect="1"/>
                    </pic:cNvPicPr>
                  </pic:nvPicPr>
                  <pic:blipFill>
                    <a:blip r:embed="rId19"/>
                    <a:stretch>
                      <a:fillRect/>
                    </a:stretch>
                  </pic:blipFill>
                  <pic:spPr>
                    <a:xfrm>
                      <a:off x="0" y="0"/>
                      <a:ext cx="1975485" cy="190500"/>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eastAsia="zh-CN"/>
        </w:rPr>
        <w:drawing>
          <wp:anchor distT="0" distB="0" distL="114300" distR="114300" simplePos="0" relativeHeight="251672576" behindDoc="1" locked="0" layoutInCell="1" allowOverlap="1">
            <wp:simplePos x="0" y="0"/>
            <wp:positionH relativeFrom="page">
              <wp:posOffset>2284095</wp:posOffset>
            </wp:positionH>
            <wp:positionV relativeFrom="paragraph">
              <wp:posOffset>1138555</wp:posOffset>
            </wp:positionV>
            <wp:extent cx="381000" cy="190500"/>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pic:cNvPicPr>
                      <a:picLocks noChangeAspect="1"/>
                    </pic:cNvPicPr>
                  </pic:nvPicPr>
                  <pic:blipFill>
                    <a:blip r:embed="rId13"/>
                    <a:stretch>
                      <a:fillRect/>
                    </a:stretch>
                  </pic:blipFill>
                  <pic:spPr>
                    <a:xfrm>
                      <a:off x="0" y="0"/>
                      <a:ext cx="381000" cy="190500"/>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eastAsia="zh-CN"/>
        </w:rPr>
        <w:drawing>
          <wp:anchor distT="0" distB="0" distL="114300" distR="114300" simplePos="0" relativeHeight="251673600" behindDoc="1" locked="0" layoutInCell="1" allowOverlap="1">
            <wp:simplePos x="0" y="0"/>
            <wp:positionH relativeFrom="page">
              <wp:posOffset>2954020</wp:posOffset>
            </wp:positionH>
            <wp:positionV relativeFrom="paragraph">
              <wp:posOffset>1138555</wp:posOffset>
            </wp:positionV>
            <wp:extent cx="377825" cy="190500"/>
            <wp:effectExtent l="0" t="0" r="0" b="0"/>
            <wp:wrapNone/>
            <wp:docPr id="4"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2.png"/>
                    <pic:cNvPicPr>
                      <a:picLocks noChangeAspect="1"/>
                    </pic:cNvPicPr>
                  </pic:nvPicPr>
                  <pic:blipFill>
                    <a:blip r:embed="rId28"/>
                    <a:stretch>
                      <a:fillRect/>
                    </a:stretch>
                  </pic:blipFill>
                  <pic:spPr>
                    <a:xfrm>
                      <a:off x="0" y="0"/>
                      <a:ext cx="377825" cy="190500"/>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eastAsia="zh-CN"/>
        </w:rPr>
        <w:drawing>
          <wp:anchor distT="0" distB="0" distL="114300" distR="114300" simplePos="0" relativeHeight="251674624" behindDoc="1" locked="0" layoutInCell="1" allowOverlap="1">
            <wp:simplePos x="0" y="0"/>
            <wp:positionH relativeFrom="page">
              <wp:posOffset>5048250</wp:posOffset>
            </wp:positionH>
            <wp:positionV relativeFrom="paragraph">
              <wp:posOffset>1138555</wp:posOffset>
            </wp:positionV>
            <wp:extent cx="381000" cy="190500"/>
            <wp:effectExtent l="0" t="0" r="0" b="0"/>
            <wp:wrapNone/>
            <wp:docPr id="2"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3"/>
                    <pic:cNvPicPr>
                      <a:picLocks noChangeAspect="1"/>
                    </pic:cNvPicPr>
                  </pic:nvPicPr>
                  <pic:blipFill>
                    <a:blip r:embed="rId13"/>
                    <a:stretch>
                      <a:fillRect/>
                    </a:stretch>
                  </pic:blipFill>
                  <pic:spPr>
                    <a:xfrm>
                      <a:off x="0" y="0"/>
                      <a:ext cx="381000" cy="190500"/>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eastAsia="zh-CN"/>
        </w:rPr>
        <w:drawing>
          <wp:anchor distT="0" distB="0" distL="114300" distR="114300" simplePos="0" relativeHeight="251675648" behindDoc="1" locked="0" layoutInCell="1" allowOverlap="1">
            <wp:simplePos x="0" y="0"/>
            <wp:positionH relativeFrom="page">
              <wp:posOffset>5812155</wp:posOffset>
            </wp:positionH>
            <wp:positionV relativeFrom="paragraph">
              <wp:posOffset>1138555</wp:posOffset>
            </wp:positionV>
            <wp:extent cx="381000" cy="190500"/>
            <wp:effectExtent l="0" t="0" r="0" b="0"/>
            <wp:wrapNone/>
            <wp:docPr id="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4"/>
                    <pic:cNvPicPr>
                      <a:picLocks noChangeAspect="1"/>
                    </pic:cNvPicPr>
                  </pic:nvPicPr>
                  <pic:blipFill>
                    <a:blip r:embed="rId13"/>
                    <a:stretch>
                      <a:fillRect/>
                    </a:stretch>
                  </pic:blipFill>
                  <pic:spPr>
                    <a:xfrm>
                      <a:off x="0" y="0"/>
                      <a:ext cx="381000" cy="190500"/>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eastAsia="zh-CN"/>
        </w:rPr>
        <w:drawing>
          <wp:anchor distT="0" distB="0" distL="114300" distR="114300" simplePos="0" relativeHeight="251676672" behindDoc="1" locked="0" layoutInCell="1" allowOverlap="1">
            <wp:simplePos x="0" y="0"/>
            <wp:positionH relativeFrom="page">
              <wp:posOffset>2284095</wp:posOffset>
            </wp:positionH>
            <wp:positionV relativeFrom="paragraph">
              <wp:posOffset>1510030</wp:posOffset>
            </wp:positionV>
            <wp:extent cx="636270" cy="190500"/>
            <wp:effectExtent l="0" t="0" r="0" b="0"/>
            <wp:wrapNone/>
            <wp:docPr id="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3.png"/>
                    <pic:cNvPicPr>
                      <a:picLocks noChangeAspect="1"/>
                    </pic:cNvPicPr>
                  </pic:nvPicPr>
                  <pic:blipFill>
                    <a:blip r:embed="rId29"/>
                    <a:stretch>
                      <a:fillRect/>
                    </a:stretch>
                  </pic:blipFill>
                  <pic:spPr>
                    <a:xfrm>
                      <a:off x="0" y="0"/>
                      <a:ext cx="636270" cy="190500"/>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eastAsia="zh-CN"/>
        </w:rPr>
        <w:drawing>
          <wp:anchor distT="0" distB="0" distL="114300" distR="114300" simplePos="0" relativeHeight="251677696" behindDoc="1" locked="0" layoutInCell="1" allowOverlap="1">
            <wp:simplePos x="0" y="0"/>
            <wp:positionH relativeFrom="page">
              <wp:posOffset>5048250</wp:posOffset>
            </wp:positionH>
            <wp:positionV relativeFrom="paragraph">
              <wp:posOffset>1510030</wp:posOffset>
            </wp:positionV>
            <wp:extent cx="714375" cy="190500"/>
            <wp:effectExtent l="0" t="0" r="0" b="0"/>
            <wp:wrapNone/>
            <wp:docPr id="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4.png"/>
                    <pic:cNvPicPr>
                      <a:picLocks noChangeAspect="1"/>
                    </pic:cNvPicPr>
                  </pic:nvPicPr>
                  <pic:blipFill>
                    <a:blip r:embed="rId30"/>
                    <a:stretch>
                      <a:fillRect/>
                    </a:stretch>
                  </pic:blipFill>
                  <pic:spPr>
                    <a:xfrm>
                      <a:off x="0" y="0"/>
                      <a:ext cx="714375" cy="190500"/>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eastAsia="zh-CN"/>
        </w:rPr>
        <w:drawing>
          <wp:anchor distT="0" distB="0" distL="114300" distR="114300" simplePos="0" relativeHeight="251678720" behindDoc="1" locked="0" layoutInCell="1" allowOverlap="1">
            <wp:simplePos x="0" y="0"/>
            <wp:positionH relativeFrom="page">
              <wp:posOffset>1905000</wp:posOffset>
            </wp:positionH>
            <wp:positionV relativeFrom="paragraph">
              <wp:posOffset>1880870</wp:posOffset>
            </wp:positionV>
            <wp:extent cx="1713230" cy="190500"/>
            <wp:effectExtent l="0" t="0" r="0" b="0"/>
            <wp:wrapNone/>
            <wp:docPr id="8"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5.png"/>
                    <pic:cNvPicPr>
                      <a:picLocks noChangeAspect="1"/>
                    </pic:cNvPicPr>
                  </pic:nvPicPr>
                  <pic:blipFill>
                    <a:blip r:embed="rId31"/>
                    <a:stretch>
                      <a:fillRect/>
                    </a:stretch>
                  </pic:blipFill>
                  <pic:spPr>
                    <a:xfrm>
                      <a:off x="0" y="0"/>
                      <a:ext cx="1713230" cy="190500"/>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eastAsia="zh-CN"/>
        </w:rPr>
        <w:drawing>
          <wp:anchor distT="0" distB="0" distL="114300" distR="114300" simplePos="0" relativeHeight="251679744" behindDoc="1" locked="0" layoutInCell="1" allowOverlap="1">
            <wp:simplePos x="0" y="0"/>
            <wp:positionH relativeFrom="page">
              <wp:posOffset>4667250</wp:posOffset>
            </wp:positionH>
            <wp:positionV relativeFrom="paragraph">
              <wp:posOffset>1880870</wp:posOffset>
            </wp:positionV>
            <wp:extent cx="1715135" cy="190500"/>
            <wp:effectExtent l="0" t="0" r="0" b="0"/>
            <wp:wrapNone/>
            <wp:docPr id="10"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6.png"/>
                    <pic:cNvPicPr>
                      <a:picLocks noChangeAspect="1"/>
                    </pic:cNvPicPr>
                  </pic:nvPicPr>
                  <pic:blipFill>
                    <a:blip r:embed="rId32"/>
                    <a:stretch>
                      <a:fillRect/>
                    </a:stretch>
                  </pic:blipFill>
                  <pic:spPr>
                    <a:xfrm>
                      <a:off x="0" y="0"/>
                      <a:ext cx="1715135" cy="190500"/>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eastAsia="zh-CN"/>
        </w:rPr>
        <w:drawing>
          <wp:anchor distT="0" distB="0" distL="114300" distR="114300" simplePos="0" relativeHeight="251680768" behindDoc="1" locked="0" layoutInCell="1" allowOverlap="1">
            <wp:simplePos x="0" y="0"/>
            <wp:positionH relativeFrom="page">
              <wp:posOffset>1905000</wp:posOffset>
            </wp:positionH>
            <wp:positionV relativeFrom="paragraph">
              <wp:posOffset>2251075</wp:posOffset>
            </wp:positionV>
            <wp:extent cx="1798955" cy="190500"/>
            <wp:effectExtent l="0" t="0" r="0" b="0"/>
            <wp:wrapNone/>
            <wp:docPr id="11"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27.png"/>
                    <pic:cNvPicPr>
                      <a:picLocks noChangeAspect="1"/>
                    </pic:cNvPicPr>
                  </pic:nvPicPr>
                  <pic:blipFill>
                    <a:blip r:embed="rId33"/>
                    <a:stretch>
                      <a:fillRect/>
                    </a:stretch>
                  </pic:blipFill>
                  <pic:spPr>
                    <a:xfrm>
                      <a:off x="0" y="0"/>
                      <a:ext cx="1798955" cy="190500"/>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eastAsia="zh-CN"/>
        </w:rPr>
        <w:drawing>
          <wp:anchor distT="0" distB="0" distL="114300" distR="114300" simplePos="0" relativeHeight="251681792" behindDoc="1" locked="0" layoutInCell="1" allowOverlap="1">
            <wp:simplePos x="0" y="0"/>
            <wp:positionH relativeFrom="page">
              <wp:posOffset>4667250</wp:posOffset>
            </wp:positionH>
            <wp:positionV relativeFrom="paragraph">
              <wp:posOffset>2251075</wp:posOffset>
            </wp:positionV>
            <wp:extent cx="2120265" cy="190500"/>
            <wp:effectExtent l="0" t="0" r="0" b="0"/>
            <wp:wrapNone/>
            <wp:docPr id="12"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8.png"/>
                    <pic:cNvPicPr>
                      <a:picLocks noChangeAspect="1"/>
                    </pic:cNvPicPr>
                  </pic:nvPicPr>
                  <pic:blipFill>
                    <a:blip r:embed="rId34"/>
                    <a:stretch>
                      <a:fillRect/>
                    </a:stretch>
                  </pic:blipFill>
                  <pic:spPr>
                    <a:xfrm>
                      <a:off x="0" y="0"/>
                      <a:ext cx="2120265" cy="190500"/>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eastAsia="zh-CN"/>
        </w:rPr>
        <w:t>组织机构代码：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组织机构代码：</w:t>
      </w:r>
      <w:r>
        <w:rPr>
          <w:rFonts w:hint="eastAsia" w:ascii="宋体" w:hAnsi="宋体" w:eastAsia="宋体" w:cs="宋体"/>
          <w:color w:val="auto"/>
          <w:sz w:val="24"/>
          <w:szCs w:val="24"/>
          <w:highlight w:val="none"/>
          <w:u w:val="single"/>
          <w:lang w:val="en-US" w:eastAsia="zh-CN"/>
        </w:rPr>
        <w:t xml:space="preserve">                </w:t>
      </w:r>
    </w:p>
    <w:p w14:paraId="2E66DB51">
      <w:pPr>
        <w:keepNext w:val="0"/>
        <w:keepLines w:val="0"/>
        <w:pageBreakBefore w:val="0"/>
        <w:widowControl w:val="0"/>
        <w:kinsoku/>
        <w:wordWrap/>
        <w:overflowPunct/>
        <w:topLinePunct w:val="0"/>
        <w:autoSpaceDE/>
        <w:autoSpaceDN/>
        <w:bidi w:val="0"/>
        <w:adjustRightInd/>
        <w:snapToGrid/>
        <w:spacing w:line="500" w:lineRule="exact"/>
        <w:ind w:left="719" w:leftChars="228" w:hanging="240" w:hangingChars="1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址：</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地</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址：</w:t>
      </w:r>
      <w:r>
        <w:rPr>
          <w:rFonts w:hint="eastAsia" w:ascii="宋体" w:hAnsi="宋体" w:eastAsia="宋体" w:cs="宋体"/>
          <w:color w:val="auto"/>
          <w:sz w:val="24"/>
          <w:szCs w:val="24"/>
          <w:highlight w:val="none"/>
          <w:u w:val="single"/>
          <w:lang w:val="en-US" w:eastAsia="zh-CN"/>
        </w:rPr>
        <w:t xml:space="preserve">                     </w:t>
      </w:r>
    </w:p>
    <w:p w14:paraId="4AD3919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邮政编码：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邮政编码：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54AB77F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电   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电  话：</w:t>
      </w:r>
      <w:r>
        <w:rPr>
          <w:rFonts w:hint="eastAsia" w:ascii="宋体" w:hAnsi="宋体" w:eastAsia="宋体" w:cs="宋体"/>
          <w:color w:val="auto"/>
          <w:sz w:val="24"/>
          <w:szCs w:val="24"/>
          <w:highlight w:val="none"/>
          <w:u w:val="single"/>
          <w:lang w:val="en-US" w:eastAsia="zh-CN"/>
        </w:rPr>
        <w:t xml:space="preserve">                      </w:t>
      </w:r>
    </w:p>
    <w:p w14:paraId="7445A28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传  真：</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传  真：</w:t>
      </w:r>
      <w:r>
        <w:rPr>
          <w:rFonts w:hint="eastAsia" w:ascii="宋体" w:hAnsi="宋体" w:eastAsia="宋体" w:cs="宋体"/>
          <w:color w:val="auto"/>
          <w:sz w:val="24"/>
          <w:szCs w:val="24"/>
          <w:highlight w:val="none"/>
          <w:u w:val="single"/>
          <w:lang w:val="en-US" w:eastAsia="zh-CN"/>
        </w:rPr>
        <w:t xml:space="preserve">                      </w:t>
      </w:r>
    </w:p>
    <w:p w14:paraId="2176A49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电子信箱：</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电子信箱：</w:t>
      </w:r>
      <w:r>
        <w:rPr>
          <w:rFonts w:hint="eastAsia" w:ascii="宋体" w:hAnsi="宋体" w:eastAsia="宋体" w:cs="宋体"/>
          <w:color w:val="auto"/>
          <w:sz w:val="24"/>
          <w:szCs w:val="24"/>
          <w:highlight w:val="none"/>
          <w:u w:val="single"/>
          <w:lang w:val="en-US" w:eastAsia="zh-CN"/>
        </w:rPr>
        <w:t xml:space="preserve">                    </w:t>
      </w:r>
    </w:p>
    <w:p w14:paraId="2859BEE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开户银行：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开户银行：</w:t>
      </w:r>
      <w:r>
        <w:rPr>
          <w:rFonts w:hint="eastAsia" w:ascii="宋体" w:hAnsi="宋体" w:eastAsia="宋体" w:cs="宋体"/>
          <w:color w:val="auto"/>
          <w:sz w:val="24"/>
          <w:szCs w:val="24"/>
          <w:highlight w:val="none"/>
          <w:u w:val="single"/>
          <w:lang w:val="en-US" w:eastAsia="zh-CN"/>
        </w:rPr>
        <w:t xml:space="preserve">                    </w:t>
      </w:r>
    </w:p>
    <w:p w14:paraId="72DB4E8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sz w:val="24"/>
          <w:szCs w:val="24"/>
          <w:highlight w:val="none"/>
          <w:lang w:val="en-US" w:eastAsia="zh-CN"/>
        </w:rPr>
        <w:t>账  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账  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lang w:val="en-US" w:eastAsia="zh-CN" w:bidi="ar-SA"/>
        </w:rPr>
        <w:t xml:space="preserve">                  </w:t>
      </w:r>
    </w:p>
    <w:p w14:paraId="18D23273">
      <w:pPr>
        <w:pStyle w:val="23"/>
        <w:rPr>
          <w:color w:val="auto"/>
          <w:highlight w:val="none"/>
        </w:rPr>
      </w:pPr>
    </w:p>
    <w:p w14:paraId="2E250C16">
      <w:pPr>
        <w:rPr>
          <w:color w:val="auto"/>
          <w:sz w:val="21"/>
          <w:szCs w:val="21"/>
          <w:highlight w:val="none"/>
        </w:rPr>
      </w:pPr>
      <w:r>
        <w:rPr>
          <w:rFonts w:hint="eastAsia"/>
          <w:color w:val="auto"/>
          <w:sz w:val="21"/>
          <w:szCs w:val="21"/>
          <w:highlight w:val="none"/>
        </w:rPr>
        <w:br w:type="page"/>
      </w:r>
    </w:p>
    <w:p w14:paraId="0A298A48">
      <w:pPr>
        <w:pStyle w:val="2"/>
        <w:jc w:val="center"/>
        <w:rPr>
          <w:rFonts w:hint="eastAsia" w:ascii="宋体" w:hAnsi="宋体" w:eastAsia="宋体" w:cs="Times New Roman"/>
          <w:b/>
          <w:bCs/>
          <w:color w:val="auto"/>
          <w:highlight w:val="none"/>
        </w:rPr>
      </w:pPr>
      <w:bookmarkStart w:id="220" w:name="_Toc32538"/>
      <w:bookmarkStart w:id="221" w:name="_Toc15273"/>
      <w:bookmarkStart w:id="222" w:name="_Toc26421"/>
      <w:bookmarkStart w:id="223" w:name="_Toc13382"/>
      <w:r>
        <w:rPr>
          <w:rFonts w:hint="eastAsia" w:ascii="宋体" w:hAnsi="宋体" w:eastAsia="宋体" w:cs="Times New Roman"/>
          <w:b/>
          <w:bCs/>
          <w:color w:val="auto"/>
          <w:highlight w:val="none"/>
        </w:rPr>
        <w:t>第二部分 通用合同条款</w:t>
      </w:r>
      <w:bookmarkEnd w:id="220"/>
      <w:bookmarkEnd w:id="221"/>
      <w:bookmarkEnd w:id="222"/>
      <w:bookmarkEnd w:id="223"/>
    </w:p>
    <w:p w14:paraId="58A8CBBC">
      <w:pPr>
        <w:spacing w:line="360" w:lineRule="auto"/>
        <w:ind w:firstLine="562" w:firstLineChars="200"/>
        <w:jc w:val="center"/>
        <w:rPr>
          <w:b/>
          <w:color w:val="auto"/>
          <w:sz w:val="28"/>
          <w:szCs w:val="28"/>
          <w:highlight w:val="none"/>
        </w:rPr>
      </w:pPr>
      <w:r>
        <w:rPr>
          <w:rFonts w:hint="eastAsia"/>
          <w:b/>
          <w:color w:val="auto"/>
          <w:sz w:val="28"/>
          <w:szCs w:val="28"/>
          <w:highlight w:val="none"/>
        </w:rPr>
        <w:t>采用《建设工程施工合同（示范文本）》（GF—2017—0201）。</w:t>
      </w:r>
    </w:p>
    <w:p w14:paraId="1F993C7A">
      <w:pPr>
        <w:pStyle w:val="2"/>
        <w:jc w:val="center"/>
        <w:rPr>
          <w:rFonts w:hint="eastAsia" w:ascii="宋体" w:hAnsi="宋体" w:eastAsia="宋体" w:cs="Times New Roman"/>
          <w:b/>
          <w:bCs/>
          <w:color w:val="auto"/>
          <w:highlight w:val="none"/>
        </w:rPr>
      </w:pPr>
      <w:bookmarkStart w:id="224" w:name="_Toc12489"/>
      <w:bookmarkStart w:id="225" w:name="_Toc20318"/>
      <w:bookmarkStart w:id="226" w:name="_Toc26505"/>
      <w:bookmarkStart w:id="227" w:name="_Toc7612"/>
      <w:r>
        <w:rPr>
          <w:rFonts w:hint="eastAsia" w:ascii="宋体" w:hAnsi="宋体" w:eastAsia="宋体" w:cs="Times New Roman"/>
          <w:b/>
          <w:bCs/>
          <w:color w:val="auto"/>
          <w:highlight w:val="none"/>
        </w:rPr>
        <w:t>第三部分 专用合同条款</w:t>
      </w:r>
      <w:bookmarkEnd w:id="224"/>
      <w:bookmarkEnd w:id="225"/>
      <w:bookmarkEnd w:id="226"/>
      <w:bookmarkEnd w:id="227"/>
    </w:p>
    <w:p w14:paraId="545FB0B2">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rPr>
        <w:t>1.</w:t>
      </w:r>
      <w:r>
        <w:rPr>
          <w:rFonts w:hint="eastAsia" w:ascii="宋体" w:hAnsi="宋体" w:eastAsia="宋体" w:cs="宋体"/>
          <w:b/>
          <w:bCs/>
          <w:color w:val="auto"/>
          <w:sz w:val="24"/>
          <w:szCs w:val="24"/>
          <w:highlight w:val="none"/>
        </w:rPr>
        <w:t>一般约定</w:t>
      </w:r>
    </w:p>
    <w:p w14:paraId="2286B74A">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rPr>
        <w:t>1.1</w:t>
      </w:r>
      <w:r>
        <w:rPr>
          <w:rFonts w:hint="eastAsia" w:ascii="宋体" w:hAnsi="宋体" w:eastAsia="宋体" w:cs="宋体"/>
          <w:b/>
          <w:bCs/>
          <w:color w:val="auto"/>
          <w:sz w:val="24"/>
          <w:szCs w:val="24"/>
          <w:highlight w:val="none"/>
        </w:rPr>
        <w:t>词语定义</w:t>
      </w:r>
    </w:p>
    <w:p w14:paraId="28210A74">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1.1.1</w:t>
      </w:r>
      <w:r>
        <w:rPr>
          <w:rFonts w:hint="eastAsia" w:ascii="宋体" w:hAnsi="宋体" w:eastAsia="宋体" w:cs="宋体"/>
          <w:color w:val="auto"/>
          <w:sz w:val="24"/>
          <w:szCs w:val="24"/>
          <w:highlight w:val="none"/>
        </w:rPr>
        <w:t>合同</w:t>
      </w:r>
    </w:p>
    <w:p w14:paraId="5AE6D18F">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1.1.1.10 其他合同文件包括：</w:t>
      </w:r>
      <w:r>
        <w:rPr>
          <w:rFonts w:hint="eastAsia" w:ascii="宋体" w:hAnsi="宋体" w:eastAsia="宋体" w:cs="宋体"/>
          <w:color w:val="auto"/>
          <w:sz w:val="24"/>
          <w:szCs w:val="24"/>
          <w:highlight w:val="none"/>
          <w:u w:val="single"/>
        </w:rPr>
        <w:t>承包人相关承诺及合同有关的协商文件</w:t>
      </w:r>
      <w:r>
        <w:rPr>
          <w:rFonts w:hint="eastAsia" w:ascii="宋体" w:hAnsi="宋体" w:eastAsia="宋体" w:cs="宋体"/>
          <w:color w:val="auto"/>
          <w:sz w:val="24"/>
          <w:szCs w:val="24"/>
          <w:highlight w:val="none"/>
        </w:rPr>
        <w:t>。</w:t>
      </w:r>
    </w:p>
    <w:p w14:paraId="3242F244">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1.1.2</w:t>
      </w:r>
      <w:r>
        <w:rPr>
          <w:rFonts w:hint="eastAsia" w:ascii="宋体" w:hAnsi="宋体" w:eastAsia="宋体" w:cs="宋体"/>
          <w:color w:val="auto"/>
          <w:sz w:val="24"/>
          <w:szCs w:val="24"/>
          <w:highlight w:val="none"/>
        </w:rPr>
        <w:t>合同当事人及其他相关方</w:t>
      </w:r>
    </w:p>
    <w:p w14:paraId="19537FC6">
      <w:pPr>
        <w:pStyle w:val="24"/>
        <w:keepNext w:val="0"/>
        <w:keepLines w:val="0"/>
        <w:pageBreakBefore w:val="0"/>
        <w:widowControl w:val="0"/>
        <w:tabs>
          <w:tab w:val="left" w:pos="2221"/>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1.1.2.4</w:t>
      </w:r>
      <w:r>
        <w:rPr>
          <w:rFonts w:hint="eastAsia" w:ascii="宋体" w:hAnsi="宋体" w:eastAsia="宋体" w:cs="宋体"/>
          <w:color w:val="auto"/>
          <w:sz w:val="24"/>
          <w:szCs w:val="24"/>
          <w:highlight w:val="none"/>
        </w:rPr>
        <w:t>监理人：</w:t>
      </w:r>
    </w:p>
    <w:p w14:paraId="7BCB6857">
      <w:pPr>
        <w:pStyle w:val="9"/>
        <w:keepNext w:val="0"/>
        <w:keepLines w:val="0"/>
        <w:pageBreakBefore w:val="0"/>
        <w:widowControl w:val="0"/>
        <w:tabs>
          <w:tab w:val="left" w:pos="2009"/>
          <w:tab w:val="left" w:pos="2849"/>
          <w:tab w:val="left" w:pos="4215"/>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75A62D69">
      <w:pPr>
        <w:pStyle w:val="9"/>
        <w:keepNext w:val="0"/>
        <w:keepLines w:val="0"/>
        <w:pageBreakBefore w:val="0"/>
        <w:widowControl w:val="0"/>
        <w:tabs>
          <w:tab w:val="left" w:pos="3375"/>
          <w:tab w:val="left" w:pos="4003"/>
          <w:tab w:val="left" w:pos="4635"/>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2BC48942">
      <w:pPr>
        <w:pStyle w:val="9"/>
        <w:keepNext w:val="0"/>
        <w:keepLines w:val="0"/>
        <w:pageBreakBefore w:val="0"/>
        <w:widowControl w:val="0"/>
        <w:tabs>
          <w:tab w:val="left" w:pos="3375"/>
          <w:tab w:val="left" w:pos="4003"/>
          <w:tab w:val="left" w:pos="4635"/>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6C08A83E">
      <w:pPr>
        <w:pStyle w:val="9"/>
        <w:keepNext w:val="0"/>
        <w:keepLines w:val="0"/>
        <w:pageBreakBefore w:val="0"/>
        <w:widowControl w:val="0"/>
        <w:tabs>
          <w:tab w:val="left" w:pos="4109"/>
          <w:tab w:val="left" w:pos="4215"/>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14:paraId="7FAC36D7">
      <w:pPr>
        <w:pStyle w:val="9"/>
        <w:keepNext w:val="0"/>
        <w:keepLines w:val="0"/>
        <w:pageBreakBefore w:val="0"/>
        <w:widowControl w:val="0"/>
        <w:tabs>
          <w:tab w:val="left" w:pos="4109"/>
          <w:tab w:val="left" w:pos="4215"/>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746D39B2">
      <w:pPr>
        <w:pStyle w:val="24"/>
        <w:keepNext w:val="0"/>
        <w:keepLines w:val="0"/>
        <w:pageBreakBefore w:val="0"/>
        <w:widowControl w:val="0"/>
        <w:tabs>
          <w:tab w:val="left" w:pos="2221"/>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1.1.2.5</w:t>
      </w:r>
      <w:r>
        <w:rPr>
          <w:rFonts w:hint="eastAsia" w:ascii="宋体" w:hAnsi="宋体" w:eastAsia="宋体" w:cs="宋体"/>
          <w:color w:val="auto"/>
          <w:sz w:val="24"/>
          <w:szCs w:val="24"/>
          <w:highlight w:val="none"/>
        </w:rPr>
        <w:t>设计人：</w:t>
      </w:r>
    </w:p>
    <w:p w14:paraId="568DC12A">
      <w:pPr>
        <w:pStyle w:val="9"/>
        <w:keepNext w:val="0"/>
        <w:keepLines w:val="0"/>
        <w:pageBreakBefore w:val="0"/>
        <w:widowControl w:val="0"/>
        <w:tabs>
          <w:tab w:val="left" w:pos="4529"/>
        </w:tabs>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 xml:space="preserve">； </w:t>
      </w:r>
    </w:p>
    <w:p w14:paraId="11DC119D">
      <w:pPr>
        <w:pStyle w:val="9"/>
        <w:keepNext w:val="0"/>
        <w:keepLines w:val="0"/>
        <w:pageBreakBefore w:val="0"/>
        <w:widowControl w:val="0"/>
        <w:tabs>
          <w:tab w:val="left" w:pos="4529"/>
        </w:tabs>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资质类别和等级：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B2225EF">
      <w:pPr>
        <w:pStyle w:val="9"/>
        <w:keepNext w:val="0"/>
        <w:keepLines w:val="0"/>
        <w:pageBreakBefore w:val="0"/>
        <w:widowControl w:val="0"/>
        <w:tabs>
          <w:tab w:val="left" w:pos="4529"/>
        </w:tabs>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7EAB1C3">
      <w:pPr>
        <w:pStyle w:val="9"/>
        <w:keepNext w:val="0"/>
        <w:keepLines w:val="0"/>
        <w:pageBreakBefore w:val="0"/>
        <w:widowControl w:val="0"/>
        <w:tabs>
          <w:tab w:val="left" w:pos="2743"/>
          <w:tab w:val="left" w:pos="4318"/>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 xml:space="preserve">； </w:t>
      </w:r>
    </w:p>
    <w:p w14:paraId="2FD5C6D8">
      <w:pPr>
        <w:pStyle w:val="9"/>
        <w:keepNext w:val="0"/>
        <w:keepLines w:val="0"/>
        <w:pageBreakBefore w:val="0"/>
        <w:widowControl w:val="0"/>
        <w:tabs>
          <w:tab w:val="left" w:pos="2743"/>
          <w:tab w:val="left" w:pos="4318"/>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641DED92">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1.1.3</w:t>
      </w:r>
      <w:r>
        <w:rPr>
          <w:rFonts w:hint="eastAsia" w:ascii="宋体" w:hAnsi="宋体" w:eastAsia="宋体" w:cs="宋体"/>
          <w:color w:val="auto"/>
          <w:sz w:val="24"/>
          <w:szCs w:val="24"/>
          <w:highlight w:val="none"/>
        </w:rPr>
        <w:t>工程和设备</w:t>
      </w:r>
    </w:p>
    <w:p w14:paraId="5A8A689A">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1.1.3.7 作为施工现场组成部分的其他场所包括：</w:t>
      </w:r>
      <w:r>
        <w:rPr>
          <w:rFonts w:hint="eastAsia" w:ascii="宋体" w:hAnsi="宋体" w:eastAsia="宋体" w:cs="宋体"/>
          <w:color w:val="auto"/>
          <w:sz w:val="24"/>
          <w:szCs w:val="24"/>
          <w:highlight w:val="none"/>
          <w:u w:val="single"/>
        </w:rPr>
        <w:t>符合通用条款规定的发包方提供的施工场地</w:t>
      </w:r>
      <w:r>
        <w:rPr>
          <w:rFonts w:hint="eastAsia" w:ascii="宋体" w:hAnsi="宋体" w:eastAsia="宋体" w:cs="宋体"/>
          <w:color w:val="auto"/>
          <w:sz w:val="24"/>
          <w:szCs w:val="24"/>
          <w:highlight w:val="none"/>
        </w:rPr>
        <w:t>。</w:t>
      </w:r>
    </w:p>
    <w:p w14:paraId="13B8F8D5">
      <w:pPr>
        <w:pStyle w:val="24"/>
        <w:keepNext w:val="0"/>
        <w:keepLines w:val="0"/>
        <w:pageBreakBefore w:val="0"/>
        <w:widowControl w:val="0"/>
        <w:tabs>
          <w:tab w:val="left" w:pos="2221"/>
          <w:tab w:val="left" w:pos="4109"/>
          <w:tab w:val="left" w:pos="6313"/>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1.1.3.9</w:t>
      </w:r>
      <w:r>
        <w:rPr>
          <w:rFonts w:hint="eastAsia" w:ascii="宋体" w:hAnsi="宋体" w:eastAsia="宋体" w:cs="宋体"/>
          <w:color w:val="auto"/>
          <w:sz w:val="24"/>
          <w:szCs w:val="24"/>
          <w:highlight w:val="none"/>
        </w:rPr>
        <w:t>永久占地包括：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按</w:t>
      </w:r>
      <w:r>
        <w:rPr>
          <w:rFonts w:hint="eastAsia" w:ascii="宋体" w:hAnsi="宋体" w:eastAsia="宋体" w:cs="宋体"/>
          <w:color w:val="auto"/>
          <w:sz w:val="24"/>
          <w:szCs w:val="24"/>
          <w:highlight w:val="none"/>
          <w:u w:val="single"/>
        </w:rPr>
        <w:t>本合同通用条款</w:t>
      </w:r>
      <w:r>
        <w:rPr>
          <w:rFonts w:hint="eastAsia" w:ascii="宋体" w:hAnsi="宋体" w:eastAsia="宋体" w:cs="宋体"/>
          <w:color w:val="auto"/>
          <w:sz w:val="24"/>
          <w:szCs w:val="24"/>
          <w:highlight w:val="none"/>
          <w:u w:val="single"/>
          <w:lang w:val="en-US" w:eastAsia="zh-CN"/>
        </w:rPr>
        <w:t>执行</w:t>
      </w:r>
      <w:r>
        <w:rPr>
          <w:rFonts w:hint="eastAsia" w:ascii="宋体" w:hAnsi="宋体" w:eastAsia="宋体" w:cs="宋体"/>
          <w:color w:val="auto"/>
          <w:sz w:val="24"/>
          <w:szCs w:val="24"/>
          <w:highlight w:val="none"/>
        </w:rPr>
        <w:t>。</w:t>
      </w:r>
    </w:p>
    <w:p w14:paraId="342B969E">
      <w:pPr>
        <w:pStyle w:val="24"/>
        <w:keepNext w:val="0"/>
        <w:keepLines w:val="0"/>
        <w:pageBreakBefore w:val="0"/>
        <w:widowControl w:val="0"/>
        <w:tabs>
          <w:tab w:val="left" w:pos="2324"/>
          <w:tab w:val="left" w:pos="4109"/>
          <w:tab w:val="left" w:pos="6838"/>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1.1.3.10</w:t>
      </w:r>
      <w:r>
        <w:rPr>
          <w:rFonts w:hint="eastAsia" w:ascii="宋体" w:hAnsi="宋体" w:eastAsia="宋体" w:cs="宋体"/>
          <w:color w:val="auto"/>
          <w:sz w:val="24"/>
          <w:szCs w:val="24"/>
          <w:highlight w:val="none"/>
        </w:rPr>
        <w:t>临时占地包括：</w:t>
      </w:r>
      <w:r>
        <w:rPr>
          <w:rFonts w:hint="eastAsia" w:ascii="宋体" w:hAnsi="宋体" w:eastAsia="宋体" w:cs="宋体"/>
          <w:color w:val="auto"/>
          <w:sz w:val="24"/>
          <w:szCs w:val="24"/>
          <w:highlight w:val="none"/>
          <w:u w:val="single"/>
        </w:rPr>
        <w:t>双方在合同履行过程中确定</w:t>
      </w:r>
      <w:r>
        <w:rPr>
          <w:rFonts w:hint="eastAsia" w:ascii="宋体" w:hAnsi="宋体" w:eastAsia="宋体" w:cs="宋体"/>
          <w:color w:val="auto"/>
          <w:sz w:val="24"/>
          <w:szCs w:val="24"/>
          <w:highlight w:val="none"/>
        </w:rPr>
        <w:t>。</w:t>
      </w:r>
    </w:p>
    <w:p w14:paraId="45F25F9A">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1.3法律</w:t>
      </w:r>
    </w:p>
    <w:p w14:paraId="47AEA019">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适用于合同的其他规范性文件：</w:t>
      </w:r>
      <w:r>
        <w:rPr>
          <w:rFonts w:hint="eastAsia" w:ascii="宋体" w:hAnsi="宋体" w:eastAsia="宋体" w:cs="宋体"/>
          <w:color w:val="auto"/>
          <w:sz w:val="24"/>
          <w:szCs w:val="24"/>
          <w:highlight w:val="none"/>
          <w:u w:val="single"/>
        </w:rPr>
        <w:t>我国现行法律、行政法规、部门规章，工程所在地地方性法规、地方政府规章、规范性文件</w:t>
      </w:r>
      <w:r>
        <w:rPr>
          <w:rFonts w:hint="eastAsia" w:ascii="宋体" w:hAnsi="宋体" w:eastAsia="宋体" w:cs="宋体"/>
          <w:color w:val="auto"/>
          <w:sz w:val="24"/>
          <w:szCs w:val="24"/>
          <w:highlight w:val="none"/>
        </w:rPr>
        <w:t>。</w:t>
      </w:r>
    </w:p>
    <w:p w14:paraId="2B6391CA">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1.4标准和规范</w:t>
      </w:r>
    </w:p>
    <w:p w14:paraId="48F89686">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1.4.1</w:t>
      </w:r>
      <w:r>
        <w:rPr>
          <w:rFonts w:hint="eastAsia" w:ascii="宋体" w:hAnsi="宋体" w:eastAsia="宋体" w:cs="宋体"/>
          <w:color w:val="auto"/>
          <w:sz w:val="24"/>
          <w:szCs w:val="24"/>
          <w:highlight w:val="none"/>
        </w:rPr>
        <w:t>适用于工程的标准规范包括：</w:t>
      </w:r>
      <w:r>
        <w:rPr>
          <w:rFonts w:hint="eastAsia" w:ascii="宋体" w:hAnsi="宋体" w:eastAsia="宋体" w:cs="宋体"/>
          <w:color w:val="auto"/>
          <w:sz w:val="24"/>
          <w:szCs w:val="24"/>
          <w:highlight w:val="none"/>
          <w:u w:val="single"/>
        </w:rPr>
        <w:t>《建筑工程施工及验收规范》等现行的国家和工程所在地的标准、规范</w:t>
      </w:r>
      <w:r>
        <w:rPr>
          <w:rFonts w:hint="eastAsia" w:ascii="宋体" w:hAnsi="宋体" w:eastAsia="宋体" w:cs="宋体"/>
          <w:color w:val="auto"/>
          <w:sz w:val="24"/>
          <w:szCs w:val="24"/>
          <w:highlight w:val="none"/>
        </w:rPr>
        <w:t>。</w:t>
      </w:r>
    </w:p>
    <w:p w14:paraId="151FAC58">
      <w:pPr>
        <w:pStyle w:val="24"/>
        <w:keepNext w:val="0"/>
        <w:keepLines w:val="0"/>
        <w:pageBreakBefore w:val="0"/>
        <w:widowControl w:val="0"/>
        <w:tabs>
          <w:tab w:val="left" w:pos="2010"/>
          <w:tab w:val="left" w:pos="5792"/>
          <w:tab w:val="left" w:pos="6315"/>
          <w:tab w:val="left" w:pos="7050"/>
          <w:tab w:val="left" w:pos="7787"/>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1.4.2</w:t>
      </w:r>
      <w:r>
        <w:rPr>
          <w:rFonts w:hint="eastAsia" w:ascii="宋体" w:hAnsi="宋体" w:eastAsia="宋体" w:cs="宋体"/>
          <w:color w:val="auto"/>
          <w:sz w:val="24"/>
          <w:szCs w:val="24"/>
          <w:highlight w:val="none"/>
        </w:rPr>
        <w:t>发包人提供国外标准、规范的名称：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 xml:space="preserve">； </w:t>
      </w:r>
    </w:p>
    <w:p w14:paraId="58F0E235">
      <w:pPr>
        <w:pStyle w:val="24"/>
        <w:keepNext w:val="0"/>
        <w:keepLines w:val="0"/>
        <w:pageBreakBefore w:val="0"/>
        <w:widowControl w:val="0"/>
        <w:tabs>
          <w:tab w:val="left" w:pos="2010"/>
          <w:tab w:val="left" w:pos="5792"/>
          <w:tab w:val="left" w:pos="6315"/>
          <w:tab w:val="left" w:pos="7050"/>
          <w:tab w:val="left" w:pos="7787"/>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发包人提供国外标准、规范的份数：</w:t>
      </w:r>
      <w:r>
        <w:rPr>
          <w:rFonts w:hint="eastAsia" w:ascii="宋体" w:hAnsi="宋体" w:eastAsia="宋体" w:cs="宋体"/>
          <w:color w:val="auto"/>
          <w:sz w:val="24"/>
          <w:szCs w:val="24"/>
          <w:highlight w:val="none"/>
          <w:u w:val="single"/>
        </w:rPr>
        <w:t xml:space="preserve"> 无</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24B0A0CF">
      <w:pPr>
        <w:pStyle w:val="9"/>
        <w:keepNext w:val="0"/>
        <w:keepLines w:val="0"/>
        <w:pageBreakBefore w:val="0"/>
        <w:widowControl w:val="0"/>
        <w:tabs>
          <w:tab w:val="left" w:pos="5792"/>
          <w:tab w:val="left" w:pos="7050"/>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发包人提供国外标准、规范的名称：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35C0BAC9">
      <w:pPr>
        <w:pStyle w:val="24"/>
        <w:keepNext w:val="0"/>
        <w:keepLines w:val="0"/>
        <w:pageBreakBefore w:val="0"/>
        <w:widowControl w:val="0"/>
        <w:tabs>
          <w:tab w:val="left" w:pos="2010"/>
          <w:tab w:val="left" w:pos="7684"/>
          <w:tab w:val="left" w:pos="9047"/>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1.4.3</w:t>
      </w:r>
      <w:r>
        <w:rPr>
          <w:rFonts w:hint="eastAsia" w:ascii="宋体" w:hAnsi="宋体" w:eastAsia="宋体" w:cs="宋体"/>
          <w:color w:val="auto"/>
          <w:sz w:val="24"/>
          <w:szCs w:val="24"/>
          <w:highlight w:val="none"/>
        </w:rPr>
        <w:t>发包人对工程的技术标准和功能要求的特殊要求：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2C375610">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1.5合同文件的优先顺序</w:t>
      </w:r>
    </w:p>
    <w:p w14:paraId="51FE3C9A">
      <w:pPr>
        <w:pStyle w:val="9"/>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合同文件组成及优先顺序为：</w:t>
      </w:r>
    </w:p>
    <w:p w14:paraId="4F64D354">
      <w:pPr>
        <w:pStyle w:val="24"/>
        <w:pageBreakBefore w:val="0"/>
        <w:widowControl w:val="0"/>
        <w:tabs>
          <w:tab w:val="left" w:pos="1907"/>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合同协议书；</w:t>
      </w:r>
    </w:p>
    <w:p w14:paraId="1D52C143">
      <w:pPr>
        <w:pStyle w:val="24"/>
        <w:pageBreakBefore w:val="0"/>
        <w:widowControl w:val="0"/>
        <w:tabs>
          <w:tab w:val="left" w:pos="1907"/>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成交通知书；</w:t>
      </w:r>
    </w:p>
    <w:p w14:paraId="3921FBE0">
      <w:pPr>
        <w:pStyle w:val="24"/>
        <w:pageBreakBefore w:val="0"/>
        <w:widowControl w:val="0"/>
        <w:tabs>
          <w:tab w:val="left" w:pos="1907"/>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响应</w:t>
      </w:r>
      <w:r>
        <w:rPr>
          <w:rFonts w:hint="eastAsia" w:ascii="宋体" w:hAnsi="宋体" w:eastAsia="宋体" w:cs="宋体"/>
          <w:color w:val="auto"/>
          <w:sz w:val="24"/>
          <w:szCs w:val="24"/>
          <w:highlight w:val="none"/>
          <w:u w:val="single"/>
        </w:rPr>
        <w:t>函及</w:t>
      </w:r>
      <w:r>
        <w:rPr>
          <w:rFonts w:hint="eastAsia" w:ascii="宋体" w:hAnsi="宋体" w:eastAsia="宋体" w:cs="宋体"/>
          <w:color w:val="auto"/>
          <w:sz w:val="24"/>
          <w:szCs w:val="24"/>
          <w:highlight w:val="none"/>
          <w:u w:val="single"/>
          <w:lang w:val="en-US" w:eastAsia="zh-CN"/>
        </w:rPr>
        <w:t>响应报价表</w:t>
      </w:r>
      <w:r>
        <w:rPr>
          <w:rFonts w:hint="eastAsia" w:ascii="宋体" w:hAnsi="宋体" w:eastAsia="宋体" w:cs="宋体"/>
          <w:color w:val="auto"/>
          <w:sz w:val="24"/>
          <w:szCs w:val="24"/>
          <w:highlight w:val="none"/>
          <w:u w:val="single"/>
        </w:rPr>
        <w:t>；</w:t>
      </w:r>
    </w:p>
    <w:p w14:paraId="7C37F4C6">
      <w:pPr>
        <w:pStyle w:val="24"/>
        <w:pageBreakBefore w:val="0"/>
        <w:widowControl w:val="0"/>
        <w:tabs>
          <w:tab w:val="left" w:pos="1907"/>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专用合同条款及其附件；</w:t>
      </w:r>
    </w:p>
    <w:p w14:paraId="55A06C95">
      <w:pPr>
        <w:pStyle w:val="24"/>
        <w:pageBreakBefore w:val="0"/>
        <w:widowControl w:val="0"/>
        <w:tabs>
          <w:tab w:val="left" w:pos="1907"/>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通用合同条款；</w:t>
      </w:r>
    </w:p>
    <w:p w14:paraId="19183E97">
      <w:pPr>
        <w:pStyle w:val="24"/>
        <w:pageBreakBefore w:val="0"/>
        <w:widowControl w:val="0"/>
        <w:tabs>
          <w:tab w:val="left" w:pos="1907"/>
          <w:tab w:val="left" w:pos="4423"/>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技术标准和要求</w:t>
      </w:r>
      <w:r>
        <w:rPr>
          <w:rFonts w:hint="eastAsia" w:ascii="宋体" w:hAnsi="宋体" w:eastAsia="宋体" w:cs="宋体"/>
          <w:color w:val="auto"/>
          <w:sz w:val="24"/>
          <w:szCs w:val="24"/>
          <w:highlight w:val="none"/>
        </w:rPr>
        <w:t>；</w:t>
      </w:r>
    </w:p>
    <w:p w14:paraId="3ED2967B">
      <w:pPr>
        <w:pStyle w:val="24"/>
        <w:pageBreakBefore w:val="0"/>
        <w:widowControl w:val="0"/>
        <w:tabs>
          <w:tab w:val="left" w:pos="1907"/>
          <w:tab w:val="left" w:pos="4529"/>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图纸</w:t>
      </w:r>
      <w:r>
        <w:rPr>
          <w:rFonts w:hint="eastAsia" w:ascii="宋体" w:hAnsi="宋体" w:eastAsia="宋体" w:cs="宋体"/>
          <w:color w:val="auto"/>
          <w:sz w:val="24"/>
          <w:szCs w:val="24"/>
          <w:highlight w:val="none"/>
        </w:rPr>
        <w:t>；</w:t>
      </w:r>
    </w:p>
    <w:p w14:paraId="1BF71464">
      <w:pPr>
        <w:pStyle w:val="24"/>
        <w:pageBreakBefore w:val="0"/>
        <w:widowControl w:val="0"/>
        <w:tabs>
          <w:tab w:val="left" w:pos="1907"/>
          <w:tab w:val="left" w:pos="4949"/>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8</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已标价工程量清单或预算书</w:t>
      </w:r>
      <w:r>
        <w:rPr>
          <w:rFonts w:hint="eastAsia" w:ascii="宋体" w:hAnsi="宋体" w:eastAsia="宋体" w:cs="宋体"/>
          <w:color w:val="auto"/>
          <w:sz w:val="24"/>
          <w:szCs w:val="24"/>
          <w:highlight w:val="none"/>
        </w:rPr>
        <w:t>；</w:t>
      </w:r>
    </w:p>
    <w:p w14:paraId="57FAC538">
      <w:pPr>
        <w:pStyle w:val="24"/>
        <w:pageBreakBefore w:val="0"/>
        <w:widowControl w:val="0"/>
        <w:tabs>
          <w:tab w:val="left" w:pos="1907"/>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其他合同文件</w:t>
      </w:r>
      <w:r>
        <w:rPr>
          <w:rFonts w:hint="eastAsia" w:ascii="宋体" w:hAnsi="宋体" w:eastAsia="宋体" w:cs="宋体"/>
          <w:color w:val="auto"/>
          <w:sz w:val="24"/>
          <w:szCs w:val="24"/>
          <w:highlight w:val="none"/>
        </w:rPr>
        <w:t>；</w:t>
      </w:r>
    </w:p>
    <w:p w14:paraId="125658B1">
      <w:pPr>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说明：上述各项合同文件包括合同当事人就该项合同文件所作出的补充和修改，属于同一类内容的文件，应以最新签署的为准（违反采购文件实质性内容的约定除外）。专用合同条款及其附件须经合同当事人签字或盖章。</w:t>
      </w:r>
    </w:p>
    <w:p w14:paraId="76F54842">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1.6图纸和承包人文件</w:t>
      </w:r>
    </w:p>
    <w:p w14:paraId="7E6171FF">
      <w:pPr>
        <w:pStyle w:val="24"/>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1.6.1图纸的提供</w:t>
      </w:r>
    </w:p>
    <w:p w14:paraId="6E496471">
      <w:pPr>
        <w:pStyle w:val="9"/>
        <w:pageBreakBefore w:val="0"/>
        <w:widowControl w:val="0"/>
        <w:tabs>
          <w:tab w:val="left" w:pos="4846"/>
          <w:tab w:val="left" w:pos="6946"/>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发包人向承包人提供图纸的期限：</w:t>
      </w:r>
      <w:r>
        <w:rPr>
          <w:rFonts w:hint="eastAsia" w:ascii="宋体" w:hAnsi="宋体" w:eastAsia="宋体" w:cs="宋体"/>
          <w:color w:val="auto"/>
          <w:sz w:val="24"/>
          <w:szCs w:val="24"/>
          <w:highlight w:val="none"/>
          <w:u w:val="single"/>
        </w:rPr>
        <w:t>合同生效后7天内</w:t>
      </w:r>
      <w:r>
        <w:rPr>
          <w:rFonts w:hint="eastAsia" w:ascii="宋体" w:hAnsi="宋体" w:eastAsia="宋体" w:cs="宋体"/>
          <w:color w:val="auto"/>
          <w:sz w:val="24"/>
          <w:szCs w:val="24"/>
          <w:highlight w:val="none"/>
        </w:rPr>
        <w:t>；</w:t>
      </w:r>
    </w:p>
    <w:p w14:paraId="4703817F">
      <w:pPr>
        <w:pStyle w:val="9"/>
        <w:pageBreakBefore w:val="0"/>
        <w:widowControl w:val="0"/>
        <w:tabs>
          <w:tab w:val="left" w:pos="4832"/>
          <w:tab w:val="left" w:pos="5252"/>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发包人向承包人提供图纸的数量：</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rPr>
        <w:t>套（承包人需要增加图纸套数的，发包人应代为复制，复制费用由承包人承担）；</w:t>
      </w:r>
    </w:p>
    <w:p w14:paraId="3D6D271B">
      <w:pPr>
        <w:pStyle w:val="9"/>
        <w:pageBreakBefore w:val="0"/>
        <w:widowControl w:val="0"/>
        <w:tabs>
          <w:tab w:val="left" w:pos="4846"/>
          <w:tab w:val="left" w:pos="8416"/>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发包人向承包人提供图纸的内容：</w:t>
      </w:r>
      <w:r>
        <w:rPr>
          <w:rFonts w:hint="eastAsia" w:ascii="宋体" w:hAnsi="宋体" w:eastAsia="宋体" w:cs="宋体"/>
          <w:color w:val="auto"/>
          <w:sz w:val="24"/>
          <w:szCs w:val="24"/>
          <w:highlight w:val="none"/>
          <w:u w:val="single"/>
        </w:rPr>
        <w:t>经审图单位盖章认定的全套施工图纸</w:t>
      </w:r>
      <w:r>
        <w:rPr>
          <w:rFonts w:hint="eastAsia" w:ascii="宋体" w:hAnsi="宋体" w:eastAsia="宋体" w:cs="宋体"/>
          <w:color w:val="auto"/>
          <w:sz w:val="24"/>
          <w:szCs w:val="24"/>
          <w:highlight w:val="none"/>
        </w:rPr>
        <w:t>。</w:t>
      </w:r>
    </w:p>
    <w:p w14:paraId="6B87B62B">
      <w:pPr>
        <w:pStyle w:val="24"/>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1.6.4</w:t>
      </w:r>
      <w:r>
        <w:rPr>
          <w:rFonts w:hint="eastAsia" w:ascii="宋体" w:hAnsi="宋体" w:eastAsia="宋体" w:cs="宋体"/>
          <w:color w:val="auto"/>
          <w:sz w:val="24"/>
          <w:szCs w:val="24"/>
          <w:highlight w:val="none"/>
        </w:rPr>
        <w:t>承包人文件</w:t>
      </w:r>
    </w:p>
    <w:p w14:paraId="485CC70C">
      <w:pPr>
        <w:pStyle w:val="9"/>
        <w:pageBreakBefore w:val="0"/>
        <w:widowControl w:val="0"/>
        <w:tabs>
          <w:tab w:val="left" w:pos="4635"/>
          <w:tab w:val="left" w:pos="4745"/>
          <w:tab w:val="left" w:pos="7366"/>
          <w:tab w:val="left" w:pos="9527"/>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需要由承包人提供的文件，包括：</w:t>
      </w:r>
      <w:r>
        <w:rPr>
          <w:rFonts w:hint="eastAsia" w:ascii="宋体" w:hAnsi="宋体" w:eastAsia="宋体" w:cs="宋体"/>
          <w:color w:val="auto"/>
          <w:sz w:val="24"/>
          <w:szCs w:val="24"/>
          <w:highlight w:val="none"/>
          <w:u w:val="single"/>
        </w:rPr>
        <w:t>必要的加工图、大样图及国家建筑标准设计图集</w:t>
      </w:r>
      <w:r>
        <w:rPr>
          <w:rFonts w:hint="eastAsia" w:ascii="宋体" w:hAnsi="宋体" w:eastAsia="宋体" w:cs="宋体"/>
          <w:color w:val="auto"/>
          <w:sz w:val="24"/>
          <w:szCs w:val="24"/>
          <w:highlight w:val="none"/>
        </w:rPr>
        <w:t xml:space="preserve">； </w:t>
      </w:r>
    </w:p>
    <w:p w14:paraId="1A81FE50">
      <w:pPr>
        <w:pStyle w:val="9"/>
        <w:pageBreakBefore w:val="0"/>
        <w:widowControl w:val="0"/>
        <w:tabs>
          <w:tab w:val="left" w:pos="4635"/>
          <w:tab w:val="left" w:pos="4745"/>
          <w:tab w:val="left" w:pos="7366"/>
          <w:tab w:val="left" w:pos="9527"/>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承包人提供的文件的期限为：</w:t>
      </w:r>
      <w:r>
        <w:rPr>
          <w:rFonts w:hint="eastAsia" w:ascii="宋体" w:hAnsi="宋体" w:eastAsia="宋体" w:cs="宋体"/>
          <w:color w:val="auto"/>
          <w:sz w:val="24"/>
          <w:szCs w:val="24"/>
          <w:highlight w:val="none"/>
          <w:u w:val="single"/>
        </w:rPr>
        <w:t>构件开始施工前7天内</w:t>
      </w:r>
      <w:r>
        <w:rPr>
          <w:rFonts w:hint="eastAsia" w:ascii="宋体" w:hAnsi="宋体" w:eastAsia="宋体" w:cs="宋体"/>
          <w:color w:val="auto"/>
          <w:sz w:val="24"/>
          <w:szCs w:val="24"/>
          <w:highlight w:val="none"/>
        </w:rPr>
        <w:t>；</w:t>
      </w:r>
    </w:p>
    <w:p w14:paraId="5CAE6287">
      <w:pPr>
        <w:pStyle w:val="9"/>
        <w:pageBreakBefore w:val="0"/>
        <w:widowControl w:val="0"/>
        <w:tabs>
          <w:tab w:val="left" w:pos="4740"/>
          <w:tab w:val="left" w:pos="7366"/>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承包人提供的文件的数量为：</w:t>
      </w:r>
      <w:r>
        <w:rPr>
          <w:rFonts w:hint="eastAsia" w:ascii="宋体" w:hAnsi="宋体" w:eastAsia="宋体" w:cs="宋体"/>
          <w:color w:val="auto"/>
          <w:sz w:val="24"/>
          <w:szCs w:val="24"/>
          <w:highlight w:val="none"/>
          <w:u w:val="single"/>
        </w:rPr>
        <w:t>一式陆套</w:t>
      </w:r>
      <w:r>
        <w:rPr>
          <w:rFonts w:hint="eastAsia" w:ascii="宋体" w:hAnsi="宋体" w:eastAsia="宋体" w:cs="宋体"/>
          <w:color w:val="auto"/>
          <w:sz w:val="24"/>
          <w:szCs w:val="24"/>
          <w:highlight w:val="none"/>
        </w:rPr>
        <w:t>；</w:t>
      </w:r>
    </w:p>
    <w:p w14:paraId="2BEE694B">
      <w:pPr>
        <w:pStyle w:val="9"/>
        <w:pageBreakBefore w:val="0"/>
        <w:widowControl w:val="0"/>
        <w:tabs>
          <w:tab w:val="left" w:pos="4740"/>
          <w:tab w:val="left" w:pos="7578"/>
          <w:tab w:val="left" w:pos="8101"/>
        </w:tabs>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承包人提供的文件的形式为：</w:t>
      </w:r>
      <w:r>
        <w:rPr>
          <w:rFonts w:hint="eastAsia" w:ascii="宋体" w:hAnsi="宋体" w:eastAsia="宋体" w:cs="宋体"/>
          <w:color w:val="auto"/>
          <w:sz w:val="24"/>
          <w:szCs w:val="24"/>
          <w:highlight w:val="none"/>
          <w:u w:val="single"/>
        </w:rPr>
        <w:t>书面材料</w:t>
      </w:r>
      <w:r>
        <w:rPr>
          <w:rFonts w:hint="eastAsia" w:ascii="宋体" w:hAnsi="宋体" w:eastAsia="宋体" w:cs="宋体"/>
          <w:color w:val="auto"/>
          <w:sz w:val="24"/>
          <w:szCs w:val="24"/>
          <w:highlight w:val="none"/>
        </w:rPr>
        <w:t xml:space="preserve">； </w:t>
      </w:r>
    </w:p>
    <w:p w14:paraId="194591F9">
      <w:pPr>
        <w:pStyle w:val="9"/>
        <w:pageBreakBefore w:val="0"/>
        <w:widowControl w:val="0"/>
        <w:tabs>
          <w:tab w:val="left" w:pos="4740"/>
          <w:tab w:val="left" w:pos="7578"/>
          <w:tab w:val="left" w:pos="8101"/>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发包人审批承包人文件的期限：</w:t>
      </w:r>
      <w:r>
        <w:rPr>
          <w:rFonts w:hint="eastAsia" w:ascii="宋体" w:hAnsi="宋体" w:eastAsia="宋体" w:cs="宋体"/>
          <w:color w:val="auto"/>
          <w:sz w:val="24"/>
          <w:szCs w:val="24"/>
          <w:highlight w:val="none"/>
          <w:u w:val="single"/>
        </w:rPr>
        <w:t>文件签收后7天内</w:t>
      </w:r>
      <w:r>
        <w:rPr>
          <w:rFonts w:hint="eastAsia" w:ascii="宋体" w:hAnsi="宋体" w:eastAsia="宋体" w:cs="宋体"/>
          <w:color w:val="auto"/>
          <w:sz w:val="24"/>
          <w:szCs w:val="24"/>
          <w:highlight w:val="none"/>
        </w:rPr>
        <w:t>。</w:t>
      </w:r>
    </w:p>
    <w:p w14:paraId="4334EC5B">
      <w:pPr>
        <w:pStyle w:val="24"/>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1.6.5</w:t>
      </w:r>
      <w:r>
        <w:rPr>
          <w:rFonts w:hint="eastAsia" w:ascii="宋体" w:hAnsi="宋体" w:eastAsia="宋体" w:cs="宋体"/>
          <w:color w:val="auto"/>
          <w:sz w:val="24"/>
          <w:szCs w:val="24"/>
          <w:highlight w:val="none"/>
        </w:rPr>
        <w:t>现场图纸准备</w:t>
      </w:r>
    </w:p>
    <w:p w14:paraId="48E53EE8">
      <w:pPr>
        <w:pStyle w:val="9"/>
        <w:pageBreakBefore w:val="0"/>
        <w:widowControl w:val="0"/>
        <w:tabs>
          <w:tab w:val="left" w:pos="5478"/>
          <w:tab w:val="left" w:pos="7470"/>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关于现场图纸准备的约定：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4E9EBB90">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1.7联络</w:t>
      </w:r>
    </w:p>
    <w:p w14:paraId="49C2E3DC">
      <w:pPr>
        <w:pStyle w:val="24"/>
        <w:pageBreakBefore w:val="0"/>
        <w:widowControl w:val="0"/>
        <w:tabs>
          <w:tab w:val="left" w:pos="1964"/>
          <w:tab w:val="left" w:pos="4589"/>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1.7.1</w:t>
      </w:r>
      <w:r>
        <w:rPr>
          <w:rFonts w:hint="eastAsia" w:ascii="宋体" w:hAnsi="宋体" w:eastAsia="宋体" w:cs="宋体"/>
          <w:color w:val="auto"/>
          <w:sz w:val="24"/>
          <w:szCs w:val="24"/>
          <w:highlight w:val="none"/>
        </w:rPr>
        <w:t>发包人和承包人应当在</w:t>
      </w:r>
      <w:r>
        <w:rPr>
          <w:rFonts w:hint="eastAsia" w:ascii="宋体" w:hAnsi="宋体" w:eastAsia="宋体" w:cs="宋体"/>
          <w:color w:val="auto"/>
          <w:sz w:val="24"/>
          <w:szCs w:val="24"/>
          <w:highlight w:val="none"/>
          <w:u w:val="single"/>
        </w:rPr>
        <w:t xml:space="preserve"> 7</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天内将与合同有关的通知、批准、证明、证书、指示、指令、要求、请求、同意、意见、确定和决定等书面函件送达对方当事人。</w:t>
      </w:r>
    </w:p>
    <w:p w14:paraId="4E7472BA">
      <w:pPr>
        <w:pStyle w:val="24"/>
        <w:pageBreakBefore w:val="0"/>
        <w:widowControl w:val="0"/>
        <w:tabs>
          <w:tab w:val="left" w:pos="2010"/>
          <w:tab w:val="left" w:pos="4318"/>
          <w:tab w:val="left" w:pos="4952"/>
          <w:tab w:val="left" w:pos="6944"/>
          <w:tab w:val="left" w:pos="7263"/>
        </w:tabs>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1.7.2</w:t>
      </w:r>
      <w:r>
        <w:rPr>
          <w:rFonts w:hint="eastAsia" w:ascii="宋体" w:hAnsi="宋体" w:eastAsia="宋体" w:cs="宋体"/>
          <w:color w:val="auto"/>
          <w:sz w:val="24"/>
          <w:szCs w:val="24"/>
          <w:highlight w:val="none"/>
        </w:rPr>
        <w:t>发包人接收文件的地点：</w:t>
      </w:r>
      <w:r>
        <w:rPr>
          <w:rFonts w:hint="eastAsia" w:ascii="宋体" w:hAnsi="宋体" w:eastAsia="宋体" w:cs="宋体"/>
          <w:color w:val="auto"/>
          <w:sz w:val="24"/>
          <w:szCs w:val="24"/>
          <w:highlight w:val="none"/>
          <w:u w:val="single"/>
        </w:rPr>
        <w:t>项目施工项目部</w:t>
      </w:r>
      <w:r>
        <w:rPr>
          <w:rFonts w:hint="eastAsia" w:ascii="宋体" w:hAnsi="宋体" w:eastAsia="宋体" w:cs="宋体"/>
          <w:color w:val="auto"/>
          <w:sz w:val="24"/>
          <w:szCs w:val="24"/>
          <w:highlight w:val="none"/>
        </w:rPr>
        <w:t xml:space="preserve">； </w:t>
      </w:r>
    </w:p>
    <w:p w14:paraId="4BBE5AB7">
      <w:pPr>
        <w:pStyle w:val="24"/>
        <w:pageBreakBefore w:val="0"/>
        <w:widowControl w:val="0"/>
        <w:tabs>
          <w:tab w:val="left" w:pos="2010"/>
          <w:tab w:val="left" w:pos="4318"/>
          <w:tab w:val="left" w:pos="4952"/>
          <w:tab w:val="left" w:pos="6944"/>
          <w:tab w:val="left" w:pos="7263"/>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发包人指定的接收人为：</w:t>
      </w:r>
      <w:r>
        <w:rPr>
          <w:rFonts w:hint="eastAsia" w:ascii="宋体" w:hAnsi="宋体" w:eastAsia="宋体" w:cs="宋体"/>
          <w:color w:val="auto"/>
          <w:sz w:val="24"/>
          <w:szCs w:val="24"/>
          <w:highlight w:val="none"/>
          <w:u w:val="single"/>
        </w:rPr>
        <w:t>建设单位现场代表</w:t>
      </w:r>
      <w:r>
        <w:rPr>
          <w:rFonts w:hint="eastAsia" w:ascii="宋体" w:hAnsi="宋体" w:eastAsia="宋体" w:cs="宋体"/>
          <w:color w:val="auto"/>
          <w:sz w:val="24"/>
          <w:szCs w:val="24"/>
          <w:highlight w:val="none"/>
        </w:rPr>
        <w:t>。</w:t>
      </w:r>
    </w:p>
    <w:p w14:paraId="5FAE9D69">
      <w:pPr>
        <w:pStyle w:val="9"/>
        <w:pageBreakBefore w:val="0"/>
        <w:widowControl w:val="0"/>
        <w:tabs>
          <w:tab w:val="left" w:pos="4318"/>
          <w:tab w:val="left" w:pos="8519"/>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承包人接收文件的地点：</w:t>
      </w:r>
      <w:r>
        <w:rPr>
          <w:rFonts w:hint="eastAsia" w:ascii="宋体" w:hAnsi="宋体" w:eastAsia="宋体" w:cs="宋体"/>
          <w:color w:val="auto"/>
          <w:sz w:val="24"/>
          <w:szCs w:val="24"/>
          <w:highlight w:val="none"/>
          <w:u w:val="single"/>
        </w:rPr>
        <w:t>承包人施工现场管理机构的办公地点</w:t>
      </w:r>
      <w:r>
        <w:rPr>
          <w:rFonts w:hint="eastAsia" w:ascii="宋体" w:hAnsi="宋体" w:eastAsia="宋体" w:cs="宋体"/>
          <w:color w:val="auto"/>
          <w:sz w:val="24"/>
          <w:szCs w:val="24"/>
          <w:highlight w:val="none"/>
        </w:rPr>
        <w:t>；</w:t>
      </w:r>
    </w:p>
    <w:p w14:paraId="1B6BECEF">
      <w:pPr>
        <w:pStyle w:val="9"/>
        <w:pageBreakBefore w:val="0"/>
        <w:widowControl w:val="0"/>
        <w:tabs>
          <w:tab w:val="left" w:pos="1800"/>
          <w:tab w:val="left" w:pos="4131"/>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承包人指定的接收人为：</w:t>
      </w:r>
      <w:r>
        <w:rPr>
          <w:rFonts w:hint="eastAsia" w:ascii="宋体" w:hAnsi="宋体" w:eastAsia="宋体" w:cs="宋体"/>
          <w:color w:val="auto"/>
          <w:sz w:val="24"/>
          <w:szCs w:val="24"/>
          <w:highlight w:val="none"/>
          <w:u w:val="single"/>
        </w:rPr>
        <w:t>合同协议书中载明的承包人项目经理本人或者项目经理的授权代表</w:t>
      </w:r>
      <w:r>
        <w:rPr>
          <w:rFonts w:hint="eastAsia" w:ascii="宋体" w:hAnsi="宋体" w:eastAsia="宋体" w:cs="宋体"/>
          <w:color w:val="auto"/>
          <w:sz w:val="24"/>
          <w:szCs w:val="24"/>
          <w:highlight w:val="none"/>
        </w:rPr>
        <w:t>。</w:t>
      </w:r>
    </w:p>
    <w:p w14:paraId="7F778F18">
      <w:pPr>
        <w:pStyle w:val="9"/>
        <w:pageBreakBefore w:val="0"/>
        <w:widowControl w:val="0"/>
        <w:tabs>
          <w:tab w:val="left" w:pos="4318"/>
          <w:tab w:val="left" w:pos="5790"/>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监理人接收文件的地点：</w:t>
      </w:r>
      <w:r>
        <w:rPr>
          <w:rFonts w:hint="eastAsia" w:ascii="宋体" w:hAnsi="宋体" w:eastAsia="宋体" w:cs="宋体"/>
          <w:color w:val="auto"/>
          <w:sz w:val="24"/>
          <w:szCs w:val="24"/>
          <w:highlight w:val="none"/>
          <w:u w:val="single"/>
        </w:rPr>
        <w:t>项目监理部</w:t>
      </w:r>
      <w:r>
        <w:rPr>
          <w:rFonts w:hint="eastAsia" w:ascii="宋体" w:hAnsi="宋体" w:eastAsia="宋体" w:cs="宋体"/>
          <w:color w:val="auto"/>
          <w:sz w:val="24"/>
          <w:szCs w:val="24"/>
          <w:highlight w:val="none"/>
        </w:rPr>
        <w:t>；</w:t>
      </w:r>
    </w:p>
    <w:p w14:paraId="42586BE1">
      <w:pPr>
        <w:pStyle w:val="9"/>
        <w:pageBreakBefore w:val="0"/>
        <w:widowControl w:val="0"/>
        <w:tabs>
          <w:tab w:val="left" w:pos="4529"/>
          <w:tab w:val="left" w:pos="6630"/>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监理人指定的接收人为：</w:t>
      </w:r>
      <w:r>
        <w:rPr>
          <w:rFonts w:hint="eastAsia" w:ascii="宋体" w:hAnsi="宋体" w:eastAsia="宋体" w:cs="宋体"/>
          <w:color w:val="auto"/>
          <w:sz w:val="24"/>
          <w:szCs w:val="24"/>
          <w:highlight w:val="none"/>
          <w:u w:val="single"/>
        </w:rPr>
        <w:t>现场监理工程师</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如有</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w:t>
      </w:r>
    </w:p>
    <w:p w14:paraId="7EFB065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1.10交通运输</w:t>
      </w:r>
    </w:p>
    <w:p w14:paraId="146ADD74">
      <w:pPr>
        <w:pStyle w:val="24"/>
        <w:keepNext w:val="0"/>
        <w:keepLines w:val="0"/>
        <w:pageBreakBefore w:val="0"/>
        <w:widowControl w:val="0"/>
        <w:tabs>
          <w:tab w:val="left" w:pos="2115"/>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1.10.1</w:t>
      </w:r>
      <w:r>
        <w:rPr>
          <w:rFonts w:hint="eastAsia" w:ascii="宋体" w:hAnsi="宋体" w:eastAsia="宋体" w:cs="宋体"/>
          <w:color w:val="auto"/>
          <w:sz w:val="24"/>
          <w:szCs w:val="24"/>
          <w:highlight w:val="none"/>
        </w:rPr>
        <w:t>出入现场的权利</w:t>
      </w:r>
    </w:p>
    <w:p w14:paraId="05420F3F">
      <w:pPr>
        <w:pStyle w:val="9"/>
        <w:keepNext w:val="0"/>
        <w:keepLines w:val="0"/>
        <w:pageBreakBefore w:val="0"/>
        <w:widowControl w:val="0"/>
        <w:tabs>
          <w:tab w:val="left" w:pos="4532"/>
          <w:tab w:val="left" w:pos="7575"/>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关于出入现场的权利的约定：</w:t>
      </w:r>
      <w:r>
        <w:rPr>
          <w:rFonts w:hint="eastAsia" w:ascii="宋体" w:hAnsi="宋体" w:eastAsia="宋体" w:cs="宋体"/>
          <w:color w:val="auto"/>
          <w:sz w:val="24"/>
          <w:szCs w:val="24"/>
          <w:highlight w:val="none"/>
          <w:u w:val="single"/>
        </w:rPr>
        <w:t>按通用条款1.10.1执行</w:t>
      </w:r>
      <w:r>
        <w:rPr>
          <w:rFonts w:hint="eastAsia" w:ascii="宋体" w:hAnsi="宋体" w:eastAsia="宋体" w:cs="宋体"/>
          <w:color w:val="auto"/>
          <w:sz w:val="24"/>
          <w:szCs w:val="24"/>
          <w:highlight w:val="none"/>
        </w:rPr>
        <w:t>。</w:t>
      </w:r>
    </w:p>
    <w:p w14:paraId="39B72AC2">
      <w:pPr>
        <w:pStyle w:val="24"/>
        <w:keepNext w:val="0"/>
        <w:keepLines w:val="0"/>
        <w:pageBreakBefore w:val="0"/>
        <w:widowControl w:val="0"/>
        <w:tabs>
          <w:tab w:val="left" w:pos="2115"/>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1.10.3</w:t>
      </w:r>
      <w:r>
        <w:rPr>
          <w:rFonts w:hint="eastAsia" w:ascii="宋体" w:hAnsi="宋体" w:eastAsia="宋体" w:cs="宋体"/>
          <w:color w:val="auto"/>
          <w:sz w:val="24"/>
          <w:szCs w:val="24"/>
          <w:highlight w:val="none"/>
        </w:rPr>
        <w:t>场内交通</w:t>
      </w:r>
    </w:p>
    <w:p w14:paraId="445E6164">
      <w:pPr>
        <w:pStyle w:val="9"/>
        <w:keepNext w:val="0"/>
        <w:keepLines w:val="0"/>
        <w:pageBreakBefore w:val="0"/>
        <w:widowControl w:val="0"/>
        <w:tabs>
          <w:tab w:val="left" w:pos="5475"/>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关于场外交通和场内交通的边界的约定：</w:t>
      </w:r>
      <w:r>
        <w:rPr>
          <w:rFonts w:hint="eastAsia" w:ascii="宋体" w:hAnsi="宋体" w:eastAsia="宋体" w:cs="宋体"/>
          <w:color w:val="auto"/>
          <w:sz w:val="24"/>
          <w:szCs w:val="24"/>
          <w:highlight w:val="none"/>
          <w:u w:val="single"/>
        </w:rPr>
        <w:t>本项目约定工程所在地块红线范围内为场内</w:t>
      </w:r>
      <w:r>
        <w:rPr>
          <w:rFonts w:hint="eastAsia" w:ascii="宋体" w:hAnsi="宋体" w:eastAsia="宋体" w:cs="宋体"/>
          <w:color w:val="auto"/>
          <w:sz w:val="24"/>
          <w:szCs w:val="24"/>
          <w:highlight w:val="none"/>
        </w:rPr>
        <w:t>。</w:t>
      </w:r>
    </w:p>
    <w:p w14:paraId="23E3D9E1">
      <w:pPr>
        <w:pStyle w:val="9"/>
        <w:keepNext w:val="0"/>
        <w:keepLines w:val="0"/>
        <w:pageBreakBefore w:val="0"/>
        <w:widowControl w:val="0"/>
        <w:tabs>
          <w:tab w:val="left" w:pos="9364"/>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bidi="ar-SA"/>
        </w:rPr>
        <mc:AlternateContent>
          <mc:Choice Requires="wpg">
            <w:drawing>
              <wp:anchor distT="0" distB="0" distL="114300" distR="114300" simplePos="0" relativeHeight="251687936" behindDoc="1" locked="0" layoutInCell="1" allowOverlap="1">
                <wp:simplePos x="0" y="0"/>
                <wp:positionH relativeFrom="page">
                  <wp:posOffset>6080125</wp:posOffset>
                </wp:positionH>
                <wp:positionV relativeFrom="paragraph">
                  <wp:posOffset>105410</wp:posOffset>
                </wp:positionV>
                <wp:extent cx="532130" cy="134620"/>
                <wp:effectExtent l="0" t="0" r="0" b="0"/>
                <wp:wrapNone/>
                <wp:docPr id="102" name="组合 102"/>
                <wp:cNvGraphicFramePr/>
                <a:graphic xmlns:a="http://schemas.openxmlformats.org/drawingml/2006/main">
                  <a:graphicData uri="http://schemas.microsoft.com/office/word/2010/wordprocessingGroup">
                    <wpg:wgp>
                      <wpg:cNvGrpSpPr/>
                      <wpg:grpSpPr>
                        <a:xfrm>
                          <a:off x="0" y="0"/>
                          <a:ext cx="532130" cy="134620"/>
                          <a:chOff x="9576" y="167"/>
                          <a:chExt cx="838" cy="212"/>
                        </a:xfrm>
                        <a:effectLst/>
                      </wpg:grpSpPr>
                      <pic:pic xmlns:pic="http://schemas.openxmlformats.org/drawingml/2006/picture">
                        <pic:nvPicPr>
                          <pic:cNvPr id="50" name="图片 40"/>
                          <pic:cNvPicPr>
                            <a:picLocks noChangeAspect="1"/>
                          </pic:cNvPicPr>
                        </pic:nvPicPr>
                        <pic:blipFill>
                          <a:blip r:embed="rId35"/>
                          <a:stretch>
                            <a:fillRect/>
                          </a:stretch>
                        </pic:blipFill>
                        <pic:spPr>
                          <a:xfrm>
                            <a:off x="9575" y="166"/>
                            <a:ext cx="418" cy="212"/>
                          </a:xfrm>
                          <a:prstGeom prst="rect">
                            <a:avLst/>
                          </a:prstGeom>
                          <a:noFill/>
                          <a:ln>
                            <a:noFill/>
                          </a:ln>
                          <a:effectLst/>
                        </pic:spPr>
                      </pic:pic>
                      <pic:pic xmlns:pic="http://schemas.openxmlformats.org/drawingml/2006/picture">
                        <pic:nvPicPr>
                          <pic:cNvPr id="52" name="图片 41"/>
                          <pic:cNvPicPr>
                            <a:picLocks noChangeAspect="1"/>
                          </pic:cNvPicPr>
                        </pic:nvPicPr>
                        <pic:blipFill>
                          <a:blip r:embed="rId35"/>
                          <a:stretch>
                            <a:fillRect/>
                          </a:stretch>
                        </pic:blipFill>
                        <pic:spPr>
                          <a:xfrm>
                            <a:off x="9995" y="166"/>
                            <a:ext cx="418" cy="212"/>
                          </a:xfrm>
                          <a:prstGeom prst="rect">
                            <a:avLst/>
                          </a:prstGeom>
                          <a:noFill/>
                          <a:ln>
                            <a:noFill/>
                          </a:ln>
                          <a:effectLst/>
                        </pic:spPr>
                      </pic:pic>
                    </wpg:wgp>
                  </a:graphicData>
                </a:graphic>
              </wp:anchor>
            </w:drawing>
          </mc:Choice>
          <mc:Fallback>
            <w:pict>
              <v:group id="_x0000_s1026" o:spid="_x0000_s1026" o:spt="203" style="position:absolute;left:0pt;margin-left:478.75pt;margin-top:8.3pt;height:10.6pt;width:41.9pt;mso-position-horizontal-relative:page;z-index:-251628544;mso-width-relative:page;mso-height-relative:page;" coordorigin="9576,167" coordsize="838,212" o:gfxdata="UEsDBAoAAAAAAIdO4kAAAAAAAAAAAAAAAAAEAAAAZHJzL1BLAwQUAAAACACHTuJAWdtSONoAAAAK&#10;AQAADwAAAGRycy9kb3ducmV2LnhtbE2PwU7DMBBE70j8g7VI3KhtQtIS4lSoAk5VJVokxM2Nt0nU&#10;eB3FbtL+Pe4Jjqt5mnlbLM+2YyMOvnWkQM4EMKTKmZZqBV+794cFMB80Gd05QgUX9LAsb28KnRs3&#10;0SeO21CzWEI+1wqaEPqcc181aLWfuR4pZgc3WB3iOdTcDHqK5bbjj0Jk3OqW4kKje1w1WB23J6vg&#10;Y9LTayLfxvXxsLr87NLN91qiUvd3UrwAC3gOfzBc9aM6lNFp705kPOsUPKfzNKIxyDJgV0A8yQTY&#10;XkEyXwAvC/7/hfIXUEsDBBQAAAAIAIdO4kD3HPwoeAIAAIYHAAAOAAAAZHJzL2Uyb0RvYy54bWzt&#10;Vd1u0zAUvkfiHSzf0zTpz9ao7YQoq5AmqBg8gOs4iUX8I9ttunsk2B33PAoSbzPtNXbsZP0biAkh&#10;JCQumh4f28ff950vzvhsIyq0ZsZyJSc47nQxYpKqjMtigt+/O392ipF1RGakUpJN8BWz+Gz69Mm4&#10;1ilLVKmqjBkERaRNaz3BpXM6jSJLSyaI7SjNJEzmygjiYGiKKDOkhuqiipJudxjVymTaKMqsheys&#10;mcRtRfOYgirPOWUzRVeCSddUNawiDijZkmuLpwFtnjPq3uS5ZQ5VEwxMXXjCIRAv/TOajklaGKJL&#10;TlsI5DEQjjgJwiUcui01I46gleEPSglOjbIqdx2qRNQQCYoAi7h7pM3cqJUOXIq0LvRWdGjUkeq/&#10;XZa+Xi8M4hk4oZtgJImAlt9++3jz5TPyGdCn1kUKy+ZGX+qFaRNFM/KUN7kR/h/IoE1Q9mqrLNs4&#10;RCE56CVxDzSnMBX3+sOkVZ6W0B6/azQ4GWLkZ4cnTVNo+bLdfNoDS/qdSRwARbszWWjxhXUAK/JA&#10;t7g0pyn8Ws0geqDZr50Ku9zKMOiArybXC04XphnsdBsArUa2m6/fb68/oX7g5nf4Rc0W4rFcKPrB&#10;IqlelEQW7LnV4E4g7OlGh8vD8OC8ZcX1Oa8qL7SP/+zrgkzKxJKBC8yrLAAiqXWGOVr6A3M4+C2A&#10;9UD3JgLKHTBPwYJDfuAJ6O6g7e6w6e69MfrxT3urjXVzpgTyASADANAJkpJ1228QtV3i01J5fQAi&#10;SSt5kADMTebALTu4gQcMm85C8BdMs33X7k0TVPeY/pumvUhGo9E/YZpw78D1HF6O9lPi7//9McT7&#10;n8/pHVBLAwQKAAAAAACHTuJAAAAAAAAAAAAAAAAACgAAAGRycy9tZWRpYS9QSwMEFAAAAAgAh07i&#10;QCdPrR23AAAAsgAAABQAAABkcnMvbWVkaWEvaW1hZ2UxLnBuZwGyAE3/iVBORw0KGgoAAAANSUhE&#10;UgAAAK4AAABYCAYAAABsx8zqAAAABmJLR0QA/wD/AP+gvaeTAAAACXBIWXMAAA7EAAAOxAGVKw4b&#10;AAAAUklEQVR4nO3BAQ0AAADCoPdPbQ43oAAAAAAAAAAAAAAAAAAAAAAAAAAAAAAAAAAAAAAAAAAA&#10;AAAAAAAAAAAAAAAAAAAAAAAAAAAAAAAAAAAAeDbvmAABx8yJ+wAAAABJRU5ErkJgg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CgAA&#10;AAAAh07iQAAAAAAAAAAAAAAAAAoAAABkcnMvX3JlbHMvUEsDBBQAAAAIAIdO4kCqJg6+tgAAACEB&#10;AAAZAAAAZHJzL19yZWxzL2Uyb0RvYy54bWwucmVsc4WPQWrDMBBF94XcQcw+lp1FKMWyN6HgbUgO&#10;MEhjWcQaCUkt9e0jyCaBQJfzP/89ph///Cp+KWUXWEHXtCCIdTCOrYLr5Xv/CSIXZINrYFKwUYZx&#10;2H30Z1qx1FFeXMyiUjgrWEqJX1JmvZDH3IRIXJs5JI+lnsnKiPqGluShbY8yPTNgeGGKyShIk+lA&#10;XLZYzf+zwzw7TaegfzxxeaOQzld3BWKyVBR4Mg4fYddEtiCHXr48NtwBUEsDBBQAAAAIAIdO4kB5&#10;57oEBAEAABMCAAATAAAAW0NvbnRlbnRfVHlwZXNdLnhtbJWRwU7DMAyG70i8Q5QralN2QAit3YGO&#10;IyA0HiBK3DaicaI4lO3tSbpNgokh7Rjb3+8vyXK1tSObIJBxWPPbsuIMUDltsK/5++apuOeMokQt&#10;R4dQ8x0QXzXXV8vNzgOxRCPVfIjRPwhBagArqXQeMHU6F6yM6Rh64aX6kD2IRVXdCeUwAsYi5gze&#10;LFvo5OcY2XqbynsTjz1nj/u5vKrmxmY+18WfRICRThDp/WiUjOluYkJ94lUcnMpEzjM0GE83SfzM&#10;htz57fRzwYF7SY8ZjAb2KkN8ljaZCx1IaPeFAaby/5BsaalwXWcUlG2gNmFvMB2tzqXDwrVOXRq+&#10;nqljtpi/tPkGUEsBAhQAFAAAAAgAh07iQHnnugQEAQAAEwIAABMAAAAAAAAAAQAgAAAAEQcAAFtD&#10;b250ZW50X1R5cGVzXS54bWxQSwECFAAKAAAAAACHTuJAAAAAAAAAAAAAAAAABgAAAAAAAAAAABAA&#10;AADeBAAAX3JlbHMvUEsBAhQAFAAAAAgAh07iQIoUZjzRAAAAlAEAAAsAAAAAAAAAAQAgAAAAAgUA&#10;AF9yZWxzLy5yZWxzUEsBAhQACgAAAAAAh07iQAAAAAAAAAAAAAAAAAQAAAAAAAAAAAAQAAAAAAAA&#10;AGRycy9QSwECFAAKAAAAAACHTuJAAAAAAAAAAAAAAAAACgAAAAAAAAAAABAAAAD8BQAAZHJzL19y&#10;ZWxzL1BLAQIUABQAAAAIAIdO4kCqJg6+tgAAACEBAAAZAAAAAAAAAAEAIAAAACQGAABkcnMvX3Jl&#10;bHMvZTJvRG9jLnhtbC5yZWxzUEsBAhQAFAAAAAgAh07iQFnbUjjaAAAACgEAAA8AAAAAAAAAAQAg&#10;AAAAIgAAAGRycy9kb3ducmV2LnhtbFBLAQIUABQAAAAIAIdO4kD3HPwoeAIAAIYHAAAOAAAAAAAA&#10;AAEAIAAAACkBAABkcnMvZTJvRG9jLnhtbFBLAQIUAAoAAAAAAIdO4kAAAAAAAAAAAAAAAAAKAAAA&#10;AAAAAAAAEAAAAM0DAABkcnMvbWVkaWEvUEsBAhQAFAAAAAgAh07iQCdPrR23AAAAsgAAABQAAAAA&#10;AAAAAQAgAAAA9QMAAGRycy9tZWRpYS9pbWFnZTEucG5nUEsFBgAAAAAKAAoAUgIAAEYIAAAAAA==&#10;">
                <o:lock v:ext="edit" aspectratio="f"/>
                <v:shape id="图片 40" o:spid="_x0000_s1026" o:spt="75" type="#_x0000_t75" style="position:absolute;left:9575;top:166;height:212;width:418;" filled="f" o:preferrelative="t" stroked="f" coordsize="21600,21600" o:gfxdata="UEsDBAoAAAAAAIdO4kAAAAAAAAAAAAAAAAAEAAAAZHJzL1BLAwQUAAAACACHTuJAwFlUbLkAAADb&#10;AAAADwAAAGRycy9kb3ducmV2LnhtbEVPy4rCMBTdC/MP4Q6400TBKh2jDAOKG0Gri1lemmtbp7np&#10;JPH192YhuDyc93x5t624kg+NYw2joQJBXDrTcKXheFgNZiBCRDbYOiYNDwqwXHz05pgbd+M9XYtY&#10;iRTCIUcNdYxdLmUoa7IYhq4jTtzJeYsxQV9J4/GWwm0rx0pl0mLDqaHGjn5qKv+Ki9XQqHOhpmu/&#10;s/i9z7b2Nzs+1v9a9z9H6gtEpHt8i1/ujdEwSevTl/QD5OI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BZVGy5AAAA2wAA&#10;AA8AAAAAAAAAAQAgAAAAIgAAAGRycy9kb3ducmV2LnhtbFBLAQIUABQAAAAIAIdO4kAzLwWeOwAA&#10;ADkAAAAQAAAAAAAAAAEAIAAAAAgBAABkcnMvc2hhcGV4bWwueG1sUEsFBgAAAAAGAAYAWwEAALID&#10;AAAAAA==&#10;">
                  <v:fill on="f" focussize="0,0"/>
                  <v:stroke on="f"/>
                  <v:imagedata r:id="rId35" o:title=""/>
                  <o:lock v:ext="edit" aspectratio="t"/>
                </v:shape>
                <v:shape id="图片 41" o:spid="_x0000_s1026" o:spt="75" type="#_x0000_t75" style="position:absolute;left:9995;top:166;height:212;width:418;" filled="f" o:preferrelative="t" stroked="f" coordsize="21600,21600" o:gfxdata="UEsDBAoAAAAAAIdO4kAAAAAAAAAAAAAAAAAEAAAAZHJzL1BLAwQUAAAACACHTuJAX8dvgL4AAADb&#10;AAAADwAAAGRycy9kb3ducmV2LnhtbEWPzWrDMBCE74G8g9hAb4mUQN3iRDYl0NBLIXF9yHGxtrZb&#10;a+VIan7ePioUehxm5htmU17tIM7kQ+9Yw3KhQBA3zvTcaqg/XufPIEJENjg4Jg03ClAW08kGc+Mu&#10;fKBzFVuRIBxy1NDFOOZShqYji2HhRuLkfTpvMSbpW2k8XhLcDnKlVCYt9pwWOhxp21HzXf1YDb36&#10;qtTTzu8tvhyyd3vM6tvupPXDbKnWICJd43/4r/1mNDyu4PdL+gGyu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8dvgL4A&#10;AADbAAAADwAAAAAAAAABACAAAAAiAAAAZHJzL2Rvd25yZXYueG1sUEsBAhQAFAAAAAgAh07iQDMv&#10;BZ47AAAAOQAAABAAAAAAAAAAAQAgAAAADQEAAGRycy9zaGFwZXhtbC54bWxQSwUGAAAAAAYABgBb&#10;AQAAtwMAAAAA&#10;">
                  <v:fill on="f" focussize="0,0"/>
                  <v:stroke on="f"/>
                  <v:imagedata r:id="rId35" o:title=""/>
                  <o:lock v:ext="edit" aspectratio="t"/>
                </v:shape>
              </v:group>
            </w:pict>
          </mc:Fallback>
        </mc:AlternateContent>
      </w:r>
      <w:r>
        <w:rPr>
          <w:rFonts w:hint="eastAsia" w:ascii="宋体" w:hAnsi="宋体" w:eastAsia="宋体" w:cs="宋体"/>
          <w:color w:val="auto"/>
          <w:sz w:val="24"/>
          <w:szCs w:val="24"/>
          <w:highlight w:val="none"/>
        </w:rPr>
        <w:t>关于发包人向承包人免费提供满足工程施工需要的场内道路和交通设施的约定：</w:t>
      </w:r>
      <w:r>
        <w:rPr>
          <w:rFonts w:hint="eastAsia" w:ascii="宋体" w:hAnsi="宋体" w:eastAsia="宋体" w:cs="宋体"/>
          <w:color w:val="auto"/>
          <w:sz w:val="24"/>
          <w:szCs w:val="24"/>
          <w:highlight w:val="none"/>
          <w:u w:val="single"/>
        </w:rPr>
        <w:t xml:space="preserve">  无</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63578104">
      <w:pPr>
        <w:pStyle w:val="24"/>
        <w:keepNext w:val="0"/>
        <w:keepLines w:val="0"/>
        <w:pageBreakBefore w:val="0"/>
        <w:widowControl w:val="0"/>
        <w:tabs>
          <w:tab w:val="left" w:pos="2115"/>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1.10.4</w:t>
      </w:r>
      <w:r>
        <w:rPr>
          <w:rFonts w:hint="eastAsia" w:ascii="宋体" w:hAnsi="宋体" w:eastAsia="宋体" w:cs="宋体"/>
          <w:color w:val="auto"/>
          <w:sz w:val="24"/>
          <w:szCs w:val="24"/>
          <w:highlight w:val="none"/>
        </w:rPr>
        <w:t>超大件和超重件的运输</w:t>
      </w:r>
    </w:p>
    <w:p w14:paraId="4125EA07">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运输超大件或超重件所需的道路和桥梁临时加固改造费用和其他有关费用由</w:t>
      </w:r>
      <w:r>
        <w:rPr>
          <w:rFonts w:hint="eastAsia" w:ascii="宋体" w:hAnsi="宋体" w:eastAsia="宋体" w:cs="宋体"/>
          <w:color w:val="auto"/>
          <w:sz w:val="24"/>
          <w:szCs w:val="24"/>
          <w:highlight w:val="none"/>
          <w:u w:val="single"/>
        </w:rPr>
        <w:t>未计价，由发包人承担；已计价，由承包人</w:t>
      </w:r>
      <w:r>
        <w:rPr>
          <w:rFonts w:hint="eastAsia" w:ascii="宋体" w:hAnsi="宋体" w:eastAsia="宋体" w:cs="宋体"/>
          <w:color w:val="auto"/>
          <w:sz w:val="24"/>
          <w:szCs w:val="24"/>
          <w:highlight w:val="none"/>
        </w:rPr>
        <w:t>承担。</w:t>
      </w:r>
    </w:p>
    <w:p w14:paraId="60A0E76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1.11知识产权</w:t>
      </w:r>
    </w:p>
    <w:p w14:paraId="313D69CA">
      <w:pPr>
        <w:pStyle w:val="24"/>
        <w:pageBreakBefore w:val="0"/>
        <w:widowControl w:val="0"/>
        <w:tabs>
          <w:tab w:val="left" w:pos="2115"/>
        </w:tabs>
        <w:kinsoku/>
        <w:wordWrap/>
        <w:overflowPunct/>
        <w:topLinePunct w:val="0"/>
        <w:autoSpaceDE/>
        <w:autoSpaceDN/>
        <w:bidi w:val="0"/>
        <w:adjustRightInd/>
        <w:snapToGrid/>
        <w:spacing w:line="40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1.11.1</w:t>
      </w:r>
      <w:r>
        <w:rPr>
          <w:rFonts w:hint="eastAsia" w:ascii="宋体" w:hAnsi="宋体" w:eastAsia="宋体" w:cs="宋体"/>
          <w:color w:val="auto"/>
          <w:sz w:val="24"/>
          <w:szCs w:val="24"/>
          <w:highlight w:val="none"/>
        </w:rPr>
        <w:t>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4"/>
          <w:szCs w:val="24"/>
          <w:highlight w:val="none"/>
          <w:u w:val="single"/>
        </w:rPr>
        <w:t>发包人</w:t>
      </w:r>
      <w:r>
        <w:rPr>
          <w:rFonts w:hint="eastAsia" w:ascii="宋体" w:hAnsi="宋体" w:eastAsia="宋体" w:cs="宋体"/>
          <w:color w:val="auto"/>
          <w:sz w:val="24"/>
          <w:szCs w:val="24"/>
          <w:highlight w:val="none"/>
        </w:rPr>
        <w:t>。</w:t>
      </w:r>
    </w:p>
    <w:p w14:paraId="3ACF6753">
      <w:pPr>
        <w:pStyle w:val="9"/>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关于发包人提供的上述文件的使用限制的要求：</w:t>
      </w:r>
      <w:r>
        <w:rPr>
          <w:rFonts w:hint="eastAsia" w:ascii="宋体" w:hAnsi="宋体" w:eastAsia="宋体" w:cs="宋体"/>
          <w:color w:val="auto"/>
          <w:sz w:val="24"/>
          <w:szCs w:val="24"/>
          <w:highlight w:val="none"/>
          <w:u w:val="single"/>
        </w:rPr>
        <w:t>承包人可以为实现合同目的而复制、使用此类文件，但不能用于与本合同无关的其他事项，未经发包人书面同意，承包人不得为了本合同以外的目的而复制、使用上述文件或将之提供给任何第三方</w:t>
      </w:r>
      <w:r>
        <w:rPr>
          <w:rFonts w:hint="eastAsia" w:ascii="宋体" w:hAnsi="宋体" w:eastAsia="宋体" w:cs="宋体"/>
          <w:color w:val="auto"/>
          <w:sz w:val="24"/>
          <w:szCs w:val="24"/>
          <w:highlight w:val="none"/>
        </w:rPr>
        <w:t>。</w:t>
      </w:r>
    </w:p>
    <w:p w14:paraId="6594B381">
      <w:pPr>
        <w:pStyle w:val="24"/>
        <w:pageBreakBefore w:val="0"/>
        <w:widowControl w:val="0"/>
        <w:tabs>
          <w:tab w:val="left" w:pos="2115"/>
        </w:tabs>
        <w:kinsoku/>
        <w:wordWrap/>
        <w:overflowPunct/>
        <w:topLinePunct w:val="0"/>
        <w:autoSpaceDE/>
        <w:autoSpaceDN/>
        <w:bidi w:val="0"/>
        <w:adjustRightInd/>
        <w:snapToGrid/>
        <w:spacing w:line="400" w:lineRule="exact"/>
        <w:ind w:lef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1.11.2</w:t>
      </w:r>
      <w:r>
        <w:rPr>
          <w:rFonts w:hint="eastAsia" w:ascii="宋体" w:hAnsi="宋体" w:eastAsia="宋体" w:cs="宋体"/>
          <w:color w:val="auto"/>
          <w:sz w:val="24"/>
          <w:szCs w:val="24"/>
          <w:highlight w:val="none"/>
        </w:rPr>
        <w:t>关于承包人为实施工程所编制文件的著作权的归属：</w:t>
      </w:r>
      <w:r>
        <w:rPr>
          <w:rFonts w:hint="eastAsia" w:ascii="宋体" w:hAnsi="宋体" w:eastAsia="宋体" w:cs="宋体"/>
          <w:color w:val="auto"/>
          <w:sz w:val="24"/>
          <w:szCs w:val="24"/>
          <w:highlight w:val="none"/>
          <w:u w:val="single"/>
        </w:rPr>
        <w:t>承包人</w:t>
      </w:r>
      <w:r>
        <w:rPr>
          <w:rFonts w:hint="eastAsia" w:ascii="宋体" w:hAnsi="宋体" w:eastAsia="宋体" w:cs="宋体"/>
          <w:color w:val="auto"/>
          <w:sz w:val="24"/>
          <w:szCs w:val="24"/>
          <w:highlight w:val="none"/>
        </w:rPr>
        <w:t>。</w:t>
      </w:r>
    </w:p>
    <w:p w14:paraId="2690BE7C">
      <w:pPr>
        <w:pStyle w:val="9"/>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关于承包人提供的上述文件的使用限制的要求：</w:t>
      </w:r>
      <w:r>
        <w:rPr>
          <w:rFonts w:hint="eastAsia" w:ascii="宋体" w:hAnsi="宋体" w:eastAsia="宋体" w:cs="宋体"/>
          <w:color w:val="auto"/>
          <w:sz w:val="24"/>
          <w:szCs w:val="24"/>
          <w:highlight w:val="none"/>
          <w:u w:val="single"/>
        </w:rPr>
        <w:t>承包人可因施工工程的运行、调试、维修、改造等目的而复制、使用此类文件，但不能用于与合同无关的其他事项。未经发包人书面同意，承包人不能为了合同以外的目的而复制、使用上述文件或将之提供给任何第三方</w:t>
      </w:r>
      <w:r>
        <w:rPr>
          <w:rFonts w:hint="eastAsia" w:ascii="宋体" w:hAnsi="宋体" w:eastAsia="宋体" w:cs="宋体"/>
          <w:color w:val="auto"/>
          <w:sz w:val="24"/>
          <w:szCs w:val="24"/>
          <w:highlight w:val="none"/>
        </w:rPr>
        <w:t>。</w:t>
      </w:r>
    </w:p>
    <w:p w14:paraId="63B06670">
      <w:pPr>
        <w:pStyle w:val="9"/>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1.11.4 承包人在施工过程中所采用的专利、专有技术、技术秘密的使用费的承担方式：</w:t>
      </w:r>
      <w:r>
        <w:rPr>
          <w:rFonts w:hint="eastAsia" w:ascii="宋体" w:hAnsi="宋体" w:eastAsia="宋体" w:cs="宋体"/>
          <w:color w:val="auto"/>
          <w:sz w:val="24"/>
          <w:szCs w:val="24"/>
          <w:highlight w:val="none"/>
          <w:u w:val="single"/>
        </w:rPr>
        <w:t>按通用条款 1.11.4 执行</w:t>
      </w:r>
      <w:r>
        <w:rPr>
          <w:rFonts w:hint="eastAsia" w:ascii="宋体" w:hAnsi="宋体" w:eastAsia="宋体" w:cs="宋体"/>
          <w:color w:val="auto"/>
          <w:sz w:val="24"/>
          <w:szCs w:val="24"/>
          <w:highlight w:val="none"/>
        </w:rPr>
        <w:t>。</w:t>
      </w:r>
    </w:p>
    <w:p w14:paraId="75E5C51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1.13 工程量清单错误的修正</w:t>
      </w:r>
    </w:p>
    <w:p w14:paraId="35C2C309">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出现工程量清单工程量偏差时，是否调整合同价格：</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F3DBD32">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允许调整合同价格的工程量偏差范围及其调整办法：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C40CBF0">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rPr>
        <w:t>2.</w:t>
      </w:r>
      <w:r>
        <w:rPr>
          <w:rFonts w:hint="eastAsia" w:ascii="宋体" w:hAnsi="宋体" w:eastAsia="宋体" w:cs="宋体"/>
          <w:b/>
          <w:bCs/>
          <w:color w:val="auto"/>
          <w:sz w:val="24"/>
          <w:szCs w:val="24"/>
          <w:highlight w:val="none"/>
        </w:rPr>
        <w:t>发包人</w:t>
      </w:r>
    </w:p>
    <w:p w14:paraId="1951FDC6">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2.2 发包人代表</w:t>
      </w:r>
    </w:p>
    <w:p w14:paraId="1D6E7EF3">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发包人代表：</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none"/>
          <w:lang w:val="en-US" w:eastAsia="zh-CN"/>
        </w:rPr>
        <w:t>；</w:t>
      </w:r>
    </w:p>
    <w:p w14:paraId="70F700BB">
      <w:pPr>
        <w:pStyle w:val="9"/>
        <w:keepNext w:val="0"/>
        <w:keepLines w:val="0"/>
        <w:pageBreakBefore w:val="0"/>
        <w:widowControl w:val="0"/>
        <w:tabs>
          <w:tab w:val="left" w:pos="2009"/>
          <w:tab w:val="left" w:pos="3060"/>
          <w:tab w:val="left" w:pos="5160"/>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bidi="ar-SA"/>
        </w:rPr>
        <w:drawing>
          <wp:anchor distT="0" distB="0" distL="114300" distR="114300" simplePos="0" relativeHeight="251688960" behindDoc="1" locked="0" layoutInCell="1" allowOverlap="1">
            <wp:simplePos x="0" y="0"/>
            <wp:positionH relativeFrom="page">
              <wp:posOffset>2075815</wp:posOffset>
            </wp:positionH>
            <wp:positionV relativeFrom="paragraph">
              <wp:posOffset>105410</wp:posOffset>
            </wp:positionV>
            <wp:extent cx="534670" cy="133985"/>
            <wp:effectExtent l="0" t="0" r="0" b="0"/>
            <wp:wrapNone/>
            <wp:docPr id="1"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0.png"/>
                    <pic:cNvPicPr>
                      <a:picLocks noChangeAspect="1"/>
                    </pic:cNvPicPr>
                  </pic:nvPicPr>
                  <pic:blipFill>
                    <a:blip r:embed="rId36"/>
                    <a:stretch>
                      <a:fillRect/>
                    </a:stretch>
                  </pic:blipFill>
                  <pic:spPr>
                    <a:xfrm>
                      <a:off x="0" y="0"/>
                      <a:ext cx="53467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689984" behindDoc="1" locked="0" layoutInCell="1" allowOverlap="1">
            <wp:simplePos x="0" y="0"/>
            <wp:positionH relativeFrom="page">
              <wp:posOffset>3144520</wp:posOffset>
            </wp:positionH>
            <wp:positionV relativeFrom="paragraph">
              <wp:posOffset>105410</wp:posOffset>
            </wp:positionV>
            <wp:extent cx="761365" cy="133985"/>
            <wp:effectExtent l="0" t="0" r="0" b="0"/>
            <wp:wrapNone/>
            <wp:docPr id="13"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1.png"/>
                    <pic:cNvPicPr>
                      <a:picLocks noChangeAspect="1"/>
                    </pic:cNvPicPr>
                  </pic:nvPicPr>
                  <pic:blipFill>
                    <a:blip r:embed="rId37"/>
                    <a:stretch>
                      <a:fillRect/>
                    </a:stretch>
                  </pic:blipFill>
                  <pic:spPr>
                    <a:xfrm>
                      <a:off x="0" y="0"/>
                      <a:ext cx="761365" cy="133985"/>
                    </a:xfrm>
                    <a:prstGeom prst="rect">
                      <a:avLst/>
                    </a:prstGeom>
                    <a:noFill/>
                    <a:ln>
                      <a:noFill/>
                    </a:ln>
                  </pic:spPr>
                </pic:pic>
              </a:graphicData>
            </a:graphic>
          </wp:anchor>
        </w:drawing>
      </w:r>
      <w:r>
        <w:rPr>
          <w:rFonts w:hint="eastAsia" w:ascii="宋体" w:hAnsi="宋体" w:eastAsia="宋体" w:cs="宋体"/>
          <w:color w:val="auto"/>
          <w:sz w:val="24"/>
          <w:szCs w:val="24"/>
          <w:highlight w:val="none"/>
        </w:rPr>
        <w:t>姓</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18DEDFE3">
      <w:pPr>
        <w:pStyle w:val="9"/>
        <w:keepNext w:val="0"/>
        <w:keepLines w:val="0"/>
        <w:pageBreakBefore w:val="0"/>
        <w:widowControl w:val="0"/>
        <w:tabs>
          <w:tab w:val="left" w:pos="2009"/>
          <w:tab w:val="left" w:pos="3060"/>
          <w:tab w:val="left" w:pos="5686"/>
          <w:tab w:val="left" w:pos="5792"/>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bidi="ar-SA"/>
        </w:rPr>
        <w:drawing>
          <wp:anchor distT="0" distB="0" distL="114300" distR="114300" simplePos="0" relativeHeight="251691008" behindDoc="1" locked="0" layoutInCell="1" allowOverlap="1">
            <wp:simplePos x="0" y="0"/>
            <wp:positionH relativeFrom="page">
              <wp:posOffset>2075815</wp:posOffset>
            </wp:positionH>
            <wp:positionV relativeFrom="paragraph">
              <wp:posOffset>107315</wp:posOffset>
            </wp:positionV>
            <wp:extent cx="534670" cy="133985"/>
            <wp:effectExtent l="0" t="0" r="0" b="0"/>
            <wp:wrapNone/>
            <wp:docPr id="14"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6"/>
                    <pic:cNvPicPr>
                      <a:picLocks noChangeAspect="1"/>
                    </pic:cNvPicPr>
                  </pic:nvPicPr>
                  <pic:blipFill>
                    <a:blip r:embed="rId36"/>
                    <a:stretch>
                      <a:fillRect/>
                    </a:stretch>
                  </pic:blipFill>
                  <pic:spPr>
                    <a:xfrm>
                      <a:off x="0" y="0"/>
                      <a:ext cx="53467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692032" behindDoc="1" locked="0" layoutInCell="1" allowOverlap="1">
            <wp:simplePos x="0" y="0"/>
            <wp:positionH relativeFrom="page">
              <wp:posOffset>3144520</wp:posOffset>
            </wp:positionH>
            <wp:positionV relativeFrom="paragraph">
              <wp:posOffset>107315</wp:posOffset>
            </wp:positionV>
            <wp:extent cx="1099820" cy="133985"/>
            <wp:effectExtent l="0" t="0" r="0" b="0"/>
            <wp:wrapNone/>
            <wp:docPr id="15"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32.png"/>
                    <pic:cNvPicPr>
                      <a:picLocks noChangeAspect="1"/>
                    </pic:cNvPicPr>
                  </pic:nvPicPr>
                  <pic:blipFill>
                    <a:blip r:embed="rId38"/>
                    <a:stretch>
                      <a:fillRect/>
                    </a:stretch>
                  </pic:blipFill>
                  <pic:spPr>
                    <a:xfrm>
                      <a:off x="0" y="0"/>
                      <a:ext cx="109982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mc:AlternateContent>
          <mc:Choice Requires="wpg">
            <w:drawing>
              <wp:anchor distT="0" distB="0" distL="114300" distR="114300" simplePos="0" relativeHeight="251693056" behindDoc="1" locked="0" layoutInCell="1" allowOverlap="1">
                <wp:simplePos x="0" y="0"/>
                <wp:positionH relativeFrom="page">
                  <wp:posOffset>2075815</wp:posOffset>
                </wp:positionH>
                <wp:positionV relativeFrom="paragraph">
                  <wp:posOffset>366395</wp:posOffset>
                </wp:positionV>
                <wp:extent cx="535305" cy="134620"/>
                <wp:effectExtent l="0" t="0" r="0" b="0"/>
                <wp:wrapNone/>
                <wp:docPr id="103" name="组合 103"/>
                <wp:cNvGraphicFramePr/>
                <a:graphic xmlns:a="http://schemas.openxmlformats.org/drawingml/2006/main">
                  <a:graphicData uri="http://schemas.microsoft.com/office/word/2010/wordprocessingGroup">
                    <wpg:wgp>
                      <wpg:cNvGrpSpPr/>
                      <wpg:grpSpPr>
                        <a:xfrm>
                          <a:off x="0" y="0"/>
                          <a:ext cx="535305" cy="134620"/>
                          <a:chOff x="3269" y="578"/>
                          <a:chExt cx="843" cy="212"/>
                        </a:xfrm>
                        <a:effectLst/>
                      </wpg:grpSpPr>
                      <pic:pic xmlns:pic="http://schemas.openxmlformats.org/drawingml/2006/picture">
                        <pic:nvPicPr>
                          <pic:cNvPr id="56" name="图片 43"/>
                          <pic:cNvPicPr>
                            <a:picLocks noChangeAspect="1"/>
                          </pic:cNvPicPr>
                        </pic:nvPicPr>
                        <pic:blipFill>
                          <a:blip r:embed="rId39"/>
                          <a:stretch>
                            <a:fillRect/>
                          </a:stretch>
                        </pic:blipFill>
                        <pic:spPr>
                          <a:xfrm>
                            <a:off x="3269" y="577"/>
                            <a:ext cx="630" cy="212"/>
                          </a:xfrm>
                          <a:prstGeom prst="rect">
                            <a:avLst/>
                          </a:prstGeom>
                          <a:noFill/>
                          <a:ln>
                            <a:noFill/>
                          </a:ln>
                          <a:effectLst/>
                        </pic:spPr>
                      </pic:pic>
                      <pic:pic xmlns:pic="http://schemas.openxmlformats.org/drawingml/2006/picture">
                        <pic:nvPicPr>
                          <pic:cNvPr id="58" name="图片 44"/>
                          <pic:cNvPicPr>
                            <a:picLocks noChangeAspect="1"/>
                          </pic:cNvPicPr>
                        </pic:nvPicPr>
                        <pic:blipFill>
                          <a:blip r:embed="rId40"/>
                          <a:stretch>
                            <a:fillRect/>
                          </a:stretch>
                        </pic:blipFill>
                        <pic:spPr>
                          <a:xfrm>
                            <a:off x="3689" y="577"/>
                            <a:ext cx="423" cy="212"/>
                          </a:xfrm>
                          <a:prstGeom prst="rect">
                            <a:avLst/>
                          </a:prstGeom>
                          <a:noFill/>
                          <a:ln>
                            <a:noFill/>
                          </a:ln>
                          <a:effectLst/>
                        </pic:spPr>
                      </pic:pic>
                    </wpg:wgp>
                  </a:graphicData>
                </a:graphic>
              </wp:anchor>
            </w:drawing>
          </mc:Choice>
          <mc:Fallback>
            <w:pict>
              <v:group id="_x0000_s1026" o:spid="_x0000_s1026" o:spt="203" style="position:absolute;left:0pt;margin-left:163.45pt;margin-top:28.85pt;height:10.6pt;width:42.15pt;mso-position-horizontal-relative:page;z-index:-251623424;mso-width-relative:page;mso-height-relative:page;" coordorigin="3269,578" coordsize="843,212" o:gfxdata="UEsDBAoAAAAAAIdO4kAAAAAAAAAAAAAAAAAEAAAAZHJzL1BLAwQUAAAACACHTuJAiQDfbtoAAAAJ&#10;AQAADwAAAGRycy9kb3ducmV2LnhtbE2PQU/CQBCF7yb+h82YeJPtFqFQOyWGqCdiIpgQbkM7tA3d&#10;3aa7tPDvXU96nLwv732Tra66FQP3rrEGQU0iEGwKWzamQvjevT8tQDhPpqTWGka4sYNVfn+XUVra&#10;0XzxsPWVCCXGpYRQe9+lUrqiZk1uYjs2ITvZXpMPZ1/JsqcxlOtWxlE0l5oaExZq6nhdc3HeXjTC&#10;x0jj61S9DZvzaX077Gaf+41ixMcHFb2A8Hz1fzD86gd1yIPT0V5M6USLMI3ny4AizJIERACelYpB&#10;HBGSxRJknsn/H+Q/UEsDBBQAAAAIAIdO4kBDhGWehwIAAIYHAAAOAAAAZHJzL2Uyb0RvYy54bWzV&#10;Vd1u0zAUvkfiHSzf07RJm5Wo7YQom5AmqPh5ANdxEov4R7bbdPdIwB33PAoSbzPtNTh20nbthpjQ&#10;NImLJPaxfc53vvP5ZHK6ETVaM2O5klM86PUxYpKqnMtyij9+OHs2xsg6InNSK8mm+JJZfDp7+mTS&#10;6IzFqlJ1zgwCJ9JmjZ7iyjmdRZGlFRPE9pRmEhYLZQRxMDVllBvSgHdRR3G/n0aNMrk2ijJrwTpv&#10;F3Hn0dzHoSoKTtlc0ZVg0rVeDauJg5RsxbXFs4C2KBh1b4vCMofqKYZMXXhDEBgv/TuaTUhWGqIr&#10;TjsI5D4QjnIShEsIunM1J46gleG3XAlOjbKqcD2qRNQmEhiBLAb9I27OjVrpkEuZNaXekQ6FOmL9&#10;n93SN+uFQTwHJfQTjCQRUPLrn5+vvn9F3gL8NLrMYNu50e/1wnSGsp35lDeFEf4LyaBNYPZyxyzb&#10;OETBOEpGSX+EEYWlQTJM4455WkF5/KkkTp9jBKujk3FbFFq96g6Ph4DMn4wHsV+L9jFZKPGFdd7s&#10;ge5waU4zeDrOYHSLs78rFU65lWFQAe9NrhecLkw72fM2Sre0Xf34df3tCwK0gMaf8JvaI8RjuVD0&#10;k0VSvayILNkLq0GdQEdI6XB75KcH8ZY112e8rj3Rfvyw1wWZjIklAxWY13kARDLrDHO08gELCPwO&#10;wLbc7xYCyj0wj9mCQu7QxI3qnrTV3QojTeAm3l1bbaw7Z0ogPwBkAAAqQTKy7uoNpHZbvFkqzw9A&#10;JFktDwygl9ZyoJY93JAHTNuiweARRANNtr1rW9EM/2/RhIv5wKJJx9uWcCSaYfzHhrBVxCOKJvQd&#10;aM+hMXW/Et//b85Dd9r/Pme/AVBLAwQKAAAAAACHTuJAAAAAAAAAAAAAAAAACgAAAGRycy9tZWRp&#10;YS9QSwMEFAAAAAgAh07iQG+mvwK4AAAAswAAABQAAABkcnMvbWVkaWEvaW1hZ2UyLnBuZwGzAEz/&#10;iVBORw0KGgoAAAANSUhEUgAAALAAAABYCAYAAABVoH2xAAAABmJLR0QA/wD/AP+gvaeTAAAACXBI&#10;WXMAAA7EAAAOxAGVKw4bAAAAU0lEQVR4nO3BMQEAAADCoPVPbQwfoAAAAAAAAAAAAAAAAAAAAAAA&#10;AAAAAAAAAAAAAAAAAAAAAAAAAAAAAAAAAAAAAAAAAAAAAAAAAAAAAAAAAD4G8lgAAaNJK+4AAAAA&#10;SUVORK5CYIJQSwMEFAAAAAgAh07iQO+KPuHVAAAA0AAAABQAAABkcnMvbWVkaWEvaW1hZ2UxLnBu&#10;ZwHQAC//iVBORw0KGgoAAAANSUhEUgAAAQYAAABYCAYAAAAXxlkPAAAABmJLR0QA/wD/AP+gvaeT&#10;AAAACXBIWXMAAA7EAAAOxAGVKw4bAAAAcElEQVR4nO3BAQ0AAADCoPdPbQ8HFAAAAAAAAAAAAAAA&#10;AAAAAAAAAAAAAAAAAAAAAAAAAAAAAAAAAAAAAAAAAAAAAAAAAAAAAAAAAAAAAAAAAAAAAAAAAAAA&#10;AAAAAAAAAAAAAAAAAAAAAAAAAAAATwZopwABaQAAqwAAAABJRU5ErkJgg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CgAAAAAAh07i&#10;QAAAAAAAAAAAAAAAAAoAAABkcnMvX3JlbHMvUEsDBBQAAAAIAIdO4kAubPAAvwAAAKUBAAAZAAAA&#10;ZHJzL19yZWxzL2Uyb0RvYy54bWwucmVsc72QwYrCMBCG7wv7DmHu27Q9LLKY9iKCV3EfYEimabCZ&#10;hCSKvr2BZUFB8OZxZvi//2PW48Uv4kwpu8AKuqYFQayDcWwV/B62XysQuSAbXAKTgitlGIfPj/We&#10;Fiw1lGcXs6gUzgrmUuKPlFnP5DE3IRLXyxSSx1LHZGVEfURLsm/bb5nuGTA8MMXOKEg704M4XGNt&#10;fs0O0+Q0bYI+eeLypEI6X7srEJOlosCTcfi37JvIFuRzh+49Dt2/g3x47nADUEsDBBQAAAAIAIdO&#10;4kB557oEBAEAABMCAAATAAAAW0NvbnRlbnRfVHlwZXNdLnhtbJWRwU7DMAyG70i8Q5QralN2QAit&#10;3YGOIyA0HiBK3DaicaI4lO3tSbpNgokh7Rjb3+8vyXK1tSObIJBxWPPbsuIMUDltsK/5++apuOeM&#10;okQtR4dQ8x0QXzXXV8vNzgOxRCPVfIjRPwhBagArqXQeMHU6F6yM6Rh64aX6kD2IRVXdCeUwAsYi&#10;5gzeLFvo5OcY2XqbynsTjz1nj/u5vKrmxmY+18WfRICRThDp/WiUjOluYkJ94lUcnMpEzjM0GE83&#10;SfzMhtz57fRzwYF7SY8ZjAb2KkN8ljaZCx1IaPeFAaby/5BsaalwXWcUlG2gNmFvMB2tzqXDwrVO&#10;XRq+nqljtpi/tPkGUEsBAhQAFAAAAAgAh07iQHnnugQEAQAAEwIAABMAAAAAAAAAAQAgAAAAMQgA&#10;AFtDb250ZW50X1R5cGVzXS54bWxQSwECFAAKAAAAAACHTuJAAAAAAAAAAAAAAAAABgAAAAAAAAAA&#10;ABAAAAD1BQAAX3JlbHMvUEsBAhQAFAAAAAgAh07iQIoUZjzRAAAAlAEAAAsAAAAAAAAAAQAgAAAA&#10;GQYAAF9yZWxzLy5yZWxzUEsBAhQACgAAAAAAh07iQAAAAAAAAAAAAAAAAAQAAAAAAAAAAAAQAAAA&#10;AAAAAGRycy9QSwECFAAKAAAAAACHTuJAAAAAAAAAAAAAAAAACgAAAAAAAAAAABAAAAATBwAAZHJz&#10;L19yZWxzL1BLAQIUABQAAAAIAIdO4kAubPAAvwAAAKUBAAAZAAAAAAAAAAEAIAAAADsHAABkcnMv&#10;X3JlbHMvZTJvRG9jLnhtbC5yZWxzUEsBAhQAFAAAAAgAh07iQIkA327aAAAACQEAAA8AAAAAAAAA&#10;AQAgAAAAIgAAAGRycy9kb3ducmV2LnhtbFBLAQIUABQAAAAIAIdO4kBDhGWehwIAAIYHAAAOAAAA&#10;AAAAAAEAIAAAACkBAABkcnMvZTJvRG9jLnhtbFBLAQIUAAoAAAAAAIdO4kAAAAAAAAAAAAAAAAAK&#10;AAAAAAAAAAAAEAAAANwDAABkcnMvbWVkaWEvUEsBAhQAFAAAAAgAh07iQO+KPuHVAAAA0AAAABQA&#10;AAAAAAAAAQAgAAAA7gQAAGRycy9tZWRpYS9pbWFnZTEucG5nUEsBAhQAFAAAAAgAh07iQG+mvwK4&#10;AAAAswAAABQAAAAAAAAAAQAgAAAABAQAAGRycy9tZWRpYS9pbWFnZTIucG5nUEsFBgAAAAALAAsA&#10;lAIAAGYJAAAAAA==&#10;">
                <o:lock v:ext="edit" aspectratio="f"/>
                <v:shape id="图片 43" o:spid="_x0000_s1026" o:spt="75" type="#_x0000_t75" style="position:absolute;left:3269;top:577;height:212;width:630;" filled="f" o:preferrelative="t" stroked="f" coordsize="21600,21600" o:gfxdata="UEsDBAoAAAAAAIdO4kAAAAAAAAAAAAAAAAAEAAAAZHJzL1BLAwQUAAAACACHTuJA+ae4eL4AAADb&#10;AAAADwAAAGRycy9kb3ducmV2LnhtbEWP3WoCMRSE7wt9h3AE72pWi7KuRi9qBXsj1fYBDslxs7g5&#10;WZP40z59IxS8HGbmG2a+vLlWXCjExrOC4aAAQay9abhW8P21filBxIRssPVMCn4ownLx/DTHyvgr&#10;7+iyT7XIEI4VKrApdZWUUVtyGAe+I87ewQeHKctQSxPwmuGulaOimEiHDecFix29WdLH/dkp6D5e&#10;V59hrM+jch22dnoq33+nWql+b1jMQCS6pUf4v70xCsYTuH/JP0Au/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e4eL4A&#10;AADbAAAADwAAAAAAAAABACAAAAAiAAAAZHJzL2Rvd25yZXYueG1sUEsBAhQAFAAAAAgAh07iQDMv&#10;BZ47AAAAOQAAABAAAAAAAAAAAQAgAAAADQEAAGRycy9zaGFwZXhtbC54bWxQSwUGAAAAAAYABgBb&#10;AQAAtwMAAAAA&#10;">
                  <v:fill on="f" focussize="0,0"/>
                  <v:stroke on="f"/>
                  <v:imagedata r:id="rId39" o:title=""/>
                  <o:lock v:ext="edit" aspectratio="t"/>
                </v:shape>
                <v:shape id="图片 44" o:spid="_x0000_s1026" o:spt="75" type="#_x0000_t75" style="position:absolute;left:3689;top:577;height:212;width:423;" filled="f" o:preferrelative="t" stroked="f" coordsize="21600,21600" o:gfxdata="UEsDBAoAAAAAAIdO4kAAAAAAAAAAAAAAAAAEAAAAZHJzL1BLAwQUAAAACACHTuJAKzC8ILkAAADb&#10;AAAADwAAAGRycy9kb3ducmV2LnhtbEVPz2vCMBS+D/wfwht4m4nFyuiMwsSJt7Eqnh/Ns602L6XJ&#10;2upfvxwGHj++36vNaBvRU+drxxrmMwWCuHCm5lLD6fj19g7CB2SDjWPScCcPm/XkZYWZcQP/UJ+H&#10;UsQQ9hlqqEJoMyl9UZFFP3MtceQurrMYIuxKaTocYrhtZKLUUlqsOTZU2NK2ouKW/1oNi8/tQ56T&#10;C497tRv89zUd+dxqPX2dqw8QgcbwFP+7D0ZDGsfGL/EHyPU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swvCC5AAAA2wAA&#10;AA8AAAAAAAAAAQAgAAAAIgAAAGRycy9kb3ducmV2LnhtbFBLAQIUABQAAAAIAIdO4kAzLwWeOwAA&#10;ADkAAAAQAAAAAAAAAAEAIAAAAAgBAABkcnMvc2hhcGV4bWwueG1sUEsFBgAAAAAGAAYAWwEAALID&#10;AAAAAA==&#10;">
                  <v:fill on="f" focussize="0,0"/>
                  <v:stroke on="f"/>
                  <v:imagedata r:id="rId40" o:title=""/>
                  <o:lock v:ext="edit" aspectratio="t"/>
                </v:shape>
              </v:group>
            </w:pict>
          </mc:Fallback>
        </mc:AlternateContent>
      </w:r>
      <w:r>
        <w:rPr>
          <w:rFonts w:hint="eastAsia" w:ascii="宋体" w:hAnsi="宋体" w:eastAsia="宋体" w:cs="宋体"/>
          <w:color w:val="auto"/>
          <w:sz w:val="24"/>
          <w:szCs w:val="24"/>
          <w:highlight w:val="none"/>
          <w:lang w:val="en-US" w:bidi="ar-SA"/>
        </w:rPr>
        <w:drawing>
          <wp:anchor distT="0" distB="0" distL="114300" distR="114300" simplePos="0" relativeHeight="251694080" behindDoc="1" locked="0" layoutInCell="1" allowOverlap="1">
            <wp:simplePos x="0" y="0"/>
            <wp:positionH relativeFrom="page">
              <wp:posOffset>3276600</wp:posOffset>
            </wp:positionH>
            <wp:positionV relativeFrom="paragraph">
              <wp:posOffset>366395</wp:posOffset>
            </wp:positionV>
            <wp:extent cx="991235" cy="133985"/>
            <wp:effectExtent l="0" t="0" r="0" b="0"/>
            <wp:wrapNone/>
            <wp:docPr id="80"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35.png"/>
                    <pic:cNvPicPr>
                      <a:picLocks noChangeAspect="1"/>
                    </pic:cNvPicPr>
                  </pic:nvPicPr>
                  <pic:blipFill>
                    <a:blip r:embed="rId41"/>
                    <a:stretch>
                      <a:fillRect/>
                    </a:stretch>
                  </pic:blipFill>
                  <pic:spPr>
                    <a:xfrm>
                      <a:off x="0" y="0"/>
                      <a:ext cx="991235"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695104" behindDoc="1" locked="0" layoutInCell="1" allowOverlap="1">
            <wp:simplePos x="0" y="0"/>
            <wp:positionH relativeFrom="page">
              <wp:posOffset>2075815</wp:posOffset>
            </wp:positionH>
            <wp:positionV relativeFrom="paragraph">
              <wp:posOffset>626110</wp:posOffset>
            </wp:positionV>
            <wp:extent cx="501015" cy="133985"/>
            <wp:effectExtent l="0" t="0" r="0" b="0"/>
            <wp:wrapNone/>
            <wp:docPr id="81"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36.png"/>
                    <pic:cNvPicPr>
                      <a:picLocks noChangeAspect="1"/>
                    </pic:cNvPicPr>
                  </pic:nvPicPr>
                  <pic:blipFill>
                    <a:blip r:embed="rId42"/>
                    <a:stretch>
                      <a:fillRect/>
                    </a:stretch>
                  </pic:blipFill>
                  <pic:spPr>
                    <a:xfrm>
                      <a:off x="0" y="0"/>
                      <a:ext cx="501015"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696128" behindDoc="1" locked="0" layoutInCell="1" allowOverlap="1">
            <wp:simplePos x="0" y="0"/>
            <wp:positionH relativeFrom="page">
              <wp:posOffset>3144520</wp:posOffset>
            </wp:positionH>
            <wp:positionV relativeFrom="paragraph">
              <wp:posOffset>626110</wp:posOffset>
            </wp:positionV>
            <wp:extent cx="1185545" cy="133985"/>
            <wp:effectExtent l="0" t="0" r="0" b="0"/>
            <wp:wrapNone/>
            <wp:docPr id="82"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37.png"/>
                    <pic:cNvPicPr>
                      <a:picLocks noChangeAspect="1"/>
                    </pic:cNvPicPr>
                  </pic:nvPicPr>
                  <pic:blipFill>
                    <a:blip r:embed="rId43"/>
                    <a:stretch>
                      <a:fillRect/>
                    </a:stretch>
                  </pic:blipFill>
                  <pic:spPr>
                    <a:xfrm>
                      <a:off x="0" y="0"/>
                      <a:ext cx="1185545"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697152" behindDoc="1" locked="0" layoutInCell="1" allowOverlap="1">
            <wp:simplePos x="0" y="0"/>
            <wp:positionH relativeFrom="page">
              <wp:posOffset>2075815</wp:posOffset>
            </wp:positionH>
            <wp:positionV relativeFrom="paragraph">
              <wp:posOffset>885190</wp:posOffset>
            </wp:positionV>
            <wp:extent cx="534670" cy="133985"/>
            <wp:effectExtent l="0" t="0" r="0" b="0"/>
            <wp:wrapNone/>
            <wp:docPr id="89"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54"/>
                    <pic:cNvPicPr>
                      <a:picLocks noChangeAspect="1"/>
                    </pic:cNvPicPr>
                  </pic:nvPicPr>
                  <pic:blipFill>
                    <a:blip r:embed="rId36"/>
                    <a:stretch>
                      <a:fillRect/>
                    </a:stretch>
                  </pic:blipFill>
                  <pic:spPr>
                    <a:xfrm>
                      <a:off x="0" y="0"/>
                      <a:ext cx="53467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698176" behindDoc="1" locked="0" layoutInCell="1" allowOverlap="1">
            <wp:simplePos x="0" y="0"/>
            <wp:positionH relativeFrom="page">
              <wp:posOffset>3144520</wp:posOffset>
            </wp:positionH>
            <wp:positionV relativeFrom="paragraph">
              <wp:posOffset>885190</wp:posOffset>
            </wp:positionV>
            <wp:extent cx="1185545" cy="133985"/>
            <wp:effectExtent l="0" t="0" r="0" b="0"/>
            <wp:wrapNone/>
            <wp:docPr id="76"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55"/>
                    <pic:cNvPicPr>
                      <a:picLocks noChangeAspect="1"/>
                    </pic:cNvPicPr>
                  </pic:nvPicPr>
                  <pic:blipFill>
                    <a:blip r:embed="rId43"/>
                    <a:stretch>
                      <a:fillRect/>
                    </a:stretch>
                  </pic:blipFill>
                  <pic:spPr>
                    <a:xfrm>
                      <a:off x="0" y="0"/>
                      <a:ext cx="1185545"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699200" behindDoc="1" locked="0" layoutInCell="1" allowOverlap="1">
            <wp:simplePos x="0" y="0"/>
            <wp:positionH relativeFrom="page">
              <wp:posOffset>2075815</wp:posOffset>
            </wp:positionH>
            <wp:positionV relativeFrom="paragraph">
              <wp:posOffset>1144270</wp:posOffset>
            </wp:positionV>
            <wp:extent cx="534670" cy="133985"/>
            <wp:effectExtent l="0" t="0" r="0" b="0"/>
            <wp:wrapNone/>
            <wp:docPr id="88"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56"/>
                    <pic:cNvPicPr>
                      <a:picLocks noChangeAspect="1"/>
                    </pic:cNvPicPr>
                  </pic:nvPicPr>
                  <pic:blipFill>
                    <a:blip r:embed="rId36"/>
                    <a:stretch>
                      <a:fillRect/>
                    </a:stretch>
                  </pic:blipFill>
                  <pic:spPr>
                    <a:xfrm>
                      <a:off x="0" y="0"/>
                      <a:ext cx="53467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00224" behindDoc="1" locked="0" layoutInCell="1" allowOverlap="1">
            <wp:simplePos x="0" y="0"/>
            <wp:positionH relativeFrom="page">
              <wp:posOffset>3343910</wp:posOffset>
            </wp:positionH>
            <wp:positionV relativeFrom="paragraph">
              <wp:posOffset>1144270</wp:posOffset>
            </wp:positionV>
            <wp:extent cx="991235" cy="133985"/>
            <wp:effectExtent l="0" t="0" r="0" b="0"/>
            <wp:wrapNone/>
            <wp:docPr id="83"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57"/>
                    <pic:cNvPicPr>
                      <a:picLocks noChangeAspect="1"/>
                    </pic:cNvPicPr>
                  </pic:nvPicPr>
                  <pic:blipFill>
                    <a:blip r:embed="rId41"/>
                    <a:stretch>
                      <a:fillRect/>
                    </a:stretch>
                  </pic:blipFill>
                  <pic:spPr>
                    <a:xfrm>
                      <a:off x="0" y="0"/>
                      <a:ext cx="991235" cy="133985"/>
                    </a:xfrm>
                    <a:prstGeom prst="rect">
                      <a:avLst/>
                    </a:prstGeom>
                    <a:noFill/>
                    <a:ln>
                      <a:noFill/>
                    </a:ln>
                  </pic:spPr>
                </pic:pic>
              </a:graphicData>
            </a:graphic>
          </wp:anchor>
        </w:drawing>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39A7B907">
      <w:pPr>
        <w:pStyle w:val="9"/>
        <w:keepNext w:val="0"/>
        <w:keepLines w:val="0"/>
        <w:pageBreakBefore w:val="0"/>
        <w:widowControl w:val="0"/>
        <w:tabs>
          <w:tab w:val="left" w:pos="2009"/>
          <w:tab w:val="left" w:pos="3060"/>
          <w:tab w:val="left" w:pos="5686"/>
          <w:tab w:val="left" w:pos="5792"/>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2C17C8D3">
      <w:pPr>
        <w:pStyle w:val="9"/>
        <w:keepNext w:val="0"/>
        <w:keepLines w:val="0"/>
        <w:pageBreakBefore w:val="0"/>
        <w:widowControl w:val="0"/>
        <w:tabs>
          <w:tab w:val="left" w:pos="2009"/>
          <w:tab w:val="left" w:pos="3060"/>
          <w:tab w:val="left" w:pos="5686"/>
          <w:tab w:val="left" w:pos="5792"/>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34180E17">
      <w:pPr>
        <w:pStyle w:val="9"/>
        <w:keepNext w:val="0"/>
        <w:keepLines w:val="0"/>
        <w:pageBreakBefore w:val="0"/>
        <w:widowControl w:val="0"/>
        <w:tabs>
          <w:tab w:val="left" w:pos="2009"/>
          <w:tab w:val="left" w:pos="3060"/>
          <w:tab w:val="left" w:pos="5686"/>
          <w:tab w:val="left" w:pos="5792"/>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 xml:space="preserve">； </w:t>
      </w:r>
    </w:p>
    <w:p w14:paraId="010CCC52">
      <w:pPr>
        <w:pStyle w:val="9"/>
        <w:keepNext w:val="0"/>
        <w:keepLines w:val="0"/>
        <w:pageBreakBefore w:val="0"/>
        <w:widowControl w:val="0"/>
        <w:tabs>
          <w:tab w:val="left" w:pos="2009"/>
          <w:tab w:val="left" w:pos="3060"/>
          <w:tab w:val="left" w:pos="5686"/>
          <w:tab w:val="left" w:pos="5792"/>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0D72FD12">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发包人对发包人代表的授权范围如下：</w:t>
      </w:r>
      <w:r>
        <w:rPr>
          <w:rFonts w:hint="eastAsia" w:ascii="宋体" w:hAnsi="宋体" w:eastAsia="宋体" w:cs="宋体"/>
          <w:color w:val="auto"/>
          <w:sz w:val="24"/>
          <w:szCs w:val="24"/>
          <w:highlight w:val="none"/>
          <w:u w:val="single"/>
        </w:rPr>
        <w:t>发包人委派的职权范围</w:t>
      </w:r>
      <w:r>
        <w:rPr>
          <w:rFonts w:hint="eastAsia" w:ascii="宋体" w:hAnsi="宋体" w:eastAsia="宋体" w:cs="宋体"/>
          <w:color w:val="auto"/>
          <w:sz w:val="24"/>
          <w:szCs w:val="24"/>
          <w:highlight w:val="none"/>
        </w:rPr>
        <w:t>。</w:t>
      </w:r>
    </w:p>
    <w:p w14:paraId="4E954186">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2.4施工现场、施工条件和基础资料的提供</w:t>
      </w:r>
    </w:p>
    <w:p w14:paraId="6D53553D">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2.4.1</w:t>
      </w:r>
      <w:r>
        <w:rPr>
          <w:rFonts w:hint="eastAsia" w:ascii="宋体" w:hAnsi="宋体" w:eastAsia="宋体" w:cs="宋体"/>
          <w:color w:val="auto"/>
          <w:sz w:val="24"/>
          <w:szCs w:val="24"/>
          <w:highlight w:val="none"/>
        </w:rPr>
        <w:t>提供施工现场</w:t>
      </w:r>
    </w:p>
    <w:p w14:paraId="1F7AFF96">
      <w:pPr>
        <w:pStyle w:val="9"/>
        <w:keepNext w:val="0"/>
        <w:keepLines w:val="0"/>
        <w:pageBreakBefore w:val="0"/>
        <w:widowControl w:val="0"/>
        <w:tabs>
          <w:tab w:val="left" w:pos="5160"/>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关于发包人移交施工现场的期限要求：</w:t>
      </w:r>
      <w:r>
        <w:rPr>
          <w:rFonts w:hint="eastAsia" w:ascii="宋体" w:hAnsi="宋体" w:eastAsia="宋体" w:cs="宋体"/>
          <w:color w:val="auto"/>
          <w:sz w:val="24"/>
          <w:szCs w:val="24"/>
          <w:highlight w:val="none"/>
          <w:u w:val="single"/>
          <w:lang w:val="en-US" w:eastAsia="zh-CN"/>
        </w:rPr>
        <w:t xml:space="preserve">  无  </w:t>
      </w:r>
      <w:r>
        <w:rPr>
          <w:rFonts w:hint="eastAsia" w:ascii="宋体" w:hAnsi="宋体" w:eastAsia="宋体" w:cs="宋体"/>
          <w:color w:val="auto"/>
          <w:sz w:val="24"/>
          <w:szCs w:val="24"/>
          <w:highlight w:val="none"/>
        </w:rPr>
        <w:t>。</w:t>
      </w:r>
    </w:p>
    <w:p w14:paraId="5C0AAD17">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2.4.2</w:t>
      </w:r>
      <w:r>
        <w:rPr>
          <w:rFonts w:hint="eastAsia" w:ascii="宋体" w:hAnsi="宋体" w:eastAsia="宋体" w:cs="宋体"/>
          <w:color w:val="auto"/>
          <w:sz w:val="24"/>
          <w:szCs w:val="24"/>
          <w:highlight w:val="none"/>
        </w:rPr>
        <w:t>提供施工条件</w:t>
      </w:r>
    </w:p>
    <w:p w14:paraId="4BDB61E9">
      <w:pPr>
        <w:pStyle w:val="9"/>
        <w:keepNext w:val="0"/>
        <w:keepLines w:val="0"/>
        <w:pageBreakBefore w:val="0"/>
        <w:widowControl w:val="0"/>
        <w:tabs>
          <w:tab w:val="left" w:pos="7578"/>
          <w:tab w:val="left" w:pos="9392"/>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关于发包人应负责提供施工所需要的条件，包括：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7DCBE95D">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2.5资金来源证明及支付担保</w:t>
      </w:r>
    </w:p>
    <w:p w14:paraId="7D5C30D4">
      <w:pPr>
        <w:pStyle w:val="9"/>
        <w:keepNext w:val="0"/>
        <w:keepLines w:val="0"/>
        <w:pageBreakBefore w:val="0"/>
        <w:widowControl w:val="0"/>
        <w:tabs>
          <w:tab w:val="left" w:pos="4952"/>
          <w:tab w:val="left" w:pos="5686"/>
          <w:tab w:val="left" w:pos="6315"/>
          <w:tab w:val="left" w:pos="6841"/>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发包人提供资金来源证明的期限要求：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356C3073">
      <w:pPr>
        <w:pStyle w:val="9"/>
        <w:keepNext w:val="0"/>
        <w:keepLines w:val="0"/>
        <w:pageBreakBefore w:val="0"/>
        <w:widowControl w:val="0"/>
        <w:tabs>
          <w:tab w:val="left" w:pos="4952"/>
          <w:tab w:val="left" w:pos="5686"/>
          <w:tab w:val="left" w:pos="6315"/>
          <w:tab w:val="left" w:pos="6841"/>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发包人是否提供支付担保：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lang w:val="en-US" w:eastAsia="zh-CN"/>
        </w:rPr>
        <w:t>否</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1A0FCA89">
      <w:pPr>
        <w:pStyle w:val="9"/>
        <w:keepNext w:val="0"/>
        <w:keepLines w:val="0"/>
        <w:pageBreakBefore w:val="0"/>
        <w:widowControl w:val="0"/>
        <w:tabs>
          <w:tab w:val="left" w:pos="5055"/>
          <w:tab w:val="left" w:pos="6526"/>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发包人提供支付担保的形式：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00CA8BCA">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3.承包人</w:t>
      </w:r>
    </w:p>
    <w:p w14:paraId="4440D25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3.1承包人的一般义务</w:t>
      </w:r>
    </w:p>
    <w:p w14:paraId="749DEBCF">
      <w:pPr>
        <w:pStyle w:val="24"/>
        <w:pageBreakBefore w:val="0"/>
        <w:widowControl w:val="0"/>
        <w:tabs>
          <w:tab w:val="left" w:pos="1907"/>
        </w:tabs>
        <w:kinsoku/>
        <w:wordWrap/>
        <w:overflowPunct/>
        <w:topLinePunct w:val="0"/>
        <w:autoSpaceDE/>
        <w:autoSpaceDN/>
        <w:bidi w:val="0"/>
        <w:adjustRightInd/>
        <w:snapToGrid/>
        <w:spacing w:line="400" w:lineRule="exact"/>
        <w:ind w:left="479" w:leftChars="228" w:firstLine="0" w:firstLineChars="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9</w:t>
      </w:r>
      <w:r>
        <w:rPr>
          <w:rFonts w:hint="eastAsia" w:ascii="宋体" w:hAnsi="宋体" w:eastAsia="宋体" w:cs="宋体"/>
          <w:color w:val="auto"/>
          <w:sz w:val="24"/>
          <w:szCs w:val="24"/>
          <w:highlight w:val="none"/>
        </w:rPr>
        <w:t>）承包人提交的竣工资料的内容：</w:t>
      </w:r>
      <w:r>
        <w:rPr>
          <w:rFonts w:hint="eastAsia" w:ascii="宋体" w:hAnsi="宋体" w:eastAsia="宋体" w:cs="宋体"/>
          <w:color w:val="auto"/>
          <w:sz w:val="24"/>
          <w:szCs w:val="24"/>
          <w:highlight w:val="none"/>
          <w:u w:val="single"/>
        </w:rPr>
        <w:t>按竣工验收规范要求，提交相关竣工资料</w:t>
      </w:r>
      <w:r>
        <w:rPr>
          <w:rFonts w:hint="eastAsia" w:ascii="宋体" w:hAnsi="宋体" w:eastAsia="宋体" w:cs="宋体"/>
          <w:color w:val="auto"/>
          <w:sz w:val="24"/>
          <w:szCs w:val="24"/>
          <w:highlight w:val="none"/>
        </w:rPr>
        <w:t>。承包人需要提交的竣工资料套数：</w:t>
      </w:r>
      <w:r>
        <w:rPr>
          <w:rFonts w:hint="eastAsia" w:ascii="宋体" w:hAnsi="宋体" w:eastAsia="宋体" w:cs="宋体"/>
          <w:color w:val="auto"/>
          <w:sz w:val="24"/>
          <w:szCs w:val="24"/>
          <w:highlight w:val="none"/>
          <w:u w:val="single"/>
          <w:lang w:val="en-US" w:eastAsia="zh-CN"/>
        </w:rPr>
        <w:t>肆</w:t>
      </w:r>
      <w:r>
        <w:rPr>
          <w:rFonts w:hint="eastAsia" w:ascii="宋体" w:hAnsi="宋体" w:eastAsia="宋体" w:cs="宋体"/>
          <w:color w:val="auto"/>
          <w:sz w:val="24"/>
          <w:szCs w:val="24"/>
          <w:highlight w:val="none"/>
          <w:u w:val="single"/>
        </w:rPr>
        <w:t>套</w:t>
      </w:r>
      <w:r>
        <w:rPr>
          <w:rFonts w:hint="eastAsia" w:ascii="宋体" w:hAnsi="宋体" w:eastAsia="宋体" w:cs="宋体"/>
          <w:color w:val="auto"/>
          <w:sz w:val="24"/>
          <w:szCs w:val="24"/>
          <w:highlight w:val="none"/>
        </w:rPr>
        <w:t>。</w:t>
      </w:r>
    </w:p>
    <w:p w14:paraId="007AA65F">
      <w:pPr>
        <w:pStyle w:val="9"/>
        <w:pageBreakBefore w:val="0"/>
        <w:widowControl w:val="0"/>
        <w:tabs>
          <w:tab w:val="left" w:pos="5377"/>
        </w:tabs>
        <w:kinsoku/>
        <w:wordWrap/>
        <w:overflowPunct/>
        <w:topLinePunct w:val="0"/>
        <w:autoSpaceDE/>
        <w:autoSpaceDN/>
        <w:bidi w:val="0"/>
        <w:adjustRightInd/>
        <w:snapToGrid/>
        <w:spacing w:after="0"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承包人提交的竣工资料的费用承担：</w:t>
      </w:r>
      <w:r>
        <w:rPr>
          <w:rFonts w:hint="eastAsia" w:ascii="宋体" w:hAnsi="宋体" w:eastAsia="宋体" w:cs="宋体"/>
          <w:color w:val="auto"/>
          <w:sz w:val="24"/>
          <w:szCs w:val="24"/>
          <w:highlight w:val="none"/>
          <w:u w:val="single"/>
        </w:rPr>
        <w:t>由承包人承担</w:t>
      </w:r>
      <w:r>
        <w:rPr>
          <w:rFonts w:hint="eastAsia" w:ascii="宋体" w:hAnsi="宋体" w:eastAsia="宋体" w:cs="宋体"/>
          <w:color w:val="auto"/>
          <w:sz w:val="24"/>
          <w:szCs w:val="24"/>
          <w:highlight w:val="none"/>
        </w:rPr>
        <w:t>。</w:t>
      </w:r>
    </w:p>
    <w:p w14:paraId="33DA1924">
      <w:pPr>
        <w:pStyle w:val="9"/>
        <w:pageBreakBefore w:val="0"/>
        <w:widowControl w:val="0"/>
        <w:tabs>
          <w:tab w:val="left" w:pos="5377"/>
        </w:tabs>
        <w:kinsoku/>
        <w:wordWrap/>
        <w:overflowPunct/>
        <w:topLinePunct w:val="0"/>
        <w:autoSpaceDE/>
        <w:autoSpaceDN/>
        <w:bidi w:val="0"/>
        <w:adjustRightInd/>
        <w:snapToGrid/>
        <w:spacing w:after="0"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承包人提交的竣工资料移交时间：</w:t>
      </w:r>
      <w:r>
        <w:rPr>
          <w:rFonts w:hint="eastAsia" w:ascii="宋体" w:hAnsi="宋体" w:eastAsia="宋体" w:cs="宋体"/>
          <w:color w:val="auto"/>
          <w:sz w:val="24"/>
          <w:szCs w:val="24"/>
          <w:highlight w:val="none"/>
          <w:u w:val="single"/>
        </w:rPr>
        <w:t>竣工验收正式通过后5天</w:t>
      </w:r>
      <w:r>
        <w:rPr>
          <w:rFonts w:hint="eastAsia" w:ascii="宋体" w:hAnsi="宋体" w:eastAsia="宋体" w:cs="宋体"/>
          <w:color w:val="auto"/>
          <w:sz w:val="24"/>
          <w:szCs w:val="24"/>
          <w:highlight w:val="none"/>
        </w:rPr>
        <w:t>。</w:t>
      </w:r>
    </w:p>
    <w:p w14:paraId="14114816">
      <w:pPr>
        <w:pStyle w:val="9"/>
        <w:pageBreakBefore w:val="0"/>
        <w:widowControl w:val="0"/>
        <w:tabs>
          <w:tab w:val="left" w:pos="5377"/>
        </w:tabs>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承包人提交的竣工资料形式要求：</w:t>
      </w:r>
      <w:r>
        <w:rPr>
          <w:rFonts w:hint="eastAsia" w:ascii="宋体" w:hAnsi="宋体" w:eastAsia="宋体" w:cs="宋体"/>
          <w:color w:val="auto"/>
          <w:sz w:val="24"/>
          <w:szCs w:val="24"/>
          <w:highlight w:val="none"/>
          <w:u w:val="single"/>
        </w:rPr>
        <w:t>书面材料</w:t>
      </w:r>
      <w:r>
        <w:rPr>
          <w:rFonts w:hint="eastAsia" w:ascii="宋体" w:hAnsi="宋体" w:eastAsia="宋体" w:cs="宋体"/>
          <w:color w:val="auto"/>
          <w:sz w:val="24"/>
          <w:szCs w:val="24"/>
          <w:highlight w:val="none"/>
        </w:rPr>
        <w:t>。</w:t>
      </w:r>
    </w:p>
    <w:p w14:paraId="1EFB813B">
      <w:pPr>
        <w:pStyle w:val="24"/>
        <w:pageBreakBefore w:val="0"/>
        <w:widowControl w:val="0"/>
        <w:tabs>
          <w:tab w:val="left" w:pos="2013"/>
        </w:tabs>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10</w:t>
      </w:r>
      <w:r>
        <w:rPr>
          <w:rFonts w:hint="eastAsia" w:ascii="宋体" w:hAnsi="宋体" w:eastAsia="宋体" w:cs="宋体"/>
          <w:color w:val="auto"/>
          <w:sz w:val="24"/>
          <w:szCs w:val="24"/>
          <w:highlight w:val="none"/>
        </w:rPr>
        <w:t>）承包人应履行的其他义务：</w:t>
      </w:r>
      <w:r>
        <w:rPr>
          <w:rFonts w:hint="eastAsia" w:ascii="宋体" w:hAnsi="宋体" w:eastAsia="宋体" w:cs="宋体"/>
          <w:color w:val="auto"/>
          <w:sz w:val="24"/>
          <w:szCs w:val="24"/>
          <w:highlight w:val="none"/>
          <w:u w:val="single"/>
        </w:rPr>
        <w:t>承包人应按约定时间和要求，完成以下工作：</w:t>
      </w:r>
    </w:p>
    <w:p w14:paraId="56851B5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 xml:space="preserve">①应提供计划、报表的名称及完成时间：每月25日前提交下月的工程进度计划，每月25日之前提交当月的工程进度报告； </w:t>
      </w:r>
    </w:p>
    <w:p w14:paraId="3763ADE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②承担施工安全保卫工作及非夜间施工照明的责任和要求：提供和维修非夜间施工使用的照明、围栏设施，负责安全施工，费用由承包人承担；</w:t>
      </w:r>
    </w:p>
    <w:p w14:paraId="0C224EF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③需承包人办理的有关施工场地交通、环卫和施工噪音管理等手续：因施工需要，经发包人批准，由承包人办理和负责费</w:t>
      </w:r>
      <w:r>
        <w:rPr>
          <w:rFonts w:hint="eastAsia" w:ascii="宋体" w:hAnsi="宋体" w:eastAsia="宋体" w:cs="宋体"/>
          <w:color w:val="auto"/>
          <w:sz w:val="24"/>
          <w:szCs w:val="24"/>
          <w:highlight w:val="none"/>
          <w:u w:val="single"/>
          <w:lang w:val="en-US" w:eastAsia="zh-CN"/>
        </w:rPr>
        <w:t>用</w:t>
      </w:r>
      <w:r>
        <w:rPr>
          <w:rFonts w:hint="eastAsia" w:ascii="宋体" w:hAnsi="宋体" w:eastAsia="宋体" w:cs="宋体"/>
          <w:color w:val="auto"/>
          <w:sz w:val="24"/>
          <w:szCs w:val="24"/>
          <w:highlight w:val="none"/>
          <w:u w:val="single"/>
        </w:rPr>
        <w:t>；</w:t>
      </w:r>
    </w:p>
    <w:p w14:paraId="2DF61DA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④已完工程成品保护的特殊要求及费用承担：已</w:t>
      </w:r>
      <w:r>
        <w:rPr>
          <w:rFonts w:hint="eastAsia" w:ascii="宋体" w:hAnsi="宋体" w:cs="宋体"/>
          <w:color w:val="auto"/>
          <w:sz w:val="24"/>
          <w:szCs w:val="24"/>
          <w:highlight w:val="none"/>
          <w:u w:val="single"/>
          <w:lang w:eastAsia="zh-CN"/>
        </w:rPr>
        <w:t>完</w:t>
      </w:r>
      <w:r>
        <w:rPr>
          <w:rFonts w:hint="eastAsia" w:ascii="宋体" w:hAnsi="宋体" w:eastAsia="宋体" w:cs="宋体"/>
          <w:color w:val="auto"/>
          <w:sz w:val="24"/>
          <w:szCs w:val="24"/>
          <w:highlight w:val="none"/>
          <w:u w:val="single"/>
        </w:rPr>
        <w:t>工工程未交付发包人之前，承包人按约定负责已完工程的保护工作，保护期间发生损坏，承包人予以修复；发包人要求承包人采取特殊措施保护的工程部位和相应的追加合同价款，双方</w:t>
      </w:r>
      <w:r>
        <w:rPr>
          <w:rFonts w:hint="eastAsia" w:ascii="宋体" w:hAnsi="宋体" w:eastAsia="宋体" w:cs="宋体"/>
          <w:color w:val="auto"/>
          <w:sz w:val="24"/>
          <w:szCs w:val="24"/>
          <w:highlight w:val="none"/>
          <w:u w:val="single"/>
          <w:lang w:val="en-US" w:eastAsia="zh-CN"/>
        </w:rPr>
        <w:t>另行</w:t>
      </w:r>
      <w:r>
        <w:rPr>
          <w:rFonts w:hint="eastAsia" w:ascii="宋体" w:hAnsi="宋体" w:eastAsia="宋体" w:cs="宋体"/>
          <w:color w:val="auto"/>
          <w:sz w:val="24"/>
          <w:szCs w:val="24"/>
          <w:highlight w:val="none"/>
          <w:u w:val="single"/>
        </w:rPr>
        <w:t>约定；</w:t>
      </w:r>
    </w:p>
    <w:p w14:paraId="636E308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⑤施工场地周围地下秘线和邻近建筑物、构筑物（含文物保护建筑）、古树名木的保护要求及费用承担：施工时如损坏地下管线、邻近建筑物、构筑物，所发生费用由承包人承担；</w:t>
      </w:r>
    </w:p>
    <w:p w14:paraId="38C6371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⑥施工场地清洁卫生的要求：保证施工场地清洁符合环境卫生管理的有关规定，交工前清理现场达到约定的要求，费用由承包人承担；</w:t>
      </w:r>
    </w:p>
    <w:p w14:paraId="7A178E2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⑦双方约定承包人应做的其他工作：</w:t>
      </w:r>
      <w:r>
        <w:rPr>
          <w:rFonts w:hint="eastAsia" w:ascii="宋体" w:hAnsi="宋体" w:eastAsia="宋体" w:cs="宋体"/>
          <w:color w:val="auto"/>
          <w:sz w:val="24"/>
          <w:szCs w:val="24"/>
          <w:highlight w:val="none"/>
          <w:u w:val="single"/>
          <w:lang w:val="en-US" w:eastAsia="zh-CN"/>
        </w:rPr>
        <w:t>另行协商</w:t>
      </w:r>
      <w:r>
        <w:rPr>
          <w:rFonts w:hint="eastAsia" w:ascii="宋体" w:hAnsi="宋体" w:eastAsia="宋体" w:cs="宋体"/>
          <w:color w:val="auto"/>
          <w:sz w:val="24"/>
          <w:szCs w:val="24"/>
          <w:highlight w:val="none"/>
          <w:u w:val="single"/>
        </w:rPr>
        <w:t>。</w:t>
      </w:r>
    </w:p>
    <w:p w14:paraId="5D9F5A6D">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3.2项目经理</w:t>
      </w:r>
    </w:p>
    <w:p w14:paraId="07A8E4DF">
      <w:pPr>
        <w:pStyle w:val="24"/>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3.2.1</w:t>
      </w:r>
      <w:r>
        <w:rPr>
          <w:rFonts w:hint="eastAsia" w:ascii="宋体" w:hAnsi="宋体" w:eastAsia="宋体" w:cs="宋体"/>
          <w:color w:val="auto"/>
          <w:sz w:val="24"/>
          <w:szCs w:val="24"/>
          <w:highlight w:val="none"/>
        </w:rPr>
        <w:t>项目经理：</w:t>
      </w:r>
    </w:p>
    <w:p w14:paraId="6BA89E81">
      <w:pPr>
        <w:pStyle w:val="9"/>
        <w:pageBreakBefore w:val="0"/>
        <w:widowControl w:val="0"/>
        <w:tabs>
          <w:tab w:val="left" w:pos="2009"/>
          <w:tab w:val="left" w:pos="3060"/>
          <w:tab w:val="left" w:pos="5055"/>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bidi="ar-SA"/>
        </w:rPr>
        <mc:AlternateContent>
          <mc:Choice Requires="wpg">
            <w:drawing>
              <wp:anchor distT="0" distB="0" distL="114300" distR="114300" simplePos="0" relativeHeight="251701248" behindDoc="1" locked="0" layoutInCell="1" allowOverlap="1">
                <wp:simplePos x="0" y="0"/>
                <wp:positionH relativeFrom="page">
                  <wp:posOffset>2075815</wp:posOffset>
                </wp:positionH>
                <wp:positionV relativeFrom="paragraph">
                  <wp:posOffset>106680</wp:posOffset>
                </wp:positionV>
                <wp:extent cx="535305" cy="134620"/>
                <wp:effectExtent l="0" t="0" r="0" b="0"/>
                <wp:wrapNone/>
                <wp:docPr id="104" name="组合 104"/>
                <wp:cNvGraphicFramePr/>
                <a:graphic xmlns:a="http://schemas.openxmlformats.org/drawingml/2006/main">
                  <a:graphicData uri="http://schemas.microsoft.com/office/word/2010/wordprocessingGroup">
                    <wpg:wgp>
                      <wpg:cNvGrpSpPr/>
                      <wpg:grpSpPr>
                        <a:xfrm>
                          <a:off x="0" y="0"/>
                          <a:ext cx="535305" cy="134620"/>
                          <a:chOff x="3269" y="169"/>
                          <a:chExt cx="843" cy="212"/>
                        </a:xfrm>
                        <a:effectLst/>
                      </wpg:grpSpPr>
                      <pic:pic xmlns:pic="http://schemas.openxmlformats.org/drawingml/2006/picture">
                        <pic:nvPicPr>
                          <pic:cNvPr id="78" name="图片 46"/>
                          <pic:cNvPicPr>
                            <a:picLocks noChangeAspect="1"/>
                          </pic:cNvPicPr>
                        </pic:nvPicPr>
                        <pic:blipFill>
                          <a:blip r:embed="rId39"/>
                          <a:stretch>
                            <a:fillRect/>
                          </a:stretch>
                        </pic:blipFill>
                        <pic:spPr>
                          <a:xfrm>
                            <a:off x="3269" y="168"/>
                            <a:ext cx="630" cy="212"/>
                          </a:xfrm>
                          <a:prstGeom prst="rect">
                            <a:avLst/>
                          </a:prstGeom>
                          <a:noFill/>
                          <a:ln>
                            <a:noFill/>
                          </a:ln>
                          <a:effectLst/>
                        </pic:spPr>
                      </pic:pic>
                      <pic:pic xmlns:pic="http://schemas.openxmlformats.org/drawingml/2006/picture">
                        <pic:nvPicPr>
                          <pic:cNvPr id="79" name="图片 47"/>
                          <pic:cNvPicPr>
                            <a:picLocks noChangeAspect="1"/>
                          </pic:cNvPicPr>
                        </pic:nvPicPr>
                        <pic:blipFill>
                          <a:blip r:embed="rId40"/>
                          <a:stretch>
                            <a:fillRect/>
                          </a:stretch>
                        </pic:blipFill>
                        <pic:spPr>
                          <a:xfrm>
                            <a:off x="3689" y="168"/>
                            <a:ext cx="423" cy="212"/>
                          </a:xfrm>
                          <a:prstGeom prst="rect">
                            <a:avLst/>
                          </a:prstGeom>
                          <a:noFill/>
                          <a:ln>
                            <a:noFill/>
                          </a:ln>
                          <a:effectLst/>
                        </pic:spPr>
                      </pic:pic>
                    </wpg:wgp>
                  </a:graphicData>
                </a:graphic>
              </wp:anchor>
            </w:drawing>
          </mc:Choice>
          <mc:Fallback>
            <w:pict>
              <v:group id="_x0000_s1026" o:spid="_x0000_s1026" o:spt="203" style="position:absolute;left:0pt;margin-left:163.45pt;margin-top:8.4pt;height:10.6pt;width:42.15pt;mso-position-horizontal-relative:page;z-index:-251615232;mso-width-relative:page;mso-height-relative:page;" coordorigin="3269,169" coordsize="843,212" o:gfxdata="UEsDBAoAAAAAAIdO4kAAAAAAAAAAAAAAAAAEAAAAZHJzL1BLAwQUAAAACACHTuJA/OE1VdgAAAAJ&#10;AQAADwAAAGRycy9kb3ducmV2LnhtbE2PQUvDQBCF74L/YRnBm93dVEMbsylS1FMRbAXpbZpMk9Ds&#10;bshuk/bfO570OLyPN9/LVxfbiZGG0HpnQM8UCHKlr1pXG/javT0sQISIrsLOOzJwpQCr4vYmx6zy&#10;k/ukcRtrwSUuZGigibHPpAxlQxbDzPfkODv6wWLkc6hlNeDE5baTiVKptNg6/tBgT+uGytP2bA28&#10;Tzi9zPXruDkd19f97unje6PJmPs7rZ5BRLrEPxh+9VkdCnY6+LOrgugMzJN0ySgHKU9g4FHrBMSB&#10;k4UCWeTy/4LiB1BLAwQUAAAACACHTuJAYjntHIUCAACGBwAADgAAAGRycy9lMm9Eb2MueG1s1VXN&#10;jtMwEL4j8Q6W7zRp0mZL1HaFKFshraDi5wFcx0ksEtuy3aZ7R4K9cedRkHib1b4GYydtty2IFVqt&#10;xCGJPbZnvvnm82R8vqkrtGbacCkmuN8LMWKCyoyLYoI/frh4NsLIWCIyUknBJviKGXw+ffpk3KiU&#10;RbKUVcY0AifCpI2a4NJalQaBoSWrielJxQQs5lLXxMJUF0GmSQPe6yqIwjAJGqkzpSVlxoB11i7i&#10;zqO+j0OZ55yymaSrmgnbetWsIhZSMiVXBk892jxn1L7Nc8MsqiYYMrX+DUFgvHTvYDomaaGJKjnt&#10;IJD7QDjKqSZcQNCdqxmxBK00P3FVc6qlkbntUVkHbSKeEciiHx5xM9dypXwuRdoUakc6FOqI9X92&#10;S9+sFxrxDJQQDjASpIaS3/74fPPtK3IW4KdRRQrb5lq9VwvdGYp25lLe5Lp2X0gGbTyzVztm2cYi&#10;CsZhPIzDIUYUlvrxIIk65mkJ5XGn4ih5jpFbha8vCi1fdYdHg7g9GfUjtxbsYzJf4ktjndkB3eFS&#10;nKbwdJzB6ISzvysVTtmVZlAB502sF5wudDvZ83YG96Wl7eb7z9vrL2iQOJDuhNvUHiEOy6WknwwS&#10;8mVJRMFeGAXqhIR9SofbAzc9iLesuLrgVeWIduOHvS5Ip6xeMlCBfp15QCQ1VjNLSxcwh8DvAGzL&#10;/W7Bo9wDc5gNKOQ3mrhT3VFb3a0wkhhuolPFaW2VNnbOZI3cAJABAKgEScm6qzeQ2m1xZiEdPwCR&#10;pJU4MIBeWsuBWvZwfR4wbYsGg0cQDYj9UDRn/7do/MV8YNEko21LOBLNIPpjQ9gq4hFF4/sOtGff&#10;mLpfiev/d+e+O+1/n9NfUEsDBAoAAAAAAIdO4kAAAAAAAAAAAAAAAAAKAAAAZHJzL21lZGlhL1BL&#10;AwQUAAAACACHTuJAb6a/ArgAAACzAAAAFAAAAGRycy9tZWRpYS9pbWFnZTIucG5nAbMATP+JUE5H&#10;DQoaCgAAAA1JSERSAAAAsAAAAFgIBgAAAFWgfbEAAAAGYktHRAD/AP8A/6C9p5MAAAAJcEhZcwAA&#10;DsQAAA7EAZUrDhsAAABTSURBVHic7cExAQAAAMKg9U9tDB+gAAAAAAAAAAAAAAAAAAAAAAAAAAAA&#10;AAAAAAAAAAAAAAAAAAAAAAAAAAAAAAAAAAAAAAAAAAAAAAAAAAAAPgbyWAABo0kr7gAAAABJRU5E&#10;rkJgglBLAwQUAAAACACHTuJA74o+4dUAAADQAAAAFAAAAGRycy9tZWRpYS9pbWFnZTEucG5nAdAA&#10;L/+JUE5HDQoaCgAAAA1JSERSAAABBgAAAFgIBgAAABfGWQ8AAAAGYktHRAD/AP8A/6C9p5MAAAAJ&#10;cEhZcwAADsQAAA7EAZUrDhsAAABwSURBVHic7cEBDQAAAMKg909tDwcUAAAAAAAAAAAAAAAAAAAA&#10;AAAAAAAAAAAAAAAAAAAAAAAAAAAAAAAAAAAAAAAAAAAAAAAAAAAAAAAAAAAAAAAAAAAAAAAAAAAA&#10;AAAAAAAAAAAAAAAAAAAAAABPBminAAFpAACrAAAAAElFTkSuQmC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KAAAAAACHTuJAAAAA&#10;AAAAAAAAAAAACgAAAGRycy9fcmVscy9QSwMEFAAAAAgAh07iQC5s8AC/AAAApQEAABkAAABkcnMv&#10;X3JlbHMvZTJvRG9jLnhtbC5yZWxzvZDBisIwEIbvC/sOYe7btD0sspj2IoJXcR9gSKZpsJmEJIq+&#10;vYFlQUHw5nFm+L//Y9bjxS/iTCm7wAq6pgVBrINxbBX8HrZfKxC5IBtcApOCK2UYh8+P9Z4WLDWU&#10;ZxezqBTOCuZS4o+UWc/kMTchEtfLFJLHUsdkZUR9REuyb9tvme4ZMDwwxc4oSDvTgzhcY21+zQ7T&#10;5DRtgj554vKkQjpfuysQk6WiwJNx+Lfsm8gW5HOH7j0O3b+DfHjucANQSwMEFAAAAAgAh07iQHnn&#10;ugQEAQAAEwIAABMAAABbQ29udGVudF9UeXBlc10ueG1slZHBTsMwDIbvSLxDlCtqU3ZACK3dgY4j&#10;IDQeIErcNqJxojiU7e1Juk2CiSHtGNvf7y/JcrW1I5sgkHFY89uy4gxQOW2wr/n75qm454yiRC1H&#10;h1DzHRBfNddXy83OA7FEI9V8iNE/CEFqACupdB4wdToXrIzpGHrhpfqQPYhFVd0J5TACxiLmDN4s&#10;W+jk5xjZepvKexOPPWeP+7m8qubGZj7XxZ9EgJFOEOn9aJSM6W5iQn3iVRycykTOMzQYTzdJ/MyG&#10;3Pnt9HPBgXtJjxmMBvYqQ3yWNpkLHUho94UBpvL/kGxpqXBdZxSUbaA2YW8wHa3OpcPCtU5dGr6e&#10;qWO2mL+0+QZQSwECFAAUAAAACACHTuJAeee6BAQBAAATAgAAEwAAAAAAAAABACAAAAAtCAAAW0Nv&#10;bnRlbnRfVHlwZXNdLnhtbFBLAQIUAAoAAAAAAIdO4kAAAAAAAAAAAAAAAAAGAAAAAAAAAAAAEAAA&#10;APEFAABfcmVscy9QSwECFAAUAAAACACHTuJAihRmPNEAAACUAQAACwAAAAAAAAABACAAAAAVBgAA&#10;X3JlbHMvLnJlbHNQSwECFAAKAAAAAACHTuJAAAAAAAAAAAAAAAAABAAAAAAAAAAAABAAAAAAAAAA&#10;ZHJzL1BLAQIUAAoAAAAAAIdO4kAAAAAAAAAAAAAAAAAKAAAAAAAAAAAAEAAAAA8HAABkcnMvX3Jl&#10;bHMvUEsBAhQAFAAAAAgAh07iQC5s8AC/AAAApQEAABkAAAAAAAAAAQAgAAAANwcAAGRycy9fcmVs&#10;cy9lMm9Eb2MueG1sLnJlbHNQSwECFAAUAAAACACHTuJA/OE1VdgAAAAJAQAADwAAAAAAAAABACAA&#10;AAAiAAAAZHJzL2Rvd25yZXYueG1sUEsBAhQAFAAAAAgAh07iQGI57RyFAgAAhgcAAA4AAAAAAAAA&#10;AQAgAAAAJwEAAGRycy9lMm9Eb2MueG1sUEsBAhQACgAAAAAAh07iQAAAAAAAAAAAAAAAAAoAAAAA&#10;AAAAAAAQAAAA2AMAAGRycy9tZWRpYS9QSwECFAAUAAAACACHTuJA74o+4dUAAADQAAAAFAAAAAAA&#10;AAABACAAAADqBAAAZHJzL21lZGlhL2ltYWdlMS5wbmdQSwECFAAUAAAACACHTuJAb6a/ArgAAACz&#10;AAAAFAAAAAAAAAABACAAAAAABAAAZHJzL21lZGlhL2ltYWdlMi5wbmdQSwUGAAAAAAsACwCUAgAA&#10;YgkAAAAA&#10;">
                <o:lock v:ext="edit" aspectratio="f"/>
                <v:shape id="图片 46" o:spid="_x0000_s1026" o:spt="75" type="#_x0000_t75" style="position:absolute;left:3269;top:168;height:212;width:630;" filled="f" o:preferrelative="t" stroked="f" coordsize="21600,21600" o:gfxdata="UEsDBAoAAAAAAIdO4kAAAAAAAAAAAAAAAAAEAAAAZHJzL1BLAwQUAAAACACHTuJArMHV8bsAAADb&#10;AAAADwAAAGRycy9kb3ducmV2LnhtbEVPS27CMBDdV+IO1iCxKw4gSggYFrRI7aZqgQOM7CGOiMfB&#10;Np9y+npRqcun91+u764VVwqx8axgNCxAEGtvGq4VHPbb5xJETMgGW8+k4IcirFe9pyVWxt/4m667&#10;VIscwrFCBTalrpIyaksO49B3xJk7+uAwZRhqaQLecrhr5bgoXqTDhnODxY42lvRpd3EKuo/J61eY&#10;6su43IZPOz+Xb4+5VmrQHxULEInu6V/85343CmZ5bP6Sf4Bc/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MHV8bsAAADb&#10;AAAADwAAAAAAAAABACAAAAAiAAAAZHJzL2Rvd25yZXYueG1sUEsBAhQAFAAAAAgAh07iQDMvBZ47&#10;AAAAOQAAABAAAAAAAAAAAQAgAAAACgEAAGRycy9zaGFwZXhtbC54bWxQSwUGAAAAAAYABgBbAQAA&#10;tAMAAAAA&#10;">
                  <v:fill on="f" focussize="0,0"/>
                  <v:stroke on="f"/>
                  <v:imagedata r:id="rId39" o:title=""/>
                  <o:lock v:ext="edit" aspectratio="t"/>
                </v:shape>
                <v:shape id="图片 47" o:spid="_x0000_s1026" o:spt="75" type="#_x0000_t75" style="position:absolute;left:3689;top:168;height:212;width:423;" filled="f" o:preferrelative="t" stroked="f" coordsize="21600,21600" o:gfxdata="UEsDBAoAAAAAAIdO4kAAAAAAAAAAAAAAAAAEAAAAZHJzL1BLAwQUAAAACACHTuJAD8lF270AAADb&#10;AAAADwAAAGRycy9kb3ducmV2LnhtbEWPT2vCQBTE7wW/w/IEb3U3YqtGN4LSFm/FP3h+ZJ9JNPs2&#10;ZLcm7afvCoUeh5n5DbNa97YWd2p95VhDMlYgiHNnKi40nI7vz3MQPiAbrB2Thm/ysM4GTytMjet4&#10;T/dDKESEsE9RQxlCk0rp85Is+rFriKN3ca3FEGVbSNNiF+G2lhOlXqXFiuNCiQ1tS8pvhy+rYbrZ&#10;/sjz5ML9h3rr/Of1pedzo/VomKgliEB9+A//tXdGw2wBjy/xB8js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yUXbvQAA&#10;ANsAAAAPAAAAAAAAAAEAIAAAACIAAABkcnMvZG93bnJldi54bWxQSwECFAAUAAAACACHTuJAMy8F&#10;njsAAAA5AAAAEAAAAAAAAAABACAAAAAMAQAAZHJzL3NoYXBleG1sLnhtbFBLBQYAAAAABgAGAFsB&#10;AAC2AwAAAAA=&#10;">
                  <v:fill on="f" focussize="0,0"/>
                  <v:stroke on="f"/>
                  <v:imagedata r:id="rId40" o:title=""/>
                  <o:lock v:ext="edit" aspectratio="t"/>
                </v:shape>
              </v:group>
            </w:pict>
          </mc:Fallback>
        </mc:AlternateContent>
      </w:r>
      <w:r>
        <w:rPr>
          <w:rFonts w:hint="eastAsia" w:ascii="宋体" w:hAnsi="宋体" w:eastAsia="宋体" w:cs="宋体"/>
          <w:color w:val="auto"/>
          <w:sz w:val="24"/>
          <w:szCs w:val="24"/>
          <w:highlight w:val="none"/>
          <w:lang w:val="en-US" w:bidi="ar-SA"/>
        </w:rPr>
        <w:drawing>
          <wp:anchor distT="0" distB="0" distL="114300" distR="114300" simplePos="0" relativeHeight="251702272" behindDoc="1" locked="0" layoutInCell="1" allowOverlap="1">
            <wp:simplePos x="0" y="0"/>
            <wp:positionH relativeFrom="page">
              <wp:posOffset>3144520</wp:posOffset>
            </wp:positionH>
            <wp:positionV relativeFrom="paragraph">
              <wp:posOffset>106680</wp:posOffset>
            </wp:positionV>
            <wp:extent cx="718820" cy="133985"/>
            <wp:effectExtent l="0" t="0" r="0" b="0"/>
            <wp:wrapNone/>
            <wp:docPr id="84"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38.png"/>
                    <pic:cNvPicPr>
                      <a:picLocks noChangeAspect="1"/>
                    </pic:cNvPicPr>
                  </pic:nvPicPr>
                  <pic:blipFill>
                    <a:blip r:embed="rId44"/>
                    <a:stretch>
                      <a:fillRect/>
                    </a:stretch>
                  </pic:blipFill>
                  <pic:spPr>
                    <a:xfrm>
                      <a:off x="0" y="0"/>
                      <a:ext cx="718820" cy="133985"/>
                    </a:xfrm>
                    <a:prstGeom prst="rect">
                      <a:avLst/>
                    </a:prstGeom>
                    <a:noFill/>
                    <a:ln>
                      <a:noFill/>
                    </a:ln>
                  </pic:spPr>
                </pic:pic>
              </a:graphicData>
            </a:graphic>
          </wp:anchor>
        </w:drawing>
      </w: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0CE9911E">
      <w:pPr>
        <w:pStyle w:val="9"/>
        <w:pageBreakBefore w:val="0"/>
        <w:widowControl w:val="0"/>
        <w:tabs>
          <w:tab w:val="left" w:pos="3269"/>
          <w:tab w:val="left" w:pos="3689"/>
          <w:tab w:val="left" w:pos="3900"/>
          <w:tab w:val="left" w:pos="5475"/>
          <w:tab w:val="left" w:pos="5581"/>
          <w:tab w:val="left" w:pos="5686"/>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bidi="ar-SA"/>
        </w:rPr>
        <w:drawing>
          <wp:anchor distT="0" distB="0" distL="114300" distR="114300" simplePos="0" relativeHeight="251703296" behindDoc="1" locked="0" layoutInCell="1" allowOverlap="1">
            <wp:simplePos x="0" y="0"/>
            <wp:positionH relativeFrom="page">
              <wp:posOffset>2075815</wp:posOffset>
            </wp:positionH>
            <wp:positionV relativeFrom="paragraph">
              <wp:posOffset>105410</wp:posOffset>
            </wp:positionV>
            <wp:extent cx="666750" cy="133985"/>
            <wp:effectExtent l="0" t="0" r="0" b="0"/>
            <wp:wrapNone/>
            <wp:docPr id="85"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39.png"/>
                    <pic:cNvPicPr>
                      <a:picLocks noChangeAspect="1"/>
                    </pic:cNvPicPr>
                  </pic:nvPicPr>
                  <pic:blipFill>
                    <a:blip r:embed="rId45"/>
                    <a:stretch>
                      <a:fillRect/>
                    </a:stretch>
                  </pic:blipFill>
                  <pic:spPr>
                    <a:xfrm>
                      <a:off x="0" y="0"/>
                      <a:ext cx="66675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04320" behindDoc="1" locked="0" layoutInCell="1" allowOverlap="1">
            <wp:simplePos x="0" y="0"/>
            <wp:positionH relativeFrom="page">
              <wp:posOffset>3276600</wp:posOffset>
            </wp:positionH>
            <wp:positionV relativeFrom="paragraph">
              <wp:posOffset>105410</wp:posOffset>
            </wp:positionV>
            <wp:extent cx="855345" cy="133985"/>
            <wp:effectExtent l="0" t="0" r="0" b="0"/>
            <wp:wrapNone/>
            <wp:docPr id="86"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0.png"/>
                    <pic:cNvPicPr>
                      <a:picLocks noChangeAspect="1"/>
                    </pic:cNvPicPr>
                  </pic:nvPicPr>
                  <pic:blipFill>
                    <a:blip r:embed="rId46"/>
                    <a:stretch>
                      <a:fillRect/>
                    </a:stretch>
                  </pic:blipFill>
                  <pic:spPr>
                    <a:xfrm>
                      <a:off x="0" y="0"/>
                      <a:ext cx="855345"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05344" behindDoc="1" locked="0" layoutInCell="1" allowOverlap="1">
            <wp:simplePos x="0" y="0"/>
            <wp:positionH relativeFrom="page">
              <wp:posOffset>2743835</wp:posOffset>
            </wp:positionH>
            <wp:positionV relativeFrom="paragraph">
              <wp:posOffset>364490</wp:posOffset>
            </wp:positionV>
            <wp:extent cx="400050" cy="133985"/>
            <wp:effectExtent l="0" t="0" r="0" b="0"/>
            <wp:wrapNone/>
            <wp:docPr id="87"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33.png"/>
                    <pic:cNvPicPr>
                      <a:picLocks noChangeAspect="1"/>
                    </pic:cNvPicPr>
                  </pic:nvPicPr>
                  <pic:blipFill>
                    <a:blip r:embed="rId39"/>
                    <a:stretch>
                      <a:fillRect/>
                    </a:stretch>
                  </pic:blipFill>
                  <pic:spPr>
                    <a:xfrm>
                      <a:off x="0" y="0"/>
                      <a:ext cx="40005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06368" behindDoc="1" locked="0" layoutInCell="1" allowOverlap="1">
            <wp:simplePos x="0" y="0"/>
            <wp:positionH relativeFrom="page">
              <wp:posOffset>3677920</wp:posOffset>
            </wp:positionH>
            <wp:positionV relativeFrom="paragraph">
              <wp:posOffset>364490</wp:posOffset>
            </wp:positionV>
            <wp:extent cx="582930" cy="133985"/>
            <wp:effectExtent l="0" t="0" r="0" b="0"/>
            <wp:wrapNone/>
            <wp:docPr id="90"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1.png"/>
                    <pic:cNvPicPr>
                      <a:picLocks noChangeAspect="1"/>
                    </pic:cNvPicPr>
                  </pic:nvPicPr>
                  <pic:blipFill>
                    <a:blip r:embed="rId47"/>
                    <a:stretch>
                      <a:fillRect/>
                    </a:stretch>
                  </pic:blipFill>
                  <pic:spPr>
                    <a:xfrm>
                      <a:off x="0" y="0"/>
                      <a:ext cx="58293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07392" behindDoc="1" locked="0" layoutInCell="1" allowOverlap="1">
            <wp:simplePos x="0" y="0"/>
            <wp:positionH relativeFrom="page">
              <wp:posOffset>2609215</wp:posOffset>
            </wp:positionH>
            <wp:positionV relativeFrom="paragraph">
              <wp:posOffset>623570</wp:posOffset>
            </wp:positionV>
            <wp:extent cx="534670" cy="133985"/>
            <wp:effectExtent l="0" t="0" r="0" b="0"/>
            <wp:wrapNone/>
            <wp:docPr id="93"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66"/>
                    <pic:cNvPicPr>
                      <a:picLocks noChangeAspect="1"/>
                    </pic:cNvPicPr>
                  </pic:nvPicPr>
                  <pic:blipFill>
                    <a:blip r:embed="rId36"/>
                    <a:stretch>
                      <a:fillRect/>
                    </a:stretch>
                  </pic:blipFill>
                  <pic:spPr>
                    <a:xfrm>
                      <a:off x="0" y="0"/>
                      <a:ext cx="53467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08416" behindDoc="1" locked="0" layoutInCell="1" allowOverlap="1">
            <wp:simplePos x="0" y="0"/>
            <wp:positionH relativeFrom="page">
              <wp:posOffset>3677920</wp:posOffset>
            </wp:positionH>
            <wp:positionV relativeFrom="paragraph">
              <wp:posOffset>623570</wp:posOffset>
            </wp:positionV>
            <wp:extent cx="582930" cy="133985"/>
            <wp:effectExtent l="0" t="0" r="0" b="0"/>
            <wp:wrapNone/>
            <wp:docPr id="92"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67"/>
                    <pic:cNvPicPr>
                      <a:picLocks noChangeAspect="1"/>
                    </pic:cNvPicPr>
                  </pic:nvPicPr>
                  <pic:blipFill>
                    <a:blip r:embed="rId47"/>
                    <a:stretch>
                      <a:fillRect/>
                    </a:stretch>
                  </pic:blipFill>
                  <pic:spPr>
                    <a:xfrm>
                      <a:off x="0" y="0"/>
                      <a:ext cx="58293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09440" behindDoc="1" locked="0" layoutInCell="1" allowOverlap="1">
            <wp:simplePos x="0" y="0"/>
            <wp:positionH relativeFrom="page">
              <wp:posOffset>2609215</wp:posOffset>
            </wp:positionH>
            <wp:positionV relativeFrom="paragraph">
              <wp:posOffset>883920</wp:posOffset>
            </wp:positionV>
            <wp:extent cx="400050" cy="133985"/>
            <wp:effectExtent l="0" t="0" r="0" b="0"/>
            <wp:wrapNone/>
            <wp:docPr id="91"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68"/>
                    <pic:cNvPicPr>
                      <a:picLocks noChangeAspect="1"/>
                    </pic:cNvPicPr>
                  </pic:nvPicPr>
                  <pic:blipFill>
                    <a:blip r:embed="rId39"/>
                    <a:stretch>
                      <a:fillRect/>
                    </a:stretch>
                  </pic:blipFill>
                  <pic:spPr>
                    <a:xfrm>
                      <a:off x="0" y="0"/>
                      <a:ext cx="40005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10464" behindDoc="1" locked="0" layoutInCell="1" allowOverlap="1">
            <wp:simplePos x="0" y="0"/>
            <wp:positionH relativeFrom="page">
              <wp:posOffset>3543300</wp:posOffset>
            </wp:positionH>
            <wp:positionV relativeFrom="paragraph">
              <wp:posOffset>883920</wp:posOffset>
            </wp:positionV>
            <wp:extent cx="666115" cy="133985"/>
            <wp:effectExtent l="0" t="0" r="0" b="0"/>
            <wp:wrapNone/>
            <wp:docPr id="94"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42.png"/>
                    <pic:cNvPicPr>
                      <a:picLocks noChangeAspect="1"/>
                    </pic:cNvPicPr>
                  </pic:nvPicPr>
                  <pic:blipFill>
                    <a:blip r:embed="rId48"/>
                    <a:stretch>
                      <a:fillRect/>
                    </a:stretch>
                  </pic:blipFill>
                  <pic:spPr>
                    <a:xfrm>
                      <a:off x="0" y="0"/>
                      <a:ext cx="666115" cy="133985"/>
                    </a:xfrm>
                    <a:prstGeom prst="rect">
                      <a:avLst/>
                    </a:prstGeom>
                    <a:noFill/>
                    <a:ln>
                      <a:noFill/>
                    </a:ln>
                  </pic:spPr>
                </pic:pic>
              </a:graphicData>
            </a:graphic>
          </wp:anchor>
        </w:drawing>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 xml:space="preserve">； </w:t>
      </w:r>
    </w:p>
    <w:p w14:paraId="36E658BA">
      <w:pPr>
        <w:pStyle w:val="9"/>
        <w:pageBreakBefore w:val="0"/>
        <w:widowControl w:val="0"/>
        <w:tabs>
          <w:tab w:val="left" w:pos="3269"/>
          <w:tab w:val="left" w:pos="3689"/>
          <w:tab w:val="left" w:pos="3900"/>
          <w:tab w:val="left" w:pos="5475"/>
          <w:tab w:val="left" w:pos="5581"/>
          <w:tab w:val="left" w:pos="5686"/>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建造师执业资格等级：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7FF4A544">
      <w:pPr>
        <w:pStyle w:val="9"/>
        <w:pageBreakBefore w:val="0"/>
        <w:widowControl w:val="0"/>
        <w:tabs>
          <w:tab w:val="left" w:pos="3269"/>
          <w:tab w:val="left" w:pos="3689"/>
          <w:tab w:val="left" w:pos="3900"/>
          <w:tab w:val="left" w:pos="5475"/>
          <w:tab w:val="left" w:pos="5581"/>
          <w:tab w:val="left" w:pos="5686"/>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建造师注册证书号：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34C568CA">
      <w:pPr>
        <w:pStyle w:val="9"/>
        <w:pageBreakBefore w:val="0"/>
        <w:widowControl w:val="0"/>
        <w:tabs>
          <w:tab w:val="left" w:pos="3269"/>
          <w:tab w:val="left" w:pos="3689"/>
          <w:tab w:val="left" w:pos="3900"/>
          <w:tab w:val="left" w:pos="5475"/>
          <w:tab w:val="left" w:pos="5581"/>
          <w:tab w:val="left" w:pos="5686"/>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建造师执业印章号：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243196DD">
      <w:pPr>
        <w:pStyle w:val="9"/>
        <w:pageBreakBefore w:val="0"/>
        <w:widowControl w:val="0"/>
        <w:tabs>
          <w:tab w:val="left" w:pos="3269"/>
          <w:tab w:val="left" w:pos="4320"/>
          <w:tab w:val="left" w:pos="5686"/>
          <w:tab w:val="left" w:pos="5895"/>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bidi="ar-SA"/>
        </w:rPr>
        <w:drawing>
          <wp:anchor distT="0" distB="0" distL="114300" distR="114300" simplePos="0" relativeHeight="251711488" behindDoc="1" locked="0" layoutInCell="1" allowOverlap="1">
            <wp:simplePos x="0" y="0"/>
            <wp:positionH relativeFrom="page">
              <wp:posOffset>3010535</wp:posOffset>
            </wp:positionH>
            <wp:positionV relativeFrom="paragraph">
              <wp:posOffset>17145</wp:posOffset>
            </wp:positionV>
            <wp:extent cx="400050" cy="133985"/>
            <wp:effectExtent l="0" t="0" r="0" b="0"/>
            <wp:wrapNone/>
            <wp:docPr id="66"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70"/>
                    <pic:cNvPicPr>
                      <a:picLocks noChangeAspect="1"/>
                    </pic:cNvPicPr>
                  </pic:nvPicPr>
                  <pic:blipFill>
                    <a:blip r:embed="rId39"/>
                    <a:stretch>
                      <a:fillRect/>
                    </a:stretch>
                  </pic:blipFill>
                  <pic:spPr>
                    <a:xfrm>
                      <a:off x="0" y="0"/>
                      <a:ext cx="40005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12512" behindDoc="1" locked="0" layoutInCell="1" allowOverlap="1">
            <wp:simplePos x="0" y="0"/>
            <wp:positionH relativeFrom="page">
              <wp:posOffset>3944620</wp:posOffset>
            </wp:positionH>
            <wp:positionV relativeFrom="paragraph">
              <wp:posOffset>17145</wp:posOffset>
            </wp:positionV>
            <wp:extent cx="443230" cy="133985"/>
            <wp:effectExtent l="0" t="0" r="0" b="0"/>
            <wp:wrapNone/>
            <wp:docPr id="68"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43.png"/>
                    <pic:cNvPicPr>
                      <a:picLocks noChangeAspect="1"/>
                    </pic:cNvPicPr>
                  </pic:nvPicPr>
                  <pic:blipFill>
                    <a:blip r:embed="rId49"/>
                    <a:stretch>
                      <a:fillRect/>
                    </a:stretch>
                  </pic:blipFill>
                  <pic:spPr>
                    <a:xfrm>
                      <a:off x="0" y="0"/>
                      <a:ext cx="44323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13536" behindDoc="1" locked="0" layoutInCell="1" allowOverlap="1">
            <wp:simplePos x="0" y="0"/>
            <wp:positionH relativeFrom="page">
              <wp:posOffset>2075815</wp:posOffset>
            </wp:positionH>
            <wp:positionV relativeFrom="paragraph">
              <wp:posOffset>276225</wp:posOffset>
            </wp:positionV>
            <wp:extent cx="666750" cy="133985"/>
            <wp:effectExtent l="0" t="0" r="0" b="0"/>
            <wp:wrapNone/>
            <wp:docPr id="65"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72"/>
                    <pic:cNvPicPr>
                      <a:picLocks noChangeAspect="1"/>
                    </pic:cNvPicPr>
                  </pic:nvPicPr>
                  <pic:blipFill>
                    <a:blip r:embed="rId45"/>
                    <a:stretch>
                      <a:fillRect/>
                    </a:stretch>
                  </pic:blipFill>
                  <pic:spPr>
                    <a:xfrm>
                      <a:off x="0" y="0"/>
                      <a:ext cx="66675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14560" behindDoc="1" locked="0" layoutInCell="1" allowOverlap="1">
            <wp:simplePos x="0" y="0"/>
            <wp:positionH relativeFrom="page">
              <wp:posOffset>3543300</wp:posOffset>
            </wp:positionH>
            <wp:positionV relativeFrom="paragraph">
              <wp:posOffset>276225</wp:posOffset>
            </wp:positionV>
            <wp:extent cx="720725" cy="133985"/>
            <wp:effectExtent l="0" t="0" r="0" b="0"/>
            <wp:wrapNone/>
            <wp:docPr id="69"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44.png"/>
                    <pic:cNvPicPr>
                      <a:picLocks noChangeAspect="1"/>
                    </pic:cNvPicPr>
                  </pic:nvPicPr>
                  <pic:blipFill>
                    <a:blip r:embed="rId44"/>
                    <a:stretch>
                      <a:fillRect/>
                    </a:stretch>
                  </pic:blipFill>
                  <pic:spPr>
                    <a:xfrm>
                      <a:off x="0" y="0"/>
                      <a:ext cx="720725" cy="133985"/>
                    </a:xfrm>
                    <a:prstGeom prst="rect">
                      <a:avLst/>
                    </a:prstGeom>
                    <a:noFill/>
                    <a:ln>
                      <a:noFill/>
                    </a:ln>
                  </pic:spPr>
                </pic:pic>
              </a:graphicData>
            </a:graphic>
          </wp:anchor>
        </w:drawing>
      </w:r>
      <w:r>
        <w:rPr>
          <w:rFonts w:hint="eastAsia" w:ascii="宋体" w:hAnsi="宋体" w:eastAsia="宋体" w:cs="宋体"/>
          <w:color w:val="auto"/>
          <w:sz w:val="24"/>
          <w:szCs w:val="24"/>
          <w:highlight w:val="none"/>
        </w:rPr>
        <w:t>安全生产考核合格证书号：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 xml:space="preserve">； </w:t>
      </w:r>
    </w:p>
    <w:p w14:paraId="5E2F7ABE">
      <w:pPr>
        <w:pStyle w:val="9"/>
        <w:pageBreakBefore w:val="0"/>
        <w:widowControl w:val="0"/>
        <w:tabs>
          <w:tab w:val="left" w:pos="3269"/>
          <w:tab w:val="left" w:pos="4320"/>
          <w:tab w:val="left" w:pos="5686"/>
          <w:tab w:val="left" w:pos="5895"/>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0B6B5930">
      <w:pPr>
        <w:pStyle w:val="9"/>
        <w:pageBreakBefore w:val="0"/>
        <w:widowControl w:val="0"/>
        <w:tabs>
          <w:tab w:val="left" w:pos="3269"/>
          <w:tab w:val="left" w:pos="6212"/>
          <w:tab w:val="left" w:pos="6315"/>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bidi="ar-SA"/>
        </w:rPr>
        <w:drawing>
          <wp:anchor distT="0" distB="0" distL="114300" distR="114300" simplePos="0" relativeHeight="251715584" behindDoc="1" locked="0" layoutInCell="1" allowOverlap="1">
            <wp:simplePos x="0" y="0"/>
            <wp:positionH relativeFrom="page">
              <wp:posOffset>2075815</wp:posOffset>
            </wp:positionH>
            <wp:positionV relativeFrom="paragraph">
              <wp:posOffset>17145</wp:posOffset>
            </wp:positionV>
            <wp:extent cx="666750" cy="133985"/>
            <wp:effectExtent l="0" t="0" r="0" b="0"/>
            <wp:wrapNone/>
            <wp:docPr id="67"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74"/>
                    <pic:cNvPicPr>
                      <a:picLocks noChangeAspect="1"/>
                    </pic:cNvPicPr>
                  </pic:nvPicPr>
                  <pic:blipFill>
                    <a:blip r:embed="rId45"/>
                    <a:stretch>
                      <a:fillRect/>
                    </a:stretch>
                  </pic:blipFill>
                  <pic:spPr>
                    <a:xfrm>
                      <a:off x="0" y="0"/>
                      <a:ext cx="66675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16608" behindDoc="1" locked="0" layoutInCell="1" allowOverlap="1">
            <wp:simplePos x="0" y="0"/>
            <wp:positionH relativeFrom="page">
              <wp:posOffset>3677920</wp:posOffset>
            </wp:positionH>
            <wp:positionV relativeFrom="paragraph">
              <wp:posOffset>17145</wp:posOffset>
            </wp:positionV>
            <wp:extent cx="989330" cy="133985"/>
            <wp:effectExtent l="0" t="0" r="0" b="0"/>
            <wp:wrapNone/>
            <wp:docPr id="59"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45.png"/>
                    <pic:cNvPicPr>
                      <a:picLocks noChangeAspect="1"/>
                    </pic:cNvPicPr>
                  </pic:nvPicPr>
                  <pic:blipFill>
                    <a:blip r:embed="rId50"/>
                    <a:stretch>
                      <a:fillRect/>
                    </a:stretch>
                  </pic:blipFill>
                  <pic:spPr>
                    <a:xfrm>
                      <a:off x="0" y="0"/>
                      <a:ext cx="98933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17632" behindDoc="1" locked="0" layoutInCell="1" allowOverlap="1">
            <wp:simplePos x="0" y="0"/>
            <wp:positionH relativeFrom="page">
              <wp:posOffset>2075815</wp:posOffset>
            </wp:positionH>
            <wp:positionV relativeFrom="paragraph">
              <wp:posOffset>276225</wp:posOffset>
            </wp:positionV>
            <wp:extent cx="666750" cy="133985"/>
            <wp:effectExtent l="0" t="0" r="0" b="0"/>
            <wp:wrapNone/>
            <wp:docPr id="70"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6"/>
                    <pic:cNvPicPr>
                      <a:picLocks noChangeAspect="1"/>
                    </pic:cNvPicPr>
                  </pic:nvPicPr>
                  <pic:blipFill>
                    <a:blip r:embed="rId45"/>
                    <a:stretch>
                      <a:fillRect/>
                    </a:stretch>
                  </pic:blipFill>
                  <pic:spPr>
                    <a:xfrm>
                      <a:off x="0" y="0"/>
                      <a:ext cx="66675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18656" behindDoc="1" locked="0" layoutInCell="1" allowOverlap="1">
            <wp:simplePos x="0" y="0"/>
            <wp:positionH relativeFrom="page">
              <wp:posOffset>3743325</wp:posOffset>
            </wp:positionH>
            <wp:positionV relativeFrom="paragraph">
              <wp:posOffset>276225</wp:posOffset>
            </wp:positionV>
            <wp:extent cx="857250" cy="133985"/>
            <wp:effectExtent l="0" t="0" r="0" b="0"/>
            <wp:wrapNone/>
            <wp:docPr id="53"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46.png"/>
                    <pic:cNvPicPr>
                      <a:picLocks noChangeAspect="1"/>
                    </pic:cNvPicPr>
                  </pic:nvPicPr>
                  <pic:blipFill>
                    <a:blip r:embed="rId46"/>
                    <a:stretch>
                      <a:fillRect/>
                    </a:stretch>
                  </pic:blipFill>
                  <pic:spPr>
                    <a:xfrm>
                      <a:off x="0" y="0"/>
                      <a:ext cx="857250" cy="133985"/>
                    </a:xfrm>
                    <a:prstGeom prst="rect">
                      <a:avLst/>
                    </a:prstGeom>
                    <a:noFill/>
                    <a:ln>
                      <a:noFill/>
                    </a:ln>
                  </pic:spPr>
                </pic:pic>
              </a:graphicData>
            </a:graphic>
          </wp:anchor>
        </w:drawing>
      </w: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658D2936">
      <w:pPr>
        <w:pStyle w:val="9"/>
        <w:pageBreakBefore w:val="0"/>
        <w:widowControl w:val="0"/>
        <w:tabs>
          <w:tab w:val="left" w:pos="3269"/>
          <w:tab w:val="left" w:pos="6212"/>
          <w:tab w:val="left" w:pos="6315"/>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6463176A">
      <w:pPr>
        <w:pStyle w:val="9"/>
        <w:pageBreakBefore w:val="0"/>
        <w:widowControl w:val="0"/>
        <w:tabs>
          <w:tab w:val="left" w:pos="4952"/>
          <w:tab w:val="left" w:pos="6104"/>
          <w:tab w:val="left" w:pos="7890"/>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承包人对项目经理的授权范围如下：</w:t>
      </w:r>
      <w:r>
        <w:rPr>
          <w:rFonts w:hint="eastAsia" w:ascii="宋体" w:hAnsi="宋体" w:eastAsia="宋体" w:cs="宋体"/>
          <w:color w:val="auto"/>
          <w:sz w:val="24"/>
          <w:szCs w:val="24"/>
          <w:highlight w:val="none"/>
          <w:u w:val="single"/>
        </w:rPr>
        <w:t>项目经理仅限于工程的现场施工管理，但未经承包人盖章同意，不得以承包人名义向外采购材料设备、租用建筑周转材料、雇用劳动力、签订分包合同等从事一切为承包人设立义务或责任的行为</w:t>
      </w:r>
      <w:r>
        <w:rPr>
          <w:rFonts w:hint="eastAsia" w:ascii="宋体" w:hAnsi="宋体" w:eastAsia="宋体" w:cs="宋体"/>
          <w:color w:val="auto"/>
          <w:sz w:val="24"/>
          <w:szCs w:val="24"/>
          <w:highlight w:val="none"/>
        </w:rPr>
        <w:t>。</w:t>
      </w:r>
    </w:p>
    <w:p w14:paraId="63B53AC9">
      <w:pPr>
        <w:pStyle w:val="9"/>
        <w:pageBreakBefore w:val="0"/>
        <w:widowControl w:val="0"/>
        <w:tabs>
          <w:tab w:val="left" w:pos="4529"/>
          <w:tab w:val="left" w:pos="5641"/>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关于项目经理每月在施工现场的时间要求：</w:t>
      </w:r>
      <w:r>
        <w:rPr>
          <w:rFonts w:hint="eastAsia" w:ascii="宋体" w:hAnsi="宋体" w:eastAsia="宋体" w:cs="宋体"/>
          <w:color w:val="auto"/>
          <w:sz w:val="24"/>
          <w:szCs w:val="24"/>
          <w:highlight w:val="none"/>
          <w:u w:val="single"/>
        </w:rPr>
        <w:t>双方另行协商</w:t>
      </w:r>
      <w:r>
        <w:rPr>
          <w:rFonts w:hint="eastAsia" w:ascii="宋体" w:hAnsi="宋体" w:eastAsia="宋体" w:cs="宋体"/>
          <w:color w:val="auto"/>
          <w:sz w:val="24"/>
          <w:szCs w:val="24"/>
          <w:highlight w:val="none"/>
        </w:rPr>
        <w:t>。</w:t>
      </w:r>
    </w:p>
    <w:p w14:paraId="17D7C4FD">
      <w:pPr>
        <w:pStyle w:val="24"/>
        <w:pageBreakBefore w:val="0"/>
        <w:widowControl w:val="0"/>
        <w:tabs>
          <w:tab w:val="left" w:pos="2010"/>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项目经理其它违约责任：</w:t>
      </w:r>
      <w:r>
        <w:rPr>
          <w:rFonts w:hint="eastAsia" w:ascii="宋体" w:hAnsi="宋体" w:eastAsia="宋体" w:cs="宋体"/>
          <w:color w:val="auto"/>
          <w:sz w:val="24"/>
          <w:szCs w:val="24"/>
          <w:highlight w:val="none"/>
          <w:u w:val="single"/>
          <w:lang w:val="en-US" w:eastAsia="zh-CN"/>
        </w:rPr>
        <w:t>双方另行协商</w:t>
      </w:r>
      <w:r>
        <w:rPr>
          <w:rFonts w:hint="eastAsia" w:ascii="宋体" w:hAnsi="宋体" w:eastAsia="宋体" w:cs="宋体"/>
          <w:color w:val="auto"/>
          <w:sz w:val="24"/>
          <w:szCs w:val="24"/>
          <w:highlight w:val="none"/>
        </w:rPr>
        <w:t>。</w:t>
      </w:r>
    </w:p>
    <w:p w14:paraId="5FD9244E">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3.3承包人人员</w:t>
      </w:r>
    </w:p>
    <w:p w14:paraId="4A99F188">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3.3.1</w:t>
      </w:r>
      <w:r>
        <w:rPr>
          <w:rFonts w:hint="eastAsia" w:ascii="宋体" w:hAnsi="宋体" w:eastAsia="宋体" w:cs="宋体"/>
          <w:color w:val="auto"/>
          <w:sz w:val="24"/>
          <w:szCs w:val="24"/>
          <w:highlight w:val="none"/>
        </w:rPr>
        <w:t>承包人提交项目管理机构及施工现场管理人员安排报告（格式见合同附件</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）的期限：</w:t>
      </w:r>
      <w:r>
        <w:rPr>
          <w:rFonts w:hint="eastAsia" w:ascii="宋体" w:hAnsi="宋体" w:eastAsia="宋体" w:cs="宋体"/>
          <w:color w:val="auto"/>
          <w:sz w:val="24"/>
          <w:szCs w:val="24"/>
          <w:highlight w:val="none"/>
          <w:u w:val="single"/>
          <w:lang w:val="en-US" w:eastAsia="zh-CN"/>
        </w:rPr>
        <w:t>按</w:t>
      </w:r>
      <w:r>
        <w:rPr>
          <w:rFonts w:hint="eastAsia" w:ascii="宋体" w:hAnsi="宋体" w:eastAsia="宋体" w:cs="宋体"/>
          <w:color w:val="auto"/>
          <w:sz w:val="24"/>
          <w:szCs w:val="24"/>
          <w:highlight w:val="none"/>
          <w:u w:val="single"/>
        </w:rPr>
        <w:t>通用条款执行，无特殊约定</w:t>
      </w:r>
      <w:r>
        <w:rPr>
          <w:rFonts w:hint="eastAsia" w:ascii="宋体" w:hAnsi="宋体" w:eastAsia="宋体" w:cs="宋体"/>
          <w:color w:val="auto"/>
          <w:sz w:val="24"/>
          <w:szCs w:val="24"/>
          <w:highlight w:val="none"/>
        </w:rPr>
        <w:t>。</w:t>
      </w:r>
    </w:p>
    <w:p w14:paraId="07F7D98B">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3.3.3</w:t>
      </w:r>
      <w:r>
        <w:rPr>
          <w:rFonts w:hint="eastAsia" w:ascii="宋体" w:hAnsi="宋体" w:eastAsia="宋体" w:cs="宋体"/>
          <w:color w:val="auto"/>
          <w:sz w:val="24"/>
          <w:szCs w:val="24"/>
          <w:highlight w:val="none"/>
        </w:rPr>
        <w:t>承包人无正当理由拒绝撤换主要施工管理人员的违约责任：</w:t>
      </w:r>
      <w:r>
        <w:rPr>
          <w:rFonts w:hint="eastAsia" w:ascii="宋体" w:hAnsi="宋体" w:eastAsia="宋体" w:cs="宋体"/>
          <w:color w:val="auto"/>
          <w:sz w:val="24"/>
          <w:szCs w:val="24"/>
          <w:highlight w:val="none"/>
          <w:u w:val="single"/>
        </w:rPr>
        <w:t>因承包人主要施工管理人员不称职，发包人要求调换而无正当理由拒绝撤换或未及时调换的，视为承包人违约，必须向发包人交纳处罚金，处罚标准：技术负责人</w:t>
      </w:r>
      <w:r>
        <w:rPr>
          <w:rFonts w:hint="eastAsia" w:ascii="宋体" w:hAnsi="宋体" w:eastAsia="宋体" w:cs="宋体"/>
          <w:color w:val="auto"/>
          <w:sz w:val="24"/>
          <w:szCs w:val="24"/>
          <w:highlight w:val="none"/>
          <w:u w:val="single"/>
          <w:lang w:val="en-US" w:eastAsia="zh-CN"/>
        </w:rPr>
        <w:t>2000</w:t>
      </w:r>
      <w:r>
        <w:rPr>
          <w:rFonts w:hint="eastAsia" w:ascii="宋体" w:hAnsi="宋体" w:eastAsia="宋体" w:cs="宋体"/>
          <w:color w:val="auto"/>
          <w:sz w:val="24"/>
          <w:szCs w:val="24"/>
          <w:highlight w:val="none"/>
          <w:u w:val="single"/>
        </w:rPr>
        <w:t>元/人•次（人民币）；专业工程师</w:t>
      </w:r>
      <w:r>
        <w:rPr>
          <w:rFonts w:hint="eastAsia" w:ascii="宋体" w:hAnsi="宋体" w:eastAsia="宋体" w:cs="宋体"/>
          <w:color w:val="auto"/>
          <w:sz w:val="24"/>
          <w:szCs w:val="24"/>
          <w:highlight w:val="none"/>
          <w:u w:val="single"/>
          <w:lang w:val="en-US" w:eastAsia="zh-CN"/>
        </w:rPr>
        <w:t>1000</w:t>
      </w:r>
      <w:r>
        <w:rPr>
          <w:rFonts w:hint="eastAsia" w:ascii="宋体" w:hAnsi="宋体" w:eastAsia="宋体" w:cs="宋体"/>
          <w:color w:val="auto"/>
          <w:sz w:val="24"/>
          <w:szCs w:val="24"/>
          <w:highlight w:val="none"/>
          <w:u w:val="single"/>
        </w:rPr>
        <w:t>元/人•次（人民币）</w:t>
      </w:r>
      <w:r>
        <w:rPr>
          <w:rFonts w:hint="eastAsia" w:ascii="宋体" w:hAnsi="宋体" w:eastAsia="宋体" w:cs="宋体"/>
          <w:color w:val="auto"/>
          <w:sz w:val="24"/>
          <w:szCs w:val="24"/>
          <w:highlight w:val="none"/>
        </w:rPr>
        <w:t>。</w:t>
      </w:r>
    </w:p>
    <w:p w14:paraId="1623D1EB">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3.3.4</w:t>
      </w:r>
      <w:r>
        <w:rPr>
          <w:rFonts w:hint="eastAsia" w:ascii="宋体" w:hAnsi="宋体" w:eastAsia="宋体" w:cs="宋体"/>
          <w:color w:val="auto"/>
          <w:sz w:val="24"/>
          <w:szCs w:val="24"/>
          <w:highlight w:val="none"/>
        </w:rPr>
        <w:t>承包人主要施工管理人员离开施工现场的批准要求：</w:t>
      </w:r>
      <w:r>
        <w:rPr>
          <w:rFonts w:hint="eastAsia" w:ascii="宋体" w:hAnsi="宋体" w:eastAsia="宋体" w:cs="宋体"/>
          <w:color w:val="auto"/>
          <w:sz w:val="24"/>
          <w:szCs w:val="24"/>
          <w:highlight w:val="none"/>
          <w:u w:val="single"/>
        </w:rPr>
        <w:t>须经发包人同意</w:t>
      </w:r>
      <w:r>
        <w:rPr>
          <w:rFonts w:hint="eastAsia" w:ascii="宋体" w:hAnsi="宋体" w:eastAsia="宋体" w:cs="宋体"/>
          <w:color w:val="auto"/>
          <w:sz w:val="24"/>
          <w:szCs w:val="24"/>
          <w:highlight w:val="none"/>
        </w:rPr>
        <w:t>。</w:t>
      </w:r>
    </w:p>
    <w:p w14:paraId="1F0EF3A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u w:val="none"/>
          <w:lang w:val="en-US" w:eastAsia="zh-CN" w:bidi="ar-SA"/>
        </w:rPr>
        <w:t>3.3.5 承包人擅自更换主要施工管理人员的违约责任：</w:t>
      </w:r>
      <w:r>
        <w:rPr>
          <w:rFonts w:hint="eastAsia" w:ascii="宋体" w:hAnsi="宋体" w:eastAsia="宋体" w:cs="宋体"/>
          <w:color w:val="auto"/>
          <w:kern w:val="2"/>
          <w:sz w:val="24"/>
          <w:szCs w:val="24"/>
          <w:highlight w:val="none"/>
          <w:u w:val="single"/>
          <w:lang w:val="en-US" w:eastAsia="zh-CN" w:bidi="ar-SA"/>
        </w:rPr>
        <w:t>项目技术负责人、专职安全生产管理人员及其承诺的其它在场管理人员未经发包人书面同意不准擅自更换，擅自更换项目技术负责人处2000元/人•次（人民币）违约金；擅自更换专职安全生产管理人员处2000元/人•次（人民币）违约金；擅自更换其它在场管理人员处1000元/人•次（人民币）违约金。</w:t>
      </w:r>
    </w:p>
    <w:p w14:paraId="279C052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u w:val="none"/>
          <w:lang w:val="en-US" w:eastAsia="zh-CN" w:bidi="ar-SA"/>
        </w:rPr>
        <w:t>承包人主要施工管理人员擅自离开施工现场的违约责任：</w:t>
      </w:r>
      <w:r>
        <w:rPr>
          <w:rFonts w:hint="eastAsia" w:ascii="宋体" w:hAnsi="宋体" w:eastAsia="宋体" w:cs="宋体"/>
          <w:color w:val="auto"/>
          <w:kern w:val="2"/>
          <w:sz w:val="24"/>
          <w:szCs w:val="24"/>
          <w:highlight w:val="none"/>
          <w:u w:val="single"/>
          <w:lang w:val="en-US" w:eastAsia="zh-CN" w:bidi="ar-SA"/>
        </w:rPr>
        <w:t>未经发包人同意，项目技术负责人擅自离岗的，视为承包人违约，发包人有权处违约金500元/人•次（人民币）；未经发包人同意，专职安全生产管理人员擅自离岗的，视为承包人违约，发包人有权处违约金500元/人•次（人民币）；其它在场管理人员擅自离岗的，视为承包人违约，发包人有权处违约金500元/人•次（人民币）。</w:t>
      </w:r>
    </w:p>
    <w:p w14:paraId="10F247E0">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3.5分包</w:t>
      </w:r>
    </w:p>
    <w:p w14:paraId="5A028E77">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3.5.1</w:t>
      </w:r>
      <w:r>
        <w:rPr>
          <w:rFonts w:hint="eastAsia" w:ascii="宋体" w:hAnsi="宋体" w:eastAsia="宋体" w:cs="宋体"/>
          <w:color w:val="auto"/>
          <w:sz w:val="24"/>
          <w:szCs w:val="24"/>
          <w:highlight w:val="none"/>
        </w:rPr>
        <w:t>分包的一般约定</w:t>
      </w:r>
    </w:p>
    <w:p w14:paraId="53697F83">
      <w:pPr>
        <w:pStyle w:val="9"/>
        <w:keepNext w:val="0"/>
        <w:keepLines w:val="0"/>
        <w:pageBreakBefore w:val="0"/>
        <w:widowControl w:val="0"/>
        <w:tabs>
          <w:tab w:val="left" w:pos="4109"/>
          <w:tab w:val="left" w:pos="5370"/>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禁止分包的工程包括：</w:t>
      </w:r>
      <w:r>
        <w:rPr>
          <w:rFonts w:hint="eastAsia" w:ascii="宋体" w:hAnsi="宋体" w:eastAsia="宋体" w:cs="宋体"/>
          <w:color w:val="auto"/>
          <w:sz w:val="24"/>
          <w:szCs w:val="24"/>
          <w:highlight w:val="none"/>
          <w:u w:val="single"/>
        </w:rPr>
        <w:t>所有工程</w:t>
      </w:r>
      <w:r>
        <w:rPr>
          <w:rFonts w:hint="eastAsia" w:ascii="宋体" w:hAnsi="宋体" w:eastAsia="宋体" w:cs="宋体"/>
          <w:color w:val="auto"/>
          <w:sz w:val="24"/>
          <w:szCs w:val="24"/>
          <w:highlight w:val="none"/>
        </w:rPr>
        <w:t>。</w:t>
      </w:r>
    </w:p>
    <w:p w14:paraId="5C531B17">
      <w:pPr>
        <w:pStyle w:val="9"/>
        <w:keepNext w:val="0"/>
        <w:keepLines w:val="0"/>
        <w:pageBreakBefore w:val="0"/>
        <w:widowControl w:val="0"/>
        <w:tabs>
          <w:tab w:val="left" w:pos="5055"/>
          <w:tab w:val="left" w:pos="6630"/>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主体结构、关键性工作的范围：</w:t>
      </w:r>
      <w:r>
        <w:rPr>
          <w:rFonts w:hint="eastAsia" w:ascii="宋体" w:hAnsi="宋体" w:eastAsia="宋体" w:cs="宋体"/>
          <w:color w:val="auto"/>
          <w:sz w:val="24"/>
          <w:szCs w:val="24"/>
          <w:highlight w:val="none"/>
          <w:u w:val="single"/>
        </w:rPr>
        <w:t>所有工作</w:t>
      </w:r>
      <w:r>
        <w:rPr>
          <w:rFonts w:hint="eastAsia" w:ascii="宋体" w:hAnsi="宋体" w:eastAsia="宋体" w:cs="宋体"/>
          <w:color w:val="auto"/>
          <w:sz w:val="24"/>
          <w:szCs w:val="24"/>
          <w:highlight w:val="none"/>
        </w:rPr>
        <w:t>。</w:t>
      </w:r>
    </w:p>
    <w:p w14:paraId="7EABB2E0">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3.5.2</w:t>
      </w:r>
      <w:r>
        <w:rPr>
          <w:rFonts w:hint="eastAsia" w:ascii="宋体" w:hAnsi="宋体" w:eastAsia="宋体" w:cs="宋体"/>
          <w:color w:val="auto"/>
          <w:sz w:val="24"/>
          <w:szCs w:val="24"/>
          <w:highlight w:val="none"/>
        </w:rPr>
        <w:t>分包的确定</w:t>
      </w:r>
    </w:p>
    <w:p w14:paraId="62F7549E">
      <w:pPr>
        <w:pStyle w:val="9"/>
        <w:keepNext w:val="0"/>
        <w:keepLines w:val="0"/>
        <w:pageBreakBefore w:val="0"/>
        <w:widowControl w:val="0"/>
        <w:tabs>
          <w:tab w:val="left" w:pos="4635"/>
        </w:tabs>
        <w:kinsoku/>
        <w:wordWrap/>
        <w:overflowPunct/>
        <w:topLinePunct w:val="0"/>
        <w:autoSpaceDE/>
        <w:autoSpaceDN/>
        <w:bidi w:val="0"/>
        <w:adjustRightInd/>
        <w:snapToGrid/>
        <w:spacing w:after="0"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允许分包的专业工程包括：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 xml:space="preserve">无    </w:t>
      </w:r>
      <w:r>
        <w:rPr>
          <w:rFonts w:hint="eastAsia" w:ascii="宋体" w:hAnsi="宋体" w:eastAsia="宋体" w:cs="宋体"/>
          <w:color w:val="auto"/>
          <w:sz w:val="24"/>
          <w:szCs w:val="24"/>
          <w:highlight w:val="none"/>
        </w:rPr>
        <w:t>。</w:t>
      </w:r>
    </w:p>
    <w:p w14:paraId="3A942316">
      <w:pPr>
        <w:pStyle w:val="9"/>
        <w:keepNext w:val="0"/>
        <w:keepLines w:val="0"/>
        <w:pageBreakBefore w:val="0"/>
        <w:widowControl w:val="0"/>
        <w:tabs>
          <w:tab w:val="left" w:pos="4635"/>
        </w:tabs>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其他关于分包的约定：</w:t>
      </w:r>
    </w:p>
    <w:p w14:paraId="044D3D72">
      <w:pPr>
        <w:pStyle w:val="24"/>
        <w:keepNext w:val="0"/>
        <w:keepLines w:val="0"/>
        <w:pageBreakBefore w:val="0"/>
        <w:widowControl w:val="0"/>
        <w:tabs>
          <w:tab w:val="left" w:pos="1907"/>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6。</w:t>
      </w:r>
    </w:p>
    <w:p w14:paraId="657B42F9">
      <w:pPr>
        <w:pStyle w:val="24"/>
        <w:keepNext w:val="0"/>
        <w:keepLines w:val="0"/>
        <w:pageBreakBefore w:val="0"/>
        <w:widowControl w:val="0"/>
        <w:tabs>
          <w:tab w:val="left" w:pos="1905"/>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）在相关分包合同签订并报送有关建设行政主管部门备案后7天内，承包人应当将一份副本提交给监理人，承包人应保障分包工作不得再次分包。</w:t>
      </w:r>
    </w:p>
    <w:p w14:paraId="2F8538F7">
      <w:pPr>
        <w:pStyle w:val="24"/>
        <w:keepNext w:val="0"/>
        <w:keepLines w:val="0"/>
        <w:pageBreakBefore w:val="0"/>
        <w:widowControl w:val="0"/>
        <w:tabs>
          <w:tab w:val="left" w:pos="1905"/>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rPr>
        <w:t>）未经承包人和监理人审批同意的分包工程和分包人，承包人有权拒绝验收分包工程和支付相应款项，由此引起的发包人费用增加和(或)延误的工期由</w:t>
      </w:r>
      <w:r>
        <w:rPr>
          <w:rFonts w:hint="eastAsia" w:ascii="宋体" w:hAnsi="宋体" w:eastAsia="宋体" w:cs="宋体"/>
          <w:color w:val="auto"/>
          <w:sz w:val="24"/>
          <w:szCs w:val="24"/>
          <w:highlight w:val="none"/>
          <w:lang w:val="en-US" w:eastAsia="zh-CN"/>
        </w:rPr>
        <w:t>承包</w:t>
      </w:r>
      <w:r>
        <w:rPr>
          <w:rFonts w:hint="eastAsia" w:ascii="宋体" w:hAnsi="宋体" w:eastAsia="宋体" w:cs="宋体"/>
          <w:color w:val="auto"/>
          <w:sz w:val="24"/>
          <w:szCs w:val="24"/>
          <w:highlight w:val="none"/>
        </w:rPr>
        <w:t>人承担。</w:t>
      </w:r>
    </w:p>
    <w:p w14:paraId="75C947CD">
      <w:pPr>
        <w:pStyle w:val="24"/>
        <w:keepNext w:val="0"/>
        <w:keepLines w:val="0"/>
        <w:pageBreakBefore w:val="0"/>
        <w:widowControl w:val="0"/>
        <w:tabs>
          <w:tab w:val="left" w:pos="1859"/>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4</w:t>
      </w:r>
      <w:r>
        <w:rPr>
          <w:rFonts w:hint="eastAsia" w:ascii="宋体" w:hAnsi="宋体" w:eastAsia="宋体" w:cs="宋体"/>
          <w:color w:val="auto"/>
          <w:sz w:val="24"/>
          <w:szCs w:val="24"/>
          <w:highlight w:val="none"/>
        </w:rPr>
        <w:t>）承包人有以下情况之一者，发包人有权解除合同，并视情况扣除其履约保证金：</w:t>
      </w:r>
    </w:p>
    <w:p w14:paraId="7D71D78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①个人承包工程，包括本人单位及外单位人员承包，发包人不承认其个人拥有任何资质等级及营业许可资格。没收全部履约保证金。</w:t>
      </w:r>
    </w:p>
    <w:p w14:paraId="1F5AC0E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②几个人联合承包工程，就地组织暗分包队伍，不具备完成本工程的技术、机械能力，被发包人判定为没有能力履行的承包人。没收全部履约保证金。</w:t>
      </w:r>
    </w:p>
    <w:p w14:paraId="2BB161D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③就地转包全部的工程，以谋取高额转让费、管理费的承包人。没收全部履约保证金。</w:t>
      </w:r>
    </w:p>
    <w:p w14:paraId="4A32861C">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14:paraId="0134F136">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3.5.4 分包合同价款</w:t>
      </w:r>
    </w:p>
    <w:p w14:paraId="58DF00B5">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关于分包合同价款支付的约定：</w:t>
      </w:r>
      <w:r>
        <w:rPr>
          <w:rFonts w:hint="eastAsia" w:ascii="宋体" w:hAnsi="宋体" w:eastAsia="宋体" w:cs="宋体"/>
          <w:color w:val="auto"/>
          <w:sz w:val="24"/>
          <w:szCs w:val="24"/>
          <w:highlight w:val="none"/>
          <w:u w:val="single"/>
          <w:lang w:val="en-US" w:eastAsia="zh-CN"/>
        </w:rPr>
        <w:t>无</w:t>
      </w:r>
      <w:r>
        <w:rPr>
          <w:rFonts w:hint="eastAsia" w:ascii="宋体" w:hAnsi="宋体" w:eastAsia="宋体" w:cs="宋体"/>
          <w:color w:val="auto"/>
          <w:sz w:val="24"/>
          <w:szCs w:val="24"/>
          <w:highlight w:val="none"/>
          <w:u w:val="none"/>
          <w:lang w:val="en-US" w:eastAsia="zh-CN"/>
        </w:rPr>
        <w:t>。</w:t>
      </w:r>
    </w:p>
    <w:p w14:paraId="4C539582">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3.6工程照管与成品、半成品保护</w:t>
      </w:r>
    </w:p>
    <w:p w14:paraId="4E8064E3">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承包人负责照管工程及工程相关的材料、工程设备的起始时间：</w:t>
      </w:r>
      <w:r>
        <w:rPr>
          <w:rFonts w:hint="eastAsia" w:ascii="宋体" w:hAnsi="宋体" w:eastAsia="宋体" w:cs="宋体"/>
          <w:color w:val="auto"/>
          <w:sz w:val="24"/>
          <w:szCs w:val="24"/>
          <w:highlight w:val="none"/>
          <w:u w:val="single"/>
        </w:rPr>
        <w:t>按通用条款执行</w:t>
      </w:r>
      <w:r>
        <w:rPr>
          <w:rFonts w:hint="eastAsia" w:ascii="宋体" w:hAnsi="宋体" w:eastAsia="宋体" w:cs="宋体"/>
          <w:color w:val="auto"/>
          <w:sz w:val="24"/>
          <w:szCs w:val="24"/>
          <w:highlight w:val="none"/>
        </w:rPr>
        <w:t>。</w:t>
      </w:r>
    </w:p>
    <w:p w14:paraId="593C93CE">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3.7履约保证金</w:t>
      </w:r>
    </w:p>
    <w:p w14:paraId="30005BB1">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本项目不需要缴纳履约保证金</w:t>
      </w:r>
    </w:p>
    <w:p w14:paraId="3FE3CD8B">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4.监理人</w:t>
      </w:r>
    </w:p>
    <w:p w14:paraId="3CDBE03C">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4.1监理人的一般规定</w:t>
      </w:r>
    </w:p>
    <w:p w14:paraId="68C020BD">
      <w:pPr>
        <w:pStyle w:val="9"/>
        <w:keepNext w:val="0"/>
        <w:keepLines w:val="0"/>
        <w:pageBreakBefore w:val="0"/>
        <w:widowControl w:val="0"/>
        <w:tabs>
          <w:tab w:val="left" w:pos="4424"/>
          <w:tab w:val="left" w:pos="6630"/>
          <w:tab w:val="left" w:pos="6733"/>
        </w:tabs>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关于监理人的监理内容：</w:t>
      </w:r>
      <w:r>
        <w:rPr>
          <w:rFonts w:hint="eastAsia" w:ascii="宋体" w:hAnsi="宋体" w:eastAsia="宋体" w:cs="宋体"/>
          <w:color w:val="auto"/>
          <w:sz w:val="24"/>
          <w:szCs w:val="24"/>
          <w:highlight w:val="none"/>
          <w:u w:val="single"/>
        </w:rPr>
        <w:t>按监理合同约定</w:t>
      </w:r>
      <w:r>
        <w:rPr>
          <w:rFonts w:hint="eastAsia" w:ascii="宋体" w:hAnsi="宋体" w:eastAsia="宋体" w:cs="宋体"/>
          <w:color w:val="auto"/>
          <w:sz w:val="24"/>
          <w:szCs w:val="24"/>
          <w:highlight w:val="none"/>
        </w:rPr>
        <w:t>。</w:t>
      </w:r>
    </w:p>
    <w:p w14:paraId="26D113E6">
      <w:pPr>
        <w:pStyle w:val="9"/>
        <w:keepNext w:val="0"/>
        <w:keepLines w:val="0"/>
        <w:pageBreakBefore w:val="0"/>
        <w:widowControl w:val="0"/>
        <w:tabs>
          <w:tab w:val="left" w:pos="4424"/>
          <w:tab w:val="left" w:pos="6630"/>
          <w:tab w:val="left" w:pos="6733"/>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关于监理人的监理权限：</w:t>
      </w:r>
      <w:r>
        <w:rPr>
          <w:rFonts w:hint="eastAsia" w:ascii="宋体" w:hAnsi="宋体" w:eastAsia="宋体" w:cs="宋体"/>
          <w:color w:val="auto"/>
          <w:sz w:val="24"/>
          <w:szCs w:val="24"/>
          <w:highlight w:val="none"/>
          <w:u w:val="single"/>
        </w:rPr>
        <w:t>按监理合同约定</w:t>
      </w:r>
      <w:r>
        <w:rPr>
          <w:rFonts w:hint="eastAsia" w:ascii="宋体" w:hAnsi="宋体" w:eastAsia="宋体" w:cs="宋体"/>
          <w:color w:val="auto"/>
          <w:sz w:val="24"/>
          <w:szCs w:val="24"/>
          <w:highlight w:val="none"/>
        </w:rPr>
        <w:t>。</w:t>
      </w:r>
    </w:p>
    <w:p w14:paraId="4A6B3231">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关于监理人在施工现场的办公场所、生活场所的提供和费用承担的约定：</w:t>
      </w:r>
      <w:r>
        <w:rPr>
          <w:rFonts w:hint="eastAsia" w:ascii="宋体" w:hAnsi="宋体" w:eastAsia="宋体" w:cs="宋体"/>
          <w:color w:val="auto"/>
          <w:sz w:val="24"/>
          <w:szCs w:val="24"/>
          <w:highlight w:val="none"/>
          <w:u w:val="single"/>
        </w:rPr>
        <w:t>按通用条款执行</w:t>
      </w:r>
      <w:r>
        <w:rPr>
          <w:rFonts w:hint="eastAsia" w:ascii="宋体" w:hAnsi="宋体" w:eastAsia="宋体" w:cs="宋体"/>
          <w:color w:val="auto"/>
          <w:sz w:val="24"/>
          <w:szCs w:val="24"/>
          <w:highlight w:val="none"/>
        </w:rPr>
        <w:t>。</w:t>
      </w:r>
    </w:p>
    <w:p w14:paraId="2274726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4.2监理人员</w:t>
      </w:r>
    </w:p>
    <w:p w14:paraId="2E3BB4FA">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总监理工程师：</w:t>
      </w:r>
    </w:p>
    <w:p w14:paraId="53E3519D">
      <w:pPr>
        <w:pStyle w:val="9"/>
        <w:keepNext w:val="0"/>
        <w:keepLines w:val="0"/>
        <w:pageBreakBefore w:val="0"/>
        <w:widowControl w:val="0"/>
        <w:tabs>
          <w:tab w:val="left" w:pos="2009"/>
          <w:tab w:val="left" w:pos="2849"/>
          <w:tab w:val="left" w:pos="4320"/>
          <w:tab w:val="left" w:pos="4426"/>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bidi="ar-SA"/>
        </w:rPr>
        <w:drawing>
          <wp:anchor distT="0" distB="0" distL="114300" distR="114300" simplePos="0" relativeHeight="251719680" behindDoc="1" locked="0" layoutInCell="1" allowOverlap="1">
            <wp:simplePos x="0" y="0"/>
            <wp:positionH relativeFrom="page">
              <wp:posOffset>2075815</wp:posOffset>
            </wp:positionH>
            <wp:positionV relativeFrom="paragraph">
              <wp:posOffset>105410</wp:posOffset>
            </wp:positionV>
            <wp:extent cx="400050" cy="133985"/>
            <wp:effectExtent l="0" t="0" r="0" b="0"/>
            <wp:wrapNone/>
            <wp:docPr id="71"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8"/>
                    <pic:cNvPicPr>
                      <a:picLocks noChangeAspect="1"/>
                    </pic:cNvPicPr>
                  </pic:nvPicPr>
                  <pic:blipFill>
                    <a:blip r:embed="rId39"/>
                    <a:stretch>
                      <a:fillRect/>
                    </a:stretch>
                  </pic:blipFill>
                  <pic:spPr>
                    <a:xfrm>
                      <a:off x="0" y="0"/>
                      <a:ext cx="40005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20704" behindDoc="1" locked="0" layoutInCell="1" allowOverlap="1">
            <wp:simplePos x="0" y="0"/>
            <wp:positionH relativeFrom="page">
              <wp:posOffset>3010535</wp:posOffset>
            </wp:positionH>
            <wp:positionV relativeFrom="paragraph">
              <wp:posOffset>105410</wp:posOffset>
            </wp:positionV>
            <wp:extent cx="445135" cy="133985"/>
            <wp:effectExtent l="0" t="0" r="0" b="0"/>
            <wp:wrapNone/>
            <wp:docPr id="55"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47.png"/>
                    <pic:cNvPicPr>
                      <a:picLocks noChangeAspect="1"/>
                    </pic:cNvPicPr>
                  </pic:nvPicPr>
                  <pic:blipFill>
                    <a:blip r:embed="rId51"/>
                    <a:stretch>
                      <a:fillRect/>
                    </a:stretch>
                  </pic:blipFill>
                  <pic:spPr>
                    <a:xfrm>
                      <a:off x="0" y="0"/>
                      <a:ext cx="445135"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21728" behindDoc="1" locked="0" layoutInCell="1" allowOverlap="1">
            <wp:simplePos x="0" y="0"/>
            <wp:positionH relativeFrom="page">
              <wp:posOffset>2075815</wp:posOffset>
            </wp:positionH>
            <wp:positionV relativeFrom="paragraph">
              <wp:posOffset>364490</wp:posOffset>
            </wp:positionV>
            <wp:extent cx="400050" cy="133985"/>
            <wp:effectExtent l="0" t="0" r="0" b="0"/>
            <wp:wrapNone/>
            <wp:docPr id="57"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80"/>
                    <pic:cNvPicPr>
                      <a:picLocks noChangeAspect="1"/>
                    </pic:cNvPicPr>
                  </pic:nvPicPr>
                  <pic:blipFill>
                    <a:blip r:embed="rId39"/>
                    <a:stretch>
                      <a:fillRect/>
                    </a:stretch>
                  </pic:blipFill>
                  <pic:spPr>
                    <a:xfrm>
                      <a:off x="0" y="0"/>
                      <a:ext cx="40005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22752" behindDoc="1" locked="0" layoutInCell="1" allowOverlap="1">
            <wp:simplePos x="0" y="0"/>
            <wp:positionH relativeFrom="page">
              <wp:posOffset>3010535</wp:posOffset>
            </wp:positionH>
            <wp:positionV relativeFrom="paragraph">
              <wp:posOffset>364490</wp:posOffset>
            </wp:positionV>
            <wp:extent cx="400050" cy="133985"/>
            <wp:effectExtent l="0" t="0" r="0" b="0"/>
            <wp:wrapNone/>
            <wp:docPr id="62"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81"/>
                    <pic:cNvPicPr>
                      <a:picLocks noChangeAspect="1"/>
                    </pic:cNvPicPr>
                  </pic:nvPicPr>
                  <pic:blipFill>
                    <a:blip r:embed="rId39"/>
                    <a:stretch>
                      <a:fillRect/>
                    </a:stretch>
                  </pic:blipFill>
                  <pic:spPr>
                    <a:xfrm>
                      <a:off x="0" y="0"/>
                      <a:ext cx="400050" cy="133985"/>
                    </a:xfrm>
                    <a:prstGeom prst="rect">
                      <a:avLst/>
                    </a:prstGeom>
                    <a:noFill/>
                    <a:ln>
                      <a:noFill/>
                    </a:ln>
                  </pic:spPr>
                </pic:pic>
              </a:graphicData>
            </a:graphic>
          </wp:anchor>
        </w:drawing>
      </w:r>
      <w:r>
        <w:rPr>
          <w:rFonts w:hint="eastAsia" w:ascii="宋体" w:hAnsi="宋体" w:eastAsia="宋体" w:cs="宋体"/>
          <w:color w:val="auto"/>
          <w:sz w:val="24"/>
          <w:szCs w:val="24"/>
          <w:highlight w:val="none"/>
        </w:rPr>
        <w:t>姓</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44B8F45F">
      <w:pPr>
        <w:pStyle w:val="9"/>
        <w:keepNext w:val="0"/>
        <w:keepLines w:val="0"/>
        <w:pageBreakBefore w:val="0"/>
        <w:widowControl w:val="0"/>
        <w:tabs>
          <w:tab w:val="left" w:pos="2009"/>
          <w:tab w:val="left" w:pos="2849"/>
          <w:tab w:val="left" w:pos="4320"/>
          <w:tab w:val="left" w:pos="4426"/>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7D68708F">
      <w:pPr>
        <w:pStyle w:val="9"/>
        <w:keepNext w:val="0"/>
        <w:keepLines w:val="0"/>
        <w:pageBreakBefore w:val="0"/>
        <w:widowControl w:val="0"/>
        <w:tabs>
          <w:tab w:val="left" w:pos="2849"/>
          <w:tab w:val="left" w:pos="4426"/>
          <w:tab w:val="left" w:pos="5581"/>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bidi="ar-SA"/>
        </w:rPr>
        <w:drawing>
          <wp:anchor distT="0" distB="0" distL="114300" distR="114300" simplePos="0" relativeHeight="251723776" behindDoc="1" locked="0" layoutInCell="1" allowOverlap="1">
            <wp:simplePos x="0" y="0"/>
            <wp:positionH relativeFrom="page">
              <wp:posOffset>3144520</wp:posOffset>
            </wp:positionH>
            <wp:positionV relativeFrom="paragraph">
              <wp:posOffset>17145</wp:posOffset>
            </wp:positionV>
            <wp:extent cx="265430" cy="133985"/>
            <wp:effectExtent l="0" t="0" r="0" b="0"/>
            <wp:wrapNone/>
            <wp:docPr id="61"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29.png"/>
                    <pic:cNvPicPr>
                      <a:picLocks noChangeAspect="1"/>
                    </pic:cNvPicPr>
                  </pic:nvPicPr>
                  <pic:blipFill>
                    <a:blip r:embed="rId35"/>
                    <a:stretch>
                      <a:fillRect/>
                    </a:stretch>
                  </pic:blipFill>
                  <pic:spPr>
                    <a:xfrm>
                      <a:off x="0" y="0"/>
                      <a:ext cx="26543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24800" behindDoc="1" locked="0" layoutInCell="1" allowOverlap="1">
            <wp:simplePos x="0" y="0"/>
            <wp:positionH relativeFrom="page">
              <wp:posOffset>3944620</wp:posOffset>
            </wp:positionH>
            <wp:positionV relativeFrom="paragraph">
              <wp:posOffset>17145</wp:posOffset>
            </wp:positionV>
            <wp:extent cx="265430" cy="133985"/>
            <wp:effectExtent l="0" t="0" r="0" b="0"/>
            <wp:wrapNone/>
            <wp:docPr id="6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83"/>
                    <pic:cNvPicPr>
                      <a:picLocks noChangeAspect="1"/>
                    </pic:cNvPicPr>
                  </pic:nvPicPr>
                  <pic:blipFill>
                    <a:blip r:embed="rId35"/>
                    <a:stretch>
                      <a:fillRect/>
                    </a:stretch>
                  </pic:blipFill>
                  <pic:spPr>
                    <a:xfrm>
                      <a:off x="0" y="0"/>
                      <a:ext cx="26543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25824" behindDoc="1" locked="0" layoutInCell="1" allowOverlap="1">
            <wp:simplePos x="0" y="0"/>
            <wp:positionH relativeFrom="page">
              <wp:posOffset>2075815</wp:posOffset>
            </wp:positionH>
            <wp:positionV relativeFrom="paragraph">
              <wp:posOffset>278130</wp:posOffset>
            </wp:positionV>
            <wp:extent cx="400050" cy="133985"/>
            <wp:effectExtent l="0" t="0" r="0" b="0"/>
            <wp:wrapNone/>
            <wp:docPr id="6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84"/>
                    <pic:cNvPicPr>
                      <a:picLocks noChangeAspect="1"/>
                    </pic:cNvPicPr>
                  </pic:nvPicPr>
                  <pic:blipFill>
                    <a:blip r:embed="rId39"/>
                    <a:stretch>
                      <a:fillRect/>
                    </a:stretch>
                  </pic:blipFill>
                  <pic:spPr>
                    <a:xfrm>
                      <a:off x="0" y="0"/>
                      <a:ext cx="40005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26848" behindDoc="1" locked="0" layoutInCell="1" allowOverlap="1">
            <wp:simplePos x="0" y="0"/>
            <wp:positionH relativeFrom="page">
              <wp:posOffset>3010535</wp:posOffset>
            </wp:positionH>
            <wp:positionV relativeFrom="paragraph">
              <wp:posOffset>278130</wp:posOffset>
            </wp:positionV>
            <wp:extent cx="445135" cy="133985"/>
            <wp:effectExtent l="0" t="0" r="0" b="0"/>
            <wp:wrapNone/>
            <wp:docPr id="74"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85"/>
                    <pic:cNvPicPr>
                      <a:picLocks noChangeAspect="1"/>
                    </pic:cNvPicPr>
                  </pic:nvPicPr>
                  <pic:blipFill>
                    <a:blip r:embed="rId51"/>
                    <a:stretch>
                      <a:fillRect/>
                    </a:stretch>
                  </pic:blipFill>
                  <pic:spPr>
                    <a:xfrm>
                      <a:off x="0" y="0"/>
                      <a:ext cx="445135" cy="133985"/>
                    </a:xfrm>
                    <a:prstGeom prst="rect">
                      <a:avLst/>
                    </a:prstGeom>
                    <a:noFill/>
                    <a:ln>
                      <a:noFill/>
                    </a:ln>
                  </pic:spPr>
                </pic:pic>
              </a:graphicData>
            </a:graphic>
          </wp:anchor>
        </w:drawing>
      </w:r>
      <w:r>
        <w:rPr>
          <w:rFonts w:hint="eastAsia" w:ascii="宋体" w:hAnsi="宋体" w:eastAsia="宋体" w:cs="宋体"/>
          <w:color w:val="auto"/>
          <w:sz w:val="24"/>
          <w:szCs w:val="24"/>
          <w:highlight w:val="none"/>
        </w:rPr>
        <w:t>监理工程师执业资格证书号：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 xml:space="preserve">； </w:t>
      </w:r>
    </w:p>
    <w:p w14:paraId="1CB82F11">
      <w:pPr>
        <w:pStyle w:val="9"/>
        <w:keepNext w:val="0"/>
        <w:keepLines w:val="0"/>
        <w:pageBreakBefore w:val="0"/>
        <w:widowControl w:val="0"/>
        <w:tabs>
          <w:tab w:val="left" w:pos="2849"/>
          <w:tab w:val="left" w:pos="4426"/>
          <w:tab w:val="left" w:pos="5581"/>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61A597A8">
      <w:pPr>
        <w:pStyle w:val="9"/>
        <w:keepNext w:val="0"/>
        <w:keepLines w:val="0"/>
        <w:pageBreakBefore w:val="0"/>
        <w:widowControl w:val="0"/>
        <w:tabs>
          <w:tab w:val="left" w:pos="2849"/>
          <w:tab w:val="left" w:pos="4426"/>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bidi="ar-SA"/>
        </w:rPr>
        <w:drawing>
          <wp:anchor distT="0" distB="0" distL="114300" distR="114300" simplePos="0" relativeHeight="251727872" behindDoc="1" locked="0" layoutInCell="1" allowOverlap="1">
            <wp:simplePos x="0" y="0"/>
            <wp:positionH relativeFrom="page">
              <wp:posOffset>2075815</wp:posOffset>
            </wp:positionH>
            <wp:positionV relativeFrom="paragraph">
              <wp:posOffset>17145</wp:posOffset>
            </wp:positionV>
            <wp:extent cx="400050" cy="133985"/>
            <wp:effectExtent l="0" t="0" r="0" b="0"/>
            <wp:wrapNone/>
            <wp:docPr id="75"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86"/>
                    <pic:cNvPicPr>
                      <a:picLocks noChangeAspect="1"/>
                    </pic:cNvPicPr>
                  </pic:nvPicPr>
                  <pic:blipFill>
                    <a:blip r:embed="rId39"/>
                    <a:stretch>
                      <a:fillRect/>
                    </a:stretch>
                  </pic:blipFill>
                  <pic:spPr>
                    <a:xfrm>
                      <a:off x="0" y="0"/>
                      <a:ext cx="40005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28896" behindDoc="1" locked="0" layoutInCell="1" allowOverlap="1">
            <wp:simplePos x="0" y="0"/>
            <wp:positionH relativeFrom="page">
              <wp:posOffset>3010535</wp:posOffset>
            </wp:positionH>
            <wp:positionV relativeFrom="paragraph">
              <wp:posOffset>17145</wp:posOffset>
            </wp:positionV>
            <wp:extent cx="445135" cy="133985"/>
            <wp:effectExtent l="0" t="0" r="0" b="0"/>
            <wp:wrapNone/>
            <wp:docPr id="73"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87"/>
                    <pic:cNvPicPr>
                      <a:picLocks noChangeAspect="1"/>
                    </pic:cNvPicPr>
                  </pic:nvPicPr>
                  <pic:blipFill>
                    <a:blip r:embed="rId51"/>
                    <a:stretch>
                      <a:fillRect/>
                    </a:stretch>
                  </pic:blipFill>
                  <pic:spPr>
                    <a:xfrm>
                      <a:off x="0" y="0"/>
                      <a:ext cx="445135"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29920" behindDoc="1" locked="0" layoutInCell="1" allowOverlap="1">
            <wp:simplePos x="0" y="0"/>
            <wp:positionH relativeFrom="page">
              <wp:posOffset>2075815</wp:posOffset>
            </wp:positionH>
            <wp:positionV relativeFrom="paragraph">
              <wp:posOffset>276225</wp:posOffset>
            </wp:positionV>
            <wp:extent cx="400050" cy="133985"/>
            <wp:effectExtent l="0" t="0" r="0" b="0"/>
            <wp:wrapNone/>
            <wp:docPr id="72"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88"/>
                    <pic:cNvPicPr>
                      <a:picLocks noChangeAspect="1"/>
                    </pic:cNvPicPr>
                  </pic:nvPicPr>
                  <pic:blipFill>
                    <a:blip r:embed="rId39"/>
                    <a:stretch>
                      <a:fillRect/>
                    </a:stretch>
                  </pic:blipFill>
                  <pic:spPr>
                    <a:xfrm>
                      <a:off x="0" y="0"/>
                      <a:ext cx="40005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30944" behindDoc="1" locked="0" layoutInCell="1" allowOverlap="1">
            <wp:simplePos x="0" y="0"/>
            <wp:positionH relativeFrom="page">
              <wp:posOffset>3010535</wp:posOffset>
            </wp:positionH>
            <wp:positionV relativeFrom="paragraph">
              <wp:posOffset>276225</wp:posOffset>
            </wp:positionV>
            <wp:extent cx="445135" cy="133985"/>
            <wp:effectExtent l="0" t="0" r="0" b="0"/>
            <wp:wrapNone/>
            <wp:docPr id="95"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89"/>
                    <pic:cNvPicPr>
                      <a:picLocks noChangeAspect="1"/>
                    </pic:cNvPicPr>
                  </pic:nvPicPr>
                  <pic:blipFill>
                    <a:blip r:embed="rId51"/>
                    <a:stretch>
                      <a:fillRect/>
                    </a:stretch>
                  </pic:blipFill>
                  <pic:spPr>
                    <a:xfrm>
                      <a:off x="0" y="0"/>
                      <a:ext cx="445135" cy="133985"/>
                    </a:xfrm>
                    <a:prstGeom prst="rect">
                      <a:avLst/>
                    </a:prstGeom>
                    <a:noFill/>
                    <a:ln>
                      <a:noFill/>
                    </a:ln>
                  </pic:spPr>
                </pic:pic>
              </a:graphicData>
            </a:graphic>
          </wp:anchor>
        </w:drawing>
      </w: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 xml:space="preserve">； </w:t>
      </w:r>
    </w:p>
    <w:p w14:paraId="134B819B">
      <w:pPr>
        <w:pStyle w:val="9"/>
        <w:keepNext w:val="0"/>
        <w:keepLines w:val="0"/>
        <w:pageBreakBefore w:val="0"/>
        <w:widowControl w:val="0"/>
        <w:tabs>
          <w:tab w:val="left" w:pos="2849"/>
          <w:tab w:val="left" w:pos="4426"/>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1A747247">
      <w:pPr>
        <w:pStyle w:val="9"/>
        <w:keepNext w:val="0"/>
        <w:keepLines w:val="0"/>
        <w:pageBreakBefore w:val="0"/>
        <w:widowControl w:val="0"/>
        <w:tabs>
          <w:tab w:val="left" w:pos="4112"/>
          <w:tab w:val="left" w:pos="5581"/>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bidi="ar-SA"/>
        </w:rPr>
        <w:drawing>
          <wp:anchor distT="0" distB="0" distL="114300" distR="114300" simplePos="0" relativeHeight="251731968" behindDoc="1" locked="0" layoutInCell="1" allowOverlap="1">
            <wp:simplePos x="0" y="0"/>
            <wp:positionH relativeFrom="page">
              <wp:posOffset>2875915</wp:posOffset>
            </wp:positionH>
            <wp:positionV relativeFrom="paragraph">
              <wp:posOffset>15875</wp:posOffset>
            </wp:positionV>
            <wp:extent cx="402590" cy="133985"/>
            <wp:effectExtent l="0" t="0" r="0" b="0"/>
            <wp:wrapNone/>
            <wp:docPr id="105"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image48.png"/>
                    <pic:cNvPicPr>
                      <a:picLocks noChangeAspect="1"/>
                    </pic:cNvPicPr>
                  </pic:nvPicPr>
                  <pic:blipFill>
                    <a:blip r:embed="rId52"/>
                    <a:stretch>
                      <a:fillRect/>
                    </a:stretch>
                  </pic:blipFill>
                  <pic:spPr>
                    <a:xfrm>
                      <a:off x="0" y="0"/>
                      <a:ext cx="402590" cy="1339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bidi="ar-SA"/>
        </w:rPr>
        <w:drawing>
          <wp:anchor distT="0" distB="0" distL="114300" distR="114300" simplePos="0" relativeHeight="251732992" behindDoc="1" locked="0" layoutInCell="1" allowOverlap="1">
            <wp:simplePos x="0" y="0"/>
            <wp:positionH relativeFrom="page">
              <wp:posOffset>3944620</wp:posOffset>
            </wp:positionH>
            <wp:positionV relativeFrom="paragraph">
              <wp:posOffset>15875</wp:posOffset>
            </wp:positionV>
            <wp:extent cx="265430" cy="133985"/>
            <wp:effectExtent l="0" t="0" r="0" b="0"/>
            <wp:wrapNone/>
            <wp:docPr id="106"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91"/>
                    <pic:cNvPicPr>
                      <a:picLocks noChangeAspect="1"/>
                    </pic:cNvPicPr>
                  </pic:nvPicPr>
                  <pic:blipFill>
                    <a:blip r:embed="rId35"/>
                    <a:stretch>
                      <a:fillRect/>
                    </a:stretch>
                  </pic:blipFill>
                  <pic:spPr>
                    <a:xfrm>
                      <a:off x="0" y="0"/>
                      <a:ext cx="265430" cy="133985"/>
                    </a:xfrm>
                    <a:prstGeom prst="rect">
                      <a:avLst/>
                    </a:prstGeom>
                    <a:noFill/>
                    <a:ln>
                      <a:noFill/>
                    </a:ln>
                  </pic:spPr>
                </pic:pic>
              </a:graphicData>
            </a:graphic>
          </wp:anchor>
        </w:drawing>
      </w:r>
      <w:r>
        <w:rPr>
          <w:rFonts w:hint="eastAsia" w:ascii="宋体" w:hAnsi="宋体" w:eastAsia="宋体" w:cs="宋体"/>
          <w:color w:val="auto"/>
          <w:sz w:val="24"/>
          <w:szCs w:val="24"/>
          <w:highlight w:val="none"/>
        </w:rPr>
        <w:t>关于监理人的其他约定：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280AD7E5">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4.4 商定或确定</w:t>
      </w:r>
    </w:p>
    <w:p w14:paraId="465AA439">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在发包人和承包人不能通过协商达成一致意见时，发包人授权监理人对以下事项进行确定：</w:t>
      </w:r>
    </w:p>
    <w:p w14:paraId="5A8F55FE">
      <w:pPr>
        <w:pStyle w:val="9"/>
        <w:keepNext w:val="0"/>
        <w:keepLines w:val="0"/>
        <w:pageBreakBefore w:val="0"/>
        <w:widowControl w:val="0"/>
        <w:tabs>
          <w:tab w:val="left" w:pos="2743"/>
          <w:tab w:val="left" w:pos="3898"/>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5CA1B676">
      <w:pPr>
        <w:pStyle w:val="9"/>
        <w:keepNext w:val="0"/>
        <w:keepLines w:val="0"/>
        <w:pageBreakBefore w:val="0"/>
        <w:widowControl w:val="0"/>
        <w:tabs>
          <w:tab w:val="left" w:pos="2743"/>
          <w:tab w:val="left" w:pos="4003"/>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2EE21C1C">
      <w:pPr>
        <w:pStyle w:val="9"/>
        <w:keepNext w:val="0"/>
        <w:keepLines w:val="0"/>
        <w:pageBreakBefore w:val="0"/>
        <w:widowControl w:val="0"/>
        <w:tabs>
          <w:tab w:val="left" w:pos="2743"/>
          <w:tab w:val="left" w:pos="4003"/>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22797B97">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5.工程质量</w:t>
      </w:r>
    </w:p>
    <w:p w14:paraId="78789E0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5.1质量要求</w:t>
      </w:r>
    </w:p>
    <w:p w14:paraId="62184BA7">
      <w:pPr>
        <w:pStyle w:val="24"/>
        <w:keepNext w:val="0"/>
        <w:keepLines w:val="0"/>
        <w:pageBreakBefore w:val="0"/>
        <w:widowControl w:val="0"/>
        <w:tabs>
          <w:tab w:val="left" w:pos="2010"/>
          <w:tab w:val="left" w:pos="4740"/>
          <w:tab w:val="left" w:pos="5475"/>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5.1.1</w:t>
      </w:r>
      <w:r>
        <w:rPr>
          <w:rFonts w:hint="eastAsia" w:ascii="宋体" w:hAnsi="宋体" w:eastAsia="宋体" w:cs="宋体"/>
          <w:color w:val="auto"/>
          <w:sz w:val="24"/>
          <w:szCs w:val="24"/>
          <w:highlight w:val="none"/>
        </w:rPr>
        <w:t>特殊质量标准和要求：</w:t>
      </w:r>
      <w:r>
        <w:rPr>
          <w:rFonts w:hint="eastAsia" w:ascii="宋体" w:hAnsi="宋体" w:eastAsia="宋体" w:cs="宋体"/>
          <w:color w:val="auto"/>
          <w:sz w:val="24"/>
          <w:szCs w:val="24"/>
          <w:highlight w:val="none"/>
          <w:u w:val="single"/>
        </w:rPr>
        <w:t xml:space="preserve"> 无</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4BDC28CD">
      <w:pPr>
        <w:pStyle w:val="9"/>
        <w:keepNext w:val="0"/>
        <w:keepLines w:val="0"/>
        <w:pageBreakBefore w:val="0"/>
        <w:widowControl w:val="0"/>
        <w:tabs>
          <w:tab w:val="left" w:pos="4109"/>
        </w:tabs>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关于工程奖项的约定：</w:t>
      </w:r>
      <w:r>
        <w:rPr>
          <w:rFonts w:hint="eastAsia" w:ascii="宋体" w:hAnsi="宋体" w:eastAsia="宋体" w:cs="宋体"/>
          <w:color w:val="auto"/>
          <w:sz w:val="24"/>
          <w:szCs w:val="24"/>
          <w:highlight w:val="none"/>
          <w:u w:val="single"/>
        </w:rPr>
        <w:t xml:space="preserve"> 无 </w:t>
      </w:r>
      <w:r>
        <w:rPr>
          <w:rFonts w:hint="eastAsia" w:ascii="宋体" w:hAnsi="宋体" w:eastAsia="宋体" w:cs="宋体"/>
          <w:color w:val="auto"/>
          <w:sz w:val="24"/>
          <w:szCs w:val="24"/>
          <w:highlight w:val="none"/>
        </w:rPr>
        <w:t>。</w:t>
      </w:r>
    </w:p>
    <w:p w14:paraId="01F47EC6">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5.3 隐蔽工程检查</w:t>
      </w:r>
      <w:r>
        <w:rPr>
          <w:rFonts w:hint="eastAsia" w:ascii="宋体" w:hAnsi="宋体" w:eastAsia="宋体" w:cs="宋体"/>
          <w:color w:val="auto"/>
          <w:sz w:val="24"/>
          <w:szCs w:val="24"/>
          <w:highlight w:val="none"/>
          <w:lang w:val="en-US" w:eastAsia="zh-CN"/>
        </w:rPr>
        <w:t>和中间验收</w:t>
      </w:r>
    </w:p>
    <w:p w14:paraId="3714F604">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5.3.2 承包人提前通知监理人隐蔽工程检查的期限的约定：</w:t>
      </w:r>
      <w:r>
        <w:rPr>
          <w:rFonts w:hint="eastAsia" w:ascii="宋体" w:hAnsi="宋体" w:eastAsia="宋体" w:cs="宋体"/>
          <w:color w:val="auto"/>
          <w:sz w:val="24"/>
          <w:szCs w:val="24"/>
          <w:highlight w:val="none"/>
          <w:u w:val="single"/>
        </w:rPr>
        <w:t>工程隐蔽或中间验收前12小时</w:t>
      </w:r>
      <w:r>
        <w:rPr>
          <w:rFonts w:hint="eastAsia" w:ascii="宋体" w:hAnsi="宋体" w:eastAsia="宋体" w:cs="宋体"/>
          <w:color w:val="auto"/>
          <w:sz w:val="24"/>
          <w:szCs w:val="24"/>
          <w:highlight w:val="none"/>
          <w:u w:val="single"/>
          <w:lang w:val="en-US" w:eastAsia="zh-CN"/>
        </w:rPr>
        <w:t>承包人</w:t>
      </w:r>
      <w:r>
        <w:rPr>
          <w:rFonts w:hint="eastAsia" w:ascii="宋体" w:hAnsi="宋体" w:eastAsia="宋体" w:cs="宋体"/>
          <w:color w:val="auto"/>
          <w:sz w:val="24"/>
          <w:szCs w:val="24"/>
          <w:highlight w:val="none"/>
          <w:u w:val="single"/>
        </w:rPr>
        <w:t>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686666B1">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程师应在承包人约定时间到达现场进行隐蔽中间验收工作（不得以任何理由改期），如果在约定时间超过两小时内工程师未到现场或到现场后不签证（有非承包方人员证明），承包人可自行隐蔽继续施工，后果由工程师承担。但在约定时间承包人未到现场及超过约定时间两小时，工程师可另订时间验收，承包人不得有异议且承担由此引发的责任。</w:t>
      </w:r>
    </w:p>
    <w:p w14:paraId="31EABF69">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none"/>
          <w:lang w:val="en-US" w:eastAsia="zh-CN"/>
        </w:rPr>
        <w:t>双方约定中间验收部位：</w:t>
      </w:r>
      <w:r>
        <w:rPr>
          <w:rFonts w:hint="eastAsia" w:ascii="宋体" w:hAnsi="宋体" w:eastAsia="宋体" w:cs="宋体"/>
          <w:color w:val="auto"/>
          <w:sz w:val="24"/>
          <w:szCs w:val="24"/>
          <w:highlight w:val="none"/>
          <w:u w:val="single"/>
          <w:lang w:val="en-US" w:eastAsia="zh-CN"/>
        </w:rPr>
        <w:t>建筑（构筑）物： 地基、基础（包括桩基）、砌体、模板标高、钢筋规格与分布、防水工程及其基层、暗埋的水电管线、水电表试验、防雷工程电阻检验等（未明列而规定需中间验收的项目）。</w:t>
      </w:r>
    </w:p>
    <w:p w14:paraId="35C607FE">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6.安全文明施工与环境保护</w:t>
      </w:r>
    </w:p>
    <w:p w14:paraId="4B69856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6.1安全文明施工</w:t>
      </w:r>
    </w:p>
    <w:p w14:paraId="43D600FE">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6.1.1</w:t>
      </w:r>
      <w:r>
        <w:rPr>
          <w:rFonts w:hint="eastAsia" w:ascii="宋体" w:hAnsi="宋体" w:eastAsia="宋体" w:cs="宋体"/>
          <w:color w:val="auto"/>
          <w:sz w:val="24"/>
          <w:szCs w:val="24"/>
          <w:highlight w:val="none"/>
        </w:rPr>
        <w:t>项目安全生产的达标目标及相应事项的约定：</w:t>
      </w:r>
      <w:r>
        <w:rPr>
          <w:rFonts w:hint="eastAsia" w:ascii="宋体" w:hAnsi="宋体" w:eastAsia="宋体" w:cs="宋体"/>
          <w:color w:val="auto"/>
          <w:sz w:val="24"/>
          <w:szCs w:val="24"/>
          <w:highlight w:val="none"/>
          <w:u w:val="single"/>
        </w:rPr>
        <w:t>按照国家及地方安全文明施工的有关规定执行</w:t>
      </w:r>
      <w:r>
        <w:rPr>
          <w:rFonts w:hint="eastAsia" w:ascii="宋体" w:hAnsi="宋体" w:eastAsia="宋体" w:cs="宋体"/>
          <w:color w:val="auto"/>
          <w:sz w:val="24"/>
          <w:szCs w:val="24"/>
          <w:highlight w:val="none"/>
        </w:rPr>
        <w:t>。</w:t>
      </w:r>
    </w:p>
    <w:p w14:paraId="111A89C8">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关于安全文明施工奖项的约定：</w:t>
      </w:r>
      <w:r>
        <w:rPr>
          <w:rFonts w:hint="eastAsia" w:ascii="宋体" w:hAnsi="宋体" w:eastAsia="宋体" w:cs="宋体"/>
          <w:color w:val="auto"/>
          <w:sz w:val="24"/>
          <w:szCs w:val="24"/>
          <w:highlight w:val="none"/>
          <w:u w:val="single"/>
        </w:rPr>
        <w:t xml:space="preserve"> 承包人应当负责统一管理施工场地的治安保卫事项，履行合同工程的治安保卫职责 </w:t>
      </w:r>
      <w:r>
        <w:rPr>
          <w:rFonts w:hint="eastAsia" w:ascii="宋体" w:hAnsi="宋体" w:eastAsia="宋体" w:cs="宋体"/>
          <w:color w:val="auto"/>
          <w:sz w:val="24"/>
          <w:szCs w:val="24"/>
          <w:highlight w:val="none"/>
        </w:rPr>
        <w:t>。</w:t>
      </w:r>
    </w:p>
    <w:p w14:paraId="77EBB06D">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6.1.4</w:t>
      </w:r>
      <w:r>
        <w:rPr>
          <w:rFonts w:hint="eastAsia" w:ascii="宋体" w:hAnsi="宋体" w:eastAsia="宋体" w:cs="宋体"/>
          <w:color w:val="auto"/>
          <w:sz w:val="24"/>
          <w:szCs w:val="24"/>
          <w:highlight w:val="none"/>
        </w:rPr>
        <w:t>关于治安保卫的特别约定：</w:t>
      </w:r>
      <w:r>
        <w:rPr>
          <w:rFonts w:hint="eastAsia" w:ascii="宋体" w:hAnsi="宋体" w:eastAsia="宋体" w:cs="宋体"/>
          <w:color w:val="auto"/>
          <w:sz w:val="24"/>
          <w:szCs w:val="24"/>
          <w:highlight w:val="none"/>
          <w:u w:val="single"/>
        </w:rPr>
        <w:t>承包人应承担施工安全保卫工作及非夜间施工照明的责任， 承包人应采取一切合理的预防措施，防止人员伤亡、财产损失事故，费用由承包人承担。承包人生活设施及施工场应自费配备消防设备，防止火灾发生。</w:t>
      </w:r>
    </w:p>
    <w:p w14:paraId="2A43593A">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关于编制施工场地治安管理计划的约定：</w:t>
      </w:r>
      <w:r>
        <w:rPr>
          <w:rFonts w:hint="eastAsia" w:ascii="宋体" w:hAnsi="宋体" w:eastAsia="宋体" w:cs="宋体"/>
          <w:color w:val="auto"/>
          <w:sz w:val="24"/>
          <w:szCs w:val="24"/>
          <w:highlight w:val="none"/>
          <w:u w:val="single"/>
        </w:rPr>
        <w:t xml:space="preserve"> 开工前</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 xml:space="preserve">天内承包人编制施工场地治安管理计划和突发治安事件紧急预案 </w:t>
      </w:r>
      <w:r>
        <w:rPr>
          <w:rFonts w:hint="eastAsia" w:ascii="宋体" w:hAnsi="宋体" w:eastAsia="宋体" w:cs="宋体"/>
          <w:color w:val="auto"/>
          <w:sz w:val="24"/>
          <w:szCs w:val="24"/>
          <w:highlight w:val="none"/>
        </w:rPr>
        <w:t>。</w:t>
      </w:r>
    </w:p>
    <w:p w14:paraId="20EC410B">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6.1.5</w:t>
      </w:r>
      <w:r>
        <w:rPr>
          <w:rFonts w:hint="eastAsia" w:ascii="宋体" w:hAnsi="宋体" w:eastAsia="宋体" w:cs="宋体"/>
          <w:color w:val="auto"/>
          <w:sz w:val="24"/>
          <w:szCs w:val="24"/>
          <w:highlight w:val="none"/>
        </w:rPr>
        <w:t>文明施工</w:t>
      </w:r>
    </w:p>
    <w:p w14:paraId="201A3104">
      <w:pPr>
        <w:pStyle w:val="24"/>
        <w:keepNext w:val="0"/>
        <w:keepLines w:val="0"/>
        <w:pageBreakBefore w:val="0"/>
        <w:widowControl w:val="0"/>
        <w:tabs>
          <w:tab w:val="left" w:pos="1907"/>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合同当事人对文明施工的要求：</w:t>
      </w:r>
      <w:r>
        <w:rPr>
          <w:rFonts w:hint="eastAsia" w:ascii="宋体" w:hAnsi="宋体" w:eastAsia="宋体" w:cs="宋体"/>
          <w:color w:val="auto"/>
          <w:sz w:val="24"/>
          <w:szCs w:val="24"/>
          <w:highlight w:val="none"/>
          <w:u w:val="single"/>
        </w:rPr>
        <w:t xml:space="preserve"> 安全防护、文明施工设施须按有关标准及制度执行</w:t>
      </w:r>
      <w:r>
        <w:rPr>
          <w:rFonts w:hint="eastAsia" w:ascii="宋体" w:hAnsi="宋体" w:eastAsia="宋体" w:cs="宋体"/>
          <w:color w:val="auto"/>
          <w:sz w:val="24"/>
          <w:szCs w:val="24"/>
          <w:highlight w:val="none"/>
        </w:rPr>
        <w:t>。</w:t>
      </w:r>
    </w:p>
    <w:p w14:paraId="521695C5">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 xml:space="preserve"> 环境保护</w:t>
      </w:r>
    </w:p>
    <w:p w14:paraId="0B0AD341">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因施工需要，经发包人批准，由承包人办理有关施工场地交通、环卫和施工噪音管理等手续， 费用由承包人负责。</w:t>
      </w:r>
    </w:p>
    <w:p w14:paraId="39CD145D">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经过城市道路的施工车辆，必须按交警、城管、运输等部门相关规定执行。由于施工车辆造成的道路、环境等污染，其责任和费用均由承包人承担。</w:t>
      </w:r>
    </w:p>
    <w:p w14:paraId="47F9E605">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7.工期和进度</w:t>
      </w:r>
    </w:p>
    <w:p w14:paraId="55675915">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7.1施工组织设计</w:t>
      </w:r>
    </w:p>
    <w:p w14:paraId="762044C0">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7.1.1</w:t>
      </w:r>
      <w:r>
        <w:rPr>
          <w:rFonts w:hint="eastAsia" w:ascii="宋体" w:hAnsi="宋体" w:eastAsia="宋体" w:cs="宋体"/>
          <w:color w:val="auto"/>
          <w:sz w:val="24"/>
          <w:szCs w:val="24"/>
          <w:highlight w:val="none"/>
        </w:rPr>
        <w:t>合同当事人约定的施工组织设计应包括的其他内容：</w:t>
      </w:r>
      <w:r>
        <w:rPr>
          <w:rFonts w:hint="eastAsia" w:ascii="宋体" w:hAnsi="宋体" w:eastAsia="宋体" w:cs="宋体"/>
          <w:color w:val="auto"/>
          <w:sz w:val="24"/>
          <w:szCs w:val="24"/>
          <w:highlight w:val="none"/>
          <w:u w:val="single"/>
        </w:rPr>
        <w:t>①管理人员名单、职称、职务、上岗证等；②按照国家及地方有关规定应当提交的内容</w:t>
      </w:r>
      <w:r>
        <w:rPr>
          <w:rFonts w:hint="eastAsia" w:ascii="宋体" w:hAnsi="宋体" w:eastAsia="宋体" w:cs="宋体"/>
          <w:color w:val="auto"/>
          <w:sz w:val="24"/>
          <w:szCs w:val="24"/>
          <w:highlight w:val="none"/>
        </w:rPr>
        <w:t>。</w:t>
      </w:r>
    </w:p>
    <w:p w14:paraId="2D04DFA6">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7.1.2</w:t>
      </w:r>
      <w:r>
        <w:rPr>
          <w:rFonts w:hint="eastAsia" w:ascii="宋体" w:hAnsi="宋体" w:eastAsia="宋体" w:cs="宋体"/>
          <w:color w:val="auto"/>
          <w:sz w:val="24"/>
          <w:szCs w:val="24"/>
          <w:highlight w:val="none"/>
        </w:rPr>
        <w:t>施工组织设计的提交和修改</w:t>
      </w:r>
    </w:p>
    <w:p w14:paraId="1B6AF384">
      <w:pPr>
        <w:pStyle w:val="9"/>
        <w:keepNext w:val="0"/>
        <w:keepLines w:val="0"/>
        <w:pageBreakBefore w:val="0"/>
        <w:widowControl w:val="0"/>
        <w:tabs>
          <w:tab w:val="left" w:pos="7472"/>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承包人提交详细施工组织设计的期限的约定：</w:t>
      </w:r>
      <w:r>
        <w:rPr>
          <w:rFonts w:hint="eastAsia" w:ascii="宋体" w:hAnsi="宋体" w:eastAsia="宋体" w:cs="宋体"/>
          <w:color w:val="auto"/>
          <w:sz w:val="24"/>
          <w:szCs w:val="24"/>
          <w:highlight w:val="none"/>
          <w:u w:val="single"/>
        </w:rPr>
        <w:t>于开工前6天</w:t>
      </w:r>
      <w:r>
        <w:rPr>
          <w:rFonts w:hint="eastAsia" w:ascii="宋体" w:hAnsi="宋体" w:eastAsia="宋体" w:cs="宋体"/>
          <w:color w:val="auto"/>
          <w:sz w:val="24"/>
          <w:szCs w:val="24"/>
          <w:highlight w:val="none"/>
        </w:rPr>
        <w:t>。</w:t>
      </w:r>
    </w:p>
    <w:p w14:paraId="0A8B8BDC">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发包人和监理人在收到详细的施工组织设计后确认或提出修改意见的期限：</w:t>
      </w:r>
      <w:r>
        <w:rPr>
          <w:rFonts w:hint="eastAsia" w:ascii="宋体" w:hAnsi="宋体" w:eastAsia="宋体" w:cs="宋体"/>
          <w:color w:val="auto"/>
          <w:sz w:val="24"/>
          <w:szCs w:val="24"/>
          <w:highlight w:val="none"/>
          <w:u w:val="single"/>
        </w:rPr>
        <w:t>承包人提交后3天内</w:t>
      </w:r>
      <w:r>
        <w:rPr>
          <w:rFonts w:hint="eastAsia" w:ascii="宋体" w:hAnsi="宋体" w:eastAsia="宋体" w:cs="宋体"/>
          <w:color w:val="auto"/>
          <w:sz w:val="24"/>
          <w:szCs w:val="24"/>
          <w:highlight w:val="none"/>
        </w:rPr>
        <w:t>。</w:t>
      </w:r>
    </w:p>
    <w:p w14:paraId="7DD0EB8A">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7.2施工进度计划</w:t>
      </w:r>
    </w:p>
    <w:p w14:paraId="75DBD8A4">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7.2.2 施工进度计划的修订</w:t>
      </w:r>
    </w:p>
    <w:p w14:paraId="0B9B1C35">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发包人和监理人在收到修订的施工进度计划后确认或提出修改意见的期限：</w:t>
      </w:r>
      <w:r>
        <w:rPr>
          <w:rFonts w:hint="eastAsia" w:ascii="宋体" w:hAnsi="宋体" w:eastAsia="宋体" w:cs="宋体"/>
          <w:color w:val="auto"/>
          <w:sz w:val="24"/>
          <w:szCs w:val="24"/>
          <w:highlight w:val="none"/>
          <w:u w:val="single"/>
        </w:rPr>
        <w:t>承包人提交后3天内</w:t>
      </w:r>
      <w:r>
        <w:rPr>
          <w:rFonts w:hint="eastAsia" w:ascii="宋体" w:hAnsi="宋体" w:eastAsia="宋体" w:cs="宋体"/>
          <w:color w:val="auto"/>
          <w:sz w:val="24"/>
          <w:szCs w:val="24"/>
          <w:highlight w:val="none"/>
        </w:rPr>
        <w:t>。</w:t>
      </w:r>
    </w:p>
    <w:p w14:paraId="4628DAA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7.3开工</w:t>
      </w:r>
    </w:p>
    <w:p w14:paraId="0A31A9ED">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承包人应按协议约定的开工日期开工。</w:t>
      </w:r>
    </w:p>
    <w:p w14:paraId="4F9A727A">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7.4测量放线</w:t>
      </w:r>
    </w:p>
    <w:p w14:paraId="2DCBFE13">
      <w:pPr>
        <w:pStyle w:val="24"/>
        <w:pageBreakBefore w:val="0"/>
        <w:widowControl w:val="0"/>
        <w:tabs>
          <w:tab w:val="left" w:pos="1957"/>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7.4.1</w:t>
      </w:r>
      <w:r>
        <w:rPr>
          <w:rFonts w:hint="eastAsia" w:ascii="宋体" w:hAnsi="宋体" w:eastAsia="宋体" w:cs="宋体"/>
          <w:color w:val="auto"/>
          <w:sz w:val="24"/>
          <w:szCs w:val="24"/>
          <w:highlight w:val="none"/>
        </w:rPr>
        <w:t>发包人通过监理人向承包人提供测量基准点、基准线和水准点及其书面资料的期限：</w:t>
      </w:r>
      <w:r>
        <w:rPr>
          <w:rFonts w:hint="eastAsia" w:ascii="宋体" w:hAnsi="宋体" w:eastAsia="宋体" w:cs="宋体"/>
          <w:color w:val="auto"/>
          <w:sz w:val="24"/>
          <w:szCs w:val="24"/>
          <w:highlight w:val="none"/>
          <w:u w:val="single"/>
        </w:rPr>
        <w:t>承包人进入施工现场后进行书面交桩</w:t>
      </w:r>
      <w:r>
        <w:rPr>
          <w:rFonts w:hint="eastAsia" w:ascii="宋体" w:hAnsi="宋体" w:eastAsia="宋体" w:cs="宋体"/>
          <w:color w:val="auto"/>
          <w:sz w:val="24"/>
          <w:szCs w:val="24"/>
          <w:highlight w:val="none"/>
        </w:rPr>
        <w:t>。</w:t>
      </w:r>
    </w:p>
    <w:p w14:paraId="04B501F3">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7.5工期延误</w:t>
      </w:r>
    </w:p>
    <w:p w14:paraId="777381E7">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对以下原因造成工期延误；经工程师确认，工期相应顺延：</w:t>
      </w:r>
    </w:p>
    <w:p w14:paraId="254E6AA6">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（1）发包人未能按专用条款的约定提供图纸及开工条件；</w:t>
      </w:r>
    </w:p>
    <w:p w14:paraId="3A831464">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（2）发包人未能按约定日期支付工程预付款、进度款，致使施工不能正常进行；</w:t>
      </w:r>
    </w:p>
    <w:p w14:paraId="23E93E7A">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（3）工程师未按合同约定提供所需指令、批准等，致使施工不能正常进行；</w:t>
      </w:r>
    </w:p>
    <w:p w14:paraId="01D61CD4">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（4）设计变更和工程量增加；</w:t>
      </w:r>
    </w:p>
    <w:p w14:paraId="16219E06">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（5）一周内非承包人原因停水、停电、停气造成停工累计超过8小时；</w:t>
      </w:r>
    </w:p>
    <w:p w14:paraId="3985A4AF">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（6）不可抗力；</w:t>
      </w:r>
    </w:p>
    <w:p w14:paraId="3DDFC0BB">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（7）专用条款中约定或工程师同意工期顺延的其他情况。</w:t>
      </w:r>
    </w:p>
    <w:p w14:paraId="5536370A">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　承包人在</w:t>
      </w:r>
      <w:r>
        <w:rPr>
          <w:rFonts w:hint="eastAsia" w:ascii="宋体" w:hAnsi="宋体" w:eastAsia="宋体" w:cs="宋体"/>
          <w:color w:val="auto"/>
          <w:sz w:val="24"/>
          <w:szCs w:val="24"/>
          <w:highlight w:val="none"/>
          <w:lang w:val="en-US" w:eastAsia="zh-CN"/>
        </w:rPr>
        <w:t>以上</w:t>
      </w:r>
      <w:r>
        <w:rPr>
          <w:rFonts w:hint="eastAsia" w:ascii="宋体" w:hAnsi="宋体" w:eastAsia="宋体" w:cs="宋体"/>
          <w:color w:val="auto"/>
          <w:sz w:val="24"/>
          <w:szCs w:val="24"/>
          <w:highlight w:val="none"/>
          <w:lang w:val="en-US"/>
        </w:rPr>
        <w:t>款情况发生后14天内，就延误的工期以书面形式向工程师提出报告。工程师在收到报告后14天内予以确认，逾期不予确认也不提出修改意见，视为同意顺延工期。</w:t>
      </w:r>
    </w:p>
    <w:p w14:paraId="004DC7E2">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非上述原因，承包人不能按合同约定的时间竣工，承包人应承担违约责任。应向发包人支付误期赔偿费（每天赔偿金额为合同价款的万分之四 ），误期时间从规定竣工日期起直到全部工程或相应部分工程竣工验收各方签章日期之间的天数（扣除发包人批准顺延的工期），其极限为合同价的5%。发包人可从应向承包人支付的任何金额中扣除此项赔款费或其他方式收回此款，此赔偿款的支付并不能解除承包人应完成工程的责任或合同规定的其他责任。</w:t>
      </w:r>
    </w:p>
    <w:p w14:paraId="1417976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7.6不利物质条件</w:t>
      </w:r>
    </w:p>
    <w:p w14:paraId="3C4306A1">
      <w:pPr>
        <w:pStyle w:val="9"/>
        <w:keepNext w:val="0"/>
        <w:keepLines w:val="0"/>
        <w:pageBreakBefore w:val="0"/>
        <w:widowControl w:val="0"/>
        <w:tabs>
          <w:tab w:val="left" w:pos="5372"/>
          <w:tab w:val="left" w:pos="6104"/>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不利物质条件的其他情形和有关约定：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26F6E13A">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7.7异常恶劣的气候条件</w:t>
      </w:r>
    </w:p>
    <w:p w14:paraId="3724D2CA">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b w:val="0"/>
          <w:bCs w:val="0"/>
          <w:color w:val="auto"/>
          <w:kern w:val="2"/>
          <w:sz w:val="24"/>
          <w:szCs w:val="24"/>
          <w:highlight w:val="none"/>
          <w:u w:val="single"/>
          <w:lang w:val="en-US" w:eastAsia="zh-CN" w:bidi="ar-SA"/>
        </w:rPr>
      </w:pPr>
      <w:r>
        <w:rPr>
          <w:rFonts w:hint="eastAsia" w:ascii="宋体" w:hAnsi="宋体" w:eastAsia="宋体" w:cs="宋体"/>
          <w:color w:val="auto"/>
          <w:sz w:val="24"/>
          <w:szCs w:val="24"/>
          <w:highlight w:val="none"/>
        </w:rPr>
        <w:t>发包人和承包人同意以下情形视为异常恶劣的气候条件：</w:t>
      </w:r>
      <w:r>
        <w:rPr>
          <w:rFonts w:hint="eastAsia" w:ascii="宋体" w:hAnsi="宋体" w:eastAsia="宋体" w:cs="宋体"/>
          <w:b w:val="0"/>
          <w:bCs w:val="0"/>
          <w:color w:val="auto"/>
          <w:kern w:val="2"/>
          <w:sz w:val="24"/>
          <w:szCs w:val="24"/>
          <w:highlight w:val="none"/>
          <w:u w:val="single"/>
          <w:lang w:val="en-US" w:eastAsia="zh-CN" w:bidi="ar-SA"/>
        </w:rPr>
        <w:t>十级（含）以上大风，六级（含）以上地震，洪灾，特大（含）暴雨，自然灾害的等级必须得到相关权威部门的书面认定方可视为有效。</w:t>
      </w:r>
    </w:p>
    <w:p w14:paraId="44EC8E3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7.9 提前竣工</w:t>
      </w:r>
    </w:p>
    <w:p w14:paraId="6768D4CA">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7.9.2 提前竣工（赶工）增加费的计算方法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rPr>
        <w:t>。</w:t>
      </w:r>
    </w:p>
    <w:p w14:paraId="74AB8CD6">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8.材料与设备</w:t>
      </w:r>
    </w:p>
    <w:p w14:paraId="1A192750">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8.2 承包人采购材料与工程设备</w:t>
      </w:r>
    </w:p>
    <w:p w14:paraId="615AE22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对发包人在</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en-US"/>
        </w:rPr>
        <w:t>时有“参照或相当于**品牌、级别”约定的材料或设备，承包人采购时必须按类似于或优于所约定品牌、等级进行采购，施工期间该部分材料或设备如未超过</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en-US"/>
        </w:rPr>
        <w:t>约定的风险幅度的，结算时按</w:t>
      </w:r>
      <w:r>
        <w:rPr>
          <w:rFonts w:hint="eastAsia" w:ascii="宋体" w:hAnsi="宋体" w:eastAsia="宋体" w:cs="宋体"/>
          <w:color w:val="auto"/>
          <w:sz w:val="24"/>
          <w:szCs w:val="24"/>
          <w:highlight w:val="none"/>
          <w:lang w:val="en-US" w:eastAsia="zh-CN"/>
        </w:rPr>
        <w:t>竞标</w:t>
      </w:r>
      <w:r>
        <w:rPr>
          <w:rFonts w:hint="eastAsia" w:ascii="宋体" w:hAnsi="宋体" w:eastAsia="宋体" w:cs="宋体"/>
          <w:color w:val="auto"/>
          <w:sz w:val="24"/>
          <w:szCs w:val="24"/>
          <w:highlight w:val="none"/>
          <w:lang w:val="en-US"/>
        </w:rPr>
        <w:t>单价支付，不得调整。</w:t>
      </w:r>
    </w:p>
    <w:p w14:paraId="756F6F78">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禁止使用松木、松木包装材料设备、种子、苗木、花卉及繁殖材料。</w:t>
      </w:r>
    </w:p>
    <w:p w14:paraId="017AC86A">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8.4材料与工程设备的保管与使用</w:t>
      </w:r>
    </w:p>
    <w:p w14:paraId="0732C39C">
      <w:pPr>
        <w:pStyle w:val="24"/>
        <w:tabs>
          <w:tab w:val="left" w:pos="1957"/>
        </w:tabs>
        <w:spacing w:line="40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8.4.1</w:t>
      </w:r>
      <w:r>
        <w:rPr>
          <w:rFonts w:hint="eastAsia" w:ascii="宋体" w:hAnsi="宋体" w:eastAsia="宋体" w:cs="宋体"/>
          <w:color w:val="auto"/>
          <w:sz w:val="24"/>
          <w:szCs w:val="24"/>
          <w:highlight w:val="none"/>
        </w:rPr>
        <w:t>发包人供应的材料设备的保管费用的承担：</w:t>
      </w:r>
      <w:r>
        <w:rPr>
          <w:rFonts w:hint="eastAsia" w:ascii="宋体" w:hAnsi="宋体" w:eastAsia="宋体" w:cs="宋体"/>
          <w:color w:val="auto"/>
          <w:sz w:val="24"/>
          <w:szCs w:val="24"/>
          <w:highlight w:val="none"/>
          <w:u w:val="single"/>
        </w:rPr>
        <w:t>按通用条款执行</w:t>
      </w:r>
      <w:r>
        <w:rPr>
          <w:rFonts w:hint="eastAsia" w:ascii="宋体" w:hAnsi="宋体" w:eastAsia="宋体" w:cs="宋体"/>
          <w:color w:val="auto"/>
          <w:sz w:val="24"/>
          <w:szCs w:val="24"/>
          <w:highlight w:val="none"/>
        </w:rPr>
        <w:t>。</w:t>
      </w:r>
    </w:p>
    <w:p w14:paraId="557C36F9">
      <w:pPr>
        <w:pStyle w:val="24"/>
        <w:tabs>
          <w:tab w:val="left" w:pos="1957"/>
        </w:tabs>
        <w:spacing w:line="40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发包人供应的材料设备与一览表不符时，双方约定发包人承担责任如下：</w:t>
      </w:r>
    </w:p>
    <w:p w14:paraId="0FE8C90F">
      <w:pPr>
        <w:pStyle w:val="24"/>
        <w:tabs>
          <w:tab w:val="left" w:pos="1957"/>
        </w:tabs>
        <w:spacing w:line="40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（1）材料设备单价与一览表不符：</w:t>
      </w:r>
      <w:r>
        <w:rPr>
          <w:rFonts w:hint="eastAsia" w:ascii="宋体" w:hAnsi="宋体" w:eastAsia="宋体" w:cs="宋体"/>
          <w:color w:val="auto"/>
          <w:sz w:val="24"/>
          <w:szCs w:val="24"/>
          <w:highlight w:val="none"/>
          <w:u w:val="single"/>
        </w:rPr>
        <w:t>双方另行协商</w:t>
      </w:r>
      <w:r>
        <w:rPr>
          <w:rFonts w:hint="eastAsia" w:ascii="宋体" w:hAnsi="宋体" w:eastAsia="宋体" w:cs="宋体"/>
          <w:color w:val="auto"/>
          <w:sz w:val="24"/>
          <w:szCs w:val="24"/>
          <w:highlight w:val="none"/>
        </w:rPr>
        <w:t xml:space="preserve">。 </w:t>
      </w:r>
    </w:p>
    <w:p w14:paraId="09048023">
      <w:pPr>
        <w:pStyle w:val="24"/>
        <w:tabs>
          <w:tab w:val="left" w:pos="1957"/>
        </w:tabs>
        <w:spacing w:line="40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（2）材料设备的品种、规格、型号、质量等级与一览表不符：</w:t>
      </w:r>
      <w:r>
        <w:rPr>
          <w:rFonts w:hint="eastAsia" w:ascii="宋体" w:hAnsi="宋体" w:eastAsia="宋体" w:cs="宋体"/>
          <w:color w:val="auto"/>
          <w:sz w:val="24"/>
          <w:szCs w:val="24"/>
          <w:highlight w:val="none"/>
          <w:u w:val="single"/>
        </w:rPr>
        <w:t>双方另行协商</w:t>
      </w:r>
      <w:r>
        <w:rPr>
          <w:rFonts w:hint="eastAsia" w:ascii="宋体" w:hAnsi="宋体" w:eastAsia="宋体" w:cs="宋体"/>
          <w:color w:val="auto"/>
          <w:sz w:val="24"/>
          <w:szCs w:val="24"/>
          <w:highlight w:val="none"/>
        </w:rPr>
        <w:t xml:space="preserve">。 </w:t>
      </w:r>
    </w:p>
    <w:p w14:paraId="1CA2773F">
      <w:pPr>
        <w:pStyle w:val="24"/>
        <w:tabs>
          <w:tab w:val="left" w:pos="1957"/>
        </w:tabs>
        <w:spacing w:line="40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（3）承包人可代为调剂串换的材料：视情况经设计批准，双方另行协商。 </w:t>
      </w:r>
    </w:p>
    <w:p w14:paraId="18AD1EAA">
      <w:pPr>
        <w:pStyle w:val="24"/>
        <w:tabs>
          <w:tab w:val="left" w:pos="1957"/>
        </w:tabs>
        <w:spacing w:line="40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（4）到货地点与一览表不符：</w:t>
      </w:r>
      <w:r>
        <w:rPr>
          <w:rFonts w:hint="eastAsia" w:ascii="宋体" w:hAnsi="宋体" w:eastAsia="宋体" w:cs="宋体"/>
          <w:color w:val="auto"/>
          <w:sz w:val="24"/>
          <w:szCs w:val="24"/>
          <w:highlight w:val="none"/>
          <w:u w:val="single"/>
        </w:rPr>
        <w:t>双方另行协商</w:t>
      </w:r>
      <w:r>
        <w:rPr>
          <w:rFonts w:hint="eastAsia" w:ascii="宋体" w:hAnsi="宋体" w:eastAsia="宋体" w:cs="宋体"/>
          <w:color w:val="auto"/>
          <w:sz w:val="24"/>
          <w:szCs w:val="24"/>
          <w:highlight w:val="none"/>
        </w:rPr>
        <w:t>。</w:t>
      </w:r>
    </w:p>
    <w:p w14:paraId="71F5E2FC">
      <w:pPr>
        <w:pStyle w:val="24"/>
        <w:tabs>
          <w:tab w:val="left" w:pos="1957"/>
        </w:tabs>
        <w:spacing w:line="40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（5）供应数量与一览表不符：</w:t>
      </w:r>
      <w:r>
        <w:rPr>
          <w:rFonts w:hint="eastAsia" w:ascii="宋体" w:hAnsi="宋体" w:eastAsia="宋体" w:cs="宋体"/>
          <w:color w:val="auto"/>
          <w:sz w:val="24"/>
          <w:szCs w:val="24"/>
          <w:highlight w:val="none"/>
          <w:u w:val="single"/>
        </w:rPr>
        <w:t>双方另行协商</w:t>
      </w:r>
      <w:r>
        <w:rPr>
          <w:rFonts w:hint="eastAsia" w:ascii="宋体" w:hAnsi="宋体" w:eastAsia="宋体" w:cs="宋体"/>
          <w:color w:val="auto"/>
          <w:sz w:val="24"/>
          <w:szCs w:val="24"/>
          <w:highlight w:val="none"/>
        </w:rPr>
        <w:t xml:space="preserve">。 </w:t>
      </w:r>
    </w:p>
    <w:p w14:paraId="5C8AD036">
      <w:pPr>
        <w:pStyle w:val="24"/>
        <w:tabs>
          <w:tab w:val="left" w:pos="1957"/>
        </w:tabs>
        <w:spacing w:line="40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（6）到货时间与一览表不符：</w:t>
      </w:r>
      <w:r>
        <w:rPr>
          <w:rFonts w:hint="eastAsia" w:ascii="宋体" w:hAnsi="宋体" w:eastAsia="宋体" w:cs="宋体"/>
          <w:color w:val="auto"/>
          <w:sz w:val="24"/>
          <w:szCs w:val="24"/>
          <w:highlight w:val="none"/>
          <w:u w:val="single"/>
        </w:rPr>
        <w:t>如发生上述情况，发包人应立即补救改正，若使承包人受到损失发包人应予赔偿，赔偿费用财政部门一般不予支付</w:t>
      </w:r>
      <w:r>
        <w:rPr>
          <w:rFonts w:hint="eastAsia" w:ascii="宋体" w:hAnsi="宋体" w:eastAsia="宋体" w:cs="宋体"/>
          <w:color w:val="auto"/>
          <w:sz w:val="24"/>
          <w:szCs w:val="24"/>
          <w:highlight w:val="none"/>
        </w:rPr>
        <w:t xml:space="preserve">。 </w:t>
      </w:r>
    </w:p>
    <w:p w14:paraId="69CE481E">
      <w:pPr>
        <w:pStyle w:val="24"/>
        <w:tabs>
          <w:tab w:val="left" w:pos="1957"/>
        </w:tabs>
        <w:spacing w:line="400" w:lineRule="exact"/>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发包人供应材料设备的结算方法：</w:t>
      </w:r>
      <w:r>
        <w:rPr>
          <w:rFonts w:hint="eastAsia" w:ascii="宋体" w:hAnsi="宋体" w:eastAsia="宋体" w:cs="宋体"/>
          <w:color w:val="auto"/>
          <w:sz w:val="24"/>
          <w:szCs w:val="24"/>
          <w:highlight w:val="none"/>
          <w:u w:val="single"/>
        </w:rPr>
        <w:t>发包人与承包人另签订补充协议，但不能因此增加工程款额</w:t>
      </w:r>
      <w:r>
        <w:rPr>
          <w:rFonts w:hint="eastAsia" w:ascii="宋体" w:hAnsi="宋体" w:eastAsia="宋体" w:cs="宋体"/>
          <w:color w:val="auto"/>
          <w:sz w:val="24"/>
          <w:szCs w:val="24"/>
          <w:highlight w:val="none"/>
        </w:rPr>
        <w:t xml:space="preserve">。 </w:t>
      </w:r>
    </w:p>
    <w:p w14:paraId="17A9724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8.6样品</w:t>
      </w:r>
    </w:p>
    <w:p w14:paraId="063836A8">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8.6.1</w:t>
      </w:r>
      <w:r>
        <w:rPr>
          <w:rFonts w:hint="eastAsia" w:ascii="宋体" w:hAnsi="宋体" w:eastAsia="宋体" w:cs="宋体"/>
          <w:color w:val="auto"/>
          <w:sz w:val="24"/>
          <w:szCs w:val="24"/>
          <w:highlight w:val="none"/>
        </w:rPr>
        <w:t>样品的报送与封存</w:t>
      </w:r>
    </w:p>
    <w:p w14:paraId="27459382">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需要承包人报送样品的材料或工程设备，样品的种类、名称、规格、数量要求：</w:t>
      </w:r>
      <w:r>
        <w:rPr>
          <w:rFonts w:hint="eastAsia" w:ascii="宋体" w:hAnsi="宋体" w:eastAsia="宋体" w:cs="宋体"/>
          <w:color w:val="auto"/>
          <w:sz w:val="24"/>
          <w:szCs w:val="24"/>
          <w:highlight w:val="none"/>
          <w:u w:val="single"/>
        </w:rPr>
        <w:t>主要材料涉及品种、款式、颜色等方面内容的，承包人应提交准备合格的材料样品送发包人选定。</w:t>
      </w:r>
    </w:p>
    <w:p w14:paraId="327D908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8.8施工设备和临时设施</w:t>
      </w:r>
    </w:p>
    <w:p w14:paraId="5EE363E2">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8.8.1</w:t>
      </w:r>
      <w:r>
        <w:rPr>
          <w:rFonts w:hint="eastAsia" w:ascii="宋体" w:hAnsi="宋体" w:eastAsia="宋体" w:cs="宋体"/>
          <w:color w:val="auto"/>
          <w:sz w:val="24"/>
          <w:szCs w:val="24"/>
          <w:highlight w:val="none"/>
        </w:rPr>
        <w:t>承包人提供的施工设备和临时设施</w:t>
      </w:r>
    </w:p>
    <w:p w14:paraId="52E1B5ED">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p>
    <w:p w14:paraId="7A466407">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关于修建临时设施费用承担的约定：</w:t>
      </w:r>
      <w:r>
        <w:rPr>
          <w:rFonts w:hint="eastAsia" w:ascii="宋体" w:hAnsi="宋体" w:eastAsia="宋体" w:cs="宋体"/>
          <w:color w:val="auto"/>
          <w:sz w:val="24"/>
          <w:szCs w:val="24"/>
          <w:highlight w:val="none"/>
          <w:u w:val="single"/>
        </w:rPr>
        <w:t>按通用条款执行</w:t>
      </w:r>
      <w:r>
        <w:rPr>
          <w:rFonts w:hint="eastAsia" w:ascii="宋体" w:hAnsi="宋体" w:eastAsia="宋体" w:cs="宋体"/>
          <w:color w:val="auto"/>
          <w:sz w:val="24"/>
          <w:szCs w:val="24"/>
          <w:highlight w:val="none"/>
        </w:rPr>
        <w:t>。</w:t>
      </w:r>
    </w:p>
    <w:p w14:paraId="0120AC62">
      <w:pPr>
        <w:pStyle w:val="24"/>
        <w:keepNext w:val="0"/>
        <w:keepLines w:val="0"/>
        <w:pageBreakBefore w:val="0"/>
        <w:widowControl w:val="0"/>
        <w:tabs>
          <w:tab w:val="left" w:pos="2010"/>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8.8.2</w:t>
      </w:r>
      <w:r>
        <w:rPr>
          <w:rFonts w:hint="eastAsia" w:ascii="宋体" w:hAnsi="宋体" w:eastAsia="宋体" w:cs="宋体"/>
          <w:color w:val="auto"/>
          <w:sz w:val="24"/>
          <w:szCs w:val="24"/>
          <w:highlight w:val="none"/>
        </w:rPr>
        <w:t>发包人提供的施工设备和临时设施</w:t>
      </w:r>
    </w:p>
    <w:p w14:paraId="22A03EC6">
      <w:pPr>
        <w:pStyle w:val="9"/>
        <w:keepNext w:val="0"/>
        <w:keepLines w:val="0"/>
        <w:pageBreakBefore w:val="0"/>
        <w:widowControl w:val="0"/>
        <w:tabs>
          <w:tab w:val="left" w:pos="5684"/>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发包人提供的施工设备和临时设施：</w:t>
      </w:r>
      <w:r>
        <w:rPr>
          <w:rFonts w:hint="eastAsia" w:ascii="宋体" w:hAnsi="宋体" w:eastAsia="宋体" w:cs="宋体"/>
          <w:color w:val="auto"/>
          <w:sz w:val="24"/>
          <w:szCs w:val="24"/>
          <w:highlight w:val="none"/>
          <w:u w:val="single"/>
        </w:rPr>
        <w:t>承包人应自行承担修建临时设施的费用，需要临时占地的，应由发包人办理申请手续并承担相应费用</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rPr>
        <w:t>。</w:t>
      </w:r>
    </w:p>
    <w:p w14:paraId="0AB74FF9">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发包人提供的施工设备和临时设施的运行、维护、拆除、清运费用的承担人：</w:t>
      </w:r>
      <w:r>
        <w:rPr>
          <w:rFonts w:hint="eastAsia" w:ascii="宋体" w:hAnsi="宋体" w:eastAsia="宋体" w:cs="宋体"/>
          <w:color w:val="auto"/>
          <w:sz w:val="24"/>
          <w:szCs w:val="24"/>
          <w:highlight w:val="none"/>
          <w:u w:val="single"/>
        </w:rPr>
        <w:t>承包人</w:t>
      </w:r>
      <w:r>
        <w:rPr>
          <w:rFonts w:hint="eastAsia" w:ascii="宋体" w:hAnsi="宋体" w:eastAsia="宋体" w:cs="宋体"/>
          <w:color w:val="auto"/>
          <w:sz w:val="24"/>
          <w:szCs w:val="24"/>
          <w:highlight w:val="none"/>
        </w:rPr>
        <w:t>。</w:t>
      </w:r>
    </w:p>
    <w:p w14:paraId="327208E3">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9.试验与检验</w:t>
      </w:r>
    </w:p>
    <w:p w14:paraId="26D10312">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9.1试验设备与试验人员</w:t>
      </w:r>
    </w:p>
    <w:p w14:paraId="1069EA53">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9.1.2 试验设备</w:t>
      </w:r>
    </w:p>
    <w:p w14:paraId="34B6CA54">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施工现场需要配置的试验场所：</w:t>
      </w:r>
      <w:r>
        <w:rPr>
          <w:rFonts w:hint="eastAsia" w:ascii="宋体" w:hAnsi="宋体" w:eastAsia="宋体" w:cs="宋体"/>
          <w:color w:val="auto"/>
          <w:sz w:val="24"/>
          <w:szCs w:val="24"/>
          <w:highlight w:val="none"/>
          <w:u w:val="single"/>
          <w:lang w:val="en-US" w:eastAsia="zh-CN"/>
        </w:rPr>
        <w:t>按</w:t>
      </w:r>
      <w:r>
        <w:rPr>
          <w:rFonts w:hint="eastAsia" w:ascii="宋体" w:hAnsi="宋体" w:eastAsia="宋体" w:cs="宋体"/>
          <w:color w:val="auto"/>
          <w:sz w:val="24"/>
          <w:szCs w:val="24"/>
          <w:highlight w:val="none"/>
          <w:u w:val="single"/>
        </w:rPr>
        <w:t>通用条款</w:t>
      </w:r>
      <w:r>
        <w:rPr>
          <w:rFonts w:hint="eastAsia" w:ascii="宋体" w:hAnsi="宋体" w:eastAsia="宋体" w:cs="宋体"/>
          <w:color w:val="auto"/>
          <w:sz w:val="24"/>
          <w:szCs w:val="24"/>
          <w:highlight w:val="none"/>
          <w:u w:val="single"/>
          <w:lang w:val="en-US" w:eastAsia="zh-CN"/>
        </w:rPr>
        <w:t>执行</w:t>
      </w:r>
      <w:r>
        <w:rPr>
          <w:rFonts w:hint="eastAsia" w:ascii="宋体" w:hAnsi="宋体" w:eastAsia="宋体" w:cs="宋体"/>
          <w:color w:val="auto"/>
          <w:sz w:val="24"/>
          <w:szCs w:val="24"/>
          <w:highlight w:val="none"/>
        </w:rPr>
        <w:t>。</w:t>
      </w:r>
    </w:p>
    <w:p w14:paraId="42A528FB">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施工现场需要配备的试验设备：</w:t>
      </w:r>
      <w:r>
        <w:rPr>
          <w:rFonts w:hint="eastAsia" w:ascii="宋体" w:hAnsi="宋体" w:eastAsia="宋体" w:cs="宋体"/>
          <w:color w:val="auto"/>
          <w:sz w:val="24"/>
          <w:szCs w:val="24"/>
          <w:highlight w:val="none"/>
          <w:u w:val="single"/>
          <w:lang w:val="en-US" w:eastAsia="zh-CN"/>
        </w:rPr>
        <w:t>按</w:t>
      </w:r>
      <w:r>
        <w:rPr>
          <w:rFonts w:hint="eastAsia" w:ascii="宋体" w:hAnsi="宋体" w:eastAsia="宋体" w:cs="宋体"/>
          <w:color w:val="auto"/>
          <w:sz w:val="24"/>
          <w:szCs w:val="24"/>
          <w:highlight w:val="none"/>
          <w:u w:val="single"/>
        </w:rPr>
        <w:t>通用条款</w:t>
      </w:r>
      <w:r>
        <w:rPr>
          <w:rFonts w:hint="eastAsia" w:ascii="宋体" w:hAnsi="宋体" w:eastAsia="宋体" w:cs="宋体"/>
          <w:color w:val="auto"/>
          <w:sz w:val="24"/>
          <w:szCs w:val="24"/>
          <w:highlight w:val="none"/>
          <w:u w:val="single"/>
          <w:lang w:val="en-US" w:eastAsia="zh-CN"/>
        </w:rPr>
        <w:t>执行</w:t>
      </w:r>
      <w:r>
        <w:rPr>
          <w:rFonts w:hint="eastAsia" w:ascii="宋体" w:hAnsi="宋体" w:eastAsia="宋体" w:cs="宋体"/>
          <w:color w:val="auto"/>
          <w:sz w:val="24"/>
          <w:szCs w:val="24"/>
          <w:highlight w:val="none"/>
        </w:rPr>
        <w:t>。</w:t>
      </w:r>
    </w:p>
    <w:p w14:paraId="7C07BC9E">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施工现场需要具备的其他试验条件：</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rPr>
        <w:t>。</w:t>
      </w:r>
    </w:p>
    <w:p w14:paraId="2425DF4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9.4现场工艺试验</w:t>
      </w:r>
    </w:p>
    <w:p w14:paraId="688E3557">
      <w:pPr>
        <w:pStyle w:val="9"/>
        <w:keepNext w:val="0"/>
        <w:keepLines w:val="0"/>
        <w:pageBreakBefore w:val="0"/>
        <w:widowControl w:val="0"/>
        <w:tabs>
          <w:tab w:val="left" w:pos="4215"/>
          <w:tab w:val="left" w:pos="7261"/>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现场工艺试验的有关约定：</w:t>
      </w:r>
      <w:r>
        <w:rPr>
          <w:rFonts w:hint="eastAsia" w:ascii="宋体" w:hAnsi="宋体" w:eastAsia="宋体" w:cs="宋体"/>
          <w:color w:val="auto"/>
          <w:sz w:val="24"/>
          <w:szCs w:val="24"/>
          <w:highlight w:val="none"/>
          <w:u w:val="single"/>
          <w:lang w:val="en-US" w:eastAsia="zh-CN"/>
        </w:rPr>
        <w:t>按</w:t>
      </w:r>
      <w:r>
        <w:rPr>
          <w:rFonts w:hint="eastAsia" w:ascii="宋体" w:hAnsi="宋体" w:eastAsia="宋体" w:cs="宋体"/>
          <w:color w:val="auto"/>
          <w:sz w:val="24"/>
          <w:szCs w:val="24"/>
          <w:highlight w:val="none"/>
          <w:u w:val="single"/>
        </w:rPr>
        <w:t>通用条款</w:t>
      </w:r>
      <w:r>
        <w:rPr>
          <w:rFonts w:hint="eastAsia" w:ascii="宋体" w:hAnsi="宋体" w:eastAsia="宋体" w:cs="宋体"/>
          <w:color w:val="auto"/>
          <w:sz w:val="24"/>
          <w:szCs w:val="24"/>
          <w:highlight w:val="none"/>
          <w:u w:val="single"/>
          <w:lang w:val="en-US" w:eastAsia="zh-CN"/>
        </w:rPr>
        <w:t>执行</w:t>
      </w:r>
      <w:r>
        <w:rPr>
          <w:rFonts w:hint="eastAsia" w:ascii="宋体" w:hAnsi="宋体" w:eastAsia="宋体" w:cs="宋体"/>
          <w:color w:val="auto"/>
          <w:sz w:val="24"/>
          <w:szCs w:val="24"/>
          <w:highlight w:val="none"/>
        </w:rPr>
        <w:t>。</w:t>
      </w:r>
    </w:p>
    <w:p w14:paraId="643286D5">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9.5检验费用</w:t>
      </w:r>
    </w:p>
    <w:p w14:paraId="6C95DCD4">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根据《建设工程质量检测管理办法》（建设部令第 141 号）以及《广西壮族自治区建设工程质量检测管理规定》（桂建管〔2013〕11 号）规定，工程质量检测业务由发包人委托有相应资质的检测机构检测。费用从发包人的项目建设经费中支出并直接支付给检测机构，不计入合同价款内。</w:t>
      </w:r>
    </w:p>
    <w:p w14:paraId="3B3A1CCB">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highlight w:val="none"/>
          <w:lang w:val="en-US"/>
        </w:rPr>
      </w:pPr>
      <w:r>
        <w:rPr>
          <w:rFonts w:hint="eastAsia" w:ascii="宋体" w:hAnsi="宋体" w:eastAsia="宋体" w:cs="宋体"/>
          <w:b/>
          <w:bCs/>
          <w:color w:val="auto"/>
          <w:sz w:val="24"/>
          <w:szCs w:val="24"/>
          <w:highlight w:val="none"/>
          <w:lang w:val="en-US"/>
        </w:rPr>
        <w:t>10.变更</w:t>
      </w:r>
    </w:p>
    <w:p w14:paraId="37EE081A">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10.1变更的范围</w:t>
      </w:r>
    </w:p>
    <w:p w14:paraId="7B30F05C">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关于变更的范围的约定：</w:t>
      </w:r>
      <w:r>
        <w:rPr>
          <w:rFonts w:hint="eastAsia" w:ascii="宋体" w:hAnsi="宋体" w:eastAsia="宋体" w:cs="宋体"/>
          <w:color w:val="auto"/>
          <w:sz w:val="24"/>
          <w:szCs w:val="24"/>
          <w:highlight w:val="none"/>
          <w:u w:val="single"/>
        </w:rPr>
        <w:t>按通用条款第10.1条执</w:t>
      </w:r>
      <w:r>
        <w:rPr>
          <w:rFonts w:hint="eastAsia" w:ascii="宋体" w:hAnsi="宋体" w:eastAsia="宋体" w:cs="宋体"/>
          <w:color w:val="auto"/>
          <w:sz w:val="24"/>
          <w:szCs w:val="24"/>
          <w:highlight w:val="none"/>
          <w:u w:val="single"/>
          <w:lang w:val="en-US" w:eastAsia="zh-CN"/>
        </w:rPr>
        <w:t>行</w:t>
      </w:r>
      <w:r>
        <w:rPr>
          <w:rFonts w:hint="eastAsia" w:ascii="宋体" w:hAnsi="宋体" w:eastAsia="宋体" w:cs="宋体"/>
          <w:color w:val="auto"/>
          <w:sz w:val="24"/>
          <w:szCs w:val="24"/>
          <w:highlight w:val="none"/>
        </w:rPr>
        <w:t>。</w:t>
      </w:r>
    </w:p>
    <w:p w14:paraId="5A962090">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变更或签证实行“先批后建”原则，遵循“一项一签、一事一签，随做随签、工完签完”的操作规范，对于逾期补办的变更或签证视为无效，严禁“先做后签、先签后审”违规行为。因工程实施需要而提出的变更或签证，应在征得监理工程师和设计单位审查同意后，由业主单位向县人民政府申请审批。申请报告应列明变更或签证原因及说明，并附上变更或签证技术方案、相关图纸、计量及预算书等材料。审批工作按以下分级原则进行：</w:t>
      </w:r>
    </w:p>
    <w:p w14:paraId="0D6A7AE8">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（一）对于实行工程总价包干的工程项目，原则上不予变更或签证审批。</w:t>
      </w:r>
    </w:p>
    <w:p w14:paraId="2251CC1D">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对于隐蔽工程，若单项变更或签证引起的工程造价增减额在3万元以下，以及非隐蔽工程单项变更或签证引起的工程造价增减额在5万元以下，将由业主单位领导班子集体研究确定，并经业主、施工、设计和监理四家单位会签后，报送县财政部门备案。对于隐蔽工程单项变更或签证引起的工程造价增减额在3万元以上，以及非隐蔽工程单项变更或签证引起的工程造价增减额在5万元以上，或者同一建设项目内隐蔽工程单项变更或签证引起的工程造价增减额累计达到或超过10万元，非隐蔽工程单项变更或签证引起的工程造价增减额累计达到或超过15万元且超过招标控制价，则需提交至县人民政府审批。</w:t>
      </w:r>
    </w:p>
    <w:p w14:paraId="28A5FC27">
      <w:pPr>
        <w:pStyle w:val="9"/>
        <w:keepNext w:val="0"/>
        <w:keepLines w:val="0"/>
        <w:pageBreakBefore w:val="0"/>
        <w:widowControl w:val="0"/>
        <w:kinsoku/>
        <w:wordWrap/>
        <w:overflowPunct/>
        <w:topLinePunct w:val="0"/>
        <w:autoSpaceDE/>
        <w:autoSpaceDN/>
        <w:bidi w:val="0"/>
        <w:adjustRightInd/>
        <w:snapToGrid/>
        <w:spacing w:after="0" w:line="40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10.2</w:t>
      </w:r>
      <w:r>
        <w:rPr>
          <w:rFonts w:hint="eastAsia" w:ascii="宋体" w:hAnsi="宋体" w:eastAsia="宋体" w:cs="宋体"/>
          <w:b/>
          <w:bCs/>
          <w:color w:val="auto"/>
          <w:sz w:val="24"/>
          <w:szCs w:val="24"/>
          <w:highlight w:val="none"/>
        </w:rPr>
        <w:t>变更的范围和内容</w:t>
      </w:r>
    </w:p>
    <w:p w14:paraId="6B6338AE">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(1)本款补充：</w:t>
      </w:r>
    </w:p>
    <w:p w14:paraId="50871BF8">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、土石方基础开挖类变更</w:t>
      </w:r>
    </w:p>
    <w:p w14:paraId="414B4D38">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管道、阀门井、泵房、水池、镇墩等构筑物基础开挖施工中，开挖至设计要求硬土层后，实际开挖深度、基底土质、开挖断面与原施工图纸设计参数不一致，因现场地质实际情况导致实际开挖工程量、回填工程量、清淤工程量与设计工程量产生偏差的，所有增减工程量均按现场实际发生量据实变更结算。</w:t>
      </w:r>
    </w:p>
    <w:p w14:paraId="6B24A836">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、农户民生配套类管线变更</w:t>
      </w:r>
    </w:p>
    <w:p w14:paraId="29B8C67F">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施工期间及质保期内，因沿线农户新建房屋、宅基地分户、院落扩建、入户位置调整等客观民生因素，需新增、改移、延长供水主管、支管及入户管道，配套新增管件、阀门、固定设施等内容，属于现场新增工作内容，纳入工程变更范围。</w:t>
      </w:r>
    </w:p>
    <w:p w14:paraId="6BEA404C">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、配套构筑物新增变更</w:t>
      </w:r>
    </w:p>
    <w:p w14:paraId="00A0DF83">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现场实际供水调度、防洪排水、通行安全、农田灌溉配套需求，需新增或改建斗闸门、节制闸、过路涵管、跨河涵洞、便桥、防护堤、导流槽等供水配套附属建筑物、构筑物，由承包人按要求增建的全部工作内容，经各方现场确认后纳入变更结算。</w:t>
      </w:r>
    </w:p>
    <w:p w14:paraId="4BAC14DE">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、现场不可预见类变更（补充通用条款）</w:t>
      </w:r>
    </w:p>
    <w:p w14:paraId="17CE88A4">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过程中遇原有地下管线、障碍物、地质软弱层、地下水、雨水冲刷、征地边界调整、村镇规划调整等不可预见、非施工方原因造成的管线改移、加固、增设防护、返工整改等工作内容，经设计及发包人现场确认后，一并列为合同外变更内容。</w:t>
      </w:r>
    </w:p>
    <w:p w14:paraId="5B8CBF80">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、变更认定要求</w:t>
      </w:r>
    </w:p>
    <w:p w14:paraId="75490DF6">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所有上述变更工作内容，须经设计单位、发包人现场技术负责人现场勘查、签字确认，留存现场影像、签证记录及收方资料，方可作为新增工程量结算依据，未完成现场确认的不予计量。</w:t>
      </w:r>
    </w:p>
    <w:p w14:paraId="1636CEEB">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设计文件、图纸及预算和工程量清单已有的建设内容和工程量，原则上不作追加和增补。</w:t>
      </w:r>
    </w:p>
    <w:p w14:paraId="32996EB5">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施工中如出现非设计原因而是因施工单位施工自身造成的基础开挖和回填、砌石、混凝土衬砌量超设计范围的，增加的这部分工程量发包人现场施工人员不予签证认可，由此所发生的费用由施工单位负责。</w:t>
      </w:r>
    </w:p>
    <w:p w14:paraId="0AFAE79A">
      <w:pPr>
        <w:pStyle w:val="9"/>
        <w:keepNext w:val="0"/>
        <w:keepLines w:val="0"/>
        <w:pageBreakBefore w:val="0"/>
        <w:widowControl w:val="0"/>
        <w:kinsoku/>
        <w:wordWrap/>
        <w:overflowPunct/>
        <w:topLinePunct w:val="0"/>
        <w:autoSpaceDE/>
        <w:autoSpaceDN/>
        <w:bidi w:val="0"/>
        <w:adjustRightInd/>
        <w:snapToGrid/>
        <w:spacing w:after="0" w:line="400" w:lineRule="exact"/>
        <w:ind w:firstLine="482" w:firstLineChars="200"/>
        <w:jc w:val="both"/>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10.3</w:t>
      </w:r>
      <w:r>
        <w:rPr>
          <w:rFonts w:hint="eastAsia" w:ascii="宋体" w:hAnsi="宋体" w:eastAsia="宋体" w:cs="宋体"/>
          <w:b/>
          <w:bCs/>
          <w:color w:val="auto"/>
          <w:sz w:val="24"/>
          <w:szCs w:val="24"/>
          <w:highlight w:val="none"/>
        </w:rPr>
        <w:t xml:space="preserve"> 变更的处理原则</w:t>
      </w:r>
    </w:p>
    <w:p w14:paraId="4E664B78">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(1)本款补充：</w:t>
      </w:r>
    </w:p>
    <w:p w14:paraId="1A62B0F2">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①合同中有适用于变更工作的项目时，按合同已有的价格构成方法计算变更合同价款；</w:t>
      </w:r>
    </w:p>
    <w:p w14:paraId="72BC2DAE">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②合同中只有类似于变更工程的价格，可以参照类似价格构成方法计算变更合同价款；</w:t>
      </w:r>
    </w:p>
    <w:p w14:paraId="1F3E68E8">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③合同中没有适用或类似于变更工程的价格，由自治区水利厅 发展改革委、财政厅联合发布的《广西水利水电工程概（预）算编制规定》、《广西水利水电工程设计概（预）算系列定额》（桂水基〔2007〕38号）和《关于调整广西水利水电建设工程定额人工预算单价的通知》（桂水基〔2016〕1号）”等规定进行编制。（不足部分可参照相关定额补充换算），主要材料价格取自当地市场价及《柳州市建设工程造价信息》。经建设单位认定的工程师确认后执行。</w:t>
      </w:r>
    </w:p>
    <w:p w14:paraId="571EBE40">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（2）按县财政局意见增加如下内容：</w:t>
      </w:r>
    </w:p>
    <w:p w14:paraId="5C68FDB7">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①结算时工程量以实际发生为计算依据；</w:t>
      </w:r>
    </w:p>
    <w:p w14:paraId="779B3E53">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②设计变更、工程签证按融政办发〔2016〕55号文件要求办理审批手续，其中隐蔽工程需提供影像资料，否则在结算时不给予计算；</w:t>
      </w:r>
    </w:p>
    <w:p w14:paraId="149829EB">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③本工程涉及到的取土、弃土及材料运距包干；</w:t>
      </w:r>
    </w:p>
    <w:p w14:paraId="1C353854">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④未经工程结算审核，合同内工程款不得超过已完成工程量的</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0%，合同外</w:t>
      </w:r>
      <w:r>
        <w:rPr>
          <w:rFonts w:hint="eastAsia" w:ascii="宋体" w:hAnsi="宋体" w:eastAsia="宋体" w:cs="宋体"/>
          <w:color w:val="auto"/>
          <w:sz w:val="24"/>
          <w:szCs w:val="24"/>
          <w:highlight w:val="none"/>
          <w:lang w:val="en-US" w:eastAsia="zh-CN"/>
        </w:rPr>
        <w:t>的不预申请</w:t>
      </w:r>
      <w:r>
        <w:rPr>
          <w:rFonts w:hint="eastAsia" w:ascii="宋体" w:hAnsi="宋体" w:eastAsia="宋体" w:cs="宋体"/>
          <w:color w:val="auto"/>
          <w:sz w:val="24"/>
          <w:szCs w:val="24"/>
          <w:highlight w:val="none"/>
        </w:rPr>
        <w:t>；</w:t>
      </w:r>
    </w:p>
    <w:p w14:paraId="29A7996E">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10.</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变更程序</w:t>
      </w:r>
    </w:p>
    <w:p w14:paraId="583DAAF3">
      <w:pPr>
        <w:pStyle w:val="24"/>
        <w:keepNext w:val="0"/>
        <w:keepLines w:val="0"/>
        <w:pageBreakBefore w:val="0"/>
        <w:widowControl w:val="0"/>
        <w:tabs>
          <w:tab w:val="left" w:pos="2031"/>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10.</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国有投资项目：</w:t>
      </w:r>
    </w:p>
    <w:p w14:paraId="2C1D26E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）设计变更和工程签证，按各市政府或相关部门的规定办理。属不可抗力（自然灾害、突发事件等）造成变更的，按特事特办原则予以办理。</w:t>
      </w:r>
    </w:p>
    <w:p w14:paraId="0358E4E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）建设单位在实施项目过程中，若发生单价变动，由发包人、承包人、监理或造价咨询等单位共同商定并签字确认。</w:t>
      </w:r>
    </w:p>
    <w:p w14:paraId="420465A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rPr>
        <w:t>） 当合同规定的合同价款调整情况发生后，承包人未在规定时间内通知发包人，或者未在规定时间内提出调整报告，发包人可以根据有关资料，决定是否调整和调整的金额，并书面通知承包人。</w:t>
      </w:r>
    </w:p>
    <w:p w14:paraId="24CE0774">
      <w:pPr>
        <w:pStyle w:val="24"/>
        <w:keepNext w:val="0"/>
        <w:keepLines w:val="0"/>
        <w:pageBreakBefore w:val="0"/>
        <w:widowControl w:val="0"/>
        <w:tabs>
          <w:tab w:val="left" w:pos="2115"/>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10.</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非国有投资项目：</w:t>
      </w:r>
      <w:r>
        <w:rPr>
          <w:rFonts w:hint="eastAsia" w:ascii="宋体" w:hAnsi="宋体" w:eastAsia="宋体" w:cs="宋体"/>
          <w:color w:val="auto"/>
          <w:sz w:val="24"/>
          <w:szCs w:val="24"/>
          <w:highlight w:val="none"/>
          <w:u w:val="single"/>
        </w:rPr>
        <w:t>待定</w:t>
      </w:r>
      <w:r>
        <w:rPr>
          <w:rFonts w:hint="eastAsia" w:ascii="宋体" w:hAnsi="宋体" w:eastAsia="宋体" w:cs="宋体"/>
          <w:color w:val="auto"/>
          <w:sz w:val="24"/>
          <w:szCs w:val="24"/>
          <w:highlight w:val="none"/>
        </w:rPr>
        <w:t>。</w:t>
      </w:r>
    </w:p>
    <w:p w14:paraId="1295E96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10.</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val="en-US" w:eastAsia="zh-CN"/>
        </w:rPr>
        <w:t>变更估价</w:t>
      </w:r>
    </w:p>
    <w:p w14:paraId="65D6F38B">
      <w:pPr>
        <w:pStyle w:val="24"/>
        <w:tabs>
          <w:tab w:val="left" w:pos="2115"/>
        </w:tabs>
        <w:spacing w:line="400" w:lineRule="exact"/>
        <w:ind w:left="0" w:firstLine="480" w:firstLineChars="20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10.</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变更估价原则</w:t>
      </w:r>
    </w:p>
    <w:p w14:paraId="00CA53E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增加或减少合同中关键项目的工程量，其单价均不予以调整。</w:t>
      </w:r>
    </w:p>
    <w:p w14:paraId="750BC61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10.</w:t>
      </w: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承包人的合理化建议</w:t>
      </w:r>
    </w:p>
    <w:p w14:paraId="2CFFD916">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监理人审查承包人合理化建议的期限：</w:t>
      </w:r>
      <w:r>
        <w:rPr>
          <w:rFonts w:hint="eastAsia" w:ascii="宋体" w:hAnsi="宋体" w:eastAsia="宋体" w:cs="宋体"/>
          <w:color w:val="auto"/>
          <w:sz w:val="24"/>
          <w:szCs w:val="24"/>
          <w:highlight w:val="none"/>
          <w:u w:val="single"/>
        </w:rPr>
        <w:t>监理人应在收到承包人提交的合理化建议后7天内审查完毕并报送发包人，发现其中存在技术上的缺陷，应通知承包人修改</w:t>
      </w:r>
      <w:r>
        <w:rPr>
          <w:rFonts w:hint="eastAsia" w:ascii="宋体" w:hAnsi="宋体" w:eastAsia="宋体" w:cs="宋体"/>
          <w:color w:val="auto"/>
          <w:sz w:val="24"/>
          <w:szCs w:val="24"/>
          <w:highlight w:val="none"/>
        </w:rPr>
        <w:t>。</w:t>
      </w:r>
    </w:p>
    <w:p w14:paraId="697F689F">
      <w:pPr>
        <w:pStyle w:val="9"/>
        <w:keepNext w:val="0"/>
        <w:keepLines w:val="0"/>
        <w:pageBreakBefore w:val="0"/>
        <w:widowControl w:val="0"/>
        <w:tabs>
          <w:tab w:val="left" w:pos="9364"/>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发包人审批承包人合理化建议的期限：</w:t>
      </w:r>
      <w:r>
        <w:rPr>
          <w:rFonts w:hint="eastAsia" w:ascii="宋体" w:hAnsi="宋体" w:eastAsia="宋体" w:cs="宋体"/>
          <w:color w:val="auto"/>
          <w:sz w:val="24"/>
          <w:szCs w:val="24"/>
          <w:highlight w:val="none"/>
          <w:u w:val="single"/>
        </w:rPr>
        <w:t>发包人应在收到监理人报送的合理化建议后7天内审批完毕</w:t>
      </w:r>
      <w:r>
        <w:rPr>
          <w:rFonts w:hint="eastAsia" w:ascii="宋体" w:hAnsi="宋体" w:eastAsia="宋体" w:cs="宋体"/>
          <w:color w:val="auto"/>
          <w:sz w:val="24"/>
          <w:szCs w:val="24"/>
          <w:highlight w:val="none"/>
        </w:rPr>
        <w:t>。</w:t>
      </w:r>
    </w:p>
    <w:p w14:paraId="65CB89ED">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承包人提出的合理化建议降低了合同价格或者提高了工程经济效益的奖励的方法和金额为 ：</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rPr>
        <w:t xml:space="preserve"> 。</w:t>
      </w:r>
    </w:p>
    <w:p w14:paraId="056E210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10.7暂估价</w:t>
      </w:r>
    </w:p>
    <w:p w14:paraId="2F5956E3">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无</w:t>
      </w:r>
    </w:p>
    <w:p w14:paraId="5B44A62B">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10.8暂列金额</w:t>
      </w:r>
    </w:p>
    <w:p w14:paraId="14760C03">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无</w:t>
      </w:r>
    </w:p>
    <w:p w14:paraId="217A12EB">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11.价格调整</w:t>
      </w:r>
    </w:p>
    <w:p w14:paraId="79508112">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11.1市场价格波动引起的调整</w:t>
      </w:r>
    </w:p>
    <w:p w14:paraId="42BF86E0">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b w:val="0"/>
          <w:bCs w:val="0"/>
          <w:color w:val="auto"/>
          <w:sz w:val="24"/>
          <w:szCs w:val="24"/>
          <w:highlight w:val="none"/>
          <w:lang w:val="en-US" w:eastAsia="zh-CN"/>
        </w:rPr>
        <w:t xml:space="preserve"> 本工程采用固定综合单价，施工期人工、材料、机械市场物价波动，综合单价不予调整。</w:t>
      </w:r>
    </w:p>
    <w:p w14:paraId="0A0DF5FB">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12.合同价格、计量与支付</w:t>
      </w:r>
    </w:p>
    <w:p w14:paraId="68E01D5A">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12.1合同价格形式</w:t>
      </w:r>
    </w:p>
    <w:p w14:paraId="687BCCCC">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本工程采用</w:t>
      </w:r>
      <w:r>
        <w:rPr>
          <w:rFonts w:hint="eastAsia" w:ascii="宋体" w:hAnsi="宋体" w:eastAsia="宋体" w:cs="宋体"/>
          <w:color w:val="auto"/>
          <w:sz w:val="24"/>
          <w:szCs w:val="24"/>
          <w:highlight w:val="none"/>
          <w:u w:val="single"/>
        </w:rPr>
        <w:t>固定综合单价</w:t>
      </w:r>
      <w:r>
        <w:rPr>
          <w:rFonts w:hint="eastAsia" w:ascii="宋体" w:hAnsi="宋体" w:eastAsia="宋体" w:cs="宋体"/>
          <w:color w:val="auto"/>
          <w:sz w:val="24"/>
          <w:szCs w:val="24"/>
          <w:highlight w:val="none"/>
          <w:u w:val="none"/>
        </w:rPr>
        <w:t>合同价格形式。</w:t>
      </w:r>
    </w:p>
    <w:p w14:paraId="2AD2945D">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lang w:val="en-US"/>
        </w:rPr>
        <w:t>（1）单价合同。</w:t>
      </w:r>
    </w:p>
    <w:p w14:paraId="01F306D5">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lang w:val="en-US"/>
        </w:rPr>
        <w:t>本合同价款采用固定综合单价方式确定，工程量按实际结算。</w:t>
      </w:r>
    </w:p>
    <w:p w14:paraId="1D105999">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lang w:val="en-US"/>
        </w:rPr>
        <w:t>综合单价包含的风险范围：</w:t>
      </w:r>
      <w:r>
        <w:rPr>
          <w:rFonts w:hint="eastAsia" w:ascii="宋体" w:hAnsi="宋体" w:eastAsia="宋体" w:cs="宋体"/>
          <w:color w:val="auto"/>
          <w:sz w:val="24"/>
          <w:szCs w:val="24"/>
          <w:highlight w:val="none"/>
          <w:u w:val="single"/>
          <w:lang w:val="en-US"/>
        </w:rPr>
        <w:t>除工程变更、政策性调整、设备价格变动风险以外因素</w:t>
      </w:r>
      <w:r>
        <w:rPr>
          <w:rFonts w:hint="eastAsia" w:ascii="宋体" w:hAnsi="宋体" w:eastAsia="宋体" w:cs="宋体"/>
          <w:color w:val="auto"/>
          <w:sz w:val="24"/>
          <w:szCs w:val="24"/>
          <w:highlight w:val="none"/>
          <w:u w:val="none"/>
          <w:lang w:val="en-US"/>
        </w:rPr>
        <w:t>。</w:t>
      </w:r>
    </w:p>
    <w:p w14:paraId="2CDA1BF0">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lang w:val="en-US"/>
        </w:rPr>
        <w:t>风险范围以外合同价款调整方法：</w:t>
      </w:r>
    </w:p>
    <w:p w14:paraId="5DDCBFE2">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lang w:val="en-US"/>
        </w:rPr>
        <w:t>①工程变更：按</w:t>
      </w:r>
      <w:r>
        <w:rPr>
          <w:rFonts w:hint="eastAsia" w:ascii="宋体" w:hAnsi="宋体" w:eastAsia="宋体" w:cs="宋体"/>
          <w:color w:val="auto"/>
          <w:sz w:val="24"/>
          <w:szCs w:val="24"/>
          <w:highlight w:val="none"/>
          <w:u w:val="none"/>
          <w:lang w:val="en-US" w:eastAsia="zh-CN"/>
        </w:rPr>
        <w:t>10.4.1条</w:t>
      </w:r>
      <w:r>
        <w:rPr>
          <w:rFonts w:hint="eastAsia" w:ascii="宋体" w:hAnsi="宋体" w:eastAsia="宋体" w:cs="宋体"/>
          <w:color w:val="auto"/>
          <w:sz w:val="24"/>
          <w:szCs w:val="24"/>
          <w:highlight w:val="none"/>
          <w:u w:val="none"/>
          <w:lang w:val="en-US"/>
        </w:rPr>
        <w:t>变更估价原则的约定调整。</w:t>
      </w:r>
    </w:p>
    <w:p w14:paraId="1A477AC0">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lang w:val="en-US"/>
        </w:rPr>
        <w:t>②政策性调整：按自治区建设行政主管部门颁布的文件执行。</w:t>
      </w:r>
    </w:p>
    <w:p w14:paraId="3F2344A0">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lang w:val="en-US"/>
        </w:rPr>
        <w:t>③材料价格风险：</w:t>
      </w:r>
      <w:r>
        <w:rPr>
          <w:rFonts w:hint="eastAsia" w:ascii="宋体" w:hAnsi="宋体" w:eastAsia="宋体" w:cs="宋体"/>
          <w:color w:val="auto"/>
          <w:sz w:val="24"/>
          <w:szCs w:val="24"/>
          <w:highlight w:val="none"/>
          <w:u w:val="single"/>
          <w:lang w:val="en-US" w:eastAsia="zh-CN"/>
        </w:rPr>
        <w:t>双方另行协商</w:t>
      </w:r>
      <w:r>
        <w:rPr>
          <w:rFonts w:hint="eastAsia" w:ascii="宋体" w:hAnsi="宋体" w:eastAsia="宋体" w:cs="宋体"/>
          <w:color w:val="auto"/>
          <w:sz w:val="24"/>
          <w:szCs w:val="24"/>
          <w:highlight w:val="none"/>
          <w:u w:val="none"/>
          <w:lang w:val="en-US"/>
        </w:rPr>
        <w:t>。</w:t>
      </w:r>
    </w:p>
    <w:p w14:paraId="5AEBEE76">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lang w:val="en-US"/>
        </w:rPr>
        <w:t>④其它：</w:t>
      </w:r>
      <w:r>
        <w:rPr>
          <w:rFonts w:hint="eastAsia" w:ascii="宋体" w:hAnsi="宋体" w:eastAsia="宋体" w:cs="宋体"/>
          <w:color w:val="auto"/>
          <w:sz w:val="24"/>
          <w:szCs w:val="24"/>
          <w:highlight w:val="none"/>
          <w:u w:val="single"/>
          <w:lang w:val="en-US"/>
        </w:rPr>
        <w:t xml:space="preserve">  /   </w:t>
      </w:r>
      <w:r>
        <w:rPr>
          <w:rFonts w:hint="eastAsia" w:ascii="宋体" w:hAnsi="宋体" w:eastAsia="宋体" w:cs="宋体"/>
          <w:color w:val="auto"/>
          <w:sz w:val="24"/>
          <w:szCs w:val="24"/>
          <w:highlight w:val="none"/>
          <w:u w:val="none"/>
          <w:lang w:val="en-US"/>
        </w:rPr>
        <w:t>。</w:t>
      </w:r>
    </w:p>
    <w:p w14:paraId="5F6192F1">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lang w:val="en-US"/>
        </w:rPr>
        <w:t>（2）总价合同。</w:t>
      </w:r>
    </w:p>
    <w:p w14:paraId="20A1E9D6">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lang w:val="en-US"/>
        </w:rPr>
        <w:t>总价包含的风险范围</w:t>
      </w:r>
      <w:r>
        <w:rPr>
          <w:rFonts w:hint="eastAsia" w:ascii="宋体" w:hAnsi="宋体" w:eastAsia="宋体" w:cs="宋体"/>
          <w:color w:val="auto"/>
          <w:sz w:val="24"/>
          <w:szCs w:val="24"/>
          <w:highlight w:val="none"/>
          <w:u w:val="single"/>
          <w:lang w:val="en-US"/>
        </w:rPr>
        <w:t xml:space="preserve">：    /     </w:t>
      </w:r>
      <w:r>
        <w:rPr>
          <w:rFonts w:hint="eastAsia" w:ascii="宋体" w:hAnsi="宋体" w:eastAsia="宋体" w:cs="宋体"/>
          <w:color w:val="auto"/>
          <w:sz w:val="24"/>
          <w:szCs w:val="24"/>
          <w:highlight w:val="none"/>
          <w:u w:val="none"/>
          <w:lang w:val="en-US"/>
        </w:rPr>
        <w:t>。</w:t>
      </w:r>
    </w:p>
    <w:p w14:paraId="30F8AA4D">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lang w:val="en-US"/>
        </w:rPr>
        <w:t>风险范围以外合同价格的调整方法：</w:t>
      </w:r>
      <w:r>
        <w:rPr>
          <w:rFonts w:hint="eastAsia" w:ascii="宋体" w:hAnsi="宋体" w:eastAsia="宋体" w:cs="宋体"/>
          <w:color w:val="auto"/>
          <w:sz w:val="24"/>
          <w:szCs w:val="24"/>
          <w:highlight w:val="none"/>
          <w:u w:val="single"/>
          <w:lang w:val="en-US"/>
        </w:rPr>
        <w:t xml:space="preserve">    /     </w:t>
      </w:r>
      <w:r>
        <w:rPr>
          <w:rFonts w:hint="eastAsia" w:ascii="宋体" w:hAnsi="宋体" w:eastAsia="宋体" w:cs="宋体"/>
          <w:color w:val="auto"/>
          <w:sz w:val="24"/>
          <w:szCs w:val="24"/>
          <w:highlight w:val="none"/>
          <w:u w:val="none"/>
          <w:lang w:val="en-US"/>
        </w:rPr>
        <w:t>。</w:t>
      </w:r>
    </w:p>
    <w:p w14:paraId="67086948">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lang w:val="en-US"/>
        </w:rPr>
        <w:t>（3）其他价格方式：</w:t>
      </w:r>
      <w:r>
        <w:rPr>
          <w:rFonts w:hint="eastAsia" w:ascii="宋体" w:hAnsi="宋体" w:eastAsia="宋体" w:cs="宋体"/>
          <w:color w:val="auto"/>
          <w:sz w:val="24"/>
          <w:szCs w:val="24"/>
          <w:highlight w:val="none"/>
          <w:u w:val="single"/>
          <w:lang w:val="en-US"/>
        </w:rPr>
        <w:t xml:space="preserve">    /     </w:t>
      </w:r>
      <w:r>
        <w:rPr>
          <w:rFonts w:hint="eastAsia" w:ascii="宋体" w:hAnsi="宋体" w:eastAsia="宋体" w:cs="宋体"/>
          <w:color w:val="auto"/>
          <w:sz w:val="24"/>
          <w:szCs w:val="24"/>
          <w:highlight w:val="none"/>
          <w:u w:val="none"/>
          <w:lang w:val="en-US"/>
        </w:rPr>
        <w:t>。</w:t>
      </w:r>
    </w:p>
    <w:p w14:paraId="67E52226">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lang w:val="en-US"/>
        </w:rPr>
        <w:t>本工程最终结算应经审计部门或中介机构审定。</w:t>
      </w:r>
    </w:p>
    <w:p w14:paraId="2AE5E3C2">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lang w:val="en-US"/>
        </w:rPr>
      </w:pPr>
      <w:r>
        <w:rPr>
          <w:rFonts w:hint="eastAsia" w:ascii="宋体" w:hAnsi="宋体" w:eastAsia="宋体" w:cs="宋体"/>
          <w:color w:val="auto"/>
          <w:sz w:val="24"/>
          <w:szCs w:val="24"/>
          <w:highlight w:val="none"/>
          <w:u w:val="none"/>
          <w:lang w:val="en-US"/>
        </w:rPr>
        <w:t>国家和自治区政策性调整有关费用标准的，按文件规定执行。</w:t>
      </w:r>
    </w:p>
    <w:p w14:paraId="79DBC4A9">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本项目现阶段暂按2007版广西水利概（预）算编规定额编制招标控制价及投标报价；依据《自治区水利厅 自治区发展改革委关于发布广西水利水电工程设计概(预)算编制规定及系列定额的通知》（桂水建设〔2025〕26号）文件要求，2026年3月1日起执行新编规新定额。</w:t>
      </w:r>
    </w:p>
    <w:p w14:paraId="461455A2">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因新编规定额暂未正式出版、造价计价软件未完成更新过渡，后期结算严格按照自治区水利主管部门正式下发执行细则、新旧定额过渡文件统一办理政策性定额价差调整，其余市场价格风险不予调整。</w:t>
      </w:r>
    </w:p>
    <w:p w14:paraId="0A243B6E">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12.2预付款</w:t>
      </w:r>
    </w:p>
    <w:p w14:paraId="01308895">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rPr>
        <w:t>12.2.1</w:t>
      </w:r>
      <w:r>
        <w:rPr>
          <w:rFonts w:hint="eastAsia" w:ascii="宋体" w:hAnsi="宋体" w:eastAsia="宋体" w:cs="宋体"/>
          <w:color w:val="auto"/>
          <w:sz w:val="24"/>
          <w:szCs w:val="24"/>
          <w:highlight w:val="none"/>
          <w:u w:val="none"/>
        </w:rPr>
        <w:t>预付款的支付</w:t>
      </w:r>
    </w:p>
    <w:p w14:paraId="5E80C292">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预付款支付比例或金额：</w:t>
      </w:r>
      <w:r>
        <w:rPr>
          <w:rFonts w:hint="eastAsia" w:ascii="宋体" w:hAnsi="宋体" w:eastAsia="宋体" w:cs="宋体"/>
          <w:color w:val="auto"/>
          <w:sz w:val="24"/>
          <w:szCs w:val="24"/>
          <w:highlight w:val="none"/>
          <w:u w:val="single"/>
        </w:rPr>
        <w:t>合同总价的</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lang w:val="en-US"/>
        </w:rPr>
        <w:t>%</w:t>
      </w:r>
      <w:r>
        <w:rPr>
          <w:rFonts w:hint="eastAsia" w:ascii="宋体" w:hAnsi="宋体" w:eastAsia="宋体" w:cs="宋体"/>
          <w:color w:val="auto"/>
          <w:sz w:val="24"/>
          <w:szCs w:val="24"/>
          <w:highlight w:val="none"/>
          <w:u w:val="none"/>
        </w:rPr>
        <w:t>。</w:t>
      </w:r>
    </w:p>
    <w:p w14:paraId="467978F9">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预付款支付期限：</w:t>
      </w:r>
      <w:r>
        <w:rPr>
          <w:rFonts w:hint="eastAsia" w:ascii="宋体" w:hAnsi="宋体" w:eastAsia="宋体" w:cs="宋体"/>
          <w:color w:val="auto"/>
          <w:sz w:val="24"/>
          <w:szCs w:val="24"/>
          <w:highlight w:val="none"/>
          <w:u w:val="single"/>
        </w:rPr>
        <w:t>合同协议书签订，发包人自收到发票后</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个工作日内</w:t>
      </w:r>
      <w:r>
        <w:rPr>
          <w:rFonts w:hint="eastAsia" w:ascii="宋体" w:hAnsi="宋体" w:eastAsia="宋体" w:cs="宋体"/>
          <w:color w:val="auto"/>
          <w:sz w:val="24"/>
          <w:szCs w:val="24"/>
          <w:highlight w:val="none"/>
          <w:u w:val="single"/>
          <w:lang w:val="en-US" w:eastAsia="zh-CN"/>
        </w:rPr>
        <w:t>支付</w:t>
      </w:r>
      <w:r>
        <w:rPr>
          <w:rFonts w:hint="eastAsia" w:ascii="宋体" w:hAnsi="宋体" w:eastAsia="宋体" w:cs="宋体"/>
          <w:color w:val="auto"/>
          <w:sz w:val="24"/>
          <w:szCs w:val="24"/>
          <w:highlight w:val="none"/>
          <w:u w:val="none"/>
        </w:rPr>
        <w:t>。</w:t>
      </w:r>
    </w:p>
    <w:p w14:paraId="658D7693">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预付款扣回的方式：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无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w:t>
      </w:r>
    </w:p>
    <w:p w14:paraId="7FFD7781">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rPr>
        <w:t>12.2.2</w:t>
      </w:r>
      <w:r>
        <w:rPr>
          <w:rFonts w:hint="eastAsia" w:ascii="宋体" w:hAnsi="宋体" w:eastAsia="宋体" w:cs="宋体"/>
          <w:color w:val="auto"/>
          <w:sz w:val="24"/>
          <w:szCs w:val="24"/>
          <w:highlight w:val="none"/>
          <w:u w:val="none"/>
        </w:rPr>
        <w:t>预付款担保</w:t>
      </w:r>
    </w:p>
    <w:p w14:paraId="05E49904">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承包人提交预付款担保的期限：</w:t>
      </w:r>
      <w:r>
        <w:rPr>
          <w:rFonts w:hint="eastAsia" w:ascii="宋体" w:hAnsi="宋体" w:eastAsia="宋体" w:cs="宋体"/>
          <w:color w:val="auto"/>
          <w:sz w:val="24"/>
          <w:szCs w:val="24"/>
          <w:highlight w:val="none"/>
          <w:u w:val="single"/>
        </w:rPr>
        <w:t xml:space="preserve"> 无</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none"/>
        </w:rPr>
        <w:t>。</w:t>
      </w:r>
    </w:p>
    <w:p w14:paraId="730961A2">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预付款担保的形式为：</w:t>
      </w:r>
      <w:r>
        <w:rPr>
          <w:rFonts w:hint="eastAsia" w:ascii="宋体" w:hAnsi="宋体" w:eastAsia="宋体" w:cs="宋体"/>
          <w:color w:val="auto"/>
          <w:sz w:val="24"/>
          <w:szCs w:val="24"/>
          <w:highlight w:val="none"/>
          <w:u w:val="single"/>
        </w:rPr>
        <w:t xml:space="preserve"> 无</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none"/>
        </w:rPr>
        <w:t>。</w:t>
      </w:r>
    </w:p>
    <w:p w14:paraId="53910BC7">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预付款支付申请（核准）表见合同附件</w:t>
      </w:r>
      <w:r>
        <w:rPr>
          <w:rFonts w:hint="eastAsia" w:ascii="宋体" w:hAnsi="宋体" w:eastAsia="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lang w:eastAsia="zh-CN"/>
        </w:rPr>
        <w:t>。</w:t>
      </w:r>
    </w:p>
    <w:p w14:paraId="2957394E">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12.3计量</w:t>
      </w:r>
    </w:p>
    <w:p w14:paraId="2AD0FFE9">
      <w:pPr>
        <w:pStyle w:val="24"/>
        <w:tabs>
          <w:tab w:val="left" w:pos="2115"/>
        </w:tabs>
        <w:spacing w:line="400" w:lineRule="exact"/>
        <w:ind w:left="0" w:firstLine="480" w:firstLineChars="200"/>
        <w:jc w:val="both"/>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12.3.1</w:t>
      </w:r>
      <w:r>
        <w:rPr>
          <w:rFonts w:hint="eastAsia" w:ascii="宋体" w:hAnsi="宋体" w:eastAsia="宋体" w:cs="宋体"/>
          <w:color w:val="auto"/>
          <w:sz w:val="24"/>
          <w:szCs w:val="24"/>
          <w:highlight w:val="none"/>
        </w:rPr>
        <w:t>计量原则</w:t>
      </w:r>
    </w:p>
    <w:p w14:paraId="33C79A52">
      <w:pPr>
        <w:pStyle w:val="9"/>
        <w:spacing w:line="400" w:lineRule="exact"/>
        <w:ind w:firstLine="480" w:firstLineChars="200"/>
        <w:jc w:val="both"/>
        <w:rPr>
          <w:rFonts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工程量计算规则：</w:t>
      </w:r>
      <w:r>
        <w:rPr>
          <w:rFonts w:hint="eastAsia" w:ascii="宋体" w:hAnsi="宋体" w:eastAsia="宋体" w:cs="宋体"/>
          <w:color w:val="auto"/>
          <w:sz w:val="24"/>
          <w:szCs w:val="24"/>
          <w:highlight w:val="none"/>
          <w:u w:val="single"/>
        </w:rPr>
        <w:t>工程的计量均以国家标准《建设工程工程量清单计价规范》(GB 50500-2013)、《&lt;建设工程工程量清单计价规范&gt;GB50500-2013 广西壮族自治区实施细则》、《建设工程工程量清单计算规范》(GB 50854~50862-2013)及其广西实施细则(修订本)、《关于建筑业实施营业税改征增值税后广西壮族自治区建设工程计价依据调整的通知》(桂建标(2016)17号)、《关于调整除税价计算使用增值税税率的通知》(桂建标(2018)14号)、《关于调整除税价计算适用增值税税率的通知》(桂建标(2019)10号)及本工程所使用定额的计算规则等计算方法为准，如有不明之处，应以造价管理部门确定的计量方法为准。</w:t>
      </w:r>
    </w:p>
    <w:p w14:paraId="16325EFF">
      <w:pPr>
        <w:pStyle w:val="24"/>
        <w:keepNext w:val="0"/>
        <w:keepLines w:val="0"/>
        <w:pageBreakBefore w:val="0"/>
        <w:widowControl w:val="0"/>
        <w:tabs>
          <w:tab w:val="left" w:pos="2115"/>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12.3.2</w:t>
      </w:r>
      <w:r>
        <w:rPr>
          <w:rFonts w:hint="eastAsia" w:ascii="宋体" w:hAnsi="宋体" w:eastAsia="宋体" w:cs="宋体"/>
          <w:color w:val="auto"/>
          <w:sz w:val="24"/>
          <w:szCs w:val="24"/>
          <w:highlight w:val="none"/>
        </w:rPr>
        <w:t>计量周期</w:t>
      </w:r>
    </w:p>
    <w:p w14:paraId="4284C7EF">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关于计量周期的约定：</w:t>
      </w:r>
      <w:r>
        <w:rPr>
          <w:rFonts w:hint="eastAsia" w:ascii="宋体" w:hAnsi="宋体" w:eastAsia="宋体" w:cs="宋体"/>
          <w:color w:val="auto"/>
          <w:sz w:val="24"/>
          <w:szCs w:val="24"/>
          <w:highlight w:val="none"/>
          <w:u w:val="single"/>
        </w:rPr>
        <w:t>每月25日前提交当月已完工程量报告</w:t>
      </w:r>
      <w:r>
        <w:rPr>
          <w:rFonts w:hint="eastAsia" w:ascii="宋体" w:hAnsi="宋体" w:eastAsia="宋体" w:cs="宋体"/>
          <w:color w:val="auto"/>
          <w:sz w:val="24"/>
          <w:szCs w:val="24"/>
          <w:highlight w:val="none"/>
        </w:rPr>
        <w:t>。</w:t>
      </w:r>
    </w:p>
    <w:p w14:paraId="765E127B">
      <w:pPr>
        <w:pStyle w:val="24"/>
        <w:keepNext w:val="0"/>
        <w:keepLines w:val="0"/>
        <w:pageBreakBefore w:val="0"/>
        <w:widowControl w:val="0"/>
        <w:tabs>
          <w:tab w:val="left" w:pos="2115"/>
        </w:tabs>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12.3.3</w:t>
      </w:r>
      <w:r>
        <w:rPr>
          <w:rFonts w:hint="eastAsia" w:ascii="宋体" w:hAnsi="宋体" w:eastAsia="宋体" w:cs="宋体"/>
          <w:color w:val="auto"/>
          <w:sz w:val="24"/>
          <w:szCs w:val="24"/>
          <w:highlight w:val="none"/>
        </w:rPr>
        <w:t xml:space="preserve">单价合同的计量  </w:t>
      </w:r>
    </w:p>
    <w:p w14:paraId="6A37A8A6">
      <w:pPr>
        <w:pStyle w:val="24"/>
        <w:keepNext w:val="0"/>
        <w:keepLines w:val="0"/>
        <w:pageBreakBefore w:val="0"/>
        <w:widowControl w:val="0"/>
        <w:tabs>
          <w:tab w:val="left" w:pos="2115"/>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关于单价合同计量的约定：</w:t>
      </w:r>
    </w:p>
    <w:p w14:paraId="5872B06C">
      <w:pPr>
        <w:pStyle w:val="24"/>
        <w:keepNext w:val="0"/>
        <w:keepLines w:val="0"/>
        <w:pageBreakBefore w:val="0"/>
        <w:widowControl w:val="0"/>
        <w:tabs>
          <w:tab w:val="left" w:pos="1822"/>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）工程量清单所列的工程量，不能作为承包人按合同履行其责任依据，实际施工中发生的工程量增加或减少并不影响承包人履行合同的责任，工程结算以完成的实际工程量为准。</w:t>
      </w:r>
    </w:p>
    <w:p w14:paraId="07183CE3">
      <w:pPr>
        <w:pStyle w:val="24"/>
        <w:keepNext w:val="0"/>
        <w:keepLines w:val="0"/>
        <w:pageBreakBefore w:val="0"/>
        <w:widowControl w:val="0"/>
        <w:tabs>
          <w:tab w:val="left" w:pos="1822"/>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）除另有规定外，工程师应按照合同通过计量来核实确定已完成的工程量和价款，承包人应得到该价款扣除保留金后的金额。当工程师要对已完工的工程量进行计量时，应适时地通知承包人参加。</w:t>
      </w:r>
    </w:p>
    <w:p w14:paraId="690D8361">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12.3.6 其他价格形式合同的计量</w:t>
      </w:r>
    </w:p>
    <w:p w14:paraId="05806496">
      <w:pPr>
        <w:pStyle w:val="9"/>
        <w:keepNext w:val="0"/>
        <w:keepLines w:val="0"/>
        <w:pageBreakBefore w:val="0"/>
        <w:widowControl w:val="0"/>
        <w:tabs>
          <w:tab w:val="left" w:pos="4846"/>
          <w:tab w:val="left" w:pos="5895"/>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其他价格形式的计量方式和程序：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双方另行协商</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1464352A">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12.4工程进度款支付</w:t>
      </w:r>
    </w:p>
    <w:p w14:paraId="5A3FB19E">
      <w:pPr>
        <w:pStyle w:val="24"/>
        <w:tabs>
          <w:tab w:val="left" w:pos="2115"/>
        </w:tabs>
        <w:spacing w:line="400" w:lineRule="exact"/>
        <w:ind w:left="0"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12.4.1</w:t>
      </w:r>
      <w:r>
        <w:rPr>
          <w:rFonts w:hint="eastAsia" w:ascii="宋体" w:hAnsi="宋体" w:eastAsia="宋体" w:cs="宋体"/>
          <w:color w:val="auto"/>
          <w:sz w:val="24"/>
          <w:szCs w:val="24"/>
          <w:highlight w:val="none"/>
        </w:rPr>
        <w:t>付款周期</w:t>
      </w:r>
    </w:p>
    <w:p w14:paraId="6D1F2EE4">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关于付款周期的约定：</w:t>
      </w:r>
      <w:r>
        <w:rPr>
          <w:rFonts w:hint="eastAsia" w:ascii="宋体" w:hAnsi="宋体" w:eastAsia="宋体" w:cs="宋体"/>
          <w:color w:val="auto"/>
          <w:sz w:val="24"/>
          <w:szCs w:val="24"/>
          <w:highlight w:val="none"/>
          <w:u w:val="single"/>
        </w:rPr>
        <w:t>工程完工后并经发包人对工程项目进行验收合格后，支付至本合同金额(扣除发包人材料设备价款、暂估专业工程、暂列金额后)的80%，竣工结算经发包人或发包人指定的审核机构审定且经发包人复核确认后，工程款支付至结算总价的</w:t>
      </w:r>
      <w:r>
        <w:rPr>
          <w:rFonts w:hint="eastAsia" w:ascii="宋体" w:hAnsi="宋体" w:cs="宋体"/>
          <w:color w:val="auto"/>
          <w:sz w:val="24"/>
          <w:szCs w:val="24"/>
          <w:highlight w:val="none"/>
          <w:u w:val="single"/>
          <w:lang w:val="en-US" w:eastAsia="zh-CN"/>
        </w:rPr>
        <w:t>93</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eastAsia="zh-CN"/>
        </w:rPr>
        <w:t>扣除</w:t>
      </w:r>
      <w:r>
        <w:rPr>
          <w:rFonts w:hint="eastAsia" w:ascii="宋体" w:hAnsi="宋体" w:eastAsia="宋体" w:cs="宋体"/>
          <w:color w:val="auto"/>
          <w:sz w:val="24"/>
          <w:szCs w:val="24"/>
          <w:highlight w:val="none"/>
          <w:u w:val="single"/>
        </w:rPr>
        <w:t>3%</w:t>
      </w:r>
      <w:r>
        <w:rPr>
          <w:rFonts w:hint="eastAsia" w:ascii="宋体" w:hAnsi="宋体" w:cs="宋体"/>
          <w:color w:val="auto"/>
          <w:sz w:val="24"/>
          <w:szCs w:val="24"/>
          <w:highlight w:val="none"/>
          <w:u w:val="single"/>
          <w:lang w:eastAsia="zh-CN"/>
        </w:rPr>
        <w:t>作为</w:t>
      </w:r>
      <w:r>
        <w:rPr>
          <w:rFonts w:hint="eastAsia" w:ascii="宋体" w:hAnsi="宋体" w:eastAsia="宋体" w:cs="宋体"/>
          <w:color w:val="auto"/>
          <w:sz w:val="24"/>
          <w:szCs w:val="24"/>
          <w:highlight w:val="none"/>
          <w:u w:val="single"/>
        </w:rPr>
        <w:t>质量保修金，待缺陷责任期满后按相关约定退还(无息)。本工程所有款项须由承包人根据当期应付工程款开具相应金额的增值税专用发票，发包人在收到发票后支付相应的工程款。</w:t>
      </w:r>
    </w:p>
    <w:p w14:paraId="54F0FC7E">
      <w:pPr>
        <w:pStyle w:val="24"/>
        <w:keepNext w:val="0"/>
        <w:keepLines w:val="0"/>
        <w:pageBreakBefore w:val="0"/>
        <w:widowControl w:val="0"/>
        <w:tabs>
          <w:tab w:val="left" w:pos="2115"/>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12.4.2</w:t>
      </w:r>
      <w:r>
        <w:rPr>
          <w:rFonts w:hint="eastAsia" w:ascii="宋体" w:hAnsi="宋体" w:eastAsia="宋体" w:cs="宋体"/>
          <w:color w:val="auto"/>
          <w:sz w:val="24"/>
          <w:szCs w:val="24"/>
          <w:highlight w:val="none"/>
        </w:rPr>
        <w:t>进度付款申请单的编制</w:t>
      </w:r>
    </w:p>
    <w:p w14:paraId="6672F51D">
      <w:pPr>
        <w:pStyle w:val="9"/>
        <w:keepNext w:val="0"/>
        <w:keepLines w:val="0"/>
        <w:pageBreakBefore w:val="0"/>
        <w:widowControl w:val="0"/>
        <w:tabs>
          <w:tab w:val="left" w:pos="4846"/>
          <w:tab w:val="left" w:pos="7681"/>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关于进度付款申请单编制的约定：</w:t>
      </w:r>
      <w:r>
        <w:rPr>
          <w:rFonts w:hint="eastAsia" w:ascii="宋体" w:hAnsi="宋体" w:eastAsia="宋体" w:cs="宋体"/>
          <w:color w:val="auto"/>
          <w:sz w:val="24"/>
          <w:szCs w:val="24"/>
          <w:highlight w:val="none"/>
          <w:u w:val="single"/>
        </w:rPr>
        <w:t>进度付款申请单的份数为4份，内容为工程量计量报表</w:t>
      </w:r>
      <w:r>
        <w:rPr>
          <w:rFonts w:hint="eastAsia" w:ascii="宋体" w:hAnsi="宋体" w:eastAsia="宋体" w:cs="宋体"/>
          <w:color w:val="auto"/>
          <w:sz w:val="24"/>
          <w:szCs w:val="24"/>
          <w:highlight w:val="none"/>
        </w:rPr>
        <w:t>。</w:t>
      </w:r>
    </w:p>
    <w:p w14:paraId="6DC582C6">
      <w:pPr>
        <w:pStyle w:val="24"/>
        <w:keepNext w:val="0"/>
        <w:keepLines w:val="0"/>
        <w:pageBreakBefore w:val="0"/>
        <w:widowControl w:val="0"/>
        <w:tabs>
          <w:tab w:val="left" w:pos="2115"/>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12.4.3</w:t>
      </w:r>
      <w:r>
        <w:rPr>
          <w:rFonts w:hint="eastAsia" w:ascii="宋体" w:hAnsi="宋体" w:eastAsia="宋体" w:cs="宋体"/>
          <w:color w:val="auto"/>
          <w:sz w:val="24"/>
          <w:szCs w:val="24"/>
          <w:highlight w:val="none"/>
        </w:rPr>
        <w:t>进度付款申请单的提交</w:t>
      </w:r>
    </w:p>
    <w:p w14:paraId="5340A62D">
      <w:pPr>
        <w:pStyle w:val="24"/>
        <w:keepNext w:val="0"/>
        <w:keepLines w:val="0"/>
        <w:pageBreakBefore w:val="0"/>
        <w:widowControl w:val="0"/>
        <w:tabs>
          <w:tab w:val="left" w:pos="1907"/>
          <w:tab w:val="left" w:pos="8310"/>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）单价合同进度付款申请单提交的约定：</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w:t>
      </w:r>
    </w:p>
    <w:p w14:paraId="58BBBF28">
      <w:pPr>
        <w:pStyle w:val="24"/>
        <w:keepNext w:val="0"/>
        <w:keepLines w:val="0"/>
        <w:pageBreakBefore w:val="0"/>
        <w:widowControl w:val="0"/>
        <w:tabs>
          <w:tab w:val="left" w:pos="1907"/>
          <w:tab w:val="left" w:pos="6313"/>
          <w:tab w:val="left" w:pos="7258"/>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）总价合同进度付款申请单提交的约定：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78091B29">
      <w:pPr>
        <w:pStyle w:val="24"/>
        <w:keepNext w:val="0"/>
        <w:keepLines w:val="0"/>
        <w:pageBreakBefore w:val="0"/>
        <w:widowControl w:val="0"/>
        <w:tabs>
          <w:tab w:val="left" w:pos="1907"/>
          <w:tab w:val="left" w:pos="7575"/>
          <w:tab w:val="left" w:pos="9044"/>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rPr>
        <w:t>其他价格形式合同进度付款申请单提交的约定：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31F2C3FA">
      <w:pPr>
        <w:pStyle w:val="24"/>
        <w:keepNext w:val="0"/>
        <w:keepLines w:val="0"/>
        <w:pageBreakBefore w:val="0"/>
        <w:widowControl w:val="0"/>
        <w:tabs>
          <w:tab w:val="left" w:pos="2115"/>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12.4.4</w:t>
      </w:r>
      <w:r>
        <w:rPr>
          <w:rFonts w:hint="eastAsia" w:ascii="宋体" w:hAnsi="宋体" w:eastAsia="宋体" w:cs="宋体"/>
          <w:color w:val="auto"/>
          <w:sz w:val="24"/>
          <w:szCs w:val="24"/>
          <w:highlight w:val="none"/>
        </w:rPr>
        <w:t>进度款审核和支付</w:t>
      </w:r>
    </w:p>
    <w:p w14:paraId="6DBFC9F3">
      <w:pPr>
        <w:pStyle w:val="24"/>
        <w:keepNext w:val="0"/>
        <w:keepLines w:val="0"/>
        <w:pageBreakBefore w:val="0"/>
        <w:widowControl w:val="0"/>
        <w:tabs>
          <w:tab w:val="left" w:pos="1907"/>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）监理人审查并报送发包人的期限：</w:t>
      </w:r>
      <w:r>
        <w:rPr>
          <w:rFonts w:hint="eastAsia" w:ascii="宋体" w:hAnsi="宋体" w:eastAsia="宋体" w:cs="宋体"/>
          <w:color w:val="auto"/>
          <w:sz w:val="24"/>
          <w:szCs w:val="24"/>
          <w:highlight w:val="none"/>
          <w:u w:val="single"/>
        </w:rPr>
        <w:t>收到申请7天内</w:t>
      </w:r>
      <w:r>
        <w:rPr>
          <w:rFonts w:hint="eastAsia" w:ascii="宋体" w:hAnsi="宋体" w:eastAsia="宋体" w:cs="宋体"/>
          <w:color w:val="auto"/>
          <w:sz w:val="24"/>
          <w:szCs w:val="24"/>
          <w:highlight w:val="none"/>
        </w:rPr>
        <w:t>。</w:t>
      </w:r>
    </w:p>
    <w:p w14:paraId="211C9C81">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发包人完成审批并签发进度款支付证书的期限：</w:t>
      </w:r>
      <w:r>
        <w:rPr>
          <w:rFonts w:hint="eastAsia" w:ascii="宋体" w:hAnsi="宋体" w:eastAsia="宋体" w:cs="宋体"/>
          <w:color w:val="auto"/>
          <w:kern w:val="2"/>
          <w:sz w:val="24"/>
          <w:szCs w:val="24"/>
          <w:highlight w:val="none"/>
          <w:u w:val="single"/>
          <w:lang w:val="en-US" w:eastAsia="zh-CN" w:bidi="ar-SA"/>
        </w:rPr>
        <w:t>收到申请7天内</w:t>
      </w:r>
      <w:r>
        <w:rPr>
          <w:rFonts w:hint="eastAsia" w:ascii="宋体" w:hAnsi="宋体" w:eastAsia="宋体" w:cs="宋体"/>
          <w:color w:val="auto"/>
          <w:sz w:val="24"/>
          <w:szCs w:val="24"/>
          <w:highlight w:val="none"/>
        </w:rPr>
        <w:t>。</w:t>
      </w:r>
    </w:p>
    <w:p w14:paraId="5EF593D0">
      <w:pPr>
        <w:pStyle w:val="24"/>
        <w:keepNext w:val="0"/>
        <w:keepLines w:val="0"/>
        <w:pageBreakBefore w:val="0"/>
        <w:widowControl w:val="0"/>
        <w:tabs>
          <w:tab w:val="left" w:pos="1905"/>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）发包人支付进度款的期限：</w:t>
      </w:r>
      <w:r>
        <w:rPr>
          <w:rFonts w:hint="eastAsia" w:ascii="宋体" w:hAnsi="宋体" w:eastAsia="宋体" w:cs="宋体"/>
          <w:color w:val="auto"/>
          <w:sz w:val="24"/>
          <w:szCs w:val="24"/>
          <w:highlight w:val="none"/>
          <w:u w:val="single"/>
        </w:rPr>
        <w:t>发包人应在进度款支付证书或临时进度款支付证书签发</w:t>
      </w:r>
      <w:r>
        <w:rPr>
          <w:rFonts w:hint="eastAsia" w:ascii="宋体" w:hAnsi="宋体" w:eastAsia="宋体" w:cs="宋体"/>
          <w:color w:val="auto"/>
          <w:sz w:val="24"/>
          <w:szCs w:val="24"/>
          <w:highlight w:val="none"/>
          <w:u w:val="single"/>
          <w:lang w:val="en-US" w:eastAsia="zh-CN"/>
        </w:rPr>
        <w:t>并</w:t>
      </w:r>
      <w:r>
        <w:rPr>
          <w:rFonts w:hint="eastAsia" w:ascii="宋体" w:hAnsi="宋体" w:eastAsia="宋体" w:cs="宋体"/>
          <w:color w:val="auto"/>
          <w:sz w:val="24"/>
          <w:szCs w:val="24"/>
          <w:highlight w:val="none"/>
          <w:u w:val="single"/>
        </w:rPr>
        <w:t>收到发票后30日内</w:t>
      </w:r>
      <w:r>
        <w:rPr>
          <w:rFonts w:hint="eastAsia" w:ascii="宋体" w:hAnsi="宋体" w:eastAsia="宋体" w:cs="宋体"/>
          <w:color w:val="auto"/>
          <w:sz w:val="24"/>
          <w:szCs w:val="24"/>
          <w:highlight w:val="none"/>
          <w:u w:val="single"/>
          <w:lang w:val="en-US" w:eastAsia="zh-CN"/>
        </w:rPr>
        <w:t>支付</w:t>
      </w:r>
      <w:r>
        <w:rPr>
          <w:rFonts w:hint="eastAsia" w:ascii="宋体" w:hAnsi="宋体" w:eastAsia="宋体" w:cs="宋体"/>
          <w:color w:val="auto"/>
          <w:sz w:val="24"/>
          <w:szCs w:val="24"/>
          <w:highlight w:val="none"/>
        </w:rPr>
        <w:t>。</w:t>
      </w:r>
    </w:p>
    <w:p w14:paraId="65FD3826">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发包人逾期支付进度款的违约金的计算方式：</w:t>
      </w:r>
      <w:r>
        <w:rPr>
          <w:rFonts w:hint="eastAsia" w:ascii="宋体" w:hAnsi="宋体" w:eastAsia="宋体" w:cs="宋体"/>
          <w:color w:val="auto"/>
          <w:sz w:val="24"/>
          <w:szCs w:val="24"/>
          <w:highlight w:val="none"/>
          <w:u w:val="single"/>
        </w:rPr>
        <w:t>从违约之日起，发包人每天按延付金额的万分之四向承包人支付违约金；逾期支付超过15天的，承包人有权停工，发包人必须为承包人办理停工的工期顺延手续</w:t>
      </w:r>
      <w:r>
        <w:rPr>
          <w:rFonts w:hint="eastAsia" w:ascii="宋体" w:hAnsi="宋体" w:eastAsia="宋体" w:cs="宋体"/>
          <w:color w:val="auto"/>
          <w:sz w:val="24"/>
          <w:szCs w:val="24"/>
          <w:highlight w:val="none"/>
        </w:rPr>
        <w:t>。</w:t>
      </w:r>
    </w:p>
    <w:p w14:paraId="7E078E0D">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进度款支付方式：银行转账。</w:t>
      </w:r>
    </w:p>
    <w:p w14:paraId="198C14BC">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进度款支付申请（核准）表见合同附件</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p>
    <w:p w14:paraId="19632349">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12.4.6 支付分解表的编制</w:t>
      </w:r>
    </w:p>
    <w:p w14:paraId="7316C3B5">
      <w:pPr>
        <w:pStyle w:val="24"/>
        <w:keepNext w:val="0"/>
        <w:keepLines w:val="0"/>
        <w:pageBreakBefore w:val="0"/>
        <w:widowControl w:val="0"/>
        <w:tabs>
          <w:tab w:val="left" w:pos="2094"/>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）总价合同支付分解表的编制与审批：</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u w:val="single"/>
        </w:rPr>
        <w:t>。</w:t>
      </w:r>
    </w:p>
    <w:p w14:paraId="33D8AEFD">
      <w:pPr>
        <w:pStyle w:val="24"/>
        <w:keepNext w:val="0"/>
        <w:keepLines w:val="0"/>
        <w:pageBreakBefore w:val="0"/>
        <w:widowControl w:val="0"/>
        <w:tabs>
          <w:tab w:val="left" w:pos="2013"/>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）单价合同的总价项目支付分解表的编制与审批：</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不采用支付分解表的方式，按相关计价规范执行</w:t>
      </w:r>
      <w:r>
        <w:rPr>
          <w:rFonts w:hint="eastAsia"/>
          <w:color w:val="auto"/>
          <w:sz w:val="24"/>
          <w:szCs w:val="24"/>
          <w:highlight w:val="none"/>
          <w:u w:val="single"/>
        </w:rPr>
        <w:t xml:space="preserve"> </w:t>
      </w:r>
      <w:r>
        <w:rPr>
          <w:rFonts w:hint="eastAsia" w:ascii="宋体" w:hAnsi="宋体" w:eastAsia="宋体" w:cs="宋体"/>
          <w:color w:val="auto"/>
          <w:sz w:val="24"/>
          <w:szCs w:val="24"/>
          <w:highlight w:val="none"/>
        </w:rPr>
        <w:t>。</w:t>
      </w:r>
    </w:p>
    <w:p w14:paraId="3C8D5AD3">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13.验收和工程试车</w:t>
      </w:r>
    </w:p>
    <w:p w14:paraId="0A7ED4A5">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13.1分部分项工程验收</w:t>
      </w:r>
    </w:p>
    <w:p w14:paraId="4168219E">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13.1.2 监理人不能按时进行验收时，应提前</w:t>
      </w:r>
      <w:r>
        <w:rPr>
          <w:rFonts w:hint="eastAsia" w:ascii="宋体" w:hAnsi="宋体" w:eastAsia="宋体" w:cs="宋体"/>
          <w:color w:val="auto"/>
          <w:sz w:val="24"/>
          <w:szCs w:val="24"/>
          <w:highlight w:val="none"/>
          <w:u w:val="single"/>
        </w:rPr>
        <w:t xml:space="preserve"> 24 </w:t>
      </w:r>
      <w:r>
        <w:rPr>
          <w:rFonts w:hint="eastAsia" w:ascii="宋体" w:hAnsi="宋体" w:eastAsia="宋体" w:cs="宋体"/>
          <w:color w:val="auto"/>
          <w:sz w:val="24"/>
          <w:szCs w:val="24"/>
          <w:highlight w:val="none"/>
        </w:rPr>
        <w:t>小时提交书面延期要求。关于延期最长不得超过：</w:t>
      </w:r>
      <w:r>
        <w:rPr>
          <w:rFonts w:hint="eastAsia" w:ascii="宋体" w:hAnsi="宋体" w:eastAsia="宋体" w:cs="宋体"/>
          <w:color w:val="auto"/>
          <w:sz w:val="24"/>
          <w:szCs w:val="24"/>
          <w:highlight w:val="none"/>
          <w:u w:val="single"/>
        </w:rPr>
        <w:t xml:space="preserve"> 48</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小时。</w:t>
      </w:r>
    </w:p>
    <w:p w14:paraId="5F0525C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13.2竣工验收</w:t>
      </w:r>
    </w:p>
    <w:p w14:paraId="55B8ED59">
      <w:pPr>
        <w:pStyle w:val="24"/>
        <w:keepNext w:val="0"/>
        <w:keepLines w:val="0"/>
        <w:pageBreakBefore w:val="0"/>
        <w:widowControl w:val="0"/>
        <w:tabs>
          <w:tab w:val="left" w:pos="2062"/>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13.2.1</w:t>
      </w:r>
      <w:r>
        <w:rPr>
          <w:rFonts w:hint="eastAsia" w:ascii="宋体" w:hAnsi="宋体" w:eastAsia="宋体" w:cs="宋体"/>
          <w:color w:val="auto"/>
          <w:sz w:val="24"/>
          <w:szCs w:val="24"/>
          <w:highlight w:val="none"/>
        </w:rPr>
        <w:t>竣工验收条件</w:t>
      </w:r>
    </w:p>
    <w:p w14:paraId="04557AC6">
      <w:pPr>
        <w:pStyle w:val="24"/>
        <w:keepNext w:val="0"/>
        <w:keepLines w:val="0"/>
        <w:pageBreakBefore w:val="0"/>
        <w:widowControl w:val="0"/>
        <w:tabs>
          <w:tab w:val="left" w:pos="1907"/>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rPr>
        <w:t>）承包人负责整理和提交的竣工验收资料应当符合工程所在地建设行政主管部门和(或 )城市建设档案管理机构有关施工资料的要求，具体内容包括：</w:t>
      </w:r>
      <w:r>
        <w:rPr>
          <w:rFonts w:hint="eastAsia" w:ascii="宋体" w:hAnsi="宋体" w:eastAsia="宋体" w:cs="宋体"/>
          <w:color w:val="auto"/>
          <w:sz w:val="24"/>
          <w:szCs w:val="24"/>
          <w:highlight w:val="none"/>
          <w:u w:val="single"/>
        </w:rPr>
        <w:t>最终通过工程所在地建设行政主管部门和(或)城市建设档案管理机构审批</w:t>
      </w:r>
      <w:r>
        <w:rPr>
          <w:rFonts w:hint="eastAsia" w:ascii="宋体" w:hAnsi="宋体" w:eastAsia="宋体" w:cs="宋体"/>
          <w:color w:val="auto"/>
          <w:sz w:val="24"/>
          <w:szCs w:val="24"/>
          <w:highlight w:val="none"/>
        </w:rPr>
        <w:t xml:space="preserve"> 。</w:t>
      </w:r>
    </w:p>
    <w:p w14:paraId="73FEF387">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竣工验收资料的份数：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 xml:space="preserve">份 </w:t>
      </w:r>
      <w:r>
        <w:rPr>
          <w:rFonts w:hint="eastAsia" w:ascii="宋体" w:hAnsi="宋体" w:eastAsia="宋体" w:cs="宋体"/>
          <w:color w:val="auto"/>
          <w:sz w:val="24"/>
          <w:szCs w:val="24"/>
          <w:highlight w:val="none"/>
        </w:rPr>
        <w:t>。</w:t>
      </w:r>
    </w:p>
    <w:p w14:paraId="0C0A1F7D">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承包人提供竣工图的约定：</w:t>
      </w:r>
      <w:r>
        <w:rPr>
          <w:rFonts w:hint="eastAsia" w:ascii="宋体" w:hAnsi="宋体" w:eastAsia="宋体" w:cs="宋体"/>
          <w:color w:val="auto"/>
          <w:kern w:val="2"/>
          <w:sz w:val="24"/>
          <w:szCs w:val="24"/>
          <w:highlight w:val="none"/>
          <w:u w:val="single"/>
          <w:lang w:val="en-US" w:eastAsia="zh-CN" w:bidi="ar-SA"/>
        </w:rPr>
        <w:t>竣工验收正式通过后5天，提供竣工图的数量为4份</w:t>
      </w:r>
      <w:r>
        <w:rPr>
          <w:rFonts w:hint="eastAsia" w:ascii="宋体" w:hAnsi="宋体" w:eastAsia="宋体" w:cs="宋体"/>
          <w:color w:val="auto"/>
          <w:sz w:val="24"/>
          <w:szCs w:val="24"/>
          <w:highlight w:val="none"/>
          <w:u w:val="single"/>
        </w:rPr>
        <w:t>。</w:t>
      </w:r>
    </w:p>
    <w:p w14:paraId="0D8FE814">
      <w:pPr>
        <w:pStyle w:val="24"/>
        <w:keepNext w:val="0"/>
        <w:keepLines w:val="0"/>
        <w:pageBreakBefore w:val="0"/>
        <w:widowControl w:val="0"/>
        <w:tabs>
          <w:tab w:val="left" w:pos="2062"/>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13.2.2</w:t>
      </w:r>
      <w:r>
        <w:rPr>
          <w:rFonts w:hint="eastAsia" w:ascii="宋体" w:hAnsi="宋体" w:eastAsia="宋体" w:cs="宋体"/>
          <w:color w:val="auto"/>
          <w:sz w:val="24"/>
          <w:szCs w:val="24"/>
          <w:highlight w:val="none"/>
        </w:rPr>
        <w:t>竣工验收程序</w:t>
      </w:r>
    </w:p>
    <w:p w14:paraId="407AA367">
      <w:pPr>
        <w:pStyle w:val="9"/>
        <w:keepNext w:val="0"/>
        <w:keepLines w:val="0"/>
        <w:pageBreakBefore w:val="0"/>
        <w:widowControl w:val="0"/>
        <w:tabs>
          <w:tab w:val="left" w:pos="4215"/>
          <w:tab w:val="left" w:pos="7155"/>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关于竣工验收程序的约定：</w:t>
      </w:r>
      <w:r>
        <w:rPr>
          <w:rFonts w:hint="eastAsia" w:ascii="宋体" w:hAnsi="宋体" w:eastAsia="宋体" w:cs="宋体"/>
          <w:color w:val="auto"/>
          <w:sz w:val="24"/>
          <w:szCs w:val="24"/>
          <w:highlight w:val="none"/>
          <w:u w:val="single"/>
        </w:rPr>
        <w:t>按通用合同条款 13.2.2 执行</w:t>
      </w:r>
      <w:r>
        <w:rPr>
          <w:rFonts w:hint="eastAsia" w:ascii="宋体" w:hAnsi="宋体" w:eastAsia="宋体" w:cs="宋体"/>
          <w:color w:val="auto"/>
          <w:sz w:val="24"/>
          <w:szCs w:val="24"/>
          <w:highlight w:val="none"/>
        </w:rPr>
        <w:t>。</w:t>
      </w:r>
    </w:p>
    <w:p w14:paraId="26F90055">
      <w:pPr>
        <w:pStyle w:val="9"/>
        <w:keepNext w:val="0"/>
        <w:keepLines w:val="0"/>
        <w:pageBreakBefore w:val="0"/>
        <w:widowControl w:val="0"/>
        <w:kinsoku/>
        <w:wordWrap/>
        <w:overflowPunct/>
        <w:topLinePunct w:val="0"/>
        <w:autoSpaceDE/>
        <w:autoSpaceDN/>
        <w:bidi w:val="0"/>
        <w:adjustRightInd/>
        <w:snapToGrid/>
        <w:spacing w:after="0" w:line="400" w:lineRule="exact"/>
        <w:ind w:left="239" w:leftChars="114" w:firstLine="240" w:firstLineChars="1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发包人不按照本项约定组织竣工验收、颁发工程接收证书的违约金的计算</w:t>
      </w:r>
      <w:r>
        <w:rPr>
          <w:rFonts w:hint="eastAsia" w:ascii="宋体" w:hAnsi="宋体" w:eastAsia="宋体" w:cs="宋体"/>
          <w:color w:val="auto"/>
          <w:sz w:val="24"/>
          <w:szCs w:val="24"/>
          <w:highlight w:val="none"/>
          <w:lang w:val="en-US" w:eastAsia="zh-CN"/>
        </w:rPr>
        <w:t>方法：</w:t>
      </w:r>
      <w:r>
        <w:rPr>
          <w:rFonts w:hint="eastAsia" w:ascii="宋体" w:hAnsi="宋体" w:eastAsia="宋体" w:cs="宋体"/>
          <w:color w:val="auto"/>
          <w:sz w:val="24"/>
          <w:szCs w:val="24"/>
          <w:highlight w:val="none"/>
          <w:u w:val="single"/>
        </w:rPr>
        <w:t>每天赔偿金额为合同价款扣除发包人材料价款、暂估专业工程、暂列金额后的的万分之四</w:t>
      </w:r>
      <w:r>
        <w:rPr>
          <w:rFonts w:hint="eastAsia" w:ascii="宋体" w:hAnsi="宋体" w:eastAsia="宋体" w:cs="宋体"/>
          <w:color w:val="auto"/>
          <w:sz w:val="24"/>
          <w:szCs w:val="24"/>
          <w:highlight w:val="none"/>
        </w:rPr>
        <w:t>。</w:t>
      </w:r>
    </w:p>
    <w:p w14:paraId="2442A99B">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13.2.5 移交、接收全部与部分工程</w:t>
      </w:r>
    </w:p>
    <w:p w14:paraId="0AD007AF">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承包人向发包人移交工程的期限：</w:t>
      </w:r>
      <w:r>
        <w:rPr>
          <w:rFonts w:hint="eastAsia" w:ascii="宋体" w:hAnsi="宋体" w:eastAsia="宋体" w:cs="宋体"/>
          <w:color w:val="auto"/>
          <w:sz w:val="24"/>
          <w:szCs w:val="24"/>
          <w:highlight w:val="none"/>
          <w:u w:val="single"/>
          <w:lang w:val="en-US" w:eastAsia="zh-CN"/>
        </w:rPr>
        <w:t>合</w:t>
      </w:r>
      <w:r>
        <w:rPr>
          <w:rFonts w:hint="eastAsia" w:ascii="宋体" w:hAnsi="宋体" w:eastAsia="宋体" w:cs="宋体"/>
          <w:color w:val="auto"/>
          <w:sz w:val="24"/>
          <w:szCs w:val="24"/>
          <w:highlight w:val="none"/>
          <w:u w:val="single"/>
        </w:rPr>
        <w:t>同当事人应当在颁发工程接收证书后 15 个有效工作日内完成工程的移交</w:t>
      </w:r>
      <w:r>
        <w:rPr>
          <w:rFonts w:hint="eastAsia" w:ascii="宋体" w:hAnsi="宋体" w:eastAsia="宋体" w:cs="宋体"/>
          <w:color w:val="auto"/>
          <w:sz w:val="24"/>
          <w:szCs w:val="24"/>
          <w:highlight w:val="none"/>
        </w:rPr>
        <w:t>。</w:t>
      </w:r>
    </w:p>
    <w:p w14:paraId="4BEF0C51">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发包人未按本合同约定接收全部或部分工程的，违约金的计算方法为：</w:t>
      </w:r>
      <w:r>
        <w:rPr>
          <w:rFonts w:hint="eastAsia" w:ascii="宋体" w:hAnsi="宋体" w:eastAsia="宋体" w:cs="宋体"/>
          <w:color w:val="auto"/>
          <w:sz w:val="24"/>
          <w:szCs w:val="24"/>
          <w:highlight w:val="none"/>
          <w:u w:val="single"/>
        </w:rPr>
        <w:t>每天赔偿金额为不按照本项约定组织竣工验收、颁发工程接收证书工程合同价款扣除发包人材料价款、暂估专业工程、暂列金额后的万分之四</w:t>
      </w:r>
      <w:r>
        <w:rPr>
          <w:rFonts w:hint="eastAsia" w:ascii="宋体" w:hAnsi="宋体" w:eastAsia="宋体" w:cs="宋体"/>
          <w:color w:val="auto"/>
          <w:sz w:val="24"/>
          <w:szCs w:val="24"/>
          <w:highlight w:val="none"/>
        </w:rPr>
        <w:t>。</w:t>
      </w:r>
    </w:p>
    <w:p w14:paraId="6AE8FA97">
      <w:pPr>
        <w:pStyle w:val="9"/>
        <w:keepNext w:val="0"/>
        <w:keepLines w:val="0"/>
        <w:pageBreakBefore w:val="0"/>
        <w:widowControl w:val="0"/>
        <w:tabs>
          <w:tab w:val="left" w:pos="6272"/>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承包人未按时移交工程的，违约金的计算方法为：</w:t>
      </w:r>
      <w:r>
        <w:rPr>
          <w:rFonts w:hint="eastAsia" w:ascii="宋体" w:hAnsi="宋体" w:eastAsia="宋体" w:cs="宋体"/>
          <w:color w:val="auto"/>
          <w:sz w:val="24"/>
          <w:szCs w:val="24"/>
          <w:highlight w:val="none"/>
          <w:u w:val="single"/>
        </w:rPr>
        <w:t>每天赔偿金额为合同价款扣除发包人材料价款、暂估专业工程、暂列金额后的的万分之四</w:t>
      </w:r>
      <w:r>
        <w:rPr>
          <w:rFonts w:hint="eastAsia" w:ascii="宋体" w:hAnsi="宋体" w:eastAsia="宋体" w:cs="宋体"/>
          <w:color w:val="auto"/>
          <w:sz w:val="24"/>
          <w:szCs w:val="24"/>
          <w:highlight w:val="none"/>
        </w:rPr>
        <w:t>。</w:t>
      </w:r>
    </w:p>
    <w:p w14:paraId="32CAD69C">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13.3工程试车</w:t>
      </w:r>
    </w:p>
    <w:p w14:paraId="33DA76D1">
      <w:pPr>
        <w:pStyle w:val="24"/>
        <w:keepNext w:val="0"/>
        <w:keepLines w:val="0"/>
        <w:pageBreakBefore w:val="0"/>
        <w:widowControl w:val="0"/>
        <w:tabs>
          <w:tab w:val="left" w:pos="2115"/>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13.3.1</w:t>
      </w:r>
      <w:r>
        <w:rPr>
          <w:rFonts w:hint="eastAsia" w:ascii="宋体" w:hAnsi="宋体" w:eastAsia="宋体" w:cs="宋体"/>
          <w:color w:val="auto"/>
          <w:sz w:val="24"/>
          <w:szCs w:val="24"/>
          <w:highlight w:val="none"/>
        </w:rPr>
        <w:t>试车程序</w:t>
      </w:r>
    </w:p>
    <w:p w14:paraId="6746BF01">
      <w:pPr>
        <w:pStyle w:val="9"/>
        <w:keepNext w:val="0"/>
        <w:keepLines w:val="0"/>
        <w:pageBreakBefore w:val="0"/>
        <w:widowControl w:val="0"/>
        <w:tabs>
          <w:tab w:val="left" w:pos="3166"/>
          <w:tab w:val="left" w:pos="3584"/>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工程试车内容：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签订合同时商定</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3F19CB70">
      <w:pPr>
        <w:pStyle w:val="24"/>
        <w:keepNext w:val="0"/>
        <w:keepLines w:val="0"/>
        <w:pageBreakBefore w:val="0"/>
        <w:widowControl w:val="0"/>
        <w:tabs>
          <w:tab w:val="left" w:pos="1907"/>
          <w:tab w:val="left" w:pos="4740"/>
          <w:tab w:val="left" w:pos="5264"/>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试车费用由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lang w:val="en-US" w:eastAsia="zh-CN"/>
        </w:rPr>
        <w:t>承包人</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承担；</w:t>
      </w:r>
    </w:p>
    <w:p w14:paraId="79D78EC0">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13.3.3 投料试车</w:t>
      </w:r>
    </w:p>
    <w:p w14:paraId="537F26D3">
      <w:pPr>
        <w:pStyle w:val="9"/>
        <w:keepNext w:val="0"/>
        <w:keepLines w:val="0"/>
        <w:pageBreakBefore w:val="0"/>
        <w:widowControl w:val="0"/>
        <w:tabs>
          <w:tab w:val="left" w:pos="5372"/>
          <w:tab w:val="left" w:pos="6421"/>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关于投料试车相关事项的约定：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56DF271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13.6竣工退场</w:t>
      </w:r>
    </w:p>
    <w:p w14:paraId="55115F76">
      <w:pPr>
        <w:pStyle w:val="24"/>
        <w:tabs>
          <w:tab w:val="left" w:pos="2115"/>
        </w:tabs>
        <w:spacing w:line="400" w:lineRule="exact"/>
        <w:ind w:left="0"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13.6.1</w:t>
      </w:r>
      <w:r>
        <w:rPr>
          <w:rFonts w:hint="eastAsia" w:ascii="宋体" w:hAnsi="宋体" w:eastAsia="宋体" w:cs="宋体"/>
          <w:color w:val="auto"/>
          <w:sz w:val="24"/>
          <w:szCs w:val="24"/>
          <w:highlight w:val="none"/>
        </w:rPr>
        <w:t>竣工退场</w:t>
      </w:r>
    </w:p>
    <w:p w14:paraId="17D771B4">
      <w:pPr>
        <w:pStyle w:val="9"/>
        <w:tabs>
          <w:tab w:val="left" w:pos="4635"/>
          <w:tab w:val="left" w:pos="7261"/>
        </w:tabs>
        <w:spacing w:line="4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承包人完成竣工退场的期限：</w:t>
      </w:r>
      <w:r>
        <w:rPr>
          <w:rFonts w:hint="eastAsia" w:ascii="宋体" w:hAnsi="宋体" w:eastAsia="宋体" w:cs="宋体"/>
          <w:color w:val="auto"/>
          <w:sz w:val="24"/>
          <w:szCs w:val="24"/>
          <w:highlight w:val="none"/>
          <w:u w:val="single"/>
        </w:rPr>
        <w:t>竣工验收合格后</w:t>
      </w:r>
      <w:r>
        <w:rPr>
          <w:rFonts w:hint="eastAsia" w:ascii="宋体" w:hAnsi="宋体" w:eastAsia="宋体" w:cs="宋体"/>
          <w:color w:val="auto"/>
          <w:sz w:val="24"/>
          <w:szCs w:val="24"/>
          <w:highlight w:val="none"/>
          <w:u w:val="single"/>
          <w:lang w:val="en-US" w:eastAsia="zh-CN"/>
        </w:rPr>
        <w:t>20</w:t>
      </w:r>
      <w:r>
        <w:rPr>
          <w:rFonts w:hint="eastAsia" w:ascii="宋体" w:hAnsi="宋体" w:eastAsia="宋体" w:cs="宋体"/>
          <w:color w:val="auto"/>
          <w:sz w:val="24"/>
          <w:szCs w:val="24"/>
          <w:highlight w:val="none"/>
          <w:u w:val="single"/>
        </w:rPr>
        <w:t>天内</w:t>
      </w:r>
      <w:r>
        <w:rPr>
          <w:rFonts w:hint="eastAsia" w:ascii="宋体" w:hAnsi="宋体" w:eastAsia="宋体" w:cs="宋体"/>
          <w:color w:val="auto"/>
          <w:sz w:val="24"/>
          <w:szCs w:val="24"/>
          <w:highlight w:val="none"/>
        </w:rPr>
        <w:t>。</w:t>
      </w:r>
    </w:p>
    <w:p w14:paraId="1C9F0268">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14.竣工结算</w:t>
      </w:r>
    </w:p>
    <w:p w14:paraId="7FDC8E7A">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14.1竣工付款申请</w:t>
      </w:r>
    </w:p>
    <w:p w14:paraId="42849C18">
      <w:pPr>
        <w:pStyle w:val="9"/>
        <w:keepNext w:val="0"/>
        <w:keepLines w:val="0"/>
        <w:pageBreakBefore w:val="0"/>
        <w:widowControl w:val="0"/>
        <w:tabs>
          <w:tab w:val="left" w:pos="5055"/>
          <w:tab w:val="left" w:pos="7575"/>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承包人提交竣工付款申请单的期限：</w:t>
      </w:r>
      <w:r>
        <w:rPr>
          <w:rFonts w:hint="eastAsia" w:ascii="宋体" w:hAnsi="宋体" w:eastAsia="宋体" w:cs="宋体"/>
          <w:color w:val="auto"/>
          <w:sz w:val="24"/>
          <w:szCs w:val="24"/>
          <w:highlight w:val="none"/>
          <w:u w:val="single"/>
        </w:rPr>
        <w:t>竣工验收合格后</w:t>
      </w:r>
      <w:r>
        <w:rPr>
          <w:rFonts w:hint="eastAsia" w:ascii="宋体" w:hAnsi="宋体" w:eastAsia="宋体" w:cs="宋体"/>
          <w:color w:val="auto"/>
          <w:sz w:val="24"/>
          <w:szCs w:val="24"/>
          <w:highlight w:val="none"/>
          <w:u w:val="single"/>
          <w:lang w:val="en-US" w:eastAsia="zh-CN"/>
        </w:rPr>
        <w:t>20</w:t>
      </w:r>
      <w:r>
        <w:rPr>
          <w:rFonts w:hint="eastAsia" w:ascii="宋体" w:hAnsi="宋体" w:eastAsia="宋体" w:cs="宋体"/>
          <w:color w:val="auto"/>
          <w:sz w:val="24"/>
          <w:szCs w:val="24"/>
          <w:highlight w:val="none"/>
          <w:u w:val="single"/>
        </w:rPr>
        <w:t>天内</w:t>
      </w:r>
      <w:r>
        <w:rPr>
          <w:rFonts w:hint="eastAsia" w:ascii="宋体" w:hAnsi="宋体" w:eastAsia="宋体" w:cs="宋体"/>
          <w:color w:val="auto"/>
          <w:sz w:val="24"/>
          <w:szCs w:val="24"/>
          <w:highlight w:val="none"/>
        </w:rPr>
        <w:t>。</w:t>
      </w:r>
    </w:p>
    <w:p w14:paraId="765E4877">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竣工付款申请单应包括的内容：</w:t>
      </w:r>
      <w:r>
        <w:rPr>
          <w:rFonts w:hint="eastAsia" w:ascii="宋体" w:hAnsi="宋体" w:eastAsia="宋体" w:cs="宋体"/>
          <w:color w:val="auto"/>
          <w:sz w:val="24"/>
          <w:szCs w:val="24"/>
          <w:highlight w:val="none"/>
          <w:u w:val="single"/>
        </w:rPr>
        <w:t xml:space="preserve"> （1）竣工结算合同价格；（2）发包人已支付承包人的款项；（3）应扣留的质量保证金； （4）发包人应支付承包人的合同价款</w:t>
      </w:r>
      <w:r>
        <w:rPr>
          <w:rFonts w:hint="eastAsia" w:ascii="宋体" w:hAnsi="宋体" w:eastAsia="宋体" w:cs="宋体"/>
          <w:color w:val="auto"/>
          <w:sz w:val="24"/>
          <w:szCs w:val="24"/>
          <w:highlight w:val="none"/>
        </w:rPr>
        <w:t>。</w:t>
      </w:r>
    </w:p>
    <w:p w14:paraId="7D22CF22">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竣工结算款支付申请（核准）表见合同附件</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p>
    <w:p w14:paraId="1C4B55B5">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14.2竣工结算审核</w:t>
      </w:r>
    </w:p>
    <w:p w14:paraId="2B84C9C2">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工程量按实际完成的工程量结算，原则上，在没有变更签证手续的情况下，工程结算价不得超过合同价。施工单位在项目完工验收后</w:t>
      </w:r>
      <w:r>
        <w:rPr>
          <w:rFonts w:hint="eastAsia" w:ascii="宋体" w:hAnsi="宋体" w:eastAsia="宋体" w:cs="宋体"/>
          <w:color w:val="auto"/>
          <w:sz w:val="24"/>
          <w:szCs w:val="24"/>
          <w:highlight w:val="none"/>
          <w:lang w:val="en-US" w:eastAsia="zh-CN"/>
        </w:rPr>
        <w:t>1个月</w:t>
      </w:r>
      <w:r>
        <w:rPr>
          <w:rFonts w:hint="eastAsia" w:ascii="宋体" w:hAnsi="宋体" w:eastAsia="宋体" w:cs="宋体"/>
          <w:color w:val="auto"/>
          <w:sz w:val="24"/>
          <w:szCs w:val="24"/>
          <w:highlight w:val="none"/>
          <w:lang w:eastAsia="zh-CN"/>
        </w:rPr>
        <w:t>完成结算，经审计后，可申请拨付至结算价</w:t>
      </w:r>
      <w:r>
        <w:rPr>
          <w:rFonts w:hint="eastAsia" w:ascii="宋体" w:hAnsi="宋体" w:eastAsia="宋体" w:cs="宋体"/>
          <w:color w:val="auto"/>
          <w:sz w:val="24"/>
          <w:szCs w:val="24"/>
          <w:highlight w:val="none"/>
          <w:lang w:val="en-US" w:eastAsia="zh-CN"/>
        </w:rPr>
        <w:t>100%</w:t>
      </w:r>
      <w:r>
        <w:rPr>
          <w:rFonts w:hint="eastAsia" w:ascii="宋体" w:hAnsi="宋体" w:eastAsia="宋体" w:cs="宋体"/>
          <w:color w:val="auto"/>
          <w:sz w:val="24"/>
          <w:szCs w:val="24"/>
          <w:highlight w:val="none"/>
          <w:lang w:eastAsia="zh-CN"/>
        </w:rPr>
        <w:t>工程款。</w:t>
      </w:r>
    </w:p>
    <w:p w14:paraId="5F32A17D">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项目完工后，施工方必须配合业主在1个月内进行项目验收，在2个月内完成项目结算，同时要及时提交项目相关施工材料进行归档。</w:t>
      </w:r>
    </w:p>
    <w:p w14:paraId="1138DA2C">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结算价</w:t>
      </w:r>
      <w:r>
        <w:rPr>
          <w:rFonts w:hint="eastAsia" w:ascii="宋体" w:hAnsi="宋体" w:eastAsia="宋体" w:cs="宋体"/>
          <w:color w:val="auto"/>
          <w:sz w:val="24"/>
          <w:szCs w:val="24"/>
          <w:highlight w:val="none"/>
          <w:lang w:eastAsia="zh-CN"/>
        </w:rPr>
        <w:t>200万元（含）以上的项目送财政局进行结算评审，200万元以下的项目由业主单位聘请造价咨询公司进行结算评审。</w:t>
      </w:r>
    </w:p>
    <w:p w14:paraId="18A1EB8D">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施工单位应如实编制工程竣工结算，严禁弄虚作假和高估冒算。若施工方报送的工程结算总价超出最终审定工程结算总价的6%至12%的范围，则超出部分的审核费由施工方承担；若施工方报送的工程结算总价超出最终审定工程结算总价的12%以上，则由施工单位承担全部审核费用。</w:t>
      </w:r>
    </w:p>
    <w:p w14:paraId="0C7971B7">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因承包人提供的结算资料不完整而需要补充或承包人不按时对账耽误时间时，审查时间应相应顺延。</w:t>
      </w:r>
    </w:p>
    <w:p w14:paraId="1DBE7CD2">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竣工结算审核约定：</w:t>
      </w:r>
      <w:r>
        <w:rPr>
          <w:rFonts w:hint="eastAsia" w:ascii="宋体" w:hAnsi="宋体" w:cs="宋体"/>
          <w:strike w:val="0"/>
          <w:dstrike w:val="0"/>
          <w:color w:val="auto"/>
          <w:sz w:val="24"/>
          <w:szCs w:val="24"/>
          <w:highlight w:val="none"/>
          <w:u w:val="single"/>
          <w:lang w:val="en-US" w:eastAsia="zh-CN"/>
        </w:rPr>
        <w:t>结算最终经财政部门审定；若财政部门未予审定或委托第三方机构审核的，以第三方审定结果为准。</w:t>
      </w:r>
    </w:p>
    <w:p w14:paraId="73E36E4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14.4最终结清</w:t>
      </w:r>
    </w:p>
    <w:p w14:paraId="47F4AC1B">
      <w:pPr>
        <w:pStyle w:val="24"/>
        <w:keepNext w:val="0"/>
        <w:keepLines w:val="0"/>
        <w:pageBreakBefore w:val="0"/>
        <w:widowControl w:val="0"/>
        <w:tabs>
          <w:tab w:val="left" w:pos="2115"/>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14.4.1</w:t>
      </w:r>
      <w:r>
        <w:rPr>
          <w:rFonts w:hint="eastAsia" w:ascii="宋体" w:hAnsi="宋体" w:eastAsia="宋体" w:cs="宋体"/>
          <w:color w:val="auto"/>
          <w:sz w:val="24"/>
          <w:szCs w:val="24"/>
          <w:highlight w:val="none"/>
        </w:rPr>
        <w:t>最终结清申请单</w:t>
      </w:r>
    </w:p>
    <w:p w14:paraId="37522E7F">
      <w:pPr>
        <w:pStyle w:val="9"/>
        <w:keepNext w:val="0"/>
        <w:keepLines w:val="0"/>
        <w:pageBreakBefore w:val="0"/>
        <w:widowControl w:val="0"/>
        <w:tabs>
          <w:tab w:val="left" w:pos="5266"/>
          <w:tab w:val="left" w:pos="5948"/>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承包人提交最终结清申请单的份数：</w:t>
      </w:r>
      <w:r>
        <w:rPr>
          <w:rFonts w:hint="eastAsia" w:ascii="宋体" w:hAnsi="宋体" w:eastAsia="宋体" w:cs="宋体"/>
          <w:color w:val="auto"/>
          <w:sz w:val="24"/>
          <w:szCs w:val="24"/>
          <w:highlight w:val="none"/>
          <w:u w:val="single"/>
        </w:rPr>
        <w:t>4份</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0FFAED25">
      <w:pPr>
        <w:pStyle w:val="9"/>
        <w:keepNext w:val="0"/>
        <w:keepLines w:val="0"/>
        <w:pageBreakBefore w:val="0"/>
        <w:widowControl w:val="0"/>
        <w:tabs>
          <w:tab w:val="left" w:pos="5055"/>
          <w:tab w:val="left" w:pos="7787"/>
        </w:tabs>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承包人提交最终结算申请单的期限：</w:t>
      </w:r>
      <w:r>
        <w:rPr>
          <w:rFonts w:hint="eastAsia" w:ascii="宋体" w:hAnsi="宋体" w:eastAsia="宋体" w:cs="宋体"/>
          <w:color w:val="auto"/>
          <w:sz w:val="24"/>
          <w:szCs w:val="24"/>
          <w:highlight w:val="none"/>
          <w:u w:val="single"/>
        </w:rPr>
        <w:t>双方确认审计总额后</w:t>
      </w:r>
      <w:r>
        <w:rPr>
          <w:rFonts w:hint="eastAsia" w:ascii="宋体" w:hAnsi="宋体" w:eastAsia="宋体" w:cs="宋体"/>
          <w:color w:val="auto"/>
          <w:sz w:val="24"/>
          <w:szCs w:val="24"/>
          <w:highlight w:val="none"/>
          <w:u w:val="single"/>
          <w:lang w:val="en-US" w:eastAsia="zh-CN"/>
        </w:rPr>
        <w:t>20</w:t>
      </w:r>
      <w:r>
        <w:rPr>
          <w:rFonts w:hint="eastAsia" w:ascii="宋体" w:hAnsi="宋体" w:eastAsia="宋体" w:cs="宋体"/>
          <w:color w:val="auto"/>
          <w:sz w:val="24"/>
          <w:szCs w:val="24"/>
          <w:highlight w:val="none"/>
          <w:u w:val="single"/>
        </w:rPr>
        <w:t>天</w:t>
      </w:r>
      <w:r>
        <w:rPr>
          <w:rFonts w:hint="eastAsia" w:ascii="宋体" w:hAnsi="宋体" w:eastAsia="宋体" w:cs="宋体"/>
          <w:color w:val="auto"/>
          <w:sz w:val="24"/>
          <w:szCs w:val="24"/>
          <w:highlight w:val="none"/>
          <w:u w:val="single"/>
          <w:lang w:val="en-US" w:eastAsia="zh-CN"/>
        </w:rPr>
        <w:t>内</w:t>
      </w:r>
      <w:r>
        <w:rPr>
          <w:rFonts w:hint="eastAsia" w:ascii="宋体" w:hAnsi="宋体" w:eastAsia="宋体" w:cs="宋体"/>
          <w:color w:val="auto"/>
          <w:sz w:val="24"/>
          <w:szCs w:val="24"/>
          <w:highlight w:val="none"/>
        </w:rPr>
        <w:t>。</w:t>
      </w:r>
    </w:p>
    <w:p w14:paraId="5D9FF4C5">
      <w:pPr>
        <w:pStyle w:val="9"/>
        <w:keepNext w:val="0"/>
        <w:keepLines w:val="0"/>
        <w:pageBreakBefore w:val="0"/>
        <w:widowControl w:val="0"/>
        <w:tabs>
          <w:tab w:val="left" w:pos="5055"/>
          <w:tab w:val="left" w:pos="7787"/>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最终结算款支付申请（核准）表见合同附件</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w:t>
      </w:r>
    </w:p>
    <w:p w14:paraId="509A3474">
      <w:pPr>
        <w:pStyle w:val="24"/>
        <w:keepNext w:val="0"/>
        <w:keepLines w:val="0"/>
        <w:pageBreakBefore w:val="0"/>
        <w:widowControl w:val="0"/>
        <w:tabs>
          <w:tab w:val="left" w:pos="2115"/>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14.4.2</w:t>
      </w:r>
      <w:r>
        <w:rPr>
          <w:rFonts w:hint="eastAsia" w:ascii="宋体" w:hAnsi="宋体" w:eastAsia="宋体" w:cs="宋体"/>
          <w:color w:val="auto"/>
          <w:sz w:val="24"/>
          <w:szCs w:val="24"/>
          <w:highlight w:val="none"/>
        </w:rPr>
        <w:t>最终结清证书和支付</w:t>
      </w:r>
    </w:p>
    <w:p w14:paraId="7BD1C3C7">
      <w:pPr>
        <w:pStyle w:val="24"/>
        <w:keepNext w:val="0"/>
        <w:keepLines w:val="0"/>
        <w:pageBreakBefore w:val="0"/>
        <w:widowControl w:val="0"/>
        <w:tabs>
          <w:tab w:val="left" w:pos="1903"/>
          <w:tab w:val="left" w:pos="1905"/>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）发包人完成最终结清申请单的审批并颁发最终结清证书的期限：</w:t>
      </w:r>
      <w:r>
        <w:rPr>
          <w:rFonts w:hint="eastAsia" w:ascii="宋体" w:hAnsi="宋体" w:eastAsia="宋体" w:cs="宋体"/>
          <w:color w:val="auto"/>
          <w:sz w:val="24"/>
          <w:szCs w:val="24"/>
          <w:highlight w:val="none"/>
          <w:u w:val="single"/>
        </w:rPr>
        <w:t>双方确认审计总额后</w:t>
      </w:r>
      <w:r>
        <w:rPr>
          <w:rFonts w:hint="eastAsia" w:ascii="宋体" w:hAnsi="宋体" w:eastAsia="宋体" w:cs="宋体"/>
          <w:color w:val="auto"/>
          <w:sz w:val="24"/>
          <w:szCs w:val="24"/>
          <w:highlight w:val="none"/>
          <w:u w:val="single"/>
          <w:lang w:val="en-US" w:eastAsia="zh-CN"/>
        </w:rPr>
        <w:t>20</w:t>
      </w:r>
      <w:r>
        <w:rPr>
          <w:rFonts w:hint="eastAsia" w:ascii="宋体" w:hAnsi="宋体" w:eastAsia="宋体" w:cs="宋体"/>
          <w:color w:val="auto"/>
          <w:sz w:val="24"/>
          <w:szCs w:val="24"/>
          <w:highlight w:val="none"/>
          <w:u w:val="single"/>
        </w:rPr>
        <w:t>天</w:t>
      </w:r>
      <w:r>
        <w:rPr>
          <w:rFonts w:hint="eastAsia" w:ascii="宋体" w:hAnsi="宋体" w:eastAsia="宋体" w:cs="宋体"/>
          <w:color w:val="auto"/>
          <w:sz w:val="24"/>
          <w:szCs w:val="24"/>
          <w:highlight w:val="none"/>
        </w:rPr>
        <w:t>。</w:t>
      </w:r>
    </w:p>
    <w:p w14:paraId="35304D41">
      <w:pPr>
        <w:pStyle w:val="24"/>
        <w:keepNext w:val="0"/>
        <w:keepLines w:val="0"/>
        <w:pageBreakBefore w:val="0"/>
        <w:widowControl w:val="0"/>
        <w:tabs>
          <w:tab w:val="left" w:pos="1907"/>
          <w:tab w:val="left" w:pos="4529"/>
          <w:tab w:val="left" w:pos="7153"/>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）发包人完成支付的期限：</w:t>
      </w:r>
      <w:r>
        <w:rPr>
          <w:rFonts w:hint="eastAsia" w:ascii="宋体" w:hAnsi="宋体" w:eastAsia="宋体" w:cs="宋体"/>
          <w:color w:val="auto"/>
          <w:sz w:val="24"/>
          <w:szCs w:val="24"/>
          <w:highlight w:val="none"/>
          <w:u w:val="single"/>
          <w:lang w:val="en-US" w:eastAsia="zh-CN"/>
        </w:rPr>
        <w:t>收到发票后30天内</w:t>
      </w:r>
      <w:r>
        <w:rPr>
          <w:rFonts w:hint="eastAsia" w:ascii="宋体" w:hAnsi="宋体" w:eastAsia="宋体" w:cs="宋体"/>
          <w:color w:val="auto"/>
          <w:sz w:val="24"/>
          <w:szCs w:val="24"/>
          <w:highlight w:val="none"/>
        </w:rPr>
        <w:t>。</w:t>
      </w:r>
    </w:p>
    <w:p w14:paraId="3EF6706C">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15.缺陷责任期与保修</w:t>
      </w:r>
    </w:p>
    <w:p w14:paraId="28108A6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15.</w:t>
      </w:r>
      <w:r>
        <w:rPr>
          <w:rFonts w:hint="eastAsia" w:ascii="宋体" w:hAnsi="宋体" w:cs="宋体"/>
          <w:b/>
          <w:bCs/>
          <w:strike w:val="0"/>
          <w:dstrike w:val="0"/>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缺陷责任期</w:t>
      </w:r>
    </w:p>
    <w:p w14:paraId="2B76EC6B">
      <w:pPr>
        <w:pStyle w:val="9"/>
        <w:keepNext w:val="0"/>
        <w:keepLines w:val="0"/>
        <w:pageBreakBefore w:val="0"/>
        <w:widowControl w:val="0"/>
        <w:tabs>
          <w:tab w:val="left" w:pos="4740"/>
          <w:tab w:val="left" w:pos="5946"/>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缺陷责任期的具体期限：</w:t>
      </w:r>
      <w:r>
        <w:rPr>
          <w:rFonts w:hint="eastAsia" w:ascii="宋体" w:hAnsi="宋体" w:eastAsia="宋体" w:cs="宋体"/>
          <w:color w:val="auto"/>
          <w:sz w:val="24"/>
          <w:szCs w:val="24"/>
          <w:highlight w:val="none"/>
          <w:u w:val="single"/>
          <w:lang w:val="en-US"/>
        </w:rPr>
        <w:t>12</w:t>
      </w:r>
      <w:r>
        <w:rPr>
          <w:rFonts w:hint="eastAsia" w:ascii="宋体" w:hAnsi="宋体" w:eastAsia="宋体" w:cs="宋体"/>
          <w:color w:val="auto"/>
          <w:sz w:val="24"/>
          <w:szCs w:val="24"/>
          <w:highlight w:val="none"/>
          <w:u w:val="single"/>
        </w:rPr>
        <w:t>个月</w:t>
      </w:r>
      <w:r>
        <w:rPr>
          <w:rFonts w:hint="eastAsia" w:ascii="宋体" w:hAnsi="宋体" w:eastAsia="宋体" w:cs="宋体"/>
          <w:color w:val="auto"/>
          <w:sz w:val="24"/>
          <w:szCs w:val="24"/>
          <w:highlight w:val="none"/>
        </w:rPr>
        <w:t>。</w:t>
      </w:r>
    </w:p>
    <w:p w14:paraId="74002F36">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15.</w:t>
      </w:r>
      <w:r>
        <w:rPr>
          <w:rFonts w:hint="eastAsia" w:ascii="宋体" w:hAnsi="宋体" w:cs="宋体"/>
          <w:b/>
          <w:bCs/>
          <w:strike w:val="0"/>
          <w:dstrike w:val="0"/>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质量保证金</w:t>
      </w:r>
    </w:p>
    <w:p w14:paraId="2F7EBB2E">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关于是否扣留质量保证金的约定：</w:t>
      </w:r>
      <w:r>
        <w:rPr>
          <w:rFonts w:hint="eastAsia" w:ascii="宋体" w:hAnsi="宋体" w:cs="宋体"/>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 xml:space="preserve">是  </w:t>
      </w:r>
      <w:r>
        <w:rPr>
          <w:rFonts w:hint="eastAsia" w:ascii="宋体" w:hAnsi="宋体" w:eastAsia="宋体" w:cs="宋体"/>
          <w:color w:val="auto"/>
          <w:sz w:val="24"/>
          <w:szCs w:val="24"/>
          <w:highlight w:val="none"/>
          <w:u w:val="single"/>
        </w:rPr>
        <w:t>。</w:t>
      </w:r>
    </w:p>
    <w:p w14:paraId="73EDE736">
      <w:pPr>
        <w:pStyle w:val="24"/>
        <w:keepNext w:val="0"/>
        <w:keepLines w:val="0"/>
        <w:pageBreakBefore w:val="0"/>
        <w:widowControl w:val="0"/>
        <w:tabs>
          <w:tab w:val="left" w:pos="2115"/>
          <w:tab w:val="left" w:pos="3792"/>
          <w:tab w:val="left" w:pos="4109"/>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15.3.1</w:t>
      </w:r>
      <w:r>
        <w:rPr>
          <w:rFonts w:hint="eastAsia" w:ascii="宋体" w:hAnsi="宋体" w:eastAsia="宋体" w:cs="宋体"/>
          <w:color w:val="auto"/>
          <w:sz w:val="24"/>
          <w:szCs w:val="24"/>
          <w:highlight w:val="none"/>
        </w:rPr>
        <w:t>承包人提供质量保证金的方式质量保证金采用以下第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2</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种方式：</w:t>
      </w:r>
    </w:p>
    <w:p w14:paraId="6E72B3AF">
      <w:pPr>
        <w:pStyle w:val="24"/>
        <w:keepNext w:val="0"/>
        <w:keepLines w:val="0"/>
        <w:pageBreakBefore w:val="0"/>
        <w:widowControl w:val="0"/>
        <w:tabs>
          <w:tab w:val="left" w:pos="1907"/>
          <w:tab w:val="left" w:pos="5581"/>
          <w:tab w:val="left" w:pos="6733"/>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）质量保证金保函，保证金额为：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16902136">
      <w:pPr>
        <w:pStyle w:val="24"/>
        <w:keepNext w:val="0"/>
        <w:keepLines w:val="0"/>
        <w:pageBreakBefore w:val="0"/>
        <w:widowControl w:val="0"/>
        <w:tabs>
          <w:tab w:val="left" w:pos="1907"/>
          <w:tab w:val="left" w:pos="4846"/>
          <w:tab w:val="left" w:pos="5160"/>
          <w:tab w:val="left" w:pos="6630"/>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）发包人按工程价款结算总额的</w:t>
      </w:r>
      <w:r>
        <w:rPr>
          <w:rFonts w:hint="eastAsia" w:ascii="宋体" w:hAnsi="宋体" w:eastAsia="宋体" w:cs="宋体"/>
          <w:color w:val="auto"/>
          <w:sz w:val="24"/>
          <w:szCs w:val="24"/>
          <w:highlight w:val="none"/>
          <w:u w:val="single"/>
        </w:rPr>
        <w:t xml:space="preserve">  3</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%预留工程质量保证金，待缺陷责任期满后返还， 是否付息及利息计算方式为：</w:t>
      </w:r>
      <w:r>
        <w:rPr>
          <w:rFonts w:hint="eastAsia" w:ascii="宋体" w:hAnsi="宋体" w:eastAsia="宋体" w:cs="宋体"/>
          <w:color w:val="auto"/>
          <w:sz w:val="24"/>
          <w:szCs w:val="24"/>
          <w:highlight w:val="none"/>
          <w:u w:val="single"/>
        </w:rPr>
        <w:t xml:space="preserve"> 不计息</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5D1D2E22">
      <w:pPr>
        <w:pStyle w:val="24"/>
        <w:keepNext w:val="0"/>
        <w:keepLines w:val="0"/>
        <w:pageBreakBefore w:val="0"/>
        <w:widowControl w:val="0"/>
        <w:tabs>
          <w:tab w:val="left" w:pos="1907"/>
          <w:tab w:val="left" w:pos="3584"/>
          <w:tab w:val="left" w:pos="4738"/>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rPr>
        <w:t>）其他方式：</w:t>
      </w:r>
      <w:r>
        <w:rPr>
          <w:rFonts w:hint="eastAsia" w:ascii="宋体" w:hAnsi="宋体" w:eastAsia="宋体" w:cs="宋体"/>
          <w:color w:val="auto"/>
          <w:sz w:val="24"/>
          <w:szCs w:val="24"/>
          <w:highlight w:val="none"/>
          <w:u w:val="single"/>
        </w:rPr>
        <w:t xml:space="preserve"> 无</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17FD5773">
      <w:pPr>
        <w:pStyle w:val="24"/>
        <w:keepNext w:val="0"/>
        <w:keepLines w:val="0"/>
        <w:pageBreakBefore w:val="0"/>
        <w:widowControl w:val="0"/>
        <w:tabs>
          <w:tab w:val="left" w:pos="2115"/>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15.3.2</w:t>
      </w:r>
      <w:r>
        <w:rPr>
          <w:rFonts w:hint="eastAsia" w:ascii="宋体" w:hAnsi="宋体" w:eastAsia="宋体" w:cs="宋体"/>
          <w:color w:val="auto"/>
          <w:sz w:val="24"/>
          <w:szCs w:val="24"/>
          <w:highlight w:val="none"/>
        </w:rPr>
        <w:t>质量保证金的扣留</w:t>
      </w:r>
    </w:p>
    <w:p w14:paraId="7C0B2A05">
      <w:pPr>
        <w:pStyle w:val="9"/>
        <w:keepNext w:val="0"/>
        <w:keepLines w:val="0"/>
        <w:pageBreakBefore w:val="0"/>
        <w:widowControl w:val="0"/>
        <w:tabs>
          <w:tab w:val="left" w:pos="4426"/>
          <w:tab w:val="left" w:pos="4740"/>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质量保证金的扣留采取以下第</w:t>
      </w:r>
      <w:r>
        <w:rPr>
          <w:rFonts w:hint="eastAsia" w:ascii="宋体" w:hAnsi="宋体" w:eastAsia="宋体" w:cs="宋体"/>
          <w:color w:val="auto"/>
          <w:sz w:val="24"/>
          <w:szCs w:val="24"/>
          <w:highlight w:val="none"/>
          <w:u w:val="single"/>
        </w:rPr>
        <w:t xml:space="preserve"> 2</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种方式：</w:t>
      </w:r>
    </w:p>
    <w:p w14:paraId="4ECF01D6">
      <w:pPr>
        <w:pStyle w:val="24"/>
        <w:keepNext w:val="0"/>
        <w:keepLines w:val="0"/>
        <w:pageBreakBefore w:val="0"/>
        <w:widowControl w:val="0"/>
        <w:tabs>
          <w:tab w:val="left" w:pos="1907"/>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）在不缴纳履保证金情况下，按支付工程进度款时逐次扣留，质量保证金的计算基数不包括预付款的支付、扣回以及价格调整的金额；</w:t>
      </w:r>
    </w:p>
    <w:p w14:paraId="3A1C4F01">
      <w:pPr>
        <w:pStyle w:val="24"/>
        <w:keepNext w:val="0"/>
        <w:keepLines w:val="0"/>
        <w:pageBreakBefore w:val="0"/>
        <w:widowControl w:val="0"/>
        <w:tabs>
          <w:tab w:val="left" w:pos="1907"/>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）工程竣工结算时，一次性扣留质量保证金；</w:t>
      </w:r>
    </w:p>
    <w:p w14:paraId="7D73AF33">
      <w:pPr>
        <w:pStyle w:val="24"/>
        <w:keepNext w:val="0"/>
        <w:keepLines w:val="0"/>
        <w:pageBreakBefore w:val="0"/>
        <w:widowControl w:val="0"/>
        <w:tabs>
          <w:tab w:val="left" w:pos="1907"/>
          <w:tab w:val="left" w:pos="4529"/>
          <w:tab w:val="left" w:pos="6555"/>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rPr>
        <w:t>）其他扣留方式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无</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0C0551D3">
      <w:pPr>
        <w:pStyle w:val="24"/>
        <w:keepNext w:val="0"/>
        <w:keepLines w:val="0"/>
        <w:pageBreakBefore w:val="0"/>
        <w:widowControl w:val="0"/>
        <w:tabs>
          <w:tab w:val="left" w:pos="1907"/>
          <w:tab w:val="left" w:pos="4529"/>
          <w:tab w:val="left" w:pos="6555"/>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关于质量保证金的补充约定：</w:t>
      </w:r>
      <w:r>
        <w:rPr>
          <w:rFonts w:hint="eastAsia" w:ascii="宋体" w:hAnsi="宋体" w:eastAsia="宋体" w:cs="宋体"/>
          <w:color w:val="auto"/>
          <w:sz w:val="24"/>
          <w:szCs w:val="24"/>
          <w:highlight w:val="none"/>
          <w:u w:val="single"/>
        </w:rPr>
        <w:t>发包人在质保期（</w:t>
      </w:r>
      <w:r>
        <w:rPr>
          <w:rFonts w:hint="eastAsia" w:ascii="宋体" w:hAnsi="宋体" w:eastAsia="宋体" w:cs="宋体"/>
          <w:color w:val="auto"/>
          <w:sz w:val="24"/>
          <w:szCs w:val="24"/>
          <w:highlight w:val="none"/>
          <w:u w:val="single"/>
          <w:lang w:val="en-US"/>
        </w:rPr>
        <w:t>12</w:t>
      </w:r>
      <w:r>
        <w:rPr>
          <w:rFonts w:hint="eastAsia" w:ascii="宋体" w:hAnsi="宋体" w:eastAsia="宋体" w:cs="宋体"/>
          <w:color w:val="auto"/>
          <w:sz w:val="24"/>
          <w:szCs w:val="24"/>
          <w:highlight w:val="none"/>
          <w:u w:val="single"/>
        </w:rPr>
        <w:t>个月）满后一个月内将质保金的全部返回给承包人。质量保证金的返还，并不能免除承包人按照合同约定应承担的质量保修责任和应履行的质量保修义务</w:t>
      </w:r>
      <w:r>
        <w:rPr>
          <w:rFonts w:hint="eastAsia" w:ascii="宋体" w:hAnsi="宋体" w:eastAsia="宋体" w:cs="宋体"/>
          <w:color w:val="auto"/>
          <w:sz w:val="24"/>
          <w:szCs w:val="24"/>
          <w:highlight w:val="none"/>
        </w:rPr>
        <w:t>。</w:t>
      </w:r>
    </w:p>
    <w:p w14:paraId="5E1C7B6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15.</w:t>
      </w:r>
      <w:r>
        <w:rPr>
          <w:rFonts w:hint="eastAsia" w:ascii="宋体" w:hAnsi="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val="en-US" w:eastAsia="zh-CN"/>
        </w:rPr>
        <w:t xml:space="preserve"> 保修</w:t>
      </w:r>
    </w:p>
    <w:p w14:paraId="5D15B9E8">
      <w:pPr>
        <w:pStyle w:val="24"/>
        <w:tabs>
          <w:tab w:val="left" w:pos="2103"/>
        </w:tabs>
        <w:spacing w:line="400" w:lineRule="exact"/>
        <w:ind w:left="0"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15.</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保修责任</w:t>
      </w:r>
    </w:p>
    <w:p w14:paraId="57B4F260">
      <w:pPr>
        <w:pStyle w:val="9"/>
        <w:keepNext w:val="0"/>
        <w:keepLines w:val="0"/>
        <w:pageBreakBefore w:val="0"/>
        <w:widowControl w:val="0"/>
        <w:tabs>
          <w:tab w:val="left" w:pos="3363"/>
          <w:tab w:val="left" w:pos="5566"/>
        </w:tabs>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工程保修期为：</w:t>
      </w:r>
      <w:r>
        <w:rPr>
          <w:rFonts w:hint="eastAsia" w:ascii="宋体" w:hAnsi="宋体" w:eastAsia="宋体" w:cs="宋体"/>
          <w:color w:val="auto"/>
          <w:kern w:val="2"/>
          <w:sz w:val="24"/>
          <w:szCs w:val="24"/>
          <w:highlight w:val="none"/>
          <w:u w:val="single"/>
          <w:lang w:val="en-US" w:eastAsia="zh-CN" w:bidi="ar-SA"/>
        </w:rPr>
        <w:t>见工程质量保修书</w:t>
      </w:r>
      <w:r>
        <w:rPr>
          <w:rFonts w:hint="eastAsia" w:ascii="宋体" w:hAnsi="宋体" w:eastAsia="宋体" w:cs="宋体"/>
          <w:color w:val="auto"/>
          <w:kern w:val="2"/>
          <w:sz w:val="24"/>
          <w:szCs w:val="24"/>
          <w:highlight w:val="none"/>
          <w:lang w:val="en-US" w:eastAsia="zh-CN" w:bidi="ar-SA"/>
        </w:rPr>
        <w:t>。</w:t>
      </w:r>
    </w:p>
    <w:p w14:paraId="22F7A51E">
      <w:pPr>
        <w:pStyle w:val="25"/>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rPr>
          <w:rFonts w:hint="eastAsia"/>
          <w:color w:val="auto"/>
          <w:highlight w:val="none"/>
        </w:rPr>
      </w:pPr>
      <w:r>
        <w:rPr>
          <w:rFonts w:hint="eastAsia" w:ascii="宋体" w:hAnsi="宋体" w:eastAsia="宋体" w:cs="宋体"/>
          <w:color w:val="auto"/>
          <w:kern w:val="2"/>
          <w:sz w:val="24"/>
          <w:szCs w:val="24"/>
          <w:highlight w:val="none"/>
          <w:u w:val="single"/>
          <w:lang w:val="en-US" w:eastAsia="zh-CN" w:bidi="ar-SA"/>
        </w:rPr>
        <w:t>承包人应按法律、行政法规或国家关于工程质量保修的有关规定，对交付发包人使用的工程在质量保修期内承担质量保修责任</w:t>
      </w:r>
      <w:r>
        <w:rPr>
          <w:rFonts w:hint="eastAsia" w:ascii="宋体" w:hAnsi="宋体" w:eastAsia="宋体" w:cs="宋体"/>
          <w:color w:val="auto"/>
          <w:kern w:val="2"/>
          <w:sz w:val="24"/>
          <w:szCs w:val="24"/>
          <w:highlight w:val="none"/>
          <w:lang w:val="en-US" w:eastAsia="zh-CN" w:bidi="ar-SA"/>
        </w:rPr>
        <w:t>。</w:t>
      </w:r>
    </w:p>
    <w:p w14:paraId="2204E586">
      <w:pPr>
        <w:pStyle w:val="9"/>
        <w:keepNext w:val="0"/>
        <w:keepLines w:val="0"/>
        <w:pageBreakBefore w:val="0"/>
        <w:widowControl w:val="0"/>
        <w:tabs>
          <w:tab w:val="left" w:pos="3363"/>
          <w:tab w:val="left" w:pos="5566"/>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工程保修书具体内容见合同附件</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p>
    <w:p w14:paraId="64186BBB">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修复通知</w:t>
      </w:r>
    </w:p>
    <w:p w14:paraId="7791A258">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承包人收到保修通知并到达工程现场的合理时间：</w:t>
      </w:r>
      <w:r>
        <w:rPr>
          <w:rFonts w:hint="eastAsia" w:ascii="宋体" w:hAnsi="宋体" w:eastAsia="宋体" w:cs="宋体"/>
          <w:color w:val="auto"/>
          <w:sz w:val="24"/>
          <w:szCs w:val="24"/>
          <w:highlight w:val="none"/>
          <w:u w:val="single"/>
        </w:rPr>
        <w:t>收到通知后</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rPr>
        <w:t>天内</w:t>
      </w:r>
      <w:r>
        <w:rPr>
          <w:rFonts w:hint="eastAsia" w:ascii="宋体" w:hAnsi="宋体" w:eastAsia="宋体" w:cs="宋体"/>
          <w:color w:val="auto"/>
          <w:sz w:val="24"/>
          <w:szCs w:val="24"/>
          <w:highlight w:val="none"/>
        </w:rPr>
        <w:t>。</w:t>
      </w:r>
    </w:p>
    <w:p w14:paraId="55657ECE">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16.违约</w:t>
      </w:r>
    </w:p>
    <w:p w14:paraId="546E5825">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16.1发包人违约</w:t>
      </w:r>
    </w:p>
    <w:p w14:paraId="6A053E89">
      <w:pPr>
        <w:pStyle w:val="24"/>
        <w:tabs>
          <w:tab w:val="left" w:pos="2062"/>
        </w:tabs>
        <w:spacing w:line="400" w:lineRule="exact"/>
        <w:ind w:left="0"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16.1.1</w:t>
      </w:r>
      <w:r>
        <w:rPr>
          <w:rFonts w:hint="eastAsia" w:ascii="宋体" w:hAnsi="宋体" w:eastAsia="宋体" w:cs="宋体"/>
          <w:color w:val="auto"/>
          <w:sz w:val="24"/>
          <w:szCs w:val="24"/>
          <w:highlight w:val="none"/>
        </w:rPr>
        <w:t>发包人违约的情形</w:t>
      </w:r>
    </w:p>
    <w:p w14:paraId="5C947A9B">
      <w:pPr>
        <w:pStyle w:val="9"/>
        <w:keepNext w:val="0"/>
        <w:keepLines w:val="0"/>
        <w:pageBreakBefore w:val="0"/>
        <w:widowControl w:val="0"/>
        <w:tabs>
          <w:tab w:val="left" w:pos="6735"/>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发包人违约的其他情形：</w:t>
      </w:r>
      <w:r>
        <w:rPr>
          <w:rFonts w:hint="eastAsia" w:ascii="宋体" w:hAnsi="宋体" w:eastAsia="宋体" w:cs="宋体"/>
          <w:color w:val="auto"/>
          <w:sz w:val="24"/>
          <w:szCs w:val="24"/>
          <w:highlight w:val="none"/>
          <w:u w:val="single"/>
          <w:lang w:val="en-US" w:eastAsia="zh-CN"/>
        </w:rPr>
        <w:t>无</w:t>
      </w:r>
      <w:r>
        <w:rPr>
          <w:rFonts w:hint="eastAsia" w:ascii="宋体" w:hAnsi="宋体" w:eastAsia="宋体" w:cs="宋体"/>
          <w:color w:val="auto"/>
          <w:sz w:val="24"/>
          <w:szCs w:val="24"/>
          <w:highlight w:val="none"/>
        </w:rPr>
        <w:t>。</w:t>
      </w:r>
    </w:p>
    <w:p w14:paraId="6CE904A7">
      <w:pPr>
        <w:pStyle w:val="24"/>
        <w:keepNext w:val="0"/>
        <w:keepLines w:val="0"/>
        <w:pageBreakBefore w:val="0"/>
        <w:widowControl w:val="0"/>
        <w:tabs>
          <w:tab w:val="left" w:pos="2062"/>
        </w:tabs>
        <w:kinsoku/>
        <w:wordWrap/>
        <w:overflowPunct/>
        <w:topLinePunct w:val="0"/>
        <w:autoSpaceDE/>
        <w:autoSpaceDN/>
        <w:bidi w:val="0"/>
        <w:adjustRightInd/>
        <w:snapToGrid/>
        <w:spacing w:line="400" w:lineRule="exact"/>
        <w:ind w:left="0" w:firstLine="480" w:firstLineChars="200"/>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16.1.2发包人违约的责任</w:t>
      </w:r>
    </w:p>
    <w:p w14:paraId="627616EF">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发包人违约责任的承担方式和计算方法：</w:t>
      </w:r>
    </w:p>
    <w:p w14:paraId="4841C77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（1）因发包人原因未能在计划开工日期前7天内下达开工通知的违约责任：</w:t>
      </w:r>
      <w:r>
        <w:rPr>
          <w:rFonts w:hint="eastAsia" w:ascii="宋体" w:hAnsi="宋体" w:eastAsia="宋体" w:cs="宋体"/>
          <w:color w:val="auto"/>
          <w:sz w:val="24"/>
          <w:szCs w:val="24"/>
          <w:highlight w:val="none"/>
          <w:u w:val="single"/>
          <w:lang w:val="en-US" w:eastAsia="zh-CN"/>
        </w:rPr>
        <w:t>工期顺延</w:t>
      </w:r>
      <w:r>
        <w:rPr>
          <w:rFonts w:hint="eastAsia" w:ascii="宋体" w:hAnsi="宋体" w:eastAsia="宋体" w:cs="宋体"/>
          <w:color w:val="auto"/>
          <w:sz w:val="24"/>
          <w:szCs w:val="24"/>
          <w:highlight w:val="none"/>
          <w:lang w:val="en-US" w:eastAsia="zh-CN"/>
        </w:rPr>
        <w:t>。</w:t>
      </w:r>
    </w:p>
    <w:p w14:paraId="3B834D2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（2）因发包人原因未能按合同约定支付合同价款的违约责任：</w:t>
      </w:r>
      <w:r>
        <w:rPr>
          <w:rFonts w:hint="eastAsia" w:ascii="宋体" w:hAnsi="宋体" w:eastAsia="宋体" w:cs="宋体"/>
          <w:color w:val="auto"/>
          <w:sz w:val="24"/>
          <w:szCs w:val="24"/>
          <w:highlight w:val="none"/>
          <w:u w:val="single"/>
          <w:lang w:val="en-US" w:eastAsia="zh-CN"/>
        </w:rPr>
        <w:t>每天赔偿金额为逾期支付工程合同价款扣除发包人材料价款、暂估专业工程、暂列金额后的万分之四</w:t>
      </w:r>
      <w:r>
        <w:rPr>
          <w:rFonts w:hint="eastAsia" w:ascii="宋体" w:hAnsi="宋体" w:eastAsia="宋体" w:cs="宋体"/>
          <w:color w:val="auto"/>
          <w:sz w:val="24"/>
          <w:szCs w:val="24"/>
          <w:highlight w:val="none"/>
          <w:lang w:val="en-US" w:eastAsia="zh-CN"/>
        </w:rPr>
        <w:t>。</w:t>
      </w:r>
    </w:p>
    <w:p w14:paraId="636F664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（3）发包人不履行合同义务或不按合同约定履行义务的其他情况：</w:t>
      </w:r>
      <w:r>
        <w:rPr>
          <w:rFonts w:hint="eastAsia" w:ascii="宋体" w:hAnsi="宋体" w:eastAsia="宋体" w:cs="宋体"/>
          <w:color w:val="auto"/>
          <w:sz w:val="24"/>
          <w:szCs w:val="24"/>
          <w:highlight w:val="none"/>
          <w:u w:val="single"/>
          <w:lang w:val="en-US" w:eastAsia="zh-CN"/>
        </w:rPr>
        <w:t>发包人承担违约责任，赔偿因其违约给承包人造成的经济损失，顺延延误的工期</w:t>
      </w:r>
      <w:r>
        <w:rPr>
          <w:rFonts w:hint="eastAsia" w:ascii="宋体" w:hAnsi="宋体" w:eastAsia="宋体" w:cs="宋体"/>
          <w:color w:val="auto"/>
          <w:sz w:val="24"/>
          <w:szCs w:val="24"/>
          <w:highlight w:val="none"/>
          <w:lang w:val="en-US" w:eastAsia="zh-CN"/>
        </w:rPr>
        <w:t>。</w:t>
      </w:r>
    </w:p>
    <w:p w14:paraId="5439AB0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Cs w:val="24"/>
          <w:highlight w:val="none"/>
          <w:lang w:val="en-US"/>
        </w:rPr>
      </w:pPr>
      <w:r>
        <w:rPr>
          <w:rFonts w:hint="eastAsia" w:ascii="宋体" w:hAnsi="宋体" w:eastAsia="宋体" w:cs="宋体"/>
          <w:color w:val="auto"/>
          <w:sz w:val="24"/>
          <w:szCs w:val="24"/>
          <w:highlight w:val="none"/>
          <w:lang w:val="en-US" w:eastAsia="zh-CN"/>
        </w:rPr>
        <w:t xml:space="preserve"> （4）其它因发包人违约应承担的违约责任：</w:t>
      </w:r>
      <w:r>
        <w:rPr>
          <w:rFonts w:hint="eastAsia" w:ascii="宋体" w:hAnsi="宋体" w:eastAsia="宋体" w:cs="宋体"/>
          <w:color w:val="auto"/>
          <w:sz w:val="24"/>
          <w:szCs w:val="24"/>
          <w:highlight w:val="none"/>
          <w:u w:val="single"/>
          <w:lang w:val="en-US" w:eastAsia="zh-CN"/>
        </w:rPr>
        <w:t>双方另行约定</w:t>
      </w:r>
      <w:r>
        <w:rPr>
          <w:rFonts w:hint="eastAsia" w:ascii="宋体" w:hAnsi="宋体" w:eastAsia="宋体" w:cs="宋体"/>
          <w:color w:val="auto"/>
          <w:sz w:val="24"/>
          <w:szCs w:val="24"/>
          <w:highlight w:val="none"/>
          <w:lang w:val="en-US" w:eastAsia="zh-CN"/>
        </w:rPr>
        <w:t>。</w:t>
      </w:r>
      <w:r>
        <w:rPr>
          <w:rFonts w:hint="eastAsia"/>
          <w:color w:val="auto"/>
          <w:highlight w:val="none"/>
          <w:lang w:val="en-US" w:eastAsia="zh-CN"/>
        </w:rPr>
        <w:t xml:space="preserve">  </w:t>
      </w:r>
      <w:r>
        <w:rPr>
          <w:rFonts w:hint="eastAsia"/>
          <w:color w:val="auto"/>
          <w:highlight w:val="none"/>
          <w:lang w:val="en-US"/>
        </w:rPr>
        <w:t xml:space="preserve">  </w:t>
      </w:r>
      <w:r>
        <w:rPr>
          <w:rFonts w:hint="eastAsia" w:ascii="宋体" w:hAnsi="宋体" w:eastAsia="宋体" w:cs="宋体"/>
          <w:color w:val="auto"/>
          <w:szCs w:val="24"/>
          <w:highlight w:val="none"/>
          <w:lang w:val="en-US"/>
        </w:rPr>
        <w:t xml:space="preserve">  </w:t>
      </w:r>
    </w:p>
    <w:p w14:paraId="492951C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16.2承包人违约</w:t>
      </w:r>
    </w:p>
    <w:p w14:paraId="48989940">
      <w:pPr>
        <w:pStyle w:val="24"/>
        <w:keepNext w:val="0"/>
        <w:keepLines w:val="0"/>
        <w:pageBreakBefore w:val="0"/>
        <w:widowControl w:val="0"/>
        <w:tabs>
          <w:tab w:val="left" w:pos="2115"/>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16.2.1</w:t>
      </w:r>
      <w:r>
        <w:rPr>
          <w:rFonts w:hint="eastAsia" w:ascii="宋体" w:hAnsi="宋体" w:eastAsia="宋体" w:cs="宋体"/>
          <w:color w:val="auto"/>
          <w:sz w:val="24"/>
          <w:szCs w:val="24"/>
          <w:highlight w:val="none"/>
        </w:rPr>
        <w:t>承包人违约的情形</w:t>
      </w:r>
    </w:p>
    <w:p w14:paraId="2A4CE041">
      <w:pPr>
        <w:pStyle w:val="9"/>
        <w:keepNext w:val="0"/>
        <w:keepLines w:val="0"/>
        <w:pageBreakBefore w:val="0"/>
        <w:widowControl w:val="0"/>
        <w:tabs>
          <w:tab w:val="left" w:pos="7684"/>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承包人违约的其他情形：</w:t>
      </w:r>
      <w:r>
        <w:rPr>
          <w:rFonts w:hint="eastAsia" w:ascii="宋体" w:hAnsi="宋体" w:eastAsia="宋体" w:cs="宋体"/>
          <w:color w:val="auto"/>
          <w:sz w:val="24"/>
          <w:szCs w:val="24"/>
          <w:highlight w:val="none"/>
          <w:u w:val="single"/>
          <w:lang w:val="en-US" w:eastAsia="zh-CN"/>
        </w:rPr>
        <w:t>无</w:t>
      </w:r>
      <w:r>
        <w:rPr>
          <w:rFonts w:hint="eastAsia" w:ascii="宋体" w:hAnsi="宋体" w:eastAsia="宋体" w:cs="宋体"/>
          <w:color w:val="auto"/>
          <w:sz w:val="24"/>
          <w:szCs w:val="24"/>
          <w:highlight w:val="none"/>
        </w:rPr>
        <w:t>。</w:t>
      </w:r>
    </w:p>
    <w:p w14:paraId="26FDE25F">
      <w:pPr>
        <w:pStyle w:val="24"/>
        <w:keepNext w:val="0"/>
        <w:keepLines w:val="0"/>
        <w:pageBreakBefore w:val="0"/>
        <w:widowControl w:val="0"/>
        <w:tabs>
          <w:tab w:val="left" w:pos="2062"/>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16.2.2</w:t>
      </w:r>
      <w:r>
        <w:rPr>
          <w:rFonts w:hint="eastAsia" w:ascii="宋体" w:hAnsi="宋体" w:eastAsia="宋体" w:cs="宋体"/>
          <w:color w:val="auto"/>
          <w:sz w:val="24"/>
          <w:szCs w:val="24"/>
          <w:highlight w:val="none"/>
        </w:rPr>
        <w:t>承包人违约的责任</w:t>
      </w:r>
    </w:p>
    <w:p w14:paraId="291B3BCD">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承包人违约责任的承担方式和计算方法：</w:t>
      </w:r>
    </w:p>
    <w:p w14:paraId="169E13D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（1）因承包人原因不能按照协议书约定的竣工日期或工程师同意顺延的工期竣工：双方另行约定。</w:t>
      </w:r>
    </w:p>
    <w:p w14:paraId="03F26A1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（2）因承包人原因工程质量达不到协议书约定的质量标准，承包人无条件返工处理，修复至工程质量要求并承担相关费用，并在发包人规定的时间内完成返工。</w:t>
      </w:r>
    </w:p>
    <w:p w14:paraId="5ACB6A5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（3） 承包人不履行合同义务或不按合同约定履行义务的其他情况：承包人承担违约责任，赔偿因其违约给发包人造成的损失。</w:t>
      </w:r>
    </w:p>
    <w:p w14:paraId="037657B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（4）其它因承包人违约应承担的违约责任：双方另行约定。</w:t>
      </w:r>
    </w:p>
    <w:p w14:paraId="3E82B605">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17.不可抗力</w:t>
      </w:r>
    </w:p>
    <w:p w14:paraId="165734A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17.1不可抗力的确认</w:t>
      </w:r>
    </w:p>
    <w:p w14:paraId="720CF53C">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除通用合同条款约定的不可抗力事件之外，视为不可抗力的其他情形：</w:t>
      </w:r>
      <w:r>
        <w:rPr>
          <w:rFonts w:hint="eastAsia" w:ascii="宋体" w:hAnsi="宋体" w:eastAsia="宋体" w:cs="宋体"/>
          <w:color w:val="auto"/>
          <w:sz w:val="24"/>
          <w:szCs w:val="24"/>
          <w:highlight w:val="none"/>
          <w:u w:val="single"/>
        </w:rPr>
        <w:t>十级（含）以上大风，六级（含）以上地震，洪灾，特大（含）暴雨，自然灾害的等级必须得到相关权威部门的书面认定方可视为有效</w:t>
      </w:r>
      <w:r>
        <w:rPr>
          <w:rFonts w:hint="eastAsia" w:ascii="宋体" w:hAnsi="宋体" w:eastAsia="宋体" w:cs="宋体"/>
          <w:color w:val="auto"/>
          <w:sz w:val="24"/>
          <w:szCs w:val="24"/>
          <w:highlight w:val="none"/>
        </w:rPr>
        <w:t>。</w:t>
      </w:r>
    </w:p>
    <w:p w14:paraId="7EE58D0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17.4 因不可抗力解除合同</w:t>
      </w:r>
    </w:p>
    <w:p w14:paraId="3BD1E4BB">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合同解除后，发包人应在商定或确定发包人应支付款项后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rPr>
        <w:t>天内完成款项的支付。</w:t>
      </w:r>
    </w:p>
    <w:p w14:paraId="0441E3E1">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18.保险</w:t>
      </w:r>
    </w:p>
    <w:p w14:paraId="19121D91">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18.1工程保险</w:t>
      </w:r>
    </w:p>
    <w:p w14:paraId="3ECA3A0A">
      <w:pPr>
        <w:pStyle w:val="9"/>
        <w:keepNext w:val="0"/>
        <w:keepLines w:val="0"/>
        <w:pageBreakBefore w:val="0"/>
        <w:widowControl w:val="0"/>
        <w:tabs>
          <w:tab w:val="left" w:pos="5266"/>
          <w:tab w:val="left" w:pos="7155"/>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关于工程保险的特别约定：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无 </w:t>
      </w:r>
      <w:r>
        <w:rPr>
          <w:rFonts w:hint="eastAsia" w:ascii="宋体" w:hAnsi="宋体" w:eastAsia="宋体" w:cs="宋体"/>
          <w:color w:val="auto"/>
          <w:sz w:val="24"/>
          <w:szCs w:val="24"/>
          <w:highlight w:val="none"/>
        </w:rPr>
        <w:t>。</w:t>
      </w:r>
    </w:p>
    <w:p w14:paraId="278CE7B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18.3 其他保险</w:t>
      </w:r>
    </w:p>
    <w:p w14:paraId="161AE0F4">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关于其他保险的约定：</w:t>
      </w:r>
      <w:r>
        <w:rPr>
          <w:rFonts w:hint="eastAsia" w:ascii="宋体" w:hAnsi="宋体" w:eastAsia="宋体" w:cs="宋体"/>
          <w:color w:val="auto"/>
          <w:sz w:val="24"/>
          <w:szCs w:val="24"/>
          <w:highlight w:val="none"/>
          <w:u w:val="single"/>
        </w:rPr>
        <w:t>承包人必须为施工现场管理人员和施工作业人员办理意外伤害保险，并支付保险费；发包人需要办理保险的费用由其自行承担</w:t>
      </w:r>
      <w:r>
        <w:rPr>
          <w:rFonts w:hint="eastAsia" w:ascii="宋体" w:hAnsi="宋体" w:eastAsia="宋体" w:cs="宋体"/>
          <w:color w:val="auto"/>
          <w:sz w:val="24"/>
          <w:szCs w:val="24"/>
          <w:highlight w:val="none"/>
        </w:rPr>
        <w:t>。</w:t>
      </w:r>
    </w:p>
    <w:p w14:paraId="65CB4C77">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承包人是否应为其施工设备等办理财产保险：</w:t>
      </w:r>
      <w:r>
        <w:rPr>
          <w:rFonts w:hint="eastAsia" w:ascii="宋体" w:hAnsi="宋体" w:eastAsia="宋体" w:cs="宋体"/>
          <w:color w:val="auto"/>
          <w:sz w:val="24"/>
          <w:szCs w:val="24"/>
          <w:highlight w:val="none"/>
          <w:u w:val="single"/>
        </w:rPr>
        <w:t>承包人自行考虑</w:t>
      </w:r>
      <w:r>
        <w:rPr>
          <w:rFonts w:hint="eastAsia" w:ascii="宋体" w:hAnsi="宋体" w:eastAsia="宋体" w:cs="宋体"/>
          <w:color w:val="auto"/>
          <w:sz w:val="24"/>
          <w:szCs w:val="24"/>
          <w:highlight w:val="none"/>
        </w:rPr>
        <w:t>。</w:t>
      </w:r>
    </w:p>
    <w:p w14:paraId="046EFEFB">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18.7 通知义务</w:t>
      </w:r>
    </w:p>
    <w:p w14:paraId="6BB0B22C">
      <w:pPr>
        <w:pStyle w:val="9"/>
        <w:keepNext w:val="0"/>
        <w:keepLines w:val="0"/>
        <w:pageBreakBefore w:val="0"/>
        <w:widowControl w:val="0"/>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关于变更保险合同时的通知义务的约定：</w:t>
      </w:r>
      <w:r>
        <w:rPr>
          <w:rFonts w:hint="eastAsia" w:ascii="宋体" w:hAnsi="宋体" w:eastAsia="宋体" w:cs="宋体"/>
          <w:color w:val="auto"/>
          <w:sz w:val="24"/>
          <w:szCs w:val="24"/>
          <w:highlight w:val="none"/>
          <w:u w:val="single"/>
        </w:rPr>
        <w:t xml:space="preserve"> 按通用合同条款 18.7 执行 </w:t>
      </w:r>
      <w:r>
        <w:rPr>
          <w:rFonts w:hint="eastAsia" w:ascii="宋体" w:hAnsi="宋体" w:eastAsia="宋体" w:cs="宋体"/>
          <w:color w:val="auto"/>
          <w:sz w:val="24"/>
          <w:szCs w:val="24"/>
          <w:highlight w:val="none"/>
        </w:rPr>
        <w:t>。</w:t>
      </w:r>
    </w:p>
    <w:p w14:paraId="69141E0D">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20.争议解决</w:t>
      </w:r>
    </w:p>
    <w:p w14:paraId="08C12346">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20.3争议评审</w:t>
      </w:r>
    </w:p>
    <w:p w14:paraId="0CE546F6">
      <w:pPr>
        <w:pStyle w:val="9"/>
        <w:keepNext w:val="0"/>
        <w:keepLines w:val="0"/>
        <w:pageBreakBefore w:val="0"/>
        <w:widowControl w:val="0"/>
        <w:tabs>
          <w:tab w:val="left" w:pos="6990"/>
          <w:tab w:val="left" w:pos="7830"/>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合同当事人是否同意将工程争议提交争议评审小组决定：</w:t>
      </w:r>
      <w:r>
        <w:rPr>
          <w:rFonts w:hint="eastAsia" w:ascii="宋体" w:hAnsi="宋体" w:eastAsia="宋体" w:cs="宋体"/>
          <w:color w:val="auto"/>
          <w:sz w:val="24"/>
          <w:szCs w:val="24"/>
          <w:highlight w:val="none"/>
          <w:u w:val="single"/>
        </w:rPr>
        <w:t xml:space="preserve"> 不同意</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54089A75">
      <w:pPr>
        <w:pStyle w:val="24"/>
        <w:keepNext w:val="0"/>
        <w:keepLines w:val="0"/>
        <w:pageBreakBefore w:val="0"/>
        <w:widowControl w:val="0"/>
        <w:tabs>
          <w:tab w:val="left" w:pos="2115"/>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20.3.1</w:t>
      </w:r>
      <w:r>
        <w:rPr>
          <w:rFonts w:hint="eastAsia" w:ascii="宋体" w:hAnsi="宋体" w:eastAsia="宋体" w:cs="宋体"/>
          <w:color w:val="auto"/>
          <w:sz w:val="24"/>
          <w:szCs w:val="24"/>
          <w:highlight w:val="none"/>
        </w:rPr>
        <w:t>争议评审小组的确定</w:t>
      </w:r>
    </w:p>
    <w:p w14:paraId="26C802EC">
      <w:pPr>
        <w:pStyle w:val="9"/>
        <w:keepNext w:val="0"/>
        <w:keepLines w:val="0"/>
        <w:pageBreakBefore w:val="0"/>
        <w:widowControl w:val="0"/>
        <w:tabs>
          <w:tab w:val="left" w:pos="4949"/>
          <w:tab w:val="left" w:pos="5264"/>
          <w:tab w:val="left" w:pos="5581"/>
          <w:tab w:val="left" w:pos="7050"/>
        </w:tabs>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争议评审小组成员的确定：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683A3C6E">
      <w:pPr>
        <w:pStyle w:val="9"/>
        <w:keepNext w:val="0"/>
        <w:keepLines w:val="0"/>
        <w:pageBreakBefore w:val="0"/>
        <w:widowControl w:val="0"/>
        <w:tabs>
          <w:tab w:val="left" w:pos="4949"/>
          <w:tab w:val="left" w:pos="5264"/>
          <w:tab w:val="left" w:pos="5581"/>
          <w:tab w:val="left" w:pos="7050"/>
        </w:tabs>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选定争议评审员的期限：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01A8A960">
      <w:pPr>
        <w:pStyle w:val="9"/>
        <w:keepNext w:val="0"/>
        <w:keepLines w:val="0"/>
        <w:pageBreakBefore w:val="0"/>
        <w:widowControl w:val="0"/>
        <w:tabs>
          <w:tab w:val="left" w:pos="4949"/>
          <w:tab w:val="left" w:pos="5264"/>
          <w:tab w:val="left" w:pos="5581"/>
          <w:tab w:val="left" w:pos="7050"/>
        </w:tabs>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争议评审小组成员的报酬承担方式：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021D4DD1">
      <w:pPr>
        <w:pStyle w:val="9"/>
        <w:keepNext w:val="0"/>
        <w:keepLines w:val="0"/>
        <w:pageBreakBefore w:val="0"/>
        <w:widowControl w:val="0"/>
        <w:tabs>
          <w:tab w:val="left" w:pos="4949"/>
          <w:tab w:val="left" w:pos="5264"/>
          <w:tab w:val="left" w:pos="5581"/>
          <w:tab w:val="left" w:pos="7050"/>
        </w:tabs>
        <w:kinsoku/>
        <w:wordWrap/>
        <w:overflowPunct/>
        <w:topLinePunct w:val="0"/>
        <w:autoSpaceDE/>
        <w:autoSpaceDN/>
        <w:bidi w:val="0"/>
        <w:adjustRightInd/>
        <w:snapToGrid/>
        <w:spacing w:after="0" w:line="400" w:lineRule="exact"/>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其他事项的约定：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rPr>
        <w:t xml:space="preserve">  </w:t>
      </w:r>
      <w:r>
        <w:rPr>
          <w:rFonts w:hint="eastAsia" w:ascii="宋体" w:hAnsi="宋体" w:eastAsia="宋体" w:cs="宋体"/>
          <w:color w:val="auto"/>
          <w:sz w:val="24"/>
          <w:szCs w:val="24"/>
          <w:highlight w:val="none"/>
        </w:rPr>
        <w:t>。</w:t>
      </w:r>
    </w:p>
    <w:p w14:paraId="0F09E29D">
      <w:pPr>
        <w:pStyle w:val="24"/>
        <w:keepNext w:val="0"/>
        <w:keepLines w:val="0"/>
        <w:pageBreakBefore w:val="0"/>
        <w:widowControl w:val="0"/>
        <w:tabs>
          <w:tab w:val="left" w:pos="2115"/>
        </w:tabs>
        <w:kinsoku/>
        <w:wordWrap/>
        <w:overflowPunct/>
        <w:topLinePunct w:val="0"/>
        <w:autoSpaceDE/>
        <w:autoSpaceDN/>
        <w:bidi w:val="0"/>
        <w:adjustRightInd/>
        <w:snapToGrid/>
        <w:spacing w:line="400" w:lineRule="exact"/>
        <w:ind w:left="0"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20.3.2</w:t>
      </w:r>
      <w:r>
        <w:rPr>
          <w:rFonts w:hint="eastAsia" w:ascii="宋体" w:hAnsi="宋体" w:eastAsia="宋体" w:cs="宋体"/>
          <w:color w:val="auto"/>
          <w:sz w:val="24"/>
          <w:szCs w:val="24"/>
          <w:highlight w:val="none"/>
        </w:rPr>
        <w:t>争议评审小组的决定</w:t>
      </w:r>
    </w:p>
    <w:p w14:paraId="0D1E7369">
      <w:pPr>
        <w:pStyle w:val="9"/>
        <w:keepNext w:val="0"/>
        <w:keepLines w:val="0"/>
        <w:pageBreakBefore w:val="0"/>
        <w:widowControl w:val="0"/>
        <w:tabs>
          <w:tab w:val="left" w:pos="4532"/>
          <w:tab w:val="left" w:pos="7575"/>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合同当事人关于本项的约定：</w:t>
      </w:r>
      <w:r>
        <w:rPr>
          <w:rFonts w:hint="eastAsia" w:ascii="宋体" w:hAnsi="宋体" w:eastAsia="宋体" w:cs="宋体"/>
          <w:color w:val="auto"/>
          <w:sz w:val="24"/>
          <w:szCs w:val="24"/>
          <w:highlight w:val="none"/>
          <w:u w:val="single"/>
        </w:rPr>
        <w:t xml:space="preserve"> 按通用合同条款 20.3.2 执行</w:t>
      </w:r>
      <w:r>
        <w:rPr>
          <w:rFonts w:hint="eastAsia" w:ascii="宋体" w:hAnsi="宋体" w:eastAsia="宋体" w:cs="宋体"/>
          <w:color w:val="auto"/>
          <w:sz w:val="24"/>
          <w:szCs w:val="24"/>
          <w:highlight w:val="none"/>
        </w:rPr>
        <w:t>。</w:t>
      </w:r>
    </w:p>
    <w:p w14:paraId="5CC800AE">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20.4仲裁或诉讼</w:t>
      </w:r>
    </w:p>
    <w:p w14:paraId="6D6DE35F">
      <w:pPr>
        <w:pStyle w:val="9"/>
        <w:keepNext w:val="0"/>
        <w:keepLines w:val="0"/>
        <w:pageBreakBefore w:val="0"/>
        <w:widowControl w:val="0"/>
        <w:tabs>
          <w:tab w:val="left" w:pos="5895"/>
          <w:tab w:val="left" w:pos="6630"/>
        </w:tabs>
        <w:kinsoku/>
        <w:wordWrap/>
        <w:overflowPunct/>
        <w:topLinePunct w:val="0"/>
        <w:autoSpaceDE/>
        <w:autoSpaceDN/>
        <w:bidi w:val="0"/>
        <w:adjustRightInd/>
        <w:snapToGrid/>
        <w:spacing w:after="0" w:line="400" w:lineRule="exact"/>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因合同及合同有关事项发生的争议，按下列第</w:t>
      </w:r>
      <w:r>
        <w:rPr>
          <w:rFonts w:hint="eastAsia" w:ascii="宋体" w:hAnsi="宋体" w:eastAsia="宋体" w:cs="宋体"/>
          <w:color w:val="auto"/>
          <w:sz w:val="24"/>
          <w:szCs w:val="24"/>
          <w:highlight w:val="none"/>
          <w:u w:val="single"/>
        </w:rPr>
        <w:t xml:space="preserve"> （2）</w:t>
      </w:r>
      <w:r>
        <w:rPr>
          <w:rFonts w:hint="eastAsia" w:ascii="宋体" w:hAnsi="宋体" w:eastAsia="宋体" w:cs="宋体"/>
          <w:color w:val="auto"/>
          <w:sz w:val="24"/>
          <w:szCs w:val="24"/>
          <w:highlight w:val="none"/>
        </w:rPr>
        <w:t>种方式解决：</w:t>
      </w:r>
    </w:p>
    <w:p w14:paraId="5ECECA13">
      <w:pPr>
        <w:pStyle w:val="24"/>
        <w:keepNext w:val="0"/>
        <w:keepLines w:val="0"/>
        <w:pageBreakBefore w:val="0"/>
        <w:widowControl w:val="0"/>
        <w:tabs>
          <w:tab w:val="left" w:pos="1907"/>
          <w:tab w:val="left" w:pos="3149"/>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rPr>
        <w:t>）提请</w:t>
      </w:r>
      <w:r>
        <w:rPr>
          <w:rFonts w:hint="eastAsia" w:ascii="宋体" w:hAnsi="宋体" w:cs="宋体"/>
          <w:color w:val="auto"/>
          <w:sz w:val="24"/>
          <w:szCs w:val="24"/>
          <w:highlight w:val="none"/>
          <w:u w:val="single"/>
          <w:lang w:val="en-US" w:eastAsia="zh-CN"/>
        </w:rPr>
        <w:t>柳州</w:t>
      </w:r>
      <w:r>
        <w:rPr>
          <w:rFonts w:hint="eastAsia" w:ascii="宋体" w:hAnsi="宋体" w:eastAsia="宋体" w:cs="宋体"/>
          <w:color w:val="auto"/>
          <w:sz w:val="24"/>
          <w:szCs w:val="24"/>
          <w:highlight w:val="none"/>
          <w:u w:val="single"/>
          <w:lang w:val="en-US" w:eastAsia="zh-CN"/>
        </w:rPr>
        <w:t>市</w:t>
      </w:r>
      <w:r>
        <w:rPr>
          <w:rFonts w:hint="eastAsia" w:ascii="宋体" w:hAnsi="宋体" w:eastAsia="宋体" w:cs="宋体"/>
          <w:color w:val="auto"/>
          <w:sz w:val="24"/>
          <w:szCs w:val="24"/>
          <w:highlight w:val="none"/>
        </w:rPr>
        <w:t>仲裁委员会按照该会仲裁规则进行仲裁，仲裁裁决是终局的，对合同双方均有约束力。</w:t>
      </w:r>
    </w:p>
    <w:p w14:paraId="22DEB132">
      <w:pPr>
        <w:pStyle w:val="24"/>
        <w:keepNext w:val="0"/>
        <w:keepLines w:val="0"/>
        <w:pageBreakBefore w:val="0"/>
        <w:widowControl w:val="0"/>
        <w:tabs>
          <w:tab w:val="left" w:pos="1907"/>
          <w:tab w:val="left" w:pos="3583"/>
        </w:tabs>
        <w:kinsoku/>
        <w:wordWrap/>
        <w:overflowPunct/>
        <w:topLinePunct w:val="0"/>
        <w:autoSpaceDE/>
        <w:autoSpaceDN/>
        <w:bidi w:val="0"/>
        <w:adjustRightInd/>
        <w:snapToGrid/>
        <w:spacing w:line="400" w:lineRule="exact"/>
        <w:ind w:left="0"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u w:val="single"/>
        </w:rPr>
        <w:t>项目所在地</w:t>
      </w:r>
      <w:r>
        <w:rPr>
          <w:rFonts w:hint="eastAsia" w:ascii="宋体" w:hAnsi="宋体" w:eastAsia="宋体" w:cs="宋体"/>
          <w:color w:val="auto"/>
          <w:sz w:val="24"/>
          <w:szCs w:val="24"/>
          <w:highlight w:val="none"/>
        </w:rPr>
        <w:t>人民法院起诉。</w:t>
      </w:r>
    </w:p>
    <w:p w14:paraId="43843933">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21.补充条款</w:t>
      </w:r>
    </w:p>
    <w:p w14:paraId="2C8C7678">
      <w:pPr>
        <w:spacing w:line="40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1、工程竣工</w:t>
      </w:r>
    </w:p>
    <w:p w14:paraId="3D3AF770">
      <w:pPr>
        <w:pStyle w:val="9"/>
        <w:keepNext w:val="0"/>
        <w:keepLines w:val="0"/>
        <w:pageBreakBefore w:val="0"/>
        <w:widowControl w:val="0"/>
        <w:tabs>
          <w:tab w:val="left" w:pos="5895"/>
          <w:tab w:val="left" w:pos="6630"/>
        </w:tabs>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1.1承包人必须按照协议书约定的竣工日期或工程师同意顺延的工期竣工。</w:t>
      </w:r>
    </w:p>
    <w:p w14:paraId="46E105EC">
      <w:pPr>
        <w:pStyle w:val="9"/>
        <w:keepNext w:val="0"/>
        <w:keepLines w:val="0"/>
        <w:pageBreakBefore w:val="0"/>
        <w:widowControl w:val="0"/>
        <w:tabs>
          <w:tab w:val="left" w:pos="5895"/>
          <w:tab w:val="left" w:pos="6630"/>
        </w:tabs>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1.2因承包人原因不能按照协议书约定的竣工日期或工程师同意顺延的工期竣工的，承包人承担违约责任。</w:t>
      </w:r>
    </w:p>
    <w:p w14:paraId="47B135F5">
      <w:pPr>
        <w:pStyle w:val="9"/>
        <w:keepNext w:val="0"/>
        <w:keepLines w:val="0"/>
        <w:pageBreakBefore w:val="0"/>
        <w:widowControl w:val="0"/>
        <w:tabs>
          <w:tab w:val="left" w:pos="5895"/>
          <w:tab w:val="left" w:pos="6630"/>
        </w:tabs>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14:paraId="00EE52F7">
      <w:pPr>
        <w:pStyle w:val="9"/>
        <w:keepNext w:val="0"/>
        <w:keepLines w:val="0"/>
        <w:pageBreakBefore w:val="0"/>
        <w:widowControl w:val="0"/>
        <w:tabs>
          <w:tab w:val="left" w:pos="5895"/>
          <w:tab w:val="left" w:pos="6630"/>
        </w:tabs>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2、安全施工</w:t>
      </w:r>
    </w:p>
    <w:p w14:paraId="7A5327AC">
      <w:pPr>
        <w:pStyle w:val="9"/>
        <w:keepNext w:val="0"/>
        <w:keepLines w:val="0"/>
        <w:pageBreakBefore w:val="0"/>
        <w:widowControl w:val="0"/>
        <w:tabs>
          <w:tab w:val="left" w:pos="5895"/>
          <w:tab w:val="left" w:pos="6630"/>
        </w:tabs>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2.1安全施工与检查</w:t>
      </w:r>
    </w:p>
    <w:p w14:paraId="3DC3A0F3">
      <w:pPr>
        <w:pStyle w:val="9"/>
        <w:keepNext w:val="0"/>
        <w:keepLines w:val="0"/>
        <w:pageBreakBefore w:val="0"/>
        <w:widowControl w:val="0"/>
        <w:tabs>
          <w:tab w:val="left" w:pos="5895"/>
          <w:tab w:val="left" w:pos="6630"/>
        </w:tabs>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14:paraId="67C3FBBC">
      <w:pPr>
        <w:pStyle w:val="9"/>
        <w:keepNext w:val="0"/>
        <w:keepLines w:val="0"/>
        <w:pageBreakBefore w:val="0"/>
        <w:widowControl w:val="0"/>
        <w:tabs>
          <w:tab w:val="left" w:pos="5895"/>
          <w:tab w:val="left" w:pos="6630"/>
        </w:tabs>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（2）发包人应对其在施工场地的工作人员进行安全教育，并对他们的安全负责。发包人不得要求承包人违反安全管理的规定进行施工。因发包人原因导致的安全事故，由发包人承担相应责任及发生的费用。</w:t>
      </w:r>
    </w:p>
    <w:p w14:paraId="42BA8EF9">
      <w:pPr>
        <w:pStyle w:val="9"/>
        <w:keepNext w:val="0"/>
        <w:keepLines w:val="0"/>
        <w:pageBreakBefore w:val="0"/>
        <w:widowControl w:val="0"/>
        <w:tabs>
          <w:tab w:val="left" w:pos="5895"/>
          <w:tab w:val="left" w:pos="6630"/>
        </w:tabs>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2.2安全防护</w:t>
      </w:r>
    </w:p>
    <w:p w14:paraId="14642CCC">
      <w:pPr>
        <w:pStyle w:val="9"/>
        <w:keepNext w:val="0"/>
        <w:keepLines w:val="0"/>
        <w:pageBreakBefore w:val="0"/>
        <w:widowControl w:val="0"/>
        <w:tabs>
          <w:tab w:val="left" w:pos="5895"/>
          <w:tab w:val="left" w:pos="6630"/>
        </w:tabs>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（1）承包人在动力设备、输电线路、地下管道、密封防震车间、易燃易爆地段以及临街交通要道附近施工时，施工开始前应向工程师提出安全防护措施，经工程师认可后实施，防护措施费用由发包人承担。</w:t>
      </w:r>
    </w:p>
    <w:p w14:paraId="4CE4812C">
      <w:pPr>
        <w:pStyle w:val="9"/>
        <w:keepNext w:val="0"/>
        <w:keepLines w:val="0"/>
        <w:pageBreakBefore w:val="0"/>
        <w:widowControl w:val="0"/>
        <w:tabs>
          <w:tab w:val="left" w:pos="5895"/>
          <w:tab w:val="left" w:pos="6630"/>
        </w:tabs>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实施爆破作业，在放射、毒害性环境中施工（含储存、运输、使用）及使用毒害性、腐蚀性物品施工时，承包人应在施工前14天以书面通知工程师，并提出相应的安全防护措施，经工程师认可后实施，由发包人承担安全防护措施费用。</w:t>
      </w:r>
    </w:p>
    <w:p w14:paraId="66C637E1">
      <w:pPr>
        <w:pStyle w:val="9"/>
        <w:keepNext w:val="0"/>
        <w:keepLines w:val="0"/>
        <w:pageBreakBefore w:val="0"/>
        <w:widowControl w:val="0"/>
        <w:tabs>
          <w:tab w:val="left" w:pos="5895"/>
          <w:tab w:val="left" w:pos="6630"/>
        </w:tabs>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2.3事故处理</w:t>
      </w:r>
    </w:p>
    <w:p w14:paraId="05097C62">
      <w:pPr>
        <w:pStyle w:val="9"/>
        <w:keepNext w:val="0"/>
        <w:keepLines w:val="0"/>
        <w:pageBreakBefore w:val="0"/>
        <w:widowControl w:val="0"/>
        <w:tabs>
          <w:tab w:val="left" w:pos="5895"/>
          <w:tab w:val="left" w:pos="6630"/>
        </w:tabs>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（1）发生重大伤亡及其他安全事故，承包人应按有关规定立即上报有关部门并通知工程师，同时按政府有关部门要求处理，由事故责任方承担发生的费用。</w:t>
      </w:r>
    </w:p>
    <w:p w14:paraId="4ADEA6BB">
      <w:pPr>
        <w:pStyle w:val="9"/>
        <w:keepNext w:val="0"/>
        <w:keepLines w:val="0"/>
        <w:pageBreakBefore w:val="0"/>
        <w:widowControl w:val="0"/>
        <w:tabs>
          <w:tab w:val="left" w:pos="5895"/>
          <w:tab w:val="left" w:pos="6630"/>
        </w:tabs>
        <w:kinsoku/>
        <w:wordWrap/>
        <w:overflowPunct/>
        <w:topLinePunct w:val="0"/>
        <w:autoSpaceDE/>
        <w:autoSpaceDN/>
        <w:bidi w:val="0"/>
        <w:adjustRightInd/>
        <w:snapToGrid/>
        <w:spacing w:after="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（2）发包人承包人对事故责任有争议时，应按政府有关部门的认定处理。</w:t>
      </w:r>
    </w:p>
    <w:p w14:paraId="755C4F1A">
      <w:pPr>
        <w:ind w:firstLine="480" w:firstLineChars="200"/>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3、特别条款：</w:t>
      </w:r>
    </w:p>
    <w:p w14:paraId="75F4905A">
      <w:pPr>
        <w:ind w:firstLine="480" w:firstLineChars="200"/>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衔接资金项目合同价在100万元(含)及以下的项目，必须带动农村劳动力10人以上实现就业;合同价在100万元以上至200万元(含)之间的项目，必须带动农村劳动力20人以上实现就业;合同价在200万元以上至400万元(含)之间的项目，必须带动农村劳动力30人以上实现就业;合同价在400万元以上的项目，必须带动农村劳动力60人以上实现就业。</w:t>
      </w:r>
    </w:p>
    <w:p w14:paraId="21C7DFC3">
      <w:pPr>
        <w:rPr>
          <w:rFonts w:ascii="宋体" w:hAnsi="宋体" w:eastAsia="宋体" w:cs="宋体"/>
          <w:color w:val="auto"/>
          <w:sz w:val="24"/>
          <w:szCs w:val="24"/>
        </w:rPr>
      </w:pP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、合同未尽事宜，合同当事人另行签订补充协议，补充协议是合同的组成部分。</w:t>
      </w:r>
    </w:p>
    <w:p w14:paraId="27E14E98">
      <w:pPr>
        <w:rPr>
          <w:rFonts w:hint="eastAsia" w:eastAsia="宋体"/>
          <w:lang w:val="en-US" w:eastAsia="zh-CN"/>
        </w:rPr>
      </w:pPr>
    </w:p>
    <w:p w14:paraId="4DBB3841">
      <w:pPr>
        <w:pStyle w:val="7"/>
        <w:rPr>
          <w:rFonts w:ascii="宋体" w:hAnsi="宋体" w:eastAsia="宋体" w:cs="宋体"/>
          <w:color w:val="auto"/>
          <w:sz w:val="24"/>
          <w:szCs w:val="24"/>
        </w:rPr>
      </w:pPr>
    </w:p>
    <w:p w14:paraId="5C6B5269">
      <w:pPr>
        <w:rPr>
          <w:rFonts w:ascii="宋体" w:hAnsi="宋体" w:eastAsia="宋体" w:cs="宋体"/>
          <w:color w:val="auto"/>
          <w:sz w:val="24"/>
          <w:szCs w:val="24"/>
        </w:rPr>
      </w:pPr>
    </w:p>
    <w:p w14:paraId="0BD0E719">
      <w:pPr>
        <w:pStyle w:val="2"/>
        <w:rPr>
          <w:rFonts w:ascii="宋体" w:hAnsi="宋体" w:eastAsia="宋体" w:cs="宋体"/>
          <w:color w:val="auto"/>
          <w:sz w:val="24"/>
          <w:szCs w:val="24"/>
        </w:rPr>
      </w:pPr>
    </w:p>
    <w:p w14:paraId="0DF63C75">
      <w:pPr>
        <w:rPr>
          <w:rFonts w:ascii="宋体" w:hAnsi="宋体" w:eastAsia="宋体" w:cs="宋体"/>
          <w:color w:val="auto"/>
          <w:sz w:val="24"/>
          <w:szCs w:val="24"/>
        </w:rPr>
      </w:pPr>
    </w:p>
    <w:p w14:paraId="0CA6FCFB">
      <w:pPr>
        <w:pStyle w:val="2"/>
        <w:rPr>
          <w:rFonts w:ascii="宋体" w:hAnsi="宋体" w:eastAsia="宋体" w:cs="宋体"/>
          <w:color w:val="auto"/>
          <w:sz w:val="24"/>
          <w:szCs w:val="24"/>
        </w:rPr>
      </w:pPr>
    </w:p>
    <w:p w14:paraId="500E0DE1">
      <w:pPr>
        <w:rPr>
          <w:rFonts w:ascii="宋体" w:hAnsi="宋体" w:eastAsia="宋体" w:cs="宋体"/>
          <w:color w:val="auto"/>
          <w:sz w:val="24"/>
          <w:szCs w:val="24"/>
        </w:rPr>
      </w:pPr>
    </w:p>
    <w:p w14:paraId="668D6840">
      <w:pPr>
        <w:pStyle w:val="2"/>
        <w:rPr>
          <w:rFonts w:ascii="宋体" w:hAnsi="宋体" w:eastAsia="宋体" w:cs="宋体"/>
          <w:color w:val="auto"/>
          <w:sz w:val="24"/>
          <w:szCs w:val="24"/>
        </w:rPr>
      </w:pPr>
    </w:p>
    <w:p w14:paraId="39B5DFC5">
      <w:pPr>
        <w:rPr>
          <w:rFonts w:ascii="宋体" w:hAnsi="宋体" w:eastAsia="宋体" w:cs="宋体"/>
          <w:color w:val="auto"/>
          <w:sz w:val="24"/>
          <w:szCs w:val="24"/>
        </w:rPr>
      </w:pPr>
    </w:p>
    <w:p w14:paraId="532DFC2B">
      <w:pPr>
        <w:pStyle w:val="2"/>
        <w:rPr>
          <w:rFonts w:ascii="宋体" w:hAnsi="宋体" w:eastAsia="宋体" w:cs="宋体"/>
          <w:color w:val="auto"/>
          <w:sz w:val="24"/>
          <w:szCs w:val="24"/>
        </w:rPr>
      </w:pPr>
    </w:p>
    <w:p w14:paraId="349736CC">
      <w:pPr>
        <w:rPr>
          <w:rFonts w:ascii="宋体" w:hAnsi="宋体" w:eastAsia="宋体" w:cs="宋体"/>
          <w:color w:val="auto"/>
          <w:sz w:val="24"/>
          <w:szCs w:val="24"/>
        </w:rPr>
      </w:pPr>
    </w:p>
    <w:p w14:paraId="6D07D354">
      <w:pPr>
        <w:pStyle w:val="2"/>
      </w:pPr>
    </w:p>
    <w:p w14:paraId="2D1CF26E">
      <w:pPr>
        <w:rPr>
          <w:rFonts w:ascii="宋体" w:hAnsi="宋体" w:eastAsia="宋体" w:cs="宋体"/>
          <w:color w:val="auto"/>
          <w:sz w:val="24"/>
          <w:szCs w:val="24"/>
        </w:rPr>
      </w:pPr>
    </w:p>
    <w:p w14:paraId="032E49A0">
      <w:pPr>
        <w:pStyle w:val="3"/>
        <w:rPr>
          <w:rFonts w:hint="eastAsia" w:ascii="宋体" w:hAnsi="宋体" w:eastAsia="宋体" w:cs="Times New Roman"/>
          <w:b/>
          <w:bCs/>
        </w:rPr>
      </w:pPr>
      <w:bookmarkStart w:id="228" w:name="_Toc13892"/>
      <w:r>
        <w:rPr>
          <w:rFonts w:hint="eastAsia" w:ascii="宋体" w:hAnsi="宋体" w:eastAsia="宋体" w:cs="Times New Roman"/>
          <w:b/>
          <w:bCs/>
        </w:rPr>
        <w:t>第</w:t>
      </w:r>
      <w:r>
        <w:rPr>
          <w:rFonts w:hint="eastAsia" w:ascii="宋体" w:hAnsi="宋体" w:cs="Times New Roman"/>
          <w:b/>
          <w:bCs/>
          <w:lang w:val="en-US" w:eastAsia="zh-CN"/>
        </w:rPr>
        <w:t>六</w:t>
      </w:r>
      <w:r>
        <w:rPr>
          <w:rFonts w:hint="eastAsia" w:ascii="宋体" w:hAnsi="宋体" w:eastAsia="宋体" w:cs="Times New Roman"/>
          <w:b/>
          <w:bCs/>
        </w:rPr>
        <w:t>章 工程量清单</w:t>
      </w:r>
      <w:bookmarkEnd w:id="228"/>
    </w:p>
    <w:p w14:paraId="1106E244">
      <w:pPr>
        <w:spacing w:before="62" w:line="326" w:lineRule="exact"/>
        <w:ind w:left="426"/>
        <w:rPr>
          <w:rFonts w:ascii="宋体" w:hAnsi="宋体" w:eastAsia="宋体" w:cs="宋体"/>
          <w:sz w:val="24"/>
          <w:szCs w:val="24"/>
        </w:rPr>
      </w:pPr>
      <w:r>
        <w:rPr>
          <w:rFonts w:ascii="宋体" w:hAnsi="宋体" w:eastAsia="宋体" w:cs="宋体"/>
          <w:spacing w:val="13"/>
          <w:position w:val="2"/>
          <w:sz w:val="24"/>
          <w:szCs w:val="24"/>
        </w:rPr>
        <w:t>一、工程量清单报价表填写规</w:t>
      </w:r>
      <w:r>
        <w:rPr>
          <w:rFonts w:ascii="宋体" w:hAnsi="宋体" w:eastAsia="宋体" w:cs="宋体"/>
          <w:spacing w:val="11"/>
          <w:position w:val="2"/>
          <w:sz w:val="24"/>
          <w:szCs w:val="24"/>
        </w:rPr>
        <w:t>定</w:t>
      </w:r>
    </w:p>
    <w:p w14:paraId="50554818">
      <w:pPr>
        <w:spacing w:before="25" w:line="351" w:lineRule="auto"/>
        <w:ind w:firstLine="449"/>
        <w:rPr>
          <w:rFonts w:ascii="宋体" w:hAnsi="宋体" w:eastAsia="宋体" w:cs="宋体"/>
          <w:sz w:val="24"/>
          <w:szCs w:val="24"/>
        </w:rPr>
      </w:pPr>
      <w:r>
        <w:rPr>
          <w:rFonts w:ascii="宋体" w:hAnsi="宋体" w:eastAsia="宋体" w:cs="宋体"/>
          <w:spacing w:val="26"/>
          <w:sz w:val="24"/>
          <w:szCs w:val="24"/>
        </w:rPr>
        <w:t>1.</w:t>
      </w:r>
      <w:r>
        <w:rPr>
          <w:rFonts w:ascii="宋体" w:hAnsi="宋体" w:eastAsia="宋体" w:cs="宋体"/>
          <w:spacing w:val="14"/>
          <w:sz w:val="24"/>
          <w:szCs w:val="24"/>
        </w:rPr>
        <w:t>除</w:t>
      </w:r>
      <w:r>
        <w:rPr>
          <w:rFonts w:ascii="宋体" w:hAnsi="宋体" w:eastAsia="宋体" w:cs="宋体"/>
          <w:spacing w:val="13"/>
          <w:sz w:val="24"/>
          <w:szCs w:val="24"/>
        </w:rPr>
        <w:t>招标文件另有规定外，投标人应按招标工程量清单填报价格，项目编码、项目名称、计量单位、</w:t>
      </w:r>
      <w:r>
        <w:rPr>
          <w:rFonts w:ascii="宋体" w:hAnsi="宋体" w:eastAsia="宋体" w:cs="宋体"/>
          <w:spacing w:val="36"/>
          <w:sz w:val="24"/>
          <w:szCs w:val="24"/>
        </w:rPr>
        <w:t>工</w:t>
      </w:r>
      <w:r>
        <w:rPr>
          <w:rFonts w:ascii="宋体" w:hAnsi="宋体" w:eastAsia="宋体" w:cs="宋体"/>
          <w:spacing w:val="28"/>
          <w:sz w:val="24"/>
          <w:szCs w:val="24"/>
        </w:rPr>
        <w:t>程</w:t>
      </w:r>
      <w:r>
        <w:rPr>
          <w:rFonts w:ascii="宋体" w:hAnsi="宋体" w:eastAsia="宋体" w:cs="宋体"/>
          <w:spacing w:val="18"/>
          <w:sz w:val="24"/>
          <w:szCs w:val="24"/>
        </w:rPr>
        <w:t>量、主要技术条款码、备注必须与招标工程量清单一致，投标人不得对招标工程量清单项目进行增</w:t>
      </w:r>
      <w:r>
        <w:rPr>
          <w:rFonts w:ascii="宋体" w:hAnsi="宋体" w:eastAsia="宋体" w:cs="宋体"/>
          <w:spacing w:val="30"/>
          <w:sz w:val="24"/>
          <w:szCs w:val="24"/>
        </w:rPr>
        <w:t>减调</w:t>
      </w:r>
      <w:r>
        <w:rPr>
          <w:rFonts w:ascii="宋体" w:hAnsi="宋体" w:eastAsia="宋体" w:cs="宋体"/>
          <w:spacing w:val="18"/>
          <w:sz w:val="24"/>
          <w:szCs w:val="24"/>
        </w:rPr>
        <w:t>整</w:t>
      </w:r>
      <w:r>
        <w:rPr>
          <w:rFonts w:ascii="宋体" w:hAnsi="宋体" w:eastAsia="宋体" w:cs="宋体"/>
          <w:spacing w:val="15"/>
          <w:sz w:val="24"/>
          <w:szCs w:val="24"/>
        </w:rPr>
        <w:t xml:space="preserve"> 。工程量清单中列明的所有需要填写的单价和合价, 投标人均应填写；未填写的单价和合价，视</w:t>
      </w:r>
      <w:r>
        <w:rPr>
          <w:rFonts w:ascii="宋体" w:hAnsi="宋体" w:eastAsia="宋体" w:cs="宋体"/>
          <w:spacing w:val="18"/>
          <w:sz w:val="24"/>
          <w:szCs w:val="24"/>
        </w:rPr>
        <w:t>为</w:t>
      </w:r>
      <w:r>
        <w:rPr>
          <w:rFonts w:ascii="宋体" w:hAnsi="宋体" w:eastAsia="宋体" w:cs="宋体"/>
          <w:spacing w:val="17"/>
          <w:sz w:val="24"/>
          <w:szCs w:val="24"/>
        </w:rPr>
        <w:t>已包括在工程量清单的其它单价和合价中。</w:t>
      </w:r>
    </w:p>
    <w:p w14:paraId="67B681E2">
      <w:pPr>
        <w:spacing w:before="22" w:line="285" w:lineRule="auto"/>
        <w:ind w:right="43" w:firstLine="425"/>
        <w:rPr>
          <w:rFonts w:ascii="宋体" w:hAnsi="宋体" w:eastAsia="宋体" w:cs="宋体"/>
          <w:sz w:val="24"/>
          <w:szCs w:val="24"/>
        </w:rPr>
      </w:pPr>
      <w:r>
        <w:rPr>
          <w:rFonts w:ascii="宋体" w:hAnsi="宋体" w:eastAsia="宋体" w:cs="宋体"/>
          <w:spacing w:val="20"/>
          <w:sz w:val="24"/>
          <w:szCs w:val="24"/>
        </w:rPr>
        <w:t>2 .工程量清单中的工程单价是完成工程量清单中一个质量合格的规定计量单位项目所需的所有</w:t>
      </w:r>
      <w:r>
        <w:rPr>
          <w:rFonts w:ascii="宋体" w:hAnsi="宋体" w:eastAsia="宋体" w:cs="宋体"/>
          <w:spacing w:val="18"/>
          <w:sz w:val="24"/>
          <w:szCs w:val="24"/>
        </w:rPr>
        <w:t>费</w:t>
      </w:r>
      <w:r>
        <w:rPr>
          <w:rFonts w:ascii="宋体" w:hAnsi="宋体" w:eastAsia="宋体" w:cs="宋体"/>
          <w:spacing w:val="-1"/>
          <w:sz w:val="24"/>
          <w:szCs w:val="24"/>
        </w:rPr>
        <w:t>用</w:t>
      </w:r>
      <w:r>
        <w:rPr>
          <w:rFonts w:ascii="宋体" w:hAnsi="宋体" w:eastAsia="宋体" w:cs="宋体"/>
          <w:sz w:val="24"/>
          <w:szCs w:val="24"/>
        </w:rPr>
        <w:t>。</w:t>
      </w:r>
    </w:p>
    <w:p w14:paraId="5C3DF053">
      <w:pPr>
        <w:spacing w:before="85" w:line="255" w:lineRule="exact"/>
        <w:ind w:left="427"/>
        <w:rPr>
          <w:rFonts w:ascii="宋体" w:hAnsi="宋体" w:eastAsia="宋体" w:cs="宋体"/>
          <w:sz w:val="24"/>
          <w:szCs w:val="24"/>
        </w:rPr>
      </w:pPr>
      <w:r>
        <w:rPr>
          <w:rFonts w:ascii="宋体" w:hAnsi="宋体" w:eastAsia="宋体" w:cs="宋体"/>
          <w:spacing w:val="25"/>
          <w:position w:val="1"/>
          <w:sz w:val="24"/>
          <w:szCs w:val="24"/>
        </w:rPr>
        <w:t>3</w:t>
      </w:r>
      <w:r>
        <w:rPr>
          <w:rFonts w:ascii="宋体" w:hAnsi="宋体" w:eastAsia="宋体" w:cs="宋体"/>
          <w:spacing w:val="14"/>
          <w:position w:val="1"/>
          <w:sz w:val="24"/>
          <w:szCs w:val="24"/>
        </w:rPr>
        <w:t>.投标金额(价格)均应以人民币(元)表示。</w:t>
      </w:r>
    </w:p>
    <w:p w14:paraId="53912A1B">
      <w:pPr>
        <w:spacing w:before="131" w:line="257" w:lineRule="exact"/>
        <w:ind w:left="417"/>
        <w:rPr>
          <w:rFonts w:ascii="宋体" w:hAnsi="宋体" w:eastAsia="宋体" w:cs="宋体"/>
          <w:sz w:val="24"/>
          <w:szCs w:val="24"/>
        </w:rPr>
      </w:pPr>
      <w:r>
        <w:rPr>
          <w:rFonts w:ascii="宋体" w:hAnsi="宋体" w:eastAsia="宋体" w:cs="宋体"/>
          <w:spacing w:val="30"/>
          <w:position w:val="1"/>
          <w:sz w:val="24"/>
          <w:szCs w:val="24"/>
        </w:rPr>
        <w:t>4</w:t>
      </w:r>
      <w:r>
        <w:rPr>
          <w:rFonts w:ascii="宋体" w:hAnsi="宋体" w:eastAsia="宋体" w:cs="宋体"/>
          <w:spacing w:val="16"/>
          <w:position w:val="1"/>
          <w:sz w:val="24"/>
          <w:szCs w:val="24"/>
        </w:rPr>
        <w:t>.投标总价应按工程项目总价表合计金额填写。</w:t>
      </w:r>
    </w:p>
    <w:p w14:paraId="6333B38B">
      <w:pPr>
        <w:spacing w:before="88" w:line="342" w:lineRule="auto"/>
        <w:ind w:right="245" w:firstLine="426"/>
        <w:rPr>
          <w:rFonts w:ascii="宋体" w:hAnsi="宋体" w:eastAsia="宋体" w:cs="宋体"/>
          <w:sz w:val="24"/>
          <w:szCs w:val="24"/>
        </w:rPr>
      </w:pPr>
      <w:r>
        <w:rPr>
          <w:rFonts w:ascii="宋体" w:hAnsi="宋体" w:eastAsia="宋体" w:cs="宋体"/>
          <w:spacing w:val="18"/>
          <w:sz w:val="24"/>
          <w:szCs w:val="24"/>
        </w:rPr>
        <w:t>5.工程项目总价表中一级项目名称按招标文件工程项目总价表中的相应名称填写，并按分类分</w:t>
      </w:r>
      <w:r>
        <w:rPr>
          <w:rFonts w:ascii="宋体" w:hAnsi="宋体" w:eastAsia="宋体" w:cs="宋体"/>
          <w:spacing w:val="14"/>
          <w:sz w:val="24"/>
          <w:szCs w:val="24"/>
        </w:rPr>
        <w:t>项</w:t>
      </w:r>
      <w:r>
        <w:rPr>
          <w:rFonts w:ascii="宋体" w:hAnsi="宋体" w:eastAsia="宋体" w:cs="宋体"/>
          <w:spacing w:val="25"/>
          <w:sz w:val="24"/>
          <w:szCs w:val="24"/>
        </w:rPr>
        <w:t>工</w:t>
      </w:r>
      <w:r>
        <w:rPr>
          <w:rFonts w:ascii="宋体" w:hAnsi="宋体" w:eastAsia="宋体" w:cs="宋体"/>
          <w:spacing w:val="16"/>
          <w:sz w:val="24"/>
          <w:szCs w:val="24"/>
        </w:rPr>
        <w:t>程量清单计价表中相应项目合计金额填写。</w:t>
      </w:r>
    </w:p>
    <w:p w14:paraId="24A7C476">
      <w:pPr>
        <w:spacing w:before="1" w:line="340" w:lineRule="auto"/>
        <w:ind w:left="1" w:right="245" w:firstLine="420"/>
        <w:rPr>
          <w:rFonts w:ascii="宋体" w:hAnsi="宋体" w:eastAsia="宋体" w:cs="宋体"/>
          <w:sz w:val="24"/>
          <w:szCs w:val="24"/>
        </w:rPr>
      </w:pPr>
      <w:r>
        <w:rPr>
          <w:rFonts w:ascii="宋体" w:hAnsi="宋体" w:eastAsia="宋体" w:cs="宋体"/>
          <w:spacing w:val="18"/>
          <w:sz w:val="24"/>
          <w:szCs w:val="24"/>
        </w:rPr>
        <w:t>6.分类分项工程量清单计价表中的序号、项目编码、项目名称、计量单位、工程数量和合同技</w:t>
      </w:r>
      <w:r>
        <w:rPr>
          <w:rFonts w:ascii="宋体" w:hAnsi="宋体" w:eastAsia="宋体" w:cs="宋体"/>
          <w:spacing w:val="14"/>
          <w:sz w:val="24"/>
          <w:szCs w:val="24"/>
        </w:rPr>
        <w:t>术</w:t>
      </w:r>
      <w:r>
        <w:rPr>
          <w:rFonts w:ascii="宋体" w:hAnsi="宋体" w:eastAsia="宋体" w:cs="宋体"/>
          <w:spacing w:val="36"/>
          <w:sz w:val="24"/>
          <w:szCs w:val="24"/>
        </w:rPr>
        <w:t>条</w:t>
      </w:r>
      <w:r>
        <w:rPr>
          <w:rFonts w:ascii="宋体" w:hAnsi="宋体" w:eastAsia="宋体" w:cs="宋体"/>
          <w:spacing w:val="23"/>
          <w:sz w:val="24"/>
          <w:szCs w:val="24"/>
        </w:rPr>
        <w:t>款</w:t>
      </w:r>
      <w:r>
        <w:rPr>
          <w:rFonts w:ascii="宋体" w:hAnsi="宋体" w:eastAsia="宋体" w:cs="宋体"/>
          <w:spacing w:val="18"/>
          <w:sz w:val="24"/>
          <w:szCs w:val="24"/>
        </w:rPr>
        <w:t>章节号，按招标文件分类分项工程量清单计价表中的相应内容填写，并填写相应项目的单价和合</w:t>
      </w:r>
      <w:r>
        <w:rPr>
          <w:rFonts w:ascii="宋体" w:hAnsi="宋体" w:eastAsia="宋体" w:cs="宋体"/>
          <w:sz w:val="24"/>
          <w:szCs w:val="24"/>
        </w:rPr>
        <w:t>价。</w:t>
      </w:r>
    </w:p>
    <w:p w14:paraId="5B4B554F">
      <w:pPr>
        <w:spacing w:before="2" w:line="342" w:lineRule="auto"/>
        <w:ind w:left="5" w:right="296" w:firstLine="422"/>
        <w:rPr>
          <w:rFonts w:ascii="宋体" w:hAnsi="宋体" w:eastAsia="宋体" w:cs="宋体"/>
          <w:sz w:val="24"/>
          <w:szCs w:val="24"/>
        </w:rPr>
      </w:pPr>
      <w:r>
        <w:rPr>
          <w:rFonts w:ascii="宋体" w:hAnsi="宋体" w:eastAsia="宋体" w:cs="宋体"/>
          <w:spacing w:val="32"/>
          <w:sz w:val="24"/>
          <w:szCs w:val="24"/>
        </w:rPr>
        <w:t>7</w:t>
      </w:r>
      <w:r>
        <w:rPr>
          <w:rFonts w:ascii="宋体" w:hAnsi="宋体" w:eastAsia="宋体" w:cs="宋体"/>
          <w:spacing w:val="30"/>
          <w:sz w:val="24"/>
          <w:szCs w:val="24"/>
        </w:rPr>
        <w:t>.</w:t>
      </w:r>
      <w:r>
        <w:rPr>
          <w:rFonts w:ascii="宋体" w:hAnsi="宋体" w:eastAsia="宋体" w:cs="宋体"/>
          <w:spacing w:val="16"/>
          <w:sz w:val="24"/>
          <w:szCs w:val="24"/>
        </w:rPr>
        <w:t>措施项目清单计价表中的序号、项目名称按招标文件措施项目清单计价表中的相应内容填写，并填写相应措施项目的金额和合计金额</w:t>
      </w:r>
      <w:r>
        <w:rPr>
          <w:rFonts w:ascii="宋体" w:hAnsi="宋体" w:eastAsia="宋体" w:cs="宋体"/>
          <w:spacing w:val="12"/>
          <w:sz w:val="24"/>
          <w:szCs w:val="24"/>
        </w:rPr>
        <w:t>。</w:t>
      </w:r>
    </w:p>
    <w:p w14:paraId="59FCA2C4">
      <w:pPr>
        <w:spacing w:before="1" w:line="340" w:lineRule="auto"/>
        <w:ind w:left="3" w:right="249" w:firstLine="418"/>
        <w:rPr>
          <w:rFonts w:ascii="宋体" w:hAnsi="宋体" w:eastAsia="宋体" w:cs="宋体"/>
          <w:sz w:val="24"/>
          <w:szCs w:val="24"/>
        </w:rPr>
      </w:pPr>
      <w:r>
        <w:rPr>
          <w:rFonts w:ascii="宋体" w:hAnsi="宋体" w:eastAsia="宋体" w:cs="宋体"/>
          <w:spacing w:val="18"/>
          <w:sz w:val="24"/>
          <w:szCs w:val="24"/>
        </w:rPr>
        <w:t>8.其它项目清单计价表中的序号、项目名称、金额，按招标文件其它项目清单计价表中的相应</w:t>
      </w:r>
      <w:r>
        <w:rPr>
          <w:rFonts w:ascii="宋体" w:hAnsi="宋体" w:eastAsia="宋体" w:cs="宋体"/>
          <w:spacing w:val="15"/>
          <w:sz w:val="24"/>
          <w:szCs w:val="24"/>
        </w:rPr>
        <w:t>内</w:t>
      </w:r>
      <w:r>
        <w:rPr>
          <w:rFonts w:ascii="宋体" w:hAnsi="宋体" w:eastAsia="宋体" w:cs="宋体"/>
          <w:spacing w:val="7"/>
          <w:sz w:val="24"/>
          <w:szCs w:val="24"/>
        </w:rPr>
        <w:t>容填写。</w:t>
      </w:r>
    </w:p>
    <w:p w14:paraId="5DD12008">
      <w:pPr>
        <w:pStyle w:val="3"/>
        <w:jc w:val="left"/>
        <w:rPr>
          <w:rFonts w:hint="eastAsia" w:ascii="宋体" w:hAnsi="宋体" w:eastAsia="宋体" w:cs="宋体"/>
          <w:b w:val="0"/>
          <w:bCs w:val="0"/>
          <w:spacing w:val="18"/>
          <w:kern w:val="2"/>
          <w:sz w:val="24"/>
          <w:szCs w:val="24"/>
          <w:lang w:val="en-US" w:eastAsia="zh-CN" w:bidi="ar-SA"/>
        </w:rPr>
      </w:pPr>
      <w:bookmarkStart w:id="229" w:name="_Toc31695"/>
      <w:bookmarkStart w:id="230" w:name="_Toc31837"/>
      <w:r>
        <w:rPr>
          <w:rFonts w:ascii="宋体" w:hAnsi="宋体" w:eastAsia="宋体" w:cs="宋体"/>
          <w:b w:val="0"/>
          <w:bCs w:val="0"/>
          <w:spacing w:val="18"/>
          <w:kern w:val="2"/>
          <w:sz w:val="24"/>
          <w:szCs w:val="24"/>
          <w:lang w:val="en-US" w:eastAsia="zh-CN" w:bidi="ar-SA"/>
        </w:rPr>
        <w:t>9.计日工项目计价表的序号、人工、材料、机械的名称、型号规格以及计量单位，按招标文件计日工项目计价表中的相应内容填写，并填写相应项目单价</w:t>
      </w:r>
      <w:r>
        <w:rPr>
          <w:rFonts w:hint="eastAsia" w:ascii="宋体" w:hAnsi="宋体" w:eastAsia="宋体" w:cs="宋体"/>
          <w:b w:val="0"/>
          <w:bCs w:val="0"/>
          <w:spacing w:val="18"/>
          <w:kern w:val="2"/>
          <w:sz w:val="24"/>
          <w:szCs w:val="24"/>
          <w:lang w:val="en-US" w:eastAsia="zh-CN" w:bidi="ar-SA"/>
        </w:rPr>
        <w:t>。</w:t>
      </w:r>
      <w:bookmarkEnd w:id="229"/>
      <w:bookmarkEnd w:id="230"/>
    </w:p>
    <w:p w14:paraId="16AECB9F">
      <w:pPr>
        <w:rPr>
          <w:rFonts w:hint="default"/>
          <w:lang w:val="en-US" w:eastAsia="zh-CN"/>
        </w:rPr>
      </w:pPr>
      <w:r>
        <w:rPr>
          <w:rFonts w:hint="eastAsia" w:ascii="宋体" w:hAnsi="宋体" w:cs="宋体"/>
          <w:b w:val="0"/>
          <w:bCs w:val="0"/>
          <w:spacing w:val="18"/>
          <w:kern w:val="2"/>
          <w:sz w:val="24"/>
          <w:szCs w:val="24"/>
          <w:lang w:val="en-US" w:eastAsia="zh-CN" w:bidi="ar-SA"/>
        </w:rPr>
        <w:t>10.根据《自治区水利厅自治区发展改革委关于发布广西水利水电工程设计概 (预) 算编制规定及系列定额的通知》（桂水建设〔2025〕26号），新编规及配套系列定额自2026年3月1日起执行。本项目2026年4月编制预算期间，新编定尚未正式出版、计价软件未同步更新，本次招标控制价暂按2007 年版广西水利水电工程概（预）算编制规定及系列定额编制，后期结算按政策规定予以政策性调差。</w:t>
      </w:r>
    </w:p>
    <w:p w14:paraId="6E15B70E">
      <w:pPr>
        <w:rPr>
          <w:lang w:val="en-US" w:eastAsia="zh-CN"/>
        </w:rPr>
      </w:pPr>
    </w:p>
    <w:p w14:paraId="6B830474">
      <w:pPr>
        <w:pStyle w:val="3"/>
        <w:rPr>
          <w:rFonts w:hint="eastAsia" w:ascii="宋体" w:hAnsi="宋体"/>
        </w:rPr>
      </w:pPr>
      <w:bookmarkStart w:id="231" w:name="_Toc28384"/>
    </w:p>
    <w:p w14:paraId="225BBDDD">
      <w:pPr>
        <w:pStyle w:val="3"/>
        <w:rPr>
          <w:rFonts w:hint="eastAsia" w:ascii="宋体" w:hAnsi="宋体"/>
        </w:rPr>
      </w:pPr>
    </w:p>
    <w:p w14:paraId="12894F22">
      <w:pPr>
        <w:pStyle w:val="3"/>
        <w:rPr>
          <w:rFonts w:ascii="宋体" w:hAnsi="宋体"/>
        </w:rPr>
      </w:pPr>
      <w:r>
        <w:rPr>
          <w:rFonts w:hint="eastAsia" w:ascii="宋体" w:hAnsi="宋体"/>
        </w:rPr>
        <w:t>第</w:t>
      </w:r>
      <w:r>
        <w:rPr>
          <w:rFonts w:hint="eastAsia" w:ascii="宋体" w:hAnsi="宋体"/>
          <w:lang w:val="en-US" w:eastAsia="zh-CN"/>
        </w:rPr>
        <w:t>七</w:t>
      </w:r>
      <w:r>
        <w:rPr>
          <w:rFonts w:hint="eastAsia" w:ascii="宋体" w:hAnsi="宋体"/>
        </w:rPr>
        <w:t>章 图纸</w:t>
      </w:r>
      <w:bookmarkEnd w:id="231"/>
    </w:p>
    <w:p w14:paraId="2947AEC1">
      <w:pPr>
        <w:ind w:firstLine="420" w:firstLineChars="200"/>
        <w:rPr>
          <w:rFonts w:ascii="宋体" w:hAnsi="宋体"/>
        </w:rPr>
      </w:pPr>
      <w:r>
        <w:rPr>
          <w:rFonts w:hint="eastAsia" w:ascii="宋体" w:hAnsi="宋体"/>
        </w:rPr>
        <w:t>本项目有图纸和技术资料，请潜在投标人登陆</w:t>
      </w:r>
      <w:r>
        <w:rPr>
          <w:rFonts w:hint="eastAsia" w:ascii="宋体" w:hAnsi="宋体"/>
          <w:lang w:eastAsia="zh-CN"/>
        </w:rPr>
        <w:t>广西政府采购云平台</w:t>
      </w:r>
      <w:r>
        <w:rPr>
          <w:rFonts w:hint="eastAsia" w:ascii="宋体" w:hAnsi="宋体"/>
        </w:rPr>
        <w:t>系统免费下载。</w:t>
      </w:r>
    </w:p>
    <w:p w14:paraId="64F95418">
      <w:pPr>
        <w:ind w:firstLine="420" w:firstLineChars="200"/>
        <w:rPr>
          <w:rFonts w:ascii="宋体" w:hAnsi="宋体"/>
        </w:rPr>
      </w:pPr>
    </w:p>
    <w:p w14:paraId="02D40410">
      <w:pPr>
        <w:ind w:firstLine="420" w:firstLineChars="200"/>
        <w:rPr>
          <w:rFonts w:ascii="宋体" w:hAnsi="宋体"/>
        </w:rPr>
      </w:pPr>
    </w:p>
    <w:p w14:paraId="6C5FE68F">
      <w:pPr>
        <w:pStyle w:val="3"/>
        <w:rPr>
          <w:rFonts w:ascii="宋体" w:hAnsi="宋体"/>
        </w:rPr>
      </w:pPr>
      <w:bookmarkStart w:id="232" w:name="_Toc26975"/>
      <w:r>
        <w:rPr>
          <w:rFonts w:hint="eastAsia" w:ascii="宋体" w:hAnsi="宋体"/>
        </w:rPr>
        <w:t>第</w:t>
      </w:r>
      <w:r>
        <w:rPr>
          <w:rFonts w:hint="eastAsia" w:ascii="宋体" w:hAnsi="宋体"/>
          <w:lang w:val="en-US" w:eastAsia="zh-CN"/>
        </w:rPr>
        <w:t>八</w:t>
      </w:r>
      <w:r>
        <w:rPr>
          <w:rFonts w:hint="eastAsia" w:ascii="宋体" w:hAnsi="宋体"/>
        </w:rPr>
        <w:t>章 技术规范</w:t>
      </w:r>
      <w:bookmarkEnd w:id="232"/>
    </w:p>
    <w:p w14:paraId="1A8131EC">
      <w:pPr>
        <w:ind w:firstLine="420" w:firstLineChars="200"/>
        <w:rPr>
          <w:rFonts w:hint="eastAsia" w:ascii="宋体" w:hAnsi="宋体"/>
        </w:rPr>
      </w:pPr>
      <w:r>
        <w:rPr>
          <w:rFonts w:hint="eastAsia" w:ascii="宋体" w:hAnsi="宋体"/>
        </w:rPr>
        <w:t>适用的国家、行业以及地方规范、标准和规程现行的国家、行业和地方现行标准、规范和规程等。</w:t>
      </w:r>
    </w:p>
    <w:p w14:paraId="595F1B7F">
      <w:pPr>
        <w:pStyle w:val="3"/>
        <w:rPr>
          <w:rFonts w:hint="eastAsia" w:ascii="宋体" w:hAnsi="宋体"/>
        </w:rPr>
      </w:pPr>
      <w:r>
        <w:rPr>
          <w:rFonts w:ascii="宋体" w:hAnsi="宋体"/>
        </w:rPr>
        <w:br w:type="page"/>
      </w:r>
      <w:bookmarkStart w:id="233" w:name="_Toc25212"/>
      <w:r>
        <w:rPr>
          <w:rFonts w:hint="eastAsia" w:ascii="宋体" w:hAnsi="宋体"/>
        </w:rPr>
        <w:t>第</w:t>
      </w:r>
      <w:r>
        <w:rPr>
          <w:rFonts w:hint="eastAsia" w:ascii="宋体" w:hAnsi="宋体"/>
          <w:lang w:val="en-US" w:eastAsia="zh-CN"/>
        </w:rPr>
        <w:t>九</w:t>
      </w:r>
      <w:r>
        <w:rPr>
          <w:rFonts w:hint="eastAsia" w:ascii="宋体" w:hAnsi="宋体"/>
        </w:rPr>
        <w:t>章 响应文件格式</w:t>
      </w:r>
      <w:bookmarkEnd w:id="233"/>
    </w:p>
    <w:p w14:paraId="7F6FEB89">
      <w:pPr>
        <w:pStyle w:val="2"/>
        <w:rPr>
          <w:rFonts w:hint="eastAsia" w:ascii="宋体" w:hAnsi="宋体"/>
          <w:szCs w:val="24"/>
        </w:rPr>
      </w:pPr>
      <w:bookmarkStart w:id="234" w:name="_Toc25085"/>
      <w:bookmarkStart w:id="235" w:name="_Toc24908"/>
      <w:bookmarkStart w:id="236" w:name="_Toc19686836"/>
      <w:bookmarkStart w:id="237" w:name="_Toc254970557"/>
      <w:bookmarkStart w:id="238" w:name="_Toc254970698"/>
      <w:bookmarkStart w:id="239" w:name="_Toc31723070"/>
      <w:bookmarkStart w:id="240" w:name="_Toc117860091"/>
      <w:bookmarkStart w:id="241" w:name="_Toc44229899"/>
      <w:bookmarkStart w:id="242" w:name="_Toc35611516"/>
      <w:bookmarkStart w:id="243" w:name="_Toc31728084"/>
      <w:bookmarkStart w:id="244" w:name="_Toc35611438"/>
      <w:r>
        <w:rPr>
          <w:rFonts w:hint="eastAsia" w:ascii="宋体" w:hAnsi="宋体"/>
        </w:rPr>
        <w:t>一、资格文件封面格式：</w:t>
      </w:r>
      <w:bookmarkEnd w:id="234"/>
      <w:bookmarkEnd w:id="235"/>
      <w:r>
        <w:rPr>
          <w:rFonts w:hint="eastAsia" w:ascii="宋体" w:hAnsi="宋体"/>
        </w:rPr>
        <w:t xml:space="preserve"> </w:t>
      </w:r>
    </w:p>
    <w:p w14:paraId="2B9F478F">
      <w:pPr>
        <w:snapToGrid w:val="0"/>
        <w:spacing w:before="156" w:beforeLines="50" w:after="50" w:line="300" w:lineRule="auto"/>
        <w:rPr>
          <w:rFonts w:hint="eastAsia" w:ascii="宋体" w:hAnsi="宋体"/>
          <w:bCs/>
          <w:sz w:val="32"/>
          <w:szCs w:val="20"/>
        </w:rPr>
      </w:pPr>
    </w:p>
    <w:p w14:paraId="53A5B0F3">
      <w:pPr>
        <w:snapToGrid w:val="0"/>
        <w:spacing w:before="156" w:beforeLines="50" w:after="50" w:line="300" w:lineRule="auto"/>
        <w:rPr>
          <w:rFonts w:ascii="宋体" w:hAnsi="宋体"/>
          <w:sz w:val="24"/>
          <w:szCs w:val="20"/>
        </w:rPr>
      </w:pPr>
    </w:p>
    <w:p w14:paraId="53A76E91">
      <w:pPr>
        <w:pStyle w:val="9"/>
        <w:rPr>
          <w:rFonts w:hint="eastAsia" w:ascii="宋体" w:hAnsi="宋体"/>
        </w:rPr>
      </w:pPr>
    </w:p>
    <w:p w14:paraId="0A3EFD67">
      <w:pPr>
        <w:snapToGrid w:val="0"/>
        <w:spacing w:before="156" w:beforeLines="50" w:after="50" w:line="300" w:lineRule="auto"/>
        <w:jc w:val="center"/>
        <w:rPr>
          <w:rFonts w:hint="eastAsia" w:ascii="宋体" w:hAnsi="宋体" w:cs="方正小标宋简体"/>
          <w:sz w:val="84"/>
          <w:szCs w:val="84"/>
        </w:rPr>
      </w:pPr>
      <w:r>
        <w:rPr>
          <w:rFonts w:hint="eastAsia" w:ascii="宋体" w:hAnsi="宋体" w:cs="方正小标宋简体"/>
          <w:sz w:val="84"/>
          <w:szCs w:val="84"/>
        </w:rPr>
        <w:t>资  格  文  件</w:t>
      </w:r>
    </w:p>
    <w:p w14:paraId="7CE218DB">
      <w:pPr>
        <w:snapToGrid w:val="0"/>
        <w:spacing w:before="156" w:beforeLines="50" w:after="50" w:line="300" w:lineRule="auto"/>
        <w:rPr>
          <w:rFonts w:hint="eastAsia" w:ascii="宋体" w:hAnsi="宋体"/>
          <w:sz w:val="24"/>
          <w:szCs w:val="20"/>
        </w:rPr>
      </w:pPr>
    </w:p>
    <w:p w14:paraId="08C334F8">
      <w:pPr>
        <w:snapToGrid w:val="0"/>
        <w:spacing w:before="156" w:beforeLines="50" w:after="50" w:line="300" w:lineRule="auto"/>
        <w:rPr>
          <w:rFonts w:hint="eastAsia" w:ascii="宋体" w:hAnsi="宋体"/>
          <w:sz w:val="24"/>
          <w:szCs w:val="20"/>
        </w:rPr>
      </w:pPr>
    </w:p>
    <w:p w14:paraId="3F886AAB">
      <w:pPr>
        <w:pStyle w:val="9"/>
        <w:rPr>
          <w:rFonts w:hint="eastAsia" w:ascii="宋体" w:hAnsi="宋体"/>
        </w:rPr>
      </w:pPr>
    </w:p>
    <w:p w14:paraId="71BFD4E9">
      <w:pPr>
        <w:snapToGrid w:val="0"/>
        <w:spacing w:before="156" w:beforeLines="50" w:after="50" w:line="300" w:lineRule="auto"/>
        <w:rPr>
          <w:rFonts w:hint="eastAsia" w:ascii="宋体" w:hAnsi="宋体"/>
          <w:bCs/>
          <w:sz w:val="24"/>
          <w:szCs w:val="20"/>
        </w:rPr>
      </w:pPr>
    </w:p>
    <w:p w14:paraId="48841807">
      <w:pPr>
        <w:snapToGrid w:val="0"/>
        <w:spacing w:before="156" w:beforeLines="50" w:after="50" w:line="300" w:lineRule="auto"/>
        <w:ind w:firstLine="361" w:firstLineChars="150"/>
        <w:rPr>
          <w:rFonts w:hint="eastAsia" w:ascii="宋体" w:hAnsi="宋体"/>
          <w:b/>
          <w:sz w:val="24"/>
        </w:rPr>
      </w:pPr>
      <w:r>
        <w:rPr>
          <w:rFonts w:hint="eastAsia" w:ascii="宋体" w:hAnsi="宋体"/>
          <w:b/>
          <w:sz w:val="24"/>
        </w:rPr>
        <w:t xml:space="preserve">项目名称： </w:t>
      </w:r>
    </w:p>
    <w:p w14:paraId="0E84E590">
      <w:pPr>
        <w:snapToGrid w:val="0"/>
        <w:spacing w:before="156" w:beforeLines="50" w:after="50" w:line="300" w:lineRule="auto"/>
        <w:ind w:firstLine="361" w:firstLineChars="150"/>
        <w:rPr>
          <w:rFonts w:hint="eastAsia" w:ascii="宋体" w:hAnsi="宋体"/>
          <w:b/>
          <w:sz w:val="24"/>
          <w:szCs w:val="20"/>
        </w:rPr>
      </w:pPr>
    </w:p>
    <w:p w14:paraId="45776E36">
      <w:pPr>
        <w:snapToGrid w:val="0"/>
        <w:spacing w:before="156" w:beforeLines="50" w:after="50" w:line="300" w:lineRule="auto"/>
        <w:ind w:firstLine="361" w:firstLineChars="150"/>
        <w:rPr>
          <w:rFonts w:hint="eastAsia" w:ascii="宋体" w:hAnsi="宋体"/>
          <w:b/>
          <w:sz w:val="24"/>
        </w:rPr>
      </w:pPr>
      <w:r>
        <w:rPr>
          <w:rFonts w:hint="eastAsia" w:ascii="宋体" w:hAnsi="宋体"/>
          <w:b/>
          <w:sz w:val="24"/>
        </w:rPr>
        <w:t xml:space="preserve">项目编号： </w:t>
      </w:r>
    </w:p>
    <w:p w14:paraId="1A5D3577">
      <w:pPr>
        <w:snapToGrid w:val="0"/>
        <w:spacing w:before="156" w:beforeLines="50" w:after="50" w:line="300" w:lineRule="auto"/>
        <w:ind w:firstLine="361" w:firstLineChars="150"/>
        <w:rPr>
          <w:rFonts w:hint="eastAsia" w:ascii="宋体" w:hAnsi="宋体"/>
          <w:b/>
          <w:sz w:val="24"/>
        </w:rPr>
      </w:pPr>
    </w:p>
    <w:p w14:paraId="33B00E94">
      <w:pPr>
        <w:snapToGrid w:val="0"/>
        <w:spacing w:before="156" w:beforeLines="50" w:after="50" w:line="300" w:lineRule="auto"/>
        <w:ind w:firstLine="361" w:firstLineChars="150"/>
        <w:rPr>
          <w:rFonts w:hint="eastAsia" w:ascii="宋体" w:hAnsi="宋体"/>
          <w:b/>
          <w:sz w:val="24"/>
        </w:rPr>
      </w:pPr>
      <w:r>
        <w:rPr>
          <w:rFonts w:hint="eastAsia" w:ascii="宋体" w:hAnsi="宋体"/>
          <w:b/>
          <w:sz w:val="24"/>
        </w:rPr>
        <w:t>竞标人名称：</w:t>
      </w:r>
    </w:p>
    <w:p w14:paraId="28A1CD7A">
      <w:pPr>
        <w:snapToGrid w:val="0"/>
        <w:spacing w:before="156" w:beforeLines="50" w:after="50" w:line="300" w:lineRule="auto"/>
        <w:ind w:firstLine="361" w:firstLineChars="150"/>
        <w:rPr>
          <w:rFonts w:hint="eastAsia" w:ascii="宋体" w:hAnsi="宋体"/>
          <w:b/>
          <w:sz w:val="24"/>
        </w:rPr>
      </w:pPr>
    </w:p>
    <w:p w14:paraId="52D71BCE">
      <w:pPr>
        <w:snapToGrid w:val="0"/>
        <w:spacing w:before="156" w:beforeLines="50" w:after="50" w:line="300" w:lineRule="auto"/>
        <w:ind w:firstLine="361" w:firstLineChars="150"/>
        <w:rPr>
          <w:rFonts w:hint="eastAsia" w:ascii="宋体" w:hAnsi="宋体"/>
          <w:b/>
          <w:sz w:val="24"/>
        </w:rPr>
      </w:pPr>
      <w:r>
        <w:rPr>
          <w:rFonts w:hint="eastAsia" w:ascii="宋体" w:hAnsi="宋体"/>
          <w:b/>
          <w:sz w:val="24"/>
        </w:rPr>
        <w:t>竞标人地址：</w:t>
      </w:r>
    </w:p>
    <w:p w14:paraId="70CC3EFD">
      <w:pPr>
        <w:snapToGrid w:val="0"/>
        <w:spacing w:before="156" w:beforeLines="50" w:after="50" w:line="300" w:lineRule="auto"/>
        <w:ind w:firstLine="360" w:firstLineChars="150"/>
        <w:rPr>
          <w:rFonts w:hint="eastAsia" w:ascii="宋体" w:hAnsi="宋体"/>
          <w:bCs/>
          <w:sz w:val="24"/>
        </w:rPr>
      </w:pPr>
    </w:p>
    <w:p w14:paraId="0403BAFB">
      <w:pPr>
        <w:snapToGrid w:val="0"/>
        <w:spacing w:before="156" w:beforeLines="50" w:after="50" w:line="300" w:lineRule="auto"/>
        <w:ind w:firstLine="645"/>
        <w:jc w:val="center"/>
        <w:rPr>
          <w:rFonts w:hint="eastAsia" w:ascii="宋体" w:hAnsi="宋体"/>
          <w:b/>
          <w:bCs/>
          <w:sz w:val="24"/>
        </w:rPr>
      </w:pPr>
      <w:r>
        <w:rPr>
          <w:rFonts w:hint="eastAsia" w:ascii="宋体" w:hAnsi="宋体"/>
          <w:b/>
          <w:bCs/>
          <w:sz w:val="24"/>
        </w:rPr>
        <w:t>年    月    日</w:t>
      </w:r>
    </w:p>
    <w:p w14:paraId="3F896C83">
      <w:pPr>
        <w:snapToGrid w:val="0"/>
        <w:spacing w:before="156" w:beforeLines="50" w:after="50" w:line="300" w:lineRule="auto"/>
        <w:rPr>
          <w:rFonts w:hint="eastAsia" w:ascii="宋体" w:hAnsi="宋体"/>
          <w:sz w:val="24"/>
          <w:szCs w:val="20"/>
        </w:rPr>
      </w:pPr>
    </w:p>
    <w:p w14:paraId="712D4507">
      <w:pPr>
        <w:pStyle w:val="14"/>
        <w:rPr>
          <w:rFonts w:ascii="宋体" w:hAnsi="宋体"/>
          <w:b/>
          <w:bCs/>
          <w:sz w:val="24"/>
          <w:szCs w:val="22"/>
        </w:rPr>
      </w:pPr>
      <w:r>
        <w:rPr>
          <w:rFonts w:ascii="宋体" w:hAnsi="宋体"/>
        </w:rPr>
        <w:br w:type="page"/>
      </w:r>
      <w:r>
        <w:rPr>
          <w:rFonts w:hint="eastAsia" w:ascii="宋体" w:hAnsi="宋体"/>
          <w:b/>
          <w:bCs/>
          <w:sz w:val="24"/>
        </w:rPr>
        <w:t>资格证明文件目录：</w:t>
      </w:r>
    </w:p>
    <w:p w14:paraId="7281B843">
      <w:pPr>
        <w:snapToGrid w:val="0"/>
        <w:spacing w:line="300" w:lineRule="auto"/>
        <w:ind w:firstLine="420" w:firstLineChars="200"/>
        <w:jc w:val="left"/>
        <w:rPr>
          <w:rFonts w:hint="eastAsia" w:ascii="宋体" w:hAnsi="宋体"/>
          <w:szCs w:val="21"/>
        </w:rPr>
      </w:pPr>
      <w:r>
        <w:rPr>
          <w:rFonts w:hint="eastAsia" w:ascii="宋体" w:hAnsi="宋体"/>
          <w:szCs w:val="21"/>
        </w:rPr>
        <w:t>根据采购文件规定及竞标人提供的材料自行编写目录。</w:t>
      </w:r>
    </w:p>
    <w:p w14:paraId="4741A5DB">
      <w:pPr>
        <w:pStyle w:val="19"/>
        <w:ind w:firstLine="404"/>
        <w:rPr>
          <w:rFonts w:hint="eastAsia" w:ascii="宋体" w:hAnsi="宋体" w:eastAsia="宋体"/>
        </w:rPr>
      </w:pPr>
    </w:p>
    <w:p w14:paraId="2C934825">
      <w:pPr>
        <w:snapToGrid w:val="0"/>
        <w:spacing w:before="50" w:after="50" w:line="300" w:lineRule="auto"/>
        <w:jc w:val="center"/>
        <w:rPr>
          <w:rFonts w:ascii="宋体" w:hAnsi="宋体"/>
          <w:b/>
          <w:sz w:val="30"/>
        </w:rPr>
      </w:pPr>
      <w:bookmarkStart w:id="245" w:name="_Toc11277"/>
      <w:bookmarkStart w:id="246" w:name="_Toc31381"/>
      <w:r>
        <w:rPr>
          <w:rFonts w:hint="eastAsia" w:ascii="宋体" w:hAnsi="宋体"/>
          <w:b/>
          <w:sz w:val="30"/>
        </w:rPr>
        <w:t>1、</w:t>
      </w:r>
      <w:bookmarkEnd w:id="245"/>
      <w:bookmarkEnd w:id="246"/>
      <w:r>
        <w:rPr>
          <w:rFonts w:hint="eastAsia" w:ascii="宋体" w:hAnsi="宋体"/>
          <w:b/>
          <w:sz w:val="30"/>
        </w:rPr>
        <w:t>竞标人基本情况表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1031"/>
        <w:gridCol w:w="1194"/>
        <w:gridCol w:w="1194"/>
        <w:gridCol w:w="1194"/>
        <w:gridCol w:w="1195"/>
        <w:gridCol w:w="1195"/>
      </w:tblGrid>
      <w:tr w14:paraId="26C7A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356" w:type="dxa"/>
            <w:noWrap w:val="0"/>
            <w:vAlign w:val="center"/>
          </w:tcPr>
          <w:p w14:paraId="1FC96059">
            <w:pPr>
              <w:rPr>
                <w:rFonts w:hint="eastAsia" w:ascii="宋体" w:hAnsi="宋体"/>
              </w:rPr>
            </w:pPr>
            <w:r>
              <w:rPr>
                <w:rFonts w:hint="eastAsia" w:ascii="宋体" w:hAnsi="宋体"/>
              </w:rPr>
              <w:t>竞标人名称</w:t>
            </w:r>
          </w:p>
        </w:tc>
        <w:tc>
          <w:tcPr>
            <w:tcW w:w="7003" w:type="dxa"/>
            <w:gridSpan w:val="6"/>
            <w:noWrap w:val="0"/>
            <w:vAlign w:val="center"/>
          </w:tcPr>
          <w:p w14:paraId="134B8A77">
            <w:pPr>
              <w:rPr>
                <w:rFonts w:hint="eastAsia" w:ascii="宋体" w:hAnsi="宋体"/>
              </w:rPr>
            </w:pPr>
          </w:p>
        </w:tc>
      </w:tr>
      <w:tr w14:paraId="51930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356" w:type="dxa"/>
            <w:noWrap w:val="0"/>
            <w:vAlign w:val="center"/>
          </w:tcPr>
          <w:p w14:paraId="1151492A">
            <w:pPr>
              <w:rPr>
                <w:rFonts w:hint="eastAsia" w:ascii="宋体" w:hAnsi="宋体"/>
              </w:rPr>
            </w:pPr>
            <w:r>
              <w:rPr>
                <w:rFonts w:hint="eastAsia" w:ascii="宋体" w:hAnsi="宋体"/>
              </w:rPr>
              <w:t>注册地址</w:t>
            </w:r>
          </w:p>
        </w:tc>
        <w:tc>
          <w:tcPr>
            <w:tcW w:w="3419" w:type="dxa"/>
            <w:gridSpan w:val="3"/>
            <w:noWrap w:val="0"/>
            <w:vAlign w:val="center"/>
          </w:tcPr>
          <w:p w14:paraId="195B6C00">
            <w:pPr>
              <w:rPr>
                <w:rFonts w:hint="eastAsia" w:ascii="宋体" w:hAnsi="宋体"/>
              </w:rPr>
            </w:pPr>
          </w:p>
        </w:tc>
        <w:tc>
          <w:tcPr>
            <w:tcW w:w="1194" w:type="dxa"/>
            <w:noWrap w:val="0"/>
            <w:vAlign w:val="center"/>
          </w:tcPr>
          <w:p w14:paraId="7C202FEE">
            <w:pPr>
              <w:rPr>
                <w:rFonts w:hint="eastAsia" w:ascii="宋体" w:hAnsi="宋体"/>
              </w:rPr>
            </w:pPr>
            <w:r>
              <w:rPr>
                <w:rFonts w:hint="eastAsia" w:ascii="宋体" w:hAnsi="宋体"/>
              </w:rPr>
              <w:t>邮政编码</w:t>
            </w:r>
          </w:p>
        </w:tc>
        <w:tc>
          <w:tcPr>
            <w:tcW w:w="2390" w:type="dxa"/>
            <w:gridSpan w:val="2"/>
            <w:noWrap w:val="0"/>
            <w:vAlign w:val="center"/>
          </w:tcPr>
          <w:p w14:paraId="3CD4A3A2">
            <w:pPr>
              <w:rPr>
                <w:rFonts w:hint="eastAsia" w:ascii="宋体" w:hAnsi="宋体"/>
              </w:rPr>
            </w:pPr>
          </w:p>
        </w:tc>
      </w:tr>
      <w:tr w14:paraId="1A0A3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356" w:type="dxa"/>
            <w:vMerge w:val="restart"/>
            <w:noWrap w:val="0"/>
            <w:vAlign w:val="center"/>
          </w:tcPr>
          <w:p w14:paraId="3BF94948">
            <w:pPr>
              <w:rPr>
                <w:rFonts w:hint="eastAsia" w:ascii="宋体" w:hAnsi="宋体"/>
              </w:rPr>
            </w:pPr>
            <w:r>
              <w:rPr>
                <w:rFonts w:hint="eastAsia" w:ascii="宋体" w:hAnsi="宋体"/>
              </w:rPr>
              <w:t>联系方式</w:t>
            </w:r>
          </w:p>
        </w:tc>
        <w:tc>
          <w:tcPr>
            <w:tcW w:w="1031" w:type="dxa"/>
            <w:noWrap w:val="0"/>
            <w:vAlign w:val="center"/>
          </w:tcPr>
          <w:p w14:paraId="3304B6A1">
            <w:pPr>
              <w:rPr>
                <w:rFonts w:hint="eastAsia" w:ascii="宋体" w:hAnsi="宋体"/>
              </w:rPr>
            </w:pPr>
            <w:r>
              <w:rPr>
                <w:rFonts w:hint="eastAsia" w:ascii="宋体" w:hAnsi="宋体"/>
              </w:rPr>
              <w:t>联系人</w:t>
            </w:r>
          </w:p>
        </w:tc>
        <w:tc>
          <w:tcPr>
            <w:tcW w:w="2388" w:type="dxa"/>
            <w:gridSpan w:val="2"/>
            <w:noWrap w:val="0"/>
            <w:vAlign w:val="center"/>
          </w:tcPr>
          <w:p w14:paraId="02C316B8">
            <w:pPr>
              <w:rPr>
                <w:rFonts w:hint="eastAsia" w:ascii="宋体" w:hAnsi="宋体"/>
              </w:rPr>
            </w:pPr>
          </w:p>
        </w:tc>
        <w:tc>
          <w:tcPr>
            <w:tcW w:w="1194" w:type="dxa"/>
            <w:noWrap w:val="0"/>
            <w:vAlign w:val="center"/>
          </w:tcPr>
          <w:p w14:paraId="6F70D359">
            <w:pPr>
              <w:rPr>
                <w:rFonts w:hint="eastAsia" w:ascii="宋体" w:hAnsi="宋体"/>
              </w:rPr>
            </w:pPr>
            <w:r>
              <w:rPr>
                <w:rFonts w:hint="eastAsia" w:ascii="宋体" w:hAnsi="宋体"/>
              </w:rPr>
              <w:t>电话</w:t>
            </w:r>
          </w:p>
        </w:tc>
        <w:tc>
          <w:tcPr>
            <w:tcW w:w="2390" w:type="dxa"/>
            <w:gridSpan w:val="2"/>
            <w:noWrap w:val="0"/>
            <w:vAlign w:val="center"/>
          </w:tcPr>
          <w:p w14:paraId="22CDE7CC">
            <w:pPr>
              <w:rPr>
                <w:rFonts w:hint="eastAsia" w:ascii="宋体" w:hAnsi="宋体"/>
              </w:rPr>
            </w:pPr>
          </w:p>
        </w:tc>
      </w:tr>
      <w:tr w14:paraId="6535B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356" w:type="dxa"/>
            <w:vMerge w:val="continue"/>
            <w:noWrap w:val="0"/>
            <w:vAlign w:val="center"/>
          </w:tcPr>
          <w:p w14:paraId="30EA4C9E">
            <w:pPr>
              <w:rPr>
                <w:rFonts w:hint="eastAsia" w:ascii="宋体" w:hAnsi="宋体"/>
              </w:rPr>
            </w:pPr>
          </w:p>
        </w:tc>
        <w:tc>
          <w:tcPr>
            <w:tcW w:w="1031" w:type="dxa"/>
            <w:noWrap w:val="0"/>
            <w:vAlign w:val="center"/>
          </w:tcPr>
          <w:p w14:paraId="337EFE1D">
            <w:pPr>
              <w:rPr>
                <w:rFonts w:hint="eastAsia" w:ascii="宋体" w:hAnsi="宋体"/>
              </w:rPr>
            </w:pPr>
            <w:r>
              <w:rPr>
                <w:rFonts w:hint="eastAsia" w:ascii="宋体" w:hAnsi="宋体"/>
              </w:rPr>
              <w:t>传真</w:t>
            </w:r>
          </w:p>
        </w:tc>
        <w:tc>
          <w:tcPr>
            <w:tcW w:w="2388" w:type="dxa"/>
            <w:gridSpan w:val="2"/>
            <w:noWrap w:val="0"/>
            <w:vAlign w:val="center"/>
          </w:tcPr>
          <w:p w14:paraId="7CD30A86">
            <w:pPr>
              <w:rPr>
                <w:rFonts w:hint="eastAsia" w:ascii="宋体" w:hAnsi="宋体"/>
              </w:rPr>
            </w:pPr>
          </w:p>
        </w:tc>
        <w:tc>
          <w:tcPr>
            <w:tcW w:w="1194" w:type="dxa"/>
            <w:noWrap w:val="0"/>
            <w:vAlign w:val="center"/>
          </w:tcPr>
          <w:p w14:paraId="164FABC5">
            <w:pPr>
              <w:rPr>
                <w:rFonts w:hint="eastAsia" w:ascii="宋体" w:hAnsi="宋体"/>
              </w:rPr>
            </w:pPr>
            <w:r>
              <w:rPr>
                <w:rFonts w:hint="eastAsia" w:ascii="宋体" w:hAnsi="宋体"/>
              </w:rPr>
              <w:t>网址</w:t>
            </w:r>
          </w:p>
        </w:tc>
        <w:tc>
          <w:tcPr>
            <w:tcW w:w="2390" w:type="dxa"/>
            <w:gridSpan w:val="2"/>
            <w:noWrap w:val="0"/>
            <w:vAlign w:val="center"/>
          </w:tcPr>
          <w:p w14:paraId="0491DAB0">
            <w:pPr>
              <w:rPr>
                <w:rFonts w:hint="eastAsia" w:ascii="宋体" w:hAnsi="宋体"/>
              </w:rPr>
            </w:pPr>
          </w:p>
        </w:tc>
      </w:tr>
      <w:tr w14:paraId="2B98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356" w:type="dxa"/>
            <w:noWrap w:val="0"/>
            <w:vAlign w:val="center"/>
          </w:tcPr>
          <w:p w14:paraId="164474F5">
            <w:pPr>
              <w:rPr>
                <w:rFonts w:hint="eastAsia" w:ascii="宋体" w:hAnsi="宋体"/>
              </w:rPr>
            </w:pPr>
            <w:r>
              <w:rPr>
                <w:rFonts w:hint="eastAsia" w:ascii="宋体" w:hAnsi="宋体"/>
              </w:rPr>
              <w:t>法定代表人</w:t>
            </w:r>
          </w:p>
        </w:tc>
        <w:tc>
          <w:tcPr>
            <w:tcW w:w="1031" w:type="dxa"/>
            <w:noWrap w:val="0"/>
            <w:vAlign w:val="center"/>
          </w:tcPr>
          <w:p w14:paraId="379043DE">
            <w:pPr>
              <w:rPr>
                <w:rFonts w:hint="eastAsia" w:ascii="宋体" w:hAnsi="宋体"/>
              </w:rPr>
            </w:pPr>
            <w:r>
              <w:rPr>
                <w:rFonts w:hint="eastAsia" w:ascii="宋体" w:hAnsi="宋体"/>
              </w:rPr>
              <w:t>姓名</w:t>
            </w:r>
          </w:p>
        </w:tc>
        <w:tc>
          <w:tcPr>
            <w:tcW w:w="1194" w:type="dxa"/>
            <w:noWrap w:val="0"/>
            <w:vAlign w:val="center"/>
          </w:tcPr>
          <w:p w14:paraId="08FFD7F1">
            <w:pPr>
              <w:rPr>
                <w:rFonts w:hint="eastAsia" w:ascii="宋体" w:hAnsi="宋体"/>
              </w:rPr>
            </w:pPr>
          </w:p>
        </w:tc>
        <w:tc>
          <w:tcPr>
            <w:tcW w:w="1194" w:type="dxa"/>
            <w:noWrap w:val="0"/>
            <w:vAlign w:val="center"/>
          </w:tcPr>
          <w:p w14:paraId="11DA1F69">
            <w:pPr>
              <w:rPr>
                <w:rFonts w:hint="eastAsia" w:ascii="宋体" w:hAnsi="宋体"/>
              </w:rPr>
            </w:pPr>
            <w:r>
              <w:rPr>
                <w:rFonts w:hint="eastAsia" w:ascii="宋体" w:hAnsi="宋体"/>
              </w:rPr>
              <w:t>技术职称</w:t>
            </w:r>
          </w:p>
        </w:tc>
        <w:tc>
          <w:tcPr>
            <w:tcW w:w="1194" w:type="dxa"/>
            <w:noWrap w:val="0"/>
            <w:vAlign w:val="center"/>
          </w:tcPr>
          <w:p w14:paraId="7E13FE0A">
            <w:pPr>
              <w:rPr>
                <w:rFonts w:hint="eastAsia" w:ascii="宋体" w:hAnsi="宋体"/>
              </w:rPr>
            </w:pPr>
          </w:p>
        </w:tc>
        <w:tc>
          <w:tcPr>
            <w:tcW w:w="1195" w:type="dxa"/>
            <w:noWrap w:val="0"/>
            <w:vAlign w:val="center"/>
          </w:tcPr>
          <w:p w14:paraId="4A02A315">
            <w:pPr>
              <w:rPr>
                <w:rFonts w:hint="eastAsia" w:ascii="宋体" w:hAnsi="宋体"/>
              </w:rPr>
            </w:pPr>
            <w:r>
              <w:rPr>
                <w:rFonts w:hint="eastAsia" w:ascii="宋体" w:hAnsi="宋体"/>
              </w:rPr>
              <w:t>电话</w:t>
            </w:r>
          </w:p>
        </w:tc>
        <w:tc>
          <w:tcPr>
            <w:tcW w:w="1195" w:type="dxa"/>
            <w:noWrap w:val="0"/>
            <w:vAlign w:val="center"/>
          </w:tcPr>
          <w:p w14:paraId="410B6AB9">
            <w:pPr>
              <w:rPr>
                <w:rFonts w:hint="eastAsia" w:ascii="宋体" w:hAnsi="宋体"/>
              </w:rPr>
            </w:pPr>
          </w:p>
        </w:tc>
      </w:tr>
      <w:tr w14:paraId="74415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356" w:type="dxa"/>
            <w:noWrap w:val="0"/>
            <w:vAlign w:val="center"/>
          </w:tcPr>
          <w:p w14:paraId="3F6E7C47">
            <w:pPr>
              <w:rPr>
                <w:rFonts w:hint="eastAsia" w:ascii="宋体" w:hAnsi="宋体"/>
              </w:rPr>
            </w:pPr>
            <w:r>
              <w:rPr>
                <w:rFonts w:hint="eastAsia" w:ascii="宋体" w:hAnsi="宋体"/>
              </w:rPr>
              <w:t>技术负责人</w:t>
            </w:r>
          </w:p>
        </w:tc>
        <w:tc>
          <w:tcPr>
            <w:tcW w:w="1031" w:type="dxa"/>
            <w:noWrap w:val="0"/>
            <w:vAlign w:val="center"/>
          </w:tcPr>
          <w:p w14:paraId="0B3E09DF">
            <w:pPr>
              <w:rPr>
                <w:rFonts w:hint="eastAsia" w:ascii="宋体" w:hAnsi="宋体"/>
              </w:rPr>
            </w:pPr>
            <w:r>
              <w:rPr>
                <w:rFonts w:hint="eastAsia" w:ascii="宋体" w:hAnsi="宋体"/>
              </w:rPr>
              <w:t>姓名</w:t>
            </w:r>
          </w:p>
        </w:tc>
        <w:tc>
          <w:tcPr>
            <w:tcW w:w="1194" w:type="dxa"/>
            <w:noWrap w:val="0"/>
            <w:vAlign w:val="center"/>
          </w:tcPr>
          <w:p w14:paraId="7C4909F4">
            <w:pPr>
              <w:rPr>
                <w:rFonts w:hint="eastAsia" w:ascii="宋体" w:hAnsi="宋体"/>
              </w:rPr>
            </w:pPr>
          </w:p>
        </w:tc>
        <w:tc>
          <w:tcPr>
            <w:tcW w:w="1194" w:type="dxa"/>
            <w:noWrap w:val="0"/>
            <w:vAlign w:val="center"/>
          </w:tcPr>
          <w:p w14:paraId="2CDEC675">
            <w:pPr>
              <w:rPr>
                <w:rFonts w:hint="eastAsia" w:ascii="宋体" w:hAnsi="宋体"/>
              </w:rPr>
            </w:pPr>
            <w:r>
              <w:rPr>
                <w:rFonts w:hint="eastAsia" w:ascii="宋体" w:hAnsi="宋体"/>
              </w:rPr>
              <w:t>技术职称</w:t>
            </w:r>
          </w:p>
        </w:tc>
        <w:tc>
          <w:tcPr>
            <w:tcW w:w="1194" w:type="dxa"/>
            <w:noWrap w:val="0"/>
            <w:vAlign w:val="center"/>
          </w:tcPr>
          <w:p w14:paraId="6109437C">
            <w:pPr>
              <w:rPr>
                <w:rFonts w:hint="eastAsia" w:ascii="宋体" w:hAnsi="宋体"/>
              </w:rPr>
            </w:pPr>
          </w:p>
        </w:tc>
        <w:tc>
          <w:tcPr>
            <w:tcW w:w="1195" w:type="dxa"/>
            <w:noWrap w:val="0"/>
            <w:vAlign w:val="center"/>
          </w:tcPr>
          <w:p w14:paraId="34A7562D">
            <w:pPr>
              <w:rPr>
                <w:rFonts w:hint="eastAsia" w:ascii="宋体" w:hAnsi="宋体"/>
              </w:rPr>
            </w:pPr>
            <w:r>
              <w:rPr>
                <w:rFonts w:hint="eastAsia" w:ascii="宋体" w:hAnsi="宋体"/>
              </w:rPr>
              <w:t>电话</w:t>
            </w:r>
          </w:p>
        </w:tc>
        <w:tc>
          <w:tcPr>
            <w:tcW w:w="1195" w:type="dxa"/>
            <w:noWrap w:val="0"/>
            <w:vAlign w:val="center"/>
          </w:tcPr>
          <w:p w14:paraId="43509995">
            <w:pPr>
              <w:rPr>
                <w:rFonts w:hint="eastAsia" w:ascii="宋体" w:hAnsi="宋体"/>
              </w:rPr>
            </w:pPr>
          </w:p>
        </w:tc>
      </w:tr>
      <w:tr w14:paraId="1436F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356" w:type="dxa"/>
            <w:noWrap w:val="0"/>
            <w:vAlign w:val="center"/>
          </w:tcPr>
          <w:p w14:paraId="7C6A35E3">
            <w:pPr>
              <w:rPr>
                <w:rFonts w:hint="eastAsia" w:ascii="宋体" w:hAnsi="宋体"/>
              </w:rPr>
            </w:pPr>
            <w:r>
              <w:rPr>
                <w:rFonts w:hint="eastAsia" w:ascii="宋体" w:hAnsi="宋体"/>
              </w:rPr>
              <w:t>成立时间</w:t>
            </w:r>
          </w:p>
        </w:tc>
        <w:tc>
          <w:tcPr>
            <w:tcW w:w="2225" w:type="dxa"/>
            <w:gridSpan w:val="2"/>
            <w:noWrap w:val="0"/>
            <w:vAlign w:val="center"/>
          </w:tcPr>
          <w:p w14:paraId="02488814">
            <w:pPr>
              <w:rPr>
                <w:rFonts w:hint="eastAsia" w:ascii="宋体" w:hAnsi="宋体"/>
              </w:rPr>
            </w:pPr>
          </w:p>
        </w:tc>
        <w:tc>
          <w:tcPr>
            <w:tcW w:w="4778" w:type="dxa"/>
            <w:gridSpan w:val="4"/>
            <w:noWrap w:val="0"/>
            <w:vAlign w:val="center"/>
          </w:tcPr>
          <w:p w14:paraId="4434CECA">
            <w:pPr>
              <w:rPr>
                <w:rFonts w:hint="eastAsia" w:ascii="宋体" w:hAnsi="宋体"/>
              </w:rPr>
            </w:pPr>
            <w:r>
              <w:rPr>
                <w:rFonts w:hint="eastAsia" w:ascii="宋体" w:hAnsi="宋体"/>
              </w:rPr>
              <w:t>员工总人数</w:t>
            </w:r>
          </w:p>
        </w:tc>
      </w:tr>
      <w:tr w14:paraId="2B123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1356" w:type="dxa"/>
            <w:noWrap w:val="0"/>
            <w:vAlign w:val="center"/>
          </w:tcPr>
          <w:p w14:paraId="5A0FD854">
            <w:pPr>
              <w:rPr>
                <w:rFonts w:hint="eastAsia" w:ascii="宋体" w:hAnsi="宋体"/>
              </w:rPr>
            </w:pPr>
            <w:r>
              <w:rPr>
                <w:rFonts w:hint="eastAsia" w:ascii="宋体" w:hAnsi="宋体"/>
              </w:rPr>
              <w:t>企业资质等级</w:t>
            </w:r>
          </w:p>
        </w:tc>
        <w:tc>
          <w:tcPr>
            <w:tcW w:w="2225" w:type="dxa"/>
            <w:gridSpan w:val="2"/>
            <w:noWrap w:val="0"/>
            <w:vAlign w:val="center"/>
          </w:tcPr>
          <w:p w14:paraId="52EBB33C">
            <w:pPr>
              <w:rPr>
                <w:rFonts w:hint="eastAsia" w:ascii="宋体" w:hAnsi="宋体"/>
              </w:rPr>
            </w:pPr>
          </w:p>
        </w:tc>
        <w:tc>
          <w:tcPr>
            <w:tcW w:w="1194" w:type="dxa"/>
            <w:vMerge w:val="restart"/>
            <w:noWrap w:val="0"/>
            <w:vAlign w:val="center"/>
          </w:tcPr>
          <w:p w14:paraId="06FD652E">
            <w:pPr>
              <w:rPr>
                <w:rFonts w:hint="eastAsia" w:ascii="宋体" w:hAnsi="宋体"/>
              </w:rPr>
            </w:pPr>
            <w:r>
              <w:rPr>
                <w:rFonts w:hint="eastAsia" w:ascii="宋体" w:hAnsi="宋体"/>
              </w:rPr>
              <w:t>其中</w:t>
            </w:r>
          </w:p>
        </w:tc>
        <w:tc>
          <w:tcPr>
            <w:tcW w:w="2389" w:type="dxa"/>
            <w:gridSpan w:val="2"/>
            <w:noWrap w:val="0"/>
            <w:vAlign w:val="center"/>
          </w:tcPr>
          <w:p w14:paraId="3C097EBD">
            <w:pPr>
              <w:rPr>
                <w:rFonts w:hint="eastAsia" w:ascii="宋体" w:hAnsi="宋体"/>
              </w:rPr>
            </w:pPr>
            <w:r>
              <w:rPr>
                <w:rFonts w:hint="eastAsia" w:ascii="宋体" w:hAnsi="宋体"/>
              </w:rPr>
              <w:t>项目经理（注册建造师）</w:t>
            </w:r>
          </w:p>
        </w:tc>
        <w:tc>
          <w:tcPr>
            <w:tcW w:w="1195" w:type="dxa"/>
            <w:noWrap w:val="0"/>
            <w:vAlign w:val="center"/>
          </w:tcPr>
          <w:p w14:paraId="2F5F7F52">
            <w:pPr>
              <w:rPr>
                <w:rFonts w:hint="eastAsia" w:ascii="宋体" w:hAnsi="宋体"/>
              </w:rPr>
            </w:pPr>
          </w:p>
        </w:tc>
      </w:tr>
      <w:tr w14:paraId="2DA5B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356" w:type="dxa"/>
            <w:noWrap w:val="0"/>
            <w:vAlign w:val="center"/>
          </w:tcPr>
          <w:p w14:paraId="2644FCA2">
            <w:pPr>
              <w:rPr>
                <w:rFonts w:hint="eastAsia" w:ascii="宋体" w:hAnsi="宋体"/>
              </w:rPr>
            </w:pPr>
            <w:r>
              <w:rPr>
                <w:rFonts w:hint="eastAsia" w:ascii="宋体" w:hAnsi="宋体"/>
              </w:rPr>
              <w:t>营业执照号</w:t>
            </w:r>
          </w:p>
        </w:tc>
        <w:tc>
          <w:tcPr>
            <w:tcW w:w="2225" w:type="dxa"/>
            <w:gridSpan w:val="2"/>
            <w:noWrap w:val="0"/>
            <w:vAlign w:val="center"/>
          </w:tcPr>
          <w:p w14:paraId="34937F9E">
            <w:pPr>
              <w:rPr>
                <w:rFonts w:hint="eastAsia" w:ascii="宋体" w:hAnsi="宋体"/>
              </w:rPr>
            </w:pPr>
          </w:p>
        </w:tc>
        <w:tc>
          <w:tcPr>
            <w:tcW w:w="1194" w:type="dxa"/>
            <w:vMerge w:val="continue"/>
            <w:noWrap w:val="0"/>
            <w:vAlign w:val="center"/>
          </w:tcPr>
          <w:p w14:paraId="2CE37DF9">
            <w:pPr>
              <w:rPr>
                <w:rFonts w:hint="eastAsia" w:ascii="宋体" w:hAnsi="宋体"/>
              </w:rPr>
            </w:pPr>
          </w:p>
        </w:tc>
        <w:tc>
          <w:tcPr>
            <w:tcW w:w="2389" w:type="dxa"/>
            <w:gridSpan w:val="2"/>
            <w:noWrap w:val="0"/>
            <w:vAlign w:val="center"/>
          </w:tcPr>
          <w:p w14:paraId="2C76F164">
            <w:pPr>
              <w:rPr>
                <w:rFonts w:hint="eastAsia" w:ascii="宋体" w:hAnsi="宋体"/>
              </w:rPr>
            </w:pPr>
            <w:r>
              <w:rPr>
                <w:rFonts w:hint="eastAsia" w:ascii="宋体" w:hAnsi="宋体"/>
              </w:rPr>
              <w:t>高级职称人员</w:t>
            </w:r>
          </w:p>
        </w:tc>
        <w:tc>
          <w:tcPr>
            <w:tcW w:w="1195" w:type="dxa"/>
            <w:noWrap w:val="0"/>
            <w:vAlign w:val="center"/>
          </w:tcPr>
          <w:p w14:paraId="4322DDDD">
            <w:pPr>
              <w:rPr>
                <w:rFonts w:hint="eastAsia" w:ascii="宋体" w:hAnsi="宋体"/>
              </w:rPr>
            </w:pPr>
          </w:p>
        </w:tc>
      </w:tr>
      <w:tr w14:paraId="2C07C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356" w:type="dxa"/>
            <w:noWrap w:val="0"/>
            <w:vAlign w:val="center"/>
          </w:tcPr>
          <w:p w14:paraId="2457B6BC">
            <w:pPr>
              <w:rPr>
                <w:rFonts w:hint="eastAsia" w:ascii="宋体" w:hAnsi="宋体"/>
              </w:rPr>
            </w:pPr>
            <w:r>
              <w:rPr>
                <w:rFonts w:hint="eastAsia" w:ascii="宋体" w:hAnsi="宋体"/>
              </w:rPr>
              <w:t>注册资金</w:t>
            </w:r>
          </w:p>
        </w:tc>
        <w:tc>
          <w:tcPr>
            <w:tcW w:w="2225" w:type="dxa"/>
            <w:gridSpan w:val="2"/>
            <w:noWrap w:val="0"/>
            <w:vAlign w:val="center"/>
          </w:tcPr>
          <w:p w14:paraId="6F8D019C">
            <w:pPr>
              <w:rPr>
                <w:rFonts w:hint="eastAsia" w:ascii="宋体" w:hAnsi="宋体"/>
              </w:rPr>
            </w:pPr>
          </w:p>
        </w:tc>
        <w:tc>
          <w:tcPr>
            <w:tcW w:w="1194" w:type="dxa"/>
            <w:vMerge w:val="continue"/>
            <w:noWrap w:val="0"/>
            <w:vAlign w:val="center"/>
          </w:tcPr>
          <w:p w14:paraId="2BDDA82B">
            <w:pPr>
              <w:rPr>
                <w:rFonts w:hint="eastAsia" w:ascii="宋体" w:hAnsi="宋体"/>
              </w:rPr>
            </w:pPr>
          </w:p>
        </w:tc>
        <w:tc>
          <w:tcPr>
            <w:tcW w:w="2389" w:type="dxa"/>
            <w:gridSpan w:val="2"/>
            <w:noWrap w:val="0"/>
            <w:vAlign w:val="center"/>
          </w:tcPr>
          <w:p w14:paraId="2F311217">
            <w:pPr>
              <w:rPr>
                <w:rFonts w:hint="eastAsia" w:ascii="宋体" w:hAnsi="宋体"/>
              </w:rPr>
            </w:pPr>
            <w:r>
              <w:rPr>
                <w:rFonts w:hint="eastAsia" w:ascii="宋体" w:hAnsi="宋体"/>
              </w:rPr>
              <w:t>中级职称人员</w:t>
            </w:r>
          </w:p>
        </w:tc>
        <w:tc>
          <w:tcPr>
            <w:tcW w:w="1195" w:type="dxa"/>
            <w:noWrap w:val="0"/>
            <w:vAlign w:val="center"/>
          </w:tcPr>
          <w:p w14:paraId="0770E6E1">
            <w:pPr>
              <w:rPr>
                <w:rFonts w:hint="eastAsia" w:ascii="宋体" w:hAnsi="宋体"/>
              </w:rPr>
            </w:pPr>
          </w:p>
        </w:tc>
      </w:tr>
      <w:tr w14:paraId="716AA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356" w:type="dxa"/>
            <w:noWrap w:val="0"/>
            <w:vAlign w:val="center"/>
          </w:tcPr>
          <w:p w14:paraId="72613802">
            <w:pPr>
              <w:rPr>
                <w:rFonts w:hint="eastAsia" w:ascii="宋体" w:hAnsi="宋体"/>
              </w:rPr>
            </w:pPr>
            <w:r>
              <w:rPr>
                <w:rFonts w:hint="eastAsia" w:ascii="宋体" w:hAnsi="宋体"/>
              </w:rPr>
              <w:t>开户银行</w:t>
            </w:r>
          </w:p>
        </w:tc>
        <w:tc>
          <w:tcPr>
            <w:tcW w:w="2225" w:type="dxa"/>
            <w:gridSpan w:val="2"/>
            <w:noWrap w:val="0"/>
            <w:vAlign w:val="center"/>
          </w:tcPr>
          <w:p w14:paraId="274B9BDE">
            <w:pPr>
              <w:rPr>
                <w:rFonts w:hint="eastAsia" w:ascii="宋体" w:hAnsi="宋体"/>
              </w:rPr>
            </w:pPr>
          </w:p>
        </w:tc>
        <w:tc>
          <w:tcPr>
            <w:tcW w:w="1194" w:type="dxa"/>
            <w:vMerge w:val="continue"/>
            <w:noWrap w:val="0"/>
            <w:vAlign w:val="center"/>
          </w:tcPr>
          <w:p w14:paraId="330B1F36">
            <w:pPr>
              <w:rPr>
                <w:rFonts w:hint="eastAsia" w:ascii="宋体" w:hAnsi="宋体"/>
              </w:rPr>
            </w:pPr>
          </w:p>
        </w:tc>
        <w:tc>
          <w:tcPr>
            <w:tcW w:w="2389" w:type="dxa"/>
            <w:gridSpan w:val="2"/>
            <w:noWrap w:val="0"/>
            <w:vAlign w:val="center"/>
          </w:tcPr>
          <w:p w14:paraId="066DEC4A">
            <w:pPr>
              <w:rPr>
                <w:rFonts w:hint="eastAsia" w:ascii="宋体" w:hAnsi="宋体"/>
              </w:rPr>
            </w:pPr>
            <w:r>
              <w:rPr>
                <w:rFonts w:hint="eastAsia" w:ascii="宋体" w:hAnsi="宋体"/>
              </w:rPr>
              <w:t>初级职称人员</w:t>
            </w:r>
          </w:p>
        </w:tc>
        <w:tc>
          <w:tcPr>
            <w:tcW w:w="1195" w:type="dxa"/>
            <w:noWrap w:val="0"/>
            <w:vAlign w:val="center"/>
          </w:tcPr>
          <w:p w14:paraId="25E3DCC5">
            <w:pPr>
              <w:rPr>
                <w:rFonts w:hint="eastAsia" w:ascii="宋体" w:hAnsi="宋体"/>
              </w:rPr>
            </w:pPr>
          </w:p>
        </w:tc>
      </w:tr>
      <w:tr w14:paraId="128B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356" w:type="dxa"/>
            <w:noWrap w:val="0"/>
            <w:vAlign w:val="center"/>
          </w:tcPr>
          <w:p w14:paraId="23B71CE4">
            <w:pPr>
              <w:rPr>
                <w:rFonts w:hint="eastAsia" w:ascii="宋体" w:hAnsi="宋体"/>
              </w:rPr>
            </w:pPr>
            <w:r>
              <w:rPr>
                <w:rFonts w:hint="eastAsia" w:ascii="宋体" w:hAnsi="宋体"/>
              </w:rPr>
              <w:t>账号</w:t>
            </w:r>
          </w:p>
        </w:tc>
        <w:tc>
          <w:tcPr>
            <w:tcW w:w="2225" w:type="dxa"/>
            <w:gridSpan w:val="2"/>
            <w:noWrap w:val="0"/>
            <w:vAlign w:val="center"/>
          </w:tcPr>
          <w:p w14:paraId="36BA478E">
            <w:pPr>
              <w:rPr>
                <w:rFonts w:hint="eastAsia" w:ascii="宋体" w:hAnsi="宋体"/>
              </w:rPr>
            </w:pPr>
          </w:p>
        </w:tc>
        <w:tc>
          <w:tcPr>
            <w:tcW w:w="1194" w:type="dxa"/>
            <w:vMerge w:val="continue"/>
            <w:noWrap w:val="0"/>
            <w:vAlign w:val="center"/>
          </w:tcPr>
          <w:p w14:paraId="255C4576">
            <w:pPr>
              <w:rPr>
                <w:rFonts w:hint="eastAsia" w:ascii="宋体" w:hAnsi="宋体"/>
              </w:rPr>
            </w:pPr>
          </w:p>
        </w:tc>
        <w:tc>
          <w:tcPr>
            <w:tcW w:w="2389" w:type="dxa"/>
            <w:gridSpan w:val="2"/>
            <w:noWrap w:val="0"/>
            <w:vAlign w:val="center"/>
          </w:tcPr>
          <w:p w14:paraId="06CBB3B7">
            <w:pPr>
              <w:rPr>
                <w:rFonts w:hint="eastAsia" w:ascii="宋体" w:hAnsi="宋体"/>
              </w:rPr>
            </w:pPr>
            <w:r>
              <w:rPr>
                <w:rFonts w:hint="eastAsia" w:ascii="宋体" w:hAnsi="宋体"/>
              </w:rPr>
              <w:t>技工</w:t>
            </w:r>
          </w:p>
        </w:tc>
        <w:tc>
          <w:tcPr>
            <w:tcW w:w="1195" w:type="dxa"/>
            <w:noWrap w:val="0"/>
            <w:vAlign w:val="center"/>
          </w:tcPr>
          <w:p w14:paraId="42737419">
            <w:pPr>
              <w:rPr>
                <w:rFonts w:hint="eastAsia" w:ascii="宋体" w:hAnsi="宋体"/>
              </w:rPr>
            </w:pPr>
          </w:p>
        </w:tc>
      </w:tr>
      <w:tr w14:paraId="0D250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356" w:type="dxa"/>
            <w:noWrap w:val="0"/>
            <w:vAlign w:val="center"/>
          </w:tcPr>
          <w:p w14:paraId="39068FB1">
            <w:pPr>
              <w:rPr>
                <w:rFonts w:hint="eastAsia" w:ascii="宋体" w:hAnsi="宋体"/>
              </w:rPr>
            </w:pPr>
            <w:r>
              <w:rPr>
                <w:rFonts w:hint="eastAsia" w:ascii="宋体" w:hAnsi="宋体"/>
              </w:rPr>
              <w:t>经营范围</w:t>
            </w:r>
          </w:p>
        </w:tc>
        <w:tc>
          <w:tcPr>
            <w:tcW w:w="7003" w:type="dxa"/>
            <w:gridSpan w:val="6"/>
            <w:noWrap w:val="0"/>
            <w:vAlign w:val="center"/>
          </w:tcPr>
          <w:p w14:paraId="20CF26F6">
            <w:pPr>
              <w:rPr>
                <w:rFonts w:hint="eastAsia" w:ascii="宋体" w:hAnsi="宋体"/>
              </w:rPr>
            </w:pPr>
          </w:p>
        </w:tc>
      </w:tr>
      <w:tr w14:paraId="5DBF8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356" w:type="dxa"/>
            <w:noWrap w:val="0"/>
            <w:vAlign w:val="center"/>
          </w:tcPr>
          <w:p w14:paraId="51B842B0">
            <w:pPr>
              <w:rPr>
                <w:rFonts w:hint="eastAsia" w:ascii="宋体" w:hAnsi="宋体"/>
              </w:rPr>
            </w:pPr>
            <w:r>
              <w:rPr>
                <w:rFonts w:hint="eastAsia" w:ascii="宋体" w:hAnsi="宋体"/>
              </w:rPr>
              <w:t>备注</w:t>
            </w:r>
          </w:p>
        </w:tc>
        <w:tc>
          <w:tcPr>
            <w:tcW w:w="7003" w:type="dxa"/>
            <w:gridSpan w:val="6"/>
            <w:noWrap w:val="0"/>
            <w:vAlign w:val="center"/>
          </w:tcPr>
          <w:p w14:paraId="29C10A32">
            <w:pPr>
              <w:rPr>
                <w:rFonts w:hint="eastAsia" w:ascii="宋体" w:hAnsi="宋体"/>
              </w:rPr>
            </w:pPr>
          </w:p>
        </w:tc>
      </w:tr>
    </w:tbl>
    <w:p w14:paraId="1C26396D">
      <w:pPr>
        <w:pStyle w:val="19"/>
        <w:ind w:firstLine="404"/>
        <w:rPr>
          <w:rFonts w:ascii="宋体" w:hAnsi="宋体" w:eastAsia="宋体"/>
        </w:rPr>
      </w:pPr>
      <w:r>
        <w:rPr>
          <w:rFonts w:hint="eastAsia" w:ascii="宋体" w:hAnsi="宋体" w:eastAsia="宋体"/>
          <w:szCs w:val="21"/>
        </w:rPr>
        <w:t>注：附营业</w:t>
      </w:r>
      <w:r>
        <w:rPr>
          <w:rFonts w:hint="eastAsia" w:ascii="宋体" w:hAnsi="宋体" w:eastAsia="宋体"/>
        </w:rPr>
        <w:t>执照</w:t>
      </w:r>
      <w:r>
        <w:rPr>
          <w:rFonts w:hint="eastAsia" w:ascii="宋体" w:hAnsi="宋体" w:eastAsia="宋体"/>
          <w:lang w:val="en-US" w:eastAsia="zh-CN"/>
        </w:rPr>
        <w:t>副本</w:t>
      </w:r>
      <w:r>
        <w:rPr>
          <w:rFonts w:hint="eastAsia" w:ascii="宋体" w:hAnsi="宋体" w:eastAsia="宋体"/>
        </w:rPr>
        <w:t>、安全生产许可证、资质证书；</w:t>
      </w:r>
    </w:p>
    <w:p w14:paraId="0242F00B">
      <w:pPr>
        <w:pStyle w:val="26"/>
        <w:tabs>
          <w:tab w:val="left" w:pos="2702"/>
        </w:tabs>
        <w:spacing w:after="120"/>
        <w:jc w:val="right"/>
        <w:rPr>
          <w:rFonts w:ascii="宋体" w:hAnsi="宋体" w:eastAsia="宋体" w:cs="宋体"/>
          <w:color w:val="auto"/>
          <w:lang w:eastAsia="zh-CN" w:bidi="zh-CN"/>
        </w:rPr>
      </w:pPr>
    </w:p>
    <w:p w14:paraId="02B00C3C">
      <w:pPr>
        <w:pStyle w:val="26"/>
        <w:tabs>
          <w:tab w:val="left" w:pos="2702"/>
        </w:tabs>
        <w:spacing w:after="120"/>
        <w:jc w:val="right"/>
        <w:rPr>
          <w:rFonts w:ascii="宋体" w:hAnsi="宋体" w:eastAsia="宋体" w:cs="宋体"/>
          <w:color w:val="auto"/>
          <w:lang w:val="zh-CN" w:eastAsia="zh-CN" w:bidi="zh-CN"/>
        </w:rPr>
      </w:pPr>
    </w:p>
    <w:p w14:paraId="2F4F11BA">
      <w:pPr>
        <w:pStyle w:val="4"/>
        <w:spacing w:line="360" w:lineRule="auto"/>
        <w:jc w:val="center"/>
        <w:rPr>
          <w:rFonts w:hint="eastAsia" w:ascii="宋体" w:hAnsi="宋体"/>
          <w:b/>
          <w:sz w:val="30"/>
        </w:rPr>
      </w:pPr>
      <w:r>
        <w:rPr>
          <w:rFonts w:ascii="宋体" w:hAnsi="宋体"/>
          <w:sz w:val="24"/>
        </w:rPr>
        <w:br w:type="page"/>
      </w:r>
      <w:bookmarkStart w:id="247" w:name="_Toc136295142"/>
      <w:bookmarkStart w:id="248" w:name="_Toc12541"/>
      <w:bookmarkStart w:id="249" w:name="_Toc16759"/>
      <w:r>
        <w:rPr>
          <w:rFonts w:hint="eastAsia" w:ascii="宋体" w:hAnsi="宋体"/>
          <w:sz w:val="32"/>
          <w:szCs w:val="32"/>
        </w:rPr>
        <w:t>2、</w:t>
      </w:r>
      <w:bookmarkEnd w:id="247"/>
      <w:bookmarkEnd w:id="248"/>
      <w:bookmarkEnd w:id="249"/>
      <w:r>
        <w:rPr>
          <w:rFonts w:hint="eastAsia" w:ascii="宋体" w:hAnsi="宋体"/>
          <w:b/>
          <w:sz w:val="30"/>
        </w:rPr>
        <w:t>政府采购供应商资格信用承诺函</w:t>
      </w:r>
    </w:p>
    <w:p w14:paraId="54B03B0F">
      <w:pPr>
        <w:autoSpaceDE w:val="0"/>
        <w:autoSpaceDN w:val="0"/>
        <w:adjustRightInd w:val="0"/>
        <w:jc w:val="left"/>
        <w:rPr>
          <w:rFonts w:ascii="宋体" w:hAnsi="宋体"/>
          <w:bCs/>
          <w:sz w:val="24"/>
        </w:rPr>
      </w:pPr>
    </w:p>
    <w:p w14:paraId="2C4D6662">
      <w:pPr>
        <w:autoSpaceDE w:val="0"/>
        <w:autoSpaceDN w:val="0"/>
        <w:adjustRightInd w:val="0"/>
        <w:spacing w:line="400" w:lineRule="exact"/>
        <w:jc w:val="left"/>
        <w:rPr>
          <w:rFonts w:hint="eastAsia" w:ascii="宋体" w:hAnsi="宋体"/>
          <w:bCs/>
          <w:szCs w:val="21"/>
        </w:rPr>
      </w:pPr>
      <w:r>
        <w:rPr>
          <w:rFonts w:hint="eastAsia" w:ascii="宋体" w:hAnsi="宋体"/>
          <w:bCs/>
          <w:szCs w:val="21"/>
        </w:rPr>
        <w:t>致：</w:t>
      </w:r>
      <w:r>
        <w:rPr>
          <w:rFonts w:hint="eastAsia" w:ascii="宋体" w:hAnsi="宋体"/>
          <w:bCs/>
          <w:szCs w:val="21"/>
          <w:u w:val="single"/>
        </w:rPr>
        <w:t>（采购人名称）、（代理机构名称）</w:t>
      </w:r>
      <w:r>
        <w:rPr>
          <w:rFonts w:hint="eastAsia" w:ascii="宋体" w:hAnsi="宋体"/>
          <w:bCs/>
          <w:szCs w:val="21"/>
        </w:rPr>
        <w:t>：</w:t>
      </w:r>
    </w:p>
    <w:p w14:paraId="0D5A6AAA">
      <w:pPr>
        <w:autoSpaceDE w:val="0"/>
        <w:autoSpaceDN w:val="0"/>
        <w:adjustRightInd w:val="0"/>
        <w:spacing w:line="400" w:lineRule="exact"/>
        <w:ind w:firstLine="420" w:firstLineChars="200"/>
        <w:jc w:val="left"/>
        <w:rPr>
          <w:rFonts w:hint="eastAsia" w:ascii="宋体" w:hAnsi="宋体"/>
          <w:bCs/>
          <w:szCs w:val="21"/>
        </w:rPr>
      </w:pPr>
      <w:r>
        <w:rPr>
          <w:rFonts w:hint="eastAsia" w:ascii="宋体" w:hAnsi="宋体"/>
          <w:bCs/>
          <w:szCs w:val="21"/>
        </w:rPr>
        <w:t>我方自愿参加</w:t>
      </w:r>
      <w:r>
        <w:rPr>
          <w:rFonts w:hint="eastAsia" w:ascii="宋体" w:hAnsi="宋体"/>
          <w:bCs/>
          <w:szCs w:val="21"/>
          <w:u w:val="single"/>
        </w:rPr>
        <w:t xml:space="preserve">                       </w:t>
      </w:r>
      <w:r>
        <w:rPr>
          <w:rFonts w:hint="eastAsia" w:ascii="宋体" w:hAnsi="宋体"/>
          <w:bCs/>
          <w:szCs w:val="21"/>
        </w:rPr>
        <w:t>项目（项目编号：</w:t>
      </w:r>
      <w:r>
        <w:rPr>
          <w:rFonts w:hint="eastAsia" w:ascii="宋体" w:hAnsi="宋体"/>
          <w:bCs/>
          <w:szCs w:val="21"/>
          <w:u w:val="single"/>
        </w:rPr>
        <w:t xml:space="preserve">                     </w:t>
      </w:r>
      <w:r>
        <w:rPr>
          <w:rFonts w:hint="eastAsia" w:ascii="宋体" w:hAnsi="宋体"/>
          <w:bCs/>
          <w:szCs w:val="21"/>
        </w:rPr>
        <w:t xml:space="preserve"> ）的政府采购活动，并郑重承诺我方符合《中华人民共和国政府采购法》第二十二条规定的条件： </w:t>
      </w:r>
    </w:p>
    <w:p w14:paraId="0BC90415">
      <w:pPr>
        <w:autoSpaceDE w:val="0"/>
        <w:autoSpaceDN w:val="0"/>
        <w:adjustRightInd w:val="0"/>
        <w:spacing w:line="400" w:lineRule="exact"/>
        <w:ind w:firstLine="420" w:firstLineChars="200"/>
        <w:jc w:val="left"/>
        <w:rPr>
          <w:rFonts w:hint="eastAsia" w:ascii="宋体" w:hAnsi="宋体"/>
          <w:bCs/>
          <w:szCs w:val="21"/>
        </w:rPr>
      </w:pPr>
      <w:r>
        <w:rPr>
          <w:rFonts w:hint="eastAsia" w:ascii="宋体" w:hAnsi="宋体"/>
          <w:bCs/>
          <w:szCs w:val="21"/>
        </w:rPr>
        <w:t xml:space="preserve">（一）具有独立承担民事责任的能力； </w:t>
      </w:r>
    </w:p>
    <w:p w14:paraId="6C56EEC9">
      <w:pPr>
        <w:autoSpaceDE w:val="0"/>
        <w:autoSpaceDN w:val="0"/>
        <w:adjustRightInd w:val="0"/>
        <w:spacing w:line="400" w:lineRule="exact"/>
        <w:ind w:firstLine="420" w:firstLineChars="200"/>
        <w:jc w:val="left"/>
        <w:rPr>
          <w:rFonts w:hint="eastAsia" w:ascii="宋体" w:hAnsi="宋体"/>
          <w:bCs/>
          <w:szCs w:val="21"/>
        </w:rPr>
      </w:pPr>
      <w:r>
        <w:rPr>
          <w:rFonts w:hint="eastAsia" w:ascii="宋体" w:hAnsi="宋体"/>
          <w:bCs/>
          <w:szCs w:val="21"/>
        </w:rPr>
        <w:t xml:space="preserve">（二）具有良好的商业信誉和健全的财务会计制度； </w:t>
      </w:r>
    </w:p>
    <w:p w14:paraId="37F55D46">
      <w:pPr>
        <w:autoSpaceDE w:val="0"/>
        <w:autoSpaceDN w:val="0"/>
        <w:adjustRightInd w:val="0"/>
        <w:spacing w:line="400" w:lineRule="exact"/>
        <w:ind w:firstLine="420" w:firstLineChars="200"/>
        <w:jc w:val="left"/>
        <w:rPr>
          <w:rFonts w:hint="eastAsia" w:ascii="宋体" w:hAnsi="宋体"/>
          <w:bCs/>
          <w:szCs w:val="21"/>
        </w:rPr>
      </w:pPr>
      <w:r>
        <w:rPr>
          <w:rFonts w:hint="eastAsia" w:ascii="宋体" w:hAnsi="宋体"/>
          <w:bCs/>
          <w:szCs w:val="21"/>
        </w:rPr>
        <w:t xml:space="preserve">（三）具有履行合同所必需的设备和专业技术能力； </w:t>
      </w:r>
    </w:p>
    <w:p w14:paraId="5F349687">
      <w:pPr>
        <w:autoSpaceDE w:val="0"/>
        <w:autoSpaceDN w:val="0"/>
        <w:adjustRightInd w:val="0"/>
        <w:spacing w:line="400" w:lineRule="exact"/>
        <w:ind w:firstLine="420" w:firstLineChars="200"/>
        <w:jc w:val="left"/>
        <w:rPr>
          <w:rFonts w:hint="eastAsia" w:ascii="宋体" w:hAnsi="宋体"/>
          <w:bCs/>
          <w:szCs w:val="21"/>
        </w:rPr>
      </w:pPr>
      <w:r>
        <w:rPr>
          <w:rFonts w:hint="eastAsia" w:ascii="宋体" w:hAnsi="宋体"/>
          <w:bCs/>
          <w:szCs w:val="21"/>
        </w:rPr>
        <w:t xml:space="preserve">（四）有依法缴纳税收和社会保障资金的良好记录； </w:t>
      </w:r>
    </w:p>
    <w:p w14:paraId="7EC0F4CD">
      <w:pPr>
        <w:autoSpaceDE w:val="0"/>
        <w:autoSpaceDN w:val="0"/>
        <w:adjustRightInd w:val="0"/>
        <w:spacing w:line="400" w:lineRule="exact"/>
        <w:ind w:firstLine="420" w:firstLineChars="200"/>
        <w:jc w:val="left"/>
        <w:rPr>
          <w:rFonts w:hint="eastAsia" w:ascii="宋体" w:hAnsi="宋体"/>
          <w:bCs/>
          <w:szCs w:val="21"/>
        </w:rPr>
      </w:pPr>
      <w:r>
        <w:rPr>
          <w:rFonts w:hint="eastAsia" w:ascii="宋体" w:hAnsi="宋体"/>
          <w:bCs/>
          <w:szCs w:val="21"/>
        </w:rPr>
        <w:t xml:space="preserve">（五）参加政府采购活动前三年内，在经营活动中没有重大违法记录； </w:t>
      </w:r>
    </w:p>
    <w:p w14:paraId="7BB2BCF3">
      <w:pPr>
        <w:autoSpaceDE w:val="0"/>
        <w:autoSpaceDN w:val="0"/>
        <w:adjustRightInd w:val="0"/>
        <w:spacing w:line="400" w:lineRule="exact"/>
        <w:ind w:firstLine="420" w:firstLineChars="200"/>
        <w:jc w:val="left"/>
        <w:rPr>
          <w:rFonts w:hint="eastAsia" w:ascii="宋体" w:hAnsi="宋体"/>
          <w:bCs/>
          <w:szCs w:val="21"/>
        </w:rPr>
      </w:pPr>
      <w:r>
        <w:rPr>
          <w:rFonts w:hint="eastAsia" w:ascii="宋体" w:hAnsi="宋体"/>
          <w:bCs/>
          <w:szCs w:val="21"/>
        </w:rPr>
        <w:t xml:space="preserve">（六）法律、行政法规规定的其他条件。 </w:t>
      </w:r>
    </w:p>
    <w:p w14:paraId="649B02E0">
      <w:pPr>
        <w:autoSpaceDE w:val="0"/>
        <w:autoSpaceDN w:val="0"/>
        <w:adjustRightInd w:val="0"/>
        <w:spacing w:line="400" w:lineRule="exact"/>
        <w:ind w:firstLine="420" w:firstLineChars="200"/>
        <w:jc w:val="left"/>
        <w:rPr>
          <w:rFonts w:hint="eastAsia" w:ascii="宋体" w:hAnsi="宋体"/>
          <w:bCs/>
          <w:szCs w:val="21"/>
        </w:rPr>
      </w:pPr>
      <w:r>
        <w:rPr>
          <w:rFonts w:hint="eastAsia" w:ascii="宋体" w:hAnsi="宋体"/>
          <w:bCs/>
          <w:szCs w:val="21"/>
        </w:rPr>
        <w:t xml:space="preserve">我方保证上述承诺事项的真实性，如有弄虚作假或其他违法违规行为，愿意承担一切法律责任，并承担因此所造成的一切损失。 </w:t>
      </w:r>
    </w:p>
    <w:p w14:paraId="41E6FA33">
      <w:pPr>
        <w:autoSpaceDE w:val="0"/>
        <w:autoSpaceDN w:val="0"/>
        <w:adjustRightInd w:val="0"/>
        <w:spacing w:line="400" w:lineRule="exact"/>
        <w:ind w:firstLine="420" w:firstLineChars="200"/>
        <w:jc w:val="left"/>
        <w:rPr>
          <w:rFonts w:hint="eastAsia" w:ascii="宋体" w:hAnsi="宋体"/>
          <w:bCs/>
          <w:szCs w:val="21"/>
        </w:rPr>
      </w:pPr>
      <w:r>
        <w:rPr>
          <w:rFonts w:hint="eastAsia" w:ascii="宋体" w:hAnsi="宋体"/>
          <w:bCs/>
          <w:szCs w:val="21"/>
        </w:rPr>
        <w:t xml:space="preserve">特此声明！ </w:t>
      </w:r>
    </w:p>
    <w:p w14:paraId="11B607E0">
      <w:pPr>
        <w:autoSpaceDE w:val="0"/>
        <w:autoSpaceDN w:val="0"/>
        <w:adjustRightInd w:val="0"/>
        <w:spacing w:line="400" w:lineRule="exact"/>
        <w:jc w:val="left"/>
        <w:rPr>
          <w:rFonts w:ascii="宋体" w:hAnsi="宋体"/>
          <w:bCs/>
          <w:szCs w:val="21"/>
        </w:rPr>
      </w:pPr>
    </w:p>
    <w:p w14:paraId="4A2A502D">
      <w:pPr>
        <w:autoSpaceDE w:val="0"/>
        <w:autoSpaceDN w:val="0"/>
        <w:adjustRightInd w:val="0"/>
        <w:spacing w:line="400" w:lineRule="exact"/>
        <w:jc w:val="left"/>
        <w:rPr>
          <w:rFonts w:ascii="宋体" w:hAnsi="宋体"/>
          <w:bCs/>
          <w:szCs w:val="21"/>
        </w:rPr>
      </w:pPr>
    </w:p>
    <w:p w14:paraId="674CB241">
      <w:pPr>
        <w:autoSpaceDE w:val="0"/>
        <w:autoSpaceDN w:val="0"/>
        <w:adjustRightInd w:val="0"/>
        <w:spacing w:line="400" w:lineRule="exact"/>
        <w:jc w:val="left"/>
        <w:rPr>
          <w:rFonts w:ascii="宋体" w:hAnsi="宋体"/>
          <w:bCs/>
          <w:szCs w:val="21"/>
        </w:rPr>
      </w:pPr>
      <w:r>
        <w:rPr>
          <w:rFonts w:ascii="宋体" w:hAnsi="宋体"/>
          <w:bCs/>
          <w:szCs w:val="21"/>
        </w:rPr>
        <w:t xml:space="preserve">           </w:t>
      </w:r>
    </w:p>
    <w:p w14:paraId="619C266E">
      <w:pPr>
        <w:spacing w:line="400" w:lineRule="exact"/>
        <w:ind w:firstLine="1155" w:firstLineChars="550"/>
        <w:rPr>
          <w:rFonts w:hint="eastAsia" w:ascii="宋体" w:hAnsi="宋体" w:cs="宋体"/>
          <w:szCs w:val="21"/>
        </w:rPr>
      </w:pPr>
      <w:r>
        <w:rPr>
          <w:rFonts w:hint="eastAsia" w:ascii="宋体" w:hAnsi="宋体" w:cs="宋体"/>
          <w:szCs w:val="21"/>
        </w:rPr>
        <w:t>竞标人名称（CA电子签章）：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3923C248">
      <w:pPr>
        <w:spacing w:line="500" w:lineRule="exact"/>
        <w:ind w:firstLine="1155" w:firstLineChars="550"/>
        <w:rPr>
          <w:rFonts w:hint="eastAsia" w:ascii="宋体" w:hAnsi="宋体" w:cs="宋体"/>
          <w:szCs w:val="21"/>
          <w:u w:val="single"/>
        </w:rPr>
      </w:pPr>
      <w:r>
        <w:rPr>
          <w:rFonts w:hint="eastAsia" w:ascii="宋体" w:hAnsi="宋体" w:cs="宋体"/>
          <w:szCs w:val="21"/>
        </w:rPr>
        <w:t>法定代表人或委托代理人（签字或加盖CA电子签字章）：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7D261331">
      <w:pPr>
        <w:pStyle w:val="13"/>
        <w:spacing w:line="400" w:lineRule="exact"/>
        <w:ind w:left="420" w:firstLine="4500" w:firstLineChars="2250"/>
        <w:jc w:val="right"/>
        <w:rPr>
          <w:rFonts w:hAnsi="宋体" w:cs="宋体"/>
        </w:rPr>
      </w:pPr>
      <w:r>
        <w:rPr>
          <w:rFonts w:hint="eastAsia" w:hAnsi="宋体" w:cs="宋体"/>
        </w:rPr>
        <w:t>日期：  年  月  日</w:t>
      </w:r>
    </w:p>
    <w:p w14:paraId="1E4524DE">
      <w:pPr>
        <w:pStyle w:val="4"/>
        <w:spacing w:line="360" w:lineRule="auto"/>
        <w:jc w:val="center"/>
        <w:rPr>
          <w:rFonts w:hint="eastAsia" w:ascii="宋体" w:hAnsi="宋体"/>
          <w:b/>
          <w:sz w:val="32"/>
          <w:szCs w:val="32"/>
        </w:rPr>
      </w:pPr>
      <w:r>
        <w:rPr>
          <w:rFonts w:ascii="宋体" w:hAnsi="宋体"/>
        </w:rPr>
        <w:br w:type="page"/>
      </w:r>
      <w:bookmarkStart w:id="250" w:name="_Toc7705"/>
      <w:bookmarkStart w:id="251" w:name="_Toc31919"/>
      <w:r>
        <w:rPr>
          <w:rFonts w:hint="eastAsia" w:ascii="宋体" w:hAnsi="宋体"/>
          <w:sz w:val="32"/>
          <w:szCs w:val="32"/>
        </w:rPr>
        <w:t>3、</w:t>
      </w:r>
      <w:bookmarkEnd w:id="250"/>
      <w:bookmarkEnd w:id="251"/>
      <w:r>
        <w:rPr>
          <w:rFonts w:hint="eastAsia" w:ascii="宋体" w:hAnsi="宋体"/>
          <w:b/>
          <w:sz w:val="32"/>
          <w:szCs w:val="32"/>
        </w:rPr>
        <w:t>竞标人直接控股股东信息表</w:t>
      </w:r>
    </w:p>
    <w:tbl>
      <w:tblPr>
        <w:tblStyle w:val="20"/>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2413"/>
        <w:gridCol w:w="1277"/>
        <w:gridCol w:w="3122"/>
        <w:gridCol w:w="890"/>
      </w:tblGrid>
      <w:tr w14:paraId="7B122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818" w:type="dxa"/>
            <w:noWrap w:val="0"/>
            <w:vAlign w:val="center"/>
          </w:tcPr>
          <w:p w14:paraId="2F41DB1D">
            <w:pPr>
              <w:snapToGrid w:val="0"/>
              <w:spacing w:line="300" w:lineRule="auto"/>
              <w:jc w:val="center"/>
              <w:rPr>
                <w:rFonts w:ascii="宋体" w:hAnsi="宋体"/>
                <w:szCs w:val="21"/>
              </w:rPr>
            </w:pPr>
            <w:r>
              <w:rPr>
                <w:rFonts w:hint="eastAsia" w:ascii="宋体" w:hAnsi="宋体" w:cs="宋体"/>
                <w:b/>
                <w:bCs/>
                <w:kern w:val="0"/>
                <w:szCs w:val="21"/>
              </w:rPr>
              <w:t>序号</w:t>
            </w:r>
          </w:p>
        </w:tc>
        <w:tc>
          <w:tcPr>
            <w:tcW w:w="2413" w:type="dxa"/>
            <w:noWrap w:val="0"/>
            <w:vAlign w:val="center"/>
          </w:tcPr>
          <w:p w14:paraId="590888BA">
            <w:pPr>
              <w:snapToGrid w:val="0"/>
              <w:spacing w:line="300" w:lineRule="auto"/>
              <w:jc w:val="center"/>
              <w:rPr>
                <w:rFonts w:ascii="宋体" w:hAnsi="宋体"/>
                <w:szCs w:val="21"/>
              </w:rPr>
            </w:pPr>
            <w:r>
              <w:rPr>
                <w:rFonts w:hint="eastAsia" w:ascii="宋体" w:hAnsi="宋体" w:cs="宋体"/>
                <w:b/>
                <w:bCs/>
                <w:kern w:val="0"/>
                <w:szCs w:val="21"/>
              </w:rPr>
              <w:t>直接控股股东名称</w:t>
            </w:r>
          </w:p>
        </w:tc>
        <w:tc>
          <w:tcPr>
            <w:tcW w:w="1277" w:type="dxa"/>
            <w:noWrap w:val="0"/>
            <w:vAlign w:val="center"/>
          </w:tcPr>
          <w:p w14:paraId="16449ECC">
            <w:pPr>
              <w:snapToGrid w:val="0"/>
              <w:spacing w:line="300" w:lineRule="auto"/>
              <w:jc w:val="center"/>
              <w:rPr>
                <w:rFonts w:ascii="宋体" w:hAnsi="宋体"/>
                <w:szCs w:val="21"/>
              </w:rPr>
            </w:pPr>
            <w:r>
              <w:rPr>
                <w:rFonts w:hint="eastAsia" w:ascii="宋体" w:hAnsi="宋体" w:cs="宋体"/>
                <w:b/>
                <w:bCs/>
                <w:kern w:val="0"/>
                <w:szCs w:val="21"/>
              </w:rPr>
              <w:t>出资比例</w:t>
            </w:r>
          </w:p>
        </w:tc>
        <w:tc>
          <w:tcPr>
            <w:tcW w:w="3122" w:type="dxa"/>
            <w:noWrap w:val="0"/>
            <w:vAlign w:val="center"/>
          </w:tcPr>
          <w:p w14:paraId="0F6D8A90">
            <w:pPr>
              <w:snapToGrid w:val="0"/>
              <w:spacing w:line="300" w:lineRule="auto"/>
              <w:jc w:val="center"/>
              <w:rPr>
                <w:rFonts w:ascii="宋体" w:hAnsi="宋体"/>
                <w:szCs w:val="21"/>
              </w:rPr>
            </w:pPr>
            <w:r>
              <w:rPr>
                <w:rFonts w:hint="eastAsia" w:ascii="宋体" w:hAnsi="宋体" w:cs="宋体"/>
                <w:b/>
                <w:bCs/>
                <w:kern w:val="0"/>
                <w:szCs w:val="21"/>
              </w:rPr>
              <w:t>身份证号码或者统一社会信用代码</w:t>
            </w:r>
          </w:p>
        </w:tc>
        <w:tc>
          <w:tcPr>
            <w:tcW w:w="890" w:type="dxa"/>
            <w:noWrap w:val="0"/>
            <w:vAlign w:val="center"/>
          </w:tcPr>
          <w:p w14:paraId="0A05F093">
            <w:pPr>
              <w:snapToGrid w:val="0"/>
              <w:spacing w:line="300" w:lineRule="auto"/>
              <w:jc w:val="center"/>
              <w:rPr>
                <w:rFonts w:ascii="宋体" w:hAnsi="宋体"/>
                <w:szCs w:val="21"/>
              </w:rPr>
            </w:pPr>
            <w:r>
              <w:rPr>
                <w:rFonts w:hint="eastAsia" w:ascii="宋体" w:hAnsi="宋体" w:cs="宋体"/>
                <w:b/>
                <w:bCs/>
                <w:kern w:val="0"/>
                <w:szCs w:val="21"/>
              </w:rPr>
              <w:t>备注</w:t>
            </w:r>
          </w:p>
        </w:tc>
      </w:tr>
      <w:tr w14:paraId="6174A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18" w:type="dxa"/>
            <w:noWrap w:val="0"/>
            <w:vAlign w:val="center"/>
          </w:tcPr>
          <w:p w14:paraId="2013E3D7">
            <w:pPr>
              <w:snapToGrid w:val="0"/>
              <w:spacing w:line="300" w:lineRule="auto"/>
              <w:jc w:val="center"/>
              <w:rPr>
                <w:rFonts w:hint="eastAsia" w:ascii="宋体" w:hAnsi="宋体" w:cs="宋体"/>
                <w:b/>
                <w:bCs/>
                <w:kern w:val="0"/>
                <w:szCs w:val="21"/>
              </w:rPr>
            </w:pPr>
            <w:r>
              <w:rPr>
                <w:rFonts w:hint="eastAsia" w:ascii="宋体" w:hAnsi="宋体" w:cs="宋体"/>
                <w:kern w:val="0"/>
                <w:szCs w:val="21"/>
              </w:rPr>
              <w:t>1</w:t>
            </w:r>
          </w:p>
        </w:tc>
        <w:tc>
          <w:tcPr>
            <w:tcW w:w="2413" w:type="dxa"/>
            <w:noWrap w:val="0"/>
            <w:vAlign w:val="center"/>
          </w:tcPr>
          <w:p w14:paraId="67EC3269">
            <w:pPr>
              <w:snapToGrid w:val="0"/>
              <w:spacing w:line="300" w:lineRule="auto"/>
              <w:jc w:val="center"/>
              <w:rPr>
                <w:rFonts w:hint="eastAsia" w:ascii="宋体" w:hAnsi="宋体" w:cs="宋体"/>
                <w:b/>
                <w:bCs/>
                <w:kern w:val="0"/>
                <w:szCs w:val="21"/>
              </w:rPr>
            </w:pPr>
          </w:p>
        </w:tc>
        <w:tc>
          <w:tcPr>
            <w:tcW w:w="1277" w:type="dxa"/>
            <w:noWrap w:val="0"/>
            <w:vAlign w:val="center"/>
          </w:tcPr>
          <w:p w14:paraId="3A2E81E5">
            <w:pPr>
              <w:snapToGrid w:val="0"/>
              <w:spacing w:line="300" w:lineRule="auto"/>
              <w:jc w:val="center"/>
              <w:rPr>
                <w:rFonts w:hint="eastAsia" w:ascii="宋体" w:hAnsi="宋体" w:cs="宋体"/>
                <w:b/>
                <w:bCs/>
                <w:kern w:val="0"/>
                <w:szCs w:val="21"/>
              </w:rPr>
            </w:pPr>
          </w:p>
        </w:tc>
        <w:tc>
          <w:tcPr>
            <w:tcW w:w="3122" w:type="dxa"/>
            <w:noWrap w:val="0"/>
            <w:vAlign w:val="center"/>
          </w:tcPr>
          <w:p w14:paraId="7ABD0BD1">
            <w:pPr>
              <w:snapToGrid w:val="0"/>
              <w:spacing w:line="300" w:lineRule="auto"/>
              <w:jc w:val="center"/>
              <w:rPr>
                <w:rFonts w:hint="eastAsia" w:ascii="宋体" w:hAnsi="宋体" w:cs="宋体"/>
                <w:b/>
                <w:bCs/>
                <w:kern w:val="0"/>
                <w:szCs w:val="21"/>
              </w:rPr>
            </w:pPr>
          </w:p>
        </w:tc>
        <w:tc>
          <w:tcPr>
            <w:tcW w:w="890" w:type="dxa"/>
            <w:noWrap w:val="0"/>
            <w:vAlign w:val="center"/>
          </w:tcPr>
          <w:p w14:paraId="3F8B193B">
            <w:pPr>
              <w:snapToGrid w:val="0"/>
              <w:spacing w:line="300" w:lineRule="auto"/>
              <w:jc w:val="center"/>
              <w:rPr>
                <w:rFonts w:hint="eastAsia" w:ascii="宋体" w:hAnsi="宋体" w:cs="宋体"/>
                <w:b/>
                <w:bCs/>
                <w:kern w:val="0"/>
                <w:szCs w:val="21"/>
              </w:rPr>
            </w:pPr>
          </w:p>
        </w:tc>
      </w:tr>
      <w:tr w14:paraId="6C098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18" w:type="dxa"/>
            <w:noWrap w:val="0"/>
            <w:vAlign w:val="center"/>
          </w:tcPr>
          <w:p w14:paraId="0284EAF6">
            <w:pPr>
              <w:snapToGrid w:val="0"/>
              <w:spacing w:line="300" w:lineRule="auto"/>
              <w:jc w:val="center"/>
              <w:rPr>
                <w:rFonts w:hint="eastAsia" w:ascii="宋体" w:hAnsi="宋体" w:cs="宋体"/>
                <w:b/>
                <w:bCs/>
                <w:kern w:val="0"/>
                <w:szCs w:val="21"/>
              </w:rPr>
            </w:pPr>
            <w:r>
              <w:rPr>
                <w:rFonts w:hint="eastAsia" w:ascii="宋体" w:hAnsi="宋体" w:cs="宋体"/>
                <w:kern w:val="0"/>
                <w:szCs w:val="21"/>
              </w:rPr>
              <w:t>2</w:t>
            </w:r>
          </w:p>
        </w:tc>
        <w:tc>
          <w:tcPr>
            <w:tcW w:w="2413" w:type="dxa"/>
            <w:noWrap w:val="0"/>
            <w:vAlign w:val="center"/>
          </w:tcPr>
          <w:p w14:paraId="2FBC2A15">
            <w:pPr>
              <w:snapToGrid w:val="0"/>
              <w:spacing w:line="300" w:lineRule="auto"/>
              <w:jc w:val="center"/>
              <w:rPr>
                <w:rFonts w:hint="eastAsia" w:ascii="宋体" w:hAnsi="宋体" w:cs="宋体"/>
                <w:b/>
                <w:bCs/>
                <w:kern w:val="0"/>
                <w:szCs w:val="21"/>
              </w:rPr>
            </w:pPr>
          </w:p>
        </w:tc>
        <w:tc>
          <w:tcPr>
            <w:tcW w:w="1277" w:type="dxa"/>
            <w:noWrap w:val="0"/>
            <w:vAlign w:val="center"/>
          </w:tcPr>
          <w:p w14:paraId="17B11B4D">
            <w:pPr>
              <w:snapToGrid w:val="0"/>
              <w:spacing w:line="300" w:lineRule="auto"/>
              <w:jc w:val="center"/>
              <w:rPr>
                <w:rFonts w:hint="eastAsia" w:ascii="宋体" w:hAnsi="宋体" w:cs="宋体"/>
                <w:b/>
                <w:bCs/>
                <w:kern w:val="0"/>
                <w:szCs w:val="21"/>
              </w:rPr>
            </w:pPr>
          </w:p>
        </w:tc>
        <w:tc>
          <w:tcPr>
            <w:tcW w:w="3122" w:type="dxa"/>
            <w:noWrap w:val="0"/>
            <w:vAlign w:val="center"/>
          </w:tcPr>
          <w:p w14:paraId="4D15A462">
            <w:pPr>
              <w:snapToGrid w:val="0"/>
              <w:spacing w:line="300" w:lineRule="auto"/>
              <w:jc w:val="center"/>
              <w:rPr>
                <w:rFonts w:hint="eastAsia" w:ascii="宋体" w:hAnsi="宋体" w:cs="宋体"/>
                <w:b/>
                <w:bCs/>
                <w:kern w:val="0"/>
                <w:szCs w:val="21"/>
              </w:rPr>
            </w:pPr>
          </w:p>
        </w:tc>
        <w:tc>
          <w:tcPr>
            <w:tcW w:w="890" w:type="dxa"/>
            <w:noWrap w:val="0"/>
            <w:vAlign w:val="center"/>
          </w:tcPr>
          <w:p w14:paraId="6FCAC221">
            <w:pPr>
              <w:snapToGrid w:val="0"/>
              <w:spacing w:line="300" w:lineRule="auto"/>
              <w:jc w:val="center"/>
              <w:rPr>
                <w:rFonts w:hint="eastAsia" w:ascii="宋体" w:hAnsi="宋体" w:cs="宋体"/>
                <w:b/>
                <w:bCs/>
                <w:kern w:val="0"/>
                <w:szCs w:val="21"/>
              </w:rPr>
            </w:pPr>
          </w:p>
        </w:tc>
      </w:tr>
      <w:tr w14:paraId="0D86F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18" w:type="dxa"/>
            <w:noWrap w:val="0"/>
            <w:vAlign w:val="center"/>
          </w:tcPr>
          <w:p w14:paraId="7303C81F">
            <w:pPr>
              <w:snapToGrid w:val="0"/>
              <w:spacing w:line="300" w:lineRule="auto"/>
              <w:jc w:val="center"/>
              <w:rPr>
                <w:rFonts w:hint="eastAsia" w:ascii="宋体" w:hAnsi="宋体" w:cs="宋体"/>
                <w:b/>
                <w:bCs/>
                <w:kern w:val="0"/>
                <w:szCs w:val="21"/>
              </w:rPr>
            </w:pPr>
            <w:r>
              <w:rPr>
                <w:rFonts w:hint="eastAsia" w:ascii="宋体" w:hAnsi="宋体" w:cs="宋体"/>
                <w:kern w:val="0"/>
                <w:szCs w:val="21"/>
              </w:rPr>
              <w:t>3</w:t>
            </w:r>
          </w:p>
        </w:tc>
        <w:tc>
          <w:tcPr>
            <w:tcW w:w="2413" w:type="dxa"/>
            <w:noWrap w:val="0"/>
            <w:vAlign w:val="center"/>
          </w:tcPr>
          <w:p w14:paraId="2D6248B2">
            <w:pPr>
              <w:snapToGrid w:val="0"/>
              <w:spacing w:line="300" w:lineRule="auto"/>
              <w:jc w:val="center"/>
              <w:rPr>
                <w:rFonts w:hint="eastAsia" w:ascii="宋体" w:hAnsi="宋体" w:cs="宋体"/>
                <w:b/>
                <w:bCs/>
                <w:kern w:val="0"/>
                <w:szCs w:val="21"/>
              </w:rPr>
            </w:pPr>
          </w:p>
        </w:tc>
        <w:tc>
          <w:tcPr>
            <w:tcW w:w="1277" w:type="dxa"/>
            <w:noWrap w:val="0"/>
            <w:vAlign w:val="center"/>
          </w:tcPr>
          <w:p w14:paraId="2F3800F7">
            <w:pPr>
              <w:snapToGrid w:val="0"/>
              <w:spacing w:line="300" w:lineRule="auto"/>
              <w:jc w:val="center"/>
              <w:rPr>
                <w:rFonts w:hint="eastAsia" w:ascii="宋体" w:hAnsi="宋体" w:cs="宋体"/>
                <w:b/>
                <w:bCs/>
                <w:kern w:val="0"/>
                <w:szCs w:val="21"/>
              </w:rPr>
            </w:pPr>
          </w:p>
        </w:tc>
        <w:tc>
          <w:tcPr>
            <w:tcW w:w="3122" w:type="dxa"/>
            <w:noWrap w:val="0"/>
            <w:vAlign w:val="center"/>
          </w:tcPr>
          <w:p w14:paraId="0A909020">
            <w:pPr>
              <w:snapToGrid w:val="0"/>
              <w:spacing w:line="300" w:lineRule="auto"/>
              <w:jc w:val="center"/>
              <w:rPr>
                <w:rFonts w:hint="eastAsia" w:ascii="宋体" w:hAnsi="宋体" w:cs="宋体"/>
                <w:b/>
                <w:bCs/>
                <w:kern w:val="0"/>
                <w:szCs w:val="21"/>
              </w:rPr>
            </w:pPr>
          </w:p>
        </w:tc>
        <w:tc>
          <w:tcPr>
            <w:tcW w:w="890" w:type="dxa"/>
            <w:noWrap w:val="0"/>
            <w:vAlign w:val="center"/>
          </w:tcPr>
          <w:p w14:paraId="65B48B72">
            <w:pPr>
              <w:snapToGrid w:val="0"/>
              <w:spacing w:line="300" w:lineRule="auto"/>
              <w:jc w:val="center"/>
              <w:rPr>
                <w:rFonts w:hint="eastAsia" w:ascii="宋体" w:hAnsi="宋体" w:cs="宋体"/>
                <w:b/>
                <w:bCs/>
                <w:kern w:val="0"/>
                <w:szCs w:val="21"/>
              </w:rPr>
            </w:pPr>
          </w:p>
        </w:tc>
      </w:tr>
      <w:tr w14:paraId="7F96A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18" w:type="dxa"/>
            <w:noWrap w:val="0"/>
            <w:vAlign w:val="center"/>
          </w:tcPr>
          <w:p w14:paraId="1E318424">
            <w:pPr>
              <w:snapToGrid w:val="0"/>
              <w:spacing w:line="300" w:lineRule="auto"/>
              <w:jc w:val="center"/>
              <w:rPr>
                <w:rFonts w:hint="eastAsia" w:ascii="宋体" w:hAnsi="宋体" w:cs="宋体"/>
                <w:b/>
                <w:bCs/>
                <w:kern w:val="0"/>
                <w:szCs w:val="21"/>
              </w:rPr>
            </w:pPr>
            <w:r>
              <w:rPr>
                <w:rFonts w:hint="eastAsia" w:ascii="宋体" w:hAnsi="宋体" w:cs="宋体"/>
                <w:kern w:val="0"/>
                <w:szCs w:val="21"/>
              </w:rPr>
              <w:t>……</w:t>
            </w:r>
          </w:p>
        </w:tc>
        <w:tc>
          <w:tcPr>
            <w:tcW w:w="2413" w:type="dxa"/>
            <w:noWrap w:val="0"/>
            <w:vAlign w:val="center"/>
          </w:tcPr>
          <w:p w14:paraId="5E485160">
            <w:pPr>
              <w:snapToGrid w:val="0"/>
              <w:spacing w:line="300" w:lineRule="auto"/>
              <w:jc w:val="center"/>
              <w:rPr>
                <w:rFonts w:hint="eastAsia" w:ascii="宋体" w:hAnsi="宋体" w:cs="宋体"/>
                <w:b/>
                <w:bCs/>
                <w:kern w:val="0"/>
                <w:szCs w:val="21"/>
              </w:rPr>
            </w:pPr>
          </w:p>
        </w:tc>
        <w:tc>
          <w:tcPr>
            <w:tcW w:w="1277" w:type="dxa"/>
            <w:noWrap w:val="0"/>
            <w:vAlign w:val="center"/>
          </w:tcPr>
          <w:p w14:paraId="3ADBC72F">
            <w:pPr>
              <w:snapToGrid w:val="0"/>
              <w:spacing w:line="300" w:lineRule="auto"/>
              <w:jc w:val="center"/>
              <w:rPr>
                <w:rFonts w:hint="eastAsia" w:ascii="宋体" w:hAnsi="宋体" w:cs="宋体"/>
                <w:b/>
                <w:bCs/>
                <w:kern w:val="0"/>
                <w:szCs w:val="21"/>
              </w:rPr>
            </w:pPr>
          </w:p>
        </w:tc>
        <w:tc>
          <w:tcPr>
            <w:tcW w:w="3122" w:type="dxa"/>
            <w:noWrap w:val="0"/>
            <w:vAlign w:val="center"/>
          </w:tcPr>
          <w:p w14:paraId="2D029707">
            <w:pPr>
              <w:snapToGrid w:val="0"/>
              <w:spacing w:line="300" w:lineRule="auto"/>
              <w:jc w:val="center"/>
              <w:rPr>
                <w:rFonts w:hint="eastAsia" w:ascii="宋体" w:hAnsi="宋体" w:cs="宋体"/>
                <w:b/>
                <w:bCs/>
                <w:kern w:val="0"/>
                <w:szCs w:val="21"/>
              </w:rPr>
            </w:pPr>
          </w:p>
        </w:tc>
        <w:tc>
          <w:tcPr>
            <w:tcW w:w="890" w:type="dxa"/>
            <w:noWrap w:val="0"/>
            <w:vAlign w:val="center"/>
          </w:tcPr>
          <w:p w14:paraId="07AD57F2">
            <w:pPr>
              <w:snapToGrid w:val="0"/>
              <w:spacing w:line="300" w:lineRule="auto"/>
              <w:jc w:val="center"/>
              <w:rPr>
                <w:rFonts w:hint="eastAsia" w:ascii="宋体" w:hAnsi="宋体" w:cs="宋体"/>
                <w:b/>
                <w:bCs/>
                <w:kern w:val="0"/>
                <w:szCs w:val="21"/>
              </w:rPr>
            </w:pPr>
          </w:p>
        </w:tc>
      </w:tr>
    </w:tbl>
    <w:p w14:paraId="668683C3">
      <w:pPr>
        <w:snapToGrid w:val="0"/>
        <w:spacing w:line="300" w:lineRule="auto"/>
        <w:jc w:val="left"/>
        <w:rPr>
          <w:rFonts w:ascii="宋体" w:hAnsi="宋体"/>
          <w:szCs w:val="21"/>
        </w:rPr>
      </w:pPr>
    </w:p>
    <w:p w14:paraId="6D4FCD26">
      <w:pPr>
        <w:snapToGrid w:val="0"/>
        <w:spacing w:line="300" w:lineRule="auto"/>
        <w:jc w:val="left"/>
        <w:rPr>
          <w:rFonts w:hint="eastAsia" w:ascii="宋体" w:hAnsi="宋体"/>
          <w:szCs w:val="21"/>
        </w:rPr>
      </w:pPr>
      <w:r>
        <w:rPr>
          <w:rFonts w:hint="eastAsia" w:ascii="宋体" w:hAnsi="宋体"/>
          <w:szCs w:val="21"/>
        </w:rPr>
        <w:t>注：</w:t>
      </w:r>
    </w:p>
    <w:p w14:paraId="2FE0C3AF">
      <w:pPr>
        <w:snapToGrid w:val="0"/>
        <w:spacing w:line="300" w:lineRule="auto"/>
        <w:ind w:firstLine="420" w:firstLineChars="200"/>
        <w:jc w:val="left"/>
        <w:rPr>
          <w:rFonts w:hint="eastAsia" w:ascii="宋体" w:hAnsi="宋体"/>
          <w:szCs w:val="21"/>
        </w:rPr>
      </w:pPr>
      <w:r>
        <w:rPr>
          <w:rFonts w:hint="eastAsia" w:ascii="宋体" w:hAnsi="宋体"/>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D97EA66">
      <w:pPr>
        <w:snapToGrid w:val="0"/>
        <w:spacing w:line="300" w:lineRule="auto"/>
        <w:ind w:firstLine="420" w:firstLineChars="200"/>
        <w:jc w:val="left"/>
        <w:rPr>
          <w:rFonts w:hint="eastAsia" w:ascii="宋体" w:hAnsi="宋体"/>
          <w:szCs w:val="21"/>
        </w:rPr>
      </w:pPr>
      <w:r>
        <w:rPr>
          <w:rFonts w:hint="eastAsia" w:ascii="宋体" w:hAnsi="宋体"/>
          <w:szCs w:val="21"/>
        </w:rPr>
        <w:t>2.本表所指的控股关系仅限于直接控股关系，不包括间接的控股关系。公司实际控制人与公司之间的关系不属于本表所指的直接控股关系。</w:t>
      </w:r>
    </w:p>
    <w:p w14:paraId="131B43AE">
      <w:pPr>
        <w:snapToGrid w:val="0"/>
        <w:spacing w:line="300" w:lineRule="auto"/>
        <w:ind w:firstLine="420" w:firstLineChars="200"/>
        <w:jc w:val="left"/>
        <w:rPr>
          <w:rFonts w:hint="eastAsia" w:ascii="宋体" w:hAnsi="宋体"/>
          <w:szCs w:val="21"/>
        </w:rPr>
      </w:pPr>
      <w:r>
        <w:rPr>
          <w:rFonts w:hint="eastAsia" w:ascii="宋体" w:hAnsi="宋体"/>
          <w:szCs w:val="21"/>
        </w:rPr>
        <w:t>3.供应商不存在直接控股股东的，则填“无”。</w:t>
      </w:r>
    </w:p>
    <w:p w14:paraId="6179D4D5">
      <w:pPr>
        <w:snapToGrid w:val="0"/>
        <w:spacing w:line="300" w:lineRule="auto"/>
        <w:jc w:val="left"/>
        <w:rPr>
          <w:rFonts w:hint="eastAsia" w:ascii="宋体" w:hAnsi="宋体"/>
          <w:szCs w:val="21"/>
        </w:rPr>
      </w:pPr>
    </w:p>
    <w:p w14:paraId="4569F1D6">
      <w:pPr>
        <w:snapToGrid w:val="0"/>
        <w:spacing w:line="300" w:lineRule="auto"/>
        <w:jc w:val="left"/>
        <w:rPr>
          <w:rFonts w:hint="eastAsia" w:ascii="宋体" w:hAnsi="宋体"/>
          <w:szCs w:val="21"/>
        </w:rPr>
      </w:pPr>
    </w:p>
    <w:p w14:paraId="16A0BB15">
      <w:pPr>
        <w:spacing w:line="400" w:lineRule="exact"/>
        <w:ind w:firstLine="1155" w:firstLineChars="550"/>
        <w:rPr>
          <w:rFonts w:hint="eastAsia" w:ascii="宋体" w:hAnsi="宋体" w:cs="宋体"/>
          <w:szCs w:val="21"/>
        </w:rPr>
      </w:pPr>
      <w:r>
        <w:rPr>
          <w:rFonts w:hint="eastAsia" w:ascii="宋体" w:hAnsi="宋体" w:cs="宋体"/>
          <w:szCs w:val="21"/>
        </w:rPr>
        <w:t>竞标人名称（CA电子签章）：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0D56992B">
      <w:pPr>
        <w:spacing w:line="500" w:lineRule="exact"/>
        <w:ind w:firstLine="1155" w:firstLineChars="550"/>
        <w:rPr>
          <w:rFonts w:hint="eastAsia" w:ascii="宋体" w:hAnsi="宋体" w:cs="宋体"/>
          <w:szCs w:val="21"/>
          <w:u w:val="single"/>
        </w:rPr>
      </w:pPr>
      <w:r>
        <w:rPr>
          <w:rFonts w:hint="eastAsia" w:ascii="宋体" w:hAnsi="宋体" w:cs="宋体"/>
          <w:szCs w:val="21"/>
        </w:rPr>
        <w:t>法定代表人或委托代理人（签字或加盖CA电子签字章）：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30620E97">
      <w:pPr>
        <w:pStyle w:val="13"/>
        <w:spacing w:line="400" w:lineRule="exact"/>
        <w:ind w:left="420" w:firstLine="4500" w:firstLineChars="2250"/>
        <w:jc w:val="right"/>
        <w:rPr>
          <w:rFonts w:hAnsi="宋体" w:cs="宋体"/>
        </w:rPr>
      </w:pPr>
      <w:r>
        <w:rPr>
          <w:rFonts w:hint="eastAsia" w:hAnsi="宋体" w:cs="宋体"/>
        </w:rPr>
        <w:t>日期：  年  月  日</w:t>
      </w:r>
    </w:p>
    <w:p w14:paraId="318C53EF">
      <w:pPr>
        <w:snapToGrid w:val="0"/>
        <w:spacing w:line="300" w:lineRule="auto"/>
        <w:jc w:val="center"/>
        <w:rPr>
          <w:rFonts w:hint="eastAsia" w:ascii="宋体" w:hAnsi="宋体"/>
          <w:b/>
          <w:sz w:val="32"/>
          <w:szCs w:val="32"/>
        </w:rPr>
      </w:pPr>
    </w:p>
    <w:p w14:paraId="71DDFDE1">
      <w:pPr>
        <w:snapToGrid w:val="0"/>
        <w:spacing w:line="300" w:lineRule="auto"/>
        <w:jc w:val="center"/>
        <w:rPr>
          <w:rFonts w:hint="eastAsia" w:ascii="宋体" w:hAnsi="宋体"/>
          <w:b/>
          <w:sz w:val="32"/>
          <w:szCs w:val="32"/>
        </w:rPr>
      </w:pPr>
    </w:p>
    <w:p w14:paraId="1A204137">
      <w:pPr>
        <w:snapToGrid w:val="0"/>
        <w:spacing w:line="300" w:lineRule="auto"/>
        <w:jc w:val="center"/>
        <w:rPr>
          <w:rFonts w:hint="eastAsia" w:ascii="宋体" w:hAnsi="宋体"/>
          <w:b/>
          <w:sz w:val="32"/>
          <w:szCs w:val="32"/>
        </w:rPr>
      </w:pPr>
    </w:p>
    <w:p w14:paraId="4E8151ED">
      <w:pPr>
        <w:snapToGrid w:val="0"/>
        <w:spacing w:line="300" w:lineRule="auto"/>
        <w:jc w:val="center"/>
        <w:rPr>
          <w:rFonts w:hint="eastAsia" w:ascii="宋体" w:hAnsi="宋体"/>
          <w:b/>
          <w:sz w:val="32"/>
          <w:szCs w:val="32"/>
        </w:rPr>
      </w:pPr>
    </w:p>
    <w:p w14:paraId="1F804264">
      <w:pPr>
        <w:pStyle w:val="4"/>
        <w:spacing w:line="360" w:lineRule="auto"/>
        <w:jc w:val="center"/>
        <w:rPr>
          <w:rFonts w:hint="eastAsia" w:ascii="宋体" w:hAnsi="宋体"/>
          <w:sz w:val="32"/>
          <w:szCs w:val="32"/>
        </w:rPr>
      </w:pPr>
      <w:r>
        <w:rPr>
          <w:rFonts w:ascii="宋体" w:hAnsi="宋体"/>
          <w:b w:val="0"/>
          <w:sz w:val="24"/>
        </w:rPr>
        <w:br w:type="page"/>
      </w:r>
      <w:bookmarkStart w:id="252" w:name="_Toc11209"/>
      <w:bookmarkStart w:id="253" w:name="_Toc2686"/>
      <w:r>
        <w:rPr>
          <w:rFonts w:hint="eastAsia" w:ascii="宋体" w:hAnsi="宋体"/>
          <w:sz w:val="32"/>
          <w:szCs w:val="32"/>
          <w:lang w:val="en-US" w:eastAsia="zh-CN"/>
        </w:rPr>
        <w:t>4.</w:t>
      </w:r>
      <w:bookmarkEnd w:id="252"/>
      <w:bookmarkEnd w:id="253"/>
      <w:r>
        <w:rPr>
          <w:rFonts w:hint="eastAsia" w:ascii="宋体" w:hAnsi="宋体"/>
          <w:b/>
          <w:sz w:val="32"/>
          <w:szCs w:val="32"/>
        </w:rPr>
        <w:t>竞标人直接管理关系信息表</w:t>
      </w:r>
    </w:p>
    <w:tbl>
      <w:tblPr>
        <w:tblStyle w:val="20"/>
        <w:tblW w:w="8490" w:type="dxa"/>
        <w:tblInd w:w="125" w:type="dxa"/>
        <w:tblLayout w:type="fixed"/>
        <w:tblCellMar>
          <w:top w:w="0" w:type="dxa"/>
          <w:left w:w="0" w:type="dxa"/>
          <w:bottom w:w="0" w:type="dxa"/>
          <w:right w:w="0" w:type="dxa"/>
        </w:tblCellMar>
      </w:tblPr>
      <w:tblGrid>
        <w:gridCol w:w="1006"/>
        <w:gridCol w:w="2661"/>
        <w:gridCol w:w="3404"/>
        <w:gridCol w:w="1419"/>
      </w:tblGrid>
      <w:tr w14:paraId="6393F384">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849D5F6">
            <w:pPr>
              <w:spacing w:line="300" w:lineRule="auto"/>
              <w:jc w:val="center"/>
              <w:rPr>
                <w:rFonts w:hint="eastAsia" w:ascii="宋体" w:hAnsi="宋体" w:cs="宋体"/>
                <w:b/>
                <w:bCs/>
                <w:kern w:val="0"/>
                <w:szCs w:val="21"/>
              </w:rPr>
            </w:pPr>
            <w:r>
              <w:rPr>
                <w:rFonts w:hint="eastAsia" w:ascii="宋体" w:hAnsi="宋体" w:cs="宋体"/>
                <w:b/>
                <w:bCs/>
                <w:kern w:val="0"/>
                <w:szCs w:val="21"/>
              </w:rPr>
              <w:t>序号</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E2FD99D">
            <w:pPr>
              <w:spacing w:line="300" w:lineRule="auto"/>
              <w:jc w:val="center"/>
              <w:rPr>
                <w:rFonts w:hint="eastAsia" w:ascii="宋体" w:hAnsi="宋体" w:cs="宋体"/>
                <w:b/>
                <w:bCs/>
                <w:kern w:val="0"/>
                <w:szCs w:val="21"/>
              </w:rPr>
            </w:pPr>
            <w:r>
              <w:rPr>
                <w:rFonts w:hint="eastAsia" w:ascii="宋体" w:hAnsi="宋体" w:cs="宋体"/>
                <w:b/>
                <w:bCs/>
                <w:kern w:val="0"/>
                <w:szCs w:val="21"/>
              </w:rPr>
              <w:t>直接管理关系单位名称</w:t>
            </w:r>
          </w:p>
        </w:tc>
        <w:tc>
          <w:tcPr>
            <w:tcW w:w="340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42668F9">
            <w:pPr>
              <w:spacing w:line="300" w:lineRule="auto"/>
              <w:jc w:val="center"/>
              <w:rPr>
                <w:rFonts w:hint="eastAsia" w:ascii="宋体" w:hAnsi="宋体" w:cs="宋体"/>
                <w:b/>
                <w:bCs/>
                <w:kern w:val="0"/>
                <w:szCs w:val="21"/>
              </w:rPr>
            </w:pPr>
            <w:r>
              <w:rPr>
                <w:rFonts w:hint="eastAsia" w:ascii="宋体" w:hAnsi="宋体" w:cs="宋体"/>
                <w:b/>
                <w:bCs/>
                <w:kern w:val="0"/>
                <w:szCs w:val="21"/>
              </w:rPr>
              <w:t>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1004EE5">
            <w:pPr>
              <w:spacing w:line="300" w:lineRule="auto"/>
              <w:jc w:val="center"/>
              <w:rPr>
                <w:rFonts w:hint="eastAsia" w:ascii="宋体" w:hAnsi="宋体" w:cs="宋体"/>
                <w:b/>
                <w:bCs/>
                <w:kern w:val="0"/>
                <w:szCs w:val="21"/>
              </w:rPr>
            </w:pPr>
            <w:r>
              <w:rPr>
                <w:rFonts w:hint="eastAsia" w:ascii="宋体" w:hAnsi="宋体" w:cs="宋体"/>
                <w:b/>
                <w:bCs/>
                <w:kern w:val="0"/>
                <w:szCs w:val="21"/>
              </w:rPr>
              <w:t>备注</w:t>
            </w:r>
          </w:p>
        </w:tc>
      </w:tr>
      <w:tr w14:paraId="175741E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FE4BD51">
            <w:pPr>
              <w:spacing w:line="300" w:lineRule="auto"/>
              <w:jc w:val="center"/>
              <w:rPr>
                <w:rFonts w:hint="eastAsia" w:ascii="宋体" w:hAnsi="宋体" w:cs="宋体"/>
                <w:kern w:val="0"/>
                <w:szCs w:val="21"/>
              </w:rPr>
            </w:pPr>
            <w:r>
              <w:rPr>
                <w:rFonts w:hint="eastAsia" w:ascii="宋体" w:hAnsi="宋体" w:cs="宋体"/>
                <w:kern w:val="0"/>
                <w:szCs w:val="21"/>
              </w:rPr>
              <w:t>1</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6DE13EF">
            <w:pPr>
              <w:spacing w:line="300" w:lineRule="auto"/>
              <w:jc w:val="center"/>
              <w:rPr>
                <w:rFonts w:hint="eastAsia" w:ascii="宋体" w:hAnsi="宋体" w:cs="宋体"/>
                <w:kern w:val="0"/>
                <w:szCs w:val="21"/>
              </w:rPr>
            </w:pPr>
          </w:p>
        </w:tc>
        <w:tc>
          <w:tcPr>
            <w:tcW w:w="340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23A014E">
            <w:pPr>
              <w:spacing w:line="300" w:lineRule="auto"/>
              <w:jc w:val="center"/>
              <w:rPr>
                <w:rFonts w:hint="eastAsia" w:ascii="宋体" w:hAnsi="宋体" w:cs="宋体"/>
                <w:kern w:val="0"/>
                <w:szCs w:val="21"/>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FC60606">
            <w:pPr>
              <w:spacing w:line="300" w:lineRule="auto"/>
              <w:jc w:val="center"/>
              <w:rPr>
                <w:rFonts w:hint="eastAsia" w:ascii="宋体" w:hAnsi="宋体" w:cs="宋体"/>
                <w:kern w:val="0"/>
                <w:szCs w:val="21"/>
              </w:rPr>
            </w:pPr>
          </w:p>
        </w:tc>
      </w:tr>
      <w:tr w14:paraId="42CAF6E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242A5B9">
            <w:pPr>
              <w:spacing w:line="300" w:lineRule="auto"/>
              <w:jc w:val="center"/>
              <w:rPr>
                <w:rFonts w:hint="eastAsia" w:ascii="宋体" w:hAnsi="宋体" w:cs="宋体"/>
                <w:kern w:val="0"/>
                <w:szCs w:val="21"/>
              </w:rPr>
            </w:pPr>
            <w:r>
              <w:rPr>
                <w:rFonts w:hint="eastAsia" w:ascii="宋体" w:hAnsi="宋体" w:cs="宋体"/>
                <w:kern w:val="0"/>
                <w:szCs w:val="21"/>
              </w:rPr>
              <w:t>2</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5C300A0">
            <w:pPr>
              <w:spacing w:line="300" w:lineRule="auto"/>
              <w:jc w:val="center"/>
              <w:rPr>
                <w:rFonts w:hint="eastAsia" w:ascii="宋体" w:hAnsi="宋体" w:cs="宋体"/>
                <w:kern w:val="0"/>
                <w:szCs w:val="21"/>
              </w:rPr>
            </w:pPr>
          </w:p>
        </w:tc>
        <w:tc>
          <w:tcPr>
            <w:tcW w:w="340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50DAB74">
            <w:pPr>
              <w:spacing w:line="300" w:lineRule="auto"/>
              <w:jc w:val="center"/>
              <w:rPr>
                <w:rFonts w:hint="eastAsia" w:ascii="宋体" w:hAnsi="宋体" w:cs="宋体"/>
                <w:kern w:val="0"/>
                <w:szCs w:val="21"/>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04B425C">
            <w:pPr>
              <w:spacing w:line="300" w:lineRule="auto"/>
              <w:jc w:val="center"/>
              <w:rPr>
                <w:rFonts w:hint="eastAsia" w:ascii="宋体" w:hAnsi="宋体" w:cs="宋体"/>
                <w:kern w:val="0"/>
                <w:szCs w:val="21"/>
              </w:rPr>
            </w:pPr>
          </w:p>
        </w:tc>
      </w:tr>
      <w:tr w14:paraId="624852F4">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7F586C0">
            <w:pPr>
              <w:spacing w:line="300" w:lineRule="auto"/>
              <w:jc w:val="center"/>
              <w:rPr>
                <w:rFonts w:hint="eastAsia" w:ascii="宋体" w:hAnsi="宋体" w:cs="宋体"/>
                <w:kern w:val="0"/>
                <w:szCs w:val="21"/>
              </w:rPr>
            </w:pPr>
            <w:r>
              <w:rPr>
                <w:rFonts w:hint="eastAsia" w:ascii="宋体" w:hAnsi="宋体" w:cs="宋体"/>
                <w:kern w:val="0"/>
                <w:szCs w:val="21"/>
              </w:rPr>
              <w:t>3</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2A8D7D9">
            <w:pPr>
              <w:spacing w:line="300" w:lineRule="auto"/>
              <w:jc w:val="center"/>
              <w:rPr>
                <w:rFonts w:hint="eastAsia" w:ascii="宋体" w:hAnsi="宋体" w:cs="宋体"/>
                <w:kern w:val="0"/>
                <w:szCs w:val="21"/>
              </w:rPr>
            </w:pPr>
          </w:p>
        </w:tc>
        <w:tc>
          <w:tcPr>
            <w:tcW w:w="340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B734263">
            <w:pPr>
              <w:spacing w:line="300" w:lineRule="auto"/>
              <w:jc w:val="center"/>
              <w:rPr>
                <w:rFonts w:hint="eastAsia" w:ascii="宋体" w:hAnsi="宋体" w:cs="宋体"/>
                <w:kern w:val="0"/>
                <w:szCs w:val="21"/>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D9D9E76">
            <w:pPr>
              <w:spacing w:line="300" w:lineRule="auto"/>
              <w:jc w:val="center"/>
              <w:rPr>
                <w:rFonts w:hint="eastAsia" w:ascii="宋体" w:hAnsi="宋体" w:cs="宋体"/>
                <w:kern w:val="0"/>
                <w:szCs w:val="21"/>
              </w:rPr>
            </w:pPr>
          </w:p>
        </w:tc>
      </w:tr>
      <w:tr w14:paraId="301514C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98812F0">
            <w:pPr>
              <w:spacing w:line="300" w:lineRule="auto"/>
              <w:jc w:val="center"/>
              <w:rPr>
                <w:rFonts w:hint="eastAsia" w:ascii="宋体" w:hAnsi="宋体" w:cs="宋体"/>
                <w:kern w:val="0"/>
                <w:szCs w:val="21"/>
              </w:rPr>
            </w:pPr>
            <w:r>
              <w:rPr>
                <w:rFonts w:hint="eastAsia" w:ascii="宋体" w:hAnsi="宋体" w:cs="宋体"/>
                <w:kern w:val="0"/>
                <w:szCs w:val="21"/>
              </w:rPr>
              <w:t>……</w:t>
            </w:r>
          </w:p>
        </w:tc>
        <w:tc>
          <w:tcPr>
            <w:tcW w:w="265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4B440EE">
            <w:pPr>
              <w:spacing w:line="300" w:lineRule="auto"/>
              <w:jc w:val="center"/>
              <w:rPr>
                <w:rFonts w:hint="eastAsia" w:ascii="宋体" w:hAnsi="宋体" w:cs="宋体"/>
                <w:kern w:val="0"/>
                <w:szCs w:val="21"/>
              </w:rPr>
            </w:pPr>
          </w:p>
        </w:tc>
        <w:tc>
          <w:tcPr>
            <w:tcW w:w="340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4803D9F">
            <w:pPr>
              <w:spacing w:line="300" w:lineRule="auto"/>
              <w:jc w:val="center"/>
              <w:rPr>
                <w:rFonts w:hint="eastAsia" w:ascii="宋体" w:hAnsi="宋体" w:cs="宋体"/>
                <w:kern w:val="0"/>
                <w:szCs w:val="21"/>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F1589C1">
            <w:pPr>
              <w:spacing w:line="300" w:lineRule="auto"/>
              <w:jc w:val="center"/>
              <w:rPr>
                <w:rFonts w:hint="eastAsia" w:ascii="宋体" w:hAnsi="宋体" w:cs="宋体"/>
                <w:kern w:val="0"/>
                <w:szCs w:val="21"/>
              </w:rPr>
            </w:pPr>
          </w:p>
        </w:tc>
      </w:tr>
    </w:tbl>
    <w:p w14:paraId="7D0326F3">
      <w:pPr>
        <w:snapToGrid w:val="0"/>
        <w:spacing w:line="300" w:lineRule="auto"/>
        <w:jc w:val="left"/>
        <w:rPr>
          <w:rFonts w:hint="eastAsia" w:ascii="宋体" w:hAnsi="宋体"/>
          <w:szCs w:val="21"/>
        </w:rPr>
      </w:pPr>
      <w:r>
        <w:rPr>
          <w:rFonts w:hint="eastAsia" w:ascii="宋体" w:hAnsi="宋体"/>
          <w:szCs w:val="21"/>
        </w:rPr>
        <w:t>注：</w:t>
      </w:r>
    </w:p>
    <w:p w14:paraId="349E133E">
      <w:pPr>
        <w:snapToGrid w:val="0"/>
        <w:spacing w:line="300" w:lineRule="auto"/>
        <w:ind w:firstLine="420" w:firstLineChars="200"/>
        <w:jc w:val="left"/>
        <w:rPr>
          <w:rFonts w:hint="eastAsia" w:ascii="宋体" w:hAnsi="宋体"/>
          <w:szCs w:val="21"/>
        </w:rPr>
      </w:pPr>
      <w:r>
        <w:rPr>
          <w:rFonts w:hint="eastAsia" w:ascii="宋体" w:hAnsi="宋体"/>
          <w:szCs w:val="21"/>
        </w:rPr>
        <w:t>1.管理关系：是指不具有出资持股关系的其他单位之间存在的管理与被管理关系，如一些上下级关系的事业单位和团体组织。</w:t>
      </w:r>
    </w:p>
    <w:p w14:paraId="0C25CD07">
      <w:pPr>
        <w:snapToGrid w:val="0"/>
        <w:spacing w:line="300" w:lineRule="auto"/>
        <w:ind w:firstLine="420" w:firstLineChars="200"/>
        <w:jc w:val="left"/>
        <w:rPr>
          <w:rFonts w:hint="eastAsia" w:ascii="宋体" w:hAnsi="宋体"/>
          <w:szCs w:val="21"/>
        </w:rPr>
      </w:pPr>
      <w:r>
        <w:rPr>
          <w:rFonts w:hint="eastAsia" w:ascii="宋体" w:hAnsi="宋体"/>
          <w:szCs w:val="21"/>
        </w:rPr>
        <w:t>2.</w:t>
      </w:r>
      <w:r>
        <w:rPr>
          <w:rFonts w:hint="eastAsia" w:ascii="宋体" w:hAnsi="宋体"/>
          <w:spacing w:val="-6"/>
          <w:szCs w:val="21"/>
        </w:rPr>
        <w:t>本表所指的管理关系仅限于直接管理关系，不包括间接的管理关系。</w:t>
      </w:r>
    </w:p>
    <w:p w14:paraId="44946E1E">
      <w:pPr>
        <w:snapToGrid w:val="0"/>
        <w:spacing w:line="300" w:lineRule="auto"/>
        <w:ind w:firstLine="420" w:firstLineChars="200"/>
        <w:jc w:val="left"/>
        <w:rPr>
          <w:rFonts w:hint="eastAsia" w:ascii="宋体" w:hAnsi="宋体"/>
          <w:szCs w:val="21"/>
        </w:rPr>
      </w:pPr>
      <w:r>
        <w:rPr>
          <w:rFonts w:hint="eastAsia" w:ascii="宋体" w:hAnsi="宋体"/>
          <w:szCs w:val="21"/>
        </w:rPr>
        <w:t>3.供应商不存在直接管理关系的，则填“无”。</w:t>
      </w:r>
    </w:p>
    <w:p w14:paraId="52C0696E">
      <w:pPr>
        <w:snapToGrid w:val="0"/>
        <w:spacing w:line="300" w:lineRule="auto"/>
        <w:jc w:val="left"/>
        <w:rPr>
          <w:rFonts w:hint="eastAsia" w:ascii="宋体" w:hAnsi="宋体"/>
          <w:sz w:val="24"/>
        </w:rPr>
      </w:pPr>
    </w:p>
    <w:p w14:paraId="38F010A5">
      <w:pPr>
        <w:snapToGrid w:val="0"/>
        <w:spacing w:line="300" w:lineRule="auto"/>
        <w:jc w:val="left"/>
        <w:rPr>
          <w:rFonts w:hint="eastAsia" w:ascii="宋体" w:hAnsi="宋体"/>
          <w:sz w:val="24"/>
        </w:rPr>
      </w:pPr>
    </w:p>
    <w:p w14:paraId="4FEF869C">
      <w:pPr>
        <w:spacing w:line="400" w:lineRule="exact"/>
        <w:ind w:firstLine="1155" w:firstLineChars="550"/>
        <w:rPr>
          <w:rFonts w:hint="eastAsia" w:ascii="宋体" w:hAnsi="宋体" w:cs="宋体"/>
          <w:szCs w:val="21"/>
        </w:rPr>
      </w:pPr>
      <w:r>
        <w:rPr>
          <w:rFonts w:hint="eastAsia" w:ascii="宋体" w:hAnsi="宋体" w:cs="宋体"/>
          <w:szCs w:val="21"/>
        </w:rPr>
        <w:t>竞标人名称（CA电子签章）：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219D8D05">
      <w:pPr>
        <w:spacing w:line="500" w:lineRule="exact"/>
        <w:ind w:firstLine="1155" w:firstLineChars="550"/>
        <w:rPr>
          <w:rFonts w:hint="eastAsia" w:ascii="宋体" w:hAnsi="宋体" w:cs="宋体"/>
          <w:szCs w:val="21"/>
          <w:u w:val="single"/>
        </w:rPr>
      </w:pPr>
      <w:r>
        <w:rPr>
          <w:rFonts w:hint="eastAsia" w:ascii="宋体" w:hAnsi="宋体" w:cs="宋体"/>
          <w:szCs w:val="21"/>
        </w:rPr>
        <w:t>法定代表人或委托代理人（签字或加盖CA电子签字章）：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4D625D0A">
      <w:pPr>
        <w:pStyle w:val="13"/>
        <w:spacing w:line="400" w:lineRule="exact"/>
        <w:ind w:left="420" w:firstLine="4500" w:firstLineChars="2250"/>
        <w:jc w:val="right"/>
        <w:rPr>
          <w:rFonts w:hAnsi="宋体" w:cs="宋体"/>
        </w:rPr>
      </w:pPr>
      <w:r>
        <w:rPr>
          <w:rFonts w:hint="eastAsia" w:hAnsi="宋体" w:cs="宋体"/>
        </w:rPr>
        <w:t>日期：  年  月  日</w:t>
      </w:r>
    </w:p>
    <w:p w14:paraId="3EF3D731">
      <w:pPr>
        <w:snapToGrid w:val="0"/>
        <w:spacing w:before="156" w:beforeLines="50" w:after="50" w:line="300" w:lineRule="auto"/>
        <w:jc w:val="left"/>
        <w:rPr>
          <w:rFonts w:hint="eastAsia" w:ascii="宋体" w:hAnsi="宋体"/>
          <w:b/>
          <w:sz w:val="24"/>
          <w:szCs w:val="20"/>
        </w:rPr>
      </w:pPr>
    </w:p>
    <w:p w14:paraId="751B5F51">
      <w:pPr>
        <w:pStyle w:val="14"/>
        <w:rPr>
          <w:rFonts w:hint="eastAsia" w:ascii="宋体" w:hAnsi="宋体"/>
        </w:rPr>
      </w:pPr>
    </w:p>
    <w:p w14:paraId="15AF573E">
      <w:pPr>
        <w:pStyle w:val="14"/>
        <w:rPr>
          <w:rFonts w:ascii="宋体" w:hAnsi="宋体"/>
        </w:rPr>
      </w:pPr>
    </w:p>
    <w:p w14:paraId="3422AC21">
      <w:pPr>
        <w:pStyle w:val="14"/>
        <w:rPr>
          <w:rFonts w:ascii="宋体" w:hAnsi="宋体"/>
        </w:rPr>
      </w:pPr>
    </w:p>
    <w:p w14:paraId="4B45628D">
      <w:pPr>
        <w:pStyle w:val="14"/>
        <w:rPr>
          <w:rFonts w:ascii="宋体" w:hAnsi="宋体"/>
          <w:b/>
          <w:bCs/>
          <w:sz w:val="28"/>
          <w:szCs w:val="28"/>
        </w:rPr>
      </w:pPr>
    </w:p>
    <w:p w14:paraId="19CAEAF9">
      <w:pPr>
        <w:pStyle w:val="14"/>
        <w:rPr>
          <w:rFonts w:ascii="宋体" w:hAnsi="宋体"/>
        </w:rPr>
      </w:pPr>
    </w:p>
    <w:p w14:paraId="56D92CAC">
      <w:pPr>
        <w:pStyle w:val="14"/>
        <w:rPr>
          <w:rFonts w:ascii="宋体" w:hAnsi="宋体"/>
        </w:rPr>
      </w:pPr>
    </w:p>
    <w:p w14:paraId="0773DCB3">
      <w:pPr>
        <w:pStyle w:val="14"/>
        <w:rPr>
          <w:rFonts w:ascii="宋体" w:hAnsi="宋体"/>
        </w:rPr>
      </w:pPr>
    </w:p>
    <w:p w14:paraId="7C77635E">
      <w:pPr>
        <w:pStyle w:val="14"/>
        <w:rPr>
          <w:rFonts w:ascii="宋体" w:hAnsi="宋体"/>
        </w:rPr>
      </w:pPr>
    </w:p>
    <w:p w14:paraId="2E1E55CC">
      <w:pPr>
        <w:pStyle w:val="14"/>
        <w:rPr>
          <w:rFonts w:ascii="宋体" w:hAnsi="宋体"/>
        </w:rPr>
      </w:pPr>
    </w:p>
    <w:p w14:paraId="21281164">
      <w:pPr>
        <w:pStyle w:val="14"/>
        <w:rPr>
          <w:rFonts w:ascii="宋体" w:hAnsi="宋体"/>
        </w:rPr>
      </w:pPr>
    </w:p>
    <w:p w14:paraId="0B921E42">
      <w:pPr>
        <w:pStyle w:val="9"/>
        <w:rPr>
          <w:rFonts w:hint="eastAsia" w:ascii="宋体" w:hAnsi="宋体"/>
          <w:szCs w:val="21"/>
        </w:rPr>
      </w:pPr>
    </w:p>
    <w:p w14:paraId="069ACAEC">
      <w:pPr>
        <w:snapToGrid w:val="0"/>
        <w:spacing w:line="300" w:lineRule="auto"/>
        <w:jc w:val="left"/>
        <w:rPr>
          <w:rFonts w:hint="eastAsia" w:ascii="宋体" w:hAnsi="宋体"/>
          <w:sz w:val="24"/>
        </w:rPr>
      </w:pPr>
      <w:r>
        <w:rPr>
          <w:rFonts w:ascii="宋体" w:hAnsi="宋体"/>
          <w:sz w:val="24"/>
        </w:rPr>
        <w:br w:type="page"/>
      </w:r>
    </w:p>
    <w:p w14:paraId="42DA6424">
      <w:pPr>
        <w:pStyle w:val="4"/>
        <w:spacing w:line="360" w:lineRule="auto"/>
        <w:jc w:val="center"/>
        <w:rPr>
          <w:rFonts w:ascii="宋体" w:hAnsi="宋体"/>
          <w:b/>
          <w:sz w:val="30"/>
        </w:rPr>
      </w:pPr>
      <w:bookmarkStart w:id="254" w:name="_Toc2846"/>
      <w:bookmarkStart w:id="255" w:name="_Toc29596"/>
      <w:r>
        <w:rPr>
          <w:rFonts w:hint="eastAsia" w:ascii="宋体" w:hAnsi="宋体"/>
          <w:sz w:val="32"/>
          <w:szCs w:val="32"/>
        </w:rPr>
        <w:t>5、</w:t>
      </w:r>
      <w:bookmarkEnd w:id="254"/>
      <w:bookmarkEnd w:id="255"/>
      <w:r>
        <w:rPr>
          <w:rFonts w:hint="eastAsia" w:ascii="宋体" w:hAnsi="宋体"/>
          <w:b/>
          <w:sz w:val="30"/>
        </w:rPr>
        <w:t>竞标声明书</w:t>
      </w:r>
    </w:p>
    <w:p w14:paraId="6FE16124">
      <w:pPr>
        <w:autoSpaceDE w:val="0"/>
        <w:autoSpaceDN w:val="0"/>
        <w:adjustRightInd w:val="0"/>
        <w:spacing w:line="300" w:lineRule="exact"/>
        <w:jc w:val="left"/>
        <w:rPr>
          <w:rFonts w:ascii="宋体" w:hAnsi="宋体" w:cs="宋体"/>
          <w:kern w:val="0"/>
          <w:szCs w:val="21"/>
        </w:rPr>
      </w:pPr>
      <w:r>
        <w:rPr>
          <w:rFonts w:hint="eastAsia" w:ascii="宋体" w:hAnsi="宋体" w:cs="宋体"/>
          <w:kern w:val="0"/>
          <w:szCs w:val="21"/>
        </w:rPr>
        <w:t>致：</w:t>
      </w:r>
      <w:r>
        <w:rPr>
          <w:rFonts w:ascii="宋体" w:hAnsi="宋体" w:cs="宋体"/>
          <w:kern w:val="0"/>
          <w:szCs w:val="21"/>
          <w:u w:val="single"/>
        </w:rPr>
        <w:t xml:space="preserve"> </w:t>
      </w:r>
      <w:r>
        <w:rPr>
          <w:rFonts w:hint="eastAsia" w:ascii="宋体" w:hAnsi="宋体" w:cs="宋体"/>
          <w:kern w:val="0"/>
          <w:szCs w:val="21"/>
          <w:u w:val="single"/>
        </w:rPr>
        <w:t>（招标采购单位名称）</w:t>
      </w:r>
      <w:r>
        <w:rPr>
          <w:rFonts w:hint="eastAsia" w:ascii="宋体" w:hAnsi="宋体" w:cs="宋体"/>
          <w:kern w:val="0"/>
          <w:szCs w:val="21"/>
        </w:rPr>
        <w:t>：</w:t>
      </w:r>
    </w:p>
    <w:p w14:paraId="6CE9BAE6">
      <w:pPr>
        <w:autoSpaceDE w:val="0"/>
        <w:autoSpaceDN w:val="0"/>
        <w:adjustRightInd w:val="0"/>
        <w:spacing w:line="300" w:lineRule="exact"/>
        <w:ind w:firstLine="420" w:firstLineChars="200"/>
        <w:jc w:val="left"/>
        <w:rPr>
          <w:rFonts w:ascii="宋体" w:hAnsi="宋体" w:cs="宋体"/>
          <w:kern w:val="0"/>
          <w:szCs w:val="21"/>
        </w:rPr>
      </w:pPr>
      <w:r>
        <w:rPr>
          <w:rFonts w:hint="eastAsia" w:ascii="宋体" w:hAnsi="宋体" w:cs="宋体"/>
          <w:kern w:val="0"/>
          <w:szCs w:val="21"/>
        </w:rPr>
        <w:t>我方愿意参加贵方组织的</w:t>
      </w:r>
      <w:r>
        <w:rPr>
          <w:rFonts w:hint="eastAsia" w:ascii="宋体" w:hAnsi="宋体" w:cs="宋体"/>
          <w:kern w:val="0"/>
          <w:szCs w:val="21"/>
          <w:u w:val="single"/>
        </w:rPr>
        <w:t>（项目名称）</w:t>
      </w:r>
      <w:r>
        <w:rPr>
          <w:rFonts w:ascii="宋体" w:hAnsi="宋体" w:cs="宋体"/>
          <w:kern w:val="0"/>
          <w:szCs w:val="21"/>
          <w:u w:val="single"/>
        </w:rPr>
        <w:t xml:space="preserve"> </w:t>
      </w:r>
      <w:r>
        <w:rPr>
          <w:rFonts w:hint="eastAsia" w:ascii="宋体" w:hAnsi="宋体" w:cs="宋体"/>
          <w:kern w:val="0"/>
          <w:szCs w:val="21"/>
        </w:rPr>
        <w:t>项目的竞标，为便于贵方公正、择优地确定中标供应商及其竞标产品和服务，我方就本次竞标有关事项郑重声明如下：</w:t>
      </w:r>
    </w:p>
    <w:p w14:paraId="2FE332C5">
      <w:pPr>
        <w:autoSpaceDE w:val="0"/>
        <w:autoSpaceDN w:val="0"/>
        <w:adjustRightInd w:val="0"/>
        <w:spacing w:line="300" w:lineRule="exact"/>
        <w:ind w:firstLine="420" w:firstLineChars="200"/>
        <w:jc w:val="left"/>
        <w:rPr>
          <w:rFonts w:ascii="宋体" w:hAnsi="宋体" w:cs="宋体"/>
          <w:kern w:val="0"/>
          <w:szCs w:val="21"/>
        </w:rPr>
      </w:pPr>
      <w:r>
        <w:rPr>
          <w:rFonts w:ascii="宋体" w:hAnsi="宋体" w:cs="宋体"/>
          <w:kern w:val="0"/>
          <w:szCs w:val="21"/>
        </w:rPr>
        <w:t>1.</w:t>
      </w:r>
      <w:r>
        <w:rPr>
          <w:rFonts w:hint="eastAsia" w:ascii="宋体" w:hAnsi="宋体" w:cs="宋体"/>
          <w:kern w:val="0"/>
          <w:szCs w:val="21"/>
        </w:rPr>
        <w:t>我方向贵方提交的所有竞标文件、资料都是准确的和真实的。</w:t>
      </w:r>
    </w:p>
    <w:p w14:paraId="3B423514">
      <w:pPr>
        <w:autoSpaceDE w:val="0"/>
        <w:autoSpaceDN w:val="0"/>
        <w:adjustRightInd w:val="0"/>
        <w:spacing w:line="300" w:lineRule="exact"/>
        <w:ind w:firstLine="420" w:firstLineChars="200"/>
        <w:jc w:val="left"/>
        <w:rPr>
          <w:rFonts w:ascii="宋体" w:hAnsi="宋体" w:cs="宋体"/>
          <w:kern w:val="0"/>
          <w:szCs w:val="21"/>
        </w:rPr>
      </w:pPr>
      <w:r>
        <w:rPr>
          <w:rFonts w:ascii="宋体" w:hAnsi="宋体" w:cs="宋体"/>
          <w:kern w:val="0"/>
          <w:szCs w:val="21"/>
        </w:rPr>
        <w:t>2.</w:t>
      </w:r>
      <w:r>
        <w:rPr>
          <w:rFonts w:hint="eastAsia" w:ascii="宋体" w:hAnsi="宋体" w:cs="宋体"/>
          <w:kern w:val="0"/>
          <w:szCs w:val="21"/>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67DAF7D4">
      <w:pPr>
        <w:autoSpaceDE w:val="0"/>
        <w:autoSpaceDN w:val="0"/>
        <w:adjustRightInd w:val="0"/>
        <w:spacing w:line="300" w:lineRule="exact"/>
        <w:ind w:firstLine="420" w:firstLineChars="200"/>
        <w:jc w:val="left"/>
        <w:rPr>
          <w:rFonts w:ascii="宋体" w:hAnsi="宋体" w:cs="宋体"/>
          <w:kern w:val="0"/>
          <w:szCs w:val="21"/>
        </w:rPr>
      </w:pPr>
      <w:r>
        <w:rPr>
          <w:rFonts w:ascii="宋体" w:hAnsi="宋体" w:cs="宋体"/>
          <w:kern w:val="0"/>
          <w:szCs w:val="21"/>
        </w:rPr>
        <w:t>3.</w:t>
      </w:r>
      <w:r>
        <w:rPr>
          <w:rFonts w:hint="eastAsia" w:ascii="宋体" w:hAnsi="宋体" w:cs="宋体"/>
          <w:kern w:val="0"/>
          <w:szCs w:val="21"/>
        </w:rPr>
        <w:t>在此，我方宣布同意如下：</w:t>
      </w:r>
    </w:p>
    <w:p w14:paraId="52DA5AE9">
      <w:pPr>
        <w:autoSpaceDE w:val="0"/>
        <w:autoSpaceDN w:val="0"/>
        <w:adjustRightInd w:val="0"/>
        <w:spacing w:line="300" w:lineRule="exact"/>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）将按采购文件的约定履行合同责任和义务；</w:t>
      </w:r>
    </w:p>
    <w:p w14:paraId="7FC14861">
      <w:pPr>
        <w:autoSpaceDE w:val="0"/>
        <w:autoSpaceDN w:val="0"/>
        <w:adjustRightInd w:val="0"/>
        <w:spacing w:line="300" w:lineRule="exact"/>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）已详细审查全部采购文件，包括澄清或者更正公告（如有）；</w:t>
      </w:r>
    </w:p>
    <w:p w14:paraId="65FD013E">
      <w:pPr>
        <w:autoSpaceDE w:val="0"/>
        <w:autoSpaceDN w:val="0"/>
        <w:adjustRightInd w:val="0"/>
        <w:spacing w:line="300" w:lineRule="exact"/>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）同意提供按照贵方可能要求的与谈判有关的一切数据或者资料；</w:t>
      </w:r>
    </w:p>
    <w:p w14:paraId="1EEDA55E">
      <w:pPr>
        <w:autoSpaceDE w:val="0"/>
        <w:autoSpaceDN w:val="0"/>
        <w:adjustRightInd w:val="0"/>
        <w:spacing w:line="300" w:lineRule="exact"/>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）响应招标文件规定的竞标文件有效期。</w:t>
      </w:r>
    </w:p>
    <w:p w14:paraId="17195F59">
      <w:pPr>
        <w:autoSpaceDE w:val="0"/>
        <w:autoSpaceDN w:val="0"/>
        <w:adjustRightInd w:val="0"/>
        <w:spacing w:line="300" w:lineRule="exact"/>
        <w:ind w:firstLine="420" w:firstLineChars="200"/>
        <w:jc w:val="left"/>
        <w:rPr>
          <w:rFonts w:ascii="宋体" w:hAnsi="宋体" w:cs="宋体"/>
          <w:kern w:val="0"/>
          <w:szCs w:val="21"/>
        </w:rPr>
      </w:pPr>
      <w:r>
        <w:rPr>
          <w:rFonts w:ascii="宋体" w:hAnsi="宋体" w:cs="宋体"/>
          <w:kern w:val="0"/>
          <w:szCs w:val="21"/>
        </w:rPr>
        <w:t>4.</w:t>
      </w:r>
      <w:r>
        <w:rPr>
          <w:rFonts w:hint="eastAsia" w:ascii="宋体" w:hAnsi="宋体" w:cs="宋体"/>
          <w:kern w:val="0"/>
          <w:szCs w:val="21"/>
        </w:rPr>
        <w:t>我方承诺符合《中华人民共和国政府采购法》第二十二条规定：</w:t>
      </w:r>
    </w:p>
    <w:p w14:paraId="06C70889">
      <w:pPr>
        <w:autoSpaceDE w:val="0"/>
        <w:autoSpaceDN w:val="0"/>
        <w:adjustRightInd w:val="0"/>
        <w:spacing w:line="300" w:lineRule="exact"/>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1</w:t>
      </w:r>
      <w:r>
        <w:rPr>
          <w:rFonts w:hint="eastAsia" w:ascii="宋体" w:hAnsi="宋体" w:cs="宋体"/>
          <w:kern w:val="0"/>
          <w:szCs w:val="21"/>
        </w:rPr>
        <w:t>）具有独立承担民事责任的能力；</w:t>
      </w:r>
    </w:p>
    <w:p w14:paraId="3CF5CF00">
      <w:pPr>
        <w:autoSpaceDE w:val="0"/>
        <w:autoSpaceDN w:val="0"/>
        <w:adjustRightInd w:val="0"/>
        <w:spacing w:line="300" w:lineRule="exact"/>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2</w:t>
      </w:r>
      <w:r>
        <w:rPr>
          <w:rFonts w:hint="eastAsia" w:ascii="宋体" w:hAnsi="宋体" w:cs="宋体"/>
          <w:kern w:val="0"/>
          <w:szCs w:val="21"/>
        </w:rPr>
        <w:t>）具有良好的商业信誉和健全的财务会计制度；</w:t>
      </w:r>
    </w:p>
    <w:p w14:paraId="1B3A9025">
      <w:pPr>
        <w:autoSpaceDE w:val="0"/>
        <w:autoSpaceDN w:val="0"/>
        <w:adjustRightInd w:val="0"/>
        <w:spacing w:line="300" w:lineRule="exact"/>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3</w:t>
      </w:r>
      <w:r>
        <w:rPr>
          <w:rFonts w:hint="eastAsia" w:ascii="宋体" w:hAnsi="宋体" w:cs="宋体"/>
          <w:kern w:val="0"/>
          <w:szCs w:val="21"/>
        </w:rPr>
        <w:t>）具有履行合同所必需的设备和专业技术能力；</w:t>
      </w:r>
    </w:p>
    <w:p w14:paraId="3ED31784">
      <w:pPr>
        <w:autoSpaceDE w:val="0"/>
        <w:autoSpaceDN w:val="0"/>
        <w:adjustRightInd w:val="0"/>
        <w:spacing w:line="300" w:lineRule="exact"/>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4</w:t>
      </w:r>
      <w:r>
        <w:rPr>
          <w:rFonts w:hint="eastAsia" w:ascii="宋体" w:hAnsi="宋体" w:cs="宋体"/>
          <w:kern w:val="0"/>
          <w:szCs w:val="21"/>
        </w:rPr>
        <w:t>）有依法缴纳税收和社会保障资金的良好记录；</w:t>
      </w:r>
    </w:p>
    <w:p w14:paraId="30574D20">
      <w:pPr>
        <w:autoSpaceDE w:val="0"/>
        <w:autoSpaceDN w:val="0"/>
        <w:adjustRightInd w:val="0"/>
        <w:spacing w:line="300" w:lineRule="exact"/>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5</w:t>
      </w:r>
      <w:r>
        <w:rPr>
          <w:rFonts w:hint="eastAsia" w:ascii="宋体" w:hAnsi="宋体" w:cs="宋体"/>
          <w:kern w:val="0"/>
          <w:szCs w:val="21"/>
        </w:rPr>
        <w:t>）参加政府采购活动前三年内，在经营活动中没有重大违法记录；</w:t>
      </w:r>
    </w:p>
    <w:p w14:paraId="656B6080">
      <w:pPr>
        <w:autoSpaceDE w:val="0"/>
        <w:autoSpaceDN w:val="0"/>
        <w:adjustRightInd w:val="0"/>
        <w:spacing w:line="300" w:lineRule="exact"/>
        <w:ind w:firstLine="420" w:firstLineChars="200"/>
        <w:jc w:val="left"/>
        <w:rPr>
          <w:rFonts w:ascii="宋体" w:hAnsi="宋体" w:cs="宋体"/>
          <w:kern w:val="0"/>
          <w:szCs w:val="21"/>
        </w:rPr>
      </w:pPr>
      <w:r>
        <w:rPr>
          <w:rFonts w:hint="eastAsia" w:ascii="宋体" w:hAnsi="宋体" w:cs="宋体"/>
          <w:kern w:val="0"/>
          <w:szCs w:val="21"/>
        </w:rPr>
        <w:t>（</w:t>
      </w:r>
      <w:r>
        <w:rPr>
          <w:rFonts w:ascii="宋体" w:hAnsi="宋体" w:cs="宋体"/>
          <w:kern w:val="0"/>
          <w:szCs w:val="21"/>
        </w:rPr>
        <w:t>6</w:t>
      </w:r>
      <w:r>
        <w:rPr>
          <w:rFonts w:hint="eastAsia" w:ascii="宋体" w:hAnsi="宋体" w:cs="宋体"/>
          <w:kern w:val="0"/>
          <w:szCs w:val="21"/>
        </w:rPr>
        <w:t>）法律、行政法规规定的其他条件。</w:t>
      </w:r>
    </w:p>
    <w:p w14:paraId="324E38AB">
      <w:pPr>
        <w:autoSpaceDE w:val="0"/>
        <w:autoSpaceDN w:val="0"/>
        <w:adjustRightInd w:val="0"/>
        <w:spacing w:line="300" w:lineRule="exact"/>
        <w:ind w:firstLine="420" w:firstLineChars="200"/>
        <w:jc w:val="left"/>
        <w:rPr>
          <w:rFonts w:ascii="宋体" w:hAnsi="宋体" w:cs="宋体"/>
          <w:kern w:val="0"/>
          <w:szCs w:val="21"/>
        </w:rPr>
      </w:pPr>
      <w:r>
        <w:rPr>
          <w:rFonts w:ascii="宋体" w:hAnsi="宋体" w:cs="宋体"/>
          <w:kern w:val="0"/>
          <w:szCs w:val="21"/>
        </w:rPr>
        <w:t>5.</w:t>
      </w:r>
      <w:r>
        <w:rPr>
          <w:rFonts w:hint="eastAsia" w:ascii="宋体" w:hAnsi="宋体" w:cs="宋体"/>
          <w:kern w:val="0"/>
          <w:szCs w:val="21"/>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cs="宋体"/>
          <w:kern w:val="0"/>
          <w:szCs w:val="21"/>
          <w:lang w:eastAsia="zh-CN"/>
        </w:rPr>
        <w:t>重大税收违法失信主体</w:t>
      </w:r>
      <w:r>
        <w:rPr>
          <w:rFonts w:hint="eastAsia" w:ascii="宋体" w:hAnsi="宋体" w:cs="宋体"/>
          <w:kern w:val="0"/>
          <w:szCs w:val="21"/>
        </w:rPr>
        <w:t>、政府采购严重违法失信行为记录名单，完全符合《中华人民共和国政府采购法》第二十二条规定的供应商资格条件，我方对此声明负全部法律责任。</w:t>
      </w:r>
    </w:p>
    <w:p w14:paraId="785A248D">
      <w:pPr>
        <w:autoSpaceDE w:val="0"/>
        <w:autoSpaceDN w:val="0"/>
        <w:adjustRightInd w:val="0"/>
        <w:spacing w:line="300" w:lineRule="exact"/>
        <w:ind w:firstLine="420" w:firstLineChars="200"/>
        <w:jc w:val="left"/>
        <w:rPr>
          <w:rFonts w:ascii="宋体" w:hAnsi="宋体" w:cs="宋体"/>
          <w:kern w:val="0"/>
          <w:szCs w:val="21"/>
        </w:rPr>
      </w:pPr>
      <w:r>
        <w:rPr>
          <w:rFonts w:ascii="宋体" w:hAnsi="宋体" w:cs="宋体"/>
          <w:kern w:val="0"/>
          <w:szCs w:val="21"/>
        </w:rPr>
        <w:t>6.</w:t>
      </w:r>
      <w:r>
        <w:rPr>
          <w:rFonts w:hint="eastAsia" w:ascii="宋体" w:hAnsi="宋体" w:cs="宋体"/>
          <w:kern w:val="0"/>
          <w:szCs w:val="21"/>
        </w:rPr>
        <w:t>根据《中华人民共和国政府采购法实施条例》第五十条要求对政府采购合同进行公告，但政府采购合同中涉及国家秘密、商业秘密的内容除外。我方就对本次竞标文件进行注明如下：（两项内容中必须选择一项）</w:t>
      </w:r>
    </w:p>
    <w:p w14:paraId="2552A753">
      <w:pPr>
        <w:autoSpaceDE w:val="0"/>
        <w:autoSpaceDN w:val="0"/>
        <w:adjustRightInd w:val="0"/>
        <w:spacing w:line="300" w:lineRule="exact"/>
        <w:ind w:firstLine="420" w:firstLineChars="200"/>
        <w:jc w:val="left"/>
        <w:rPr>
          <w:rFonts w:ascii="宋体" w:hAnsi="宋体" w:cs="宋体"/>
          <w:kern w:val="0"/>
          <w:szCs w:val="21"/>
        </w:rPr>
      </w:pPr>
      <w:r>
        <w:rPr>
          <w:rFonts w:hint="eastAsia" w:ascii="宋体" w:hAnsi="宋体" w:cs="宋体"/>
          <w:kern w:val="0"/>
          <w:szCs w:val="21"/>
        </w:rPr>
        <w:t>□我方本次竞标文件内容中未涉及商业秘密；</w:t>
      </w:r>
    </w:p>
    <w:p w14:paraId="0DA5E093">
      <w:pPr>
        <w:autoSpaceDE w:val="0"/>
        <w:autoSpaceDN w:val="0"/>
        <w:adjustRightInd w:val="0"/>
        <w:spacing w:line="300" w:lineRule="exact"/>
        <w:ind w:firstLine="420" w:firstLineChars="200"/>
        <w:jc w:val="left"/>
        <w:rPr>
          <w:rFonts w:ascii="宋体" w:hAnsi="宋体" w:cs="宋体"/>
          <w:kern w:val="0"/>
          <w:szCs w:val="21"/>
        </w:rPr>
      </w:pPr>
      <w:r>
        <w:rPr>
          <w:rFonts w:hint="eastAsia" w:ascii="宋体" w:hAnsi="宋体" w:cs="宋体"/>
          <w:kern w:val="0"/>
          <w:szCs w:val="21"/>
        </w:rPr>
        <w:t>□我方本次竞标文件涉及商业秘密的内容有：</w:t>
      </w:r>
    </w:p>
    <w:p w14:paraId="74148A6D">
      <w:pPr>
        <w:autoSpaceDE w:val="0"/>
        <w:autoSpaceDN w:val="0"/>
        <w:adjustRightInd w:val="0"/>
        <w:spacing w:line="300" w:lineRule="exact"/>
        <w:ind w:firstLine="420" w:firstLineChars="200"/>
        <w:jc w:val="left"/>
        <w:rPr>
          <w:rFonts w:ascii="宋体" w:hAnsi="宋体" w:cs="宋体"/>
          <w:kern w:val="0"/>
          <w:szCs w:val="21"/>
        </w:rPr>
      </w:pPr>
      <w:r>
        <w:rPr>
          <w:rFonts w:ascii="宋体" w:hAnsi="宋体" w:cs="宋体"/>
          <w:kern w:val="0"/>
          <w:szCs w:val="21"/>
        </w:rPr>
        <w:t>7.</w:t>
      </w:r>
      <w:r>
        <w:rPr>
          <w:rFonts w:hint="eastAsia" w:ascii="宋体" w:hAnsi="宋体" w:cs="宋体"/>
          <w:kern w:val="0"/>
          <w:szCs w:val="21"/>
        </w:rPr>
        <w:t>以上事项如有虚假或者隐瞒，我方愿意承担一切后果，并不再寻求任何旨在减轻或者免除法律责任的辩解。</w:t>
      </w:r>
    </w:p>
    <w:p w14:paraId="28FF64B3">
      <w:pPr>
        <w:spacing w:line="400" w:lineRule="exact"/>
        <w:ind w:firstLine="1155" w:firstLineChars="550"/>
        <w:rPr>
          <w:rFonts w:hint="eastAsia" w:ascii="宋体" w:hAnsi="宋体" w:cs="宋体"/>
          <w:szCs w:val="21"/>
        </w:rPr>
      </w:pPr>
      <w:r>
        <w:rPr>
          <w:rFonts w:hint="eastAsia" w:ascii="宋体" w:hAnsi="宋体" w:cs="宋体"/>
          <w:szCs w:val="21"/>
        </w:rPr>
        <w:t>竞标人名称（CA电子签章）：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7A84A5F6">
      <w:pPr>
        <w:pStyle w:val="13"/>
        <w:spacing w:line="400" w:lineRule="exact"/>
        <w:ind w:left="420" w:firstLine="4500" w:firstLineChars="2250"/>
        <w:jc w:val="right"/>
        <w:rPr>
          <w:rFonts w:hAnsi="宋体" w:cs="宋体"/>
        </w:rPr>
      </w:pPr>
      <w:r>
        <w:rPr>
          <w:rFonts w:hint="eastAsia" w:hAnsi="宋体" w:cs="宋体"/>
        </w:rPr>
        <w:t>日期：  年  月  日</w:t>
      </w:r>
    </w:p>
    <w:p w14:paraId="6394D3A1">
      <w:pPr>
        <w:autoSpaceDE w:val="0"/>
        <w:autoSpaceDN w:val="0"/>
        <w:adjustRightInd w:val="0"/>
        <w:spacing w:line="300" w:lineRule="exact"/>
        <w:jc w:val="left"/>
        <w:rPr>
          <w:rFonts w:ascii="宋体" w:hAnsi="宋体" w:cs="宋体"/>
          <w:kern w:val="0"/>
          <w:sz w:val="18"/>
          <w:szCs w:val="18"/>
        </w:rPr>
      </w:pPr>
      <w:r>
        <w:rPr>
          <w:rFonts w:hint="eastAsia" w:ascii="宋体" w:hAnsi="宋体" w:cs="宋体"/>
          <w:kern w:val="0"/>
          <w:sz w:val="18"/>
          <w:szCs w:val="18"/>
        </w:rPr>
        <w:t>说明：</w:t>
      </w:r>
    </w:p>
    <w:p w14:paraId="466C08F6">
      <w:pPr>
        <w:autoSpaceDE w:val="0"/>
        <w:autoSpaceDN w:val="0"/>
        <w:adjustRightInd w:val="0"/>
        <w:spacing w:line="300" w:lineRule="exact"/>
        <w:ind w:firstLine="420" w:firstLineChars="200"/>
        <w:jc w:val="left"/>
        <w:rPr>
          <w:rFonts w:ascii="宋体" w:hAnsi="宋体" w:cs="宋体"/>
          <w:kern w:val="0"/>
          <w:szCs w:val="21"/>
        </w:rPr>
      </w:pPr>
      <w:r>
        <w:rPr>
          <w:rFonts w:ascii="宋体" w:hAnsi="宋体" w:cs="宋体"/>
          <w:kern w:val="0"/>
          <w:szCs w:val="21"/>
        </w:rPr>
        <w:t>1.</w:t>
      </w:r>
      <w:r>
        <w:rPr>
          <w:rFonts w:hint="eastAsia" w:ascii="宋体" w:hAnsi="宋体"/>
        </w:rPr>
        <w:t xml:space="preserve"> </w:t>
      </w:r>
      <w:r>
        <w:rPr>
          <w:rFonts w:hint="eastAsia" w:ascii="宋体" w:hAnsi="宋体" w:cs="宋体"/>
          <w:kern w:val="0"/>
          <w:szCs w:val="21"/>
        </w:rPr>
        <w:t>竞标人可以自行通过“信用中国”（</w:t>
      </w:r>
      <w:r>
        <w:rPr>
          <w:rFonts w:ascii="宋体" w:hAnsi="宋体" w:cs="宋体"/>
          <w:kern w:val="0"/>
          <w:szCs w:val="21"/>
        </w:rPr>
        <w:t>www.creditchina.gov.cn</w:t>
      </w:r>
      <w:r>
        <w:rPr>
          <w:rFonts w:hint="eastAsia" w:ascii="宋体" w:hAnsi="宋体" w:cs="宋体"/>
          <w:kern w:val="0"/>
          <w:szCs w:val="21"/>
        </w:rPr>
        <w:t>）和“中国政府采购网”网站（</w:t>
      </w:r>
      <w:r>
        <w:rPr>
          <w:rFonts w:ascii="宋体" w:hAnsi="宋体" w:cs="宋体"/>
          <w:kern w:val="0"/>
          <w:szCs w:val="21"/>
        </w:rPr>
        <w:t>www.ccgp.gov.cn</w:t>
      </w:r>
      <w:r>
        <w:rPr>
          <w:rFonts w:hint="eastAsia" w:ascii="宋体" w:hAnsi="宋体" w:cs="宋体"/>
          <w:kern w:val="0"/>
          <w:szCs w:val="21"/>
        </w:rPr>
        <w:t>）查询竞标人相关主体的信用记录。在资格审查阶段经采购人或采购代理机构查询，对列入失信被执行人、</w:t>
      </w:r>
      <w:r>
        <w:rPr>
          <w:rFonts w:hint="eastAsia" w:ascii="宋体" w:hAnsi="宋体" w:cs="宋体"/>
          <w:kern w:val="0"/>
          <w:szCs w:val="21"/>
          <w:lang w:eastAsia="zh-CN"/>
        </w:rPr>
        <w:t>重大税收违法失信主体</w:t>
      </w:r>
      <w:r>
        <w:rPr>
          <w:rFonts w:hint="eastAsia" w:ascii="宋体" w:hAnsi="宋体" w:cs="宋体"/>
          <w:kern w:val="0"/>
          <w:szCs w:val="21"/>
        </w:rPr>
        <w:t>、政府采购严重违法失信行为记录名单的竞标人，将被拒绝参与本项目政府采购活动。</w:t>
      </w:r>
    </w:p>
    <w:p w14:paraId="2D1CC633">
      <w:pPr>
        <w:autoSpaceDE w:val="0"/>
        <w:autoSpaceDN w:val="0"/>
        <w:adjustRightInd w:val="0"/>
        <w:spacing w:line="300" w:lineRule="exact"/>
        <w:ind w:firstLine="420" w:firstLineChars="200"/>
        <w:jc w:val="left"/>
        <w:rPr>
          <w:rFonts w:ascii="宋体" w:hAnsi="宋体" w:cs="宋体"/>
          <w:kern w:val="0"/>
          <w:szCs w:val="21"/>
        </w:rPr>
      </w:pPr>
      <w:r>
        <w:rPr>
          <w:rFonts w:ascii="宋体" w:hAnsi="宋体" w:cs="宋体"/>
          <w:kern w:val="0"/>
          <w:szCs w:val="21"/>
        </w:rPr>
        <w:t>2.</w:t>
      </w:r>
      <w:r>
        <w:rPr>
          <w:rFonts w:hint="eastAsia" w:ascii="宋体" w:hAnsi="宋体" w:cs="宋体"/>
          <w:kern w:val="0"/>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10A60BD">
      <w:pPr>
        <w:autoSpaceDE w:val="0"/>
        <w:autoSpaceDN w:val="0"/>
        <w:adjustRightInd w:val="0"/>
        <w:spacing w:line="300" w:lineRule="exact"/>
        <w:ind w:firstLine="420" w:firstLineChars="200"/>
        <w:jc w:val="left"/>
        <w:rPr>
          <w:rFonts w:ascii="宋体" w:hAnsi="宋体" w:cs="宋体"/>
          <w:kern w:val="0"/>
          <w:szCs w:val="21"/>
        </w:rPr>
      </w:pPr>
      <w:r>
        <w:rPr>
          <w:rFonts w:ascii="宋体" w:hAnsi="宋体" w:cs="宋体"/>
          <w:kern w:val="0"/>
          <w:szCs w:val="21"/>
        </w:rPr>
        <w:t>3.</w:t>
      </w:r>
      <w:r>
        <w:rPr>
          <w:rFonts w:hint="eastAsia" w:ascii="宋体" w:hAnsi="宋体" w:cs="宋体"/>
          <w:kern w:val="0"/>
          <w:szCs w:val="21"/>
        </w:rPr>
        <w:t>如为联合体竞标，盖章处须加盖联合体各方公章，否则竞标无效。</w:t>
      </w:r>
    </w:p>
    <w:p w14:paraId="4D6E62BB">
      <w:pPr>
        <w:pStyle w:val="4"/>
        <w:spacing w:line="360" w:lineRule="auto"/>
        <w:rPr>
          <w:rFonts w:ascii="宋体" w:hAnsi="宋体"/>
          <w:sz w:val="24"/>
          <w:szCs w:val="24"/>
        </w:rPr>
      </w:pPr>
      <w:r>
        <w:rPr>
          <w:rFonts w:ascii="宋体" w:hAnsi="宋体"/>
        </w:rPr>
        <w:br w:type="page"/>
      </w:r>
      <w:bookmarkStart w:id="256" w:name="_Toc32164"/>
      <w:bookmarkStart w:id="257" w:name="_Toc19914"/>
      <w:r>
        <w:rPr>
          <w:rFonts w:hint="eastAsia" w:ascii="宋体" w:hAnsi="宋体"/>
          <w:sz w:val="32"/>
          <w:szCs w:val="32"/>
        </w:rPr>
        <w:t>6、</w:t>
      </w:r>
      <w:bookmarkEnd w:id="256"/>
      <w:bookmarkEnd w:id="257"/>
      <w:bookmarkStart w:id="258" w:name="_Toc12588"/>
      <w:bookmarkStart w:id="259" w:name="_Toc23897"/>
      <w:r>
        <w:rPr>
          <w:rFonts w:hint="eastAsia" w:ascii="宋体" w:hAnsi="宋体"/>
          <w:sz w:val="32"/>
          <w:szCs w:val="32"/>
        </w:rPr>
        <w:t>中小企业声明函或残疾人福利性单位声明函或竞标人属于监狱企业的证明材料(格式)</w:t>
      </w:r>
      <w:bookmarkEnd w:id="258"/>
      <w:bookmarkEnd w:id="259"/>
    </w:p>
    <w:p w14:paraId="4AB957C5">
      <w:pPr>
        <w:autoSpaceDE w:val="0"/>
        <w:autoSpaceDN w:val="0"/>
        <w:adjustRightInd w:val="0"/>
        <w:jc w:val="left"/>
        <w:rPr>
          <w:rFonts w:hint="eastAsia" w:ascii="宋体" w:hAnsi="宋体"/>
        </w:rPr>
      </w:pPr>
    </w:p>
    <w:p w14:paraId="442E4861">
      <w:pPr>
        <w:snapToGrid w:val="0"/>
        <w:spacing w:before="50" w:after="50" w:line="300" w:lineRule="auto"/>
        <w:jc w:val="center"/>
        <w:rPr>
          <w:rFonts w:ascii="宋体" w:hAnsi="宋体"/>
          <w:b/>
          <w:sz w:val="30"/>
        </w:rPr>
      </w:pPr>
      <w:r>
        <w:rPr>
          <w:rFonts w:hint="eastAsia" w:ascii="宋体" w:hAnsi="宋体"/>
          <w:b/>
          <w:sz w:val="30"/>
        </w:rPr>
        <w:t>中小企业声明函</w:t>
      </w:r>
    </w:p>
    <w:p w14:paraId="7F0C8C25">
      <w:pPr>
        <w:pStyle w:val="9"/>
        <w:spacing w:line="500" w:lineRule="exact"/>
        <w:ind w:right="142" w:firstLine="617" w:firstLineChars="294"/>
        <w:rPr>
          <w:rFonts w:ascii="宋体" w:hAnsi="宋体"/>
          <w:szCs w:val="21"/>
        </w:rPr>
      </w:pPr>
      <w:r>
        <w:rPr>
          <w:rFonts w:ascii="宋体" w:hAnsi="宋体"/>
          <w:szCs w:val="21"/>
        </w:rPr>
        <w:t>本公司（联合体）郑重声明，根据《政府采购促进中小企业发展管理办法》（财库﹝2020﹞46号）的规定，本公司（联合体）参加</w:t>
      </w:r>
      <w:r>
        <w:rPr>
          <w:rFonts w:ascii="宋体" w:hAnsi="宋体"/>
          <w:szCs w:val="21"/>
          <w:u w:val="single"/>
        </w:rPr>
        <w:t>（单位名称）</w:t>
      </w:r>
      <w:r>
        <w:rPr>
          <w:rFonts w:ascii="宋体" w:hAnsi="宋体"/>
          <w:szCs w:val="21"/>
        </w:rPr>
        <w:t>的</w:t>
      </w:r>
      <w:r>
        <w:rPr>
          <w:rFonts w:ascii="宋体" w:hAnsi="宋体"/>
          <w:szCs w:val="21"/>
          <w:u w:val="single"/>
        </w:rPr>
        <w:t>（项目名称）</w:t>
      </w:r>
      <w:r>
        <w:rPr>
          <w:rFonts w:ascii="宋体" w:hAnsi="宋体"/>
          <w:szCs w:val="21"/>
        </w:rPr>
        <w:t>采购活动，</w:t>
      </w:r>
      <w:r>
        <w:rPr>
          <w:rFonts w:hint="eastAsia" w:ascii="宋体" w:hAnsi="宋体"/>
          <w:szCs w:val="21"/>
        </w:rPr>
        <w:t>工程的施工单位全部为符合政策要求的中小企业。相关企业（含联合体中的中小企业、签订分包意向协议的中小企业）的具体情况如下：</w:t>
      </w:r>
    </w:p>
    <w:p w14:paraId="0E2D208B">
      <w:pPr>
        <w:tabs>
          <w:tab w:val="left" w:pos="1384"/>
          <w:tab w:val="left" w:pos="4562"/>
          <w:tab w:val="left" w:pos="6803"/>
        </w:tabs>
        <w:spacing w:before="13" w:line="500" w:lineRule="exact"/>
        <w:ind w:right="142" w:firstLine="676" w:firstLineChars="322"/>
        <w:rPr>
          <w:rFonts w:ascii="宋体" w:hAnsi="宋体"/>
          <w:szCs w:val="21"/>
        </w:rPr>
      </w:pPr>
      <w:r>
        <w:rPr>
          <w:rFonts w:ascii="宋体" w:hAnsi="宋体"/>
          <w:szCs w:val="21"/>
        </w:rPr>
        <w:t>1.</w:t>
      </w:r>
      <w:r>
        <w:rPr>
          <w:rFonts w:ascii="宋体" w:hAnsi="宋体"/>
          <w:szCs w:val="21"/>
          <w:u w:val="single"/>
        </w:rPr>
        <w:t>（标的名称）</w:t>
      </w:r>
      <w:r>
        <w:rPr>
          <w:rFonts w:ascii="宋体" w:hAnsi="宋体"/>
          <w:szCs w:val="21"/>
        </w:rPr>
        <w:t>，属于</w:t>
      </w:r>
      <w:r>
        <w:rPr>
          <w:rFonts w:ascii="宋体" w:hAnsi="宋体"/>
          <w:szCs w:val="21"/>
          <w:u w:val="single"/>
        </w:rPr>
        <w:t>（采购文件中明确的所属</w:t>
      </w:r>
      <w:r>
        <w:rPr>
          <w:rFonts w:hint="eastAsia" w:ascii="宋体" w:hAnsi="宋体"/>
          <w:szCs w:val="21"/>
          <w:u w:val="single"/>
        </w:rPr>
        <w:t>行</w:t>
      </w:r>
      <w:r>
        <w:rPr>
          <w:rFonts w:ascii="宋体" w:hAnsi="宋体"/>
          <w:szCs w:val="21"/>
          <w:u w:val="single"/>
        </w:rPr>
        <w:t>业）</w:t>
      </w:r>
      <w:r>
        <w:rPr>
          <w:rFonts w:ascii="宋体" w:hAnsi="宋体"/>
          <w:szCs w:val="21"/>
        </w:rPr>
        <w:t>；</w:t>
      </w:r>
      <w:r>
        <w:rPr>
          <w:rFonts w:hint="eastAsia" w:ascii="宋体" w:hAnsi="宋体"/>
          <w:szCs w:val="21"/>
        </w:rPr>
        <w:t>承建企业为</w:t>
      </w:r>
      <w:r>
        <w:rPr>
          <w:rFonts w:hint="eastAsia" w:ascii="宋体" w:hAnsi="宋体"/>
          <w:szCs w:val="21"/>
          <w:u w:val="single"/>
        </w:rPr>
        <w:t>（企业名称）</w:t>
      </w:r>
      <w:r>
        <w:rPr>
          <w:rFonts w:hint="eastAsia" w:ascii="宋体" w:hAnsi="宋体"/>
          <w:szCs w:val="21"/>
        </w:rPr>
        <w:t>，从业人员</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人，营业收入为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万元，资产总额为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万元</w:t>
      </w:r>
      <w:r>
        <w:rPr>
          <w:rFonts w:ascii="宋体" w:hAnsi="宋体"/>
          <w:szCs w:val="21"/>
        </w:rPr>
        <w:t>，属于</w:t>
      </w:r>
      <w:r>
        <w:rPr>
          <w:rFonts w:ascii="宋体" w:hAnsi="宋体"/>
          <w:szCs w:val="21"/>
          <w:u w:val="single"/>
        </w:rPr>
        <w:t>（中型企业、</w:t>
      </w:r>
      <w:r>
        <w:rPr>
          <w:rFonts w:hint="eastAsia" w:ascii="宋体" w:hAnsi="宋体"/>
          <w:szCs w:val="21"/>
          <w:u w:val="single"/>
        </w:rPr>
        <w:t>小型企业、微型企业）</w:t>
      </w:r>
      <w:r>
        <w:rPr>
          <w:rFonts w:hint="eastAsia" w:ascii="宋体" w:hAnsi="宋体"/>
          <w:szCs w:val="21"/>
        </w:rPr>
        <w:t>；</w:t>
      </w:r>
    </w:p>
    <w:p w14:paraId="0312206F">
      <w:pPr>
        <w:tabs>
          <w:tab w:val="left" w:pos="1065"/>
          <w:tab w:val="left" w:pos="4262"/>
          <w:tab w:val="left" w:pos="6477"/>
        </w:tabs>
        <w:spacing w:before="20" w:line="500" w:lineRule="exact"/>
        <w:ind w:right="84" w:firstLine="676" w:firstLineChars="322"/>
        <w:rPr>
          <w:rFonts w:ascii="宋体" w:hAnsi="宋体"/>
          <w:szCs w:val="21"/>
          <w:u w:val="single"/>
        </w:rPr>
      </w:pPr>
      <w:r>
        <w:rPr>
          <w:rFonts w:ascii="宋体" w:hAnsi="宋体"/>
          <w:szCs w:val="21"/>
        </w:rPr>
        <w:t>2.</w:t>
      </w:r>
      <w:r>
        <w:rPr>
          <w:rFonts w:ascii="宋体" w:hAnsi="宋体"/>
          <w:szCs w:val="21"/>
          <w:u w:val="single"/>
        </w:rPr>
        <w:t>（标的名称）</w:t>
      </w:r>
      <w:r>
        <w:rPr>
          <w:rFonts w:ascii="宋体" w:hAnsi="宋体"/>
          <w:szCs w:val="21"/>
        </w:rPr>
        <w:t>，属于</w:t>
      </w:r>
      <w:r>
        <w:rPr>
          <w:rFonts w:ascii="宋体" w:hAnsi="宋体"/>
          <w:szCs w:val="21"/>
          <w:u w:val="single"/>
        </w:rPr>
        <w:t>（采购文件中明确的所属</w:t>
      </w:r>
      <w:r>
        <w:rPr>
          <w:rFonts w:hint="eastAsia" w:ascii="宋体" w:hAnsi="宋体"/>
          <w:szCs w:val="21"/>
          <w:u w:val="single"/>
        </w:rPr>
        <w:t>行业</w:t>
      </w:r>
      <w:r>
        <w:rPr>
          <w:rFonts w:ascii="宋体" w:hAnsi="宋体"/>
          <w:szCs w:val="21"/>
          <w:u w:val="single"/>
        </w:rPr>
        <w:t>）</w:t>
      </w:r>
      <w:r>
        <w:rPr>
          <w:rFonts w:ascii="宋体" w:hAnsi="宋体"/>
          <w:szCs w:val="21"/>
        </w:rPr>
        <w:t>；</w:t>
      </w:r>
      <w:r>
        <w:rPr>
          <w:rFonts w:hint="eastAsia" w:ascii="宋体" w:hAnsi="宋体"/>
          <w:szCs w:val="21"/>
        </w:rPr>
        <w:t>承建企业为</w:t>
      </w:r>
      <w:r>
        <w:rPr>
          <w:rFonts w:hint="eastAsia" w:ascii="宋体" w:hAnsi="宋体"/>
          <w:szCs w:val="21"/>
          <w:u w:val="single"/>
        </w:rPr>
        <w:t>（企业名称）</w:t>
      </w:r>
      <w:r>
        <w:rPr>
          <w:rFonts w:hint="eastAsia" w:ascii="宋体" w:hAnsi="宋体"/>
          <w:szCs w:val="21"/>
        </w:rPr>
        <w:t>，从业人员</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人，营业收入为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万元，资产总额为</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万元</w:t>
      </w:r>
      <w:r>
        <w:rPr>
          <w:rFonts w:ascii="宋体" w:hAnsi="宋体"/>
          <w:szCs w:val="21"/>
        </w:rPr>
        <w:t>，属于</w:t>
      </w:r>
      <w:r>
        <w:rPr>
          <w:rFonts w:ascii="宋体" w:hAnsi="宋体"/>
          <w:szCs w:val="21"/>
          <w:u w:val="single"/>
        </w:rPr>
        <w:t>（中型企业、</w:t>
      </w:r>
      <w:r>
        <w:rPr>
          <w:rFonts w:hint="eastAsia" w:ascii="宋体" w:hAnsi="宋体"/>
          <w:szCs w:val="21"/>
          <w:u w:val="single"/>
        </w:rPr>
        <w:t>小型企业、微型企业）</w:t>
      </w:r>
      <w:r>
        <w:rPr>
          <w:rFonts w:hint="eastAsia" w:ascii="宋体" w:hAnsi="宋体"/>
          <w:szCs w:val="21"/>
        </w:rPr>
        <w:t>；</w:t>
      </w:r>
    </w:p>
    <w:p w14:paraId="5BFBFA01">
      <w:pPr>
        <w:pStyle w:val="9"/>
        <w:spacing w:before="34" w:line="500" w:lineRule="exact"/>
        <w:ind w:right="142" w:firstLine="617" w:firstLineChars="294"/>
        <w:rPr>
          <w:rFonts w:ascii="宋体" w:hAnsi="宋体"/>
          <w:szCs w:val="21"/>
        </w:rPr>
      </w:pPr>
      <w:r>
        <w:rPr>
          <w:rFonts w:ascii="宋体" w:hAnsi="宋体"/>
          <w:szCs w:val="21"/>
        </w:rPr>
        <w:t xml:space="preserve">…… </w:t>
      </w:r>
    </w:p>
    <w:p w14:paraId="2F36DEF5">
      <w:pPr>
        <w:pStyle w:val="9"/>
        <w:spacing w:before="34" w:line="500" w:lineRule="exact"/>
        <w:ind w:right="142" w:firstLine="617" w:firstLineChars="294"/>
        <w:rPr>
          <w:rFonts w:ascii="宋体" w:hAnsi="宋体"/>
          <w:szCs w:val="21"/>
        </w:rPr>
      </w:pPr>
      <w:r>
        <w:rPr>
          <w:rFonts w:ascii="宋体" w:hAnsi="宋体"/>
          <w:szCs w:val="21"/>
        </w:rPr>
        <w:t>以上企业，不属于大企业的分支机构，不存在控股股东为大企业的情形，也不存在与大企业的负责人为同一人的情形。</w:t>
      </w:r>
    </w:p>
    <w:p w14:paraId="697EF1FA">
      <w:pPr>
        <w:pStyle w:val="9"/>
        <w:spacing w:before="25" w:line="500" w:lineRule="exact"/>
        <w:ind w:right="142" w:firstLine="617" w:firstLineChars="294"/>
        <w:rPr>
          <w:rFonts w:ascii="宋体" w:hAnsi="宋体"/>
          <w:szCs w:val="21"/>
        </w:rPr>
      </w:pPr>
      <w:r>
        <w:rPr>
          <w:rFonts w:ascii="宋体" w:hAnsi="宋体"/>
          <w:szCs w:val="21"/>
        </w:rPr>
        <w:t>本企业对上述声明内容的真实性负责。如有虚假，将依法承担相应责任。</w:t>
      </w:r>
    </w:p>
    <w:p w14:paraId="60DA855F">
      <w:pPr>
        <w:pStyle w:val="9"/>
        <w:spacing w:before="56" w:line="500" w:lineRule="exact"/>
        <w:ind w:right="1808" w:firstLine="617" w:firstLineChars="294"/>
        <w:rPr>
          <w:rFonts w:hint="eastAsia" w:ascii="宋体" w:hAnsi="宋体"/>
          <w:szCs w:val="21"/>
        </w:rPr>
      </w:pPr>
    </w:p>
    <w:p w14:paraId="4FB97DA4">
      <w:pPr>
        <w:spacing w:line="400" w:lineRule="exact"/>
        <w:ind w:firstLine="1155" w:firstLineChars="550"/>
        <w:rPr>
          <w:rFonts w:hint="eastAsia" w:ascii="宋体" w:hAnsi="宋体" w:cs="宋体"/>
          <w:szCs w:val="21"/>
        </w:rPr>
      </w:pPr>
      <w:r>
        <w:rPr>
          <w:rFonts w:hint="eastAsia" w:ascii="宋体" w:hAnsi="宋体" w:cs="宋体"/>
          <w:szCs w:val="21"/>
        </w:rPr>
        <w:t>竞标人名称（CA电子签章）：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28D8695D">
      <w:pPr>
        <w:pStyle w:val="13"/>
        <w:spacing w:line="400" w:lineRule="exact"/>
        <w:ind w:left="420" w:firstLine="4500" w:firstLineChars="2250"/>
        <w:jc w:val="right"/>
        <w:rPr>
          <w:rFonts w:hAnsi="宋体" w:cs="宋体"/>
        </w:rPr>
      </w:pPr>
      <w:r>
        <w:rPr>
          <w:rFonts w:hint="eastAsia" w:hAnsi="宋体" w:cs="宋体"/>
        </w:rPr>
        <w:t>日期：  年  月  日</w:t>
      </w:r>
    </w:p>
    <w:p w14:paraId="34A1A777">
      <w:pPr>
        <w:pStyle w:val="9"/>
        <w:spacing w:after="0" w:line="400" w:lineRule="exact"/>
        <w:ind w:left="3960" w:right="1808"/>
        <w:contextualSpacing/>
        <w:rPr>
          <w:rFonts w:hint="eastAsia" w:ascii="宋体" w:hAnsi="宋体"/>
          <w:kern w:val="24"/>
          <w:szCs w:val="21"/>
        </w:rPr>
      </w:pPr>
    </w:p>
    <w:p w14:paraId="64093968">
      <w:pPr>
        <w:spacing w:line="400" w:lineRule="exact"/>
        <w:rPr>
          <w:rFonts w:hint="eastAsia" w:ascii="宋体" w:hAnsi="宋体"/>
          <w:b/>
          <w:bCs/>
          <w:szCs w:val="21"/>
        </w:rPr>
      </w:pPr>
      <w:r>
        <w:rPr>
          <w:rFonts w:hint="eastAsia" w:ascii="宋体" w:hAnsi="宋体"/>
          <w:kern w:val="24"/>
          <w:szCs w:val="21"/>
        </w:rPr>
        <w:t>注：1、</w:t>
      </w:r>
      <w:r>
        <w:rPr>
          <w:rFonts w:hint="eastAsia" w:ascii="宋体" w:hAnsi="宋体"/>
          <w:b/>
          <w:bCs/>
          <w:szCs w:val="21"/>
        </w:rPr>
        <w:t>本采购项目所属行业为：</w:t>
      </w:r>
      <w:r>
        <w:rPr>
          <w:rFonts w:hint="eastAsia" w:ascii="宋体" w:hAnsi="宋体"/>
          <w:b/>
          <w:bCs/>
          <w:szCs w:val="21"/>
          <w:u w:val="single"/>
        </w:rPr>
        <w:t>建筑业。</w:t>
      </w:r>
    </w:p>
    <w:p w14:paraId="593AED3D">
      <w:pPr>
        <w:pStyle w:val="9"/>
        <w:spacing w:after="0" w:line="400" w:lineRule="exact"/>
        <w:ind w:left="-426" w:right="142" w:firstLine="567"/>
        <w:contextualSpacing/>
        <w:rPr>
          <w:rFonts w:hint="eastAsia" w:ascii="宋体" w:hAnsi="宋体"/>
          <w:kern w:val="24"/>
          <w:szCs w:val="21"/>
        </w:rPr>
      </w:pPr>
      <w:r>
        <w:rPr>
          <w:rFonts w:hint="eastAsia" w:ascii="宋体" w:hAnsi="宋体"/>
          <w:kern w:val="24"/>
          <w:szCs w:val="21"/>
        </w:rPr>
        <w:t>2、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p>
    <w:p w14:paraId="766B2C2A">
      <w:pPr>
        <w:pStyle w:val="13"/>
        <w:spacing w:line="300" w:lineRule="auto"/>
        <w:jc w:val="left"/>
        <w:rPr>
          <w:rFonts w:hint="eastAsia" w:hAnsi="宋体" w:cs="Arial Unicode MS"/>
          <w:sz w:val="32"/>
          <w:szCs w:val="32"/>
        </w:rPr>
      </w:pPr>
    </w:p>
    <w:p w14:paraId="6F334B53">
      <w:pPr>
        <w:autoSpaceDE w:val="0"/>
        <w:autoSpaceDN w:val="0"/>
        <w:adjustRightInd w:val="0"/>
        <w:jc w:val="left"/>
        <w:rPr>
          <w:rFonts w:hint="eastAsia" w:ascii="宋体" w:hAnsi="宋体" w:cs="黑体"/>
          <w:b/>
          <w:bCs/>
          <w:sz w:val="24"/>
        </w:rPr>
      </w:pPr>
      <w:r>
        <w:rPr>
          <w:rFonts w:ascii="宋体" w:hAnsi="宋体" w:cs="Arial Unicode MS"/>
          <w:sz w:val="32"/>
          <w:szCs w:val="32"/>
        </w:rPr>
        <w:br w:type="page"/>
      </w:r>
      <w:r>
        <w:rPr>
          <w:rFonts w:hint="eastAsia" w:ascii="宋体" w:hAnsi="宋体" w:cs="黑体"/>
          <w:b/>
          <w:bCs/>
          <w:sz w:val="24"/>
        </w:rPr>
        <w:t>附：</w:t>
      </w:r>
    </w:p>
    <w:p w14:paraId="7921BDFD">
      <w:pPr>
        <w:snapToGrid w:val="0"/>
        <w:spacing w:before="50" w:after="50" w:line="300" w:lineRule="auto"/>
        <w:jc w:val="center"/>
        <w:rPr>
          <w:rFonts w:hint="eastAsia" w:ascii="宋体" w:hAnsi="宋体"/>
          <w:b/>
          <w:sz w:val="30"/>
        </w:rPr>
      </w:pPr>
      <w:r>
        <w:rPr>
          <w:rFonts w:hint="eastAsia" w:ascii="宋体" w:hAnsi="宋体"/>
          <w:b/>
          <w:sz w:val="30"/>
        </w:rPr>
        <w:t>中小微企业划型标准</w:t>
      </w:r>
    </w:p>
    <w:tbl>
      <w:tblPr>
        <w:tblStyle w:val="20"/>
        <w:tblW w:w="5056" w:type="pct"/>
        <w:jc w:val="center"/>
        <w:tblLayout w:type="autofit"/>
        <w:tblCellMar>
          <w:top w:w="0" w:type="dxa"/>
          <w:left w:w="108" w:type="dxa"/>
          <w:bottom w:w="0" w:type="dxa"/>
          <w:right w:w="108" w:type="dxa"/>
        </w:tblCellMar>
      </w:tblPr>
      <w:tblGrid>
        <w:gridCol w:w="1839"/>
        <w:gridCol w:w="1561"/>
        <w:gridCol w:w="1405"/>
        <w:gridCol w:w="1807"/>
        <w:gridCol w:w="1694"/>
        <w:gridCol w:w="1084"/>
      </w:tblGrid>
      <w:tr w14:paraId="0516755A">
        <w:tblPrEx>
          <w:tblCellMar>
            <w:top w:w="0" w:type="dxa"/>
            <w:left w:w="108" w:type="dxa"/>
            <w:bottom w:w="0" w:type="dxa"/>
            <w:right w:w="108" w:type="dxa"/>
          </w:tblCellMar>
        </w:tblPrEx>
        <w:trPr>
          <w:trHeight w:val="402" w:hRule="atLeast"/>
          <w:jc w:val="center"/>
        </w:trPr>
        <w:tc>
          <w:tcPr>
            <w:tcW w:w="980" w:type="pct"/>
            <w:tcBorders>
              <w:top w:val="single" w:color="auto" w:sz="4" w:space="0"/>
              <w:left w:val="single" w:color="auto" w:sz="4" w:space="0"/>
              <w:bottom w:val="single" w:color="auto" w:sz="4" w:space="0"/>
              <w:right w:val="single" w:color="auto" w:sz="4" w:space="0"/>
            </w:tcBorders>
            <w:noWrap w:val="0"/>
            <w:vAlign w:val="center"/>
          </w:tcPr>
          <w:p w14:paraId="2F274B8D">
            <w:pPr>
              <w:widowControl/>
              <w:jc w:val="center"/>
              <w:rPr>
                <w:rFonts w:ascii="宋体" w:hAnsi="宋体" w:cs="宋体"/>
                <w:b/>
                <w:kern w:val="0"/>
                <w:sz w:val="24"/>
              </w:rPr>
            </w:pPr>
            <w:r>
              <w:rPr>
                <w:rFonts w:hint="eastAsia" w:ascii="宋体" w:hAnsi="宋体" w:cs="宋体"/>
                <w:b/>
                <w:kern w:val="0"/>
                <w:sz w:val="24"/>
              </w:rPr>
              <w:t>行业名称</w:t>
            </w:r>
          </w:p>
        </w:tc>
        <w:tc>
          <w:tcPr>
            <w:tcW w:w="831" w:type="pct"/>
            <w:tcBorders>
              <w:top w:val="single" w:color="auto" w:sz="4" w:space="0"/>
              <w:left w:val="nil"/>
              <w:bottom w:val="single" w:color="auto" w:sz="4" w:space="0"/>
              <w:right w:val="single" w:color="auto" w:sz="4" w:space="0"/>
            </w:tcBorders>
            <w:noWrap w:val="0"/>
            <w:vAlign w:val="center"/>
          </w:tcPr>
          <w:p w14:paraId="7E39F297">
            <w:pPr>
              <w:widowControl/>
              <w:jc w:val="center"/>
              <w:rPr>
                <w:rFonts w:ascii="宋体" w:hAnsi="宋体" w:cs="宋体"/>
                <w:b/>
                <w:kern w:val="0"/>
                <w:sz w:val="24"/>
              </w:rPr>
            </w:pPr>
            <w:r>
              <w:rPr>
                <w:rFonts w:hint="eastAsia" w:ascii="宋体" w:hAnsi="宋体" w:cs="宋体"/>
                <w:b/>
                <w:kern w:val="0"/>
                <w:sz w:val="24"/>
              </w:rPr>
              <w:t>指标名称</w:t>
            </w:r>
          </w:p>
        </w:tc>
        <w:tc>
          <w:tcPr>
            <w:tcW w:w="748" w:type="pct"/>
            <w:tcBorders>
              <w:top w:val="single" w:color="auto" w:sz="4" w:space="0"/>
              <w:left w:val="nil"/>
              <w:bottom w:val="single" w:color="auto" w:sz="4" w:space="0"/>
              <w:right w:val="single" w:color="auto" w:sz="4" w:space="0"/>
            </w:tcBorders>
            <w:noWrap w:val="0"/>
            <w:vAlign w:val="center"/>
          </w:tcPr>
          <w:p w14:paraId="45F82B04">
            <w:pPr>
              <w:widowControl/>
              <w:jc w:val="center"/>
              <w:rPr>
                <w:rFonts w:ascii="宋体" w:hAnsi="宋体" w:cs="宋体"/>
                <w:b/>
                <w:kern w:val="0"/>
                <w:sz w:val="24"/>
              </w:rPr>
            </w:pPr>
            <w:r>
              <w:rPr>
                <w:rFonts w:hint="eastAsia" w:ascii="宋体" w:hAnsi="宋体" w:cs="宋体"/>
                <w:b/>
                <w:kern w:val="0"/>
                <w:sz w:val="24"/>
              </w:rPr>
              <w:t>计量单位</w:t>
            </w:r>
          </w:p>
        </w:tc>
        <w:tc>
          <w:tcPr>
            <w:tcW w:w="962" w:type="pct"/>
            <w:tcBorders>
              <w:top w:val="single" w:color="auto" w:sz="4" w:space="0"/>
              <w:left w:val="nil"/>
              <w:bottom w:val="single" w:color="auto" w:sz="4" w:space="0"/>
              <w:right w:val="single" w:color="auto" w:sz="4" w:space="0"/>
            </w:tcBorders>
            <w:noWrap w:val="0"/>
            <w:vAlign w:val="center"/>
          </w:tcPr>
          <w:p w14:paraId="1D9BCD1C">
            <w:pPr>
              <w:widowControl/>
              <w:jc w:val="center"/>
              <w:rPr>
                <w:rFonts w:ascii="宋体" w:hAnsi="宋体" w:cs="宋体"/>
                <w:b/>
                <w:kern w:val="0"/>
                <w:sz w:val="24"/>
              </w:rPr>
            </w:pPr>
            <w:r>
              <w:rPr>
                <w:rFonts w:hint="eastAsia" w:ascii="宋体" w:hAnsi="宋体" w:cs="宋体"/>
                <w:b/>
                <w:kern w:val="0"/>
                <w:sz w:val="24"/>
              </w:rPr>
              <w:t>中型</w:t>
            </w:r>
          </w:p>
        </w:tc>
        <w:tc>
          <w:tcPr>
            <w:tcW w:w="902" w:type="pct"/>
            <w:tcBorders>
              <w:top w:val="single" w:color="auto" w:sz="4" w:space="0"/>
              <w:left w:val="nil"/>
              <w:bottom w:val="single" w:color="auto" w:sz="4" w:space="0"/>
              <w:right w:val="single" w:color="auto" w:sz="4" w:space="0"/>
            </w:tcBorders>
            <w:noWrap w:val="0"/>
            <w:vAlign w:val="center"/>
          </w:tcPr>
          <w:p w14:paraId="5F16EACB">
            <w:pPr>
              <w:widowControl/>
              <w:jc w:val="center"/>
              <w:rPr>
                <w:rFonts w:ascii="宋体" w:hAnsi="宋体" w:cs="宋体"/>
                <w:b/>
                <w:kern w:val="0"/>
                <w:sz w:val="24"/>
              </w:rPr>
            </w:pPr>
            <w:r>
              <w:rPr>
                <w:rFonts w:hint="eastAsia" w:ascii="宋体" w:hAnsi="宋体" w:cs="宋体"/>
                <w:b/>
                <w:kern w:val="0"/>
                <w:sz w:val="24"/>
              </w:rPr>
              <w:t>小型</w:t>
            </w:r>
          </w:p>
        </w:tc>
        <w:tc>
          <w:tcPr>
            <w:tcW w:w="578" w:type="pct"/>
            <w:tcBorders>
              <w:top w:val="single" w:color="auto" w:sz="4" w:space="0"/>
              <w:left w:val="nil"/>
              <w:bottom w:val="single" w:color="auto" w:sz="4" w:space="0"/>
              <w:right w:val="single" w:color="auto" w:sz="4" w:space="0"/>
            </w:tcBorders>
            <w:noWrap w:val="0"/>
            <w:vAlign w:val="center"/>
          </w:tcPr>
          <w:p w14:paraId="1B101D44">
            <w:pPr>
              <w:widowControl/>
              <w:jc w:val="center"/>
              <w:rPr>
                <w:rFonts w:ascii="宋体" w:hAnsi="宋体" w:cs="宋体"/>
                <w:b/>
                <w:kern w:val="0"/>
                <w:sz w:val="24"/>
              </w:rPr>
            </w:pPr>
            <w:r>
              <w:rPr>
                <w:rFonts w:hint="eastAsia" w:ascii="宋体" w:hAnsi="宋体" w:cs="宋体"/>
                <w:b/>
                <w:kern w:val="0"/>
                <w:sz w:val="24"/>
              </w:rPr>
              <w:t>微型</w:t>
            </w:r>
          </w:p>
        </w:tc>
      </w:tr>
      <w:tr w14:paraId="650674D5">
        <w:tblPrEx>
          <w:tblCellMar>
            <w:top w:w="0" w:type="dxa"/>
            <w:left w:w="108" w:type="dxa"/>
            <w:bottom w:w="0" w:type="dxa"/>
            <w:right w:w="108" w:type="dxa"/>
          </w:tblCellMar>
        </w:tblPrEx>
        <w:trPr>
          <w:trHeight w:val="318" w:hRule="atLeast"/>
          <w:jc w:val="center"/>
        </w:trPr>
        <w:tc>
          <w:tcPr>
            <w:tcW w:w="980" w:type="pct"/>
            <w:tcBorders>
              <w:top w:val="nil"/>
              <w:left w:val="single" w:color="auto" w:sz="4" w:space="0"/>
              <w:bottom w:val="single" w:color="auto" w:sz="4" w:space="0"/>
              <w:right w:val="single" w:color="auto" w:sz="4" w:space="0"/>
            </w:tcBorders>
            <w:noWrap w:val="0"/>
            <w:vAlign w:val="center"/>
          </w:tcPr>
          <w:p w14:paraId="675EC27A">
            <w:pPr>
              <w:widowControl/>
              <w:jc w:val="center"/>
              <w:rPr>
                <w:rFonts w:ascii="宋体" w:hAnsi="宋体" w:cs="宋体"/>
                <w:b/>
                <w:bCs/>
                <w:kern w:val="0"/>
                <w:sz w:val="18"/>
                <w:szCs w:val="18"/>
              </w:rPr>
            </w:pPr>
            <w:r>
              <w:rPr>
                <w:rFonts w:hint="eastAsia" w:ascii="宋体" w:hAnsi="宋体" w:cs="宋体"/>
                <w:b/>
                <w:bCs/>
                <w:kern w:val="0"/>
                <w:sz w:val="18"/>
                <w:szCs w:val="18"/>
              </w:rPr>
              <w:t>农、林、牧、渔</w:t>
            </w:r>
          </w:p>
        </w:tc>
        <w:tc>
          <w:tcPr>
            <w:tcW w:w="831" w:type="pct"/>
            <w:tcBorders>
              <w:top w:val="nil"/>
              <w:left w:val="nil"/>
              <w:bottom w:val="single" w:color="auto" w:sz="4" w:space="0"/>
              <w:right w:val="single" w:color="auto" w:sz="4" w:space="0"/>
            </w:tcBorders>
            <w:noWrap w:val="0"/>
            <w:vAlign w:val="center"/>
          </w:tcPr>
          <w:p w14:paraId="2198A5FA">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748" w:type="pct"/>
            <w:tcBorders>
              <w:top w:val="nil"/>
              <w:left w:val="nil"/>
              <w:bottom w:val="single" w:color="auto" w:sz="4" w:space="0"/>
              <w:right w:val="single" w:color="auto" w:sz="4" w:space="0"/>
            </w:tcBorders>
            <w:noWrap w:val="0"/>
            <w:vAlign w:val="center"/>
          </w:tcPr>
          <w:p w14:paraId="09CA8E09">
            <w:pPr>
              <w:widowControl/>
              <w:jc w:val="center"/>
              <w:rPr>
                <w:rFonts w:ascii="宋体" w:hAnsi="宋体" w:cs="宋体"/>
                <w:kern w:val="0"/>
                <w:sz w:val="18"/>
                <w:szCs w:val="18"/>
              </w:rPr>
            </w:pPr>
            <w:r>
              <w:rPr>
                <w:rFonts w:hint="eastAsia" w:ascii="宋体" w:hAnsi="宋体" w:cs="宋体"/>
                <w:kern w:val="0"/>
                <w:sz w:val="18"/>
                <w:szCs w:val="18"/>
              </w:rPr>
              <w:t>万元</w:t>
            </w:r>
          </w:p>
        </w:tc>
        <w:tc>
          <w:tcPr>
            <w:tcW w:w="962" w:type="pct"/>
            <w:tcBorders>
              <w:top w:val="nil"/>
              <w:left w:val="nil"/>
              <w:bottom w:val="single" w:color="auto" w:sz="4" w:space="0"/>
              <w:right w:val="single" w:color="auto" w:sz="4" w:space="0"/>
            </w:tcBorders>
            <w:noWrap w:val="0"/>
            <w:vAlign w:val="center"/>
          </w:tcPr>
          <w:p w14:paraId="71D8EADA">
            <w:pPr>
              <w:widowControl/>
              <w:jc w:val="center"/>
              <w:rPr>
                <w:rFonts w:ascii="宋体" w:hAnsi="宋体" w:cs="宋体"/>
                <w:kern w:val="0"/>
                <w:sz w:val="18"/>
                <w:szCs w:val="18"/>
              </w:rPr>
            </w:pPr>
            <w:r>
              <w:rPr>
                <w:rFonts w:hint="eastAsia" w:ascii="宋体" w:hAnsi="宋体" w:cs="宋体"/>
                <w:kern w:val="0"/>
                <w:sz w:val="18"/>
                <w:szCs w:val="18"/>
              </w:rPr>
              <w:t>500≤Y＜20000</w:t>
            </w:r>
          </w:p>
        </w:tc>
        <w:tc>
          <w:tcPr>
            <w:tcW w:w="902" w:type="pct"/>
            <w:tcBorders>
              <w:top w:val="nil"/>
              <w:left w:val="nil"/>
              <w:bottom w:val="single" w:color="auto" w:sz="4" w:space="0"/>
              <w:right w:val="single" w:color="auto" w:sz="4" w:space="0"/>
            </w:tcBorders>
            <w:noWrap w:val="0"/>
            <w:vAlign w:val="center"/>
          </w:tcPr>
          <w:p w14:paraId="54EB6D94">
            <w:pPr>
              <w:widowControl/>
              <w:jc w:val="center"/>
              <w:rPr>
                <w:rFonts w:ascii="宋体" w:hAnsi="宋体" w:cs="宋体"/>
                <w:kern w:val="0"/>
                <w:sz w:val="18"/>
                <w:szCs w:val="18"/>
              </w:rPr>
            </w:pPr>
            <w:r>
              <w:rPr>
                <w:rFonts w:hint="eastAsia" w:ascii="宋体" w:hAnsi="宋体" w:cs="宋体"/>
                <w:kern w:val="0"/>
                <w:sz w:val="18"/>
                <w:szCs w:val="18"/>
              </w:rPr>
              <w:t>50≤Y＜500</w:t>
            </w:r>
          </w:p>
        </w:tc>
        <w:tc>
          <w:tcPr>
            <w:tcW w:w="578" w:type="pct"/>
            <w:tcBorders>
              <w:top w:val="nil"/>
              <w:left w:val="nil"/>
              <w:bottom w:val="single" w:color="auto" w:sz="4" w:space="0"/>
              <w:right w:val="single" w:color="auto" w:sz="4" w:space="0"/>
            </w:tcBorders>
            <w:noWrap w:val="0"/>
            <w:vAlign w:val="center"/>
          </w:tcPr>
          <w:p w14:paraId="00C6C329">
            <w:pPr>
              <w:widowControl/>
              <w:jc w:val="center"/>
              <w:rPr>
                <w:rFonts w:ascii="宋体" w:hAnsi="宋体" w:cs="宋体"/>
                <w:kern w:val="0"/>
                <w:sz w:val="18"/>
                <w:szCs w:val="18"/>
              </w:rPr>
            </w:pPr>
            <w:r>
              <w:rPr>
                <w:rFonts w:hint="eastAsia" w:ascii="宋体" w:hAnsi="宋体" w:cs="宋体"/>
                <w:kern w:val="0"/>
                <w:sz w:val="18"/>
                <w:szCs w:val="18"/>
              </w:rPr>
              <w:t>Y＜50</w:t>
            </w:r>
          </w:p>
        </w:tc>
      </w:tr>
      <w:tr w14:paraId="263040AB">
        <w:tblPrEx>
          <w:tblCellMar>
            <w:top w:w="0" w:type="dxa"/>
            <w:left w:w="108" w:type="dxa"/>
            <w:bottom w:w="0" w:type="dxa"/>
            <w:right w:w="108" w:type="dxa"/>
          </w:tblCellMar>
        </w:tblPrEx>
        <w:trPr>
          <w:trHeight w:val="318" w:hRule="atLeast"/>
          <w:jc w:val="center"/>
        </w:trPr>
        <w:tc>
          <w:tcPr>
            <w:tcW w:w="980" w:type="pct"/>
            <w:vMerge w:val="restart"/>
            <w:tcBorders>
              <w:top w:val="nil"/>
              <w:left w:val="single" w:color="auto" w:sz="4" w:space="0"/>
              <w:bottom w:val="single" w:color="auto" w:sz="4" w:space="0"/>
              <w:right w:val="single" w:color="auto" w:sz="4" w:space="0"/>
            </w:tcBorders>
            <w:noWrap w:val="0"/>
            <w:vAlign w:val="center"/>
          </w:tcPr>
          <w:p w14:paraId="58C62C1A">
            <w:pPr>
              <w:widowControl/>
              <w:jc w:val="center"/>
              <w:rPr>
                <w:rFonts w:ascii="宋体" w:hAnsi="宋体" w:cs="宋体"/>
                <w:b/>
                <w:bCs/>
                <w:kern w:val="0"/>
                <w:sz w:val="18"/>
                <w:szCs w:val="18"/>
              </w:rPr>
            </w:pPr>
            <w:r>
              <w:rPr>
                <w:rFonts w:hint="eastAsia" w:ascii="宋体" w:hAnsi="宋体" w:cs="宋体"/>
                <w:b/>
                <w:bCs/>
                <w:kern w:val="0"/>
                <w:sz w:val="18"/>
                <w:szCs w:val="18"/>
              </w:rPr>
              <w:t>工业</w:t>
            </w:r>
          </w:p>
        </w:tc>
        <w:tc>
          <w:tcPr>
            <w:tcW w:w="831" w:type="pct"/>
            <w:tcBorders>
              <w:top w:val="nil"/>
              <w:left w:val="nil"/>
              <w:bottom w:val="single" w:color="auto" w:sz="4" w:space="0"/>
              <w:right w:val="single" w:color="auto" w:sz="4" w:space="0"/>
            </w:tcBorders>
            <w:noWrap w:val="0"/>
            <w:vAlign w:val="center"/>
          </w:tcPr>
          <w:p w14:paraId="0E928715">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48" w:type="pct"/>
            <w:tcBorders>
              <w:top w:val="nil"/>
              <w:left w:val="nil"/>
              <w:bottom w:val="single" w:color="auto" w:sz="4" w:space="0"/>
              <w:right w:val="single" w:color="auto" w:sz="4" w:space="0"/>
            </w:tcBorders>
            <w:noWrap w:val="0"/>
            <w:vAlign w:val="center"/>
          </w:tcPr>
          <w:p w14:paraId="7A266E51">
            <w:pPr>
              <w:widowControl/>
              <w:jc w:val="center"/>
              <w:rPr>
                <w:rFonts w:ascii="宋体" w:hAnsi="宋体" w:cs="宋体"/>
                <w:kern w:val="0"/>
                <w:sz w:val="18"/>
                <w:szCs w:val="18"/>
              </w:rPr>
            </w:pPr>
            <w:r>
              <w:rPr>
                <w:rFonts w:hint="eastAsia" w:ascii="宋体" w:hAnsi="宋体" w:cs="宋体"/>
                <w:kern w:val="0"/>
                <w:sz w:val="18"/>
                <w:szCs w:val="18"/>
              </w:rPr>
              <w:t>人</w:t>
            </w:r>
          </w:p>
        </w:tc>
        <w:tc>
          <w:tcPr>
            <w:tcW w:w="962" w:type="pct"/>
            <w:tcBorders>
              <w:top w:val="nil"/>
              <w:left w:val="nil"/>
              <w:bottom w:val="single" w:color="auto" w:sz="4" w:space="0"/>
              <w:right w:val="single" w:color="auto" w:sz="4" w:space="0"/>
            </w:tcBorders>
            <w:noWrap w:val="0"/>
            <w:vAlign w:val="center"/>
          </w:tcPr>
          <w:p w14:paraId="4FA332AF">
            <w:pPr>
              <w:widowControl/>
              <w:jc w:val="center"/>
              <w:rPr>
                <w:rFonts w:ascii="宋体" w:hAnsi="宋体" w:cs="宋体"/>
                <w:kern w:val="0"/>
                <w:sz w:val="18"/>
                <w:szCs w:val="18"/>
              </w:rPr>
            </w:pPr>
            <w:r>
              <w:rPr>
                <w:rFonts w:hint="eastAsia" w:ascii="宋体" w:hAnsi="宋体" w:cs="宋体"/>
                <w:kern w:val="0"/>
                <w:sz w:val="18"/>
                <w:szCs w:val="18"/>
              </w:rPr>
              <w:t>300≤X＜1000</w:t>
            </w:r>
          </w:p>
        </w:tc>
        <w:tc>
          <w:tcPr>
            <w:tcW w:w="902" w:type="pct"/>
            <w:tcBorders>
              <w:top w:val="nil"/>
              <w:left w:val="nil"/>
              <w:bottom w:val="single" w:color="auto" w:sz="4" w:space="0"/>
              <w:right w:val="single" w:color="auto" w:sz="4" w:space="0"/>
            </w:tcBorders>
            <w:noWrap w:val="0"/>
            <w:vAlign w:val="center"/>
          </w:tcPr>
          <w:p w14:paraId="4DBE7969">
            <w:pPr>
              <w:widowControl/>
              <w:jc w:val="center"/>
              <w:rPr>
                <w:rFonts w:ascii="宋体" w:hAnsi="宋体" w:cs="宋体"/>
                <w:kern w:val="0"/>
                <w:sz w:val="18"/>
                <w:szCs w:val="18"/>
              </w:rPr>
            </w:pPr>
            <w:r>
              <w:rPr>
                <w:rFonts w:hint="eastAsia" w:ascii="宋体" w:hAnsi="宋体" w:cs="宋体"/>
                <w:kern w:val="0"/>
                <w:sz w:val="18"/>
                <w:szCs w:val="18"/>
              </w:rPr>
              <w:t>20≤X＜300</w:t>
            </w:r>
          </w:p>
        </w:tc>
        <w:tc>
          <w:tcPr>
            <w:tcW w:w="578" w:type="pct"/>
            <w:tcBorders>
              <w:top w:val="nil"/>
              <w:left w:val="nil"/>
              <w:bottom w:val="single" w:color="auto" w:sz="4" w:space="0"/>
              <w:right w:val="single" w:color="auto" w:sz="4" w:space="0"/>
            </w:tcBorders>
            <w:noWrap w:val="0"/>
            <w:vAlign w:val="center"/>
          </w:tcPr>
          <w:p w14:paraId="5128BE05">
            <w:pPr>
              <w:widowControl/>
              <w:jc w:val="center"/>
              <w:rPr>
                <w:rFonts w:ascii="宋体" w:hAnsi="宋体" w:cs="宋体"/>
                <w:kern w:val="0"/>
                <w:sz w:val="18"/>
                <w:szCs w:val="18"/>
              </w:rPr>
            </w:pPr>
            <w:r>
              <w:rPr>
                <w:rFonts w:hint="eastAsia" w:ascii="宋体" w:hAnsi="宋体" w:cs="宋体"/>
                <w:kern w:val="0"/>
                <w:sz w:val="18"/>
                <w:szCs w:val="18"/>
              </w:rPr>
              <w:t>X＜20</w:t>
            </w:r>
          </w:p>
        </w:tc>
      </w:tr>
      <w:tr w14:paraId="1015AC2E">
        <w:tblPrEx>
          <w:tblCellMar>
            <w:top w:w="0" w:type="dxa"/>
            <w:left w:w="108" w:type="dxa"/>
            <w:bottom w:w="0" w:type="dxa"/>
            <w:right w:w="108" w:type="dxa"/>
          </w:tblCellMar>
        </w:tblPrEx>
        <w:trPr>
          <w:trHeight w:val="318" w:hRule="atLeast"/>
          <w:jc w:val="center"/>
        </w:trPr>
        <w:tc>
          <w:tcPr>
            <w:tcW w:w="980" w:type="pct"/>
            <w:vMerge w:val="continue"/>
            <w:tcBorders>
              <w:top w:val="nil"/>
              <w:left w:val="single" w:color="auto" w:sz="4" w:space="0"/>
              <w:bottom w:val="single" w:color="auto" w:sz="4" w:space="0"/>
              <w:right w:val="single" w:color="auto" w:sz="4" w:space="0"/>
            </w:tcBorders>
            <w:noWrap w:val="0"/>
            <w:vAlign w:val="center"/>
          </w:tcPr>
          <w:p w14:paraId="0D27FB2B">
            <w:pPr>
              <w:widowControl/>
              <w:jc w:val="center"/>
              <w:rPr>
                <w:rFonts w:ascii="宋体" w:hAnsi="宋体" w:cs="宋体"/>
                <w:b/>
                <w:bCs/>
                <w:kern w:val="0"/>
                <w:sz w:val="18"/>
                <w:szCs w:val="18"/>
              </w:rPr>
            </w:pPr>
          </w:p>
        </w:tc>
        <w:tc>
          <w:tcPr>
            <w:tcW w:w="831" w:type="pct"/>
            <w:tcBorders>
              <w:top w:val="nil"/>
              <w:left w:val="nil"/>
              <w:bottom w:val="single" w:color="auto" w:sz="4" w:space="0"/>
              <w:right w:val="single" w:color="auto" w:sz="4" w:space="0"/>
            </w:tcBorders>
            <w:noWrap w:val="0"/>
            <w:vAlign w:val="center"/>
          </w:tcPr>
          <w:p w14:paraId="77F8DB92">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748" w:type="pct"/>
            <w:tcBorders>
              <w:top w:val="nil"/>
              <w:left w:val="nil"/>
              <w:bottom w:val="single" w:color="auto" w:sz="4" w:space="0"/>
              <w:right w:val="single" w:color="auto" w:sz="4" w:space="0"/>
            </w:tcBorders>
            <w:noWrap w:val="0"/>
            <w:vAlign w:val="center"/>
          </w:tcPr>
          <w:p w14:paraId="0BC3D785">
            <w:pPr>
              <w:widowControl/>
              <w:jc w:val="center"/>
              <w:rPr>
                <w:rFonts w:ascii="宋体" w:hAnsi="宋体" w:cs="宋体"/>
                <w:kern w:val="0"/>
                <w:sz w:val="18"/>
                <w:szCs w:val="18"/>
              </w:rPr>
            </w:pPr>
            <w:r>
              <w:rPr>
                <w:rFonts w:hint="eastAsia" w:ascii="宋体" w:hAnsi="宋体" w:cs="宋体"/>
                <w:kern w:val="0"/>
                <w:sz w:val="18"/>
                <w:szCs w:val="18"/>
              </w:rPr>
              <w:t>万元</w:t>
            </w:r>
          </w:p>
        </w:tc>
        <w:tc>
          <w:tcPr>
            <w:tcW w:w="962" w:type="pct"/>
            <w:tcBorders>
              <w:top w:val="nil"/>
              <w:left w:val="nil"/>
              <w:bottom w:val="single" w:color="auto" w:sz="4" w:space="0"/>
              <w:right w:val="single" w:color="auto" w:sz="4" w:space="0"/>
            </w:tcBorders>
            <w:noWrap w:val="0"/>
            <w:vAlign w:val="center"/>
          </w:tcPr>
          <w:p w14:paraId="54065A40">
            <w:pPr>
              <w:widowControl/>
              <w:jc w:val="center"/>
              <w:rPr>
                <w:rFonts w:ascii="宋体" w:hAnsi="宋体" w:cs="宋体"/>
                <w:kern w:val="0"/>
                <w:sz w:val="18"/>
                <w:szCs w:val="18"/>
              </w:rPr>
            </w:pPr>
            <w:r>
              <w:rPr>
                <w:rFonts w:hint="eastAsia" w:ascii="宋体" w:hAnsi="宋体" w:cs="宋体"/>
                <w:kern w:val="0"/>
                <w:sz w:val="18"/>
                <w:szCs w:val="18"/>
              </w:rPr>
              <w:t>2000≤Y＜40000</w:t>
            </w:r>
          </w:p>
        </w:tc>
        <w:tc>
          <w:tcPr>
            <w:tcW w:w="902" w:type="pct"/>
            <w:tcBorders>
              <w:top w:val="nil"/>
              <w:left w:val="nil"/>
              <w:bottom w:val="single" w:color="auto" w:sz="4" w:space="0"/>
              <w:right w:val="single" w:color="auto" w:sz="4" w:space="0"/>
            </w:tcBorders>
            <w:noWrap w:val="0"/>
            <w:vAlign w:val="center"/>
          </w:tcPr>
          <w:p w14:paraId="100B0B4A">
            <w:pPr>
              <w:widowControl/>
              <w:jc w:val="center"/>
              <w:rPr>
                <w:rFonts w:ascii="宋体" w:hAnsi="宋体" w:cs="宋体"/>
                <w:kern w:val="0"/>
                <w:sz w:val="18"/>
                <w:szCs w:val="18"/>
              </w:rPr>
            </w:pPr>
            <w:r>
              <w:rPr>
                <w:rFonts w:hint="eastAsia" w:ascii="宋体" w:hAnsi="宋体" w:cs="宋体"/>
                <w:kern w:val="0"/>
                <w:sz w:val="18"/>
                <w:szCs w:val="18"/>
              </w:rPr>
              <w:t>300≤Y＜2000</w:t>
            </w:r>
          </w:p>
        </w:tc>
        <w:tc>
          <w:tcPr>
            <w:tcW w:w="578" w:type="pct"/>
            <w:tcBorders>
              <w:top w:val="nil"/>
              <w:left w:val="nil"/>
              <w:bottom w:val="single" w:color="auto" w:sz="4" w:space="0"/>
              <w:right w:val="single" w:color="auto" w:sz="4" w:space="0"/>
            </w:tcBorders>
            <w:noWrap w:val="0"/>
            <w:vAlign w:val="center"/>
          </w:tcPr>
          <w:p w14:paraId="014EA46F">
            <w:pPr>
              <w:widowControl/>
              <w:jc w:val="center"/>
              <w:rPr>
                <w:rFonts w:ascii="宋体" w:hAnsi="宋体" w:cs="宋体"/>
                <w:kern w:val="0"/>
                <w:sz w:val="18"/>
                <w:szCs w:val="18"/>
              </w:rPr>
            </w:pPr>
            <w:r>
              <w:rPr>
                <w:rFonts w:hint="eastAsia" w:ascii="宋体" w:hAnsi="宋体" w:cs="宋体"/>
                <w:kern w:val="0"/>
                <w:sz w:val="18"/>
                <w:szCs w:val="18"/>
              </w:rPr>
              <w:t>Y＜300</w:t>
            </w:r>
          </w:p>
        </w:tc>
      </w:tr>
      <w:tr w14:paraId="15F765C9">
        <w:tblPrEx>
          <w:tblCellMar>
            <w:top w:w="0" w:type="dxa"/>
            <w:left w:w="108" w:type="dxa"/>
            <w:bottom w:w="0" w:type="dxa"/>
            <w:right w:w="108" w:type="dxa"/>
          </w:tblCellMar>
        </w:tblPrEx>
        <w:trPr>
          <w:trHeight w:val="318" w:hRule="atLeast"/>
          <w:jc w:val="center"/>
        </w:trPr>
        <w:tc>
          <w:tcPr>
            <w:tcW w:w="980" w:type="pct"/>
            <w:vMerge w:val="restart"/>
            <w:tcBorders>
              <w:top w:val="nil"/>
              <w:left w:val="single" w:color="auto" w:sz="4" w:space="0"/>
              <w:bottom w:val="single" w:color="auto" w:sz="4" w:space="0"/>
              <w:right w:val="single" w:color="auto" w:sz="4" w:space="0"/>
            </w:tcBorders>
            <w:noWrap w:val="0"/>
            <w:vAlign w:val="center"/>
          </w:tcPr>
          <w:p w14:paraId="50651AC2">
            <w:pPr>
              <w:widowControl/>
              <w:jc w:val="center"/>
              <w:rPr>
                <w:rFonts w:ascii="宋体" w:hAnsi="宋体" w:cs="宋体"/>
                <w:b/>
                <w:bCs/>
                <w:kern w:val="0"/>
                <w:sz w:val="18"/>
                <w:szCs w:val="18"/>
              </w:rPr>
            </w:pPr>
            <w:r>
              <w:rPr>
                <w:rFonts w:hint="eastAsia" w:ascii="宋体" w:hAnsi="宋体" w:cs="宋体"/>
                <w:b/>
                <w:bCs/>
                <w:kern w:val="0"/>
                <w:sz w:val="18"/>
                <w:szCs w:val="18"/>
              </w:rPr>
              <w:t>建筑业</w:t>
            </w:r>
          </w:p>
        </w:tc>
        <w:tc>
          <w:tcPr>
            <w:tcW w:w="831" w:type="pct"/>
            <w:tcBorders>
              <w:top w:val="nil"/>
              <w:left w:val="nil"/>
              <w:bottom w:val="single" w:color="auto" w:sz="4" w:space="0"/>
              <w:right w:val="single" w:color="auto" w:sz="4" w:space="0"/>
            </w:tcBorders>
            <w:noWrap w:val="0"/>
            <w:vAlign w:val="center"/>
          </w:tcPr>
          <w:p w14:paraId="5764A90C">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748" w:type="pct"/>
            <w:tcBorders>
              <w:top w:val="nil"/>
              <w:left w:val="nil"/>
              <w:bottom w:val="single" w:color="auto" w:sz="4" w:space="0"/>
              <w:right w:val="single" w:color="auto" w:sz="4" w:space="0"/>
            </w:tcBorders>
            <w:noWrap w:val="0"/>
            <w:vAlign w:val="center"/>
          </w:tcPr>
          <w:p w14:paraId="1927300B">
            <w:pPr>
              <w:widowControl/>
              <w:jc w:val="center"/>
              <w:rPr>
                <w:rFonts w:ascii="宋体" w:hAnsi="宋体" w:cs="宋体"/>
                <w:kern w:val="0"/>
                <w:sz w:val="18"/>
                <w:szCs w:val="18"/>
              </w:rPr>
            </w:pPr>
            <w:r>
              <w:rPr>
                <w:rFonts w:hint="eastAsia" w:ascii="宋体" w:hAnsi="宋体" w:cs="宋体"/>
                <w:kern w:val="0"/>
                <w:sz w:val="18"/>
                <w:szCs w:val="18"/>
              </w:rPr>
              <w:t>万元</w:t>
            </w:r>
          </w:p>
        </w:tc>
        <w:tc>
          <w:tcPr>
            <w:tcW w:w="962" w:type="pct"/>
            <w:tcBorders>
              <w:top w:val="nil"/>
              <w:left w:val="nil"/>
              <w:bottom w:val="single" w:color="auto" w:sz="4" w:space="0"/>
              <w:right w:val="single" w:color="auto" w:sz="4" w:space="0"/>
            </w:tcBorders>
            <w:noWrap w:val="0"/>
            <w:vAlign w:val="center"/>
          </w:tcPr>
          <w:p w14:paraId="3312577F">
            <w:pPr>
              <w:widowControl/>
              <w:jc w:val="center"/>
              <w:rPr>
                <w:rFonts w:ascii="宋体" w:hAnsi="宋体" w:cs="宋体"/>
                <w:kern w:val="0"/>
                <w:sz w:val="18"/>
                <w:szCs w:val="18"/>
              </w:rPr>
            </w:pPr>
            <w:r>
              <w:rPr>
                <w:rFonts w:hint="eastAsia" w:ascii="宋体" w:hAnsi="宋体" w:cs="宋体"/>
                <w:kern w:val="0"/>
                <w:sz w:val="18"/>
                <w:szCs w:val="18"/>
              </w:rPr>
              <w:t>6000≤Y＜80000</w:t>
            </w:r>
          </w:p>
        </w:tc>
        <w:tc>
          <w:tcPr>
            <w:tcW w:w="902" w:type="pct"/>
            <w:tcBorders>
              <w:top w:val="nil"/>
              <w:left w:val="nil"/>
              <w:bottom w:val="single" w:color="auto" w:sz="4" w:space="0"/>
              <w:right w:val="single" w:color="auto" w:sz="4" w:space="0"/>
            </w:tcBorders>
            <w:noWrap w:val="0"/>
            <w:vAlign w:val="center"/>
          </w:tcPr>
          <w:p w14:paraId="344A2DC3">
            <w:pPr>
              <w:widowControl/>
              <w:jc w:val="center"/>
              <w:rPr>
                <w:rFonts w:ascii="宋体" w:hAnsi="宋体" w:cs="宋体"/>
                <w:kern w:val="0"/>
                <w:sz w:val="18"/>
                <w:szCs w:val="18"/>
              </w:rPr>
            </w:pPr>
            <w:r>
              <w:rPr>
                <w:rFonts w:hint="eastAsia" w:ascii="宋体" w:hAnsi="宋体" w:cs="宋体"/>
                <w:kern w:val="0"/>
                <w:sz w:val="18"/>
                <w:szCs w:val="18"/>
              </w:rPr>
              <w:t>300≤Y＜6000</w:t>
            </w:r>
          </w:p>
        </w:tc>
        <w:tc>
          <w:tcPr>
            <w:tcW w:w="578" w:type="pct"/>
            <w:tcBorders>
              <w:top w:val="nil"/>
              <w:left w:val="nil"/>
              <w:bottom w:val="single" w:color="auto" w:sz="4" w:space="0"/>
              <w:right w:val="single" w:color="auto" w:sz="4" w:space="0"/>
            </w:tcBorders>
            <w:noWrap w:val="0"/>
            <w:vAlign w:val="center"/>
          </w:tcPr>
          <w:p w14:paraId="134B235E">
            <w:pPr>
              <w:widowControl/>
              <w:jc w:val="center"/>
              <w:rPr>
                <w:rFonts w:ascii="宋体" w:hAnsi="宋体" w:cs="宋体"/>
                <w:kern w:val="0"/>
                <w:sz w:val="18"/>
                <w:szCs w:val="18"/>
              </w:rPr>
            </w:pPr>
            <w:r>
              <w:rPr>
                <w:rFonts w:hint="eastAsia" w:ascii="宋体" w:hAnsi="宋体" w:cs="宋体"/>
                <w:kern w:val="0"/>
                <w:sz w:val="18"/>
                <w:szCs w:val="18"/>
              </w:rPr>
              <w:t>Y＜300</w:t>
            </w:r>
          </w:p>
        </w:tc>
      </w:tr>
      <w:tr w14:paraId="2A48B585">
        <w:tblPrEx>
          <w:tblCellMar>
            <w:top w:w="0" w:type="dxa"/>
            <w:left w:w="108" w:type="dxa"/>
            <w:bottom w:w="0" w:type="dxa"/>
            <w:right w:w="108" w:type="dxa"/>
          </w:tblCellMar>
        </w:tblPrEx>
        <w:trPr>
          <w:trHeight w:val="318" w:hRule="atLeast"/>
          <w:jc w:val="center"/>
        </w:trPr>
        <w:tc>
          <w:tcPr>
            <w:tcW w:w="980" w:type="pct"/>
            <w:vMerge w:val="continue"/>
            <w:tcBorders>
              <w:top w:val="nil"/>
              <w:left w:val="single" w:color="auto" w:sz="4" w:space="0"/>
              <w:bottom w:val="single" w:color="auto" w:sz="4" w:space="0"/>
              <w:right w:val="single" w:color="auto" w:sz="4" w:space="0"/>
            </w:tcBorders>
            <w:noWrap w:val="0"/>
            <w:vAlign w:val="center"/>
          </w:tcPr>
          <w:p w14:paraId="1B7926F0">
            <w:pPr>
              <w:widowControl/>
              <w:jc w:val="center"/>
              <w:rPr>
                <w:rFonts w:ascii="宋体" w:hAnsi="宋体" w:cs="宋体"/>
                <w:b/>
                <w:bCs/>
                <w:kern w:val="0"/>
                <w:sz w:val="18"/>
                <w:szCs w:val="18"/>
              </w:rPr>
            </w:pPr>
          </w:p>
        </w:tc>
        <w:tc>
          <w:tcPr>
            <w:tcW w:w="831" w:type="pct"/>
            <w:tcBorders>
              <w:top w:val="nil"/>
              <w:left w:val="nil"/>
              <w:bottom w:val="single" w:color="auto" w:sz="4" w:space="0"/>
              <w:right w:val="single" w:color="auto" w:sz="4" w:space="0"/>
            </w:tcBorders>
            <w:noWrap w:val="0"/>
            <w:vAlign w:val="center"/>
          </w:tcPr>
          <w:p w14:paraId="3F03EB46">
            <w:pPr>
              <w:widowControl/>
              <w:jc w:val="center"/>
              <w:rPr>
                <w:rFonts w:ascii="宋体" w:hAnsi="宋体" w:cs="宋体"/>
                <w:kern w:val="0"/>
                <w:sz w:val="18"/>
                <w:szCs w:val="18"/>
              </w:rPr>
            </w:pPr>
            <w:r>
              <w:rPr>
                <w:rFonts w:hint="eastAsia" w:ascii="宋体" w:hAnsi="宋体" w:cs="宋体"/>
                <w:kern w:val="0"/>
                <w:sz w:val="18"/>
                <w:szCs w:val="18"/>
              </w:rPr>
              <w:t>资产总额（Z）</w:t>
            </w:r>
          </w:p>
        </w:tc>
        <w:tc>
          <w:tcPr>
            <w:tcW w:w="748" w:type="pct"/>
            <w:tcBorders>
              <w:top w:val="nil"/>
              <w:left w:val="nil"/>
              <w:bottom w:val="single" w:color="auto" w:sz="4" w:space="0"/>
              <w:right w:val="single" w:color="auto" w:sz="4" w:space="0"/>
            </w:tcBorders>
            <w:noWrap w:val="0"/>
            <w:vAlign w:val="center"/>
          </w:tcPr>
          <w:p w14:paraId="5181EBE4">
            <w:pPr>
              <w:widowControl/>
              <w:jc w:val="center"/>
              <w:rPr>
                <w:rFonts w:ascii="宋体" w:hAnsi="宋体" w:cs="宋体"/>
                <w:kern w:val="0"/>
                <w:sz w:val="18"/>
                <w:szCs w:val="18"/>
              </w:rPr>
            </w:pPr>
            <w:r>
              <w:rPr>
                <w:rFonts w:hint="eastAsia" w:ascii="宋体" w:hAnsi="宋体" w:cs="宋体"/>
                <w:kern w:val="0"/>
                <w:sz w:val="18"/>
                <w:szCs w:val="18"/>
              </w:rPr>
              <w:t>万元</w:t>
            </w:r>
          </w:p>
        </w:tc>
        <w:tc>
          <w:tcPr>
            <w:tcW w:w="962" w:type="pct"/>
            <w:tcBorders>
              <w:top w:val="nil"/>
              <w:left w:val="nil"/>
              <w:bottom w:val="single" w:color="auto" w:sz="4" w:space="0"/>
              <w:right w:val="single" w:color="auto" w:sz="4" w:space="0"/>
            </w:tcBorders>
            <w:noWrap w:val="0"/>
            <w:vAlign w:val="center"/>
          </w:tcPr>
          <w:p w14:paraId="3900A59C">
            <w:pPr>
              <w:widowControl/>
              <w:jc w:val="center"/>
              <w:rPr>
                <w:rFonts w:ascii="宋体" w:hAnsi="宋体" w:cs="宋体"/>
                <w:kern w:val="0"/>
                <w:sz w:val="18"/>
                <w:szCs w:val="18"/>
              </w:rPr>
            </w:pPr>
            <w:r>
              <w:rPr>
                <w:rFonts w:hint="eastAsia" w:ascii="宋体" w:hAnsi="宋体" w:cs="宋体"/>
                <w:kern w:val="0"/>
                <w:sz w:val="18"/>
                <w:szCs w:val="18"/>
              </w:rPr>
              <w:t>5000≤Z＜80000</w:t>
            </w:r>
          </w:p>
        </w:tc>
        <w:tc>
          <w:tcPr>
            <w:tcW w:w="902" w:type="pct"/>
            <w:tcBorders>
              <w:top w:val="nil"/>
              <w:left w:val="nil"/>
              <w:bottom w:val="single" w:color="auto" w:sz="4" w:space="0"/>
              <w:right w:val="single" w:color="auto" w:sz="4" w:space="0"/>
            </w:tcBorders>
            <w:noWrap w:val="0"/>
            <w:vAlign w:val="center"/>
          </w:tcPr>
          <w:p w14:paraId="00730060">
            <w:pPr>
              <w:widowControl/>
              <w:jc w:val="center"/>
              <w:rPr>
                <w:rFonts w:ascii="宋体" w:hAnsi="宋体" w:cs="宋体"/>
                <w:kern w:val="0"/>
                <w:sz w:val="18"/>
                <w:szCs w:val="18"/>
              </w:rPr>
            </w:pPr>
            <w:r>
              <w:rPr>
                <w:rFonts w:hint="eastAsia" w:ascii="宋体" w:hAnsi="宋体" w:cs="宋体"/>
                <w:kern w:val="0"/>
                <w:sz w:val="18"/>
                <w:szCs w:val="18"/>
              </w:rPr>
              <w:t>300≤Z＜5000</w:t>
            </w:r>
          </w:p>
        </w:tc>
        <w:tc>
          <w:tcPr>
            <w:tcW w:w="578" w:type="pct"/>
            <w:tcBorders>
              <w:top w:val="nil"/>
              <w:left w:val="nil"/>
              <w:bottom w:val="single" w:color="auto" w:sz="4" w:space="0"/>
              <w:right w:val="single" w:color="auto" w:sz="4" w:space="0"/>
            </w:tcBorders>
            <w:noWrap w:val="0"/>
            <w:vAlign w:val="center"/>
          </w:tcPr>
          <w:p w14:paraId="28B95D23">
            <w:pPr>
              <w:widowControl/>
              <w:jc w:val="center"/>
              <w:rPr>
                <w:rFonts w:ascii="宋体" w:hAnsi="宋体" w:cs="宋体"/>
                <w:kern w:val="0"/>
                <w:sz w:val="18"/>
                <w:szCs w:val="18"/>
              </w:rPr>
            </w:pPr>
            <w:r>
              <w:rPr>
                <w:rFonts w:hint="eastAsia" w:ascii="宋体" w:hAnsi="宋体" w:cs="宋体"/>
                <w:kern w:val="0"/>
                <w:sz w:val="18"/>
                <w:szCs w:val="18"/>
              </w:rPr>
              <w:t>Z＜300</w:t>
            </w:r>
          </w:p>
        </w:tc>
      </w:tr>
      <w:tr w14:paraId="715FFA27">
        <w:tblPrEx>
          <w:tblCellMar>
            <w:top w:w="0" w:type="dxa"/>
            <w:left w:w="108" w:type="dxa"/>
            <w:bottom w:w="0" w:type="dxa"/>
            <w:right w:w="108" w:type="dxa"/>
          </w:tblCellMar>
        </w:tblPrEx>
        <w:trPr>
          <w:trHeight w:val="318" w:hRule="atLeast"/>
          <w:jc w:val="center"/>
        </w:trPr>
        <w:tc>
          <w:tcPr>
            <w:tcW w:w="980" w:type="pct"/>
            <w:vMerge w:val="restart"/>
            <w:tcBorders>
              <w:top w:val="nil"/>
              <w:left w:val="single" w:color="auto" w:sz="4" w:space="0"/>
              <w:bottom w:val="single" w:color="auto" w:sz="4" w:space="0"/>
              <w:right w:val="single" w:color="auto" w:sz="4" w:space="0"/>
            </w:tcBorders>
            <w:noWrap w:val="0"/>
            <w:vAlign w:val="center"/>
          </w:tcPr>
          <w:p w14:paraId="7951CD69">
            <w:pPr>
              <w:widowControl/>
              <w:jc w:val="center"/>
              <w:rPr>
                <w:rFonts w:ascii="宋体" w:hAnsi="宋体" w:cs="宋体"/>
                <w:b/>
                <w:bCs/>
                <w:kern w:val="0"/>
                <w:sz w:val="18"/>
                <w:szCs w:val="18"/>
              </w:rPr>
            </w:pPr>
            <w:r>
              <w:rPr>
                <w:rFonts w:hint="eastAsia" w:ascii="宋体" w:hAnsi="宋体" w:cs="宋体"/>
                <w:b/>
                <w:bCs/>
                <w:kern w:val="0"/>
                <w:sz w:val="18"/>
                <w:szCs w:val="18"/>
              </w:rPr>
              <w:t>批发业</w:t>
            </w:r>
          </w:p>
        </w:tc>
        <w:tc>
          <w:tcPr>
            <w:tcW w:w="831" w:type="pct"/>
            <w:tcBorders>
              <w:top w:val="nil"/>
              <w:left w:val="nil"/>
              <w:bottom w:val="single" w:color="auto" w:sz="4" w:space="0"/>
              <w:right w:val="single" w:color="auto" w:sz="4" w:space="0"/>
            </w:tcBorders>
            <w:noWrap w:val="0"/>
            <w:vAlign w:val="center"/>
          </w:tcPr>
          <w:p w14:paraId="5E68AF11">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48" w:type="pct"/>
            <w:tcBorders>
              <w:top w:val="nil"/>
              <w:left w:val="nil"/>
              <w:bottom w:val="single" w:color="auto" w:sz="4" w:space="0"/>
              <w:right w:val="single" w:color="auto" w:sz="4" w:space="0"/>
            </w:tcBorders>
            <w:noWrap w:val="0"/>
            <w:vAlign w:val="center"/>
          </w:tcPr>
          <w:p w14:paraId="677FABF6">
            <w:pPr>
              <w:widowControl/>
              <w:jc w:val="center"/>
              <w:rPr>
                <w:rFonts w:ascii="宋体" w:hAnsi="宋体" w:cs="宋体"/>
                <w:kern w:val="0"/>
                <w:sz w:val="18"/>
                <w:szCs w:val="18"/>
              </w:rPr>
            </w:pPr>
            <w:r>
              <w:rPr>
                <w:rFonts w:hint="eastAsia" w:ascii="宋体" w:hAnsi="宋体" w:cs="宋体"/>
                <w:kern w:val="0"/>
                <w:sz w:val="18"/>
                <w:szCs w:val="18"/>
              </w:rPr>
              <w:t>人</w:t>
            </w:r>
          </w:p>
        </w:tc>
        <w:tc>
          <w:tcPr>
            <w:tcW w:w="962" w:type="pct"/>
            <w:tcBorders>
              <w:top w:val="nil"/>
              <w:left w:val="nil"/>
              <w:bottom w:val="single" w:color="auto" w:sz="4" w:space="0"/>
              <w:right w:val="single" w:color="auto" w:sz="4" w:space="0"/>
            </w:tcBorders>
            <w:noWrap w:val="0"/>
            <w:vAlign w:val="center"/>
          </w:tcPr>
          <w:p w14:paraId="4BFD581F">
            <w:pPr>
              <w:widowControl/>
              <w:jc w:val="center"/>
              <w:rPr>
                <w:rFonts w:ascii="宋体" w:hAnsi="宋体" w:cs="宋体"/>
                <w:kern w:val="0"/>
                <w:sz w:val="18"/>
                <w:szCs w:val="18"/>
              </w:rPr>
            </w:pPr>
            <w:r>
              <w:rPr>
                <w:rFonts w:hint="eastAsia" w:ascii="宋体" w:hAnsi="宋体" w:cs="宋体"/>
                <w:kern w:val="0"/>
                <w:sz w:val="18"/>
                <w:szCs w:val="18"/>
              </w:rPr>
              <w:t>20≤X＜200</w:t>
            </w:r>
          </w:p>
        </w:tc>
        <w:tc>
          <w:tcPr>
            <w:tcW w:w="902" w:type="pct"/>
            <w:tcBorders>
              <w:top w:val="nil"/>
              <w:left w:val="nil"/>
              <w:bottom w:val="single" w:color="auto" w:sz="4" w:space="0"/>
              <w:right w:val="single" w:color="auto" w:sz="4" w:space="0"/>
            </w:tcBorders>
            <w:noWrap w:val="0"/>
            <w:vAlign w:val="center"/>
          </w:tcPr>
          <w:p w14:paraId="0CC750D6">
            <w:pPr>
              <w:widowControl/>
              <w:jc w:val="center"/>
              <w:rPr>
                <w:rFonts w:ascii="宋体" w:hAnsi="宋体" w:cs="宋体"/>
                <w:kern w:val="0"/>
                <w:sz w:val="18"/>
                <w:szCs w:val="18"/>
              </w:rPr>
            </w:pPr>
            <w:r>
              <w:rPr>
                <w:rFonts w:hint="eastAsia" w:ascii="宋体" w:hAnsi="宋体" w:cs="宋体"/>
                <w:kern w:val="0"/>
                <w:sz w:val="18"/>
                <w:szCs w:val="18"/>
              </w:rPr>
              <w:t>5≤X＜20</w:t>
            </w:r>
          </w:p>
        </w:tc>
        <w:tc>
          <w:tcPr>
            <w:tcW w:w="578" w:type="pct"/>
            <w:tcBorders>
              <w:top w:val="nil"/>
              <w:left w:val="nil"/>
              <w:bottom w:val="single" w:color="auto" w:sz="4" w:space="0"/>
              <w:right w:val="single" w:color="auto" w:sz="4" w:space="0"/>
            </w:tcBorders>
            <w:noWrap w:val="0"/>
            <w:vAlign w:val="center"/>
          </w:tcPr>
          <w:p w14:paraId="1BFCB5BC">
            <w:pPr>
              <w:widowControl/>
              <w:jc w:val="center"/>
              <w:rPr>
                <w:rFonts w:ascii="宋体" w:hAnsi="宋体" w:cs="宋体"/>
                <w:kern w:val="0"/>
                <w:sz w:val="18"/>
                <w:szCs w:val="18"/>
              </w:rPr>
            </w:pPr>
            <w:r>
              <w:rPr>
                <w:rFonts w:hint="eastAsia" w:ascii="宋体" w:hAnsi="宋体" w:cs="宋体"/>
                <w:kern w:val="0"/>
                <w:sz w:val="18"/>
                <w:szCs w:val="18"/>
              </w:rPr>
              <w:t>X＜5</w:t>
            </w:r>
          </w:p>
        </w:tc>
      </w:tr>
      <w:tr w14:paraId="65500B90">
        <w:tblPrEx>
          <w:tblCellMar>
            <w:top w:w="0" w:type="dxa"/>
            <w:left w:w="108" w:type="dxa"/>
            <w:bottom w:w="0" w:type="dxa"/>
            <w:right w:w="108" w:type="dxa"/>
          </w:tblCellMar>
        </w:tblPrEx>
        <w:trPr>
          <w:trHeight w:val="318" w:hRule="atLeast"/>
          <w:jc w:val="center"/>
        </w:trPr>
        <w:tc>
          <w:tcPr>
            <w:tcW w:w="980" w:type="pct"/>
            <w:vMerge w:val="continue"/>
            <w:tcBorders>
              <w:top w:val="nil"/>
              <w:left w:val="single" w:color="auto" w:sz="4" w:space="0"/>
              <w:bottom w:val="single" w:color="auto" w:sz="4" w:space="0"/>
              <w:right w:val="single" w:color="auto" w:sz="4" w:space="0"/>
            </w:tcBorders>
            <w:noWrap w:val="0"/>
            <w:vAlign w:val="center"/>
          </w:tcPr>
          <w:p w14:paraId="675E36D5">
            <w:pPr>
              <w:widowControl/>
              <w:jc w:val="center"/>
              <w:rPr>
                <w:rFonts w:ascii="宋体" w:hAnsi="宋体" w:cs="宋体"/>
                <w:b/>
                <w:bCs/>
                <w:kern w:val="0"/>
                <w:sz w:val="18"/>
                <w:szCs w:val="18"/>
              </w:rPr>
            </w:pPr>
          </w:p>
        </w:tc>
        <w:tc>
          <w:tcPr>
            <w:tcW w:w="831" w:type="pct"/>
            <w:tcBorders>
              <w:top w:val="nil"/>
              <w:left w:val="nil"/>
              <w:bottom w:val="single" w:color="auto" w:sz="4" w:space="0"/>
              <w:right w:val="single" w:color="auto" w:sz="4" w:space="0"/>
            </w:tcBorders>
            <w:noWrap w:val="0"/>
            <w:vAlign w:val="center"/>
          </w:tcPr>
          <w:p w14:paraId="709E24C8">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748" w:type="pct"/>
            <w:tcBorders>
              <w:top w:val="nil"/>
              <w:left w:val="nil"/>
              <w:bottom w:val="single" w:color="auto" w:sz="4" w:space="0"/>
              <w:right w:val="single" w:color="auto" w:sz="4" w:space="0"/>
            </w:tcBorders>
            <w:noWrap w:val="0"/>
            <w:vAlign w:val="center"/>
          </w:tcPr>
          <w:p w14:paraId="7A260499">
            <w:pPr>
              <w:widowControl/>
              <w:jc w:val="center"/>
              <w:rPr>
                <w:rFonts w:ascii="宋体" w:hAnsi="宋体" w:cs="宋体"/>
                <w:kern w:val="0"/>
                <w:sz w:val="18"/>
                <w:szCs w:val="18"/>
              </w:rPr>
            </w:pPr>
            <w:r>
              <w:rPr>
                <w:rFonts w:hint="eastAsia" w:ascii="宋体" w:hAnsi="宋体" w:cs="宋体"/>
                <w:kern w:val="0"/>
                <w:sz w:val="18"/>
                <w:szCs w:val="18"/>
              </w:rPr>
              <w:t>万元</w:t>
            </w:r>
          </w:p>
        </w:tc>
        <w:tc>
          <w:tcPr>
            <w:tcW w:w="962" w:type="pct"/>
            <w:tcBorders>
              <w:top w:val="nil"/>
              <w:left w:val="nil"/>
              <w:bottom w:val="single" w:color="auto" w:sz="4" w:space="0"/>
              <w:right w:val="single" w:color="auto" w:sz="4" w:space="0"/>
            </w:tcBorders>
            <w:noWrap w:val="0"/>
            <w:vAlign w:val="center"/>
          </w:tcPr>
          <w:p w14:paraId="58F432FF">
            <w:pPr>
              <w:widowControl/>
              <w:jc w:val="center"/>
              <w:rPr>
                <w:rFonts w:ascii="宋体" w:hAnsi="宋体" w:cs="宋体"/>
                <w:kern w:val="0"/>
                <w:sz w:val="18"/>
                <w:szCs w:val="18"/>
              </w:rPr>
            </w:pPr>
            <w:r>
              <w:rPr>
                <w:rFonts w:hint="eastAsia" w:ascii="宋体" w:hAnsi="宋体" w:cs="宋体"/>
                <w:kern w:val="0"/>
                <w:sz w:val="18"/>
                <w:szCs w:val="18"/>
              </w:rPr>
              <w:t>5000≤Y＜40000</w:t>
            </w:r>
          </w:p>
        </w:tc>
        <w:tc>
          <w:tcPr>
            <w:tcW w:w="902" w:type="pct"/>
            <w:tcBorders>
              <w:top w:val="nil"/>
              <w:left w:val="nil"/>
              <w:bottom w:val="single" w:color="auto" w:sz="4" w:space="0"/>
              <w:right w:val="single" w:color="auto" w:sz="4" w:space="0"/>
            </w:tcBorders>
            <w:noWrap w:val="0"/>
            <w:vAlign w:val="center"/>
          </w:tcPr>
          <w:p w14:paraId="540CF93A">
            <w:pPr>
              <w:widowControl/>
              <w:jc w:val="center"/>
              <w:rPr>
                <w:rFonts w:ascii="宋体" w:hAnsi="宋体" w:cs="宋体"/>
                <w:kern w:val="0"/>
                <w:sz w:val="18"/>
                <w:szCs w:val="18"/>
              </w:rPr>
            </w:pPr>
            <w:r>
              <w:rPr>
                <w:rFonts w:hint="eastAsia" w:ascii="宋体" w:hAnsi="宋体" w:cs="宋体"/>
                <w:kern w:val="0"/>
                <w:sz w:val="18"/>
                <w:szCs w:val="18"/>
              </w:rPr>
              <w:t>1000≤Y＜5000</w:t>
            </w:r>
          </w:p>
        </w:tc>
        <w:tc>
          <w:tcPr>
            <w:tcW w:w="578" w:type="pct"/>
            <w:tcBorders>
              <w:top w:val="nil"/>
              <w:left w:val="nil"/>
              <w:bottom w:val="single" w:color="auto" w:sz="4" w:space="0"/>
              <w:right w:val="single" w:color="auto" w:sz="4" w:space="0"/>
            </w:tcBorders>
            <w:noWrap w:val="0"/>
            <w:vAlign w:val="center"/>
          </w:tcPr>
          <w:p w14:paraId="5DBDFC99">
            <w:pPr>
              <w:widowControl/>
              <w:jc w:val="center"/>
              <w:rPr>
                <w:rFonts w:ascii="宋体" w:hAnsi="宋体" w:cs="宋体"/>
                <w:kern w:val="0"/>
                <w:sz w:val="18"/>
                <w:szCs w:val="18"/>
              </w:rPr>
            </w:pPr>
            <w:r>
              <w:rPr>
                <w:rFonts w:hint="eastAsia" w:ascii="宋体" w:hAnsi="宋体" w:cs="宋体"/>
                <w:kern w:val="0"/>
                <w:sz w:val="18"/>
                <w:szCs w:val="18"/>
              </w:rPr>
              <w:t>Y＜1000</w:t>
            </w:r>
          </w:p>
        </w:tc>
      </w:tr>
      <w:tr w14:paraId="300D5D41">
        <w:tblPrEx>
          <w:tblCellMar>
            <w:top w:w="0" w:type="dxa"/>
            <w:left w:w="108" w:type="dxa"/>
            <w:bottom w:w="0" w:type="dxa"/>
            <w:right w:w="108" w:type="dxa"/>
          </w:tblCellMar>
        </w:tblPrEx>
        <w:trPr>
          <w:trHeight w:val="318" w:hRule="atLeast"/>
          <w:jc w:val="center"/>
        </w:trPr>
        <w:tc>
          <w:tcPr>
            <w:tcW w:w="980" w:type="pct"/>
            <w:vMerge w:val="restart"/>
            <w:tcBorders>
              <w:top w:val="nil"/>
              <w:left w:val="single" w:color="auto" w:sz="4" w:space="0"/>
              <w:bottom w:val="single" w:color="auto" w:sz="4" w:space="0"/>
              <w:right w:val="single" w:color="auto" w:sz="4" w:space="0"/>
            </w:tcBorders>
            <w:noWrap w:val="0"/>
            <w:vAlign w:val="center"/>
          </w:tcPr>
          <w:p w14:paraId="6B915B14">
            <w:pPr>
              <w:widowControl/>
              <w:jc w:val="center"/>
              <w:rPr>
                <w:rFonts w:ascii="宋体" w:hAnsi="宋体" w:cs="宋体"/>
                <w:b/>
                <w:bCs/>
                <w:kern w:val="0"/>
                <w:sz w:val="18"/>
                <w:szCs w:val="18"/>
              </w:rPr>
            </w:pPr>
            <w:r>
              <w:rPr>
                <w:rFonts w:hint="eastAsia" w:ascii="宋体" w:hAnsi="宋体" w:cs="宋体"/>
                <w:b/>
                <w:bCs/>
                <w:kern w:val="0"/>
                <w:sz w:val="18"/>
                <w:szCs w:val="18"/>
              </w:rPr>
              <w:t>零售业</w:t>
            </w:r>
          </w:p>
        </w:tc>
        <w:tc>
          <w:tcPr>
            <w:tcW w:w="831" w:type="pct"/>
            <w:tcBorders>
              <w:top w:val="nil"/>
              <w:left w:val="nil"/>
              <w:bottom w:val="single" w:color="auto" w:sz="4" w:space="0"/>
              <w:right w:val="single" w:color="auto" w:sz="4" w:space="0"/>
            </w:tcBorders>
            <w:noWrap w:val="0"/>
            <w:vAlign w:val="center"/>
          </w:tcPr>
          <w:p w14:paraId="752341F6">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48" w:type="pct"/>
            <w:tcBorders>
              <w:top w:val="nil"/>
              <w:left w:val="nil"/>
              <w:bottom w:val="single" w:color="auto" w:sz="4" w:space="0"/>
              <w:right w:val="single" w:color="auto" w:sz="4" w:space="0"/>
            </w:tcBorders>
            <w:noWrap w:val="0"/>
            <w:vAlign w:val="center"/>
          </w:tcPr>
          <w:p w14:paraId="58AEC974">
            <w:pPr>
              <w:widowControl/>
              <w:jc w:val="center"/>
              <w:rPr>
                <w:rFonts w:ascii="宋体" w:hAnsi="宋体" w:cs="宋体"/>
                <w:kern w:val="0"/>
                <w:sz w:val="18"/>
                <w:szCs w:val="18"/>
              </w:rPr>
            </w:pPr>
            <w:r>
              <w:rPr>
                <w:rFonts w:hint="eastAsia" w:ascii="宋体" w:hAnsi="宋体" w:cs="宋体"/>
                <w:kern w:val="0"/>
                <w:sz w:val="18"/>
                <w:szCs w:val="18"/>
              </w:rPr>
              <w:t>人</w:t>
            </w:r>
          </w:p>
        </w:tc>
        <w:tc>
          <w:tcPr>
            <w:tcW w:w="962" w:type="pct"/>
            <w:tcBorders>
              <w:top w:val="nil"/>
              <w:left w:val="nil"/>
              <w:bottom w:val="single" w:color="auto" w:sz="4" w:space="0"/>
              <w:right w:val="single" w:color="auto" w:sz="4" w:space="0"/>
            </w:tcBorders>
            <w:noWrap w:val="0"/>
            <w:vAlign w:val="center"/>
          </w:tcPr>
          <w:p w14:paraId="5C765B8D">
            <w:pPr>
              <w:widowControl/>
              <w:jc w:val="center"/>
              <w:rPr>
                <w:rFonts w:ascii="宋体" w:hAnsi="宋体" w:cs="宋体"/>
                <w:kern w:val="0"/>
                <w:sz w:val="18"/>
                <w:szCs w:val="18"/>
              </w:rPr>
            </w:pPr>
            <w:r>
              <w:rPr>
                <w:rFonts w:hint="eastAsia" w:ascii="宋体" w:hAnsi="宋体" w:cs="宋体"/>
                <w:kern w:val="0"/>
                <w:sz w:val="18"/>
                <w:szCs w:val="18"/>
              </w:rPr>
              <w:t>50≤X＜300</w:t>
            </w:r>
          </w:p>
        </w:tc>
        <w:tc>
          <w:tcPr>
            <w:tcW w:w="902" w:type="pct"/>
            <w:tcBorders>
              <w:top w:val="nil"/>
              <w:left w:val="nil"/>
              <w:bottom w:val="single" w:color="auto" w:sz="4" w:space="0"/>
              <w:right w:val="single" w:color="auto" w:sz="4" w:space="0"/>
            </w:tcBorders>
            <w:noWrap w:val="0"/>
            <w:vAlign w:val="center"/>
          </w:tcPr>
          <w:p w14:paraId="73CAA6D2">
            <w:pPr>
              <w:widowControl/>
              <w:jc w:val="center"/>
              <w:rPr>
                <w:rFonts w:ascii="宋体" w:hAnsi="宋体" w:cs="宋体"/>
                <w:kern w:val="0"/>
                <w:sz w:val="18"/>
                <w:szCs w:val="18"/>
              </w:rPr>
            </w:pPr>
            <w:r>
              <w:rPr>
                <w:rFonts w:hint="eastAsia" w:ascii="宋体" w:hAnsi="宋体" w:cs="宋体"/>
                <w:kern w:val="0"/>
                <w:sz w:val="18"/>
                <w:szCs w:val="18"/>
              </w:rPr>
              <w:t>10≤X＜50</w:t>
            </w:r>
          </w:p>
        </w:tc>
        <w:tc>
          <w:tcPr>
            <w:tcW w:w="578" w:type="pct"/>
            <w:tcBorders>
              <w:top w:val="nil"/>
              <w:left w:val="nil"/>
              <w:bottom w:val="single" w:color="auto" w:sz="4" w:space="0"/>
              <w:right w:val="single" w:color="auto" w:sz="4" w:space="0"/>
            </w:tcBorders>
            <w:noWrap w:val="0"/>
            <w:vAlign w:val="center"/>
          </w:tcPr>
          <w:p w14:paraId="5973236B">
            <w:pPr>
              <w:widowControl/>
              <w:jc w:val="center"/>
              <w:rPr>
                <w:rFonts w:ascii="宋体" w:hAnsi="宋体" w:cs="宋体"/>
                <w:kern w:val="0"/>
                <w:sz w:val="18"/>
                <w:szCs w:val="18"/>
              </w:rPr>
            </w:pPr>
            <w:r>
              <w:rPr>
                <w:rFonts w:hint="eastAsia" w:ascii="宋体" w:hAnsi="宋体" w:cs="宋体"/>
                <w:kern w:val="0"/>
                <w:sz w:val="18"/>
                <w:szCs w:val="18"/>
              </w:rPr>
              <w:t>X＜10</w:t>
            </w:r>
          </w:p>
        </w:tc>
      </w:tr>
      <w:tr w14:paraId="084B5243">
        <w:tblPrEx>
          <w:tblCellMar>
            <w:top w:w="0" w:type="dxa"/>
            <w:left w:w="108" w:type="dxa"/>
            <w:bottom w:w="0" w:type="dxa"/>
            <w:right w:w="108" w:type="dxa"/>
          </w:tblCellMar>
        </w:tblPrEx>
        <w:trPr>
          <w:trHeight w:val="318" w:hRule="atLeast"/>
          <w:jc w:val="center"/>
        </w:trPr>
        <w:tc>
          <w:tcPr>
            <w:tcW w:w="980" w:type="pct"/>
            <w:vMerge w:val="continue"/>
            <w:tcBorders>
              <w:top w:val="nil"/>
              <w:left w:val="single" w:color="auto" w:sz="4" w:space="0"/>
              <w:bottom w:val="single" w:color="auto" w:sz="4" w:space="0"/>
              <w:right w:val="single" w:color="auto" w:sz="4" w:space="0"/>
            </w:tcBorders>
            <w:noWrap w:val="0"/>
            <w:vAlign w:val="center"/>
          </w:tcPr>
          <w:p w14:paraId="47ADF63A">
            <w:pPr>
              <w:widowControl/>
              <w:jc w:val="center"/>
              <w:rPr>
                <w:rFonts w:ascii="宋体" w:hAnsi="宋体" w:cs="宋体"/>
                <w:b/>
                <w:bCs/>
                <w:kern w:val="0"/>
                <w:sz w:val="18"/>
                <w:szCs w:val="18"/>
              </w:rPr>
            </w:pPr>
          </w:p>
        </w:tc>
        <w:tc>
          <w:tcPr>
            <w:tcW w:w="831" w:type="pct"/>
            <w:tcBorders>
              <w:top w:val="nil"/>
              <w:left w:val="nil"/>
              <w:bottom w:val="single" w:color="auto" w:sz="4" w:space="0"/>
              <w:right w:val="single" w:color="auto" w:sz="4" w:space="0"/>
            </w:tcBorders>
            <w:noWrap w:val="0"/>
            <w:vAlign w:val="center"/>
          </w:tcPr>
          <w:p w14:paraId="44A11279">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748" w:type="pct"/>
            <w:tcBorders>
              <w:top w:val="nil"/>
              <w:left w:val="nil"/>
              <w:bottom w:val="single" w:color="auto" w:sz="4" w:space="0"/>
              <w:right w:val="single" w:color="auto" w:sz="4" w:space="0"/>
            </w:tcBorders>
            <w:noWrap w:val="0"/>
            <w:vAlign w:val="center"/>
          </w:tcPr>
          <w:p w14:paraId="39F56B2F">
            <w:pPr>
              <w:widowControl/>
              <w:jc w:val="center"/>
              <w:rPr>
                <w:rFonts w:ascii="宋体" w:hAnsi="宋体" w:cs="宋体"/>
                <w:kern w:val="0"/>
                <w:sz w:val="18"/>
                <w:szCs w:val="18"/>
              </w:rPr>
            </w:pPr>
            <w:r>
              <w:rPr>
                <w:rFonts w:hint="eastAsia" w:ascii="宋体" w:hAnsi="宋体" w:cs="宋体"/>
                <w:kern w:val="0"/>
                <w:sz w:val="18"/>
                <w:szCs w:val="18"/>
              </w:rPr>
              <w:t>万元</w:t>
            </w:r>
          </w:p>
        </w:tc>
        <w:tc>
          <w:tcPr>
            <w:tcW w:w="962" w:type="pct"/>
            <w:tcBorders>
              <w:top w:val="nil"/>
              <w:left w:val="nil"/>
              <w:bottom w:val="single" w:color="auto" w:sz="4" w:space="0"/>
              <w:right w:val="single" w:color="auto" w:sz="4" w:space="0"/>
            </w:tcBorders>
            <w:noWrap w:val="0"/>
            <w:vAlign w:val="center"/>
          </w:tcPr>
          <w:p w14:paraId="2C55F953">
            <w:pPr>
              <w:widowControl/>
              <w:jc w:val="center"/>
              <w:rPr>
                <w:rFonts w:ascii="宋体" w:hAnsi="宋体" w:cs="宋体"/>
                <w:kern w:val="0"/>
                <w:sz w:val="18"/>
                <w:szCs w:val="18"/>
              </w:rPr>
            </w:pPr>
            <w:r>
              <w:rPr>
                <w:rFonts w:hint="eastAsia" w:ascii="宋体" w:hAnsi="宋体" w:cs="宋体"/>
                <w:kern w:val="0"/>
                <w:sz w:val="18"/>
                <w:szCs w:val="18"/>
              </w:rPr>
              <w:t>500≤Y＜20000</w:t>
            </w:r>
          </w:p>
        </w:tc>
        <w:tc>
          <w:tcPr>
            <w:tcW w:w="902" w:type="pct"/>
            <w:tcBorders>
              <w:top w:val="nil"/>
              <w:left w:val="nil"/>
              <w:bottom w:val="single" w:color="auto" w:sz="4" w:space="0"/>
              <w:right w:val="single" w:color="auto" w:sz="4" w:space="0"/>
            </w:tcBorders>
            <w:noWrap w:val="0"/>
            <w:vAlign w:val="center"/>
          </w:tcPr>
          <w:p w14:paraId="3EDEE18B">
            <w:pPr>
              <w:widowControl/>
              <w:jc w:val="center"/>
              <w:rPr>
                <w:rFonts w:ascii="宋体" w:hAnsi="宋体" w:cs="宋体"/>
                <w:kern w:val="0"/>
                <w:sz w:val="18"/>
                <w:szCs w:val="18"/>
              </w:rPr>
            </w:pPr>
            <w:r>
              <w:rPr>
                <w:rFonts w:hint="eastAsia" w:ascii="宋体" w:hAnsi="宋体" w:cs="宋体"/>
                <w:kern w:val="0"/>
                <w:sz w:val="18"/>
                <w:szCs w:val="18"/>
              </w:rPr>
              <w:t>100≤Y＜500</w:t>
            </w:r>
          </w:p>
        </w:tc>
        <w:tc>
          <w:tcPr>
            <w:tcW w:w="578" w:type="pct"/>
            <w:tcBorders>
              <w:top w:val="nil"/>
              <w:left w:val="nil"/>
              <w:bottom w:val="single" w:color="auto" w:sz="4" w:space="0"/>
              <w:right w:val="single" w:color="auto" w:sz="4" w:space="0"/>
            </w:tcBorders>
            <w:noWrap w:val="0"/>
            <w:vAlign w:val="center"/>
          </w:tcPr>
          <w:p w14:paraId="1702E7BE">
            <w:pPr>
              <w:widowControl/>
              <w:jc w:val="center"/>
              <w:rPr>
                <w:rFonts w:ascii="宋体" w:hAnsi="宋体" w:cs="宋体"/>
                <w:kern w:val="0"/>
                <w:sz w:val="18"/>
                <w:szCs w:val="18"/>
              </w:rPr>
            </w:pPr>
            <w:r>
              <w:rPr>
                <w:rFonts w:hint="eastAsia" w:ascii="宋体" w:hAnsi="宋体" w:cs="宋体"/>
                <w:kern w:val="0"/>
                <w:sz w:val="18"/>
                <w:szCs w:val="18"/>
              </w:rPr>
              <w:t>Y＜100</w:t>
            </w:r>
          </w:p>
        </w:tc>
      </w:tr>
      <w:tr w14:paraId="26958B51">
        <w:tblPrEx>
          <w:tblCellMar>
            <w:top w:w="0" w:type="dxa"/>
            <w:left w:w="108" w:type="dxa"/>
            <w:bottom w:w="0" w:type="dxa"/>
            <w:right w:w="108" w:type="dxa"/>
          </w:tblCellMar>
        </w:tblPrEx>
        <w:trPr>
          <w:trHeight w:val="318" w:hRule="atLeast"/>
          <w:jc w:val="center"/>
        </w:trPr>
        <w:tc>
          <w:tcPr>
            <w:tcW w:w="980" w:type="pct"/>
            <w:vMerge w:val="restart"/>
            <w:tcBorders>
              <w:top w:val="nil"/>
              <w:left w:val="single" w:color="auto" w:sz="4" w:space="0"/>
              <w:bottom w:val="single" w:color="auto" w:sz="4" w:space="0"/>
              <w:right w:val="single" w:color="auto" w:sz="4" w:space="0"/>
            </w:tcBorders>
            <w:noWrap w:val="0"/>
            <w:vAlign w:val="center"/>
          </w:tcPr>
          <w:p w14:paraId="19A9A810">
            <w:pPr>
              <w:widowControl/>
              <w:jc w:val="center"/>
              <w:rPr>
                <w:rFonts w:ascii="宋体" w:hAnsi="宋体" w:cs="宋体"/>
                <w:b/>
                <w:bCs/>
                <w:kern w:val="0"/>
                <w:sz w:val="18"/>
                <w:szCs w:val="18"/>
              </w:rPr>
            </w:pPr>
            <w:r>
              <w:rPr>
                <w:rFonts w:hint="eastAsia" w:ascii="宋体" w:hAnsi="宋体" w:cs="宋体"/>
                <w:b/>
                <w:bCs/>
                <w:kern w:val="0"/>
                <w:sz w:val="18"/>
                <w:szCs w:val="18"/>
              </w:rPr>
              <w:t>交通运输业</w:t>
            </w:r>
          </w:p>
        </w:tc>
        <w:tc>
          <w:tcPr>
            <w:tcW w:w="831" w:type="pct"/>
            <w:tcBorders>
              <w:top w:val="nil"/>
              <w:left w:val="nil"/>
              <w:bottom w:val="single" w:color="auto" w:sz="4" w:space="0"/>
              <w:right w:val="single" w:color="auto" w:sz="4" w:space="0"/>
            </w:tcBorders>
            <w:noWrap w:val="0"/>
            <w:vAlign w:val="center"/>
          </w:tcPr>
          <w:p w14:paraId="78859F04">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48" w:type="pct"/>
            <w:tcBorders>
              <w:top w:val="nil"/>
              <w:left w:val="nil"/>
              <w:bottom w:val="single" w:color="auto" w:sz="4" w:space="0"/>
              <w:right w:val="single" w:color="auto" w:sz="4" w:space="0"/>
            </w:tcBorders>
            <w:noWrap w:val="0"/>
            <w:vAlign w:val="center"/>
          </w:tcPr>
          <w:p w14:paraId="0920868F">
            <w:pPr>
              <w:widowControl/>
              <w:jc w:val="center"/>
              <w:rPr>
                <w:rFonts w:ascii="宋体" w:hAnsi="宋体" w:cs="宋体"/>
                <w:kern w:val="0"/>
                <w:sz w:val="18"/>
                <w:szCs w:val="18"/>
              </w:rPr>
            </w:pPr>
            <w:r>
              <w:rPr>
                <w:rFonts w:hint="eastAsia" w:ascii="宋体" w:hAnsi="宋体" w:cs="宋体"/>
                <w:kern w:val="0"/>
                <w:sz w:val="18"/>
                <w:szCs w:val="18"/>
              </w:rPr>
              <w:t>人</w:t>
            </w:r>
          </w:p>
        </w:tc>
        <w:tc>
          <w:tcPr>
            <w:tcW w:w="962" w:type="pct"/>
            <w:tcBorders>
              <w:top w:val="nil"/>
              <w:left w:val="nil"/>
              <w:bottom w:val="single" w:color="auto" w:sz="4" w:space="0"/>
              <w:right w:val="single" w:color="auto" w:sz="4" w:space="0"/>
            </w:tcBorders>
            <w:noWrap w:val="0"/>
            <w:vAlign w:val="center"/>
          </w:tcPr>
          <w:p w14:paraId="68305676">
            <w:pPr>
              <w:widowControl/>
              <w:jc w:val="center"/>
              <w:rPr>
                <w:rFonts w:ascii="宋体" w:hAnsi="宋体" w:cs="宋体"/>
                <w:kern w:val="0"/>
                <w:sz w:val="18"/>
                <w:szCs w:val="18"/>
              </w:rPr>
            </w:pPr>
            <w:r>
              <w:rPr>
                <w:rFonts w:hint="eastAsia" w:ascii="宋体" w:hAnsi="宋体" w:cs="宋体"/>
                <w:kern w:val="0"/>
                <w:sz w:val="18"/>
                <w:szCs w:val="18"/>
              </w:rPr>
              <w:t>300≤X＜1000</w:t>
            </w:r>
          </w:p>
        </w:tc>
        <w:tc>
          <w:tcPr>
            <w:tcW w:w="902" w:type="pct"/>
            <w:tcBorders>
              <w:top w:val="nil"/>
              <w:left w:val="nil"/>
              <w:bottom w:val="single" w:color="auto" w:sz="4" w:space="0"/>
              <w:right w:val="single" w:color="auto" w:sz="4" w:space="0"/>
            </w:tcBorders>
            <w:noWrap w:val="0"/>
            <w:vAlign w:val="center"/>
          </w:tcPr>
          <w:p w14:paraId="035E0428">
            <w:pPr>
              <w:widowControl/>
              <w:jc w:val="center"/>
              <w:rPr>
                <w:rFonts w:ascii="宋体" w:hAnsi="宋体" w:cs="宋体"/>
                <w:kern w:val="0"/>
                <w:sz w:val="18"/>
                <w:szCs w:val="18"/>
              </w:rPr>
            </w:pPr>
            <w:r>
              <w:rPr>
                <w:rFonts w:hint="eastAsia" w:ascii="宋体" w:hAnsi="宋体" w:cs="宋体"/>
                <w:kern w:val="0"/>
                <w:sz w:val="18"/>
                <w:szCs w:val="18"/>
              </w:rPr>
              <w:t>20≤X＜300</w:t>
            </w:r>
          </w:p>
        </w:tc>
        <w:tc>
          <w:tcPr>
            <w:tcW w:w="578" w:type="pct"/>
            <w:tcBorders>
              <w:top w:val="nil"/>
              <w:left w:val="nil"/>
              <w:bottom w:val="single" w:color="auto" w:sz="4" w:space="0"/>
              <w:right w:val="single" w:color="auto" w:sz="4" w:space="0"/>
            </w:tcBorders>
            <w:noWrap w:val="0"/>
            <w:vAlign w:val="center"/>
          </w:tcPr>
          <w:p w14:paraId="32930E66">
            <w:pPr>
              <w:widowControl/>
              <w:jc w:val="center"/>
              <w:rPr>
                <w:rFonts w:ascii="宋体" w:hAnsi="宋体" w:cs="宋体"/>
                <w:kern w:val="0"/>
                <w:sz w:val="18"/>
                <w:szCs w:val="18"/>
              </w:rPr>
            </w:pPr>
            <w:r>
              <w:rPr>
                <w:rFonts w:hint="eastAsia" w:ascii="宋体" w:hAnsi="宋体" w:cs="宋体"/>
                <w:kern w:val="0"/>
                <w:sz w:val="18"/>
                <w:szCs w:val="18"/>
              </w:rPr>
              <w:t>X＜20</w:t>
            </w:r>
          </w:p>
        </w:tc>
      </w:tr>
      <w:tr w14:paraId="428ABEAF">
        <w:tblPrEx>
          <w:tblCellMar>
            <w:top w:w="0" w:type="dxa"/>
            <w:left w:w="108" w:type="dxa"/>
            <w:bottom w:w="0" w:type="dxa"/>
            <w:right w:w="108" w:type="dxa"/>
          </w:tblCellMar>
        </w:tblPrEx>
        <w:trPr>
          <w:trHeight w:val="318" w:hRule="atLeast"/>
          <w:jc w:val="center"/>
        </w:trPr>
        <w:tc>
          <w:tcPr>
            <w:tcW w:w="980" w:type="pct"/>
            <w:vMerge w:val="continue"/>
            <w:tcBorders>
              <w:top w:val="nil"/>
              <w:left w:val="single" w:color="auto" w:sz="4" w:space="0"/>
              <w:bottom w:val="single" w:color="auto" w:sz="4" w:space="0"/>
              <w:right w:val="single" w:color="auto" w:sz="4" w:space="0"/>
            </w:tcBorders>
            <w:noWrap w:val="0"/>
            <w:vAlign w:val="center"/>
          </w:tcPr>
          <w:p w14:paraId="5787E69B">
            <w:pPr>
              <w:widowControl/>
              <w:jc w:val="center"/>
              <w:rPr>
                <w:rFonts w:ascii="宋体" w:hAnsi="宋体" w:cs="宋体"/>
                <w:b/>
                <w:bCs/>
                <w:kern w:val="0"/>
                <w:sz w:val="18"/>
                <w:szCs w:val="18"/>
              </w:rPr>
            </w:pPr>
          </w:p>
        </w:tc>
        <w:tc>
          <w:tcPr>
            <w:tcW w:w="831" w:type="pct"/>
            <w:tcBorders>
              <w:top w:val="nil"/>
              <w:left w:val="nil"/>
              <w:bottom w:val="single" w:color="auto" w:sz="4" w:space="0"/>
              <w:right w:val="single" w:color="auto" w:sz="4" w:space="0"/>
            </w:tcBorders>
            <w:noWrap w:val="0"/>
            <w:vAlign w:val="center"/>
          </w:tcPr>
          <w:p w14:paraId="1F32D88E">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748" w:type="pct"/>
            <w:tcBorders>
              <w:top w:val="nil"/>
              <w:left w:val="nil"/>
              <w:bottom w:val="single" w:color="auto" w:sz="4" w:space="0"/>
              <w:right w:val="single" w:color="auto" w:sz="4" w:space="0"/>
            </w:tcBorders>
            <w:noWrap w:val="0"/>
            <w:vAlign w:val="center"/>
          </w:tcPr>
          <w:p w14:paraId="2FE0576C">
            <w:pPr>
              <w:widowControl/>
              <w:jc w:val="center"/>
              <w:rPr>
                <w:rFonts w:ascii="宋体" w:hAnsi="宋体" w:cs="宋体"/>
                <w:kern w:val="0"/>
                <w:sz w:val="18"/>
                <w:szCs w:val="18"/>
              </w:rPr>
            </w:pPr>
            <w:r>
              <w:rPr>
                <w:rFonts w:hint="eastAsia" w:ascii="宋体" w:hAnsi="宋体" w:cs="宋体"/>
                <w:kern w:val="0"/>
                <w:sz w:val="18"/>
                <w:szCs w:val="18"/>
              </w:rPr>
              <w:t>万元</w:t>
            </w:r>
          </w:p>
        </w:tc>
        <w:tc>
          <w:tcPr>
            <w:tcW w:w="962" w:type="pct"/>
            <w:tcBorders>
              <w:top w:val="nil"/>
              <w:left w:val="nil"/>
              <w:bottom w:val="single" w:color="auto" w:sz="4" w:space="0"/>
              <w:right w:val="single" w:color="auto" w:sz="4" w:space="0"/>
            </w:tcBorders>
            <w:noWrap w:val="0"/>
            <w:vAlign w:val="center"/>
          </w:tcPr>
          <w:p w14:paraId="3BBBD4A3">
            <w:pPr>
              <w:widowControl/>
              <w:jc w:val="center"/>
              <w:rPr>
                <w:rFonts w:ascii="宋体" w:hAnsi="宋体" w:cs="宋体"/>
                <w:kern w:val="0"/>
                <w:sz w:val="18"/>
                <w:szCs w:val="18"/>
              </w:rPr>
            </w:pPr>
            <w:r>
              <w:rPr>
                <w:rFonts w:hint="eastAsia" w:ascii="宋体" w:hAnsi="宋体" w:cs="宋体"/>
                <w:kern w:val="0"/>
                <w:sz w:val="18"/>
                <w:szCs w:val="18"/>
              </w:rPr>
              <w:t>3000≤Y＜30000</w:t>
            </w:r>
          </w:p>
        </w:tc>
        <w:tc>
          <w:tcPr>
            <w:tcW w:w="902" w:type="pct"/>
            <w:tcBorders>
              <w:top w:val="nil"/>
              <w:left w:val="nil"/>
              <w:bottom w:val="single" w:color="auto" w:sz="4" w:space="0"/>
              <w:right w:val="single" w:color="auto" w:sz="4" w:space="0"/>
            </w:tcBorders>
            <w:noWrap w:val="0"/>
            <w:vAlign w:val="center"/>
          </w:tcPr>
          <w:p w14:paraId="2D2D0132">
            <w:pPr>
              <w:widowControl/>
              <w:jc w:val="center"/>
              <w:rPr>
                <w:rFonts w:ascii="宋体" w:hAnsi="宋体" w:cs="宋体"/>
                <w:kern w:val="0"/>
                <w:sz w:val="18"/>
                <w:szCs w:val="18"/>
              </w:rPr>
            </w:pPr>
            <w:r>
              <w:rPr>
                <w:rFonts w:hint="eastAsia" w:ascii="宋体" w:hAnsi="宋体" w:cs="宋体"/>
                <w:kern w:val="0"/>
                <w:sz w:val="18"/>
                <w:szCs w:val="18"/>
              </w:rPr>
              <w:t>200≤Y＜3000</w:t>
            </w:r>
          </w:p>
        </w:tc>
        <w:tc>
          <w:tcPr>
            <w:tcW w:w="578" w:type="pct"/>
            <w:tcBorders>
              <w:top w:val="nil"/>
              <w:left w:val="nil"/>
              <w:bottom w:val="single" w:color="auto" w:sz="4" w:space="0"/>
              <w:right w:val="single" w:color="auto" w:sz="4" w:space="0"/>
            </w:tcBorders>
            <w:noWrap w:val="0"/>
            <w:vAlign w:val="center"/>
          </w:tcPr>
          <w:p w14:paraId="63B8F127">
            <w:pPr>
              <w:widowControl/>
              <w:jc w:val="center"/>
              <w:rPr>
                <w:rFonts w:ascii="宋体" w:hAnsi="宋体" w:cs="宋体"/>
                <w:kern w:val="0"/>
                <w:sz w:val="18"/>
                <w:szCs w:val="18"/>
              </w:rPr>
            </w:pPr>
            <w:r>
              <w:rPr>
                <w:rFonts w:hint="eastAsia" w:ascii="宋体" w:hAnsi="宋体" w:cs="宋体"/>
                <w:kern w:val="0"/>
                <w:sz w:val="18"/>
                <w:szCs w:val="18"/>
              </w:rPr>
              <w:t>Y＜200</w:t>
            </w:r>
          </w:p>
        </w:tc>
      </w:tr>
      <w:tr w14:paraId="39F47CAF">
        <w:tblPrEx>
          <w:tblCellMar>
            <w:top w:w="0" w:type="dxa"/>
            <w:left w:w="108" w:type="dxa"/>
            <w:bottom w:w="0" w:type="dxa"/>
            <w:right w:w="108" w:type="dxa"/>
          </w:tblCellMar>
        </w:tblPrEx>
        <w:trPr>
          <w:trHeight w:val="318" w:hRule="atLeast"/>
          <w:jc w:val="center"/>
        </w:trPr>
        <w:tc>
          <w:tcPr>
            <w:tcW w:w="980" w:type="pct"/>
            <w:vMerge w:val="restart"/>
            <w:tcBorders>
              <w:top w:val="nil"/>
              <w:left w:val="single" w:color="auto" w:sz="4" w:space="0"/>
              <w:bottom w:val="single" w:color="auto" w:sz="4" w:space="0"/>
              <w:right w:val="single" w:color="auto" w:sz="4" w:space="0"/>
            </w:tcBorders>
            <w:noWrap w:val="0"/>
            <w:vAlign w:val="center"/>
          </w:tcPr>
          <w:p w14:paraId="56CBDF3A">
            <w:pPr>
              <w:widowControl/>
              <w:jc w:val="center"/>
              <w:rPr>
                <w:rFonts w:ascii="宋体" w:hAnsi="宋体" w:cs="宋体"/>
                <w:b/>
                <w:bCs/>
                <w:kern w:val="0"/>
                <w:sz w:val="18"/>
                <w:szCs w:val="18"/>
              </w:rPr>
            </w:pPr>
            <w:r>
              <w:rPr>
                <w:rFonts w:hint="eastAsia" w:ascii="宋体" w:hAnsi="宋体" w:cs="宋体"/>
                <w:b/>
                <w:bCs/>
                <w:kern w:val="0"/>
                <w:sz w:val="18"/>
                <w:szCs w:val="18"/>
              </w:rPr>
              <w:t>仓储业</w:t>
            </w:r>
          </w:p>
        </w:tc>
        <w:tc>
          <w:tcPr>
            <w:tcW w:w="831" w:type="pct"/>
            <w:tcBorders>
              <w:top w:val="nil"/>
              <w:left w:val="nil"/>
              <w:bottom w:val="single" w:color="auto" w:sz="4" w:space="0"/>
              <w:right w:val="single" w:color="auto" w:sz="4" w:space="0"/>
            </w:tcBorders>
            <w:noWrap w:val="0"/>
            <w:vAlign w:val="center"/>
          </w:tcPr>
          <w:p w14:paraId="67731A99">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48" w:type="pct"/>
            <w:tcBorders>
              <w:top w:val="nil"/>
              <w:left w:val="nil"/>
              <w:bottom w:val="single" w:color="auto" w:sz="4" w:space="0"/>
              <w:right w:val="single" w:color="auto" w:sz="4" w:space="0"/>
            </w:tcBorders>
            <w:noWrap w:val="0"/>
            <w:vAlign w:val="center"/>
          </w:tcPr>
          <w:p w14:paraId="7DB61FA6">
            <w:pPr>
              <w:widowControl/>
              <w:jc w:val="center"/>
              <w:rPr>
                <w:rFonts w:ascii="宋体" w:hAnsi="宋体" w:cs="宋体"/>
                <w:kern w:val="0"/>
                <w:sz w:val="18"/>
                <w:szCs w:val="18"/>
              </w:rPr>
            </w:pPr>
            <w:r>
              <w:rPr>
                <w:rFonts w:hint="eastAsia" w:ascii="宋体" w:hAnsi="宋体" w:cs="宋体"/>
                <w:kern w:val="0"/>
                <w:sz w:val="18"/>
                <w:szCs w:val="18"/>
              </w:rPr>
              <w:t>人</w:t>
            </w:r>
          </w:p>
        </w:tc>
        <w:tc>
          <w:tcPr>
            <w:tcW w:w="962" w:type="pct"/>
            <w:tcBorders>
              <w:top w:val="nil"/>
              <w:left w:val="nil"/>
              <w:bottom w:val="single" w:color="auto" w:sz="4" w:space="0"/>
              <w:right w:val="single" w:color="auto" w:sz="4" w:space="0"/>
            </w:tcBorders>
            <w:noWrap w:val="0"/>
            <w:vAlign w:val="center"/>
          </w:tcPr>
          <w:p w14:paraId="4D22465F">
            <w:pPr>
              <w:widowControl/>
              <w:jc w:val="center"/>
              <w:rPr>
                <w:rFonts w:ascii="宋体" w:hAnsi="宋体" w:cs="宋体"/>
                <w:kern w:val="0"/>
                <w:sz w:val="18"/>
                <w:szCs w:val="18"/>
              </w:rPr>
            </w:pPr>
            <w:r>
              <w:rPr>
                <w:rFonts w:hint="eastAsia" w:ascii="宋体" w:hAnsi="宋体" w:cs="宋体"/>
                <w:kern w:val="0"/>
                <w:sz w:val="18"/>
                <w:szCs w:val="18"/>
              </w:rPr>
              <w:t>100≤X＜200</w:t>
            </w:r>
          </w:p>
        </w:tc>
        <w:tc>
          <w:tcPr>
            <w:tcW w:w="902" w:type="pct"/>
            <w:tcBorders>
              <w:top w:val="nil"/>
              <w:left w:val="nil"/>
              <w:bottom w:val="single" w:color="auto" w:sz="4" w:space="0"/>
              <w:right w:val="single" w:color="auto" w:sz="4" w:space="0"/>
            </w:tcBorders>
            <w:noWrap w:val="0"/>
            <w:vAlign w:val="center"/>
          </w:tcPr>
          <w:p w14:paraId="7A3BD6F9">
            <w:pPr>
              <w:widowControl/>
              <w:jc w:val="center"/>
              <w:rPr>
                <w:rFonts w:ascii="宋体" w:hAnsi="宋体" w:cs="宋体"/>
                <w:kern w:val="0"/>
                <w:sz w:val="18"/>
                <w:szCs w:val="18"/>
              </w:rPr>
            </w:pPr>
            <w:r>
              <w:rPr>
                <w:rFonts w:hint="eastAsia" w:ascii="宋体" w:hAnsi="宋体" w:cs="宋体"/>
                <w:kern w:val="0"/>
                <w:sz w:val="18"/>
                <w:szCs w:val="18"/>
              </w:rPr>
              <w:t>20≤X＜100</w:t>
            </w:r>
          </w:p>
        </w:tc>
        <w:tc>
          <w:tcPr>
            <w:tcW w:w="578" w:type="pct"/>
            <w:tcBorders>
              <w:top w:val="nil"/>
              <w:left w:val="nil"/>
              <w:bottom w:val="single" w:color="auto" w:sz="4" w:space="0"/>
              <w:right w:val="single" w:color="auto" w:sz="4" w:space="0"/>
            </w:tcBorders>
            <w:noWrap w:val="0"/>
            <w:vAlign w:val="center"/>
          </w:tcPr>
          <w:p w14:paraId="25EF335D">
            <w:pPr>
              <w:widowControl/>
              <w:jc w:val="center"/>
              <w:rPr>
                <w:rFonts w:ascii="宋体" w:hAnsi="宋体" w:cs="宋体"/>
                <w:kern w:val="0"/>
                <w:sz w:val="18"/>
                <w:szCs w:val="18"/>
              </w:rPr>
            </w:pPr>
            <w:r>
              <w:rPr>
                <w:rFonts w:hint="eastAsia" w:ascii="宋体" w:hAnsi="宋体" w:cs="宋体"/>
                <w:kern w:val="0"/>
                <w:sz w:val="18"/>
                <w:szCs w:val="18"/>
              </w:rPr>
              <w:t>X＜20</w:t>
            </w:r>
          </w:p>
        </w:tc>
      </w:tr>
      <w:tr w14:paraId="516E1B02">
        <w:tblPrEx>
          <w:tblCellMar>
            <w:top w:w="0" w:type="dxa"/>
            <w:left w:w="108" w:type="dxa"/>
            <w:bottom w:w="0" w:type="dxa"/>
            <w:right w:w="108" w:type="dxa"/>
          </w:tblCellMar>
        </w:tblPrEx>
        <w:trPr>
          <w:trHeight w:val="318" w:hRule="atLeast"/>
          <w:jc w:val="center"/>
        </w:trPr>
        <w:tc>
          <w:tcPr>
            <w:tcW w:w="980" w:type="pct"/>
            <w:vMerge w:val="continue"/>
            <w:tcBorders>
              <w:top w:val="nil"/>
              <w:left w:val="single" w:color="auto" w:sz="4" w:space="0"/>
              <w:bottom w:val="single" w:color="auto" w:sz="4" w:space="0"/>
              <w:right w:val="single" w:color="auto" w:sz="4" w:space="0"/>
            </w:tcBorders>
            <w:noWrap w:val="0"/>
            <w:vAlign w:val="center"/>
          </w:tcPr>
          <w:p w14:paraId="2DF02BE7">
            <w:pPr>
              <w:widowControl/>
              <w:jc w:val="center"/>
              <w:rPr>
                <w:rFonts w:ascii="宋体" w:hAnsi="宋体" w:cs="宋体"/>
                <w:b/>
                <w:bCs/>
                <w:kern w:val="0"/>
                <w:sz w:val="18"/>
                <w:szCs w:val="18"/>
              </w:rPr>
            </w:pPr>
          </w:p>
        </w:tc>
        <w:tc>
          <w:tcPr>
            <w:tcW w:w="831" w:type="pct"/>
            <w:tcBorders>
              <w:top w:val="nil"/>
              <w:left w:val="nil"/>
              <w:bottom w:val="single" w:color="auto" w:sz="4" w:space="0"/>
              <w:right w:val="single" w:color="auto" w:sz="4" w:space="0"/>
            </w:tcBorders>
            <w:noWrap w:val="0"/>
            <w:vAlign w:val="center"/>
          </w:tcPr>
          <w:p w14:paraId="266778EA">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748" w:type="pct"/>
            <w:tcBorders>
              <w:top w:val="nil"/>
              <w:left w:val="nil"/>
              <w:bottom w:val="single" w:color="auto" w:sz="4" w:space="0"/>
              <w:right w:val="single" w:color="auto" w:sz="4" w:space="0"/>
            </w:tcBorders>
            <w:noWrap w:val="0"/>
            <w:vAlign w:val="center"/>
          </w:tcPr>
          <w:p w14:paraId="2741B28A">
            <w:pPr>
              <w:widowControl/>
              <w:jc w:val="center"/>
              <w:rPr>
                <w:rFonts w:ascii="宋体" w:hAnsi="宋体" w:cs="宋体"/>
                <w:kern w:val="0"/>
                <w:sz w:val="18"/>
                <w:szCs w:val="18"/>
              </w:rPr>
            </w:pPr>
            <w:r>
              <w:rPr>
                <w:rFonts w:hint="eastAsia" w:ascii="宋体" w:hAnsi="宋体" w:cs="宋体"/>
                <w:kern w:val="0"/>
                <w:sz w:val="18"/>
                <w:szCs w:val="18"/>
              </w:rPr>
              <w:t>万元</w:t>
            </w:r>
          </w:p>
        </w:tc>
        <w:tc>
          <w:tcPr>
            <w:tcW w:w="962" w:type="pct"/>
            <w:tcBorders>
              <w:top w:val="nil"/>
              <w:left w:val="nil"/>
              <w:bottom w:val="single" w:color="auto" w:sz="4" w:space="0"/>
              <w:right w:val="single" w:color="auto" w:sz="4" w:space="0"/>
            </w:tcBorders>
            <w:noWrap w:val="0"/>
            <w:vAlign w:val="center"/>
          </w:tcPr>
          <w:p w14:paraId="413E7DA4">
            <w:pPr>
              <w:widowControl/>
              <w:jc w:val="center"/>
              <w:rPr>
                <w:rFonts w:ascii="宋体" w:hAnsi="宋体" w:cs="宋体"/>
                <w:kern w:val="0"/>
                <w:sz w:val="18"/>
                <w:szCs w:val="18"/>
              </w:rPr>
            </w:pPr>
            <w:r>
              <w:rPr>
                <w:rFonts w:hint="eastAsia" w:ascii="宋体" w:hAnsi="宋体" w:cs="宋体"/>
                <w:kern w:val="0"/>
                <w:sz w:val="18"/>
                <w:szCs w:val="18"/>
              </w:rPr>
              <w:t>1000≤Y＜30000</w:t>
            </w:r>
          </w:p>
        </w:tc>
        <w:tc>
          <w:tcPr>
            <w:tcW w:w="902" w:type="pct"/>
            <w:tcBorders>
              <w:top w:val="nil"/>
              <w:left w:val="nil"/>
              <w:bottom w:val="single" w:color="auto" w:sz="4" w:space="0"/>
              <w:right w:val="single" w:color="auto" w:sz="4" w:space="0"/>
            </w:tcBorders>
            <w:noWrap w:val="0"/>
            <w:vAlign w:val="center"/>
          </w:tcPr>
          <w:p w14:paraId="2CBFE3E6">
            <w:pPr>
              <w:widowControl/>
              <w:jc w:val="center"/>
              <w:rPr>
                <w:rFonts w:ascii="宋体" w:hAnsi="宋体" w:cs="宋体"/>
                <w:kern w:val="0"/>
                <w:sz w:val="18"/>
                <w:szCs w:val="18"/>
              </w:rPr>
            </w:pPr>
            <w:r>
              <w:rPr>
                <w:rFonts w:hint="eastAsia" w:ascii="宋体" w:hAnsi="宋体" w:cs="宋体"/>
                <w:kern w:val="0"/>
                <w:sz w:val="18"/>
                <w:szCs w:val="18"/>
              </w:rPr>
              <w:t>100≤Y＜1000</w:t>
            </w:r>
          </w:p>
        </w:tc>
        <w:tc>
          <w:tcPr>
            <w:tcW w:w="578" w:type="pct"/>
            <w:tcBorders>
              <w:top w:val="nil"/>
              <w:left w:val="nil"/>
              <w:bottom w:val="single" w:color="auto" w:sz="4" w:space="0"/>
              <w:right w:val="single" w:color="auto" w:sz="4" w:space="0"/>
            </w:tcBorders>
            <w:noWrap w:val="0"/>
            <w:vAlign w:val="center"/>
          </w:tcPr>
          <w:p w14:paraId="16539F24">
            <w:pPr>
              <w:widowControl/>
              <w:jc w:val="center"/>
              <w:rPr>
                <w:rFonts w:ascii="宋体" w:hAnsi="宋体" w:cs="宋体"/>
                <w:kern w:val="0"/>
                <w:sz w:val="18"/>
                <w:szCs w:val="18"/>
              </w:rPr>
            </w:pPr>
            <w:r>
              <w:rPr>
                <w:rFonts w:hint="eastAsia" w:ascii="宋体" w:hAnsi="宋体" w:cs="宋体"/>
                <w:kern w:val="0"/>
                <w:sz w:val="18"/>
                <w:szCs w:val="18"/>
              </w:rPr>
              <w:t>Y＜100</w:t>
            </w:r>
          </w:p>
        </w:tc>
      </w:tr>
      <w:tr w14:paraId="34E27C13">
        <w:tblPrEx>
          <w:tblCellMar>
            <w:top w:w="0" w:type="dxa"/>
            <w:left w:w="108" w:type="dxa"/>
            <w:bottom w:w="0" w:type="dxa"/>
            <w:right w:w="108" w:type="dxa"/>
          </w:tblCellMar>
        </w:tblPrEx>
        <w:trPr>
          <w:trHeight w:val="318" w:hRule="atLeast"/>
          <w:jc w:val="center"/>
        </w:trPr>
        <w:tc>
          <w:tcPr>
            <w:tcW w:w="980" w:type="pct"/>
            <w:vMerge w:val="restart"/>
            <w:tcBorders>
              <w:top w:val="nil"/>
              <w:left w:val="single" w:color="auto" w:sz="4" w:space="0"/>
              <w:bottom w:val="single" w:color="auto" w:sz="4" w:space="0"/>
              <w:right w:val="single" w:color="auto" w:sz="4" w:space="0"/>
            </w:tcBorders>
            <w:noWrap w:val="0"/>
            <w:vAlign w:val="center"/>
          </w:tcPr>
          <w:p w14:paraId="3AF8F729">
            <w:pPr>
              <w:widowControl/>
              <w:jc w:val="center"/>
              <w:rPr>
                <w:rFonts w:ascii="宋体" w:hAnsi="宋体" w:cs="宋体"/>
                <w:b/>
                <w:bCs/>
                <w:kern w:val="0"/>
                <w:sz w:val="18"/>
                <w:szCs w:val="18"/>
              </w:rPr>
            </w:pPr>
            <w:r>
              <w:rPr>
                <w:rFonts w:hint="eastAsia" w:ascii="宋体" w:hAnsi="宋体" w:cs="宋体"/>
                <w:b/>
                <w:bCs/>
                <w:kern w:val="0"/>
                <w:sz w:val="18"/>
                <w:szCs w:val="18"/>
              </w:rPr>
              <w:t>邮政业</w:t>
            </w:r>
          </w:p>
        </w:tc>
        <w:tc>
          <w:tcPr>
            <w:tcW w:w="831" w:type="pct"/>
            <w:tcBorders>
              <w:top w:val="nil"/>
              <w:left w:val="nil"/>
              <w:bottom w:val="single" w:color="auto" w:sz="4" w:space="0"/>
              <w:right w:val="single" w:color="auto" w:sz="4" w:space="0"/>
            </w:tcBorders>
            <w:noWrap w:val="0"/>
            <w:vAlign w:val="center"/>
          </w:tcPr>
          <w:p w14:paraId="68B88211">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48" w:type="pct"/>
            <w:tcBorders>
              <w:top w:val="nil"/>
              <w:left w:val="nil"/>
              <w:bottom w:val="single" w:color="auto" w:sz="4" w:space="0"/>
              <w:right w:val="single" w:color="auto" w:sz="4" w:space="0"/>
            </w:tcBorders>
            <w:noWrap w:val="0"/>
            <w:vAlign w:val="center"/>
          </w:tcPr>
          <w:p w14:paraId="7BAD7F32">
            <w:pPr>
              <w:widowControl/>
              <w:jc w:val="center"/>
              <w:rPr>
                <w:rFonts w:ascii="宋体" w:hAnsi="宋体" w:cs="宋体"/>
                <w:kern w:val="0"/>
                <w:sz w:val="18"/>
                <w:szCs w:val="18"/>
              </w:rPr>
            </w:pPr>
            <w:r>
              <w:rPr>
                <w:rFonts w:hint="eastAsia" w:ascii="宋体" w:hAnsi="宋体" w:cs="宋体"/>
                <w:kern w:val="0"/>
                <w:sz w:val="18"/>
                <w:szCs w:val="18"/>
              </w:rPr>
              <w:t>人</w:t>
            </w:r>
          </w:p>
        </w:tc>
        <w:tc>
          <w:tcPr>
            <w:tcW w:w="962" w:type="pct"/>
            <w:tcBorders>
              <w:top w:val="nil"/>
              <w:left w:val="nil"/>
              <w:bottom w:val="single" w:color="auto" w:sz="4" w:space="0"/>
              <w:right w:val="single" w:color="auto" w:sz="4" w:space="0"/>
            </w:tcBorders>
            <w:noWrap w:val="0"/>
            <w:vAlign w:val="center"/>
          </w:tcPr>
          <w:p w14:paraId="6A5665A6">
            <w:pPr>
              <w:widowControl/>
              <w:jc w:val="center"/>
              <w:rPr>
                <w:rFonts w:ascii="宋体" w:hAnsi="宋体" w:cs="宋体"/>
                <w:kern w:val="0"/>
                <w:sz w:val="18"/>
                <w:szCs w:val="18"/>
              </w:rPr>
            </w:pPr>
            <w:r>
              <w:rPr>
                <w:rFonts w:hint="eastAsia" w:ascii="宋体" w:hAnsi="宋体" w:cs="宋体"/>
                <w:kern w:val="0"/>
                <w:sz w:val="18"/>
                <w:szCs w:val="18"/>
              </w:rPr>
              <w:t>300≤X＜1000</w:t>
            </w:r>
          </w:p>
        </w:tc>
        <w:tc>
          <w:tcPr>
            <w:tcW w:w="902" w:type="pct"/>
            <w:tcBorders>
              <w:top w:val="nil"/>
              <w:left w:val="nil"/>
              <w:bottom w:val="single" w:color="auto" w:sz="4" w:space="0"/>
              <w:right w:val="single" w:color="auto" w:sz="4" w:space="0"/>
            </w:tcBorders>
            <w:noWrap w:val="0"/>
            <w:vAlign w:val="center"/>
          </w:tcPr>
          <w:p w14:paraId="3282CC3C">
            <w:pPr>
              <w:widowControl/>
              <w:jc w:val="center"/>
              <w:rPr>
                <w:rFonts w:ascii="宋体" w:hAnsi="宋体" w:cs="宋体"/>
                <w:kern w:val="0"/>
                <w:sz w:val="18"/>
                <w:szCs w:val="18"/>
              </w:rPr>
            </w:pPr>
            <w:r>
              <w:rPr>
                <w:rFonts w:hint="eastAsia" w:ascii="宋体" w:hAnsi="宋体" w:cs="宋体"/>
                <w:kern w:val="0"/>
                <w:sz w:val="18"/>
                <w:szCs w:val="18"/>
              </w:rPr>
              <w:t>20≤X＜300</w:t>
            </w:r>
          </w:p>
        </w:tc>
        <w:tc>
          <w:tcPr>
            <w:tcW w:w="578" w:type="pct"/>
            <w:tcBorders>
              <w:top w:val="nil"/>
              <w:left w:val="nil"/>
              <w:bottom w:val="single" w:color="auto" w:sz="4" w:space="0"/>
              <w:right w:val="single" w:color="auto" w:sz="4" w:space="0"/>
            </w:tcBorders>
            <w:noWrap w:val="0"/>
            <w:vAlign w:val="center"/>
          </w:tcPr>
          <w:p w14:paraId="7F87D1C0">
            <w:pPr>
              <w:widowControl/>
              <w:jc w:val="center"/>
              <w:rPr>
                <w:rFonts w:ascii="宋体" w:hAnsi="宋体" w:cs="宋体"/>
                <w:kern w:val="0"/>
                <w:sz w:val="18"/>
                <w:szCs w:val="18"/>
              </w:rPr>
            </w:pPr>
            <w:r>
              <w:rPr>
                <w:rFonts w:hint="eastAsia" w:ascii="宋体" w:hAnsi="宋体" w:cs="宋体"/>
                <w:kern w:val="0"/>
                <w:sz w:val="18"/>
                <w:szCs w:val="18"/>
              </w:rPr>
              <w:t>X＜20</w:t>
            </w:r>
          </w:p>
        </w:tc>
      </w:tr>
      <w:tr w14:paraId="7CC23EE1">
        <w:tblPrEx>
          <w:tblCellMar>
            <w:top w:w="0" w:type="dxa"/>
            <w:left w:w="108" w:type="dxa"/>
            <w:bottom w:w="0" w:type="dxa"/>
            <w:right w:w="108" w:type="dxa"/>
          </w:tblCellMar>
        </w:tblPrEx>
        <w:trPr>
          <w:trHeight w:val="318" w:hRule="atLeast"/>
          <w:jc w:val="center"/>
        </w:trPr>
        <w:tc>
          <w:tcPr>
            <w:tcW w:w="980" w:type="pct"/>
            <w:vMerge w:val="continue"/>
            <w:tcBorders>
              <w:top w:val="nil"/>
              <w:left w:val="single" w:color="auto" w:sz="4" w:space="0"/>
              <w:bottom w:val="single" w:color="auto" w:sz="4" w:space="0"/>
              <w:right w:val="single" w:color="auto" w:sz="4" w:space="0"/>
            </w:tcBorders>
            <w:noWrap w:val="0"/>
            <w:vAlign w:val="center"/>
          </w:tcPr>
          <w:p w14:paraId="5D86A527">
            <w:pPr>
              <w:widowControl/>
              <w:jc w:val="center"/>
              <w:rPr>
                <w:rFonts w:ascii="宋体" w:hAnsi="宋体" w:cs="宋体"/>
                <w:b/>
                <w:bCs/>
                <w:kern w:val="0"/>
                <w:sz w:val="18"/>
                <w:szCs w:val="18"/>
              </w:rPr>
            </w:pPr>
          </w:p>
        </w:tc>
        <w:tc>
          <w:tcPr>
            <w:tcW w:w="831" w:type="pct"/>
            <w:tcBorders>
              <w:top w:val="nil"/>
              <w:left w:val="nil"/>
              <w:bottom w:val="single" w:color="auto" w:sz="4" w:space="0"/>
              <w:right w:val="single" w:color="auto" w:sz="4" w:space="0"/>
            </w:tcBorders>
            <w:noWrap w:val="0"/>
            <w:vAlign w:val="center"/>
          </w:tcPr>
          <w:p w14:paraId="14D0E75B">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748" w:type="pct"/>
            <w:tcBorders>
              <w:top w:val="nil"/>
              <w:left w:val="nil"/>
              <w:bottom w:val="single" w:color="auto" w:sz="4" w:space="0"/>
              <w:right w:val="single" w:color="auto" w:sz="4" w:space="0"/>
            </w:tcBorders>
            <w:noWrap w:val="0"/>
            <w:vAlign w:val="center"/>
          </w:tcPr>
          <w:p w14:paraId="7A571937">
            <w:pPr>
              <w:widowControl/>
              <w:jc w:val="center"/>
              <w:rPr>
                <w:rFonts w:ascii="宋体" w:hAnsi="宋体" w:cs="宋体"/>
                <w:kern w:val="0"/>
                <w:sz w:val="18"/>
                <w:szCs w:val="18"/>
              </w:rPr>
            </w:pPr>
            <w:r>
              <w:rPr>
                <w:rFonts w:hint="eastAsia" w:ascii="宋体" w:hAnsi="宋体" w:cs="宋体"/>
                <w:kern w:val="0"/>
                <w:sz w:val="18"/>
                <w:szCs w:val="18"/>
              </w:rPr>
              <w:t>万元</w:t>
            </w:r>
          </w:p>
        </w:tc>
        <w:tc>
          <w:tcPr>
            <w:tcW w:w="962" w:type="pct"/>
            <w:tcBorders>
              <w:top w:val="nil"/>
              <w:left w:val="nil"/>
              <w:bottom w:val="single" w:color="auto" w:sz="4" w:space="0"/>
              <w:right w:val="single" w:color="auto" w:sz="4" w:space="0"/>
            </w:tcBorders>
            <w:noWrap w:val="0"/>
            <w:vAlign w:val="center"/>
          </w:tcPr>
          <w:p w14:paraId="7CF53173">
            <w:pPr>
              <w:widowControl/>
              <w:jc w:val="center"/>
              <w:rPr>
                <w:rFonts w:ascii="宋体" w:hAnsi="宋体" w:cs="宋体"/>
                <w:kern w:val="0"/>
                <w:sz w:val="18"/>
                <w:szCs w:val="18"/>
              </w:rPr>
            </w:pPr>
            <w:r>
              <w:rPr>
                <w:rFonts w:hint="eastAsia" w:ascii="宋体" w:hAnsi="宋体" w:cs="宋体"/>
                <w:kern w:val="0"/>
                <w:sz w:val="18"/>
                <w:szCs w:val="18"/>
              </w:rPr>
              <w:t>2000≤Y＜30000</w:t>
            </w:r>
          </w:p>
        </w:tc>
        <w:tc>
          <w:tcPr>
            <w:tcW w:w="902" w:type="pct"/>
            <w:tcBorders>
              <w:top w:val="nil"/>
              <w:left w:val="nil"/>
              <w:bottom w:val="single" w:color="auto" w:sz="4" w:space="0"/>
              <w:right w:val="single" w:color="auto" w:sz="4" w:space="0"/>
            </w:tcBorders>
            <w:noWrap w:val="0"/>
            <w:vAlign w:val="center"/>
          </w:tcPr>
          <w:p w14:paraId="7A429AFB">
            <w:pPr>
              <w:widowControl/>
              <w:jc w:val="center"/>
              <w:rPr>
                <w:rFonts w:ascii="宋体" w:hAnsi="宋体" w:cs="宋体"/>
                <w:kern w:val="0"/>
                <w:sz w:val="18"/>
                <w:szCs w:val="18"/>
              </w:rPr>
            </w:pPr>
            <w:r>
              <w:rPr>
                <w:rFonts w:hint="eastAsia" w:ascii="宋体" w:hAnsi="宋体" w:cs="宋体"/>
                <w:kern w:val="0"/>
                <w:sz w:val="18"/>
                <w:szCs w:val="18"/>
              </w:rPr>
              <w:t>100≤Y＜2000</w:t>
            </w:r>
          </w:p>
        </w:tc>
        <w:tc>
          <w:tcPr>
            <w:tcW w:w="578" w:type="pct"/>
            <w:tcBorders>
              <w:top w:val="nil"/>
              <w:left w:val="nil"/>
              <w:bottom w:val="single" w:color="auto" w:sz="4" w:space="0"/>
              <w:right w:val="single" w:color="auto" w:sz="4" w:space="0"/>
            </w:tcBorders>
            <w:noWrap w:val="0"/>
            <w:vAlign w:val="center"/>
          </w:tcPr>
          <w:p w14:paraId="1431565F">
            <w:pPr>
              <w:widowControl/>
              <w:jc w:val="center"/>
              <w:rPr>
                <w:rFonts w:ascii="宋体" w:hAnsi="宋体" w:cs="宋体"/>
                <w:kern w:val="0"/>
                <w:sz w:val="18"/>
                <w:szCs w:val="18"/>
              </w:rPr>
            </w:pPr>
            <w:r>
              <w:rPr>
                <w:rFonts w:hint="eastAsia" w:ascii="宋体" w:hAnsi="宋体" w:cs="宋体"/>
                <w:kern w:val="0"/>
                <w:sz w:val="18"/>
                <w:szCs w:val="18"/>
              </w:rPr>
              <w:t>Y＜100</w:t>
            </w:r>
          </w:p>
        </w:tc>
      </w:tr>
      <w:tr w14:paraId="531437AF">
        <w:tblPrEx>
          <w:tblCellMar>
            <w:top w:w="0" w:type="dxa"/>
            <w:left w:w="108" w:type="dxa"/>
            <w:bottom w:w="0" w:type="dxa"/>
            <w:right w:w="108" w:type="dxa"/>
          </w:tblCellMar>
        </w:tblPrEx>
        <w:trPr>
          <w:trHeight w:val="318" w:hRule="atLeast"/>
          <w:jc w:val="center"/>
        </w:trPr>
        <w:tc>
          <w:tcPr>
            <w:tcW w:w="980" w:type="pct"/>
            <w:vMerge w:val="restart"/>
            <w:tcBorders>
              <w:top w:val="nil"/>
              <w:left w:val="single" w:color="auto" w:sz="4" w:space="0"/>
              <w:bottom w:val="single" w:color="auto" w:sz="4" w:space="0"/>
              <w:right w:val="single" w:color="auto" w:sz="4" w:space="0"/>
            </w:tcBorders>
            <w:noWrap w:val="0"/>
            <w:vAlign w:val="center"/>
          </w:tcPr>
          <w:p w14:paraId="27D11C00">
            <w:pPr>
              <w:widowControl/>
              <w:jc w:val="center"/>
              <w:rPr>
                <w:rFonts w:ascii="宋体" w:hAnsi="宋体" w:cs="宋体"/>
                <w:b/>
                <w:bCs/>
                <w:kern w:val="0"/>
                <w:sz w:val="18"/>
                <w:szCs w:val="18"/>
              </w:rPr>
            </w:pPr>
            <w:r>
              <w:rPr>
                <w:rFonts w:hint="eastAsia" w:ascii="宋体" w:hAnsi="宋体" w:cs="宋体"/>
                <w:b/>
                <w:bCs/>
                <w:kern w:val="0"/>
                <w:sz w:val="18"/>
                <w:szCs w:val="18"/>
              </w:rPr>
              <w:t>住宿业</w:t>
            </w:r>
          </w:p>
        </w:tc>
        <w:tc>
          <w:tcPr>
            <w:tcW w:w="831" w:type="pct"/>
            <w:tcBorders>
              <w:top w:val="nil"/>
              <w:left w:val="nil"/>
              <w:bottom w:val="single" w:color="auto" w:sz="4" w:space="0"/>
              <w:right w:val="single" w:color="auto" w:sz="4" w:space="0"/>
            </w:tcBorders>
            <w:noWrap w:val="0"/>
            <w:vAlign w:val="center"/>
          </w:tcPr>
          <w:p w14:paraId="1B55EE74">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48" w:type="pct"/>
            <w:tcBorders>
              <w:top w:val="nil"/>
              <w:left w:val="nil"/>
              <w:bottom w:val="single" w:color="auto" w:sz="4" w:space="0"/>
              <w:right w:val="single" w:color="auto" w:sz="4" w:space="0"/>
            </w:tcBorders>
            <w:noWrap w:val="0"/>
            <w:vAlign w:val="center"/>
          </w:tcPr>
          <w:p w14:paraId="0D8C7EAE">
            <w:pPr>
              <w:widowControl/>
              <w:jc w:val="center"/>
              <w:rPr>
                <w:rFonts w:ascii="宋体" w:hAnsi="宋体" w:cs="宋体"/>
                <w:kern w:val="0"/>
                <w:sz w:val="18"/>
                <w:szCs w:val="18"/>
              </w:rPr>
            </w:pPr>
            <w:r>
              <w:rPr>
                <w:rFonts w:hint="eastAsia" w:ascii="宋体" w:hAnsi="宋体" w:cs="宋体"/>
                <w:kern w:val="0"/>
                <w:sz w:val="18"/>
                <w:szCs w:val="18"/>
              </w:rPr>
              <w:t>人</w:t>
            </w:r>
          </w:p>
        </w:tc>
        <w:tc>
          <w:tcPr>
            <w:tcW w:w="962" w:type="pct"/>
            <w:tcBorders>
              <w:top w:val="nil"/>
              <w:left w:val="nil"/>
              <w:bottom w:val="single" w:color="auto" w:sz="4" w:space="0"/>
              <w:right w:val="single" w:color="auto" w:sz="4" w:space="0"/>
            </w:tcBorders>
            <w:noWrap w:val="0"/>
            <w:vAlign w:val="center"/>
          </w:tcPr>
          <w:p w14:paraId="198F2947">
            <w:pPr>
              <w:widowControl/>
              <w:jc w:val="center"/>
              <w:rPr>
                <w:rFonts w:ascii="宋体" w:hAnsi="宋体" w:cs="宋体"/>
                <w:kern w:val="0"/>
                <w:sz w:val="18"/>
                <w:szCs w:val="18"/>
              </w:rPr>
            </w:pPr>
            <w:r>
              <w:rPr>
                <w:rFonts w:hint="eastAsia" w:ascii="宋体" w:hAnsi="宋体" w:cs="宋体"/>
                <w:kern w:val="0"/>
                <w:sz w:val="18"/>
                <w:szCs w:val="18"/>
              </w:rPr>
              <w:t>100≤X＜300</w:t>
            </w:r>
          </w:p>
        </w:tc>
        <w:tc>
          <w:tcPr>
            <w:tcW w:w="902" w:type="pct"/>
            <w:tcBorders>
              <w:top w:val="nil"/>
              <w:left w:val="nil"/>
              <w:bottom w:val="single" w:color="auto" w:sz="4" w:space="0"/>
              <w:right w:val="single" w:color="auto" w:sz="4" w:space="0"/>
            </w:tcBorders>
            <w:noWrap w:val="0"/>
            <w:vAlign w:val="center"/>
          </w:tcPr>
          <w:p w14:paraId="673705DE">
            <w:pPr>
              <w:widowControl/>
              <w:jc w:val="center"/>
              <w:rPr>
                <w:rFonts w:ascii="宋体" w:hAnsi="宋体" w:cs="宋体"/>
                <w:kern w:val="0"/>
                <w:sz w:val="18"/>
                <w:szCs w:val="18"/>
              </w:rPr>
            </w:pPr>
            <w:r>
              <w:rPr>
                <w:rFonts w:hint="eastAsia" w:ascii="宋体" w:hAnsi="宋体" w:cs="宋体"/>
                <w:kern w:val="0"/>
                <w:sz w:val="18"/>
                <w:szCs w:val="18"/>
              </w:rPr>
              <w:t>10≤X＜100</w:t>
            </w:r>
          </w:p>
        </w:tc>
        <w:tc>
          <w:tcPr>
            <w:tcW w:w="578" w:type="pct"/>
            <w:tcBorders>
              <w:top w:val="nil"/>
              <w:left w:val="nil"/>
              <w:bottom w:val="single" w:color="auto" w:sz="4" w:space="0"/>
              <w:right w:val="single" w:color="auto" w:sz="4" w:space="0"/>
            </w:tcBorders>
            <w:noWrap w:val="0"/>
            <w:vAlign w:val="center"/>
          </w:tcPr>
          <w:p w14:paraId="1FAA3F13">
            <w:pPr>
              <w:widowControl/>
              <w:jc w:val="center"/>
              <w:rPr>
                <w:rFonts w:ascii="宋体" w:hAnsi="宋体" w:cs="宋体"/>
                <w:kern w:val="0"/>
                <w:sz w:val="18"/>
                <w:szCs w:val="18"/>
              </w:rPr>
            </w:pPr>
            <w:r>
              <w:rPr>
                <w:rFonts w:hint="eastAsia" w:ascii="宋体" w:hAnsi="宋体" w:cs="宋体"/>
                <w:kern w:val="0"/>
                <w:sz w:val="18"/>
                <w:szCs w:val="18"/>
              </w:rPr>
              <w:t>X＜10</w:t>
            </w:r>
          </w:p>
        </w:tc>
      </w:tr>
      <w:tr w14:paraId="78481096">
        <w:tblPrEx>
          <w:tblCellMar>
            <w:top w:w="0" w:type="dxa"/>
            <w:left w:w="108" w:type="dxa"/>
            <w:bottom w:w="0" w:type="dxa"/>
            <w:right w:w="108" w:type="dxa"/>
          </w:tblCellMar>
        </w:tblPrEx>
        <w:trPr>
          <w:trHeight w:val="318" w:hRule="atLeast"/>
          <w:jc w:val="center"/>
        </w:trPr>
        <w:tc>
          <w:tcPr>
            <w:tcW w:w="980" w:type="pct"/>
            <w:vMerge w:val="continue"/>
            <w:tcBorders>
              <w:top w:val="nil"/>
              <w:left w:val="single" w:color="auto" w:sz="4" w:space="0"/>
              <w:bottom w:val="single" w:color="auto" w:sz="4" w:space="0"/>
              <w:right w:val="single" w:color="auto" w:sz="4" w:space="0"/>
            </w:tcBorders>
            <w:noWrap w:val="0"/>
            <w:vAlign w:val="center"/>
          </w:tcPr>
          <w:p w14:paraId="42FCA888">
            <w:pPr>
              <w:widowControl/>
              <w:jc w:val="center"/>
              <w:rPr>
                <w:rFonts w:ascii="宋体" w:hAnsi="宋体" w:cs="宋体"/>
                <w:b/>
                <w:bCs/>
                <w:kern w:val="0"/>
                <w:sz w:val="18"/>
                <w:szCs w:val="18"/>
              </w:rPr>
            </w:pPr>
          </w:p>
        </w:tc>
        <w:tc>
          <w:tcPr>
            <w:tcW w:w="831" w:type="pct"/>
            <w:tcBorders>
              <w:top w:val="nil"/>
              <w:left w:val="nil"/>
              <w:bottom w:val="single" w:color="auto" w:sz="4" w:space="0"/>
              <w:right w:val="single" w:color="auto" w:sz="4" w:space="0"/>
            </w:tcBorders>
            <w:noWrap w:val="0"/>
            <w:vAlign w:val="center"/>
          </w:tcPr>
          <w:p w14:paraId="0A5B1993">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748" w:type="pct"/>
            <w:tcBorders>
              <w:top w:val="nil"/>
              <w:left w:val="nil"/>
              <w:bottom w:val="single" w:color="auto" w:sz="4" w:space="0"/>
              <w:right w:val="single" w:color="auto" w:sz="4" w:space="0"/>
            </w:tcBorders>
            <w:noWrap w:val="0"/>
            <w:vAlign w:val="center"/>
          </w:tcPr>
          <w:p w14:paraId="5028A824">
            <w:pPr>
              <w:widowControl/>
              <w:jc w:val="center"/>
              <w:rPr>
                <w:rFonts w:ascii="宋体" w:hAnsi="宋体" w:cs="宋体"/>
                <w:kern w:val="0"/>
                <w:sz w:val="18"/>
                <w:szCs w:val="18"/>
              </w:rPr>
            </w:pPr>
            <w:r>
              <w:rPr>
                <w:rFonts w:hint="eastAsia" w:ascii="宋体" w:hAnsi="宋体" w:cs="宋体"/>
                <w:kern w:val="0"/>
                <w:sz w:val="18"/>
                <w:szCs w:val="18"/>
              </w:rPr>
              <w:t>万元</w:t>
            </w:r>
          </w:p>
        </w:tc>
        <w:tc>
          <w:tcPr>
            <w:tcW w:w="962" w:type="pct"/>
            <w:tcBorders>
              <w:top w:val="nil"/>
              <w:left w:val="nil"/>
              <w:bottom w:val="single" w:color="auto" w:sz="4" w:space="0"/>
              <w:right w:val="single" w:color="auto" w:sz="4" w:space="0"/>
            </w:tcBorders>
            <w:noWrap w:val="0"/>
            <w:vAlign w:val="center"/>
          </w:tcPr>
          <w:p w14:paraId="537ACC0F">
            <w:pPr>
              <w:widowControl/>
              <w:jc w:val="center"/>
              <w:rPr>
                <w:rFonts w:ascii="宋体" w:hAnsi="宋体" w:cs="宋体"/>
                <w:kern w:val="0"/>
                <w:sz w:val="18"/>
                <w:szCs w:val="18"/>
              </w:rPr>
            </w:pPr>
            <w:r>
              <w:rPr>
                <w:rFonts w:hint="eastAsia" w:ascii="宋体" w:hAnsi="宋体" w:cs="宋体"/>
                <w:kern w:val="0"/>
                <w:sz w:val="18"/>
                <w:szCs w:val="18"/>
              </w:rPr>
              <w:t>2000≤Y＜10000</w:t>
            </w:r>
          </w:p>
        </w:tc>
        <w:tc>
          <w:tcPr>
            <w:tcW w:w="902" w:type="pct"/>
            <w:tcBorders>
              <w:top w:val="nil"/>
              <w:left w:val="nil"/>
              <w:bottom w:val="single" w:color="auto" w:sz="4" w:space="0"/>
              <w:right w:val="single" w:color="auto" w:sz="4" w:space="0"/>
            </w:tcBorders>
            <w:noWrap w:val="0"/>
            <w:vAlign w:val="center"/>
          </w:tcPr>
          <w:p w14:paraId="5EC4AB2A">
            <w:pPr>
              <w:widowControl/>
              <w:jc w:val="center"/>
              <w:rPr>
                <w:rFonts w:ascii="宋体" w:hAnsi="宋体" w:cs="宋体"/>
                <w:kern w:val="0"/>
                <w:sz w:val="18"/>
                <w:szCs w:val="18"/>
              </w:rPr>
            </w:pPr>
            <w:r>
              <w:rPr>
                <w:rFonts w:hint="eastAsia" w:ascii="宋体" w:hAnsi="宋体" w:cs="宋体"/>
                <w:kern w:val="0"/>
                <w:sz w:val="18"/>
                <w:szCs w:val="18"/>
              </w:rPr>
              <w:t>100≤Y＜2000</w:t>
            </w:r>
          </w:p>
        </w:tc>
        <w:tc>
          <w:tcPr>
            <w:tcW w:w="578" w:type="pct"/>
            <w:tcBorders>
              <w:top w:val="nil"/>
              <w:left w:val="nil"/>
              <w:bottom w:val="single" w:color="auto" w:sz="4" w:space="0"/>
              <w:right w:val="single" w:color="auto" w:sz="4" w:space="0"/>
            </w:tcBorders>
            <w:noWrap w:val="0"/>
            <w:vAlign w:val="center"/>
          </w:tcPr>
          <w:p w14:paraId="527C5F4C">
            <w:pPr>
              <w:widowControl/>
              <w:jc w:val="center"/>
              <w:rPr>
                <w:rFonts w:ascii="宋体" w:hAnsi="宋体" w:cs="宋体"/>
                <w:kern w:val="0"/>
                <w:sz w:val="18"/>
                <w:szCs w:val="18"/>
              </w:rPr>
            </w:pPr>
            <w:r>
              <w:rPr>
                <w:rFonts w:hint="eastAsia" w:ascii="宋体" w:hAnsi="宋体" w:cs="宋体"/>
                <w:kern w:val="0"/>
                <w:sz w:val="18"/>
                <w:szCs w:val="18"/>
              </w:rPr>
              <w:t>Y＜100</w:t>
            </w:r>
          </w:p>
        </w:tc>
      </w:tr>
      <w:tr w14:paraId="360D6901">
        <w:tblPrEx>
          <w:tblCellMar>
            <w:top w:w="0" w:type="dxa"/>
            <w:left w:w="108" w:type="dxa"/>
            <w:bottom w:w="0" w:type="dxa"/>
            <w:right w:w="108" w:type="dxa"/>
          </w:tblCellMar>
        </w:tblPrEx>
        <w:trPr>
          <w:trHeight w:val="318" w:hRule="atLeast"/>
          <w:jc w:val="center"/>
        </w:trPr>
        <w:tc>
          <w:tcPr>
            <w:tcW w:w="980" w:type="pct"/>
            <w:vMerge w:val="restart"/>
            <w:tcBorders>
              <w:top w:val="nil"/>
              <w:left w:val="single" w:color="auto" w:sz="4" w:space="0"/>
              <w:bottom w:val="single" w:color="auto" w:sz="4" w:space="0"/>
              <w:right w:val="single" w:color="auto" w:sz="4" w:space="0"/>
            </w:tcBorders>
            <w:noWrap w:val="0"/>
            <w:vAlign w:val="center"/>
          </w:tcPr>
          <w:p w14:paraId="7255A194">
            <w:pPr>
              <w:widowControl/>
              <w:jc w:val="center"/>
              <w:rPr>
                <w:rFonts w:ascii="宋体" w:hAnsi="宋体" w:cs="宋体"/>
                <w:b/>
                <w:bCs/>
                <w:kern w:val="0"/>
                <w:sz w:val="18"/>
                <w:szCs w:val="18"/>
              </w:rPr>
            </w:pPr>
            <w:r>
              <w:rPr>
                <w:rFonts w:hint="eastAsia" w:ascii="宋体" w:hAnsi="宋体" w:cs="宋体"/>
                <w:b/>
                <w:bCs/>
                <w:kern w:val="0"/>
                <w:sz w:val="18"/>
                <w:szCs w:val="18"/>
              </w:rPr>
              <w:t>餐饮业</w:t>
            </w:r>
          </w:p>
        </w:tc>
        <w:tc>
          <w:tcPr>
            <w:tcW w:w="831" w:type="pct"/>
            <w:tcBorders>
              <w:top w:val="nil"/>
              <w:left w:val="nil"/>
              <w:bottom w:val="single" w:color="auto" w:sz="4" w:space="0"/>
              <w:right w:val="single" w:color="auto" w:sz="4" w:space="0"/>
            </w:tcBorders>
            <w:noWrap w:val="0"/>
            <w:vAlign w:val="center"/>
          </w:tcPr>
          <w:p w14:paraId="715B3BBE">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48" w:type="pct"/>
            <w:tcBorders>
              <w:top w:val="nil"/>
              <w:left w:val="nil"/>
              <w:bottom w:val="single" w:color="auto" w:sz="4" w:space="0"/>
              <w:right w:val="single" w:color="auto" w:sz="4" w:space="0"/>
            </w:tcBorders>
            <w:noWrap w:val="0"/>
            <w:vAlign w:val="center"/>
          </w:tcPr>
          <w:p w14:paraId="5E3CD2D8">
            <w:pPr>
              <w:widowControl/>
              <w:jc w:val="center"/>
              <w:rPr>
                <w:rFonts w:ascii="宋体" w:hAnsi="宋体" w:cs="宋体"/>
                <w:kern w:val="0"/>
                <w:sz w:val="18"/>
                <w:szCs w:val="18"/>
              </w:rPr>
            </w:pPr>
            <w:r>
              <w:rPr>
                <w:rFonts w:hint="eastAsia" w:ascii="宋体" w:hAnsi="宋体" w:cs="宋体"/>
                <w:kern w:val="0"/>
                <w:sz w:val="18"/>
                <w:szCs w:val="18"/>
              </w:rPr>
              <w:t>人</w:t>
            </w:r>
          </w:p>
        </w:tc>
        <w:tc>
          <w:tcPr>
            <w:tcW w:w="962" w:type="pct"/>
            <w:tcBorders>
              <w:top w:val="nil"/>
              <w:left w:val="nil"/>
              <w:bottom w:val="single" w:color="auto" w:sz="4" w:space="0"/>
              <w:right w:val="single" w:color="auto" w:sz="4" w:space="0"/>
            </w:tcBorders>
            <w:noWrap w:val="0"/>
            <w:vAlign w:val="center"/>
          </w:tcPr>
          <w:p w14:paraId="3F6B76C1">
            <w:pPr>
              <w:widowControl/>
              <w:jc w:val="center"/>
              <w:rPr>
                <w:rFonts w:ascii="宋体" w:hAnsi="宋体" w:cs="宋体"/>
                <w:kern w:val="0"/>
                <w:sz w:val="18"/>
                <w:szCs w:val="18"/>
              </w:rPr>
            </w:pPr>
            <w:r>
              <w:rPr>
                <w:rFonts w:hint="eastAsia" w:ascii="宋体" w:hAnsi="宋体" w:cs="宋体"/>
                <w:kern w:val="0"/>
                <w:sz w:val="18"/>
                <w:szCs w:val="18"/>
              </w:rPr>
              <w:t>100≤X＜300</w:t>
            </w:r>
          </w:p>
        </w:tc>
        <w:tc>
          <w:tcPr>
            <w:tcW w:w="902" w:type="pct"/>
            <w:tcBorders>
              <w:top w:val="nil"/>
              <w:left w:val="nil"/>
              <w:bottom w:val="single" w:color="auto" w:sz="4" w:space="0"/>
              <w:right w:val="single" w:color="auto" w:sz="4" w:space="0"/>
            </w:tcBorders>
            <w:noWrap w:val="0"/>
            <w:vAlign w:val="center"/>
          </w:tcPr>
          <w:p w14:paraId="4C0D22E2">
            <w:pPr>
              <w:widowControl/>
              <w:jc w:val="center"/>
              <w:rPr>
                <w:rFonts w:ascii="宋体" w:hAnsi="宋体" w:cs="宋体"/>
                <w:kern w:val="0"/>
                <w:sz w:val="18"/>
                <w:szCs w:val="18"/>
              </w:rPr>
            </w:pPr>
            <w:r>
              <w:rPr>
                <w:rFonts w:hint="eastAsia" w:ascii="宋体" w:hAnsi="宋体" w:cs="宋体"/>
                <w:kern w:val="0"/>
                <w:sz w:val="18"/>
                <w:szCs w:val="18"/>
              </w:rPr>
              <w:t>10≤X＜100</w:t>
            </w:r>
          </w:p>
        </w:tc>
        <w:tc>
          <w:tcPr>
            <w:tcW w:w="578" w:type="pct"/>
            <w:tcBorders>
              <w:top w:val="nil"/>
              <w:left w:val="nil"/>
              <w:bottom w:val="single" w:color="auto" w:sz="4" w:space="0"/>
              <w:right w:val="single" w:color="auto" w:sz="4" w:space="0"/>
            </w:tcBorders>
            <w:noWrap w:val="0"/>
            <w:vAlign w:val="center"/>
          </w:tcPr>
          <w:p w14:paraId="77AE9354">
            <w:pPr>
              <w:widowControl/>
              <w:jc w:val="center"/>
              <w:rPr>
                <w:rFonts w:ascii="宋体" w:hAnsi="宋体" w:cs="宋体"/>
                <w:kern w:val="0"/>
                <w:sz w:val="18"/>
                <w:szCs w:val="18"/>
              </w:rPr>
            </w:pPr>
            <w:r>
              <w:rPr>
                <w:rFonts w:hint="eastAsia" w:ascii="宋体" w:hAnsi="宋体" w:cs="宋体"/>
                <w:kern w:val="0"/>
                <w:sz w:val="18"/>
                <w:szCs w:val="18"/>
              </w:rPr>
              <w:t>X＜10</w:t>
            </w:r>
          </w:p>
        </w:tc>
      </w:tr>
      <w:tr w14:paraId="749A1FCA">
        <w:tblPrEx>
          <w:tblCellMar>
            <w:top w:w="0" w:type="dxa"/>
            <w:left w:w="108" w:type="dxa"/>
            <w:bottom w:w="0" w:type="dxa"/>
            <w:right w:w="108" w:type="dxa"/>
          </w:tblCellMar>
        </w:tblPrEx>
        <w:trPr>
          <w:trHeight w:val="318" w:hRule="atLeast"/>
          <w:jc w:val="center"/>
        </w:trPr>
        <w:tc>
          <w:tcPr>
            <w:tcW w:w="980" w:type="pct"/>
            <w:vMerge w:val="continue"/>
            <w:tcBorders>
              <w:top w:val="nil"/>
              <w:left w:val="single" w:color="auto" w:sz="4" w:space="0"/>
              <w:bottom w:val="single" w:color="auto" w:sz="4" w:space="0"/>
              <w:right w:val="single" w:color="auto" w:sz="4" w:space="0"/>
            </w:tcBorders>
            <w:noWrap w:val="0"/>
            <w:vAlign w:val="center"/>
          </w:tcPr>
          <w:p w14:paraId="693F2BB0">
            <w:pPr>
              <w:widowControl/>
              <w:jc w:val="center"/>
              <w:rPr>
                <w:rFonts w:ascii="宋体" w:hAnsi="宋体" w:cs="宋体"/>
                <w:b/>
                <w:bCs/>
                <w:kern w:val="0"/>
                <w:sz w:val="18"/>
                <w:szCs w:val="18"/>
              </w:rPr>
            </w:pPr>
          </w:p>
        </w:tc>
        <w:tc>
          <w:tcPr>
            <w:tcW w:w="831" w:type="pct"/>
            <w:tcBorders>
              <w:top w:val="nil"/>
              <w:left w:val="nil"/>
              <w:bottom w:val="single" w:color="auto" w:sz="4" w:space="0"/>
              <w:right w:val="single" w:color="auto" w:sz="4" w:space="0"/>
            </w:tcBorders>
            <w:noWrap w:val="0"/>
            <w:vAlign w:val="center"/>
          </w:tcPr>
          <w:p w14:paraId="2EA78ABF">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748" w:type="pct"/>
            <w:tcBorders>
              <w:top w:val="nil"/>
              <w:left w:val="nil"/>
              <w:bottom w:val="single" w:color="auto" w:sz="4" w:space="0"/>
              <w:right w:val="single" w:color="auto" w:sz="4" w:space="0"/>
            </w:tcBorders>
            <w:noWrap w:val="0"/>
            <w:vAlign w:val="center"/>
          </w:tcPr>
          <w:p w14:paraId="040CC753">
            <w:pPr>
              <w:widowControl/>
              <w:jc w:val="center"/>
              <w:rPr>
                <w:rFonts w:ascii="宋体" w:hAnsi="宋体" w:cs="宋体"/>
                <w:kern w:val="0"/>
                <w:sz w:val="18"/>
                <w:szCs w:val="18"/>
              </w:rPr>
            </w:pPr>
            <w:r>
              <w:rPr>
                <w:rFonts w:hint="eastAsia" w:ascii="宋体" w:hAnsi="宋体" w:cs="宋体"/>
                <w:kern w:val="0"/>
                <w:sz w:val="18"/>
                <w:szCs w:val="18"/>
              </w:rPr>
              <w:t>万元</w:t>
            </w:r>
          </w:p>
        </w:tc>
        <w:tc>
          <w:tcPr>
            <w:tcW w:w="962" w:type="pct"/>
            <w:tcBorders>
              <w:top w:val="nil"/>
              <w:left w:val="nil"/>
              <w:bottom w:val="single" w:color="auto" w:sz="4" w:space="0"/>
              <w:right w:val="single" w:color="auto" w:sz="4" w:space="0"/>
            </w:tcBorders>
            <w:noWrap w:val="0"/>
            <w:vAlign w:val="center"/>
          </w:tcPr>
          <w:p w14:paraId="55E68F6C">
            <w:pPr>
              <w:widowControl/>
              <w:jc w:val="center"/>
              <w:rPr>
                <w:rFonts w:ascii="宋体" w:hAnsi="宋体" w:cs="宋体"/>
                <w:kern w:val="0"/>
                <w:sz w:val="18"/>
                <w:szCs w:val="18"/>
              </w:rPr>
            </w:pPr>
            <w:r>
              <w:rPr>
                <w:rFonts w:hint="eastAsia" w:ascii="宋体" w:hAnsi="宋体" w:cs="宋体"/>
                <w:kern w:val="0"/>
                <w:sz w:val="18"/>
                <w:szCs w:val="18"/>
              </w:rPr>
              <w:t>2000≤Y＜10000</w:t>
            </w:r>
          </w:p>
        </w:tc>
        <w:tc>
          <w:tcPr>
            <w:tcW w:w="902" w:type="pct"/>
            <w:tcBorders>
              <w:top w:val="nil"/>
              <w:left w:val="nil"/>
              <w:bottom w:val="single" w:color="auto" w:sz="4" w:space="0"/>
              <w:right w:val="single" w:color="auto" w:sz="4" w:space="0"/>
            </w:tcBorders>
            <w:noWrap w:val="0"/>
            <w:vAlign w:val="center"/>
          </w:tcPr>
          <w:p w14:paraId="760EA173">
            <w:pPr>
              <w:widowControl/>
              <w:jc w:val="center"/>
              <w:rPr>
                <w:rFonts w:ascii="宋体" w:hAnsi="宋体" w:cs="宋体"/>
                <w:kern w:val="0"/>
                <w:sz w:val="18"/>
                <w:szCs w:val="18"/>
              </w:rPr>
            </w:pPr>
            <w:r>
              <w:rPr>
                <w:rFonts w:hint="eastAsia" w:ascii="宋体" w:hAnsi="宋体" w:cs="宋体"/>
                <w:kern w:val="0"/>
                <w:sz w:val="18"/>
                <w:szCs w:val="18"/>
              </w:rPr>
              <w:t>100≤Y＜2000</w:t>
            </w:r>
          </w:p>
        </w:tc>
        <w:tc>
          <w:tcPr>
            <w:tcW w:w="578" w:type="pct"/>
            <w:tcBorders>
              <w:top w:val="nil"/>
              <w:left w:val="nil"/>
              <w:bottom w:val="single" w:color="auto" w:sz="4" w:space="0"/>
              <w:right w:val="single" w:color="auto" w:sz="4" w:space="0"/>
            </w:tcBorders>
            <w:noWrap w:val="0"/>
            <w:vAlign w:val="center"/>
          </w:tcPr>
          <w:p w14:paraId="5FF29486">
            <w:pPr>
              <w:widowControl/>
              <w:jc w:val="center"/>
              <w:rPr>
                <w:rFonts w:ascii="宋体" w:hAnsi="宋体" w:cs="宋体"/>
                <w:kern w:val="0"/>
                <w:sz w:val="18"/>
                <w:szCs w:val="18"/>
              </w:rPr>
            </w:pPr>
            <w:r>
              <w:rPr>
                <w:rFonts w:hint="eastAsia" w:ascii="宋体" w:hAnsi="宋体" w:cs="宋体"/>
                <w:kern w:val="0"/>
                <w:sz w:val="18"/>
                <w:szCs w:val="18"/>
              </w:rPr>
              <w:t>Y＜100</w:t>
            </w:r>
          </w:p>
        </w:tc>
      </w:tr>
      <w:tr w14:paraId="18629D0E">
        <w:tblPrEx>
          <w:tblCellMar>
            <w:top w:w="0" w:type="dxa"/>
            <w:left w:w="108" w:type="dxa"/>
            <w:bottom w:w="0" w:type="dxa"/>
            <w:right w:w="108" w:type="dxa"/>
          </w:tblCellMar>
        </w:tblPrEx>
        <w:trPr>
          <w:trHeight w:val="318" w:hRule="atLeast"/>
          <w:jc w:val="center"/>
        </w:trPr>
        <w:tc>
          <w:tcPr>
            <w:tcW w:w="980" w:type="pct"/>
            <w:vMerge w:val="restart"/>
            <w:tcBorders>
              <w:top w:val="nil"/>
              <w:left w:val="single" w:color="auto" w:sz="4" w:space="0"/>
              <w:bottom w:val="single" w:color="auto" w:sz="4" w:space="0"/>
              <w:right w:val="single" w:color="auto" w:sz="4" w:space="0"/>
            </w:tcBorders>
            <w:noWrap w:val="0"/>
            <w:vAlign w:val="center"/>
          </w:tcPr>
          <w:p w14:paraId="048039C2">
            <w:pPr>
              <w:widowControl/>
              <w:jc w:val="center"/>
              <w:rPr>
                <w:rFonts w:ascii="宋体" w:hAnsi="宋体" w:cs="宋体"/>
                <w:b/>
                <w:bCs/>
                <w:kern w:val="0"/>
                <w:sz w:val="18"/>
                <w:szCs w:val="18"/>
              </w:rPr>
            </w:pPr>
            <w:r>
              <w:rPr>
                <w:rFonts w:hint="eastAsia" w:ascii="宋体" w:hAnsi="宋体" w:cs="宋体"/>
                <w:b/>
                <w:bCs/>
                <w:kern w:val="0"/>
                <w:sz w:val="18"/>
                <w:szCs w:val="18"/>
              </w:rPr>
              <w:t>信息传输业</w:t>
            </w:r>
          </w:p>
        </w:tc>
        <w:tc>
          <w:tcPr>
            <w:tcW w:w="831" w:type="pct"/>
            <w:tcBorders>
              <w:top w:val="nil"/>
              <w:left w:val="nil"/>
              <w:bottom w:val="single" w:color="auto" w:sz="4" w:space="0"/>
              <w:right w:val="single" w:color="auto" w:sz="4" w:space="0"/>
            </w:tcBorders>
            <w:noWrap w:val="0"/>
            <w:vAlign w:val="center"/>
          </w:tcPr>
          <w:p w14:paraId="694A426E">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48" w:type="pct"/>
            <w:tcBorders>
              <w:top w:val="nil"/>
              <w:left w:val="nil"/>
              <w:bottom w:val="single" w:color="auto" w:sz="4" w:space="0"/>
              <w:right w:val="single" w:color="auto" w:sz="4" w:space="0"/>
            </w:tcBorders>
            <w:noWrap w:val="0"/>
            <w:vAlign w:val="center"/>
          </w:tcPr>
          <w:p w14:paraId="16D7CDBA">
            <w:pPr>
              <w:widowControl/>
              <w:jc w:val="center"/>
              <w:rPr>
                <w:rFonts w:ascii="宋体" w:hAnsi="宋体" w:cs="宋体"/>
                <w:kern w:val="0"/>
                <w:sz w:val="18"/>
                <w:szCs w:val="18"/>
              </w:rPr>
            </w:pPr>
            <w:r>
              <w:rPr>
                <w:rFonts w:hint="eastAsia" w:ascii="宋体" w:hAnsi="宋体" w:cs="宋体"/>
                <w:kern w:val="0"/>
                <w:sz w:val="18"/>
                <w:szCs w:val="18"/>
              </w:rPr>
              <w:t>人</w:t>
            </w:r>
          </w:p>
        </w:tc>
        <w:tc>
          <w:tcPr>
            <w:tcW w:w="962" w:type="pct"/>
            <w:tcBorders>
              <w:top w:val="nil"/>
              <w:left w:val="nil"/>
              <w:bottom w:val="single" w:color="auto" w:sz="4" w:space="0"/>
              <w:right w:val="single" w:color="auto" w:sz="4" w:space="0"/>
            </w:tcBorders>
            <w:noWrap w:val="0"/>
            <w:vAlign w:val="center"/>
          </w:tcPr>
          <w:p w14:paraId="60815E83">
            <w:pPr>
              <w:widowControl/>
              <w:jc w:val="center"/>
              <w:rPr>
                <w:rFonts w:ascii="宋体" w:hAnsi="宋体" w:cs="宋体"/>
                <w:kern w:val="0"/>
                <w:sz w:val="18"/>
                <w:szCs w:val="18"/>
              </w:rPr>
            </w:pPr>
            <w:r>
              <w:rPr>
                <w:rFonts w:hint="eastAsia" w:ascii="宋体" w:hAnsi="宋体" w:cs="宋体"/>
                <w:kern w:val="0"/>
                <w:sz w:val="18"/>
                <w:szCs w:val="18"/>
              </w:rPr>
              <w:t>100≤X＜2000</w:t>
            </w:r>
          </w:p>
        </w:tc>
        <w:tc>
          <w:tcPr>
            <w:tcW w:w="902" w:type="pct"/>
            <w:tcBorders>
              <w:top w:val="nil"/>
              <w:left w:val="nil"/>
              <w:bottom w:val="single" w:color="auto" w:sz="4" w:space="0"/>
              <w:right w:val="single" w:color="auto" w:sz="4" w:space="0"/>
            </w:tcBorders>
            <w:noWrap w:val="0"/>
            <w:vAlign w:val="center"/>
          </w:tcPr>
          <w:p w14:paraId="08FE98D0">
            <w:pPr>
              <w:widowControl/>
              <w:jc w:val="center"/>
              <w:rPr>
                <w:rFonts w:ascii="宋体" w:hAnsi="宋体" w:cs="宋体"/>
                <w:kern w:val="0"/>
                <w:sz w:val="18"/>
                <w:szCs w:val="18"/>
              </w:rPr>
            </w:pPr>
            <w:r>
              <w:rPr>
                <w:rFonts w:hint="eastAsia" w:ascii="宋体" w:hAnsi="宋体" w:cs="宋体"/>
                <w:kern w:val="0"/>
                <w:sz w:val="18"/>
                <w:szCs w:val="18"/>
              </w:rPr>
              <w:t>10≤X＜100</w:t>
            </w:r>
          </w:p>
        </w:tc>
        <w:tc>
          <w:tcPr>
            <w:tcW w:w="578" w:type="pct"/>
            <w:tcBorders>
              <w:top w:val="nil"/>
              <w:left w:val="nil"/>
              <w:bottom w:val="single" w:color="auto" w:sz="4" w:space="0"/>
              <w:right w:val="single" w:color="auto" w:sz="4" w:space="0"/>
            </w:tcBorders>
            <w:noWrap w:val="0"/>
            <w:vAlign w:val="center"/>
          </w:tcPr>
          <w:p w14:paraId="6F73A5B2">
            <w:pPr>
              <w:widowControl/>
              <w:jc w:val="center"/>
              <w:rPr>
                <w:rFonts w:ascii="宋体" w:hAnsi="宋体" w:cs="宋体"/>
                <w:kern w:val="0"/>
                <w:sz w:val="18"/>
                <w:szCs w:val="18"/>
              </w:rPr>
            </w:pPr>
            <w:r>
              <w:rPr>
                <w:rFonts w:hint="eastAsia" w:ascii="宋体" w:hAnsi="宋体" w:cs="宋体"/>
                <w:kern w:val="0"/>
                <w:sz w:val="18"/>
                <w:szCs w:val="18"/>
              </w:rPr>
              <w:t>X＜10</w:t>
            </w:r>
          </w:p>
        </w:tc>
      </w:tr>
      <w:tr w14:paraId="30EC6239">
        <w:tblPrEx>
          <w:tblCellMar>
            <w:top w:w="0" w:type="dxa"/>
            <w:left w:w="108" w:type="dxa"/>
            <w:bottom w:w="0" w:type="dxa"/>
            <w:right w:w="108" w:type="dxa"/>
          </w:tblCellMar>
        </w:tblPrEx>
        <w:trPr>
          <w:trHeight w:val="318" w:hRule="atLeast"/>
          <w:jc w:val="center"/>
        </w:trPr>
        <w:tc>
          <w:tcPr>
            <w:tcW w:w="980" w:type="pct"/>
            <w:vMerge w:val="continue"/>
            <w:tcBorders>
              <w:top w:val="nil"/>
              <w:left w:val="single" w:color="auto" w:sz="4" w:space="0"/>
              <w:bottom w:val="single" w:color="auto" w:sz="4" w:space="0"/>
              <w:right w:val="single" w:color="auto" w:sz="4" w:space="0"/>
            </w:tcBorders>
            <w:noWrap w:val="0"/>
            <w:vAlign w:val="center"/>
          </w:tcPr>
          <w:p w14:paraId="7443C16D">
            <w:pPr>
              <w:widowControl/>
              <w:jc w:val="center"/>
              <w:rPr>
                <w:rFonts w:ascii="宋体" w:hAnsi="宋体" w:cs="宋体"/>
                <w:b/>
                <w:bCs/>
                <w:kern w:val="0"/>
                <w:sz w:val="18"/>
                <w:szCs w:val="18"/>
              </w:rPr>
            </w:pPr>
          </w:p>
        </w:tc>
        <w:tc>
          <w:tcPr>
            <w:tcW w:w="831" w:type="pct"/>
            <w:tcBorders>
              <w:top w:val="nil"/>
              <w:left w:val="nil"/>
              <w:bottom w:val="single" w:color="auto" w:sz="4" w:space="0"/>
              <w:right w:val="single" w:color="auto" w:sz="4" w:space="0"/>
            </w:tcBorders>
            <w:noWrap w:val="0"/>
            <w:vAlign w:val="center"/>
          </w:tcPr>
          <w:p w14:paraId="274EB029">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748" w:type="pct"/>
            <w:tcBorders>
              <w:top w:val="nil"/>
              <w:left w:val="nil"/>
              <w:bottom w:val="single" w:color="auto" w:sz="4" w:space="0"/>
              <w:right w:val="single" w:color="auto" w:sz="4" w:space="0"/>
            </w:tcBorders>
            <w:noWrap w:val="0"/>
            <w:vAlign w:val="center"/>
          </w:tcPr>
          <w:p w14:paraId="6974CB1B">
            <w:pPr>
              <w:widowControl/>
              <w:jc w:val="center"/>
              <w:rPr>
                <w:rFonts w:ascii="宋体" w:hAnsi="宋体" w:cs="宋体"/>
                <w:kern w:val="0"/>
                <w:sz w:val="18"/>
                <w:szCs w:val="18"/>
              </w:rPr>
            </w:pPr>
            <w:r>
              <w:rPr>
                <w:rFonts w:hint="eastAsia" w:ascii="宋体" w:hAnsi="宋体" w:cs="宋体"/>
                <w:kern w:val="0"/>
                <w:sz w:val="18"/>
                <w:szCs w:val="18"/>
              </w:rPr>
              <w:t>万元</w:t>
            </w:r>
          </w:p>
        </w:tc>
        <w:tc>
          <w:tcPr>
            <w:tcW w:w="962" w:type="pct"/>
            <w:tcBorders>
              <w:top w:val="nil"/>
              <w:left w:val="nil"/>
              <w:bottom w:val="single" w:color="auto" w:sz="4" w:space="0"/>
              <w:right w:val="single" w:color="auto" w:sz="4" w:space="0"/>
            </w:tcBorders>
            <w:noWrap w:val="0"/>
            <w:vAlign w:val="center"/>
          </w:tcPr>
          <w:p w14:paraId="3FFCF71E">
            <w:pPr>
              <w:widowControl/>
              <w:jc w:val="center"/>
              <w:rPr>
                <w:rFonts w:ascii="宋体" w:hAnsi="宋体" w:cs="宋体"/>
                <w:kern w:val="0"/>
                <w:sz w:val="18"/>
                <w:szCs w:val="18"/>
              </w:rPr>
            </w:pPr>
            <w:r>
              <w:rPr>
                <w:rFonts w:hint="eastAsia" w:ascii="宋体" w:hAnsi="宋体" w:cs="宋体"/>
                <w:kern w:val="0"/>
                <w:sz w:val="18"/>
                <w:szCs w:val="18"/>
              </w:rPr>
              <w:t>1000≤Y＜100000</w:t>
            </w:r>
          </w:p>
        </w:tc>
        <w:tc>
          <w:tcPr>
            <w:tcW w:w="902" w:type="pct"/>
            <w:tcBorders>
              <w:top w:val="nil"/>
              <w:left w:val="nil"/>
              <w:bottom w:val="single" w:color="auto" w:sz="4" w:space="0"/>
              <w:right w:val="single" w:color="auto" w:sz="4" w:space="0"/>
            </w:tcBorders>
            <w:noWrap w:val="0"/>
            <w:vAlign w:val="center"/>
          </w:tcPr>
          <w:p w14:paraId="6AF5C993">
            <w:pPr>
              <w:widowControl/>
              <w:jc w:val="center"/>
              <w:rPr>
                <w:rFonts w:ascii="宋体" w:hAnsi="宋体" w:cs="宋体"/>
                <w:kern w:val="0"/>
                <w:sz w:val="18"/>
                <w:szCs w:val="18"/>
              </w:rPr>
            </w:pPr>
            <w:r>
              <w:rPr>
                <w:rFonts w:hint="eastAsia" w:ascii="宋体" w:hAnsi="宋体" w:cs="宋体"/>
                <w:kern w:val="0"/>
                <w:sz w:val="18"/>
                <w:szCs w:val="18"/>
              </w:rPr>
              <w:t>100≤Y＜1000</w:t>
            </w:r>
          </w:p>
        </w:tc>
        <w:tc>
          <w:tcPr>
            <w:tcW w:w="578" w:type="pct"/>
            <w:tcBorders>
              <w:top w:val="nil"/>
              <w:left w:val="nil"/>
              <w:bottom w:val="single" w:color="auto" w:sz="4" w:space="0"/>
              <w:right w:val="single" w:color="auto" w:sz="4" w:space="0"/>
            </w:tcBorders>
            <w:noWrap w:val="0"/>
            <w:vAlign w:val="center"/>
          </w:tcPr>
          <w:p w14:paraId="6B8325D1">
            <w:pPr>
              <w:widowControl/>
              <w:jc w:val="center"/>
              <w:rPr>
                <w:rFonts w:ascii="宋体" w:hAnsi="宋体" w:cs="宋体"/>
                <w:kern w:val="0"/>
                <w:sz w:val="18"/>
                <w:szCs w:val="18"/>
              </w:rPr>
            </w:pPr>
            <w:r>
              <w:rPr>
                <w:rFonts w:hint="eastAsia" w:ascii="宋体" w:hAnsi="宋体" w:cs="宋体"/>
                <w:kern w:val="0"/>
                <w:sz w:val="18"/>
                <w:szCs w:val="18"/>
              </w:rPr>
              <w:t>Y＜100</w:t>
            </w:r>
          </w:p>
        </w:tc>
      </w:tr>
      <w:tr w14:paraId="2C724243">
        <w:tblPrEx>
          <w:tblCellMar>
            <w:top w:w="0" w:type="dxa"/>
            <w:left w:w="108" w:type="dxa"/>
            <w:bottom w:w="0" w:type="dxa"/>
            <w:right w:w="108" w:type="dxa"/>
          </w:tblCellMar>
        </w:tblPrEx>
        <w:trPr>
          <w:trHeight w:val="318" w:hRule="atLeast"/>
          <w:jc w:val="center"/>
        </w:trPr>
        <w:tc>
          <w:tcPr>
            <w:tcW w:w="980" w:type="pct"/>
            <w:vMerge w:val="restart"/>
            <w:tcBorders>
              <w:top w:val="nil"/>
              <w:left w:val="single" w:color="auto" w:sz="4" w:space="0"/>
              <w:bottom w:val="single" w:color="auto" w:sz="4" w:space="0"/>
              <w:right w:val="single" w:color="auto" w:sz="4" w:space="0"/>
            </w:tcBorders>
            <w:noWrap w:val="0"/>
            <w:vAlign w:val="center"/>
          </w:tcPr>
          <w:p w14:paraId="51B7F2CC">
            <w:pPr>
              <w:widowControl/>
              <w:jc w:val="center"/>
              <w:rPr>
                <w:rFonts w:ascii="宋体" w:hAnsi="宋体" w:cs="宋体"/>
                <w:b/>
                <w:bCs/>
                <w:kern w:val="0"/>
                <w:sz w:val="18"/>
                <w:szCs w:val="18"/>
              </w:rPr>
            </w:pPr>
            <w:r>
              <w:rPr>
                <w:rFonts w:hint="eastAsia" w:ascii="宋体" w:hAnsi="宋体" w:cs="宋体"/>
                <w:b/>
                <w:bCs/>
                <w:kern w:val="0"/>
                <w:sz w:val="18"/>
                <w:szCs w:val="18"/>
              </w:rPr>
              <w:t>软件和信息技术服务业</w:t>
            </w:r>
          </w:p>
        </w:tc>
        <w:tc>
          <w:tcPr>
            <w:tcW w:w="831" w:type="pct"/>
            <w:tcBorders>
              <w:top w:val="nil"/>
              <w:left w:val="nil"/>
              <w:bottom w:val="single" w:color="auto" w:sz="4" w:space="0"/>
              <w:right w:val="single" w:color="auto" w:sz="4" w:space="0"/>
            </w:tcBorders>
            <w:noWrap w:val="0"/>
            <w:vAlign w:val="center"/>
          </w:tcPr>
          <w:p w14:paraId="5F0F0972">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48" w:type="pct"/>
            <w:tcBorders>
              <w:top w:val="nil"/>
              <w:left w:val="nil"/>
              <w:bottom w:val="single" w:color="auto" w:sz="4" w:space="0"/>
              <w:right w:val="single" w:color="auto" w:sz="4" w:space="0"/>
            </w:tcBorders>
            <w:noWrap w:val="0"/>
            <w:vAlign w:val="center"/>
          </w:tcPr>
          <w:p w14:paraId="62E6AE3F">
            <w:pPr>
              <w:widowControl/>
              <w:jc w:val="center"/>
              <w:rPr>
                <w:rFonts w:ascii="宋体" w:hAnsi="宋体" w:cs="宋体"/>
                <w:kern w:val="0"/>
                <w:sz w:val="18"/>
                <w:szCs w:val="18"/>
              </w:rPr>
            </w:pPr>
            <w:r>
              <w:rPr>
                <w:rFonts w:hint="eastAsia" w:ascii="宋体" w:hAnsi="宋体" w:cs="宋体"/>
                <w:kern w:val="0"/>
                <w:sz w:val="18"/>
                <w:szCs w:val="18"/>
              </w:rPr>
              <w:t>人</w:t>
            </w:r>
          </w:p>
        </w:tc>
        <w:tc>
          <w:tcPr>
            <w:tcW w:w="962" w:type="pct"/>
            <w:tcBorders>
              <w:top w:val="nil"/>
              <w:left w:val="nil"/>
              <w:bottom w:val="single" w:color="auto" w:sz="4" w:space="0"/>
              <w:right w:val="single" w:color="auto" w:sz="4" w:space="0"/>
            </w:tcBorders>
            <w:noWrap w:val="0"/>
            <w:vAlign w:val="center"/>
          </w:tcPr>
          <w:p w14:paraId="541E931D">
            <w:pPr>
              <w:widowControl/>
              <w:jc w:val="center"/>
              <w:rPr>
                <w:rFonts w:ascii="宋体" w:hAnsi="宋体" w:cs="宋体"/>
                <w:kern w:val="0"/>
                <w:sz w:val="18"/>
                <w:szCs w:val="18"/>
              </w:rPr>
            </w:pPr>
            <w:r>
              <w:rPr>
                <w:rFonts w:hint="eastAsia" w:ascii="宋体" w:hAnsi="宋体" w:cs="宋体"/>
                <w:kern w:val="0"/>
                <w:sz w:val="18"/>
                <w:szCs w:val="18"/>
              </w:rPr>
              <w:t>100≤X＜300</w:t>
            </w:r>
          </w:p>
        </w:tc>
        <w:tc>
          <w:tcPr>
            <w:tcW w:w="902" w:type="pct"/>
            <w:tcBorders>
              <w:top w:val="nil"/>
              <w:left w:val="nil"/>
              <w:bottom w:val="single" w:color="auto" w:sz="4" w:space="0"/>
              <w:right w:val="single" w:color="auto" w:sz="4" w:space="0"/>
            </w:tcBorders>
            <w:noWrap w:val="0"/>
            <w:vAlign w:val="center"/>
          </w:tcPr>
          <w:p w14:paraId="2ED1248D">
            <w:pPr>
              <w:widowControl/>
              <w:jc w:val="center"/>
              <w:rPr>
                <w:rFonts w:ascii="宋体" w:hAnsi="宋体" w:cs="宋体"/>
                <w:kern w:val="0"/>
                <w:sz w:val="18"/>
                <w:szCs w:val="18"/>
              </w:rPr>
            </w:pPr>
            <w:r>
              <w:rPr>
                <w:rFonts w:hint="eastAsia" w:ascii="宋体" w:hAnsi="宋体" w:cs="宋体"/>
                <w:kern w:val="0"/>
                <w:sz w:val="18"/>
                <w:szCs w:val="18"/>
              </w:rPr>
              <w:t>10≤X＜100</w:t>
            </w:r>
          </w:p>
        </w:tc>
        <w:tc>
          <w:tcPr>
            <w:tcW w:w="578" w:type="pct"/>
            <w:tcBorders>
              <w:top w:val="nil"/>
              <w:left w:val="nil"/>
              <w:bottom w:val="single" w:color="auto" w:sz="4" w:space="0"/>
              <w:right w:val="single" w:color="auto" w:sz="4" w:space="0"/>
            </w:tcBorders>
            <w:noWrap w:val="0"/>
            <w:vAlign w:val="center"/>
          </w:tcPr>
          <w:p w14:paraId="0E0D8C7F">
            <w:pPr>
              <w:widowControl/>
              <w:jc w:val="center"/>
              <w:rPr>
                <w:rFonts w:ascii="宋体" w:hAnsi="宋体" w:cs="宋体"/>
                <w:kern w:val="0"/>
                <w:sz w:val="18"/>
                <w:szCs w:val="18"/>
              </w:rPr>
            </w:pPr>
            <w:r>
              <w:rPr>
                <w:rFonts w:hint="eastAsia" w:ascii="宋体" w:hAnsi="宋体" w:cs="宋体"/>
                <w:kern w:val="0"/>
                <w:sz w:val="18"/>
                <w:szCs w:val="18"/>
              </w:rPr>
              <w:t>X＜10</w:t>
            </w:r>
          </w:p>
        </w:tc>
      </w:tr>
      <w:tr w14:paraId="1B570281">
        <w:tblPrEx>
          <w:tblCellMar>
            <w:top w:w="0" w:type="dxa"/>
            <w:left w:w="108" w:type="dxa"/>
            <w:bottom w:w="0" w:type="dxa"/>
            <w:right w:w="108" w:type="dxa"/>
          </w:tblCellMar>
        </w:tblPrEx>
        <w:trPr>
          <w:trHeight w:val="318" w:hRule="atLeast"/>
          <w:jc w:val="center"/>
        </w:trPr>
        <w:tc>
          <w:tcPr>
            <w:tcW w:w="980" w:type="pct"/>
            <w:vMerge w:val="continue"/>
            <w:tcBorders>
              <w:top w:val="nil"/>
              <w:left w:val="single" w:color="auto" w:sz="4" w:space="0"/>
              <w:bottom w:val="single" w:color="auto" w:sz="4" w:space="0"/>
              <w:right w:val="single" w:color="auto" w:sz="4" w:space="0"/>
            </w:tcBorders>
            <w:noWrap w:val="0"/>
            <w:vAlign w:val="center"/>
          </w:tcPr>
          <w:p w14:paraId="6EA2381A">
            <w:pPr>
              <w:widowControl/>
              <w:jc w:val="center"/>
              <w:rPr>
                <w:rFonts w:ascii="宋体" w:hAnsi="宋体" w:cs="宋体"/>
                <w:b/>
                <w:bCs/>
                <w:kern w:val="0"/>
                <w:sz w:val="18"/>
                <w:szCs w:val="18"/>
              </w:rPr>
            </w:pPr>
          </w:p>
        </w:tc>
        <w:tc>
          <w:tcPr>
            <w:tcW w:w="831" w:type="pct"/>
            <w:tcBorders>
              <w:top w:val="nil"/>
              <w:left w:val="nil"/>
              <w:bottom w:val="single" w:color="auto" w:sz="4" w:space="0"/>
              <w:right w:val="single" w:color="auto" w:sz="4" w:space="0"/>
            </w:tcBorders>
            <w:noWrap w:val="0"/>
            <w:vAlign w:val="center"/>
          </w:tcPr>
          <w:p w14:paraId="2DE004AF">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748" w:type="pct"/>
            <w:tcBorders>
              <w:top w:val="nil"/>
              <w:left w:val="nil"/>
              <w:bottom w:val="single" w:color="auto" w:sz="4" w:space="0"/>
              <w:right w:val="single" w:color="auto" w:sz="4" w:space="0"/>
            </w:tcBorders>
            <w:noWrap w:val="0"/>
            <w:vAlign w:val="center"/>
          </w:tcPr>
          <w:p w14:paraId="55DE8410">
            <w:pPr>
              <w:widowControl/>
              <w:jc w:val="center"/>
              <w:rPr>
                <w:rFonts w:ascii="宋体" w:hAnsi="宋体" w:cs="宋体"/>
                <w:kern w:val="0"/>
                <w:sz w:val="18"/>
                <w:szCs w:val="18"/>
              </w:rPr>
            </w:pPr>
            <w:r>
              <w:rPr>
                <w:rFonts w:hint="eastAsia" w:ascii="宋体" w:hAnsi="宋体" w:cs="宋体"/>
                <w:kern w:val="0"/>
                <w:sz w:val="18"/>
                <w:szCs w:val="18"/>
              </w:rPr>
              <w:t>万元</w:t>
            </w:r>
          </w:p>
        </w:tc>
        <w:tc>
          <w:tcPr>
            <w:tcW w:w="962" w:type="pct"/>
            <w:tcBorders>
              <w:top w:val="nil"/>
              <w:left w:val="nil"/>
              <w:bottom w:val="single" w:color="auto" w:sz="4" w:space="0"/>
              <w:right w:val="single" w:color="auto" w:sz="4" w:space="0"/>
            </w:tcBorders>
            <w:noWrap w:val="0"/>
            <w:vAlign w:val="center"/>
          </w:tcPr>
          <w:p w14:paraId="6753C86D">
            <w:pPr>
              <w:widowControl/>
              <w:jc w:val="center"/>
              <w:rPr>
                <w:rFonts w:ascii="宋体" w:hAnsi="宋体" w:cs="宋体"/>
                <w:kern w:val="0"/>
                <w:sz w:val="18"/>
                <w:szCs w:val="18"/>
              </w:rPr>
            </w:pPr>
            <w:r>
              <w:rPr>
                <w:rFonts w:hint="eastAsia" w:ascii="宋体" w:hAnsi="宋体" w:cs="宋体"/>
                <w:kern w:val="0"/>
                <w:sz w:val="18"/>
                <w:szCs w:val="18"/>
              </w:rPr>
              <w:t>1000≤Y＜10000</w:t>
            </w:r>
          </w:p>
        </w:tc>
        <w:tc>
          <w:tcPr>
            <w:tcW w:w="902" w:type="pct"/>
            <w:tcBorders>
              <w:top w:val="nil"/>
              <w:left w:val="nil"/>
              <w:bottom w:val="single" w:color="auto" w:sz="4" w:space="0"/>
              <w:right w:val="single" w:color="auto" w:sz="4" w:space="0"/>
            </w:tcBorders>
            <w:noWrap w:val="0"/>
            <w:vAlign w:val="center"/>
          </w:tcPr>
          <w:p w14:paraId="403F3977">
            <w:pPr>
              <w:widowControl/>
              <w:jc w:val="center"/>
              <w:rPr>
                <w:rFonts w:ascii="宋体" w:hAnsi="宋体" w:cs="宋体"/>
                <w:kern w:val="0"/>
                <w:sz w:val="18"/>
                <w:szCs w:val="18"/>
              </w:rPr>
            </w:pPr>
            <w:r>
              <w:rPr>
                <w:rFonts w:hint="eastAsia" w:ascii="宋体" w:hAnsi="宋体" w:cs="宋体"/>
                <w:kern w:val="0"/>
                <w:sz w:val="18"/>
                <w:szCs w:val="18"/>
              </w:rPr>
              <w:t>50≤Y＜1000</w:t>
            </w:r>
          </w:p>
        </w:tc>
        <w:tc>
          <w:tcPr>
            <w:tcW w:w="578" w:type="pct"/>
            <w:tcBorders>
              <w:top w:val="nil"/>
              <w:left w:val="nil"/>
              <w:bottom w:val="single" w:color="auto" w:sz="4" w:space="0"/>
              <w:right w:val="single" w:color="auto" w:sz="4" w:space="0"/>
            </w:tcBorders>
            <w:noWrap w:val="0"/>
            <w:vAlign w:val="center"/>
          </w:tcPr>
          <w:p w14:paraId="13FA9AE6">
            <w:pPr>
              <w:widowControl/>
              <w:jc w:val="center"/>
              <w:rPr>
                <w:rFonts w:ascii="宋体" w:hAnsi="宋体" w:cs="宋体"/>
                <w:kern w:val="0"/>
                <w:sz w:val="18"/>
                <w:szCs w:val="18"/>
              </w:rPr>
            </w:pPr>
            <w:r>
              <w:rPr>
                <w:rFonts w:hint="eastAsia" w:ascii="宋体" w:hAnsi="宋体" w:cs="宋体"/>
                <w:kern w:val="0"/>
                <w:sz w:val="18"/>
                <w:szCs w:val="18"/>
              </w:rPr>
              <w:t>Y＜50</w:t>
            </w:r>
          </w:p>
        </w:tc>
      </w:tr>
      <w:tr w14:paraId="6FE9961F">
        <w:tblPrEx>
          <w:tblCellMar>
            <w:top w:w="0" w:type="dxa"/>
            <w:left w:w="108" w:type="dxa"/>
            <w:bottom w:w="0" w:type="dxa"/>
            <w:right w:w="108" w:type="dxa"/>
          </w:tblCellMar>
        </w:tblPrEx>
        <w:trPr>
          <w:trHeight w:val="318" w:hRule="atLeast"/>
          <w:jc w:val="center"/>
        </w:trPr>
        <w:tc>
          <w:tcPr>
            <w:tcW w:w="980" w:type="pct"/>
            <w:vMerge w:val="restart"/>
            <w:tcBorders>
              <w:top w:val="nil"/>
              <w:left w:val="single" w:color="auto" w:sz="4" w:space="0"/>
              <w:bottom w:val="single" w:color="auto" w:sz="4" w:space="0"/>
              <w:right w:val="single" w:color="auto" w:sz="4" w:space="0"/>
            </w:tcBorders>
            <w:noWrap w:val="0"/>
            <w:vAlign w:val="center"/>
          </w:tcPr>
          <w:p w14:paraId="2BEB78FD">
            <w:pPr>
              <w:widowControl/>
              <w:jc w:val="center"/>
              <w:rPr>
                <w:rFonts w:ascii="宋体" w:hAnsi="宋体" w:cs="宋体"/>
                <w:b/>
                <w:bCs/>
                <w:kern w:val="0"/>
                <w:sz w:val="18"/>
                <w:szCs w:val="18"/>
              </w:rPr>
            </w:pPr>
            <w:r>
              <w:rPr>
                <w:rFonts w:hint="eastAsia" w:ascii="宋体" w:hAnsi="宋体" w:cs="宋体"/>
                <w:b/>
                <w:bCs/>
                <w:kern w:val="0"/>
                <w:sz w:val="18"/>
                <w:szCs w:val="18"/>
              </w:rPr>
              <w:t>房地产开发经营</w:t>
            </w:r>
          </w:p>
        </w:tc>
        <w:tc>
          <w:tcPr>
            <w:tcW w:w="831" w:type="pct"/>
            <w:tcBorders>
              <w:top w:val="nil"/>
              <w:left w:val="nil"/>
              <w:bottom w:val="single" w:color="auto" w:sz="4" w:space="0"/>
              <w:right w:val="single" w:color="auto" w:sz="4" w:space="0"/>
            </w:tcBorders>
            <w:noWrap w:val="0"/>
            <w:vAlign w:val="center"/>
          </w:tcPr>
          <w:p w14:paraId="35004EB1">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748" w:type="pct"/>
            <w:tcBorders>
              <w:top w:val="nil"/>
              <w:left w:val="nil"/>
              <w:bottom w:val="single" w:color="auto" w:sz="4" w:space="0"/>
              <w:right w:val="single" w:color="auto" w:sz="4" w:space="0"/>
            </w:tcBorders>
            <w:noWrap w:val="0"/>
            <w:vAlign w:val="center"/>
          </w:tcPr>
          <w:p w14:paraId="7094B50C">
            <w:pPr>
              <w:widowControl/>
              <w:jc w:val="center"/>
              <w:rPr>
                <w:rFonts w:ascii="宋体" w:hAnsi="宋体" w:cs="宋体"/>
                <w:kern w:val="0"/>
                <w:sz w:val="18"/>
                <w:szCs w:val="18"/>
              </w:rPr>
            </w:pPr>
            <w:r>
              <w:rPr>
                <w:rFonts w:hint="eastAsia" w:ascii="宋体" w:hAnsi="宋体" w:cs="宋体"/>
                <w:kern w:val="0"/>
                <w:sz w:val="18"/>
                <w:szCs w:val="18"/>
              </w:rPr>
              <w:t>万元</w:t>
            </w:r>
          </w:p>
        </w:tc>
        <w:tc>
          <w:tcPr>
            <w:tcW w:w="962" w:type="pct"/>
            <w:tcBorders>
              <w:top w:val="nil"/>
              <w:left w:val="nil"/>
              <w:bottom w:val="single" w:color="auto" w:sz="4" w:space="0"/>
              <w:right w:val="single" w:color="auto" w:sz="4" w:space="0"/>
            </w:tcBorders>
            <w:noWrap w:val="0"/>
            <w:vAlign w:val="center"/>
          </w:tcPr>
          <w:p w14:paraId="205DEA60">
            <w:pPr>
              <w:widowControl/>
              <w:jc w:val="center"/>
              <w:rPr>
                <w:rFonts w:ascii="宋体" w:hAnsi="宋体" w:cs="宋体"/>
                <w:kern w:val="0"/>
                <w:sz w:val="18"/>
                <w:szCs w:val="18"/>
              </w:rPr>
            </w:pPr>
            <w:r>
              <w:rPr>
                <w:rFonts w:hint="eastAsia" w:ascii="宋体" w:hAnsi="宋体" w:cs="宋体"/>
                <w:kern w:val="0"/>
                <w:sz w:val="18"/>
                <w:szCs w:val="18"/>
              </w:rPr>
              <w:t>1000≤Y＜200000</w:t>
            </w:r>
          </w:p>
        </w:tc>
        <w:tc>
          <w:tcPr>
            <w:tcW w:w="902" w:type="pct"/>
            <w:tcBorders>
              <w:top w:val="nil"/>
              <w:left w:val="nil"/>
              <w:bottom w:val="single" w:color="auto" w:sz="4" w:space="0"/>
              <w:right w:val="single" w:color="auto" w:sz="4" w:space="0"/>
            </w:tcBorders>
            <w:noWrap w:val="0"/>
            <w:vAlign w:val="center"/>
          </w:tcPr>
          <w:p w14:paraId="266BF433">
            <w:pPr>
              <w:widowControl/>
              <w:jc w:val="center"/>
              <w:rPr>
                <w:rFonts w:ascii="宋体" w:hAnsi="宋体" w:cs="宋体"/>
                <w:kern w:val="0"/>
                <w:sz w:val="18"/>
                <w:szCs w:val="18"/>
              </w:rPr>
            </w:pPr>
            <w:r>
              <w:rPr>
                <w:rFonts w:hint="eastAsia" w:ascii="宋体" w:hAnsi="宋体" w:cs="宋体"/>
                <w:kern w:val="0"/>
                <w:sz w:val="18"/>
                <w:szCs w:val="18"/>
              </w:rPr>
              <w:t>100≤X＜1000</w:t>
            </w:r>
          </w:p>
        </w:tc>
        <w:tc>
          <w:tcPr>
            <w:tcW w:w="578" w:type="pct"/>
            <w:tcBorders>
              <w:top w:val="nil"/>
              <w:left w:val="nil"/>
              <w:bottom w:val="single" w:color="auto" w:sz="4" w:space="0"/>
              <w:right w:val="single" w:color="auto" w:sz="4" w:space="0"/>
            </w:tcBorders>
            <w:noWrap w:val="0"/>
            <w:vAlign w:val="center"/>
          </w:tcPr>
          <w:p w14:paraId="5503DC7A">
            <w:pPr>
              <w:widowControl/>
              <w:jc w:val="center"/>
              <w:rPr>
                <w:rFonts w:ascii="宋体" w:hAnsi="宋体" w:cs="宋体"/>
                <w:kern w:val="0"/>
                <w:sz w:val="18"/>
                <w:szCs w:val="18"/>
              </w:rPr>
            </w:pPr>
            <w:r>
              <w:rPr>
                <w:rFonts w:hint="eastAsia" w:ascii="宋体" w:hAnsi="宋体" w:cs="宋体"/>
                <w:kern w:val="0"/>
                <w:sz w:val="18"/>
                <w:szCs w:val="18"/>
              </w:rPr>
              <w:t>X＜100</w:t>
            </w:r>
          </w:p>
        </w:tc>
      </w:tr>
      <w:tr w14:paraId="0E7F0A71">
        <w:tblPrEx>
          <w:tblCellMar>
            <w:top w:w="0" w:type="dxa"/>
            <w:left w:w="108" w:type="dxa"/>
            <w:bottom w:w="0" w:type="dxa"/>
            <w:right w:w="108" w:type="dxa"/>
          </w:tblCellMar>
        </w:tblPrEx>
        <w:trPr>
          <w:trHeight w:val="318" w:hRule="atLeast"/>
          <w:jc w:val="center"/>
        </w:trPr>
        <w:tc>
          <w:tcPr>
            <w:tcW w:w="980" w:type="pct"/>
            <w:vMerge w:val="continue"/>
            <w:tcBorders>
              <w:top w:val="nil"/>
              <w:left w:val="single" w:color="auto" w:sz="4" w:space="0"/>
              <w:bottom w:val="single" w:color="auto" w:sz="4" w:space="0"/>
              <w:right w:val="single" w:color="auto" w:sz="4" w:space="0"/>
            </w:tcBorders>
            <w:noWrap w:val="0"/>
            <w:vAlign w:val="center"/>
          </w:tcPr>
          <w:p w14:paraId="0FFD80D0">
            <w:pPr>
              <w:widowControl/>
              <w:jc w:val="center"/>
              <w:rPr>
                <w:rFonts w:ascii="宋体" w:hAnsi="宋体" w:cs="宋体"/>
                <w:b/>
                <w:bCs/>
                <w:kern w:val="0"/>
                <w:sz w:val="18"/>
                <w:szCs w:val="18"/>
              </w:rPr>
            </w:pPr>
          </w:p>
        </w:tc>
        <w:tc>
          <w:tcPr>
            <w:tcW w:w="831" w:type="pct"/>
            <w:tcBorders>
              <w:top w:val="nil"/>
              <w:left w:val="nil"/>
              <w:bottom w:val="single" w:color="auto" w:sz="4" w:space="0"/>
              <w:right w:val="single" w:color="auto" w:sz="4" w:space="0"/>
            </w:tcBorders>
            <w:noWrap w:val="0"/>
            <w:vAlign w:val="center"/>
          </w:tcPr>
          <w:p w14:paraId="6442EAB9">
            <w:pPr>
              <w:widowControl/>
              <w:jc w:val="center"/>
              <w:rPr>
                <w:rFonts w:ascii="宋体" w:hAnsi="宋体" w:cs="宋体"/>
                <w:kern w:val="0"/>
                <w:sz w:val="18"/>
                <w:szCs w:val="18"/>
              </w:rPr>
            </w:pPr>
            <w:r>
              <w:rPr>
                <w:rFonts w:hint="eastAsia" w:ascii="宋体" w:hAnsi="宋体" w:cs="宋体"/>
                <w:kern w:val="0"/>
                <w:sz w:val="18"/>
                <w:szCs w:val="18"/>
              </w:rPr>
              <w:t>资产总额（Z）</w:t>
            </w:r>
          </w:p>
        </w:tc>
        <w:tc>
          <w:tcPr>
            <w:tcW w:w="748" w:type="pct"/>
            <w:tcBorders>
              <w:top w:val="nil"/>
              <w:left w:val="nil"/>
              <w:bottom w:val="single" w:color="auto" w:sz="4" w:space="0"/>
              <w:right w:val="single" w:color="auto" w:sz="4" w:space="0"/>
            </w:tcBorders>
            <w:noWrap w:val="0"/>
            <w:vAlign w:val="center"/>
          </w:tcPr>
          <w:p w14:paraId="7D450002">
            <w:pPr>
              <w:widowControl/>
              <w:jc w:val="center"/>
              <w:rPr>
                <w:rFonts w:ascii="宋体" w:hAnsi="宋体" w:cs="宋体"/>
                <w:kern w:val="0"/>
                <w:sz w:val="18"/>
                <w:szCs w:val="18"/>
              </w:rPr>
            </w:pPr>
            <w:r>
              <w:rPr>
                <w:rFonts w:hint="eastAsia" w:ascii="宋体" w:hAnsi="宋体" w:cs="宋体"/>
                <w:kern w:val="0"/>
                <w:sz w:val="18"/>
                <w:szCs w:val="18"/>
              </w:rPr>
              <w:t>万元</w:t>
            </w:r>
          </w:p>
        </w:tc>
        <w:tc>
          <w:tcPr>
            <w:tcW w:w="962" w:type="pct"/>
            <w:tcBorders>
              <w:top w:val="nil"/>
              <w:left w:val="nil"/>
              <w:bottom w:val="single" w:color="auto" w:sz="4" w:space="0"/>
              <w:right w:val="single" w:color="auto" w:sz="4" w:space="0"/>
            </w:tcBorders>
            <w:noWrap w:val="0"/>
            <w:vAlign w:val="center"/>
          </w:tcPr>
          <w:p w14:paraId="095609DC">
            <w:pPr>
              <w:widowControl/>
              <w:jc w:val="center"/>
              <w:rPr>
                <w:rFonts w:ascii="宋体" w:hAnsi="宋体" w:cs="宋体"/>
                <w:kern w:val="0"/>
                <w:sz w:val="18"/>
                <w:szCs w:val="18"/>
              </w:rPr>
            </w:pPr>
            <w:r>
              <w:rPr>
                <w:rFonts w:hint="eastAsia" w:ascii="宋体" w:hAnsi="宋体" w:cs="宋体"/>
                <w:kern w:val="0"/>
                <w:sz w:val="18"/>
                <w:szCs w:val="18"/>
              </w:rPr>
              <w:t>5000≤Z＜10000</w:t>
            </w:r>
          </w:p>
        </w:tc>
        <w:tc>
          <w:tcPr>
            <w:tcW w:w="902" w:type="pct"/>
            <w:tcBorders>
              <w:top w:val="nil"/>
              <w:left w:val="nil"/>
              <w:bottom w:val="single" w:color="auto" w:sz="4" w:space="0"/>
              <w:right w:val="single" w:color="auto" w:sz="4" w:space="0"/>
            </w:tcBorders>
            <w:noWrap w:val="0"/>
            <w:vAlign w:val="center"/>
          </w:tcPr>
          <w:p w14:paraId="2BFAEEDC">
            <w:pPr>
              <w:widowControl/>
              <w:jc w:val="center"/>
              <w:rPr>
                <w:rFonts w:ascii="宋体" w:hAnsi="宋体" w:cs="宋体"/>
                <w:kern w:val="0"/>
                <w:sz w:val="18"/>
                <w:szCs w:val="18"/>
              </w:rPr>
            </w:pPr>
            <w:r>
              <w:rPr>
                <w:rFonts w:hint="eastAsia" w:ascii="宋体" w:hAnsi="宋体" w:cs="宋体"/>
                <w:kern w:val="0"/>
                <w:sz w:val="18"/>
                <w:szCs w:val="18"/>
              </w:rPr>
              <w:t>2000≤Y＜5000</w:t>
            </w:r>
          </w:p>
        </w:tc>
        <w:tc>
          <w:tcPr>
            <w:tcW w:w="578" w:type="pct"/>
            <w:tcBorders>
              <w:top w:val="nil"/>
              <w:left w:val="nil"/>
              <w:bottom w:val="single" w:color="auto" w:sz="4" w:space="0"/>
              <w:right w:val="single" w:color="auto" w:sz="4" w:space="0"/>
            </w:tcBorders>
            <w:noWrap w:val="0"/>
            <w:vAlign w:val="center"/>
          </w:tcPr>
          <w:p w14:paraId="58BE386B">
            <w:pPr>
              <w:widowControl/>
              <w:jc w:val="center"/>
              <w:rPr>
                <w:rFonts w:ascii="宋体" w:hAnsi="宋体" w:cs="宋体"/>
                <w:kern w:val="0"/>
                <w:sz w:val="18"/>
                <w:szCs w:val="18"/>
              </w:rPr>
            </w:pPr>
            <w:r>
              <w:rPr>
                <w:rFonts w:hint="eastAsia" w:ascii="宋体" w:hAnsi="宋体" w:cs="宋体"/>
                <w:kern w:val="0"/>
                <w:sz w:val="18"/>
                <w:szCs w:val="18"/>
              </w:rPr>
              <w:t>Y＜2000</w:t>
            </w:r>
          </w:p>
        </w:tc>
      </w:tr>
      <w:tr w14:paraId="563370A1">
        <w:tblPrEx>
          <w:tblCellMar>
            <w:top w:w="0" w:type="dxa"/>
            <w:left w:w="108" w:type="dxa"/>
            <w:bottom w:w="0" w:type="dxa"/>
            <w:right w:w="108" w:type="dxa"/>
          </w:tblCellMar>
        </w:tblPrEx>
        <w:trPr>
          <w:trHeight w:val="318" w:hRule="atLeast"/>
          <w:jc w:val="center"/>
        </w:trPr>
        <w:tc>
          <w:tcPr>
            <w:tcW w:w="980" w:type="pct"/>
            <w:vMerge w:val="restart"/>
            <w:tcBorders>
              <w:top w:val="nil"/>
              <w:left w:val="single" w:color="auto" w:sz="4" w:space="0"/>
              <w:bottom w:val="single" w:color="auto" w:sz="4" w:space="0"/>
              <w:right w:val="single" w:color="auto" w:sz="4" w:space="0"/>
            </w:tcBorders>
            <w:noWrap w:val="0"/>
            <w:vAlign w:val="center"/>
          </w:tcPr>
          <w:p w14:paraId="66EFC20D">
            <w:pPr>
              <w:widowControl/>
              <w:jc w:val="center"/>
              <w:rPr>
                <w:rFonts w:ascii="宋体" w:hAnsi="宋体" w:cs="宋体"/>
                <w:b/>
                <w:bCs/>
                <w:kern w:val="0"/>
                <w:sz w:val="18"/>
                <w:szCs w:val="18"/>
              </w:rPr>
            </w:pPr>
            <w:r>
              <w:rPr>
                <w:rFonts w:hint="eastAsia" w:ascii="宋体" w:hAnsi="宋体" w:cs="宋体"/>
                <w:b/>
                <w:bCs/>
                <w:kern w:val="0"/>
                <w:sz w:val="18"/>
                <w:szCs w:val="18"/>
              </w:rPr>
              <w:t>物业管理</w:t>
            </w:r>
          </w:p>
        </w:tc>
        <w:tc>
          <w:tcPr>
            <w:tcW w:w="831" w:type="pct"/>
            <w:tcBorders>
              <w:top w:val="nil"/>
              <w:left w:val="nil"/>
              <w:bottom w:val="single" w:color="auto" w:sz="4" w:space="0"/>
              <w:right w:val="single" w:color="auto" w:sz="4" w:space="0"/>
            </w:tcBorders>
            <w:noWrap w:val="0"/>
            <w:vAlign w:val="center"/>
          </w:tcPr>
          <w:p w14:paraId="0CC95BC4">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48" w:type="pct"/>
            <w:tcBorders>
              <w:top w:val="nil"/>
              <w:left w:val="nil"/>
              <w:bottom w:val="single" w:color="auto" w:sz="4" w:space="0"/>
              <w:right w:val="single" w:color="auto" w:sz="4" w:space="0"/>
            </w:tcBorders>
            <w:noWrap w:val="0"/>
            <w:vAlign w:val="center"/>
          </w:tcPr>
          <w:p w14:paraId="499E9F05">
            <w:pPr>
              <w:widowControl/>
              <w:jc w:val="center"/>
              <w:rPr>
                <w:rFonts w:ascii="宋体" w:hAnsi="宋体" w:cs="宋体"/>
                <w:kern w:val="0"/>
                <w:sz w:val="18"/>
                <w:szCs w:val="18"/>
              </w:rPr>
            </w:pPr>
            <w:r>
              <w:rPr>
                <w:rFonts w:hint="eastAsia" w:ascii="宋体" w:hAnsi="宋体" w:cs="宋体"/>
                <w:kern w:val="0"/>
                <w:sz w:val="18"/>
                <w:szCs w:val="18"/>
              </w:rPr>
              <w:t>人</w:t>
            </w:r>
          </w:p>
        </w:tc>
        <w:tc>
          <w:tcPr>
            <w:tcW w:w="962" w:type="pct"/>
            <w:tcBorders>
              <w:top w:val="nil"/>
              <w:left w:val="nil"/>
              <w:bottom w:val="single" w:color="auto" w:sz="4" w:space="0"/>
              <w:right w:val="single" w:color="auto" w:sz="4" w:space="0"/>
            </w:tcBorders>
            <w:noWrap w:val="0"/>
            <w:vAlign w:val="center"/>
          </w:tcPr>
          <w:p w14:paraId="0BD12D3A">
            <w:pPr>
              <w:widowControl/>
              <w:jc w:val="center"/>
              <w:rPr>
                <w:rFonts w:ascii="宋体" w:hAnsi="宋体" w:cs="宋体"/>
                <w:kern w:val="0"/>
                <w:sz w:val="18"/>
                <w:szCs w:val="18"/>
              </w:rPr>
            </w:pPr>
            <w:r>
              <w:rPr>
                <w:rFonts w:hint="eastAsia" w:ascii="宋体" w:hAnsi="宋体" w:cs="宋体"/>
                <w:kern w:val="0"/>
                <w:sz w:val="18"/>
                <w:szCs w:val="18"/>
              </w:rPr>
              <w:t>300≤X＜1000</w:t>
            </w:r>
          </w:p>
        </w:tc>
        <w:tc>
          <w:tcPr>
            <w:tcW w:w="902" w:type="pct"/>
            <w:tcBorders>
              <w:top w:val="nil"/>
              <w:left w:val="nil"/>
              <w:bottom w:val="single" w:color="auto" w:sz="4" w:space="0"/>
              <w:right w:val="single" w:color="auto" w:sz="4" w:space="0"/>
            </w:tcBorders>
            <w:noWrap w:val="0"/>
            <w:vAlign w:val="center"/>
          </w:tcPr>
          <w:p w14:paraId="26280754">
            <w:pPr>
              <w:widowControl/>
              <w:jc w:val="center"/>
              <w:rPr>
                <w:rFonts w:ascii="宋体" w:hAnsi="宋体" w:cs="宋体"/>
                <w:kern w:val="0"/>
                <w:sz w:val="18"/>
                <w:szCs w:val="18"/>
              </w:rPr>
            </w:pPr>
            <w:r>
              <w:rPr>
                <w:rFonts w:hint="eastAsia" w:ascii="宋体" w:hAnsi="宋体" w:cs="宋体"/>
                <w:kern w:val="0"/>
                <w:sz w:val="18"/>
                <w:szCs w:val="18"/>
              </w:rPr>
              <w:t>100≤X＜300</w:t>
            </w:r>
          </w:p>
        </w:tc>
        <w:tc>
          <w:tcPr>
            <w:tcW w:w="578" w:type="pct"/>
            <w:tcBorders>
              <w:top w:val="nil"/>
              <w:left w:val="nil"/>
              <w:bottom w:val="single" w:color="auto" w:sz="4" w:space="0"/>
              <w:right w:val="single" w:color="auto" w:sz="4" w:space="0"/>
            </w:tcBorders>
            <w:noWrap w:val="0"/>
            <w:vAlign w:val="center"/>
          </w:tcPr>
          <w:p w14:paraId="445F114F">
            <w:pPr>
              <w:widowControl/>
              <w:jc w:val="center"/>
              <w:rPr>
                <w:rFonts w:ascii="宋体" w:hAnsi="宋体" w:cs="宋体"/>
                <w:kern w:val="0"/>
                <w:sz w:val="18"/>
                <w:szCs w:val="18"/>
              </w:rPr>
            </w:pPr>
            <w:r>
              <w:rPr>
                <w:rFonts w:hint="eastAsia" w:ascii="宋体" w:hAnsi="宋体" w:cs="宋体"/>
                <w:kern w:val="0"/>
                <w:sz w:val="18"/>
                <w:szCs w:val="18"/>
              </w:rPr>
              <w:t>X＜100</w:t>
            </w:r>
          </w:p>
        </w:tc>
      </w:tr>
      <w:tr w14:paraId="162370B0">
        <w:tblPrEx>
          <w:tblCellMar>
            <w:top w:w="0" w:type="dxa"/>
            <w:left w:w="108" w:type="dxa"/>
            <w:bottom w:w="0" w:type="dxa"/>
            <w:right w:w="108" w:type="dxa"/>
          </w:tblCellMar>
        </w:tblPrEx>
        <w:trPr>
          <w:trHeight w:val="318" w:hRule="atLeast"/>
          <w:jc w:val="center"/>
        </w:trPr>
        <w:tc>
          <w:tcPr>
            <w:tcW w:w="980" w:type="pct"/>
            <w:vMerge w:val="continue"/>
            <w:tcBorders>
              <w:top w:val="nil"/>
              <w:left w:val="single" w:color="auto" w:sz="4" w:space="0"/>
              <w:bottom w:val="single" w:color="auto" w:sz="4" w:space="0"/>
              <w:right w:val="single" w:color="auto" w:sz="4" w:space="0"/>
            </w:tcBorders>
            <w:noWrap w:val="0"/>
            <w:vAlign w:val="center"/>
          </w:tcPr>
          <w:p w14:paraId="43C9B82C">
            <w:pPr>
              <w:widowControl/>
              <w:jc w:val="center"/>
              <w:rPr>
                <w:rFonts w:ascii="宋体" w:hAnsi="宋体" w:cs="宋体"/>
                <w:b/>
                <w:bCs/>
                <w:kern w:val="0"/>
                <w:sz w:val="18"/>
                <w:szCs w:val="18"/>
              </w:rPr>
            </w:pPr>
          </w:p>
        </w:tc>
        <w:tc>
          <w:tcPr>
            <w:tcW w:w="831" w:type="pct"/>
            <w:tcBorders>
              <w:top w:val="nil"/>
              <w:left w:val="nil"/>
              <w:bottom w:val="single" w:color="auto" w:sz="4" w:space="0"/>
              <w:right w:val="single" w:color="auto" w:sz="4" w:space="0"/>
            </w:tcBorders>
            <w:noWrap w:val="0"/>
            <w:vAlign w:val="center"/>
          </w:tcPr>
          <w:p w14:paraId="3B1BEADB">
            <w:pPr>
              <w:widowControl/>
              <w:jc w:val="center"/>
              <w:rPr>
                <w:rFonts w:ascii="宋体" w:hAnsi="宋体" w:cs="宋体"/>
                <w:kern w:val="0"/>
                <w:sz w:val="18"/>
                <w:szCs w:val="18"/>
              </w:rPr>
            </w:pPr>
            <w:r>
              <w:rPr>
                <w:rFonts w:hint="eastAsia" w:ascii="宋体" w:hAnsi="宋体" w:cs="宋体"/>
                <w:kern w:val="0"/>
                <w:sz w:val="18"/>
                <w:szCs w:val="18"/>
              </w:rPr>
              <w:t>营业收入（Y）</w:t>
            </w:r>
          </w:p>
        </w:tc>
        <w:tc>
          <w:tcPr>
            <w:tcW w:w="748" w:type="pct"/>
            <w:tcBorders>
              <w:top w:val="nil"/>
              <w:left w:val="nil"/>
              <w:bottom w:val="single" w:color="auto" w:sz="4" w:space="0"/>
              <w:right w:val="single" w:color="auto" w:sz="4" w:space="0"/>
            </w:tcBorders>
            <w:noWrap w:val="0"/>
            <w:vAlign w:val="center"/>
          </w:tcPr>
          <w:p w14:paraId="3E8BD484">
            <w:pPr>
              <w:widowControl/>
              <w:jc w:val="center"/>
              <w:rPr>
                <w:rFonts w:ascii="宋体" w:hAnsi="宋体" w:cs="宋体"/>
                <w:kern w:val="0"/>
                <w:sz w:val="18"/>
                <w:szCs w:val="18"/>
              </w:rPr>
            </w:pPr>
            <w:r>
              <w:rPr>
                <w:rFonts w:hint="eastAsia" w:ascii="宋体" w:hAnsi="宋体" w:cs="宋体"/>
                <w:kern w:val="0"/>
                <w:sz w:val="18"/>
                <w:szCs w:val="18"/>
              </w:rPr>
              <w:t>万元</w:t>
            </w:r>
          </w:p>
        </w:tc>
        <w:tc>
          <w:tcPr>
            <w:tcW w:w="962" w:type="pct"/>
            <w:tcBorders>
              <w:top w:val="nil"/>
              <w:left w:val="nil"/>
              <w:bottom w:val="single" w:color="auto" w:sz="4" w:space="0"/>
              <w:right w:val="single" w:color="auto" w:sz="4" w:space="0"/>
            </w:tcBorders>
            <w:noWrap w:val="0"/>
            <w:vAlign w:val="center"/>
          </w:tcPr>
          <w:p w14:paraId="05992009">
            <w:pPr>
              <w:widowControl/>
              <w:jc w:val="center"/>
              <w:rPr>
                <w:rFonts w:ascii="宋体" w:hAnsi="宋体" w:cs="宋体"/>
                <w:kern w:val="0"/>
                <w:sz w:val="18"/>
                <w:szCs w:val="18"/>
              </w:rPr>
            </w:pPr>
            <w:r>
              <w:rPr>
                <w:rFonts w:hint="eastAsia" w:ascii="宋体" w:hAnsi="宋体" w:cs="宋体"/>
                <w:kern w:val="0"/>
                <w:sz w:val="18"/>
                <w:szCs w:val="18"/>
              </w:rPr>
              <w:t>1000≤Y＜5000</w:t>
            </w:r>
          </w:p>
        </w:tc>
        <w:tc>
          <w:tcPr>
            <w:tcW w:w="902" w:type="pct"/>
            <w:tcBorders>
              <w:top w:val="nil"/>
              <w:left w:val="nil"/>
              <w:bottom w:val="single" w:color="auto" w:sz="4" w:space="0"/>
              <w:right w:val="single" w:color="auto" w:sz="4" w:space="0"/>
            </w:tcBorders>
            <w:noWrap w:val="0"/>
            <w:vAlign w:val="center"/>
          </w:tcPr>
          <w:p w14:paraId="1CA81418">
            <w:pPr>
              <w:widowControl/>
              <w:jc w:val="center"/>
              <w:rPr>
                <w:rFonts w:ascii="宋体" w:hAnsi="宋体" w:cs="宋体"/>
                <w:kern w:val="0"/>
                <w:sz w:val="18"/>
                <w:szCs w:val="18"/>
              </w:rPr>
            </w:pPr>
            <w:r>
              <w:rPr>
                <w:rFonts w:hint="eastAsia" w:ascii="宋体" w:hAnsi="宋体" w:cs="宋体"/>
                <w:kern w:val="0"/>
                <w:sz w:val="18"/>
                <w:szCs w:val="18"/>
              </w:rPr>
              <w:t>500≤Y＜1000</w:t>
            </w:r>
          </w:p>
        </w:tc>
        <w:tc>
          <w:tcPr>
            <w:tcW w:w="578" w:type="pct"/>
            <w:tcBorders>
              <w:top w:val="nil"/>
              <w:left w:val="nil"/>
              <w:bottom w:val="single" w:color="auto" w:sz="4" w:space="0"/>
              <w:right w:val="single" w:color="auto" w:sz="4" w:space="0"/>
            </w:tcBorders>
            <w:noWrap w:val="0"/>
            <w:vAlign w:val="center"/>
          </w:tcPr>
          <w:p w14:paraId="6D0A5F20">
            <w:pPr>
              <w:widowControl/>
              <w:jc w:val="center"/>
              <w:rPr>
                <w:rFonts w:ascii="宋体" w:hAnsi="宋体" w:cs="宋体"/>
                <w:kern w:val="0"/>
                <w:sz w:val="18"/>
                <w:szCs w:val="18"/>
              </w:rPr>
            </w:pPr>
            <w:r>
              <w:rPr>
                <w:rFonts w:hint="eastAsia" w:ascii="宋体" w:hAnsi="宋体" w:cs="宋体"/>
                <w:kern w:val="0"/>
                <w:sz w:val="18"/>
                <w:szCs w:val="18"/>
              </w:rPr>
              <w:t>Y＜500</w:t>
            </w:r>
          </w:p>
        </w:tc>
      </w:tr>
      <w:tr w14:paraId="4232464A">
        <w:tblPrEx>
          <w:tblCellMar>
            <w:top w:w="0" w:type="dxa"/>
            <w:left w:w="108" w:type="dxa"/>
            <w:bottom w:w="0" w:type="dxa"/>
            <w:right w:w="108" w:type="dxa"/>
          </w:tblCellMar>
        </w:tblPrEx>
        <w:trPr>
          <w:trHeight w:val="318" w:hRule="atLeast"/>
          <w:jc w:val="center"/>
        </w:trPr>
        <w:tc>
          <w:tcPr>
            <w:tcW w:w="980" w:type="pct"/>
            <w:vMerge w:val="restart"/>
            <w:tcBorders>
              <w:top w:val="nil"/>
              <w:left w:val="single" w:color="auto" w:sz="4" w:space="0"/>
              <w:bottom w:val="single" w:color="auto" w:sz="4" w:space="0"/>
              <w:right w:val="single" w:color="auto" w:sz="4" w:space="0"/>
            </w:tcBorders>
            <w:noWrap w:val="0"/>
            <w:vAlign w:val="center"/>
          </w:tcPr>
          <w:p w14:paraId="32D8D9C2">
            <w:pPr>
              <w:widowControl/>
              <w:jc w:val="center"/>
              <w:rPr>
                <w:rFonts w:ascii="宋体" w:hAnsi="宋体" w:cs="宋体"/>
                <w:b/>
                <w:bCs/>
                <w:kern w:val="0"/>
                <w:sz w:val="18"/>
                <w:szCs w:val="18"/>
              </w:rPr>
            </w:pPr>
            <w:r>
              <w:rPr>
                <w:rFonts w:hint="eastAsia" w:ascii="宋体" w:hAnsi="宋体" w:cs="宋体"/>
                <w:b/>
                <w:bCs/>
                <w:kern w:val="0"/>
                <w:sz w:val="18"/>
                <w:szCs w:val="18"/>
              </w:rPr>
              <w:t>租赁和商务服务业</w:t>
            </w:r>
          </w:p>
        </w:tc>
        <w:tc>
          <w:tcPr>
            <w:tcW w:w="831" w:type="pct"/>
            <w:tcBorders>
              <w:top w:val="nil"/>
              <w:left w:val="nil"/>
              <w:bottom w:val="single" w:color="auto" w:sz="4" w:space="0"/>
              <w:right w:val="single" w:color="auto" w:sz="4" w:space="0"/>
            </w:tcBorders>
            <w:noWrap w:val="0"/>
            <w:vAlign w:val="center"/>
          </w:tcPr>
          <w:p w14:paraId="62DAABBD">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48" w:type="pct"/>
            <w:tcBorders>
              <w:top w:val="nil"/>
              <w:left w:val="nil"/>
              <w:bottom w:val="single" w:color="auto" w:sz="4" w:space="0"/>
              <w:right w:val="single" w:color="auto" w:sz="4" w:space="0"/>
            </w:tcBorders>
            <w:noWrap w:val="0"/>
            <w:vAlign w:val="center"/>
          </w:tcPr>
          <w:p w14:paraId="3B228C04">
            <w:pPr>
              <w:widowControl/>
              <w:jc w:val="center"/>
              <w:rPr>
                <w:rFonts w:ascii="宋体" w:hAnsi="宋体" w:cs="宋体"/>
                <w:kern w:val="0"/>
                <w:sz w:val="18"/>
                <w:szCs w:val="18"/>
              </w:rPr>
            </w:pPr>
            <w:r>
              <w:rPr>
                <w:rFonts w:hint="eastAsia" w:ascii="宋体" w:hAnsi="宋体" w:cs="宋体"/>
                <w:kern w:val="0"/>
                <w:sz w:val="18"/>
                <w:szCs w:val="18"/>
              </w:rPr>
              <w:t>人</w:t>
            </w:r>
          </w:p>
        </w:tc>
        <w:tc>
          <w:tcPr>
            <w:tcW w:w="962" w:type="pct"/>
            <w:tcBorders>
              <w:top w:val="nil"/>
              <w:left w:val="nil"/>
              <w:bottom w:val="single" w:color="auto" w:sz="4" w:space="0"/>
              <w:right w:val="single" w:color="auto" w:sz="4" w:space="0"/>
            </w:tcBorders>
            <w:noWrap w:val="0"/>
            <w:vAlign w:val="center"/>
          </w:tcPr>
          <w:p w14:paraId="2BDA7749">
            <w:pPr>
              <w:widowControl/>
              <w:jc w:val="center"/>
              <w:rPr>
                <w:rFonts w:ascii="宋体" w:hAnsi="宋体" w:cs="宋体"/>
                <w:kern w:val="0"/>
                <w:sz w:val="18"/>
                <w:szCs w:val="18"/>
              </w:rPr>
            </w:pPr>
            <w:r>
              <w:rPr>
                <w:rFonts w:hint="eastAsia" w:ascii="宋体" w:hAnsi="宋体" w:cs="宋体"/>
                <w:kern w:val="0"/>
                <w:sz w:val="18"/>
                <w:szCs w:val="18"/>
              </w:rPr>
              <w:t>100≤X＜300</w:t>
            </w:r>
          </w:p>
        </w:tc>
        <w:tc>
          <w:tcPr>
            <w:tcW w:w="902" w:type="pct"/>
            <w:tcBorders>
              <w:top w:val="nil"/>
              <w:left w:val="nil"/>
              <w:bottom w:val="single" w:color="auto" w:sz="4" w:space="0"/>
              <w:right w:val="single" w:color="auto" w:sz="4" w:space="0"/>
            </w:tcBorders>
            <w:noWrap w:val="0"/>
            <w:vAlign w:val="center"/>
          </w:tcPr>
          <w:p w14:paraId="012F6993">
            <w:pPr>
              <w:widowControl/>
              <w:jc w:val="center"/>
              <w:rPr>
                <w:rFonts w:ascii="宋体" w:hAnsi="宋体" w:cs="宋体"/>
                <w:kern w:val="0"/>
                <w:sz w:val="18"/>
                <w:szCs w:val="18"/>
              </w:rPr>
            </w:pPr>
            <w:r>
              <w:rPr>
                <w:rFonts w:hint="eastAsia" w:ascii="宋体" w:hAnsi="宋体" w:cs="宋体"/>
                <w:kern w:val="0"/>
                <w:sz w:val="18"/>
                <w:szCs w:val="18"/>
              </w:rPr>
              <w:t>10≤X＜100</w:t>
            </w:r>
          </w:p>
        </w:tc>
        <w:tc>
          <w:tcPr>
            <w:tcW w:w="578" w:type="pct"/>
            <w:tcBorders>
              <w:top w:val="nil"/>
              <w:left w:val="nil"/>
              <w:bottom w:val="single" w:color="auto" w:sz="4" w:space="0"/>
              <w:right w:val="single" w:color="auto" w:sz="4" w:space="0"/>
            </w:tcBorders>
            <w:noWrap w:val="0"/>
            <w:vAlign w:val="center"/>
          </w:tcPr>
          <w:p w14:paraId="25C57F12">
            <w:pPr>
              <w:widowControl/>
              <w:jc w:val="center"/>
              <w:rPr>
                <w:rFonts w:ascii="宋体" w:hAnsi="宋体" w:cs="宋体"/>
                <w:kern w:val="0"/>
                <w:sz w:val="18"/>
                <w:szCs w:val="18"/>
              </w:rPr>
            </w:pPr>
            <w:r>
              <w:rPr>
                <w:rFonts w:hint="eastAsia" w:ascii="宋体" w:hAnsi="宋体" w:cs="宋体"/>
                <w:kern w:val="0"/>
                <w:sz w:val="18"/>
                <w:szCs w:val="18"/>
              </w:rPr>
              <w:t>X＜10</w:t>
            </w:r>
          </w:p>
        </w:tc>
      </w:tr>
      <w:tr w14:paraId="605D9C93">
        <w:tblPrEx>
          <w:tblCellMar>
            <w:top w:w="0" w:type="dxa"/>
            <w:left w:w="108" w:type="dxa"/>
            <w:bottom w:w="0" w:type="dxa"/>
            <w:right w:w="108" w:type="dxa"/>
          </w:tblCellMar>
        </w:tblPrEx>
        <w:trPr>
          <w:trHeight w:val="318" w:hRule="atLeast"/>
          <w:jc w:val="center"/>
        </w:trPr>
        <w:tc>
          <w:tcPr>
            <w:tcW w:w="980" w:type="pct"/>
            <w:vMerge w:val="continue"/>
            <w:tcBorders>
              <w:top w:val="nil"/>
              <w:left w:val="single" w:color="auto" w:sz="4" w:space="0"/>
              <w:bottom w:val="single" w:color="auto" w:sz="4" w:space="0"/>
              <w:right w:val="single" w:color="auto" w:sz="4" w:space="0"/>
            </w:tcBorders>
            <w:noWrap w:val="0"/>
            <w:vAlign w:val="center"/>
          </w:tcPr>
          <w:p w14:paraId="4A864D5C">
            <w:pPr>
              <w:widowControl/>
              <w:jc w:val="center"/>
              <w:rPr>
                <w:rFonts w:ascii="宋体" w:hAnsi="宋体" w:cs="宋体"/>
                <w:b/>
                <w:bCs/>
                <w:kern w:val="0"/>
                <w:sz w:val="18"/>
                <w:szCs w:val="18"/>
              </w:rPr>
            </w:pPr>
          </w:p>
        </w:tc>
        <w:tc>
          <w:tcPr>
            <w:tcW w:w="831" w:type="pct"/>
            <w:tcBorders>
              <w:top w:val="nil"/>
              <w:left w:val="nil"/>
              <w:bottom w:val="single" w:color="auto" w:sz="4" w:space="0"/>
              <w:right w:val="single" w:color="auto" w:sz="4" w:space="0"/>
            </w:tcBorders>
            <w:noWrap w:val="0"/>
            <w:vAlign w:val="center"/>
          </w:tcPr>
          <w:p w14:paraId="73271B01">
            <w:pPr>
              <w:widowControl/>
              <w:jc w:val="center"/>
              <w:rPr>
                <w:rFonts w:ascii="宋体" w:hAnsi="宋体" w:cs="宋体"/>
                <w:kern w:val="0"/>
                <w:sz w:val="18"/>
                <w:szCs w:val="18"/>
              </w:rPr>
            </w:pPr>
            <w:r>
              <w:rPr>
                <w:rFonts w:hint="eastAsia" w:ascii="宋体" w:hAnsi="宋体" w:cs="宋体"/>
                <w:kern w:val="0"/>
                <w:sz w:val="18"/>
                <w:szCs w:val="18"/>
              </w:rPr>
              <w:t>资产总额（Z）</w:t>
            </w:r>
          </w:p>
        </w:tc>
        <w:tc>
          <w:tcPr>
            <w:tcW w:w="748" w:type="pct"/>
            <w:tcBorders>
              <w:top w:val="nil"/>
              <w:left w:val="nil"/>
              <w:bottom w:val="single" w:color="auto" w:sz="4" w:space="0"/>
              <w:right w:val="single" w:color="auto" w:sz="4" w:space="0"/>
            </w:tcBorders>
            <w:noWrap w:val="0"/>
            <w:vAlign w:val="center"/>
          </w:tcPr>
          <w:p w14:paraId="6FE77B57">
            <w:pPr>
              <w:widowControl/>
              <w:jc w:val="center"/>
              <w:rPr>
                <w:rFonts w:ascii="宋体" w:hAnsi="宋体" w:cs="宋体"/>
                <w:kern w:val="0"/>
                <w:sz w:val="18"/>
                <w:szCs w:val="18"/>
              </w:rPr>
            </w:pPr>
            <w:r>
              <w:rPr>
                <w:rFonts w:hint="eastAsia" w:ascii="宋体" w:hAnsi="宋体" w:cs="宋体"/>
                <w:kern w:val="0"/>
                <w:sz w:val="18"/>
                <w:szCs w:val="18"/>
              </w:rPr>
              <w:t>万元</w:t>
            </w:r>
          </w:p>
        </w:tc>
        <w:tc>
          <w:tcPr>
            <w:tcW w:w="962" w:type="pct"/>
            <w:tcBorders>
              <w:top w:val="nil"/>
              <w:left w:val="nil"/>
              <w:bottom w:val="single" w:color="auto" w:sz="4" w:space="0"/>
              <w:right w:val="single" w:color="auto" w:sz="4" w:space="0"/>
            </w:tcBorders>
            <w:noWrap w:val="0"/>
            <w:vAlign w:val="center"/>
          </w:tcPr>
          <w:p w14:paraId="64F03CA2">
            <w:pPr>
              <w:widowControl/>
              <w:jc w:val="center"/>
              <w:rPr>
                <w:rFonts w:ascii="宋体" w:hAnsi="宋体" w:cs="宋体"/>
                <w:kern w:val="0"/>
                <w:sz w:val="18"/>
                <w:szCs w:val="18"/>
              </w:rPr>
            </w:pPr>
            <w:r>
              <w:rPr>
                <w:rFonts w:hint="eastAsia" w:ascii="宋体" w:hAnsi="宋体" w:cs="宋体"/>
                <w:kern w:val="0"/>
                <w:sz w:val="18"/>
                <w:szCs w:val="18"/>
              </w:rPr>
              <w:t>8000≤Z＜120000</w:t>
            </w:r>
          </w:p>
        </w:tc>
        <w:tc>
          <w:tcPr>
            <w:tcW w:w="902" w:type="pct"/>
            <w:tcBorders>
              <w:top w:val="nil"/>
              <w:left w:val="nil"/>
              <w:bottom w:val="single" w:color="auto" w:sz="4" w:space="0"/>
              <w:right w:val="single" w:color="auto" w:sz="4" w:space="0"/>
            </w:tcBorders>
            <w:noWrap w:val="0"/>
            <w:vAlign w:val="center"/>
          </w:tcPr>
          <w:p w14:paraId="327E2C82">
            <w:pPr>
              <w:widowControl/>
              <w:jc w:val="center"/>
              <w:rPr>
                <w:rFonts w:ascii="宋体" w:hAnsi="宋体" w:cs="宋体"/>
                <w:kern w:val="0"/>
                <w:sz w:val="18"/>
                <w:szCs w:val="18"/>
              </w:rPr>
            </w:pPr>
            <w:r>
              <w:rPr>
                <w:rFonts w:hint="eastAsia" w:ascii="宋体" w:hAnsi="宋体" w:cs="宋体"/>
                <w:kern w:val="0"/>
                <w:sz w:val="18"/>
                <w:szCs w:val="18"/>
              </w:rPr>
              <w:t>100≤Z＜8000</w:t>
            </w:r>
          </w:p>
        </w:tc>
        <w:tc>
          <w:tcPr>
            <w:tcW w:w="578" w:type="pct"/>
            <w:tcBorders>
              <w:top w:val="nil"/>
              <w:left w:val="nil"/>
              <w:bottom w:val="single" w:color="auto" w:sz="4" w:space="0"/>
              <w:right w:val="single" w:color="auto" w:sz="4" w:space="0"/>
            </w:tcBorders>
            <w:noWrap w:val="0"/>
            <w:vAlign w:val="center"/>
          </w:tcPr>
          <w:p w14:paraId="58700E4B">
            <w:pPr>
              <w:widowControl/>
              <w:jc w:val="center"/>
              <w:rPr>
                <w:rFonts w:ascii="宋体" w:hAnsi="宋体" w:cs="宋体"/>
                <w:kern w:val="0"/>
                <w:sz w:val="18"/>
                <w:szCs w:val="18"/>
              </w:rPr>
            </w:pPr>
            <w:r>
              <w:rPr>
                <w:rFonts w:hint="eastAsia" w:ascii="宋体" w:hAnsi="宋体" w:cs="宋体"/>
                <w:kern w:val="0"/>
                <w:sz w:val="18"/>
                <w:szCs w:val="18"/>
              </w:rPr>
              <w:t>Y＜100</w:t>
            </w:r>
          </w:p>
        </w:tc>
      </w:tr>
      <w:tr w14:paraId="2A8D9FE3">
        <w:tblPrEx>
          <w:tblCellMar>
            <w:top w:w="0" w:type="dxa"/>
            <w:left w:w="108" w:type="dxa"/>
            <w:bottom w:w="0" w:type="dxa"/>
            <w:right w:w="108" w:type="dxa"/>
          </w:tblCellMar>
        </w:tblPrEx>
        <w:trPr>
          <w:trHeight w:val="724" w:hRule="atLeast"/>
          <w:jc w:val="center"/>
        </w:trPr>
        <w:tc>
          <w:tcPr>
            <w:tcW w:w="980" w:type="pct"/>
            <w:tcBorders>
              <w:top w:val="nil"/>
              <w:left w:val="single" w:color="auto" w:sz="4" w:space="0"/>
              <w:bottom w:val="single" w:color="auto" w:sz="4" w:space="0"/>
              <w:right w:val="single" w:color="auto" w:sz="4" w:space="0"/>
            </w:tcBorders>
            <w:noWrap w:val="0"/>
            <w:vAlign w:val="center"/>
          </w:tcPr>
          <w:p w14:paraId="2C99FD4C">
            <w:pPr>
              <w:widowControl/>
              <w:jc w:val="center"/>
              <w:rPr>
                <w:rFonts w:ascii="宋体" w:hAnsi="宋体" w:cs="宋体"/>
                <w:b/>
                <w:bCs/>
                <w:kern w:val="0"/>
                <w:sz w:val="18"/>
                <w:szCs w:val="18"/>
              </w:rPr>
            </w:pPr>
            <w:r>
              <w:rPr>
                <w:rFonts w:hint="eastAsia" w:ascii="宋体" w:hAnsi="宋体" w:cs="宋体"/>
                <w:b/>
                <w:bCs/>
                <w:kern w:val="0"/>
                <w:sz w:val="18"/>
                <w:szCs w:val="18"/>
              </w:rPr>
              <w:t>其他未列明行业</w:t>
            </w:r>
          </w:p>
        </w:tc>
        <w:tc>
          <w:tcPr>
            <w:tcW w:w="831" w:type="pct"/>
            <w:tcBorders>
              <w:top w:val="nil"/>
              <w:left w:val="nil"/>
              <w:bottom w:val="single" w:color="auto" w:sz="4" w:space="0"/>
              <w:right w:val="single" w:color="auto" w:sz="4" w:space="0"/>
            </w:tcBorders>
            <w:noWrap w:val="0"/>
            <w:vAlign w:val="center"/>
          </w:tcPr>
          <w:p w14:paraId="41460C76">
            <w:pPr>
              <w:widowControl/>
              <w:jc w:val="center"/>
              <w:rPr>
                <w:rFonts w:ascii="宋体" w:hAnsi="宋体" w:cs="宋体"/>
                <w:kern w:val="0"/>
                <w:sz w:val="18"/>
                <w:szCs w:val="18"/>
              </w:rPr>
            </w:pPr>
            <w:r>
              <w:rPr>
                <w:rFonts w:hint="eastAsia" w:ascii="宋体" w:hAnsi="宋体" w:cs="宋体"/>
                <w:kern w:val="0"/>
                <w:sz w:val="18"/>
                <w:szCs w:val="18"/>
              </w:rPr>
              <w:t>从业人员（X）</w:t>
            </w:r>
          </w:p>
        </w:tc>
        <w:tc>
          <w:tcPr>
            <w:tcW w:w="748" w:type="pct"/>
            <w:tcBorders>
              <w:top w:val="nil"/>
              <w:left w:val="nil"/>
              <w:bottom w:val="single" w:color="auto" w:sz="4" w:space="0"/>
              <w:right w:val="single" w:color="auto" w:sz="4" w:space="0"/>
            </w:tcBorders>
            <w:noWrap w:val="0"/>
            <w:vAlign w:val="center"/>
          </w:tcPr>
          <w:p w14:paraId="26BB9594">
            <w:pPr>
              <w:widowControl/>
              <w:jc w:val="center"/>
              <w:rPr>
                <w:rFonts w:ascii="宋体" w:hAnsi="宋体" w:cs="宋体"/>
                <w:kern w:val="0"/>
                <w:sz w:val="18"/>
                <w:szCs w:val="18"/>
              </w:rPr>
            </w:pPr>
            <w:r>
              <w:rPr>
                <w:rFonts w:hint="eastAsia" w:ascii="宋体" w:hAnsi="宋体" w:cs="宋体"/>
                <w:kern w:val="0"/>
                <w:sz w:val="18"/>
                <w:szCs w:val="18"/>
              </w:rPr>
              <w:t>人</w:t>
            </w:r>
          </w:p>
        </w:tc>
        <w:tc>
          <w:tcPr>
            <w:tcW w:w="962" w:type="pct"/>
            <w:tcBorders>
              <w:top w:val="nil"/>
              <w:left w:val="nil"/>
              <w:bottom w:val="single" w:color="auto" w:sz="4" w:space="0"/>
              <w:right w:val="single" w:color="auto" w:sz="4" w:space="0"/>
            </w:tcBorders>
            <w:noWrap w:val="0"/>
            <w:vAlign w:val="center"/>
          </w:tcPr>
          <w:p w14:paraId="428728A4">
            <w:pPr>
              <w:widowControl/>
              <w:jc w:val="center"/>
              <w:rPr>
                <w:rFonts w:ascii="宋体" w:hAnsi="宋体" w:cs="宋体"/>
                <w:kern w:val="0"/>
                <w:sz w:val="18"/>
                <w:szCs w:val="18"/>
              </w:rPr>
            </w:pPr>
            <w:r>
              <w:rPr>
                <w:rFonts w:hint="eastAsia" w:ascii="宋体" w:hAnsi="宋体" w:cs="宋体"/>
                <w:kern w:val="0"/>
                <w:sz w:val="18"/>
                <w:szCs w:val="18"/>
              </w:rPr>
              <w:t>100≤X＜300</w:t>
            </w:r>
          </w:p>
        </w:tc>
        <w:tc>
          <w:tcPr>
            <w:tcW w:w="902" w:type="pct"/>
            <w:tcBorders>
              <w:top w:val="nil"/>
              <w:left w:val="nil"/>
              <w:bottom w:val="single" w:color="auto" w:sz="4" w:space="0"/>
              <w:right w:val="single" w:color="auto" w:sz="4" w:space="0"/>
            </w:tcBorders>
            <w:noWrap w:val="0"/>
            <w:vAlign w:val="center"/>
          </w:tcPr>
          <w:p w14:paraId="6F8A83C4">
            <w:pPr>
              <w:widowControl/>
              <w:jc w:val="center"/>
              <w:rPr>
                <w:rFonts w:ascii="宋体" w:hAnsi="宋体" w:cs="宋体"/>
                <w:kern w:val="0"/>
                <w:sz w:val="18"/>
                <w:szCs w:val="18"/>
              </w:rPr>
            </w:pPr>
            <w:r>
              <w:rPr>
                <w:rFonts w:hint="eastAsia" w:ascii="宋体" w:hAnsi="宋体" w:cs="宋体"/>
                <w:kern w:val="0"/>
                <w:sz w:val="18"/>
                <w:szCs w:val="18"/>
              </w:rPr>
              <w:t>10≤X＜100</w:t>
            </w:r>
          </w:p>
        </w:tc>
        <w:tc>
          <w:tcPr>
            <w:tcW w:w="578" w:type="pct"/>
            <w:tcBorders>
              <w:top w:val="nil"/>
              <w:left w:val="nil"/>
              <w:bottom w:val="single" w:color="auto" w:sz="4" w:space="0"/>
              <w:right w:val="single" w:color="auto" w:sz="4" w:space="0"/>
            </w:tcBorders>
            <w:noWrap w:val="0"/>
            <w:vAlign w:val="center"/>
          </w:tcPr>
          <w:p w14:paraId="7FAE0CE6">
            <w:pPr>
              <w:widowControl/>
              <w:jc w:val="center"/>
              <w:rPr>
                <w:rFonts w:ascii="宋体" w:hAnsi="宋体" w:cs="宋体"/>
                <w:kern w:val="0"/>
                <w:sz w:val="18"/>
                <w:szCs w:val="18"/>
              </w:rPr>
            </w:pPr>
            <w:r>
              <w:rPr>
                <w:rFonts w:hint="eastAsia" w:ascii="宋体" w:hAnsi="宋体" w:cs="宋体"/>
                <w:kern w:val="0"/>
                <w:sz w:val="18"/>
                <w:szCs w:val="18"/>
              </w:rPr>
              <w:t>X＜10</w:t>
            </w:r>
          </w:p>
        </w:tc>
      </w:tr>
    </w:tbl>
    <w:p w14:paraId="5C81996C">
      <w:pPr>
        <w:widowControl/>
        <w:jc w:val="left"/>
        <w:rPr>
          <w:rFonts w:hint="eastAsia" w:ascii="宋体" w:hAnsi="宋体"/>
          <w:szCs w:val="21"/>
        </w:rPr>
      </w:pPr>
      <w:r>
        <w:rPr>
          <w:rFonts w:hint="eastAsia" w:ascii="宋体" w:hAnsi="宋体"/>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3476EC4B">
      <w:pPr>
        <w:pStyle w:val="9"/>
        <w:rPr>
          <w:rFonts w:hint="eastAsia" w:ascii="宋体" w:hAnsi="宋体"/>
          <w:szCs w:val="21"/>
        </w:rPr>
      </w:pPr>
    </w:p>
    <w:p w14:paraId="2E2707AF">
      <w:pPr>
        <w:spacing w:line="300" w:lineRule="auto"/>
        <w:rPr>
          <w:rFonts w:ascii="宋体" w:hAnsi="宋体"/>
          <w:szCs w:val="21"/>
        </w:rPr>
      </w:pPr>
      <w:r>
        <w:rPr>
          <w:rFonts w:hint="eastAsia" w:ascii="宋体" w:hAnsi="宋体"/>
          <w:b/>
          <w:bCs/>
        </w:rPr>
        <w:t>另：所属行业依照《中小企业划型标准规定》（工信部联企业〔2011〕300号）及《国民经济行业分类》（GB/T4754-2017）的有关规定执行。</w:t>
      </w:r>
    </w:p>
    <w:p w14:paraId="4D157A89">
      <w:pPr>
        <w:snapToGrid w:val="0"/>
        <w:spacing w:before="50" w:after="50" w:line="300" w:lineRule="auto"/>
        <w:jc w:val="center"/>
        <w:rPr>
          <w:rFonts w:hint="eastAsia" w:ascii="宋体" w:hAnsi="宋体"/>
          <w:b/>
          <w:sz w:val="30"/>
        </w:rPr>
      </w:pPr>
      <w:r>
        <w:rPr>
          <w:rFonts w:ascii="宋体" w:hAnsi="宋体"/>
        </w:rPr>
        <w:br w:type="page"/>
      </w:r>
      <w:r>
        <w:rPr>
          <w:rFonts w:hint="eastAsia" w:ascii="宋体" w:hAnsi="宋体"/>
          <w:b/>
          <w:sz w:val="30"/>
        </w:rPr>
        <w:t>残疾人福利性单位声明函</w:t>
      </w:r>
    </w:p>
    <w:p w14:paraId="7983A539">
      <w:pPr>
        <w:spacing w:line="520" w:lineRule="exact"/>
        <w:rPr>
          <w:rFonts w:hint="eastAsia" w:ascii="宋体" w:hAnsi="宋体" w:cs="仿宋_GB2312"/>
          <w:sz w:val="32"/>
          <w:szCs w:val="32"/>
        </w:rPr>
      </w:pPr>
    </w:p>
    <w:p w14:paraId="28177255">
      <w:pPr>
        <w:spacing w:line="400" w:lineRule="exact"/>
        <w:ind w:firstLine="420" w:firstLineChars="200"/>
        <w:rPr>
          <w:rFonts w:hint="eastAsia" w:ascii="宋体" w:hAnsi="宋体" w:cs="仿宋_GB2312"/>
          <w:szCs w:val="21"/>
        </w:rPr>
      </w:pPr>
      <w:r>
        <w:rPr>
          <w:rFonts w:hint="eastAsia" w:ascii="宋体" w:hAnsi="宋体" w:cs="仿宋_GB2312"/>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szCs w:val="21"/>
          <w:u w:val="single"/>
        </w:rPr>
        <w:t xml:space="preserve">       </w:t>
      </w:r>
      <w:r>
        <w:rPr>
          <w:rFonts w:hint="eastAsia" w:ascii="宋体" w:hAnsi="宋体" w:cs="仿宋_GB2312"/>
          <w:szCs w:val="21"/>
        </w:rPr>
        <w:t>单位的</w:t>
      </w:r>
      <w:r>
        <w:rPr>
          <w:rFonts w:hint="eastAsia" w:ascii="宋体" w:hAnsi="宋体" w:cs="仿宋_GB2312"/>
          <w:szCs w:val="21"/>
          <w:u w:val="single"/>
        </w:rPr>
        <w:t xml:space="preserve">        </w:t>
      </w:r>
      <w:r>
        <w:rPr>
          <w:rFonts w:hint="eastAsia" w:ascii="宋体" w:hAnsi="宋体" w:cs="仿宋_GB2312"/>
          <w:szCs w:val="21"/>
        </w:rPr>
        <w:t>项目采购活动提供本单位制造的货物（由本单位承担工程/提供服务），或者提供其他残疾人福利性单位制造的货物（不包括使用非残疾人福利性单位注册商标的货物）。</w:t>
      </w:r>
    </w:p>
    <w:p w14:paraId="7CC690DC">
      <w:pPr>
        <w:spacing w:line="400" w:lineRule="exact"/>
        <w:ind w:firstLine="420" w:firstLineChars="200"/>
        <w:rPr>
          <w:rFonts w:hint="eastAsia" w:ascii="宋体" w:hAnsi="宋体" w:cs="仿宋_GB2312"/>
          <w:szCs w:val="21"/>
        </w:rPr>
      </w:pPr>
      <w:r>
        <w:rPr>
          <w:rFonts w:hint="eastAsia" w:ascii="宋体" w:hAnsi="宋体" w:cs="仿宋_GB2312"/>
          <w:szCs w:val="21"/>
        </w:rPr>
        <w:t>本单位对上述声明的真实性负责。如有虚假，将依法承担相应责任。</w:t>
      </w:r>
    </w:p>
    <w:p w14:paraId="78230D0D">
      <w:pPr>
        <w:spacing w:line="400" w:lineRule="exact"/>
        <w:rPr>
          <w:rFonts w:hint="eastAsia" w:ascii="宋体" w:hAnsi="宋体" w:cs="仿宋_GB2312"/>
          <w:szCs w:val="21"/>
        </w:rPr>
      </w:pPr>
    </w:p>
    <w:p w14:paraId="125D5188">
      <w:pPr>
        <w:spacing w:line="400" w:lineRule="exact"/>
        <w:rPr>
          <w:rFonts w:hint="eastAsia" w:ascii="宋体" w:hAnsi="宋体" w:cs="仿宋_GB2312"/>
          <w:szCs w:val="21"/>
        </w:rPr>
      </w:pPr>
    </w:p>
    <w:p w14:paraId="7D6D785B">
      <w:pPr>
        <w:spacing w:line="400" w:lineRule="exact"/>
        <w:rPr>
          <w:rFonts w:hint="eastAsia" w:ascii="宋体" w:hAnsi="宋体" w:cs="仿宋_GB2312"/>
          <w:szCs w:val="21"/>
        </w:rPr>
      </w:pPr>
    </w:p>
    <w:p w14:paraId="73F68F41">
      <w:pPr>
        <w:spacing w:line="400" w:lineRule="exact"/>
        <w:ind w:firstLine="1155" w:firstLineChars="550"/>
        <w:rPr>
          <w:rFonts w:hint="eastAsia" w:ascii="宋体" w:hAnsi="宋体" w:cs="宋体"/>
          <w:szCs w:val="21"/>
        </w:rPr>
      </w:pPr>
      <w:r>
        <w:rPr>
          <w:rFonts w:hint="eastAsia" w:ascii="宋体" w:hAnsi="宋体" w:cs="宋体"/>
          <w:szCs w:val="21"/>
        </w:rPr>
        <w:t>竞标人名称（CA电子签章）：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342F99A1">
      <w:pPr>
        <w:pStyle w:val="13"/>
        <w:spacing w:line="400" w:lineRule="exact"/>
        <w:ind w:left="420" w:firstLine="4500" w:firstLineChars="2250"/>
        <w:jc w:val="right"/>
        <w:rPr>
          <w:rFonts w:hAnsi="宋体" w:cs="宋体"/>
        </w:rPr>
      </w:pPr>
      <w:r>
        <w:rPr>
          <w:rFonts w:hint="eastAsia" w:hAnsi="宋体" w:cs="宋体"/>
        </w:rPr>
        <w:t>日期：  年  月  日</w:t>
      </w:r>
    </w:p>
    <w:p w14:paraId="782C18DA">
      <w:pPr>
        <w:spacing w:line="380" w:lineRule="exact"/>
        <w:ind w:firstLine="420" w:firstLineChars="200"/>
        <w:jc w:val="left"/>
        <w:rPr>
          <w:rFonts w:hint="eastAsia" w:ascii="宋体" w:hAnsi="宋体" w:cs="仿宋_GB2312"/>
          <w:szCs w:val="21"/>
        </w:rPr>
      </w:pPr>
      <w:r>
        <w:rPr>
          <w:rFonts w:hint="eastAsia" w:ascii="宋体" w:hAnsi="宋体" w:cs="仿宋_GB2312"/>
          <w:szCs w:val="21"/>
        </w:rPr>
        <w:t>注：</w:t>
      </w:r>
    </w:p>
    <w:p w14:paraId="7B4479A7">
      <w:pPr>
        <w:spacing w:line="380" w:lineRule="exact"/>
        <w:ind w:firstLine="420" w:firstLineChars="200"/>
        <w:jc w:val="left"/>
        <w:rPr>
          <w:rFonts w:hint="eastAsia" w:ascii="宋体" w:hAnsi="宋体" w:cs="仿宋_GB2312"/>
          <w:szCs w:val="21"/>
        </w:rPr>
      </w:pPr>
      <w:r>
        <w:rPr>
          <w:rFonts w:hint="eastAsia" w:ascii="宋体" w:hAnsi="宋体" w:cs="仿宋_GB2312"/>
          <w:szCs w:val="21"/>
        </w:rPr>
        <w:t>1、请根据自己的真实情况出具《残疾人福利性单位声明函》。依法享受中小企业优惠政策的，采购人或者采购代理机构在公告中标结果时，同时公告其《残疾人福利性单位声明函》，接受社会监督。</w:t>
      </w:r>
    </w:p>
    <w:p w14:paraId="1EF61F7A">
      <w:pPr>
        <w:spacing w:line="380" w:lineRule="exact"/>
        <w:ind w:firstLine="420" w:firstLineChars="200"/>
        <w:jc w:val="left"/>
        <w:rPr>
          <w:rFonts w:hint="eastAsia" w:ascii="宋体" w:hAnsi="宋体" w:cs="仿宋_GB2312"/>
          <w:szCs w:val="21"/>
        </w:rPr>
      </w:pPr>
      <w:r>
        <w:rPr>
          <w:rFonts w:hint="eastAsia" w:ascii="宋体" w:hAnsi="宋体" w:cs="仿宋_GB2312"/>
          <w:szCs w:val="21"/>
        </w:rPr>
        <w:t>2、享受政府采购支持政策的残疾人福利性单位应当同时满足以下条件：</w:t>
      </w:r>
    </w:p>
    <w:p w14:paraId="4C79E2D4">
      <w:pPr>
        <w:spacing w:line="380" w:lineRule="exact"/>
        <w:ind w:firstLine="420" w:firstLineChars="200"/>
        <w:jc w:val="left"/>
        <w:rPr>
          <w:rFonts w:hint="eastAsia" w:ascii="宋体" w:hAnsi="宋体" w:cs="仿宋_GB2312"/>
          <w:szCs w:val="21"/>
        </w:rPr>
      </w:pPr>
      <w:r>
        <w:rPr>
          <w:rFonts w:hint="eastAsia" w:ascii="宋体" w:hAnsi="宋体" w:cs="仿宋_GB2312"/>
          <w:szCs w:val="21"/>
        </w:rPr>
        <w:t>（1）安置的残疾人占本单位在职职工人数的比例不低于25%（含25%），并且安置的残疾人人数不少于10人（含10人）；</w:t>
      </w:r>
    </w:p>
    <w:p w14:paraId="08B9C85C">
      <w:pPr>
        <w:spacing w:line="380" w:lineRule="exact"/>
        <w:ind w:firstLine="420" w:firstLineChars="200"/>
        <w:jc w:val="left"/>
        <w:rPr>
          <w:rFonts w:hint="eastAsia" w:ascii="宋体" w:hAnsi="宋体" w:cs="仿宋_GB2312"/>
          <w:szCs w:val="21"/>
        </w:rPr>
      </w:pPr>
      <w:r>
        <w:rPr>
          <w:rFonts w:hint="eastAsia" w:ascii="宋体" w:hAnsi="宋体" w:cs="仿宋_GB2312"/>
          <w:szCs w:val="21"/>
        </w:rPr>
        <w:t>（2）依法与安置的每位残疾人签订了一年以上（含一年）的劳动合同或服务协议；</w:t>
      </w:r>
    </w:p>
    <w:p w14:paraId="13115604">
      <w:pPr>
        <w:spacing w:line="380" w:lineRule="exact"/>
        <w:ind w:firstLine="420" w:firstLineChars="200"/>
        <w:jc w:val="left"/>
        <w:rPr>
          <w:rFonts w:hint="eastAsia" w:ascii="宋体" w:hAnsi="宋体" w:cs="仿宋_GB2312"/>
          <w:szCs w:val="21"/>
        </w:rPr>
      </w:pPr>
      <w:r>
        <w:rPr>
          <w:rFonts w:hint="eastAsia" w:ascii="宋体" w:hAnsi="宋体" w:cs="仿宋_GB2312"/>
          <w:szCs w:val="21"/>
        </w:rPr>
        <w:t>（3）为安置的每位残疾人按月足额缴纳了基本养老保险、基本医疗保险、失业保险、工伤保险和生育保险等社会保险费；</w:t>
      </w:r>
    </w:p>
    <w:p w14:paraId="0BC37A62">
      <w:pPr>
        <w:spacing w:line="380" w:lineRule="exact"/>
        <w:ind w:firstLine="420" w:firstLineChars="200"/>
        <w:jc w:val="left"/>
        <w:rPr>
          <w:rFonts w:hint="eastAsia" w:ascii="宋体" w:hAnsi="宋体" w:cs="仿宋_GB2312"/>
          <w:szCs w:val="21"/>
        </w:rPr>
      </w:pPr>
      <w:r>
        <w:rPr>
          <w:rFonts w:hint="eastAsia" w:ascii="宋体" w:hAnsi="宋体" w:cs="仿宋_GB2312"/>
          <w:szCs w:val="21"/>
        </w:rPr>
        <w:t>（4）通过银行等金融机构向安置的每位残疾人，按月支付了不低于单位所在区县适用的经省级人民政府批准的月最低工资标准的工资；</w:t>
      </w:r>
    </w:p>
    <w:p w14:paraId="20C883B8">
      <w:pPr>
        <w:spacing w:line="380" w:lineRule="exact"/>
        <w:ind w:firstLine="420" w:firstLineChars="200"/>
        <w:jc w:val="left"/>
        <w:rPr>
          <w:rFonts w:hint="eastAsia" w:ascii="宋体" w:hAnsi="宋体" w:cs="仿宋_GB2312"/>
          <w:szCs w:val="21"/>
        </w:rPr>
      </w:pPr>
      <w:r>
        <w:rPr>
          <w:rFonts w:hint="eastAsia" w:ascii="宋体" w:hAnsi="宋体" w:cs="仿宋_GB2312"/>
          <w:szCs w:val="21"/>
        </w:rPr>
        <w:t>（5）提供本单位制造的货物、承担的工程或者服务（以下简称产品），或者提供其他残疾人福利性单位制造的货物（不包括使用非残疾人福利性单位注册商标的货物）。</w:t>
      </w:r>
    </w:p>
    <w:p w14:paraId="6B84A529">
      <w:pPr>
        <w:spacing w:line="380" w:lineRule="exact"/>
        <w:ind w:firstLine="420" w:firstLineChars="200"/>
        <w:jc w:val="left"/>
        <w:rPr>
          <w:rFonts w:hint="eastAsia" w:ascii="宋体" w:hAnsi="宋体" w:cs="仿宋_GB2312"/>
          <w:szCs w:val="21"/>
        </w:rPr>
      </w:pPr>
      <w:r>
        <w:rPr>
          <w:rFonts w:hint="eastAsia" w:ascii="宋体" w:hAnsi="宋体" w:cs="仿宋_GB2312"/>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BDB35AF">
      <w:pPr>
        <w:snapToGrid w:val="0"/>
        <w:spacing w:line="380" w:lineRule="exact"/>
        <w:ind w:firstLine="420" w:firstLineChars="200"/>
        <w:jc w:val="left"/>
        <w:rPr>
          <w:rFonts w:hint="eastAsia" w:ascii="宋体" w:hAnsi="宋体" w:eastAsia="宋体" w:cs="宋体"/>
        </w:rPr>
      </w:pPr>
      <w:r>
        <w:rPr>
          <w:rFonts w:hint="eastAsia" w:ascii="宋体" w:hAnsi="宋体" w:cs="仿宋_GB2312"/>
          <w:szCs w:val="21"/>
        </w:rPr>
        <w:t>3、监狱企业由省级以上监狱管理局、戒毒管理局（含新疆生产建设兵团）出具的属于监狱企业的证明文件（货物由监狱企业制造的必须提供）</w:t>
      </w:r>
    </w:p>
    <w:p w14:paraId="6B8FDBBF">
      <w:pPr>
        <w:pStyle w:val="2"/>
        <w:bidi w:val="0"/>
        <w:jc w:val="center"/>
        <w:rPr>
          <w:rFonts w:hint="eastAsia" w:ascii="宋体" w:hAnsi="宋体" w:eastAsia="宋体" w:cs="宋体"/>
          <w:sz w:val="32"/>
          <w:szCs w:val="32"/>
          <w:lang w:val="en-US" w:eastAsia="zh-CN"/>
        </w:rPr>
      </w:pPr>
    </w:p>
    <w:p w14:paraId="6E8C106E">
      <w:pPr>
        <w:rPr>
          <w:rFonts w:hint="eastAsia" w:ascii="宋体" w:hAnsi="宋体" w:eastAsia="宋体" w:cs="宋体"/>
          <w:sz w:val="32"/>
          <w:szCs w:val="32"/>
          <w:lang w:val="en-US" w:eastAsia="zh-CN"/>
        </w:rPr>
      </w:pPr>
    </w:p>
    <w:p w14:paraId="48C59AF6">
      <w:pPr>
        <w:pStyle w:val="2"/>
        <w:rPr>
          <w:rFonts w:hint="eastAsia"/>
          <w:lang w:val="en-US" w:eastAsia="zh-CN"/>
        </w:rPr>
      </w:pPr>
    </w:p>
    <w:p w14:paraId="36927839">
      <w:pPr>
        <w:pStyle w:val="2"/>
        <w:bidi w:val="0"/>
        <w:jc w:val="center"/>
        <w:rPr>
          <w:rFonts w:hint="eastAsia" w:ascii="宋体" w:hAnsi="宋体" w:eastAsia="宋体" w:cs="宋体"/>
          <w:sz w:val="32"/>
          <w:szCs w:val="32"/>
        </w:rPr>
      </w:pPr>
      <w:r>
        <w:rPr>
          <w:rFonts w:hint="eastAsia" w:ascii="宋体" w:hAnsi="宋体" w:eastAsia="宋体" w:cs="宋体"/>
          <w:sz w:val="32"/>
          <w:szCs w:val="32"/>
          <w:lang w:val="en-US" w:eastAsia="zh-CN"/>
        </w:rPr>
        <w:t>7、</w:t>
      </w:r>
      <w:r>
        <w:rPr>
          <w:rFonts w:hint="eastAsia" w:ascii="宋体" w:hAnsi="宋体" w:eastAsia="宋体" w:cs="宋体"/>
          <w:sz w:val="32"/>
          <w:szCs w:val="32"/>
        </w:rPr>
        <w:t>建设工程项目管理承诺书</w:t>
      </w:r>
    </w:p>
    <w:p w14:paraId="5CD276ED">
      <w:pPr>
        <w:spacing w:line="360" w:lineRule="auto"/>
        <w:ind w:left="105" w:leftChars="50" w:right="105" w:rightChars="50"/>
        <w:jc w:val="center"/>
        <w:rPr>
          <w:rFonts w:hint="eastAsia" w:ascii="宋体" w:hAnsi="宋体" w:eastAsia="宋体" w:cs="宋体"/>
          <w:b/>
          <w:bCs/>
          <w:color w:val="auto"/>
          <w:sz w:val="24"/>
        </w:rPr>
      </w:pPr>
    </w:p>
    <w:p w14:paraId="7997761D">
      <w:pPr>
        <w:spacing w:line="480" w:lineRule="auto"/>
        <w:ind w:left="105" w:leftChars="50" w:right="105" w:rightChars="5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lang w:eastAsia="zh-CN"/>
        </w:rPr>
        <w:t>：</w:t>
      </w:r>
      <w:r>
        <w:rPr>
          <w:rFonts w:hint="eastAsia" w:ascii="宋体" w:hAnsi="宋体" w:eastAsia="宋体" w:cs="宋体"/>
          <w:color w:val="auto"/>
          <w:u w:val="single"/>
          <w:lang w:eastAsia="zh-CN"/>
        </w:rPr>
        <w:t>（</w:t>
      </w:r>
      <w:r>
        <w:rPr>
          <w:rFonts w:hint="eastAsia" w:ascii="宋体" w:hAnsi="宋体" w:eastAsia="宋体" w:cs="宋体"/>
          <w:color w:val="auto"/>
          <w:sz w:val="21"/>
          <w:szCs w:val="21"/>
          <w:highlight w:val="none"/>
          <w:u w:val="single"/>
          <w:lang w:eastAsia="zh-CN"/>
        </w:rPr>
        <w:t>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u w:val="single"/>
        </w:rPr>
        <w:t xml:space="preserve"> </w:t>
      </w:r>
      <w:r>
        <w:rPr>
          <w:rFonts w:hint="eastAsia" w:ascii="宋体" w:hAnsi="宋体" w:eastAsia="宋体" w:cs="宋体"/>
          <w:color w:val="auto"/>
          <w:u w:val="single"/>
        </w:rPr>
        <w:t xml:space="preserve"> </w:t>
      </w:r>
      <w:r>
        <w:rPr>
          <w:rFonts w:hint="eastAsia" w:ascii="宋体" w:hAnsi="宋体" w:eastAsia="宋体" w:cs="宋体"/>
          <w:color w:val="auto"/>
        </w:rPr>
        <w:t>：</w:t>
      </w:r>
    </w:p>
    <w:p w14:paraId="75E7F7E0">
      <w:pPr>
        <w:keepNext w:val="0"/>
        <w:keepLines w:val="0"/>
        <w:widowControl/>
        <w:suppressLineNumbers w:val="0"/>
        <w:ind w:firstLine="420" w:firstLineChars="200"/>
        <w:jc w:val="left"/>
        <w:rPr>
          <w:sz w:val="21"/>
          <w:szCs w:val="21"/>
        </w:rPr>
      </w:pPr>
      <w:r>
        <w:rPr>
          <w:rFonts w:hint="eastAsia" w:ascii="宋体" w:hAnsi="宋体" w:eastAsia="宋体" w:cs="宋体"/>
          <w:color w:val="000000"/>
          <w:kern w:val="0"/>
          <w:sz w:val="21"/>
          <w:szCs w:val="21"/>
          <w:lang w:val="en-US" w:eastAsia="zh-CN" w:bidi="ar"/>
        </w:rPr>
        <w:t xml:space="preserve">作为参与 </w:t>
      </w:r>
      <w:r>
        <w:rPr>
          <w:rFonts w:hint="eastAsia" w:ascii="宋体" w:hAnsi="宋体" w:eastAsia="宋体" w:cs="宋体"/>
          <w:color w:val="000000"/>
          <w:kern w:val="0"/>
          <w:sz w:val="21"/>
          <w:szCs w:val="21"/>
          <w:u w:val="single"/>
          <w:lang w:val="en-US" w:eastAsia="zh-CN" w:bidi="ar"/>
        </w:rPr>
        <w:t xml:space="preserve">         (项目名称)</w:t>
      </w:r>
      <w:r>
        <w:rPr>
          <w:rFonts w:hint="eastAsia" w:ascii="宋体" w:hAnsi="宋体" w:eastAsia="宋体" w:cs="宋体"/>
          <w:color w:val="000000"/>
          <w:kern w:val="0"/>
          <w:sz w:val="21"/>
          <w:szCs w:val="21"/>
          <w:lang w:val="en-US" w:eastAsia="zh-CN" w:bidi="ar"/>
        </w:rPr>
        <w:t xml:space="preserve">项目的投标方，根据国家、自治区相关文件规定，我方在此向招标人承诺: </w:t>
      </w:r>
    </w:p>
    <w:p w14:paraId="070F1BEB">
      <w:pPr>
        <w:keepNext w:val="0"/>
        <w:keepLines w:val="0"/>
        <w:widowControl/>
        <w:suppressLineNumbers w:val="0"/>
        <w:ind w:firstLine="420" w:firstLineChars="200"/>
        <w:jc w:val="left"/>
        <w:rPr>
          <w:sz w:val="21"/>
          <w:szCs w:val="21"/>
        </w:rPr>
      </w:pPr>
      <w:r>
        <w:rPr>
          <w:rFonts w:hint="eastAsia" w:ascii="宋体" w:hAnsi="宋体" w:eastAsia="宋体" w:cs="宋体"/>
          <w:color w:val="000000"/>
          <w:kern w:val="0"/>
          <w:sz w:val="21"/>
          <w:szCs w:val="21"/>
          <w:lang w:val="en-US" w:eastAsia="zh-CN" w:bidi="ar"/>
        </w:rPr>
        <w:t xml:space="preserve">1、一旦中标，我方保证按照政府相关部门的规定，在发出成交通知书之日起 7 个工作日内足额将农民工工资保障金转入农民工工资保障金专用账户。一旦我方所承包的该项目中出现拖欠农民工工资情况，由劳动保障、住房城乡建设行政主管部门按照《关于进一步完善建筑行业农民工工资保证金制度的通知》(桂劳社发(2009)50 号)从我方农民工工资保障金中先予划东。 </w:t>
      </w:r>
    </w:p>
    <w:p w14:paraId="0A590543">
      <w:pPr>
        <w:keepNext w:val="0"/>
        <w:keepLines w:val="0"/>
        <w:widowControl/>
        <w:suppressLineNumbers w:val="0"/>
        <w:ind w:firstLine="420" w:firstLineChars="200"/>
        <w:jc w:val="left"/>
        <w:rPr>
          <w:sz w:val="21"/>
          <w:szCs w:val="21"/>
        </w:rPr>
      </w:pPr>
      <w:r>
        <w:rPr>
          <w:rFonts w:hint="eastAsia" w:ascii="宋体" w:hAnsi="宋体" w:eastAsia="宋体" w:cs="宋体"/>
          <w:color w:val="000000"/>
          <w:kern w:val="0"/>
          <w:sz w:val="21"/>
          <w:szCs w:val="21"/>
          <w:lang w:val="en-US" w:eastAsia="zh-CN" w:bidi="ar"/>
        </w:rPr>
        <w:t xml:space="preserve">2、一旦中标，我方保证在施工过程中，严格执行《广西壮族自治区建筑工程安全文明施工费使用管理细则》(桂建质(2015)16 号)的有关规定，确保建设工程各项安全防护、文明施工措施落实到位。如我方在该项目的承包中出现未按桂建质(2006)22 号文附件一规定执行的情形，我方愿意按照相关规定接受建设单位及有关主管部门的处罚。 </w:t>
      </w:r>
    </w:p>
    <w:p w14:paraId="49A4CC5C">
      <w:pPr>
        <w:keepNext w:val="0"/>
        <w:keepLines w:val="0"/>
        <w:widowControl/>
        <w:suppressLineNumbers w:val="0"/>
        <w:ind w:firstLine="420" w:firstLineChars="200"/>
        <w:jc w:val="left"/>
        <w:rPr>
          <w:sz w:val="21"/>
          <w:szCs w:val="21"/>
        </w:rPr>
      </w:pPr>
      <w:r>
        <w:rPr>
          <w:rFonts w:hint="eastAsia" w:ascii="宋体" w:hAnsi="宋体" w:eastAsia="宋体" w:cs="宋体"/>
          <w:color w:val="000000"/>
          <w:kern w:val="0"/>
          <w:sz w:val="21"/>
          <w:szCs w:val="21"/>
          <w:lang w:val="en-US" w:eastAsia="zh-CN" w:bidi="ar"/>
        </w:rPr>
        <w:t xml:space="preserve">3、一旦中标，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 </w:t>
      </w:r>
    </w:p>
    <w:p w14:paraId="22816926">
      <w:pPr>
        <w:keepNext w:val="0"/>
        <w:keepLines w:val="0"/>
        <w:widowControl/>
        <w:suppressLineNumbers w:val="0"/>
        <w:ind w:firstLine="420" w:firstLineChars="200"/>
        <w:jc w:val="left"/>
        <w:rPr>
          <w:sz w:val="21"/>
          <w:szCs w:val="21"/>
        </w:rPr>
      </w:pPr>
      <w:r>
        <w:rPr>
          <w:rFonts w:hint="eastAsia" w:ascii="宋体" w:hAnsi="宋体" w:eastAsia="宋体" w:cs="宋体"/>
          <w:color w:val="000000"/>
          <w:kern w:val="0"/>
          <w:sz w:val="21"/>
          <w:szCs w:val="21"/>
          <w:lang w:val="en-US" w:eastAsia="zh-CN" w:bidi="ar"/>
        </w:rPr>
        <w:t xml:space="preserve">4、一旦中标，我方保证在施工过程中，严格执行《关于禁止使用不符合规范要求的竹脚手架的通知》(桂建管字(2003)40 号)的有关规定，不使用竹脚手架。如我方在该项目的承包中出现未按规定执行的情形，我方愿意按照相关规定接受建设单位及有关主管部门的处罚。 </w:t>
      </w:r>
    </w:p>
    <w:p w14:paraId="55210363">
      <w:pPr>
        <w:keepNext w:val="0"/>
        <w:keepLines w:val="0"/>
        <w:widowControl/>
        <w:suppressLineNumbers w:val="0"/>
        <w:ind w:firstLine="420" w:firstLineChars="200"/>
        <w:jc w:val="left"/>
        <w:rPr>
          <w:sz w:val="21"/>
          <w:szCs w:val="21"/>
        </w:rPr>
      </w:pPr>
      <w:r>
        <w:rPr>
          <w:rFonts w:hint="eastAsia" w:ascii="宋体" w:hAnsi="宋体" w:eastAsia="宋体" w:cs="宋体"/>
          <w:color w:val="000000"/>
          <w:kern w:val="0"/>
          <w:sz w:val="21"/>
          <w:szCs w:val="21"/>
          <w:lang w:val="en-US" w:eastAsia="zh-CN" w:bidi="ar"/>
        </w:rPr>
        <w:t xml:space="preserve">5、一旦中标，我方保证严格执行《危险性较大的分部分项工程安全管理办法》(建质(2009)87 </w:t>
      </w:r>
    </w:p>
    <w:p w14:paraId="5078CEAB">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号)的规定，强化对深基坑、高切坡、高大模板、人工挖孔桩、起重吊装、临时活动板房等重大危险源的专项施工方案的编制、论证、审批、实施、检测的风险管理。</w:t>
      </w:r>
    </w:p>
    <w:p w14:paraId="58984DDC">
      <w:pPr>
        <w:pStyle w:val="4"/>
        <w:bidi w:val="0"/>
        <w:rPr>
          <w:rFonts w:hint="eastAsia" w:ascii="宋体" w:hAnsi="宋体" w:eastAsia="宋体" w:cs="宋体"/>
          <w:lang w:val="en-US" w:eastAsia="zh-CN"/>
        </w:rPr>
      </w:pPr>
    </w:p>
    <w:p w14:paraId="400B1C23">
      <w:pPr>
        <w:spacing w:line="400" w:lineRule="exact"/>
        <w:ind w:firstLine="1155" w:firstLineChars="550"/>
        <w:rPr>
          <w:rFonts w:hint="eastAsia" w:ascii="宋体" w:hAnsi="宋体" w:cs="宋体"/>
          <w:sz w:val="21"/>
          <w:szCs w:val="21"/>
        </w:rPr>
      </w:pPr>
      <w:r>
        <w:rPr>
          <w:rFonts w:hint="eastAsia" w:ascii="宋体" w:hAnsi="宋体" w:cs="宋体"/>
          <w:sz w:val="21"/>
          <w:szCs w:val="21"/>
        </w:rPr>
        <w:t>竞标人名称（CA电子签章）：</w:t>
      </w:r>
      <w:r>
        <w:rPr>
          <w:rFonts w:hint="eastAsia" w:ascii="宋体" w:hAnsi="宋体" w:cs="宋体"/>
          <w:sz w:val="21"/>
          <w:szCs w:val="21"/>
          <w:u w:val="single"/>
        </w:rPr>
        <w:t xml:space="preserve">                            </w:t>
      </w:r>
      <w:r>
        <w:rPr>
          <w:rFonts w:ascii="宋体" w:hAnsi="宋体" w:cs="宋体"/>
          <w:sz w:val="21"/>
          <w:szCs w:val="21"/>
          <w:u w:val="single"/>
        </w:rPr>
        <w:t xml:space="preserve"> </w:t>
      </w:r>
      <w:r>
        <w:rPr>
          <w:rFonts w:hint="eastAsia" w:ascii="宋体" w:hAnsi="宋体" w:cs="宋体"/>
          <w:sz w:val="21"/>
          <w:szCs w:val="21"/>
          <w:u w:val="single"/>
        </w:rPr>
        <w:t xml:space="preserve">                    </w:t>
      </w:r>
    </w:p>
    <w:p w14:paraId="3A0429A4">
      <w:pPr>
        <w:spacing w:line="500" w:lineRule="exact"/>
        <w:ind w:firstLine="1155" w:firstLineChars="550"/>
        <w:rPr>
          <w:rFonts w:hint="eastAsia" w:ascii="宋体" w:hAnsi="宋体" w:cs="宋体"/>
          <w:sz w:val="21"/>
          <w:szCs w:val="21"/>
          <w:u w:val="single"/>
        </w:rPr>
      </w:pPr>
      <w:r>
        <w:rPr>
          <w:rFonts w:hint="eastAsia" w:ascii="宋体" w:hAnsi="宋体" w:cs="宋体"/>
          <w:sz w:val="21"/>
          <w:szCs w:val="21"/>
        </w:rPr>
        <w:t>法定代表人或委托代理人（签字或加盖CA电子签字章）：</w:t>
      </w:r>
      <w:r>
        <w:rPr>
          <w:rFonts w:hint="eastAsia" w:ascii="宋体" w:hAnsi="宋体" w:cs="宋体"/>
          <w:sz w:val="21"/>
          <w:szCs w:val="21"/>
          <w:u w:val="single"/>
        </w:rPr>
        <w:t xml:space="preserve">                     </w:t>
      </w:r>
      <w:r>
        <w:rPr>
          <w:rFonts w:ascii="宋体" w:hAnsi="宋体" w:cs="宋体"/>
          <w:sz w:val="21"/>
          <w:szCs w:val="21"/>
          <w:u w:val="single"/>
        </w:rPr>
        <w:t xml:space="preserve"> </w:t>
      </w:r>
      <w:r>
        <w:rPr>
          <w:rFonts w:hint="eastAsia" w:ascii="宋体" w:hAnsi="宋体" w:cs="宋体"/>
          <w:sz w:val="21"/>
          <w:szCs w:val="21"/>
          <w:u w:val="single"/>
        </w:rPr>
        <w:t xml:space="preserve">   </w:t>
      </w:r>
    </w:p>
    <w:p w14:paraId="27D1EA70">
      <w:pPr>
        <w:pStyle w:val="13"/>
        <w:spacing w:line="400" w:lineRule="exact"/>
        <w:ind w:left="420" w:firstLine="4725" w:firstLineChars="2250"/>
        <w:jc w:val="right"/>
        <w:rPr>
          <w:rFonts w:hAnsi="宋体" w:cs="宋体"/>
          <w:sz w:val="21"/>
          <w:szCs w:val="21"/>
        </w:rPr>
      </w:pPr>
      <w:r>
        <w:rPr>
          <w:rFonts w:hint="eastAsia" w:hAnsi="宋体" w:cs="宋体"/>
          <w:sz w:val="21"/>
          <w:szCs w:val="21"/>
        </w:rPr>
        <w:t>日期：  年  月  日</w:t>
      </w:r>
    </w:p>
    <w:p w14:paraId="2AB771E3">
      <w:pPr>
        <w:pStyle w:val="4"/>
        <w:bidi w:val="0"/>
        <w:rPr>
          <w:rFonts w:hint="eastAsia" w:ascii="宋体" w:hAnsi="宋体" w:cs="宋体"/>
          <w:lang w:val="en-US" w:eastAsia="zh-CN"/>
        </w:rPr>
      </w:pPr>
    </w:p>
    <w:p w14:paraId="7C54CA8B">
      <w:pPr>
        <w:pStyle w:val="4"/>
        <w:bidi w:val="0"/>
        <w:rPr>
          <w:rFonts w:hint="eastAsia" w:ascii="宋体" w:hAnsi="宋体" w:cs="宋体"/>
          <w:lang w:val="en-US" w:eastAsia="zh-CN"/>
        </w:rPr>
      </w:pPr>
    </w:p>
    <w:p w14:paraId="7D44B4B0">
      <w:pPr>
        <w:pStyle w:val="4"/>
        <w:bidi w:val="0"/>
        <w:rPr>
          <w:rFonts w:hint="eastAsia" w:ascii="宋体" w:hAnsi="宋体" w:eastAsia="宋体" w:cs="宋体"/>
        </w:rPr>
      </w:pPr>
      <w:r>
        <w:rPr>
          <w:rFonts w:hint="eastAsia" w:ascii="宋体" w:hAnsi="宋体" w:cs="宋体"/>
          <w:lang w:val="en-US" w:eastAsia="zh-CN"/>
        </w:rPr>
        <w:t>8</w:t>
      </w:r>
      <w:r>
        <w:rPr>
          <w:rFonts w:hint="eastAsia" w:ascii="宋体" w:hAnsi="宋体" w:eastAsia="宋体" w:cs="宋体"/>
        </w:rPr>
        <w:t>、除磋商文件规定必须提供以外，供应商认为需要提供的其他证明材料（若有请提供）；</w:t>
      </w:r>
    </w:p>
    <w:p w14:paraId="44878FEA">
      <w:pPr>
        <w:pStyle w:val="2"/>
        <w:rPr>
          <w:rFonts w:ascii="宋体" w:hAnsi="宋体"/>
        </w:rPr>
      </w:pPr>
      <w:r>
        <w:rPr>
          <w:rFonts w:ascii="宋体" w:hAnsi="宋体"/>
        </w:rPr>
        <w:br w:type="page"/>
      </w:r>
      <w:bookmarkStart w:id="260" w:name="_Toc32569"/>
      <w:bookmarkStart w:id="261" w:name="_Toc30804"/>
      <w:r>
        <w:rPr>
          <w:rFonts w:hint="eastAsia" w:ascii="宋体" w:hAnsi="宋体"/>
        </w:rPr>
        <w:t>二、报价文件格式</w:t>
      </w:r>
      <w:bookmarkEnd w:id="236"/>
      <w:r>
        <w:rPr>
          <w:rFonts w:hint="eastAsia" w:ascii="宋体" w:hAnsi="宋体"/>
        </w:rPr>
        <w:t>：</w:t>
      </w:r>
      <w:bookmarkEnd w:id="260"/>
      <w:bookmarkEnd w:id="261"/>
    </w:p>
    <w:p w14:paraId="63C2F838">
      <w:pPr>
        <w:snapToGrid w:val="0"/>
        <w:spacing w:before="156" w:beforeLines="50" w:after="50" w:line="300" w:lineRule="auto"/>
        <w:rPr>
          <w:rFonts w:ascii="宋体" w:hAnsi="宋体"/>
          <w:b/>
          <w:sz w:val="24"/>
        </w:rPr>
      </w:pPr>
    </w:p>
    <w:p w14:paraId="3D9F97EC">
      <w:pPr>
        <w:pStyle w:val="9"/>
        <w:rPr>
          <w:rFonts w:hint="eastAsia" w:ascii="宋体" w:hAnsi="宋体"/>
        </w:rPr>
      </w:pPr>
    </w:p>
    <w:p w14:paraId="4C7F2943">
      <w:pPr>
        <w:snapToGrid w:val="0"/>
        <w:spacing w:before="156" w:beforeLines="50" w:after="50" w:line="300" w:lineRule="auto"/>
        <w:jc w:val="center"/>
        <w:rPr>
          <w:rFonts w:ascii="宋体" w:hAnsi="宋体"/>
          <w:bCs/>
          <w:sz w:val="24"/>
          <w:szCs w:val="20"/>
        </w:rPr>
      </w:pPr>
    </w:p>
    <w:p w14:paraId="4855518C">
      <w:pPr>
        <w:pStyle w:val="9"/>
        <w:rPr>
          <w:rFonts w:hint="eastAsia" w:ascii="宋体" w:hAnsi="宋体"/>
        </w:rPr>
      </w:pPr>
    </w:p>
    <w:p w14:paraId="358D5D54">
      <w:pPr>
        <w:snapToGrid w:val="0"/>
        <w:spacing w:before="156" w:beforeLines="50" w:after="50" w:line="300" w:lineRule="auto"/>
        <w:jc w:val="center"/>
        <w:rPr>
          <w:rFonts w:hint="eastAsia" w:ascii="宋体" w:hAnsi="宋体" w:cs="方正小标宋简体"/>
          <w:sz w:val="84"/>
          <w:szCs w:val="84"/>
        </w:rPr>
      </w:pPr>
      <w:r>
        <w:rPr>
          <w:rFonts w:hint="eastAsia" w:ascii="宋体" w:hAnsi="宋体" w:cs="方正小标宋简体"/>
          <w:sz w:val="84"/>
          <w:szCs w:val="84"/>
        </w:rPr>
        <w:t>报  价  文  件</w:t>
      </w:r>
    </w:p>
    <w:p w14:paraId="22CD9293">
      <w:pPr>
        <w:snapToGrid w:val="0"/>
        <w:spacing w:before="156" w:beforeLines="50" w:after="50" w:line="300" w:lineRule="auto"/>
        <w:jc w:val="center"/>
        <w:rPr>
          <w:rFonts w:hint="eastAsia" w:ascii="宋体" w:hAnsi="宋体"/>
          <w:bCs/>
          <w:sz w:val="32"/>
          <w:szCs w:val="32"/>
        </w:rPr>
      </w:pPr>
    </w:p>
    <w:p w14:paraId="031A48FF">
      <w:pPr>
        <w:snapToGrid w:val="0"/>
        <w:spacing w:before="156" w:beforeLines="50" w:after="50" w:line="300" w:lineRule="auto"/>
        <w:rPr>
          <w:rFonts w:hint="eastAsia" w:ascii="宋体" w:hAnsi="宋体"/>
          <w:b/>
          <w:sz w:val="24"/>
          <w:szCs w:val="20"/>
        </w:rPr>
      </w:pPr>
    </w:p>
    <w:p w14:paraId="7AAB9C52">
      <w:pPr>
        <w:snapToGrid w:val="0"/>
        <w:spacing w:before="156" w:beforeLines="50" w:after="50" w:line="300" w:lineRule="auto"/>
        <w:rPr>
          <w:rFonts w:hint="eastAsia" w:ascii="宋体" w:hAnsi="宋体"/>
          <w:b/>
          <w:sz w:val="24"/>
          <w:szCs w:val="20"/>
        </w:rPr>
      </w:pPr>
    </w:p>
    <w:p w14:paraId="7111B511">
      <w:pPr>
        <w:snapToGrid w:val="0"/>
        <w:spacing w:before="156" w:beforeLines="50" w:after="50" w:line="300" w:lineRule="auto"/>
        <w:rPr>
          <w:rFonts w:hint="eastAsia" w:ascii="宋体" w:hAnsi="宋体"/>
          <w:b/>
          <w:sz w:val="24"/>
          <w:szCs w:val="20"/>
        </w:rPr>
      </w:pPr>
    </w:p>
    <w:p w14:paraId="0A18A699">
      <w:pPr>
        <w:snapToGrid w:val="0"/>
        <w:spacing w:before="156" w:beforeLines="50" w:after="50" w:line="300" w:lineRule="auto"/>
        <w:rPr>
          <w:rFonts w:hint="eastAsia" w:ascii="宋体" w:hAnsi="宋体"/>
          <w:b/>
          <w:sz w:val="24"/>
          <w:szCs w:val="20"/>
        </w:rPr>
      </w:pPr>
    </w:p>
    <w:p w14:paraId="223F4DBC">
      <w:pPr>
        <w:snapToGrid w:val="0"/>
        <w:spacing w:before="156" w:beforeLines="50" w:after="50" w:line="300" w:lineRule="auto"/>
        <w:ind w:firstLine="361" w:firstLineChars="150"/>
        <w:rPr>
          <w:rFonts w:hint="eastAsia" w:ascii="宋体" w:hAnsi="宋体"/>
          <w:b/>
          <w:sz w:val="24"/>
        </w:rPr>
      </w:pPr>
      <w:r>
        <w:rPr>
          <w:rFonts w:hint="eastAsia" w:ascii="宋体" w:hAnsi="宋体"/>
          <w:b/>
          <w:sz w:val="24"/>
        </w:rPr>
        <w:t xml:space="preserve">项目名称： </w:t>
      </w:r>
    </w:p>
    <w:p w14:paraId="5352B19A">
      <w:pPr>
        <w:snapToGrid w:val="0"/>
        <w:spacing w:before="156" w:beforeLines="50" w:after="50" w:line="300" w:lineRule="auto"/>
        <w:ind w:firstLine="361" w:firstLineChars="150"/>
        <w:rPr>
          <w:rFonts w:hint="eastAsia" w:ascii="宋体" w:hAnsi="宋体"/>
          <w:b/>
          <w:sz w:val="24"/>
        </w:rPr>
      </w:pPr>
    </w:p>
    <w:p w14:paraId="503A73B6">
      <w:pPr>
        <w:snapToGrid w:val="0"/>
        <w:spacing w:before="156" w:beforeLines="50" w:after="50" w:line="300" w:lineRule="auto"/>
        <w:ind w:firstLine="361" w:firstLineChars="150"/>
        <w:rPr>
          <w:rFonts w:hint="eastAsia" w:ascii="宋体" w:hAnsi="宋体"/>
          <w:b/>
          <w:sz w:val="24"/>
        </w:rPr>
      </w:pPr>
      <w:r>
        <w:rPr>
          <w:rFonts w:hint="eastAsia" w:ascii="宋体" w:hAnsi="宋体"/>
          <w:b/>
          <w:sz w:val="24"/>
        </w:rPr>
        <w:t xml:space="preserve">项目编号： </w:t>
      </w:r>
    </w:p>
    <w:p w14:paraId="34A21049">
      <w:pPr>
        <w:snapToGrid w:val="0"/>
        <w:spacing w:before="156" w:beforeLines="50" w:after="50" w:line="300" w:lineRule="auto"/>
        <w:rPr>
          <w:rFonts w:hint="eastAsia" w:ascii="宋体" w:hAnsi="宋体"/>
          <w:b/>
          <w:sz w:val="24"/>
        </w:rPr>
      </w:pPr>
    </w:p>
    <w:p w14:paraId="3455F35C">
      <w:pPr>
        <w:snapToGrid w:val="0"/>
        <w:spacing w:before="156" w:beforeLines="50" w:after="50" w:line="300" w:lineRule="auto"/>
        <w:ind w:firstLine="361" w:firstLineChars="150"/>
        <w:rPr>
          <w:rFonts w:hint="eastAsia" w:ascii="宋体" w:hAnsi="宋体"/>
          <w:b/>
          <w:sz w:val="24"/>
        </w:rPr>
      </w:pPr>
      <w:r>
        <w:rPr>
          <w:rFonts w:hint="eastAsia" w:ascii="宋体" w:hAnsi="宋体"/>
          <w:b/>
          <w:sz w:val="24"/>
        </w:rPr>
        <w:t>竞标人名称：</w:t>
      </w:r>
    </w:p>
    <w:p w14:paraId="2923BCAF">
      <w:pPr>
        <w:snapToGrid w:val="0"/>
        <w:spacing w:before="156" w:beforeLines="50" w:after="50" w:line="300" w:lineRule="auto"/>
        <w:ind w:firstLine="361" w:firstLineChars="150"/>
        <w:rPr>
          <w:rFonts w:hint="eastAsia" w:ascii="宋体" w:hAnsi="宋体"/>
          <w:b/>
          <w:sz w:val="24"/>
        </w:rPr>
      </w:pPr>
    </w:p>
    <w:p w14:paraId="75A0B616">
      <w:pPr>
        <w:snapToGrid w:val="0"/>
        <w:spacing w:before="156" w:beforeLines="50" w:after="50" w:line="300" w:lineRule="auto"/>
        <w:ind w:firstLine="361" w:firstLineChars="150"/>
        <w:rPr>
          <w:rFonts w:hint="eastAsia" w:ascii="宋体" w:hAnsi="宋体"/>
          <w:b/>
          <w:sz w:val="24"/>
        </w:rPr>
      </w:pPr>
      <w:r>
        <w:rPr>
          <w:rFonts w:hint="eastAsia" w:ascii="宋体" w:hAnsi="宋体"/>
          <w:b/>
          <w:sz w:val="24"/>
        </w:rPr>
        <w:t>竞标人地址：</w:t>
      </w:r>
    </w:p>
    <w:p w14:paraId="1BF4D2F9">
      <w:pPr>
        <w:pStyle w:val="7"/>
        <w:snapToGrid w:val="0"/>
        <w:spacing w:before="50" w:after="50" w:line="300" w:lineRule="auto"/>
        <w:ind w:firstLine="843" w:firstLineChars="400"/>
        <w:rPr>
          <w:rFonts w:hint="eastAsia" w:ascii="宋体" w:hAnsi="宋体"/>
          <w:b/>
          <w:szCs w:val="24"/>
        </w:rPr>
      </w:pPr>
    </w:p>
    <w:p w14:paraId="56D487DD">
      <w:pPr>
        <w:snapToGrid w:val="0"/>
        <w:spacing w:before="156" w:beforeLines="50" w:after="50" w:line="300" w:lineRule="auto"/>
        <w:rPr>
          <w:rFonts w:hint="eastAsia" w:ascii="宋体" w:hAnsi="宋体"/>
          <w:b/>
          <w:sz w:val="30"/>
          <w:szCs w:val="20"/>
        </w:rPr>
      </w:pPr>
      <w:r>
        <w:rPr>
          <w:rFonts w:hint="eastAsia" w:ascii="宋体" w:hAnsi="宋体"/>
          <w:b/>
          <w:sz w:val="24"/>
        </w:rPr>
        <w:t xml:space="preserve">                                   年  月  日</w:t>
      </w:r>
    </w:p>
    <w:p w14:paraId="2CD56993">
      <w:pPr>
        <w:snapToGrid w:val="0"/>
        <w:spacing w:before="156" w:beforeLines="50" w:after="50" w:line="300" w:lineRule="auto"/>
        <w:jc w:val="left"/>
        <w:rPr>
          <w:rFonts w:hint="eastAsia" w:ascii="宋体" w:hAnsi="宋体"/>
          <w:b/>
          <w:sz w:val="24"/>
        </w:rPr>
      </w:pPr>
    </w:p>
    <w:p w14:paraId="30136BD8">
      <w:pPr>
        <w:snapToGrid w:val="0"/>
        <w:spacing w:before="156" w:beforeLines="50" w:after="50" w:line="300" w:lineRule="auto"/>
        <w:jc w:val="left"/>
        <w:rPr>
          <w:rFonts w:hint="eastAsia" w:ascii="宋体" w:hAnsi="宋体"/>
          <w:b/>
          <w:sz w:val="24"/>
        </w:rPr>
      </w:pPr>
    </w:p>
    <w:p w14:paraId="059CD747">
      <w:pPr>
        <w:snapToGrid w:val="0"/>
        <w:spacing w:before="156" w:beforeLines="50" w:after="50" w:line="300" w:lineRule="auto"/>
        <w:jc w:val="left"/>
        <w:rPr>
          <w:rFonts w:hint="eastAsia" w:ascii="宋体" w:hAnsi="宋体"/>
          <w:b/>
          <w:sz w:val="24"/>
        </w:rPr>
      </w:pPr>
    </w:p>
    <w:p w14:paraId="476C479E">
      <w:pPr>
        <w:snapToGrid w:val="0"/>
        <w:spacing w:before="156" w:beforeLines="50" w:after="50" w:line="300" w:lineRule="auto"/>
        <w:jc w:val="left"/>
        <w:rPr>
          <w:rFonts w:hint="eastAsia" w:ascii="宋体" w:hAnsi="宋体"/>
          <w:sz w:val="24"/>
          <w:szCs w:val="20"/>
        </w:rPr>
      </w:pPr>
      <w:r>
        <w:rPr>
          <w:rFonts w:ascii="宋体" w:hAnsi="宋体"/>
          <w:b/>
          <w:bCs/>
          <w:sz w:val="24"/>
        </w:rPr>
        <w:br w:type="page"/>
      </w:r>
      <w:r>
        <w:rPr>
          <w:rFonts w:hint="eastAsia" w:ascii="宋体" w:hAnsi="宋体"/>
          <w:b/>
          <w:bCs/>
          <w:sz w:val="24"/>
        </w:rPr>
        <w:t>报价文件目录：</w:t>
      </w:r>
    </w:p>
    <w:p w14:paraId="5D8A0E1D">
      <w:pPr>
        <w:snapToGrid w:val="0"/>
        <w:spacing w:before="50" w:after="156" w:afterLines="50" w:line="300" w:lineRule="auto"/>
        <w:jc w:val="left"/>
        <w:rPr>
          <w:rFonts w:hint="eastAsia" w:ascii="宋体" w:hAnsi="宋体"/>
          <w:b/>
          <w:sz w:val="24"/>
        </w:rPr>
      </w:pPr>
      <w:r>
        <w:rPr>
          <w:rFonts w:hint="eastAsia" w:ascii="宋体" w:hAnsi="宋体"/>
          <w:szCs w:val="21"/>
        </w:rPr>
        <w:t>根据招标文件规定及竞标人提供的材料自行编写目录。</w:t>
      </w:r>
    </w:p>
    <w:p w14:paraId="3148DAFE">
      <w:pPr>
        <w:snapToGrid w:val="0"/>
        <w:spacing w:before="156" w:beforeLines="50" w:after="50" w:line="300" w:lineRule="auto"/>
        <w:rPr>
          <w:rFonts w:hint="eastAsia" w:ascii="宋体" w:hAnsi="宋体"/>
          <w:b/>
          <w:sz w:val="24"/>
        </w:rPr>
      </w:pPr>
    </w:p>
    <w:p w14:paraId="7FDAB891">
      <w:pPr>
        <w:pStyle w:val="4"/>
        <w:spacing w:line="360" w:lineRule="auto"/>
        <w:jc w:val="center"/>
        <w:rPr>
          <w:rFonts w:ascii="宋体" w:hAnsi="宋体"/>
          <w:b/>
          <w:sz w:val="30"/>
        </w:rPr>
      </w:pPr>
      <w:bookmarkStart w:id="262" w:name="_Toc32090"/>
      <w:bookmarkStart w:id="263" w:name="_Toc7837"/>
      <w:r>
        <w:rPr>
          <w:rFonts w:hint="eastAsia" w:ascii="宋体" w:hAnsi="宋体"/>
          <w:sz w:val="32"/>
          <w:szCs w:val="32"/>
        </w:rPr>
        <w:t>1、</w:t>
      </w:r>
      <w:bookmarkEnd w:id="262"/>
      <w:bookmarkEnd w:id="263"/>
      <w:r>
        <w:rPr>
          <w:rFonts w:hint="eastAsia" w:ascii="宋体" w:hAnsi="宋体"/>
          <w:b/>
          <w:sz w:val="30"/>
        </w:rPr>
        <w:t>竞标报价表</w:t>
      </w:r>
    </w:p>
    <w:p w14:paraId="6906BD0A">
      <w:pPr>
        <w:snapToGrid w:val="0"/>
        <w:spacing w:before="50" w:after="50" w:line="360" w:lineRule="auto"/>
        <w:rPr>
          <w:rFonts w:ascii="宋体" w:hAnsi="宋体" w:cs="仿宋_GB2312"/>
          <w:szCs w:val="21"/>
          <w:u w:val="single"/>
        </w:rPr>
      </w:pPr>
      <w:r>
        <w:rPr>
          <w:rFonts w:hint="eastAsia" w:ascii="宋体" w:hAnsi="宋体" w:cs="仿宋_GB2312"/>
          <w:szCs w:val="21"/>
        </w:rPr>
        <w:t>项目名称：</w:t>
      </w:r>
      <w:r>
        <w:rPr>
          <w:rFonts w:hint="eastAsia" w:ascii="宋体" w:hAnsi="宋体" w:cs="仿宋_GB2312"/>
          <w:szCs w:val="21"/>
          <w:u w:val="single"/>
        </w:rPr>
        <w:t xml:space="preserve">           </w:t>
      </w:r>
      <w:r>
        <w:rPr>
          <w:rFonts w:ascii="宋体" w:hAnsi="宋体" w:cs="仿宋_GB2312"/>
          <w:szCs w:val="21"/>
          <w:u w:val="single"/>
        </w:rPr>
        <w:t xml:space="preserve">   </w:t>
      </w:r>
      <w:r>
        <w:rPr>
          <w:rFonts w:hint="eastAsia" w:ascii="宋体" w:hAnsi="宋体" w:cs="仿宋_GB2312"/>
          <w:szCs w:val="21"/>
          <w:u w:val="single"/>
        </w:rPr>
        <w:t xml:space="preserve">     </w:t>
      </w:r>
    </w:p>
    <w:p w14:paraId="39CCD6AA">
      <w:pPr>
        <w:snapToGrid w:val="0"/>
        <w:spacing w:before="50" w:after="50" w:line="360" w:lineRule="auto"/>
        <w:rPr>
          <w:rFonts w:ascii="宋体" w:hAnsi="宋体" w:cs="仿宋_GB2312"/>
          <w:szCs w:val="21"/>
        </w:rPr>
      </w:pPr>
      <w:r>
        <w:rPr>
          <w:rFonts w:hint="eastAsia" w:ascii="宋体" w:hAnsi="宋体" w:cs="仿宋_GB2312"/>
          <w:szCs w:val="21"/>
        </w:rPr>
        <w:t>项目编号：</w:t>
      </w:r>
      <w:r>
        <w:rPr>
          <w:rFonts w:hint="eastAsia" w:ascii="宋体" w:hAnsi="宋体" w:cs="仿宋_GB2312"/>
          <w:szCs w:val="21"/>
          <w:u w:val="single"/>
        </w:rPr>
        <w:t xml:space="preserve">                   </w:t>
      </w:r>
      <w:r>
        <w:rPr>
          <w:rFonts w:hint="eastAsia" w:ascii="宋体" w:hAnsi="宋体" w:cs="仿宋_GB2312"/>
          <w:szCs w:val="21"/>
        </w:rPr>
        <w:t xml:space="preserve">    </w:t>
      </w:r>
      <w:r>
        <w:rPr>
          <w:rFonts w:ascii="宋体" w:hAnsi="宋体" w:cs="仿宋_GB2312"/>
          <w:szCs w:val="21"/>
        </w:rPr>
        <w:t xml:space="preserve">                                </w:t>
      </w:r>
      <w:r>
        <w:rPr>
          <w:rFonts w:hint="eastAsia" w:ascii="宋体" w:hAnsi="宋体" w:cs="仿宋_GB2312"/>
          <w:szCs w:val="21"/>
        </w:rPr>
        <w:t>单位：元</w:t>
      </w:r>
    </w:p>
    <w:tbl>
      <w:tblPr>
        <w:tblStyle w:val="20"/>
        <w:tblW w:w="934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20"/>
        <w:gridCol w:w="6526"/>
      </w:tblGrid>
      <w:tr w14:paraId="0F9F6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17" w:hRule="atLeast"/>
        </w:trPr>
        <w:tc>
          <w:tcPr>
            <w:tcW w:w="2820" w:type="dxa"/>
            <w:noWrap w:val="0"/>
            <w:vAlign w:val="center"/>
          </w:tcPr>
          <w:p w14:paraId="7DA53439">
            <w:pPr>
              <w:snapToGrid w:val="0"/>
              <w:spacing w:before="50" w:after="50" w:line="360" w:lineRule="auto"/>
              <w:jc w:val="center"/>
              <w:rPr>
                <w:rFonts w:hint="eastAsia" w:ascii="宋体" w:hAnsi="宋体" w:cs="仿宋_GB2312"/>
                <w:szCs w:val="21"/>
              </w:rPr>
            </w:pPr>
            <w:r>
              <w:rPr>
                <w:rFonts w:hint="eastAsia" w:ascii="宋体" w:hAnsi="宋体" w:cs="仿宋_GB2312"/>
                <w:szCs w:val="21"/>
              </w:rPr>
              <w:t>竞标报价</w:t>
            </w:r>
          </w:p>
        </w:tc>
        <w:tc>
          <w:tcPr>
            <w:tcW w:w="6526" w:type="dxa"/>
            <w:noWrap w:val="0"/>
            <w:vAlign w:val="center"/>
          </w:tcPr>
          <w:p w14:paraId="37D19D54">
            <w:pPr>
              <w:snapToGrid w:val="0"/>
              <w:spacing w:before="50" w:after="50" w:line="360" w:lineRule="auto"/>
              <w:rPr>
                <w:rFonts w:hint="eastAsia" w:ascii="宋体" w:hAnsi="宋体" w:cs="仿宋_GB2312"/>
                <w:szCs w:val="21"/>
              </w:rPr>
            </w:pPr>
            <w:r>
              <w:rPr>
                <w:rFonts w:hint="eastAsia" w:ascii="宋体" w:hAnsi="宋体" w:cs="宋体"/>
                <w:szCs w:val="21"/>
                <w:lang w:val="zh-CN" w:bidi="zh-CN"/>
              </w:rPr>
              <w:t>人民币（大写）</w:t>
            </w:r>
            <w:r>
              <w:rPr>
                <w:rFonts w:hint="eastAsia" w:ascii="宋体" w:hAnsi="宋体" w:cs="宋体"/>
                <w:szCs w:val="21"/>
                <w:u w:val="single"/>
                <w:lang w:val="zh-CN" w:bidi="zh-CN"/>
              </w:rPr>
              <w:t xml:space="preserve"> </w:t>
            </w:r>
            <w:r>
              <w:rPr>
                <w:rFonts w:ascii="宋体" w:hAnsi="宋体" w:cs="宋体"/>
                <w:szCs w:val="21"/>
                <w:u w:val="single"/>
                <w:lang w:val="zh-CN" w:bidi="zh-CN"/>
              </w:rPr>
              <w:t xml:space="preserve">                  </w:t>
            </w:r>
            <w:r>
              <w:rPr>
                <w:rFonts w:hint="eastAsia" w:ascii="宋体" w:hAnsi="宋体" w:cs="宋体"/>
                <w:szCs w:val="21"/>
                <w:lang w:val="zh-CN" w:bidi="zh-CN"/>
              </w:rPr>
              <w:t>（¥</w:t>
            </w:r>
            <w:r>
              <w:rPr>
                <w:rFonts w:hint="eastAsia" w:ascii="宋体" w:hAnsi="宋体" w:cs="宋体"/>
                <w:szCs w:val="21"/>
                <w:u w:val="single"/>
                <w:lang w:val="zh-CN" w:bidi="zh-CN"/>
              </w:rPr>
              <w:tab/>
            </w:r>
            <w:r>
              <w:rPr>
                <w:rFonts w:ascii="宋体" w:hAnsi="宋体" w:cs="宋体"/>
                <w:szCs w:val="21"/>
                <w:u w:val="single"/>
                <w:lang w:val="zh-CN" w:bidi="zh-CN"/>
              </w:rPr>
              <w:t xml:space="preserve">         </w:t>
            </w:r>
            <w:r>
              <w:rPr>
                <w:rFonts w:hint="eastAsia" w:ascii="宋体" w:hAnsi="宋体" w:cs="宋体"/>
                <w:szCs w:val="21"/>
                <w:lang w:val="zh-CN" w:bidi="zh-CN"/>
              </w:rPr>
              <w:t>元）</w:t>
            </w:r>
          </w:p>
        </w:tc>
      </w:tr>
    </w:tbl>
    <w:p w14:paraId="7E998E32">
      <w:pPr>
        <w:snapToGrid w:val="0"/>
        <w:spacing w:before="50" w:after="50" w:line="360" w:lineRule="auto"/>
        <w:rPr>
          <w:rFonts w:ascii="宋体" w:hAnsi="宋体" w:cs="仿宋_GB2312"/>
          <w:sz w:val="24"/>
        </w:rPr>
      </w:pPr>
    </w:p>
    <w:p w14:paraId="7FBBAD3E">
      <w:pPr>
        <w:pStyle w:val="9"/>
        <w:rPr>
          <w:rFonts w:ascii="宋体" w:hAnsi="宋体"/>
        </w:rPr>
      </w:pPr>
    </w:p>
    <w:p w14:paraId="3F781BE9">
      <w:pPr>
        <w:spacing w:line="400" w:lineRule="exact"/>
        <w:ind w:firstLine="1155" w:firstLineChars="550"/>
        <w:rPr>
          <w:rFonts w:hint="eastAsia" w:ascii="宋体" w:hAnsi="宋体" w:cs="宋体"/>
          <w:szCs w:val="21"/>
        </w:rPr>
      </w:pPr>
      <w:r>
        <w:rPr>
          <w:rFonts w:hint="eastAsia" w:ascii="宋体" w:hAnsi="宋体" w:cs="宋体"/>
          <w:szCs w:val="21"/>
        </w:rPr>
        <w:t>竞标人名称（CA电子签章）：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0C88063B">
      <w:pPr>
        <w:spacing w:line="500" w:lineRule="exact"/>
        <w:ind w:firstLine="1155" w:firstLineChars="550"/>
        <w:rPr>
          <w:rFonts w:hint="eastAsia" w:ascii="宋体" w:hAnsi="宋体" w:cs="宋体"/>
          <w:szCs w:val="21"/>
          <w:u w:val="single"/>
        </w:rPr>
      </w:pPr>
      <w:r>
        <w:rPr>
          <w:rFonts w:hint="eastAsia" w:ascii="宋体" w:hAnsi="宋体" w:cs="宋体"/>
          <w:szCs w:val="21"/>
        </w:rPr>
        <w:t>法定代表人或委托代理人（签字或加盖CA电子签字章）：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7D082A6D">
      <w:pPr>
        <w:pStyle w:val="13"/>
        <w:spacing w:line="400" w:lineRule="exact"/>
        <w:ind w:left="420" w:firstLine="4500" w:firstLineChars="2250"/>
        <w:jc w:val="right"/>
        <w:rPr>
          <w:rFonts w:hAnsi="宋体" w:cs="宋体"/>
        </w:rPr>
      </w:pPr>
      <w:r>
        <w:rPr>
          <w:rFonts w:hint="eastAsia" w:hAnsi="宋体" w:cs="宋体"/>
        </w:rPr>
        <w:t>日期：  年  月  日</w:t>
      </w:r>
    </w:p>
    <w:p w14:paraId="0A228697">
      <w:pPr>
        <w:rPr>
          <w:rFonts w:hint="eastAsia" w:ascii="宋体" w:hAnsi="宋体"/>
        </w:rPr>
      </w:pPr>
    </w:p>
    <w:p w14:paraId="1F95F055">
      <w:pPr>
        <w:pStyle w:val="4"/>
        <w:spacing w:line="360" w:lineRule="auto"/>
        <w:jc w:val="center"/>
        <w:rPr>
          <w:rFonts w:hint="eastAsia" w:ascii="宋体" w:hAnsi="宋体"/>
          <w:b/>
          <w:sz w:val="30"/>
        </w:rPr>
      </w:pPr>
      <w:r>
        <w:rPr>
          <w:rFonts w:ascii="宋体" w:hAnsi="宋体"/>
        </w:rPr>
        <w:br w:type="page"/>
      </w:r>
      <w:bookmarkStart w:id="264" w:name="_Toc9104"/>
      <w:bookmarkStart w:id="265" w:name="_Toc2435"/>
      <w:r>
        <w:rPr>
          <w:rFonts w:hint="eastAsia" w:ascii="宋体" w:hAnsi="宋体"/>
          <w:sz w:val="32"/>
          <w:szCs w:val="32"/>
        </w:rPr>
        <w:t>2、</w:t>
      </w:r>
      <w:bookmarkEnd w:id="264"/>
      <w:bookmarkEnd w:id="265"/>
      <w:r>
        <w:rPr>
          <w:rFonts w:hint="eastAsia" w:ascii="宋体" w:hAnsi="宋体"/>
          <w:b/>
          <w:sz w:val="30"/>
        </w:rPr>
        <w:t>报价表附录</w:t>
      </w:r>
    </w:p>
    <w:tbl>
      <w:tblPr>
        <w:tblStyle w:val="20"/>
        <w:tblW w:w="9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7658"/>
      </w:tblGrid>
      <w:tr w14:paraId="2F78C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exact"/>
          <w:jc w:val="center"/>
        </w:trPr>
        <w:tc>
          <w:tcPr>
            <w:tcW w:w="1668" w:type="dxa"/>
            <w:noWrap w:val="0"/>
            <w:vAlign w:val="center"/>
          </w:tcPr>
          <w:p w14:paraId="68E13633">
            <w:pPr>
              <w:snapToGrid w:val="0"/>
              <w:spacing w:before="50" w:after="50" w:line="300" w:lineRule="auto"/>
              <w:jc w:val="center"/>
              <w:rPr>
                <w:rFonts w:ascii="宋体" w:hAnsi="宋体"/>
                <w:b/>
                <w:bCs/>
                <w:szCs w:val="21"/>
              </w:rPr>
            </w:pPr>
            <w:r>
              <w:rPr>
                <w:rFonts w:hint="eastAsia" w:ascii="宋体" w:hAnsi="宋体"/>
                <w:b/>
                <w:bCs/>
                <w:szCs w:val="21"/>
              </w:rPr>
              <w:t>序号</w:t>
            </w:r>
          </w:p>
        </w:tc>
        <w:tc>
          <w:tcPr>
            <w:tcW w:w="7658" w:type="dxa"/>
            <w:noWrap w:val="0"/>
            <w:vAlign w:val="center"/>
          </w:tcPr>
          <w:p w14:paraId="7271F558">
            <w:pPr>
              <w:snapToGrid w:val="0"/>
              <w:spacing w:before="50" w:after="50" w:line="300" w:lineRule="auto"/>
              <w:jc w:val="center"/>
              <w:rPr>
                <w:rFonts w:ascii="宋体" w:hAnsi="宋体"/>
                <w:b/>
                <w:bCs/>
                <w:szCs w:val="21"/>
              </w:rPr>
            </w:pPr>
            <w:r>
              <w:rPr>
                <w:rFonts w:hint="eastAsia" w:ascii="宋体" w:hAnsi="宋体"/>
                <w:b/>
                <w:bCs/>
                <w:szCs w:val="21"/>
              </w:rPr>
              <w:t>内容</w:t>
            </w:r>
          </w:p>
        </w:tc>
      </w:tr>
      <w:tr w14:paraId="7FA0F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exact"/>
          <w:jc w:val="center"/>
        </w:trPr>
        <w:tc>
          <w:tcPr>
            <w:tcW w:w="1668" w:type="dxa"/>
            <w:noWrap w:val="0"/>
            <w:vAlign w:val="center"/>
          </w:tcPr>
          <w:p w14:paraId="6639C5A1">
            <w:pPr>
              <w:snapToGrid w:val="0"/>
              <w:spacing w:before="50" w:after="50" w:line="300" w:lineRule="auto"/>
              <w:jc w:val="center"/>
              <w:rPr>
                <w:rFonts w:ascii="宋体" w:hAnsi="宋体"/>
                <w:szCs w:val="21"/>
              </w:rPr>
            </w:pPr>
            <w:r>
              <w:rPr>
                <w:rFonts w:hint="eastAsia" w:ascii="宋体" w:hAnsi="宋体"/>
                <w:szCs w:val="21"/>
              </w:rPr>
              <w:t>1</w:t>
            </w:r>
          </w:p>
        </w:tc>
        <w:tc>
          <w:tcPr>
            <w:tcW w:w="7658" w:type="dxa"/>
            <w:noWrap w:val="0"/>
            <w:vAlign w:val="center"/>
          </w:tcPr>
          <w:p w14:paraId="36CBA8CA">
            <w:pPr>
              <w:snapToGrid w:val="0"/>
              <w:spacing w:before="50" w:after="50" w:line="300" w:lineRule="auto"/>
              <w:jc w:val="left"/>
              <w:rPr>
                <w:rFonts w:ascii="宋体" w:hAnsi="宋体"/>
                <w:szCs w:val="21"/>
              </w:rPr>
            </w:pPr>
            <w:r>
              <w:rPr>
                <w:rFonts w:hint="eastAsia" w:ascii="宋体" w:hAnsi="宋体"/>
                <w:szCs w:val="21"/>
              </w:rPr>
              <w:t>施工企业资质等级：</w:t>
            </w:r>
            <w:r>
              <w:rPr>
                <w:rFonts w:hint="eastAsia" w:ascii="宋体" w:hAnsi="宋体"/>
                <w:szCs w:val="21"/>
                <w:u w:val="single"/>
              </w:rPr>
              <w:t xml:space="preserve"> </w:t>
            </w:r>
            <w:r>
              <w:rPr>
                <w:rFonts w:ascii="宋体" w:hAnsi="宋体"/>
                <w:szCs w:val="21"/>
                <w:u w:val="single"/>
              </w:rPr>
              <w:t xml:space="preserve">                  </w:t>
            </w:r>
          </w:p>
        </w:tc>
      </w:tr>
      <w:tr w14:paraId="4F525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exact"/>
          <w:jc w:val="center"/>
        </w:trPr>
        <w:tc>
          <w:tcPr>
            <w:tcW w:w="1668" w:type="dxa"/>
            <w:noWrap w:val="0"/>
            <w:vAlign w:val="center"/>
          </w:tcPr>
          <w:p w14:paraId="6859EE57">
            <w:pPr>
              <w:snapToGrid w:val="0"/>
              <w:spacing w:before="50" w:after="50" w:line="300" w:lineRule="auto"/>
              <w:jc w:val="center"/>
              <w:rPr>
                <w:rFonts w:ascii="宋体" w:hAnsi="宋体"/>
                <w:szCs w:val="21"/>
              </w:rPr>
            </w:pPr>
            <w:r>
              <w:rPr>
                <w:rFonts w:hint="eastAsia" w:ascii="宋体" w:hAnsi="宋体"/>
                <w:szCs w:val="21"/>
              </w:rPr>
              <w:t>2</w:t>
            </w:r>
          </w:p>
        </w:tc>
        <w:tc>
          <w:tcPr>
            <w:tcW w:w="7658" w:type="dxa"/>
            <w:noWrap w:val="0"/>
            <w:vAlign w:val="center"/>
          </w:tcPr>
          <w:p w14:paraId="223C7977">
            <w:pPr>
              <w:snapToGrid w:val="0"/>
              <w:spacing w:before="50" w:after="50" w:line="300" w:lineRule="auto"/>
              <w:jc w:val="left"/>
              <w:rPr>
                <w:rFonts w:hint="eastAsia" w:ascii="宋体" w:hAnsi="宋体"/>
                <w:szCs w:val="21"/>
              </w:rPr>
            </w:pPr>
            <w:r>
              <w:rPr>
                <w:rFonts w:hint="eastAsia" w:ascii="宋体" w:hAnsi="宋体"/>
                <w:szCs w:val="21"/>
              </w:rPr>
              <w:t>项目经理姓名：</w:t>
            </w:r>
            <w:r>
              <w:rPr>
                <w:rFonts w:hint="eastAsia" w:ascii="宋体" w:hAnsi="宋体"/>
                <w:szCs w:val="21"/>
                <w:u w:val="single"/>
              </w:rPr>
              <w:t xml:space="preserve"> </w:t>
            </w:r>
            <w:r>
              <w:rPr>
                <w:rFonts w:ascii="宋体" w:hAnsi="宋体"/>
                <w:szCs w:val="21"/>
                <w:u w:val="single"/>
              </w:rPr>
              <w:t xml:space="preserve">                      </w:t>
            </w:r>
          </w:p>
          <w:p w14:paraId="0C0F191C">
            <w:pPr>
              <w:snapToGrid w:val="0"/>
              <w:spacing w:before="50" w:after="50" w:line="300" w:lineRule="auto"/>
              <w:jc w:val="left"/>
              <w:rPr>
                <w:rFonts w:ascii="宋体" w:hAnsi="宋体"/>
                <w:szCs w:val="21"/>
              </w:rPr>
            </w:pPr>
            <w:r>
              <w:rPr>
                <w:rFonts w:hint="eastAsia" w:ascii="宋体" w:hAnsi="宋体"/>
                <w:szCs w:val="21"/>
              </w:rPr>
              <w:t>注册建造师证书专业、等级：</w:t>
            </w:r>
            <w:r>
              <w:rPr>
                <w:rFonts w:hint="eastAsia" w:ascii="宋体" w:hAnsi="宋体"/>
                <w:szCs w:val="21"/>
                <w:u w:val="single"/>
              </w:rPr>
              <w:t xml:space="preserve"> </w:t>
            </w:r>
            <w:r>
              <w:rPr>
                <w:rFonts w:ascii="宋体" w:hAnsi="宋体"/>
                <w:szCs w:val="21"/>
                <w:u w:val="single"/>
              </w:rPr>
              <w:t xml:space="preserve">          </w:t>
            </w:r>
          </w:p>
        </w:tc>
      </w:tr>
      <w:tr w14:paraId="53A43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exact"/>
          <w:jc w:val="center"/>
        </w:trPr>
        <w:tc>
          <w:tcPr>
            <w:tcW w:w="1668" w:type="dxa"/>
            <w:noWrap w:val="0"/>
            <w:vAlign w:val="center"/>
          </w:tcPr>
          <w:p w14:paraId="7A58CF9A">
            <w:pPr>
              <w:snapToGrid w:val="0"/>
              <w:spacing w:before="50" w:after="50" w:line="300" w:lineRule="auto"/>
              <w:jc w:val="center"/>
              <w:rPr>
                <w:rFonts w:ascii="宋体" w:hAnsi="宋体"/>
                <w:szCs w:val="21"/>
              </w:rPr>
            </w:pPr>
            <w:r>
              <w:rPr>
                <w:rFonts w:hint="eastAsia" w:ascii="宋体" w:hAnsi="宋体"/>
                <w:szCs w:val="21"/>
              </w:rPr>
              <w:t>3</w:t>
            </w:r>
          </w:p>
        </w:tc>
        <w:tc>
          <w:tcPr>
            <w:tcW w:w="7658" w:type="dxa"/>
            <w:noWrap w:val="0"/>
            <w:vAlign w:val="center"/>
          </w:tcPr>
          <w:p w14:paraId="6AF65693">
            <w:pPr>
              <w:snapToGrid w:val="0"/>
              <w:spacing w:before="50" w:after="50" w:line="300" w:lineRule="auto"/>
              <w:jc w:val="left"/>
              <w:rPr>
                <w:rFonts w:ascii="宋体" w:hAnsi="宋体"/>
                <w:szCs w:val="21"/>
              </w:rPr>
            </w:pPr>
            <w:r>
              <w:rPr>
                <w:rFonts w:hint="eastAsia" w:ascii="宋体" w:hAnsi="宋体"/>
                <w:szCs w:val="21"/>
              </w:rPr>
              <w:t>竞标总报价：</w:t>
            </w:r>
            <w:r>
              <w:rPr>
                <w:rFonts w:hint="eastAsia" w:ascii="宋体" w:hAnsi="宋体" w:cs="宋体"/>
                <w:szCs w:val="21"/>
                <w:lang w:val="zh-CN" w:bidi="zh-CN"/>
              </w:rPr>
              <w:t>人民币（大写）</w:t>
            </w:r>
            <w:r>
              <w:rPr>
                <w:rFonts w:hint="eastAsia" w:ascii="宋体" w:hAnsi="宋体" w:cs="宋体"/>
                <w:szCs w:val="21"/>
                <w:u w:val="single"/>
                <w:lang w:val="zh-CN" w:bidi="zh-CN"/>
              </w:rPr>
              <w:t xml:space="preserve"> </w:t>
            </w:r>
            <w:r>
              <w:rPr>
                <w:rFonts w:ascii="宋体" w:hAnsi="宋体" w:cs="宋体"/>
                <w:szCs w:val="21"/>
                <w:u w:val="single"/>
                <w:lang w:val="zh-CN" w:bidi="zh-CN"/>
              </w:rPr>
              <w:t xml:space="preserve">                  </w:t>
            </w:r>
            <w:r>
              <w:rPr>
                <w:rFonts w:hint="eastAsia" w:ascii="宋体" w:hAnsi="宋体" w:cs="宋体"/>
                <w:szCs w:val="21"/>
                <w:lang w:val="zh-CN" w:bidi="zh-CN"/>
              </w:rPr>
              <w:t>（¥</w:t>
            </w:r>
            <w:r>
              <w:rPr>
                <w:rFonts w:hint="eastAsia" w:ascii="宋体" w:hAnsi="宋体" w:cs="宋体"/>
                <w:szCs w:val="21"/>
                <w:u w:val="single"/>
                <w:lang w:val="zh-CN" w:bidi="zh-CN"/>
              </w:rPr>
              <w:tab/>
            </w:r>
            <w:r>
              <w:rPr>
                <w:rFonts w:ascii="宋体" w:hAnsi="宋体" w:cs="宋体"/>
                <w:szCs w:val="21"/>
                <w:u w:val="single"/>
                <w:lang w:val="zh-CN" w:bidi="zh-CN"/>
              </w:rPr>
              <w:t xml:space="preserve">         </w:t>
            </w:r>
            <w:r>
              <w:rPr>
                <w:rFonts w:hint="eastAsia" w:ascii="宋体" w:hAnsi="宋体" w:cs="宋体"/>
                <w:szCs w:val="21"/>
                <w:lang w:val="zh-CN" w:bidi="zh-CN"/>
              </w:rPr>
              <w:t>元）</w:t>
            </w:r>
          </w:p>
        </w:tc>
      </w:tr>
      <w:tr w14:paraId="759E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exact"/>
          <w:jc w:val="center"/>
        </w:trPr>
        <w:tc>
          <w:tcPr>
            <w:tcW w:w="1668" w:type="dxa"/>
            <w:noWrap w:val="0"/>
            <w:vAlign w:val="center"/>
          </w:tcPr>
          <w:p w14:paraId="7DB1246E">
            <w:pPr>
              <w:snapToGrid w:val="0"/>
              <w:spacing w:before="50" w:after="50" w:line="300" w:lineRule="auto"/>
              <w:jc w:val="center"/>
              <w:rPr>
                <w:rFonts w:hint="eastAsia" w:ascii="宋体" w:hAnsi="宋体"/>
                <w:szCs w:val="21"/>
              </w:rPr>
            </w:pPr>
            <w:r>
              <w:rPr>
                <w:rFonts w:hint="eastAsia" w:ascii="宋体" w:hAnsi="宋体"/>
                <w:szCs w:val="21"/>
              </w:rPr>
              <w:t>4</w:t>
            </w:r>
          </w:p>
        </w:tc>
        <w:tc>
          <w:tcPr>
            <w:tcW w:w="7658" w:type="dxa"/>
            <w:noWrap w:val="0"/>
            <w:vAlign w:val="center"/>
          </w:tcPr>
          <w:p w14:paraId="332399F2">
            <w:pPr>
              <w:snapToGrid w:val="0"/>
              <w:spacing w:before="50" w:after="50" w:line="300" w:lineRule="auto"/>
              <w:jc w:val="left"/>
              <w:rPr>
                <w:rFonts w:hint="eastAsia" w:ascii="宋体" w:hAnsi="宋体"/>
                <w:szCs w:val="21"/>
              </w:rPr>
            </w:pPr>
            <w:r>
              <w:rPr>
                <w:rFonts w:hint="eastAsia" w:ascii="宋体" w:hAnsi="宋体"/>
                <w:szCs w:val="21"/>
              </w:rPr>
              <w:t>合同履行期限：</w:t>
            </w:r>
            <w:r>
              <w:rPr>
                <w:rFonts w:hint="eastAsia" w:ascii="宋体" w:hAnsi="宋体"/>
                <w:szCs w:val="21"/>
                <w:u w:val="single"/>
              </w:rPr>
              <w:t xml:space="preserve">    </w:t>
            </w:r>
            <w:r>
              <w:rPr>
                <w:rFonts w:hint="eastAsia" w:ascii="宋体" w:hAnsi="宋体"/>
                <w:szCs w:val="21"/>
              </w:rPr>
              <w:t>日历天（工期）</w:t>
            </w:r>
          </w:p>
        </w:tc>
      </w:tr>
      <w:tr w14:paraId="64022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exact"/>
          <w:jc w:val="center"/>
        </w:trPr>
        <w:tc>
          <w:tcPr>
            <w:tcW w:w="1668" w:type="dxa"/>
            <w:noWrap w:val="0"/>
            <w:vAlign w:val="center"/>
          </w:tcPr>
          <w:p w14:paraId="07314D7E">
            <w:pPr>
              <w:snapToGrid w:val="0"/>
              <w:spacing w:before="50" w:after="50" w:line="300" w:lineRule="auto"/>
              <w:jc w:val="center"/>
              <w:rPr>
                <w:rFonts w:hint="eastAsia" w:ascii="宋体" w:hAnsi="宋体"/>
                <w:szCs w:val="21"/>
              </w:rPr>
            </w:pPr>
            <w:r>
              <w:rPr>
                <w:rFonts w:hint="eastAsia" w:ascii="宋体" w:hAnsi="宋体"/>
                <w:szCs w:val="21"/>
              </w:rPr>
              <w:t>5</w:t>
            </w:r>
          </w:p>
        </w:tc>
        <w:tc>
          <w:tcPr>
            <w:tcW w:w="7658" w:type="dxa"/>
            <w:noWrap w:val="0"/>
            <w:vAlign w:val="center"/>
          </w:tcPr>
          <w:p w14:paraId="0F3F3C97">
            <w:pPr>
              <w:snapToGrid w:val="0"/>
              <w:spacing w:before="50" w:after="50" w:line="300" w:lineRule="auto"/>
              <w:jc w:val="left"/>
              <w:rPr>
                <w:rFonts w:hint="eastAsia" w:ascii="宋体" w:hAnsi="宋体"/>
                <w:szCs w:val="21"/>
              </w:rPr>
            </w:pPr>
            <w:r>
              <w:rPr>
                <w:rFonts w:hint="eastAsia" w:ascii="宋体" w:hAnsi="宋体"/>
                <w:szCs w:val="21"/>
              </w:rPr>
              <w:t>质量标准：</w:t>
            </w:r>
            <w:r>
              <w:rPr>
                <w:rFonts w:hint="eastAsia" w:ascii="宋体" w:hAnsi="宋体"/>
                <w:szCs w:val="21"/>
                <w:u w:val="single"/>
              </w:rPr>
              <w:t xml:space="preserve"> </w:t>
            </w:r>
            <w:r>
              <w:rPr>
                <w:rFonts w:ascii="宋体" w:hAnsi="宋体"/>
                <w:szCs w:val="21"/>
                <w:u w:val="single"/>
              </w:rPr>
              <w:t xml:space="preserve">              </w:t>
            </w:r>
          </w:p>
        </w:tc>
      </w:tr>
      <w:tr w14:paraId="1528D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exact"/>
          <w:jc w:val="center"/>
        </w:trPr>
        <w:tc>
          <w:tcPr>
            <w:tcW w:w="1668" w:type="dxa"/>
            <w:noWrap w:val="0"/>
            <w:vAlign w:val="center"/>
          </w:tcPr>
          <w:p w14:paraId="6481C81C">
            <w:pPr>
              <w:snapToGrid w:val="0"/>
              <w:spacing w:before="50" w:after="50" w:line="300" w:lineRule="auto"/>
              <w:jc w:val="center"/>
              <w:rPr>
                <w:rFonts w:hint="eastAsia" w:ascii="宋体" w:hAnsi="宋体"/>
                <w:szCs w:val="21"/>
              </w:rPr>
            </w:pPr>
            <w:r>
              <w:rPr>
                <w:rFonts w:hint="eastAsia" w:ascii="宋体" w:hAnsi="宋体"/>
                <w:szCs w:val="21"/>
              </w:rPr>
              <w:t>6</w:t>
            </w:r>
          </w:p>
        </w:tc>
        <w:tc>
          <w:tcPr>
            <w:tcW w:w="7658" w:type="dxa"/>
            <w:noWrap w:val="0"/>
            <w:vAlign w:val="center"/>
          </w:tcPr>
          <w:p w14:paraId="306ACFD8">
            <w:pPr>
              <w:snapToGrid w:val="0"/>
              <w:spacing w:before="50" w:after="50" w:line="300" w:lineRule="auto"/>
              <w:jc w:val="left"/>
              <w:rPr>
                <w:rFonts w:hint="eastAsia" w:ascii="宋体" w:hAnsi="宋体"/>
                <w:szCs w:val="21"/>
              </w:rPr>
            </w:pPr>
            <w:r>
              <w:rPr>
                <w:rFonts w:hint="eastAsia" w:ascii="宋体" w:hAnsi="宋体" w:cs="宋体"/>
                <w:szCs w:val="21"/>
              </w:rPr>
              <w:t>竞标有效期</w:t>
            </w:r>
            <w:r>
              <w:rPr>
                <w:rFonts w:hint="eastAsia" w:ascii="宋体" w:hAnsi="宋体"/>
                <w:szCs w:val="21"/>
              </w:rPr>
              <w:t>：</w:t>
            </w:r>
            <w:r>
              <w:rPr>
                <w:rFonts w:hint="eastAsia" w:ascii="宋体" w:hAnsi="宋体"/>
                <w:szCs w:val="21"/>
                <w:u w:val="single"/>
              </w:rPr>
              <w:t xml:space="preserve"> </w:t>
            </w:r>
            <w:r>
              <w:rPr>
                <w:rFonts w:ascii="宋体" w:hAnsi="宋体"/>
                <w:szCs w:val="21"/>
                <w:u w:val="single"/>
              </w:rPr>
              <w:t xml:space="preserve">             </w:t>
            </w:r>
          </w:p>
        </w:tc>
      </w:tr>
      <w:tr w14:paraId="2FBBD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exact"/>
          <w:jc w:val="center"/>
        </w:trPr>
        <w:tc>
          <w:tcPr>
            <w:tcW w:w="1668" w:type="dxa"/>
            <w:noWrap w:val="0"/>
            <w:vAlign w:val="center"/>
          </w:tcPr>
          <w:p w14:paraId="503F755A">
            <w:pPr>
              <w:snapToGrid w:val="0"/>
              <w:spacing w:before="50" w:after="50" w:line="300" w:lineRule="auto"/>
              <w:jc w:val="center"/>
              <w:rPr>
                <w:rFonts w:hint="eastAsia" w:ascii="宋体" w:hAnsi="宋体"/>
                <w:szCs w:val="21"/>
              </w:rPr>
            </w:pPr>
            <w:r>
              <w:rPr>
                <w:rFonts w:hint="eastAsia" w:ascii="宋体" w:hAnsi="宋体"/>
                <w:szCs w:val="21"/>
              </w:rPr>
              <w:t>7</w:t>
            </w:r>
          </w:p>
        </w:tc>
        <w:tc>
          <w:tcPr>
            <w:tcW w:w="7658" w:type="dxa"/>
            <w:noWrap w:val="0"/>
            <w:vAlign w:val="center"/>
          </w:tcPr>
          <w:p w14:paraId="640ED069">
            <w:pPr>
              <w:snapToGrid w:val="0"/>
              <w:spacing w:before="50" w:after="50" w:line="300" w:lineRule="auto"/>
              <w:jc w:val="left"/>
              <w:rPr>
                <w:rFonts w:hint="eastAsia" w:ascii="宋体" w:hAnsi="宋体"/>
                <w:szCs w:val="21"/>
              </w:rPr>
            </w:pPr>
            <w:r>
              <w:rPr>
                <w:rFonts w:hint="eastAsia" w:ascii="宋体" w:hAnsi="宋体"/>
                <w:szCs w:val="21"/>
              </w:rPr>
              <w:t>其他：</w:t>
            </w:r>
            <w:r>
              <w:rPr>
                <w:rFonts w:hint="eastAsia" w:ascii="宋体" w:hAnsi="宋体"/>
                <w:szCs w:val="21"/>
                <w:u w:val="single"/>
              </w:rPr>
              <w:t xml:space="preserve"> </w:t>
            </w:r>
            <w:r>
              <w:rPr>
                <w:rFonts w:ascii="宋体" w:hAnsi="宋体"/>
                <w:szCs w:val="21"/>
                <w:u w:val="single"/>
              </w:rPr>
              <w:t xml:space="preserve">                  </w:t>
            </w:r>
          </w:p>
        </w:tc>
      </w:tr>
    </w:tbl>
    <w:p w14:paraId="2B08EE28">
      <w:pPr>
        <w:pStyle w:val="26"/>
        <w:tabs>
          <w:tab w:val="left" w:pos="6938"/>
          <w:tab w:val="left" w:pos="7567"/>
          <w:tab w:val="left" w:pos="8340"/>
        </w:tabs>
        <w:spacing w:line="300" w:lineRule="auto"/>
        <w:ind w:firstLine="2400" w:firstLineChars="1000"/>
        <w:jc w:val="right"/>
        <w:rPr>
          <w:rFonts w:ascii="宋体" w:hAnsi="宋体" w:eastAsia="宋体" w:cs="宋体"/>
          <w:color w:val="auto"/>
          <w:lang w:val="zh-CN" w:eastAsia="zh-CN" w:bidi="zh-CN"/>
        </w:rPr>
      </w:pPr>
    </w:p>
    <w:p w14:paraId="0995DE91">
      <w:pPr>
        <w:pStyle w:val="26"/>
        <w:tabs>
          <w:tab w:val="left" w:pos="6938"/>
          <w:tab w:val="left" w:pos="7567"/>
          <w:tab w:val="left" w:pos="8340"/>
        </w:tabs>
        <w:spacing w:line="300" w:lineRule="auto"/>
        <w:ind w:firstLine="2400" w:firstLineChars="1000"/>
        <w:jc w:val="right"/>
        <w:rPr>
          <w:rFonts w:ascii="宋体" w:hAnsi="宋体" w:eastAsia="宋体" w:cs="宋体"/>
          <w:color w:val="auto"/>
          <w:lang w:val="zh-CN" w:eastAsia="zh-CN" w:bidi="zh-CN"/>
        </w:rPr>
      </w:pPr>
    </w:p>
    <w:p w14:paraId="45C94233">
      <w:pPr>
        <w:spacing w:line="400" w:lineRule="exact"/>
        <w:ind w:firstLine="1155" w:firstLineChars="550"/>
        <w:rPr>
          <w:rFonts w:hint="eastAsia" w:ascii="宋体" w:hAnsi="宋体" w:cs="宋体"/>
          <w:szCs w:val="21"/>
        </w:rPr>
      </w:pPr>
      <w:bookmarkStart w:id="266" w:name="_Toc19686837"/>
      <w:r>
        <w:rPr>
          <w:rFonts w:hint="eastAsia" w:ascii="宋体" w:hAnsi="宋体" w:cs="宋体"/>
          <w:szCs w:val="21"/>
        </w:rPr>
        <w:t>竞标人名称（CA电子签章）：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2AAA7AC0">
      <w:pPr>
        <w:spacing w:line="500" w:lineRule="exact"/>
        <w:ind w:firstLine="1155" w:firstLineChars="550"/>
        <w:rPr>
          <w:rFonts w:hint="eastAsia" w:ascii="宋体" w:hAnsi="宋体" w:cs="宋体"/>
          <w:szCs w:val="21"/>
          <w:u w:val="single"/>
        </w:rPr>
      </w:pPr>
      <w:r>
        <w:rPr>
          <w:rFonts w:hint="eastAsia" w:ascii="宋体" w:hAnsi="宋体" w:cs="宋体"/>
          <w:szCs w:val="21"/>
        </w:rPr>
        <w:t>法定代表人或委托代理人（签字或加盖CA电子签字章）：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16976294">
      <w:pPr>
        <w:pStyle w:val="13"/>
        <w:spacing w:line="400" w:lineRule="exact"/>
        <w:ind w:left="420" w:firstLine="4500" w:firstLineChars="2250"/>
        <w:jc w:val="right"/>
        <w:rPr>
          <w:rFonts w:hAnsi="宋体" w:cs="宋体"/>
        </w:rPr>
      </w:pPr>
      <w:r>
        <w:rPr>
          <w:rFonts w:hint="eastAsia" w:hAnsi="宋体" w:cs="宋体"/>
        </w:rPr>
        <w:t>日期：  年  月  日</w:t>
      </w:r>
    </w:p>
    <w:p w14:paraId="5067C9BE">
      <w:pPr>
        <w:pStyle w:val="4"/>
        <w:spacing w:line="360" w:lineRule="auto"/>
        <w:rPr>
          <w:rFonts w:hint="eastAsia" w:ascii="宋体" w:hAnsi="宋体"/>
          <w:sz w:val="24"/>
          <w:szCs w:val="24"/>
        </w:rPr>
      </w:pPr>
      <w:r>
        <w:rPr>
          <w:rFonts w:ascii="宋体" w:hAnsi="宋体"/>
          <w:lang w:val="zh-CN" w:bidi="zh-CN"/>
        </w:rPr>
        <w:br w:type="page"/>
      </w:r>
      <w:bookmarkStart w:id="267" w:name="_Toc9533"/>
      <w:bookmarkStart w:id="268" w:name="_Toc723"/>
      <w:r>
        <w:rPr>
          <w:rFonts w:hint="eastAsia" w:ascii="宋体" w:hAnsi="宋体"/>
          <w:sz w:val="32"/>
          <w:szCs w:val="32"/>
        </w:rPr>
        <w:t>3、已标价工程量清单</w:t>
      </w:r>
      <w:bookmarkEnd w:id="267"/>
      <w:bookmarkEnd w:id="268"/>
    </w:p>
    <w:p w14:paraId="3FC01968">
      <w:pPr>
        <w:pStyle w:val="19"/>
        <w:spacing w:line="380" w:lineRule="exact"/>
        <w:ind w:firstLine="404"/>
        <w:rPr>
          <w:rFonts w:hint="eastAsia" w:ascii="宋体" w:hAnsi="宋体" w:eastAsia="宋体"/>
          <w:szCs w:val="21"/>
        </w:rPr>
      </w:pPr>
    </w:p>
    <w:p w14:paraId="0C31CCFC">
      <w:pPr>
        <w:pStyle w:val="19"/>
        <w:spacing w:line="380" w:lineRule="exact"/>
        <w:ind w:firstLine="404"/>
        <w:rPr>
          <w:rFonts w:hint="eastAsia" w:ascii="宋体" w:hAnsi="宋体" w:eastAsia="宋体"/>
          <w:szCs w:val="21"/>
        </w:rPr>
      </w:pPr>
      <w:r>
        <w:rPr>
          <w:rFonts w:hint="eastAsia" w:ascii="宋体" w:hAnsi="宋体" w:eastAsia="宋体"/>
          <w:szCs w:val="21"/>
        </w:rPr>
        <w:t>工程量清单的报价说明详见第五章工程量清单。</w:t>
      </w:r>
    </w:p>
    <w:bookmarkEnd w:id="237"/>
    <w:bookmarkEnd w:id="238"/>
    <w:bookmarkEnd w:id="266"/>
    <w:p w14:paraId="36AFDD07">
      <w:pPr>
        <w:rPr>
          <w:rFonts w:ascii="宋体" w:hAnsi="宋体"/>
        </w:rPr>
      </w:pPr>
    </w:p>
    <w:p w14:paraId="3DE0E23E">
      <w:pPr>
        <w:pStyle w:val="4"/>
        <w:spacing w:line="360" w:lineRule="auto"/>
        <w:rPr>
          <w:rFonts w:hint="eastAsia" w:ascii="宋体" w:hAnsi="宋体"/>
          <w:sz w:val="32"/>
          <w:szCs w:val="32"/>
        </w:rPr>
      </w:pPr>
      <w:bookmarkStart w:id="269" w:name="_Toc5196"/>
      <w:bookmarkStart w:id="270" w:name="_Toc7103"/>
      <w:bookmarkStart w:id="271" w:name="_Toc19686838"/>
      <w:r>
        <w:rPr>
          <w:rFonts w:hint="eastAsia" w:ascii="宋体" w:hAnsi="宋体"/>
          <w:sz w:val="32"/>
          <w:szCs w:val="32"/>
          <w:lang w:val="en-US" w:eastAsia="zh-CN"/>
        </w:rPr>
        <w:t>4</w:t>
      </w:r>
      <w:r>
        <w:rPr>
          <w:rFonts w:hint="eastAsia" w:ascii="宋体" w:hAnsi="宋体"/>
          <w:sz w:val="32"/>
          <w:szCs w:val="32"/>
        </w:rPr>
        <w:t>、除磋商文件规定必须提供以外，供应商认为需要提供的其他证明材料。（若有请提供）</w:t>
      </w:r>
      <w:bookmarkEnd w:id="269"/>
      <w:bookmarkEnd w:id="270"/>
    </w:p>
    <w:p w14:paraId="07565981">
      <w:pPr>
        <w:pStyle w:val="4"/>
        <w:spacing w:line="360" w:lineRule="auto"/>
        <w:rPr>
          <w:rFonts w:hint="eastAsia" w:ascii="宋体" w:hAnsi="宋体"/>
          <w:sz w:val="24"/>
          <w:szCs w:val="24"/>
        </w:rPr>
      </w:pPr>
    </w:p>
    <w:p w14:paraId="4673CB64">
      <w:pPr>
        <w:pStyle w:val="2"/>
        <w:rPr>
          <w:rFonts w:hint="eastAsia" w:ascii="宋体" w:hAnsi="宋体"/>
        </w:rPr>
      </w:pPr>
      <w:r>
        <w:rPr>
          <w:rFonts w:ascii="宋体" w:hAnsi="宋体"/>
        </w:rPr>
        <w:br w:type="page"/>
      </w:r>
      <w:bookmarkStart w:id="272" w:name="_Toc32347"/>
      <w:bookmarkStart w:id="273" w:name="_Toc9032"/>
      <w:r>
        <w:rPr>
          <w:rFonts w:hint="eastAsia" w:ascii="宋体" w:hAnsi="宋体"/>
        </w:rPr>
        <w:t>三、商务技术文件格式</w:t>
      </w:r>
      <w:bookmarkEnd w:id="271"/>
      <w:r>
        <w:rPr>
          <w:rFonts w:hint="eastAsia" w:ascii="宋体" w:hAnsi="宋体"/>
        </w:rPr>
        <w:t>：</w:t>
      </w:r>
      <w:bookmarkEnd w:id="272"/>
      <w:bookmarkEnd w:id="273"/>
      <w:r>
        <w:rPr>
          <w:rFonts w:hint="eastAsia" w:ascii="宋体" w:hAnsi="宋体"/>
        </w:rPr>
        <w:t xml:space="preserve"> </w:t>
      </w:r>
    </w:p>
    <w:p w14:paraId="1DB2F301">
      <w:pPr>
        <w:snapToGrid w:val="0"/>
        <w:spacing w:before="156" w:beforeLines="50" w:after="50" w:line="300" w:lineRule="auto"/>
        <w:rPr>
          <w:rFonts w:hint="eastAsia" w:ascii="宋体" w:hAnsi="宋体"/>
          <w:bCs/>
          <w:sz w:val="32"/>
          <w:szCs w:val="20"/>
        </w:rPr>
      </w:pPr>
    </w:p>
    <w:p w14:paraId="59BE8711">
      <w:pPr>
        <w:snapToGrid w:val="0"/>
        <w:spacing w:before="156" w:beforeLines="50" w:after="50" w:line="300" w:lineRule="auto"/>
        <w:rPr>
          <w:rFonts w:hint="eastAsia" w:ascii="宋体" w:hAnsi="宋体"/>
          <w:sz w:val="24"/>
          <w:szCs w:val="20"/>
        </w:rPr>
      </w:pPr>
    </w:p>
    <w:p w14:paraId="1352FAAD">
      <w:pPr>
        <w:snapToGrid w:val="0"/>
        <w:spacing w:before="156" w:beforeLines="50" w:after="50" w:line="300" w:lineRule="auto"/>
        <w:rPr>
          <w:rFonts w:ascii="宋体" w:hAnsi="宋体"/>
          <w:sz w:val="24"/>
          <w:szCs w:val="20"/>
        </w:rPr>
      </w:pPr>
    </w:p>
    <w:p w14:paraId="026B09CA">
      <w:pPr>
        <w:pStyle w:val="9"/>
        <w:rPr>
          <w:rFonts w:hint="eastAsia" w:ascii="宋体" w:hAnsi="宋体"/>
        </w:rPr>
      </w:pPr>
    </w:p>
    <w:p w14:paraId="699238C7">
      <w:pPr>
        <w:snapToGrid w:val="0"/>
        <w:spacing w:before="156" w:beforeLines="50" w:after="50" w:line="300" w:lineRule="auto"/>
        <w:rPr>
          <w:rFonts w:hint="eastAsia" w:ascii="宋体" w:hAnsi="宋体"/>
          <w:sz w:val="24"/>
          <w:szCs w:val="20"/>
        </w:rPr>
      </w:pPr>
    </w:p>
    <w:p w14:paraId="38010E61">
      <w:pPr>
        <w:snapToGrid w:val="0"/>
        <w:spacing w:before="156" w:beforeLines="50" w:after="50" w:line="300" w:lineRule="auto"/>
        <w:jc w:val="center"/>
        <w:rPr>
          <w:rFonts w:hint="eastAsia" w:ascii="宋体" w:hAnsi="宋体" w:cs="方正小标宋简体"/>
          <w:sz w:val="84"/>
          <w:szCs w:val="84"/>
        </w:rPr>
      </w:pPr>
      <w:r>
        <w:rPr>
          <w:rFonts w:hint="eastAsia" w:ascii="宋体" w:hAnsi="宋体" w:cs="方正小标宋简体"/>
          <w:sz w:val="84"/>
          <w:szCs w:val="84"/>
        </w:rPr>
        <w:t>商 务 技 术 文 件</w:t>
      </w:r>
    </w:p>
    <w:p w14:paraId="007528CE">
      <w:pPr>
        <w:snapToGrid w:val="0"/>
        <w:spacing w:before="156" w:beforeLines="50" w:after="50" w:line="300" w:lineRule="auto"/>
        <w:rPr>
          <w:rFonts w:hint="eastAsia" w:ascii="宋体" w:hAnsi="宋体"/>
          <w:sz w:val="24"/>
          <w:szCs w:val="20"/>
        </w:rPr>
      </w:pPr>
    </w:p>
    <w:p w14:paraId="6518F101">
      <w:pPr>
        <w:snapToGrid w:val="0"/>
        <w:spacing w:before="156" w:beforeLines="50" w:after="50" w:line="300" w:lineRule="auto"/>
        <w:rPr>
          <w:rFonts w:hint="eastAsia" w:ascii="宋体" w:hAnsi="宋体"/>
          <w:sz w:val="24"/>
          <w:szCs w:val="20"/>
        </w:rPr>
      </w:pPr>
    </w:p>
    <w:p w14:paraId="70EA119D">
      <w:pPr>
        <w:snapToGrid w:val="0"/>
        <w:spacing w:before="156" w:beforeLines="50" w:after="50" w:line="300" w:lineRule="auto"/>
        <w:rPr>
          <w:rFonts w:ascii="宋体" w:hAnsi="宋体" w:cs="方正小标宋简体"/>
          <w:b/>
          <w:sz w:val="32"/>
          <w:szCs w:val="32"/>
        </w:rPr>
      </w:pPr>
    </w:p>
    <w:p w14:paraId="113642AB">
      <w:pPr>
        <w:pStyle w:val="9"/>
        <w:rPr>
          <w:rFonts w:hint="eastAsia" w:ascii="宋体" w:hAnsi="宋体"/>
        </w:rPr>
      </w:pPr>
    </w:p>
    <w:p w14:paraId="4A3237FA">
      <w:pPr>
        <w:snapToGrid w:val="0"/>
        <w:spacing w:before="156" w:beforeLines="50" w:after="50" w:line="300" w:lineRule="auto"/>
        <w:ind w:firstLine="542" w:firstLineChars="225"/>
        <w:rPr>
          <w:rFonts w:hint="eastAsia" w:ascii="宋体" w:hAnsi="宋体"/>
          <w:b/>
          <w:sz w:val="24"/>
        </w:rPr>
      </w:pPr>
    </w:p>
    <w:p w14:paraId="1E68D2DC">
      <w:pPr>
        <w:snapToGrid w:val="0"/>
        <w:spacing w:before="156" w:beforeLines="50" w:after="50" w:line="300" w:lineRule="auto"/>
        <w:ind w:firstLine="542" w:firstLineChars="225"/>
        <w:rPr>
          <w:rFonts w:hint="eastAsia" w:ascii="宋体" w:hAnsi="宋体"/>
          <w:b/>
          <w:sz w:val="24"/>
        </w:rPr>
      </w:pPr>
    </w:p>
    <w:p w14:paraId="21490578">
      <w:pPr>
        <w:snapToGrid w:val="0"/>
        <w:spacing w:before="156" w:beforeLines="50" w:after="50" w:line="300" w:lineRule="auto"/>
        <w:ind w:firstLine="542" w:firstLineChars="225"/>
        <w:rPr>
          <w:rFonts w:hint="eastAsia" w:ascii="宋体" w:hAnsi="宋体"/>
          <w:b/>
          <w:sz w:val="24"/>
        </w:rPr>
      </w:pPr>
    </w:p>
    <w:p w14:paraId="25EFC26C">
      <w:pPr>
        <w:snapToGrid w:val="0"/>
        <w:spacing w:before="156" w:beforeLines="50" w:after="50" w:line="300" w:lineRule="auto"/>
        <w:ind w:firstLine="542" w:firstLineChars="225"/>
        <w:rPr>
          <w:rFonts w:hint="eastAsia" w:ascii="宋体" w:hAnsi="宋体"/>
          <w:b/>
          <w:sz w:val="24"/>
        </w:rPr>
      </w:pPr>
      <w:r>
        <w:rPr>
          <w:rFonts w:hint="eastAsia" w:ascii="宋体" w:hAnsi="宋体"/>
          <w:b/>
          <w:sz w:val="24"/>
        </w:rPr>
        <w:t>项目名称：</w:t>
      </w:r>
    </w:p>
    <w:p w14:paraId="46F96E3B">
      <w:pPr>
        <w:snapToGrid w:val="0"/>
        <w:spacing w:before="156" w:beforeLines="50" w:after="50" w:line="300" w:lineRule="auto"/>
        <w:ind w:firstLine="542" w:firstLineChars="225"/>
        <w:rPr>
          <w:rFonts w:hint="eastAsia" w:ascii="宋体" w:hAnsi="宋体"/>
          <w:b/>
          <w:sz w:val="24"/>
          <w:szCs w:val="20"/>
        </w:rPr>
      </w:pPr>
    </w:p>
    <w:p w14:paraId="323B2C56">
      <w:pPr>
        <w:snapToGrid w:val="0"/>
        <w:spacing w:before="156" w:beforeLines="50" w:after="50" w:line="300" w:lineRule="auto"/>
        <w:ind w:firstLine="542" w:firstLineChars="225"/>
        <w:rPr>
          <w:rFonts w:hint="eastAsia" w:ascii="宋体" w:hAnsi="宋体"/>
          <w:b/>
          <w:sz w:val="24"/>
        </w:rPr>
      </w:pPr>
      <w:r>
        <w:rPr>
          <w:rFonts w:hint="eastAsia" w:ascii="宋体" w:hAnsi="宋体"/>
          <w:b/>
          <w:sz w:val="24"/>
        </w:rPr>
        <w:t>项目编号：</w:t>
      </w:r>
    </w:p>
    <w:p w14:paraId="4E5624BE">
      <w:pPr>
        <w:snapToGrid w:val="0"/>
        <w:spacing w:before="156" w:beforeLines="50" w:after="50" w:line="300" w:lineRule="auto"/>
        <w:rPr>
          <w:rFonts w:hint="eastAsia" w:ascii="宋体" w:hAnsi="宋体"/>
          <w:b/>
          <w:sz w:val="24"/>
          <w:szCs w:val="20"/>
        </w:rPr>
      </w:pPr>
    </w:p>
    <w:p w14:paraId="4085B266">
      <w:pPr>
        <w:pStyle w:val="7"/>
        <w:snapToGrid w:val="0"/>
        <w:spacing w:before="50" w:after="50" w:line="300" w:lineRule="auto"/>
        <w:ind w:firstLine="542" w:firstLineChars="225"/>
        <w:rPr>
          <w:rFonts w:hint="eastAsia" w:ascii="宋体" w:hAnsi="宋体"/>
          <w:b/>
          <w:sz w:val="24"/>
          <w:szCs w:val="24"/>
        </w:rPr>
      </w:pPr>
      <w:r>
        <w:rPr>
          <w:rFonts w:hint="eastAsia" w:ascii="宋体" w:hAnsi="宋体"/>
          <w:b/>
          <w:sz w:val="24"/>
          <w:szCs w:val="24"/>
        </w:rPr>
        <w:t>竞标人名称：</w:t>
      </w:r>
    </w:p>
    <w:p w14:paraId="108BB9DB">
      <w:pPr>
        <w:pStyle w:val="7"/>
        <w:snapToGrid w:val="0"/>
        <w:spacing w:before="50" w:after="50" w:line="300" w:lineRule="auto"/>
        <w:ind w:firstLine="542" w:firstLineChars="225"/>
        <w:rPr>
          <w:rFonts w:hint="eastAsia" w:ascii="宋体" w:hAnsi="宋体"/>
          <w:b/>
          <w:sz w:val="24"/>
          <w:szCs w:val="24"/>
        </w:rPr>
      </w:pPr>
    </w:p>
    <w:p w14:paraId="4291C7E2">
      <w:pPr>
        <w:pStyle w:val="7"/>
        <w:snapToGrid w:val="0"/>
        <w:spacing w:before="50" w:after="50" w:line="300" w:lineRule="auto"/>
        <w:ind w:firstLine="542" w:firstLineChars="225"/>
        <w:rPr>
          <w:rFonts w:hint="eastAsia" w:ascii="宋体" w:hAnsi="宋体"/>
          <w:b/>
          <w:sz w:val="24"/>
          <w:szCs w:val="24"/>
        </w:rPr>
      </w:pPr>
      <w:r>
        <w:rPr>
          <w:rFonts w:hint="eastAsia" w:ascii="宋体" w:hAnsi="宋体"/>
          <w:b/>
          <w:sz w:val="24"/>
          <w:szCs w:val="24"/>
        </w:rPr>
        <w:t>竞标人地址：</w:t>
      </w:r>
    </w:p>
    <w:p w14:paraId="55F4CE95">
      <w:pPr>
        <w:pStyle w:val="7"/>
        <w:snapToGrid w:val="0"/>
        <w:spacing w:before="50" w:after="50" w:line="300" w:lineRule="auto"/>
        <w:ind w:firstLine="840" w:firstLineChars="400"/>
        <w:rPr>
          <w:rFonts w:hint="eastAsia" w:ascii="宋体" w:hAnsi="宋体"/>
          <w:bCs/>
          <w:szCs w:val="24"/>
        </w:rPr>
      </w:pPr>
    </w:p>
    <w:p w14:paraId="3F6C07E4">
      <w:pPr>
        <w:snapToGrid w:val="0"/>
        <w:spacing w:before="156" w:beforeLines="50" w:after="50" w:line="300" w:lineRule="auto"/>
        <w:ind w:firstLine="645"/>
        <w:rPr>
          <w:rFonts w:hint="eastAsia" w:ascii="宋体" w:hAnsi="宋体"/>
          <w:b/>
          <w:bCs/>
          <w:sz w:val="24"/>
        </w:rPr>
      </w:pPr>
      <w:r>
        <w:rPr>
          <w:rFonts w:hint="eastAsia" w:ascii="宋体" w:hAnsi="宋体"/>
          <w:sz w:val="24"/>
        </w:rPr>
        <w:t xml:space="preserve">                       </w:t>
      </w:r>
      <w:r>
        <w:rPr>
          <w:rFonts w:hint="eastAsia" w:ascii="宋体" w:hAnsi="宋体"/>
          <w:b/>
          <w:bCs/>
          <w:sz w:val="24"/>
        </w:rPr>
        <w:t xml:space="preserve"> 年  月  日</w:t>
      </w:r>
    </w:p>
    <w:p w14:paraId="61B40622">
      <w:pPr>
        <w:snapToGrid w:val="0"/>
        <w:spacing w:line="300" w:lineRule="auto"/>
        <w:jc w:val="left"/>
        <w:rPr>
          <w:rFonts w:hint="eastAsia" w:ascii="宋体" w:hAnsi="宋体"/>
          <w:b/>
          <w:bCs/>
          <w:sz w:val="24"/>
        </w:rPr>
      </w:pPr>
    </w:p>
    <w:p w14:paraId="53744187">
      <w:pPr>
        <w:snapToGrid w:val="0"/>
        <w:spacing w:line="300" w:lineRule="auto"/>
        <w:jc w:val="left"/>
        <w:rPr>
          <w:rFonts w:hint="eastAsia" w:ascii="宋体" w:hAnsi="宋体"/>
          <w:b/>
          <w:bCs/>
          <w:sz w:val="24"/>
        </w:rPr>
      </w:pPr>
    </w:p>
    <w:p w14:paraId="4E25AF73">
      <w:pPr>
        <w:snapToGrid w:val="0"/>
        <w:spacing w:line="300" w:lineRule="auto"/>
        <w:jc w:val="left"/>
        <w:rPr>
          <w:rFonts w:hint="eastAsia" w:ascii="宋体" w:hAnsi="宋体"/>
          <w:b/>
          <w:bCs/>
          <w:sz w:val="28"/>
          <w:szCs w:val="28"/>
        </w:rPr>
      </w:pPr>
      <w:r>
        <w:rPr>
          <w:rFonts w:ascii="宋体" w:hAnsi="宋体"/>
          <w:b/>
          <w:bCs/>
          <w:sz w:val="24"/>
        </w:rPr>
        <w:br w:type="page"/>
      </w:r>
      <w:r>
        <w:rPr>
          <w:rFonts w:hint="eastAsia" w:ascii="宋体" w:hAnsi="宋体"/>
          <w:b/>
          <w:bCs/>
          <w:sz w:val="24"/>
        </w:rPr>
        <w:t>商务技术文件目录：</w:t>
      </w:r>
    </w:p>
    <w:p w14:paraId="181C3BD9">
      <w:pPr>
        <w:snapToGrid w:val="0"/>
        <w:spacing w:before="50" w:after="156" w:afterLines="50" w:line="300" w:lineRule="auto"/>
        <w:ind w:firstLine="420" w:firstLineChars="200"/>
        <w:jc w:val="left"/>
        <w:rPr>
          <w:rFonts w:ascii="宋体" w:hAnsi="宋体"/>
          <w:szCs w:val="21"/>
        </w:rPr>
      </w:pPr>
      <w:r>
        <w:rPr>
          <w:rFonts w:hint="eastAsia" w:ascii="宋体" w:hAnsi="宋体"/>
          <w:szCs w:val="21"/>
        </w:rPr>
        <w:t>根据采购文件规定及竞标人提供的材料自行编写目录。</w:t>
      </w:r>
    </w:p>
    <w:p w14:paraId="0ABC96EF">
      <w:pPr>
        <w:pStyle w:val="4"/>
        <w:spacing w:line="360" w:lineRule="auto"/>
        <w:jc w:val="center"/>
        <w:rPr>
          <w:rFonts w:ascii="宋体" w:hAnsi="宋体"/>
          <w:sz w:val="32"/>
          <w:szCs w:val="32"/>
        </w:rPr>
      </w:pPr>
      <w:bookmarkStart w:id="274" w:name="_Toc30860"/>
      <w:bookmarkStart w:id="275" w:name="_Toc23181"/>
      <w:r>
        <w:rPr>
          <w:rFonts w:hint="eastAsia" w:ascii="宋体" w:hAnsi="宋体"/>
          <w:sz w:val="32"/>
          <w:szCs w:val="32"/>
        </w:rPr>
        <w:t>1、</w:t>
      </w:r>
      <w:r>
        <w:rPr>
          <w:rFonts w:ascii="宋体" w:hAnsi="宋体"/>
          <w:sz w:val="32"/>
          <w:szCs w:val="32"/>
        </w:rPr>
        <w:t>无串通竞标行为的承诺函</w:t>
      </w:r>
      <w:bookmarkEnd w:id="274"/>
      <w:bookmarkEnd w:id="275"/>
    </w:p>
    <w:p w14:paraId="6595464E">
      <w:pPr>
        <w:pStyle w:val="19"/>
        <w:ind w:left="0" w:leftChars="0" w:firstLine="0" w:firstLineChars="0"/>
        <w:rPr>
          <w:rFonts w:ascii="宋体" w:hAnsi="宋体" w:eastAsia="宋体" w:cs="宋体"/>
          <w:b/>
          <w:bCs/>
          <w:szCs w:val="21"/>
        </w:rPr>
      </w:pPr>
      <w:r>
        <w:rPr>
          <w:rFonts w:ascii="宋体" w:hAnsi="宋体" w:eastAsia="宋体" w:cs="宋体"/>
          <w:b/>
          <w:bCs/>
          <w:szCs w:val="21"/>
        </w:rPr>
        <w:t>一、我方承诺无下列相互串通竞标的情形：</w:t>
      </w:r>
    </w:p>
    <w:p w14:paraId="3C0BE9AA">
      <w:pPr>
        <w:pStyle w:val="19"/>
        <w:ind w:left="0" w:leftChars="0" w:firstLine="404"/>
        <w:rPr>
          <w:rFonts w:ascii="宋体" w:hAnsi="宋体" w:eastAsia="宋体" w:cs="宋体"/>
          <w:szCs w:val="21"/>
        </w:rPr>
      </w:pPr>
      <w:r>
        <w:rPr>
          <w:rFonts w:ascii="宋体" w:hAnsi="宋体" w:eastAsia="宋体" w:cs="宋体"/>
          <w:szCs w:val="21"/>
        </w:rPr>
        <w:t>1.不同供应商的响应文件由同一单位或者个人编制；</w:t>
      </w:r>
    </w:p>
    <w:p w14:paraId="24E7692A">
      <w:pPr>
        <w:pStyle w:val="19"/>
        <w:ind w:left="0" w:leftChars="0" w:firstLine="404"/>
        <w:rPr>
          <w:rFonts w:ascii="宋体" w:hAnsi="宋体" w:eastAsia="宋体" w:cs="宋体"/>
          <w:szCs w:val="21"/>
        </w:rPr>
      </w:pPr>
      <w:r>
        <w:rPr>
          <w:rFonts w:ascii="宋体" w:hAnsi="宋体" w:eastAsia="宋体" w:cs="宋体"/>
          <w:szCs w:val="21"/>
        </w:rPr>
        <w:t>2.不同供应商委托同一单位或者个人办理竞标事宜；</w:t>
      </w:r>
    </w:p>
    <w:p w14:paraId="0B4A5D5E">
      <w:pPr>
        <w:pStyle w:val="19"/>
        <w:ind w:left="0" w:leftChars="0" w:firstLine="404"/>
        <w:rPr>
          <w:rFonts w:ascii="宋体" w:hAnsi="宋体" w:eastAsia="宋体" w:cs="宋体"/>
          <w:szCs w:val="21"/>
        </w:rPr>
      </w:pPr>
      <w:r>
        <w:rPr>
          <w:rFonts w:ascii="宋体" w:hAnsi="宋体" w:eastAsia="宋体" w:cs="宋体"/>
          <w:szCs w:val="21"/>
        </w:rPr>
        <w:t>3.不同供应商的响应文件载明的项目管理员为同一个人；</w:t>
      </w:r>
    </w:p>
    <w:p w14:paraId="19AF094C">
      <w:pPr>
        <w:pStyle w:val="19"/>
        <w:ind w:left="0" w:leftChars="0" w:firstLine="404"/>
        <w:rPr>
          <w:rFonts w:ascii="宋体" w:hAnsi="宋体" w:eastAsia="宋体" w:cs="宋体"/>
          <w:szCs w:val="21"/>
        </w:rPr>
      </w:pPr>
      <w:r>
        <w:rPr>
          <w:rFonts w:ascii="宋体" w:hAnsi="宋体" w:eastAsia="宋体" w:cs="宋体"/>
          <w:szCs w:val="21"/>
        </w:rPr>
        <w:t>4.不同供应商的响应文件异常一致或者竞标报价呈规律性差异；</w:t>
      </w:r>
    </w:p>
    <w:p w14:paraId="199C07D8">
      <w:pPr>
        <w:pStyle w:val="19"/>
        <w:ind w:left="0" w:leftChars="0" w:firstLine="404"/>
        <w:rPr>
          <w:rFonts w:ascii="宋体" w:hAnsi="宋体" w:eastAsia="宋体" w:cs="宋体"/>
          <w:szCs w:val="21"/>
        </w:rPr>
      </w:pPr>
      <w:r>
        <w:rPr>
          <w:rFonts w:ascii="宋体" w:hAnsi="宋体" w:eastAsia="宋体" w:cs="宋体"/>
          <w:szCs w:val="21"/>
        </w:rPr>
        <w:t>5.不同供应商的响应文件相互混装；</w:t>
      </w:r>
    </w:p>
    <w:p w14:paraId="7C1A6FB7">
      <w:pPr>
        <w:pStyle w:val="19"/>
        <w:ind w:left="0" w:leftChars="0" w:firstLine="404"/>
        <w:rPr>
          <w:rFonts w:ascii="宋体" w:hAnsi="宋体" w:eastAsia="宋体" w:cs="宋体"/>
          <w:szCs w:val="21"/>
        </w:rPr>
      </w:pPr>
      <w:r>
        <w:rPr>
          <w:rFonts w:ascii="宋体" w:hAnsi="宋体" w:eastAsia="宋体" w:cs="宋体"/>
          <w:szCs w:val="21"/>
        </w:rPr>
        <w:t>6.不同供应商的磋商保证金从同一单位或者个人账户转出。</w:t>
      </w:r>
    </w:p>
    <w:p w14:paraId="3DA0C917">
      <w:pPr>
        <w:pStyle w:val="19"/>
        <w:ind w:left="0" w:leftChars="0" w:firstLine="0" w:firstLineChars="0"/>
        <w:rPr>
          <w:rFonts w:ascii="宋体" w:hAnsi="宋体" w:eastAsia="宋体" w:cs="宋体"/>
          <w:b/>
          <w:bCs/>
          <w:szCs w:val="21"/>
        </w:rPr>
      </w:pPr>
      <w:r>
        <w:rPr>
          <w:rFonts w:ascii="宋体" w:hAnsi="宋体" w:eastAsia="宋体" w:cs="宋体"/>
          <w:b/>
          <w:bCs/>
          <w:szCs w:val="21"/>
        </w:rPr>
        <w:t>二、我方承诺无下列恶意串通的情形：</w:t>
      </w:r>
    </w:p>
    <w:p w14:paraId="455FC5E4">
      <w:pPr>
        <w:pStyle w:val="19"/>
        <w:ind w:left="0" w:leftChars="0" w:firstLine="404"/>
        <w:rPr>
          <w:rFonts w:ascii="宋体" w:hAnsi="宋体" w:eastAsia="宋体" w:cs="宋体"/>
          <w:szCs w:val="21"/>
        </w:rPr>
      </w:pPr>
      <w:r>
        <w:rPr>
          <w:rFonts w:ascii="宋体" w:hAnsi="宋体" w:eastAsia="宋体" w:cs="宋体"/>
          <w:szCs w:val="21"/>
        </w:rPr>
        <w:t>1.供应商直接或者间接从采购人或者采购代理机构处获得其他供应商的相关信息并修改其响应文件；</w:t>
      </w:r>
    </w:p>
    <w:p w14:paraId="2FDDB2B3">
      <w:pPr>
        <w:pStyle w:val="19"/>
        <w:ind w:left="0" w:leftChars="0" w:firstLine="404"/>
        <w:rPr>
          <w:rFonts w:ascii="宋体" w:hAnsi="宋体" w:eastAsia="宋体" w:cs="宋体"/>
          <w:szCs w:val="21"/>
        </w:rPr>
      </w:pPr>
      <w:r>
        <w:rPr>
          <w:rFonts w:ascii="宋体" w:hAnsi="宋体" w:eastAsia="宋体" w:cs="宋体"/>
          <w:szCs w:val="21"/>
        </w:rPr>
        <w:t>2.供应商按照采购人或者采购代理机构的授意撤换、修改响应文件；</w:t>
      </w:r>
    </w:p>
    <w:p w14:paraId="3DD20037">
      <w:pPr>
        <w:pStyle w:val="19"/>
        <w:ind w:left="0" w:leftChars="0" w:firstLine="404"/>
        <w:rPr>
          <w:rFonts w:ascii="宋体" w:hAnsi="宋体" w:eastAsia="宋体" w:cs="宋体"/>
          <w:szCs w:val="21"/>
        </w:rPr>
      </w:pPr>
      <w:r>
        <w:rPr>
          <w:rFonts w:ascii="宋体" w:hAnsi="宋体" w:eastAsia="宋体" w:cs="宋体"/>
          <w:szCs w:val="21"/>
        </w:rPr>
        <w:t>3.供应商之间协商报价、技术方案等响应文件的实质性内容；</w:t>
      </w:r>
    </w:p>
    <w:p w14:paraId="75A59454">
      <w:pPr>
        <w:pStyle w:val="19"/>
        <w:ind w:left="0" w:leftChars="0" w:firstLine="404"/>
        <w:rPr>
          <w:rFonts w:ascii="宋体" w:hAnsi="宋体" w:eastAsia="宋体" w:cs="宋体"/>
          <w:szCs w:val="21"/>
        </w:rPr>
      </w:pPr>
      <w:r>
        <w:rPr>
          <w:rFonts w:ascii="宋体" w:hAnsi="宋体" w:eastAsia="宋体" w:cs="宋体"/>
          <w:szCs w:val="21"/>
        </w:rPr>
        <w:t>4.属于同一集团、协会、商会等组织成员的供应商按照该组织要求协同参加 政府采购活动；</w:t>
      </w:r>
    </w:p>
    <w:p w14:paraId="27A3822F">
      <w:pPr>
        <w:pStyle w:val="19"/>
        <w:ind w:left="0" w:leftChars="0" w:firstLine="404"/>
        <w:rPr>
          <w:rFonts w:ascii="宋体" w:hAnsi="宋体" w:eastAsia="宋体" w:cs="宋体"/>
          <w:szCs w:val="21"/>
        </w:rPr>
      </w:pPr>
      <w:r>
        <w:rPr>
          <w:rFonts w:ascii="宋体" w:hAnsi="宋体" w:eastAsia="宋体" w:cs="宋体"/>
          <w:szCs w:val="21"/>
        </w:rPr>
        <w:t>5.供应商之间事先约定一致抬高或者压低竞标报价，或者在竞争性磋商项目中事先约定轮流以高价位或者低价位成交，或者事先约定由某一特定供应商成交，然后再参加竞标；</w:t>
      </w:r>
    </w:p>
    <w:p w14:paraId="57C75547">
      <w:pPr>
        <w:pStyle w:val="19"/>
        <w:ind w:left="0" w:leftChars="0" w:firstLine="404"/>
        <w:rPr>
          <w:rFonts w:ascii="宋体" w:hAnsi="宋体" w:eastAsia="宋体" w:cs="宋体"/>
          <w:szCs w:val="21"/>
        </w:rPr>
      </w:pPr>
      <w:r>
        <w:rPr>
          <w:rFonts w:ascii="宋体" w:hAnsi="宋体" w:eastAsia="宋体" w:cs="宋体"/>
          <w:szCs w:val="21"/>
        </w:rPr>
        <w:t>6.供应商之间商定部分供应商放弃参加政府采购活动或者放弃成交；</w:t>
      </w:r>
    </w:p>
    <w:p w14:paraId="609B149B">
      <w:pPr>
        <w:pStyle w:val="19"/>
        <w:ind w:left="0" w:leftChars="0" w:firstLine="404"/>
        <w:rPr>
          <w:rFonts w:ascii="宋体" w:hAnsi="宋体" w:eastAsia="宋体" w:cs="宋体"/>
          <w:szCs w:val="21"/>
        </w:rPr>
      </w:pPr>
      <w:r>
        <w:rPr>
          <w:rFonts w:ascii="宋体" w:hAnsi="宋体" w:eastAsia="宋体" w:cs="宋体"/>
          <w:szCs w:val="21"/>
        </w:rPr>
        <w:t>7.供应商与采购人或者采购代理机构之间、供应商相互之间，为谋求特定供应商成交或者排斥其他供应商的其他串通行为。</w:t>
      </w:r>
    </w:p>
    <w:p w14:paraId="0CA14623">
      <w:pPr>
        <w:pStyle w:val="19"/>
        <w:ind w:left="0" w:leftChars="0" w:firstLine="404"/>
        <w:rPr>
          <w:rFonts w:ascii="宋体" w:hAnsi="宋体" w:eastAsia="宋体" w:cs="宋体"/>
          <w:szCs w:val="21"/>
        </w:rPr>
      </w:pPr>
      <w:r>
        <w:rPr>
          <w:rFonts w:ascii="宋体" w:hAnsi="宋体" w:eastAsia="宋体" w:cs="宋体"/>
          <w:szCs w:val="21"/>
        </w:rPr>
        <w:t>以上情形一经核查属实，我方愿意承担一切后果，并不再寻求任何旨在减轻或者免除法律责任的辩解。</w:t>
      </w:r>
    </w:p>
    <w:p w14:paraId="7A4D9970">
      <w:pPr>
        <w:rPr>
          <w:rFonts w:ascii="宋体" w:hAnsi="宋体"/>
        </w:rPr>
      </w:pPr>
    </w:p>
    <w:p w14:paraId="226F3F15">
      <w:pPr>
        <w:pStyle w:val="9"/>
        <w:rPr>
          <w:rFonts w:hint="eastAsia" w:ascii="宋体" w:hAnsi="宋体"/>
        </w:rPr>
      </w:pPr>
    </w:p>
    <w:p w14:paraId="3193AA26">
      <w:pPr>
        <w:spacing w:line="400" w:lineRule="exact"/>
        <w:ind w:firstLine="1155" w:firstLineChars="550"/>
        <w:rPr>
          <w:rFonts w:hint="eastAsia" w:ascii="宋体" w:hAnsi="宋体" w:cs="宋体"/>
          <w:szCs w:val="21"/>
        </w:rPr>
      </w:pPr>
      <w:r>
        <w:rPr>
          <w:rFonts w:hint="eastAsia" w:ascii="宋体" w:hAnsi="宋体" w:cs="宋体"/>
          <w:szCs w:val="21"/>
        </w:rPr>
        <w:t>竞标人名称（CA电子签章）：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4FF38DFD">
      <w:pPr>
        <w:spacing w:line="500" w:lineRule="exact"/>
        <w:ind w:firstLine="1155" w:firstLineChars="550"/>
        <w:rPr>
          <w:rFonts w:hint="eastAsia" w:ascii="宋体" w:hAnsi="宋体" w:cs="宋体"/>
          <w:szCs w:val="21"/>
          <w:u w:val="single"/>
        </w:rPr>
      </w:pPr>
      <w:r>
        <w:rPr>
          <w:rFonts w:hint="eastAsia" w:ascii="宋体" w:hAnsi="宋体" w:cs="宋体"/>
          <w:szCs w:val="21"/>
        </w:rPr>
        <w:t>法定代表人或委托代理人（签字或加盖CA电子签字章）：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4FB2ADA0">
      <w:pPr>
        <w:pStyle w:val="13"/>
        <w:spacing w:line="400" w:lineRule="exact"/>
        <w:ind w:left="420" w:firstLine="4500" w:firstLineChars="2250"/>
        <w:jc w:val="right"/>
        <w:rPr>
          <w:rFonts w:hAnsi="宋体" w:cs="宋体"/>
        </w:rPr>
      </w:pPr>
      <w:r>
        <w:rPr>
          <w:rFonts w:hint="eastAsia" w:hAnsi="宋体" w:cs="宋体"/>
        </w:rPr>
        <w:t>日期：  年  月  日</w:t>
      </w:r>
    </w:p>
    <w:p w14:paraId="7387446B">
      <w:pPr>
        <w:pStyle w:val="4"/>
        <w:spacing w:line="360" w:lineRule="auto"/>
        <w:rPr>
          <w:rFonts w:ascii="宋体" w:hAnsi="宋体"/>
          <w:sz w:val="24"/>
          <w:szCs w:val="24"/>
        </w:rPr>
      </w:pPr>
      <w:r>
        <w:rPr>
          <w:rFonts w:ascii="宋体" w:hAnsi="宋体"/>
        </w:rPr>
        <w:br w:type="page"/>
      </w:r>
      <w:bookmarkStart w:id="276" w:name="_Toc30354"/>
      <w:bookmarkStart w:id="277" w:name="_Toc19657"/>
      <w:r>
        <w:rPr>
          <w:rFonts w:hint="eastAsia" w:ascii="宋体" w:hAnsi="宋体"/>
          <w:sz w:val="32"/>
          <w:szCs w:val="32"/>
        </w:rPr>
        <w:t>2、法定代表人身份证明或授权委托书（格式）</w:t>
      </w:r>
      <w:bookmarkEnd w:id="276"/>
      <w:bookmarkEnd w:id="277"/>
    </w:p>
    <w:p w14:paraId="22EED892">
      <w:pPr>
        <w:pStyle w:val="19"/>
        <w:ind w:firstLine="404"/>
        <w:rPr>
          <w:rFonts w:hint="eastAsia" w:ascii="宋体" w:hAnsi="宋体" w:eastAsia="宋体"/>
        </w:rPr>
      </w:pPr>
    </w:p>
    <w:p w14:paraId="036B7EA7">
      <w:pPr>
        <w:snapToGrid w:val="0"/>
        <w:spacing w:before="50" w:after="50" w:line="300" w:lineRule="auto"/>
        <w:jc w:val="center"/>
        <w:rPr>
          <w:rFonts w:ascii="宋体" w:hAnsi="宋体"/>
          <w:b/>
          <w:sz w:val="30"/>
        </w:rPr>
      </w:pPr>
      <w:r>
        <w:rPr>
          <w:rFonts w:hint="eastAsia" w:ascii="宋体" w:hAnsi="宋体"/>
          <w:b/>
          <w:sz w:val="30"/>
        </w:rPr>
        <w:t>法定代表人身份证明</w:t>
      </w:r>
    </w:p>
    <w:p w14:paraId="782BF967">
      <w:pPr>
        <w:pStyle w:val="19"/>
        <w:ind w:firstLine="404"/>
        <w:rPr>
          <w:rFonts w:hint="eastAsia" w:ascii="宋体" w:hAnsi="宋体" w:eastAsia="宋体"/>
        </w:rPr>
      </w:pPr>
    </w:p>
    <w:p w14:paraId="7F6C9E80">
      <w:pPr>
        <w:pStyle w:val="26"/>
        <w:tabs>
          <w:tab w:val="left" w:pos="3542"/>
        </w:tabs>
        <w:spacing w:after="120"/>
        <w:rPr>
          <w:rFonts w:ascii="宋体" w:hAnsi="宋体" w:eastAsia="宋体" w:cs="宋体"/>
          <w:color w:val="auto"/>
          <w:sz w:val="21"/>
          <w:szCs w:val="21"/>
          <w:lang w:val="zh-CN" w:eastAsia="zh-CN" w:bidi="zh-CN"/>
        </w:rPr>
      </w:pPr>
      <w:r>
        <w:rPr>
          <w:rFonts w:hint="eastAsia" w:ascii="宋体" w:hAnsi="宋体" w:eastAsia="宋体" w:cs="宋体"/>
          <w:color w:val="auto"/>
          <w:sz w:val="21"/>
          <w:szCs w:val="21"/>
          <w:lang w:val="zh-CN" w:eastAsia="zh-CN" w:bidi="zh-CN"/>
        </w:rPr>
        <w:t>竞</w:t>
      </w:r>
      <w:r>
        <w:rPr>
          <w:rFonts w:ascii="宋体" w:hAnsi="宋体" w:eastAsia="宋体" w:cs="宋体"/>
          <w:color w:val="auto"/>
          <w:sz w:val="21"/>
          <w:szCs w:val="21"/>
          <w:lang w:val="zh-CN" w:eastAsia="zh-CN" w:bidi="zh-CN"/>
        </w:rPr>
        <w:t>标人名称：</w:t>
      </w:r>
      <w:r>
        <w:rPr>
          <w:rFonts w:ascii="宋体" w:hAnsi="宋体" w:eastAsia="宋体" w:cs="宋体"/>
          <w:color w:val="auto"/>
          <w:sz w:val="21"/>
          <w:szCs w:val="21"/>
          <w:u w:val="single"/>
          <w:lang w:val="zh-CN" w:eastAsia="zh-CN" w:bidi="zh-CN"/>
        </w:rPr>
        <w:tab/>
      </w:r>
    </w:p>
    <w:p w14:paraId="570D7091">
      <w:pPr>
        <w:pStyle w:val="26"/>
        <w:tabs>
          <w:tab w:val="left" w:pos="1745"/>
          <w:tab w:val="left" w:pos="3115"/>
          <w:tab w:val="left" w:pos="4488"/>
          <w:tab w:val="left" w:pos="7750"/>
        </w:tabs>
        <w:spacing w:after="120"/>
        <w:ind w:firstLine="420"/>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姓名：</w:t>
      </w:r>
      <w:r>
        <w:rPr>
          <w:rFonts w:ascii="宋体" w:hAnsi="宋体" w:eastAsia="宋体" w:cs="宋体"/>
          <w:color w:val="auto"/>
          <w:sz w:val="21"/>
          <w:szCs w:val="21"/>
          <w:u w:val="single"/>
          <w:lang w:val="zh-CN" w:eastAsia="zh-CN" w:bidi="zh-CN"/>
        </w:rPr>
        <w:tab/>
      </w:r>
      <w:r>
        <w:rPr>
          <w:rFonts w:ascii="宋体" w:hAnsi="宋体" w:eastAsia="宋体" w:cs="宋体"/>
          <w:color w:val="auto"/>
          <w:sz w:val="21"/>
          <w:szCs w:val="21"/>
          <w:lang w:val="zh-CN" w:eastAsia="zh-CN" w:bidi="zh-CN"/>
        </w:rPr>
        <w:t>性别：</w:t>
      </w:r>
      <w:r>
        <w:rPr>
          <w:rFonts w:ascii="宋体" w:hAnsi="宋体" w:eastAsia="宋体" w:cs="宋体"/>
          <w:color w:val="auto"/>
          <w:sz w:val="21"/>
          <w:szCs w:val="21"/>
          <w:u w:val="single"/>
          <w:lang w:val="zh-CN" w:eastAsia="zh-CN" w:bidi="zh-CN"/>
        </w:rPr>
        <w:tab/>
      </w:r>
      <w:r>
        <w:rPr>
          <w:rFonts w:ascii="宋体" w:hAnsi="宋体" w:eastAsia="宋体" w:cs="宋体"/>
          <w:color w:val="auto"/>
          <w:sz w:val="21"/>
          <w:szCs w:val="21"/>
          <w:lang w:val="zh-CN" w:eastAsia="zh-CN" w:bidi="zh-CN"/>
        </w:rPr>
        <w:t>年龄：</w:t>
      </w:r>
      <w:r>
        <w:rPr>
          <w:rFonts w:ascii="宋体" w:hAnsi="宋体" w:eastAsia="宋体" w:cs="宋体"/>
          <w:color w:val="auto"/>
          <w:sz w:val="21"/>
          <w:szCs w:val="21"/>
          <w:u w:val="single"/>
          <w:lang w:val="zh-CN" w:eastAsia="zh-CN" w:bidi="zh-CN"/>
        </w:rPr>
        <w:tab/>
      </w:r>
      <w:r>
        <w:rPr>
          <w:rFonts w:ascii="宋体" w:hAnsi="宋体" w:eastAsia="宋体" w:cs="宋体"/>
          <w:color w:val="auto"/>
          <w:sz w:val="21"/>
          <w:szCs w:val="21"/>
          <w:lang w:val="zh-CN" w:eastAsia="zh-CN" w:bidi="zh-CN"/>
        </w:rPr>
        <w:t>身份证号码：</w:t>
      </w:r>
      <w:r>
        <w:rPr>
          <w:rFonts w:ascii="宋体" w:hAnsi="宋体" w:eastAsia="宋体" w:cs="宋体"/>
          <w:color w:val="auto"/>
          <w:sz w:val="21"/>
          <w:szCs w:val="21"/>
          <w:u w:val="single"/>
          <w:lang w:val="zh-CN" w:eastAsia="zh-CN" w:bidi="zh-CN"/>
        </w:rPr>
        <w:tab/>
      </w:r>
      <w:r>
        <w:rPr>
          <w:rFonts w:ascii="宋体" w:hAnsi="宋体" w:eastAsia="宋体" w:cs="宋体"/>
          <w:color w:val="auto"/>
          <w:sz w:val="21"/>
          <w:szCs w:val="21"/>
          <w:lang w:val="zh-CN" w:eastAsia="zh-CN" w:bidi="zh-CN"/>
        </w:rPr>
        <w:t>职务</w:t>
      </w:r>
      <w:r>
        <w:rPr>
          <w:rFonts w:hint="eastAsia" w:ascii="宋体" w:hAnsi="宋体" w:eastAsia="宋体" w:cs="宋体"/>
          <w:color w:val="auto"/>
          <w:sz w:val="21"/>
          <w:szCs w:val="21"/>
          <w:lang w:val="zh-CN" w:eastAsia="zh-CN" w:bidi="zh-CN"/>
        </w:rPr>
        <w:t>：</w:t>
      </w:r>
      <w:r>
        <w:rPr>
          <w:rFonts w:ascii="宋体" w:hAnsi="宋体" w:eastAsia="宋体" w:cs="宋体"/>
          <w:color w:val="auto"/>
          <w:sz w:val="21"/>
          <w:szCs w:val="21"/>
          <w:u w:val="single"/>
          <w:lang w:val="zh-CN" w:eastAsia="zh-CN" w:bidi="zh-CN"/>
        </w:rPr>
        <w:tab/>
      </w:r>
      <w:r>
        <w:rPr>
          <w:rFonts w:ascii="宋体" w:hAnsi="宋体" w:eastAsia="宋体" w:cs="宋体"/>
          <w:color w:val="auto"/>
          <w:sz w:val="21"/>
          <w:szCs w:val="21"/>
          <w:lang w:val="zh-CN" w:eastAsia="zh-CN" w:bidi="zh-CN"/>
        </w:rPr>
        <w:t>系</w:t>
      </w:r>
      <w:r>
        <w:rPr>
          <w:rFonts w:ascii="宋体" w:hAnsi="宋体" w:eastAsia="宋体" w:cs="宋体"/>
          <w:color w:val="auto"/>
          <w:sz w:val="21"/>
          <w:szCs w:val="21"/>
          <w:u w:val="single"/>
          <w:lang w:val="zh-CN" w:eastAsia="zh-CN" w:bidi="zh-CN"/>
        </w:rPr>
        <w:tab/>
      </w:r>
      <w:r>
        <w:rPr>
          <w:rFonts w:ascii="宋体" w:hAnsi="宋体" w:eastAsia="宋体" w:cs="宋体"/>
          <w:color w:val="auto"/>
          <w:sz w:val="21"/>
          <w:szCs w:val="21"/>
          <w:lang w:val="zh-CN" w:eastAsia="zh-CN" w:bidi="zh-CN"/>
        </w:rPr>
        <w:t>（竞标人名称）的法定代表人。</w:t>
      </w:r>
    </w:p>
    <w:p w14:paraId="05026509">
      <w:pPr>
        <w:pStyle w:val="26"/>
        <w:spacing w:after="460"/>
        <w:ind w:firstLine="420"/>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特此证明。</w:t>
      </w:r>
    </w:p>
    <w:p w14:paraId="2B130729">
      <w:pPr>
        <w:pStyle w:val="26"/>
        <w:spacing w:after="460"/>
        <w:ind w:firstLine="420"/>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附：法定代表人身份证复印件。</w:t>
      </w:r>
    </w:p>
    <w:p w14:paraId="46E4AF15">
      <w:pPr>
        <w:pStyle w:val="26"/>
        <w:spacing w:after="1520"/>
        <w:ind w:firstLine="420"/>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注：本身份证明需由</w:t>
      </w:r>
      <w:r>
        <w:rPr>
          <w:rFonts w:hint="eastAsia" w:ascii="宋体" w:hAnsi="宋体" w:eastAsia="宋体" w:cs="宋体"/>
          <w:color w:val="auto"/>
          <w:sz w:val="21"/>
          <w:szCs w:val="21"/>
          <w:lang w:val="zh-CN" w:eastAsia="zh-CN" w:bidi="zh-CN"/>
        </w:rPr>
        <w:t>竞</w:t>
      </w:r>
      <w:r>
        <w:rPr>
          <w:rFonts w:ascii="宋体" w:hAnsi="宋体" w:eastAsia="宋体" w:cs="宋体"/>
          <w:color w:val="auto"/>
          <w:sz w:val="21"/>
          <w:szCs w:val="21"/>
          <w:lang w:val="zh-CN" w:eastAsia="zh-CN" w:bidi="zh-CN"/>
        </w:rPr>
        <w:t>标人加盖单位电子公章。</w:t>
      </w:r>
    </w:p>
    <w:p w14:paraId="7927EA34">
      <w:pPr>
        <w:spacing w:line="400" w:lineRule="exact"/>
        <w:ind w:firstLine="1155" w:firstLineChars="550"/>
        <w:rPr>
          <w:rFonts w:hint="eastAsia" w:ascii="宋体" w:hAnsi="宋体" w:cs="宋体"/>
          <w:szCs w:val="21"/>
        </w:rPr>
      </w:pPr>
      <w:r>
        <w:rPr>
          <w:rFonts w:hint="eastAsia" w:ascii="宋体" w:hAnsi="宋体" w:cs="宋体"/>
          <w:szCs w:val="21"/>
        </w:rPr>
        <w:t>竞标人名称（CA电子签章）：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4424CC0B">
      <w:pPr>
        <w:pStyle w:val="13"/>
        <w:spacing w:line="400" w:lineRule="exact"/>
        <w:ind w:left="420" w:firstLine="4500" w:firstLineChars="2250"/>
        <w:jc w:val="right"/>
        <w:rPr>
          <w:rFonts w:hAnsi="宋体" w:cs="宋体"/>
        </w:rPr>
      </w:pPr>
      <w:r>
        <w:rPr>
          <w:rFonts w:hint="eastAsia" w:hAnsi="宋体" w:cs="宋体"/>
        </w:rPr>
        <w:t>日期：  年  月  日</w:t>
      </w:r>
    </w:p>
    <w:p w14:paraId="192A1C14">
      <w:pPr>
        <w:snapToGrid w:val="0"/>
        <w:spacing w:before="50" w:after="50" w:line="300" w:lineRule="auto"/>
        <w:jc w:val="center"/>
        <w:rPr>
          <w:rFonts w:ascii="宋体" w:hAnsi="宋体"/>
          <w:b/>
          <w:sz w:val="30"/>
        </w:rPr>
      </w:pPr>
      <w:r>
        <w:rPr>
          <w:rFonts w:ascii="宋体" w:hAnsi="宋体"/>
        </w:rPr>
        <w:br w:type="page"/>
      </w:r>
      <w:r>
        <w:rPr>
          <w:rFonts w:hint="eastAsia" w:ascii="宋体" w:hAnsi="宋体"/>
          <w:b/>
          <w:sz w:val="30"/>
        </w:rPr>
        <w:t>授权委托书</w:t>
      </w:r>
    </w:p>
    <w:p w14:paraId="241B2ED8">
      <w:pPr>
        <w:pStyle w:val="26"/>
        <w:tabs>
          <w:tab w:val="left" w:pos="1682"/>
          <w:tab w:val="left" w:pos="2702"/>
          <w:tab w:val="left" w:pos="3655"/>
          <w:tab w:val="left" w:pos="5950"/>
          <w:tab w:val="left" w:pos="8328"/>
        </w:tabs>
        <w:spacing w:line="400" w:lineRule="exact"/>
        <w:ind w:firstLine="42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本人</w:t>
      </w:r>
      <w:r>
        <w:rPr>
          <w:rFonts w:ascii="宋体" w:hAnsi="宋体" w:eastAsia="宋体" w:cs="宋体"/>
          <w:color w:val="auto"/>
          <w:sz w:val="21"/>
          <w:szCs w:val="21"/>
          <w:u w:val="single"/>
          <w:lang w:val="zh-CN" w:eastAsia="zh-CN" w:bidi="zh-CN"/>
        </w:rPr>
        <w:tab/>
      </w:r>
      <w:r>
        <w:rPr>
          <w:rFonts w:ascii="宋体" w:hAnsi="宋体" w:eastAsia="宋体" w:cs="宋体"/>
          <w:color w:val="auto"/>
          <w:sz w:val="21"/>
          <w:szCs w:val="21"/>
          <w:lang w:val="zh-CN" w:eastAsia="zh-CN" w:bidi="zh-CN"/>
        </w:rPr>
        <w:t>（姓名）系</w:t>
      </w:r>
      <w:r>
        <w:rPr>
          <w:rFonts w:ascii="宋体" w:hAnsi="宋体" w:eastAsia="宋体" w:cs="宋体"/>
          <w:color w:val="auto"/>
          <w:sz w:val="21"/>
          <w:szCs w:val="21"/>
          <w:u w:val="single"/>
          <w:lang w:val="zh-CN" w:eastAsia="zh-CN" w:bidi="zh-CN"/>
        </w:rPr>
        <w:tab/>
      </w:r>
      <w:r>
        <w:rPr>
          <w:rFonts w:ascii="宋体" w:hAnsi="宋体" w:eastAsia="宋体" w:cs="宋体"/>
          <w:color w:val="auto"/>
          <w:sz w:val="21"/>
          <w:szCs w:val="21"/>
          <w:lang w:val="zh-CN" w:eastAsia="zh-CN" w:bidi="zh-CN"/>
        </w:rPr>
        <w:t>（竞标人名称）的法定代表人，现委托</w:t>
      </w:r>
      <w:r>
        <w:rPr>
          <w:rFonts w:ascii="宋体" w:hAnsi="宋体" w:eastAsia="宋体" w:cs="宋体"/>
          <w:color w:val="auto"/>
          <w:sz w:val="21"/>
          <w:szCs w:val="21"/>
          <w:u w:val="single"/>
          <w:lang w:val="zh-CN" w:eastAsia="zh-CN" w:bidi="zh-CN"/>
        </w:rPr>
        <w:tab/>
      </w:r>
      <w:r>
        <w:rPr>
          <w:rFonts w:ascii="宋体" w:hAnsi="宋体" w:eastAsia="宋体" w:cs="宋体"/>
          <w:color w:val="auto"/>
          <w:sz w:val="21"/>
          <w:szCs w:val="21"/>
          <w:lang w:val="zh-CN" w:eastAsia="zh-CN" w:bidi="zh-CN"/>
        </w:rPr>
        <w:t>（姓名）为我方代理人。代理人根据授权，以我方名义签署、澄清、说明、补正、递交、撤 回、修改</w:t>
      </w:r>
      <w:r>
        <w:rPr>
          <w:rFonts w:ascii="宋体" w:hAnsi="宋体" w:eastAsia="宋体" w:cs="宋体"/>
          <w:color w:val="auto"/>
          <w:sz w:val="21"/>
          <w:szCs w:val="21"/>
          <w:u w:val="single"/>
          <w:lang w:val="zh-CN" w:eastAsia="zh-CN" w:bidi="zh-CN"/>
        </w:rPr>
        <w:tab/>
      </w:r>
      <w:r>
        <w:rPr>
          <w:rFonts w:ascii="宋体" w:hAnsi="宋体" w:eastAsia="宋体" w:cs="宋体"/>
          <w:color w:val="auto"/>
          <w:sz w:val="21"/>
          <w:szCs w:val="21"/>
          <w:lang w:val="zh-CN" w:eastAsia="zh-CN" w:bidi="zh-CN"/>
        </w:rPr>
        <w:t>（项目名称）</w:t>
      </w:r>
      <w:r>
        <w:rPr>
          <w:rFonts w:ascii="宋体" w:hAnsi="宋体" w:eastAsia="宋体" w:cs="宋体"/>
          <w:color w:val="auto"/>
          <w:sz w:val="21"/>
          <w:szCs w:val="21"/>
          <w:u w:val="single"/>
          <w:lang w:val="zh-CN" w:eastAsia="zh-CN" w:bidi="zh-CN"/>
        </w:rPr>
        <w:tab/>
      </w:r>
      <w:r>
        <w:rPr>
          <w:rFonts w:ascii="宋体" w:hAnsi="宋体" w:eastAsia="宋体" w:cs="宋体"/>
          <w:color w:val="auto"/>
          <w:sz w:val="21"/>
          <w:szCs w:val="21"/>
          <w:lang w:val="zh-CN" w:eastAsia="zh-CN" w:bidi="zh-CN"/>
        </w:rPr>
        <w:t>（标段名称）</w:t>
      </w:r>
      <w:r>
        <w:rPr>
          <w:rFonts w:hint="eastAsia" w:ascii="宋体" w:hAnsi="宋体" w:eastAsia="宋体" w:cs="宋体"/>
          <w:color w:val="auto"/>
          <w:sz w:val="21"/>
          <w:szCs w:val="21"/>
          <w:lang w:val="zh-CN" w:eastAsia="zh-CN" w:bidi="zh-CN"/>
        </w:rPr>
        <w:t>竞</w:t>
      </w:r>
      <w:r>
        <w:rPr>
          <w:rFonts w:ascii="宋体" w:hAnsi="宋体" w:eastAsia="宋体" w:cs="宋体"/>
          <w:color w:val="auto"/>
          <w:sz w:val="21"/>
          <w:szCs w:val="21"/>
          <w:lang w:val="zh-CN" w:eastAsia="zh-CN" w:bidi="zh-CN"/>
        </w:rPr>
        <w:t>标文件、出席开标会、签订合同和处理有关事宜，其签字真迹和印章如本授权委托书末尾所示，其法律后果由我方承担。</w:t>
      </w:r>
    </w:p>
    <w:p w14:paraId="3FA9F21E">
      <w:pPr>
        <w:pStyle w:val="26"/>
        <w:tabs>
          <w:tab w:val="left" w:pos="3331"/>
        </w:tabs>
        <w:spacing w:line="400" w:lineRule="exact"/>
        <w:ind w:firstLine="42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委托期限：</w:t>
      </w:r>
      <w:r>
        <w:rPr>
          <w:rFonts w:ascii="宋体" w:hAnsi="宋体" w:eastAsia="宋体" w:cs="宋体"/>
          <w:color w:val="auto"/>
          <w:sz w:val="21"/>
          <w:szCs w:val="21"/>
          <w:u w:val="single"/>
          <w:lang w:val="zh-CN" w:eastAsia="zh-CN" w:bidi="zh-CN"/>
        </w:rPr>
        <w:tab/>
      </w:r>
      <w:r>
        <w:rPr>
          <w:rFonts w:hint="eastAsia" w:ascii="宋体" w:hAnsi="宋体" w:eastAsia="宋体"/>
          <w:color w:val="auto"/>
          <w:sz w:val="21"/>
          <w:szCs w:val="21"/>
          <w:lang w:eastAsia="zh-CN"/>
        </w:rPr>
        <w:t>。</w:t>
      </w:r>
    </w:p>
    <w:p w14:paraId="10C3D824">
      <w:pPr>
        <w:pStyle w:val="26"/>
        <w:spacing w:line="400" w:lineRule="exact"/>
        <w:ind w:firstLine="42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代理人无转委托权。</w:t>
      </w:r>
    </w:p>
    <w:p w14:paraId="50CE9D9E">
      <w:pPr>
        <w:pStyle w:val="26"/>
        <w:tabs>
          <w:tab w:val="left" w:pos="6535"/>
          <w:tab w:val="left" w:pos="7563"/>
          <w:tab w:val="left" w:pos="8336"/>
        </w:tabs>
        <w:spacing w:line="400" w:lineRule="exact"/>
        <w:ind w:left="3800"/>
        <w:jc w:val="both"/>
        <w:rPr>
          <w:rFonts w:ascii="宋体" w:hAnsi="宋体" w:eastAsia="宋体" w:cs="宋体"/>
          <w:color w:val="auto"/>
          <w:sz w:val="21"/>
          <w:szCs w:val="21"/>
          <w:lang w:val="zh-CN" w:eastAsia="zh-CN" w:bidi="zh-CN"/>
        </w:rPr>
      </w:pPr>
    </w:p>
    <w:p w14:paraId="28F86938">
      <w:pPr>
        <w:pStyle w:val="26"/>
        <w:tabs>
          <w:tab w:val="left" w:pos="6535"/>
          <w:tab w:val="left" w:pos="7563"/>
          <w:tab w:val="left" w:pos="8336"/>
        </w:tabs>
        <w:spacing w:line="400" w:lineRule="exact"/>
        <w:ind w:left="3800"/>
        <w:jc w:val="both"/>
        <w:rPr>
          <w:rFonts w:ascii="宋体" w:hAnsi="宋体" w:eastAsia="宋体" w:cs="宋体"/>
          <w:color w:val="auto"/>
          <w:sz w:val="21"/>
          <w:szCs w:val="21"/>
          <w:lang w:val="zh-CN" w:eastAsia="zh-CN" w:bidi="zh-CN"/>
        </w:rPr>
      </w:pPr>
    </w:p>
    <w:p w14:paraId="2B6A8799">
      <w:pPr>
        <w:pStyle w:val="26"/>
        <w:tabs>
          <w:tab w:val="left" w:pos="6535"/>
          <w:tab w:val="left" w:pos="7563"/>
          <w:tab w:val="left" w:pos="8336"/>
        </w:tabs>
        <w:spacing w:line="400" w:lineRule="exact"/>
        <w:ind w:left="3800"/>
        <w:jc w:val="both"/>
        <w:rPr>
          <w:rFonts w:ascii="宋体" w:hAnsi="宋体" w:eastAsia="宋体" w:cs="宋体"/>
          <w:color w:val="auto"/>
          <w:sz w:val="21"/>
          <w:szCs w:val="21"/>
          <w:lang w:val="zh-CN" w:eastAsia="zh-CN" w:bidi="zh-CN"/>
        </w:rPr>
      </w:pPr>
      <w:r>
        <w:rPr>
          <w:rFonts w:hint="eastAsia" w:ascii="宋体" w:hAnsi="宋体" w:eastAsia="宋体" w:cs="宋体"/>
          <w:color w:val="auto"/>
          <w:sz w:val="21"/>
          <w:szCs w:val="21"/>
          <w:lang w:val="zh-CN" w:eastAsia="zh-CN" w:bidi="zh-CN"/>
        </w:rPr>
        <w:t xml:space="preserve">竞 </w:t>
      </w:r>
      <w:r>
        <w:rPr>
          <w:rFonts w:ascii="宋体" w:hAnsi="宋体" w:eastAsia="宋体" w:cs="宋体"/>
          <w:color w:val="auto"/>
          <w:sz w:val="21"/>
          <w:szCs w:val="21"/>
          <w:lang w:val="zh-CN" w:eastAsia="zh-CN" w:bidi="zh-CN"/>
        </w:rPr>
        <w:t xml:space="preserve"> 标</w:t>
      </w:r>
      <w:r>
        <w:rPr>
          <w:rFonts w:hint="eastAsia" w:ascii="宋体" w:hAnsi="宋体" w:eastAsia="宋体" w:cs="宋体"/>
          <w:color w:val="auto"/>
          <w:sz w:val="21"/>
          <w:szCs w:val="21"/>
          <w:lang w:val="zh-CN" w:eastAsia="zh-CN" w:bidi="zh-CN"/>
        </w:rPr>
        <w:t xml:space="preserve"> </w:t>
      </w:r>
      <w:r>
        <w:rPr>
          <w:rFonts w:ascii="宋体" w:hAnsi="宋体" w:eastAsia="宋体" w:cs="宋体"/>
          <w:color w:val="auto"/>
          <w:sz w:val="21"/>
          <w:szCs w:val="21"/>
          <w:lang w:val="zh-CN" w:eastAsia="zh-CN" w:bidi="zh-CN"/>
        </w:rPr>
        <w:t xml:space="preserve"> 人：</w:t>
      </w:r>
      <w:r>
        <w:rPr>
          <w:rFonts w:hint="eastAsia" w:ascii="宋体" w:hAnsi="宋体" w:eastAsia="宋体" w:cs="宋体"/>
          <w:color w:val="auto"/>
          <w:sz w:val="21"/>
          <w:szCs w:val="21"/>
          <w:u w:val="single"/>
          <w:lang w:val="zh-CN" w:eastAsia="zh-CN" w:bidi="zh-CN"/>
        </w:rPr>
        <w:t xml:space="preserve"> </w:t>
      </w:r>
      <w:r>
        <w:rPr>
          <w:rFonts w:ascii="宋体" w:hAnsi="宋体" w:eastAsia="宋体" w:cs="宋体"/>
          <w:color w:val="auto"/>
          <w:sz w:val="21"/>
          <w:szCs w:val="21"/>
          <w:u w:val="single"/>
          <w:lang w:val="zh-CN" w:eastAsia="zh-CN" w:bidi="zh-CN"/>
        </w:rPr>
        <w:t xml:space="preserve">             </w:t>
      </w:r>
      <w:r>
        <w:rPr>
          <w:rFonts w:ascii="宋体" w:hAnsi="宋体" w:eastAsia="宋体" w:cs="宋体"/>
          <w:color w:val="auto"/>
          <w:sz w:val="21"/>
          <w:szCs w:val="21"/>
          <w:lang w:val="zh-CN" w:eastAsia="zh-CN" w:bidi="zh-CN"/>
        </w:rPr>
        <w:t>（盖单位电子公章）</w:t>
      </w:r>
    </w:p>
    <w:p w14:paraId="232E71CF">
      <w:pPr>
        <w:pStyle w:val="26"/>
        <w:tabs>
          <w:tab w:val="left" w:pos="6535"/>
          <w:tab w:val="left" w:pos="7563"/>
          <w:tab w:val="left" w:pos="8336"/>
        </w:tabs>
        <w:spacing w:line="400" w:lineRule="exact"/>
        <w:ind w:left="380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法定代表人：</w:t>
      </w:r>
      <w:r>
        <w:rPr>
          <w:rFonts w:hint="eastAsia" w:ascii="宋体" w:hAnsi="宋体" w:eastAsia="宋体" w:cs="宋体"/>
          <w:color w:val="auto"/>
          <w:sz w:val="21"/>
          <w:szCs w:val="21"/>
          <w:u w:val="single"/>
          <w:lang w:val="zh-CN" w:eastAsia="zh-CN" w:bidi="zh-CN"/>
        </w:rPr>
        <w:t xml:space="preserve"> </w:t>
      </w:r>
      <w:r>
        <w:rPr>
          <w:rFonts w:ascii="宋体" w:hAnsi="宋体" w:eastAsia="宋体" w:cs="宋体"/>
          <w:color w:val="auto"/>
          <w:sz w:val="21"/>
          <w:szCs w:val="21"/>
          <w:u w:val="single"/>
          <w:lang w:val="zh-CN" w:eastAsia="zh-CN" w:bidi="zh-CN"/>
        </w:rPr>
        <w:t xml:space="preserve">   </w:t>
      </w:r>
      <w:r>
        <w:rPr>
          <w:rFonts w:hint="eastAsia" w:ascii="宋体" w:hAnsi="宋体" w:eastAsia="宋体" w:cs="宋体"/>
          <w:color w:val="auto"/>
          <w:sz w:val="21"/>
          <w:szCs w:val="21"/>
          <w:u w:val="single"/>
          <w:lang w:val="zh-CN" w:eastAsia="zh-CN" w:bidi="zh-CN"/>
        </w:rPr>
        <w:t xml:space="preserve">      </w:t>
      </w:r>
      <w:r>
        <w:rPr>
          <w:rFonts w:ascii="宋体" w:hAnsi="宋体" w:eastAsia="宋体" w:cs="宋体"/>
          <w:color w:val="auto"/>
          <w:sz w:val="21"/>
          <w:szCs w:val="21"/>
          <w:u w:val="single"/>
          <w:lang w:val="zh-CN" w:eastAsia="zh-CN" w:bidi="zh-CN"/>
        </w:rPr>
        <w:t xml:space="preserve"> </w:t>
      </w:r>
      <w:r>
        <w:rPr>
          <w:rFonts w:hint="eastAsia" w:ascii="宋体" w:hAnsi="宋体" w:eastAsia="宋体" w:cs="宋体"/>
          <w:color w:val="auto"/>
          <w:sz w:val="21"/>
          <w:szCs w:val="21"/>
          <w:u w:val="single"/>
          <w:lang w:val="zh-CN" w:eastAsia="zh-CN" w:bidi="zh-CN"/>
        </w:rPr>
        <w:t xml:space="preserve"> </w:t>
      </w:r>
      <w:r>
        <w:rPr>
          <w:rFonts w:ascii="宋体" w:hAnsi="宋体" w:eastAsia="宋体" w:cs="宋体"/>
          <w:color w:val="auto"/>
          <w:sz w:val="21"/>
          <w:szCs w:val="21"/>
          <w:u w:val="single"/>
          <w:lang w:val="zh-CN" w:eastAsia="zh-CN" w:bidi="zh-CN"/>
        </w:rPr>
        <w:t xml:space="preserve"> </w:t>
      </w:r>
      <w:r>
        <w:rPr>
          <w:rFonts w:hint="eastAsia" w:ascii="宋体" w:hAnsi="宋体" w:eastAsia="宋体" w:cs="宋体"/>
          <w:color w:val="auto"/>
          <w:sz w:val="21"/>
          <w:szCs w:val="21"/>
          <w:u w:val="single"/>
          <w:lang w:val="zh-CN" w:eastAsia="zh-CN" w:bidi="zh-CN"/>
        </w:rPr>
        <w:t xml:space="preserve"> </w:t>
      </w:r>
      <w:r>
        <w:rPr>
          <w:rFonts w:ascii="宋体" w:hAnsi="宋体" w:eastAsia="宋体" w:cs="宋体"/>
          <w:color w:val="auto"/>
          <w:sz w:val="21"/>
          <w:szCs w:val="21"/>
          <w:lang w:val="zh-CN" w:eastAsia="zh-CN" w:bidi="zh-CN"/>
        </w:rPr>
        <w:t>（签字</w:t>
      </w:r>
      <w:r>
        <w:rPr>
          <w:rFonts w:hint="eastAsia" w:ascii="宋体" w:hAnsi="宋体" w:eastAsia="宋体" w:cs="宋体"/>
          <w:color w:val="auto"/>
          <w:sz w:val="21"/>
          <w:szCs w:val="21"/>
          <w:lang w:val="zh-CN" w:eastAsia="zh-CN" w:bidi="zh-CN"/>
        </w:rPr>
        <w:t>或盖章</w:t>
      </w:r>
      <w:r>
        <w:rPr>
          <w:rFonts w:ascii="宋体" w:hAnsi="宋体" w:eastAsia="宋体" w:cs="宋体"/>
          <w:color w:val="auto"/>
          <w:sz w:val="21"/>
          <w:szCs w:val="21"/>
          <w:lang w:val="zh-CN" w:eastAsia="zh-CN" w:bidi="zh-CN"/>
        </w:rPr>
        <w:t>）</w:t>
      </w:r>
    </w:p>
    <w:p w14:paraId="32C55494">
      <w:pPr>
        <w:pStyle w:val="26"/>
        <w:tabs>
          <w:tab w:val="left" w:pos="6934"/>
          <w:tab w:val="left" w:pos="7563"/>
          <w:tab w:val="left" w:pos="8336"/>
        </w:tabs>
        <w:spacing w:line="400" w:lineRule="exact"/>
        <w:ind w:left="380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身份证号码：</w:t>
      </w:r>
      <w:r>
        <w:rPr>
          <w:rFonts w:ascii="宋体" w:hAnsi="宋体" w:eastAsia="宋体" w:cs="宋体"/>
          <w:color w:val="auto"/>
          <w:sz w:val="21"/>
          <w:szCs w:val="21"/>
          <w:u w:val="single"/>
          <w:lang w:val="zh-CN" w:eastAsia="zh-CN" w:bidi="zh-CN"/>
        </w:rPr>
        <w:tab/>
      </w:r>
      <w:r>
        <w:rPr>
          <w:rFonts w:hint="eastAsia" w:ascii="宋体" w:hAnsi="宋体" w:eastAsia="宋体" w:cs="宋体"/>
          <w:color w:val="auto"/>
          <w:sz w:val="21"/>
          <w:szCs w:val="21"/>
          <w:u w:val="single"/>
          <w:lang w:val="zh-CN" w:eastAsia="zh-CN" w:bidi="zh-CN"/>
        </w:rPr>
        <w:tab/>
      </w:r>
      <w:r>
        <w:rPr>
          <w:rFonts w:hint="eastAsia" w:ascii="宋体" w:hAnsi="宋体" w:eastAsia="宋体" w:cs="宋体"/>
          <w:color w:val="auto"/>
          <w:sz w:val="21"/>
          <w:szCs w:val="21"/>
          <w:u w:val="single"/>
          <w:lang w:val="zh-CN" w:eastAsia="zh-CN" w:bidi="zh-CN"/>
        </w:rPr>
        <w:tab/>
      </w:r>
    </w:p>
    <w:p w14:paraId="682EF603">
      <w:pPr>
        <w:pStyle w:val="26"/>
        <w:tabs>
          <w:tab w:val="left" w:pos="6934"/>
          <w:tab w:val="left" w:pos="7563"/>
          <w:tab w:val="left" w:pos="8336"/>
        </w:tabs>
        <w:spacing w:line="400" w:lineRule="exact"/>
        <w:ind w:left="380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委托代理人：</w:t>
      </w:r>
      <w:r>
        <w:rPr>
          <w:rFonts w:hint="eastAsia" w:ascii="宋体" w:hAnsi="宋体" w:eastAsia="宋体" w:cs="宋体"/>
          <w:color w:val="auto"/>
          <w:sz w:val="21"/>
          <w:szCs w:val="21"/>
          <w:u w:val="single"/>
          <w:lang w:val="zh-CN" w:eastAsia="zh-CN" w:bidi="zh-CN"/>
        </w:rPr>
        <w:t xml:space="preserve"> </w:t>
      </w:r>
      <w:r>
        <w:rPr>
          <w:rFonts w:ascii="宋体" w:hAnsi="宋体" w:eastAsia="宋体" w:cs="宋体"/>
          <w:color w:val="auto"/>
          <w:sz w:val="21"/>
          <w:szCs w:val="21"/>
          <w:u w:val="single"/>
          <w:lang w:val="zh-CN" w:eastAsia="zh-CN" w:bidi="zh-CN"/>
        </w:rPr>
        <w:t xml:space="preserve">      </w:t>
      </w:r>
      <w:r>
        <w:rPr>
          <w:rFonts w:hint="eastAsia" w:ascii="宋体" w:hAnsi="宋体" w:eastAsia="宋体" w:cs="宋体"/>
          <w:color w:val="auto"/>
          <w:sz w:val="21"/>
          <w:szCs w:val="21"/>
          <w:u w:val="single"/>
          <w:lang w:val="zh-CN" w:eastAsia="zh-CN" w:bidi="zh-CN"/>
        </w:rPr>
        <w:t xml:space="preserve">  </w:t>
      </w:r>
      <w:r>
        <w:rPr>
          <w:rFonts w:ascii="宋体" w:hAnsi="宋体" w:eastAsia="宋体" w:cs="宋体"/>
          <w:color w:val="auto"/>
          <w:sz w:val="21"/>
          <w:szCs w:val="21"/>
          <w:u w:val="single"/>
          <w:lang w:val="zh-CN" w:eastAsia="zh-CN" w:bidi="zh-CN"/>
        </w:rPr>
        <w:t xml:space="preserve">  </w:t>
      </w:r>
      <w:r>
        <w:rPr>
          <w:rFonts w:hint="eastAsia" w:ascii="宋体" w:hAnsi="宋体" w:eastAsia="宋体" w:cs="宋体"/>
          <w:color w:val="auto"/>
          <w:sz w:val="21"/>
          <w:szCs w:val="21"/>
          <w:u w:val="single"/>
          <w:lang w:val="zh-CN" w:eastAsia="zh-CN" w:bidi="zh-CN"/>
        </w:rPr>
        <w:t xml:space="preserve"> </w:t>
      </w:r>
      <w:r>
        <w:rPr>
          <w:rFonts w:ascii="宋体" w:hAnsi="宋体" w:eastAsia="宋体" w:cs="宋体"/>
          <w:color w:val="auto"/>
          <w:sz w:val="21"/>
          <w:szCs w:val="21"/>
          <w:u w:val="single"/>
          <w:lang w:val="zh-CN" w:eastAsia="zh-CN" w:bidi="zh-CN"/>
        </w:rPr>
        <w:t xml:space="preserve">  </w:t>
      </w:r>
      <w:r>
        <w:rPr>
          <w:rFonts w:ascii="宋体" w:hAnsi="宋体" w:eastAsia="宋体" w:cs="宋体"/>
          <w:color w:val="auto"/>
          <w:sz w:val="21"/>
          <w:szCs w:val="21"/>
          <w:lang w:val="zh-CN" w:eastAsia="zh-CN" w:bidi="zh-CN"/>
        </w:rPr>
        <w:t>（签字</w:t>
      </w:r>
      <w:r>
        <w:rPr>
          <w:rFonts w:hint="eastAsia" w:ascii="宋体" w:hAnsi="宋体" w:eastAsia="宋体" w:cs="宋体"/>
          <w:color w:val="auto"/>
          <w:sz w:val="21"/>
          <w:szCs w:val="21"/>
          <w:lang w:val="zh-CN" w:eastAsia="zh-CN" w:bidi="zh-CN"/>
        </w:rPr>
        <w:t>或盖章</w:t>
      </w:r>
      <w:r>
        <w:rPr>
          <w:rFonts w:ascii="宋体" w:hAnsi="宋体" w:eastAsia="宋体" w:cs="宋体"/>
          <w:color w:val="auto"/>
          <w:sz w:val="21"/>
          <w:szCs w:val="21"/>
          <w:lang w:val="zh-CN" w:eastAsia="zh-CN" w:bidi="zh-CN"/>
        </w:rPr>
        <w:t>）</w:t>
      </w:r>
    </w:p>
    <w:p w14:paraId="7DC7A304">
      <w:pPr>
        <w:pStyle w:val="26"/>
        <w:tabs>
          <w:tab w:val="left" w:pos="6934"/>
          <w:tab w:val="left" w:pos="7563"/>
          <w:tab w:val="left" w:pos="8336"/>
        </w:tabs>
        <w:spacing w:line="400" w:lineRule="exact"/>
        <w:ind w:left="3800"/>
        <w:jc w:val="both"/>
        <w:rPr>
          <w:rFonts w:ascii="宋体" w:hAnsi="宋体" w:eastAsia="宋体" w:cs="宋体"/>
          <w:color w:val="auto"/>
          <w:sz w:val="21"/>
          <w:szCs w:val="21"/>
          <w:lang w:val="zh-CN" w:eastAsia="zh-CN" w:bidi="zh-CN"/>
        </w:rPr>
      </w:pPr>
      <w:r>
        <w:rPr>
          <w:rFonts w:ascii="宋体" w:hAnsi="宋体" w:eastAsia="宋体" w:cs="宋体"/>
          <w:color w:val="auto"/>
          <w:sz w:val="21"/>
          <w:szCs w:val="21"/>
          <w:lang w:val="zh-CN" w:eastAsia="zh-CN" w:bidi="zh-CN"/>
        </w:rPr>
        <w:t>身份证号码：</w:t>
      </w:r>
      <w:r>
        <w:rPr>
          <w:rFonts w:ascii="宋体" w:hAnsi="宋体" w:eastAsia="宋体" w:cs="宋体"/>
          <w:color w:val="auto"/>
          <w:sz w:val="21"/>
          <w:szCs w:val="21"/>
          <w:u w:val="single"/>
          <w:lang w:val="zh-CN" w:eastAsia="zh-CN" w:bidi="zh-CN"/>
        </w:rPr>
        <w:tab/>
      </w:r>
      <w:r>
        <w:rPr>
          <w:rFonts w:hint="eastAsia" w:ascii="宋体" w:hAnsi="宋体" w:eastAsia="宋体" w:cs="宋体"/>
          <w:color w:val="auto"/>
          <w:sz w:val="21"/>
          <w:szCs w:val="21"/>
          <w:u w:val="single"/>
          <w:lang w:val="zh-CN" w:eastAsia="zh-CN" w:bidi="zh-CN"/>
        </w:rPr>
        <w:t xml:space="preserve"> </w:t>
      </w:r>
      <w:r>
        <w:rPr>
          <w:rFonts w:hint="eastAsia" w:ascii="宋体" w:hAnsi="宋体" w:eastAsia="宋体" w:cs="宋体"/>
          <w:color w:val="auto"/>
          <w:sz w:val="21"/>
          <w:szCs w:val="21"/>
          <w:u w:val="single"/>
          <w:lang w:val="zh-CN" w:eastAsia="zh-CN" w:bidi="zh-CN"/>
        </w:rPr>
        <w:tab/>
      </w:r>
      <w:r>
        <w:rPr>
          <w:rFonts w:hint="eastAsia" w:ascii="宋体" w:hAnsi="宋体" w:eastAsia="宋体" w:cs="宋体"/>
          <w:color w:val="auto"/>
          <w:sz w:val="21"/>
          <w:szCs w:val="21"/>
          <w:u w:val="single"/>
          <w:lang w:val="zh-CN" w:eastAsia="zh-CN" w:bidi="zh-CN"/>
        </w:rPr>
        <w:tab/>
      </w:r>
    </w:p>
    <w:p w14:paraId="21FBEA8F">
      <w:pPr>
        <w:pStyle w:val="26"/>
        <w:tabs>
          <w:tab w:val="left" w:pos="850"/>
          <w:tab w:val="left" w:pos="1906"/>
          <w:tab w:val="left" w:pos="2964"/>
        </w:tabs>
        <w:spacing w:line="400" w:lineRule="exact"/>
        <w:ind w:right="480" w:firstLine="3780" w:firstLineChars="1800"/>
        <w:rPr>
          <w:rFonts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日 </w:t>
      </w:r>
      <w:r>
        <w:rPr>
          <w:rFonts w:ascii="宋体" w:hAnsi="宋体" w:eastAsia="宋体" w:cs="宋体"/>
          <w:color w:val="auto"/>
          <w:sz w:val="21"/>
          <w:szCs w:val="21"/>
          <w:lang w:eastAsia="zh-CN"/>
        </w:rPr>
        <w:t xml:space="preserve">   </w:t>
      </w:r>
      <w:r>
        <w:rPr>
          <w:rFonts w:hint="eastAsia" w:ascii="宋体" w:hAnsi="宋体" w:eastAsia="宋体" w:cs="宋体"/>
          <w:color w:val="auto"/>
          <w:sz w:val="21"/>
          <w:szCs w:val="21"/>
          <w:lang w:eastAsia="zh-CN"/>
        </w:rPr>
        <w:t xml:space="preserve"> </w:t>
      </w:r>
      <w:r>
        <w:rPr>
          <w:rFonts w:ascii="宋体" w:hAnsi="宋体" w:eastAsia="宋体" w:cs="宋体"/>
          <w:color w:val="auto"/>
          <w:sz w:val="21"/>
          <w:szCs w:val="21"/>
          <w:lang w:eastAsia="zh-CN"/>
        </w:rPr>
        <w:t xml:space="preserve"> </w:t>
      </w:r>
      <w:r>
        <w:rPr>
          <w:rFonts w:hint="eastAsia" w:ascii="宋体" w:hAnsi="宋体" w:eastAsia="宋体" w:cs="宋体"/>
          <w:color w:val="auto"/>
          <w:sz w:val="21"/>
          <w:szCs w:val="21"/>
          <w:lang w:eastAsia="zh-CN"/>
        </w:rPr>
        <w:t>期：</w:t>
      </w:r>
      <w:r>
        <w:rPr>
          <w:rFonts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年</w:t>
      </w:r>
      <w:r>
        <w:rPr>
          <w:rFonts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月</w:t>
      </w:r>
      <w:r>
        <w:rPr>
          <w:rFonts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rPr>
        <w:t>日</w:t>
      </w:r>
    </w:p>
    <w:p w14:paraId="7B6211EF">
      <w:pPr>
        <w:pStyle w:val="26"/>
        <w:tabs>
          <w:tab w:val="left" w:pos="850"/>
          <w:tab w:val="left" w:pos="1906"/>
          <w:tab w:val="left" w:pos="2964"/>
        </w:tabs>
        <w:spacing w:line="400" w:lineRule="exact"/>
        <w:ind w:right="480" w:firstLine="3780" w:firstLineChars="1800"/>
        <w:rPr>
          <w:rFonts w:ascii="宋体" w:hAnsi="宋体" w:eastAsia="宋体" w:cs="宋体"/>
          <w:color w:val="auto"/>
          <w:sz w:val="21"/>
          <w:szCs w:val="21"/>
          <w:lang w:eastAsia="zh-CN"/>
        </w:rPr>
      </w:pPr>
    </w:p>
    <w:p w14:paraId="52345EBB">
      <w:pPr>
        <w:pStyle w:val="19"/>
        <w:spacing w:after="0" w:line="400" w:lineRule="exact"/>
        <w:ind w:left="0" w:leftChars="0" w:firstLine="404"/>
        <w:rPr>
          <w:rFonts w:hint="eastAsia" w:ascii="宋体" w:hAnsi="宋体" w:eastAsia="宋体"/>
          <w:szCs w:val="21"/>
        </w:rPr>
      </w:pPr>
      <w:r>
        <w:rPr>
          <w:rFonts w:ascii="宋体" w:hAnsi="宋体" w:eastAsia="宋体" w:cs="宋体"/>
          <w:szCs w:val="21"/>
          <w:lang w:val="zh-CN" w:bidi="zh-CN"/>
        </w:rPr>
        <w:t>说明：附法定代表人和授权委托代理人的身份证复印件</w:t>
      </w:r>
      <w:r>
        <w:rPr>
          <w:rFonts w:hint="eastAsia" w:ascii="宋体" w:hAnsi="宋体" w:eastAsia="宋体"/>
          <w:szCs w:val="21"/>
        </w:rPr>
        <w:t>。</w:t>
      </w:r>
    </w:p>
    <w:p w14:paraId="46F85E2D">
      <w:pPr>
        <w:pStyle w:val="9"/>
        <w:rPr>
          <w:rFonts w:ascii="宋体" w:hAnsi="宋体"/>
          <w:lang w:bidi="zh-CN"/>
        </w:rPr>
      </w:pPr>
    </w:p>
    <w:p w14:paraId="22E4BA92">
      <w:pPr>
        <w:pStyle w:val="13"/>
        <w:spacing w:line="400" w:lineRule="exact"/>
        <w:jc w:val="both"/>
        <w:rPr>
          <w:rFonts w:hint="eastAsia" w:ascii="宋体" w:hAnsi="宋体" w:eastAsia="宋体" w:cs="Times New Roman"/>
          <w:b/>
          <w:kern w:val="2"/>
          <w:sz w:val="24"/>
          <w:szCs w:val="24"/>
          <w:lang w:val="en-US" w:eastAsia="zh-CN" w:bidi="ar-SA"/>
        </w:rPr>
      </w:pPr>
      <w:r>
        <w:rPr>
          <w:rFonts w:ascii="宋体" w:hAnsi="宋体" w:cs="宋体"/>
          <w:sz w:val="24"/>
          <w:szCs w:val="24"/>
        </w:rPr>
        <w:br w:type="page"/>
      </w:r>
      <w:bookmarkEnd w:id="239"/>
      <w:bookmarkEnd w:id="240"/>
      <w:bookmarkEnd w:id="241"/>
      <w:bookmarkEnd w:id="242"/>
      <w:bookmarkEnd w:id="243"/>
      <w:bookmarkEnd w:id="244"/>
      <w:r>
        <w:rPr>
          <w:rFonts w:hint="eastAsia" w:ascii="宋体" w:hAnsi="宋体" w:eastAsia="宋体" w:cs="Times New Roman"/>
          <w:b/>
          <w:kern w:val="2"/>
          <w:sz w:val="32"/>
          <w:szCs w:val="32"/>
          <w:lang w:val="en-US" w:eastAsia="zh-CN" w:bidi="ar-SA"/>
        </w:rPr>
        <w:t>3、</w:t>
      </w:r>
      <w:bookmarkStart w:id="278" w:name="_Toc29537"/>
      <w:r>
        <w:rPr>
          <w:rFonts w:hint="eastAsia" w:ascii="宋体" w:hAnsi="宋体" w:eastAsia="宋体" w:cs="Times New Roman"/>
          <w:b/>
          <w:kern w:val="2"/>
          <w:sz w:val="32"/>
          <w:szCs w:val="32"/>
          <w:lang w:val="en-US" w:eastAsia="zh-CN" w:bidi="ar-SA"/>
        </w:rPr>
        <w:t>施工组织设计（格式）</w:t>
      </w:r>
      <w:bookmarkEnd w:id="278"/>
    </w:p>
    <w:p w14:paraId="3326E566">
      <w:pPr>
        <w:rPr>
          <w:rFonts w:hint="eastAsia" w:ascii="宋体" w:hAnsi="宋体"/>
        </w:rPr>
      </w:pPr>
    </w:p>
    <w:p w14:paraId="0874FE89">
      <w:pPr>
        <w:snapToGrid w:val="0"/>
        <w:spacing w:before="50" w:after="50" w:line="300" w:lineRule="auto"/>
        <w:jc w:val="center"/>
        <w:rPr>
          <w:rFonts w:hint="eastAsia" w:ascii="宋体" w:hAnsi="宋体"/>
          <w:b/>
          <w:sz w:val="30"/>
        </w:rPr>
      </w:pPr>
      <w:r>
        <w:rPr>
          <w:rFonts w:hint="eastAsia" w:ascii="宋体" w:hAnsi="宋体"/>
          <w:b/>
          <w:sz w:val="30"/>
        </w:rPr>
        <w:t>施工组织设计</w:t>
      </w:r>
    </w:p>
    <w:p w14:paraId="2488FECB">
      <w:pPr>
        <w:pStyle w:val="19"/>
        <w:ind w:firstLine="404"/>
        <w:rPr>
          <w:rFonts w:hint="eastAsia" w:ascii="宋体" w:hAnsi="宋体" w:eastAsia="宋体"/>
        </w:rPr>
      </w:pPr>
    </w:p>
    <w:p w14:paraId="73C0CE18">
      <w:pPr>
        <w:pStyle w:val="19"/>
        <w:ind w:firstLine="404"/>
        <w:rPr>
          <w:rFonts w:hint="eastAsia" w:ascii="宋体" w:hAnsi="宋体" w:eastAsia="宋体"/>
        </w:rPr>
      </w:pPr>
      <w:r>
        <w:rPr>
          <w:rFonts w:hint="eastAsia" w:ascii="宋体" w:hAnsi="宋体" w:eastAsia="宋体"/>
        </w:rPr>
        <w:t>竞标人自行编制。</w:t>
      </w:r>
    </w:p>
    <w:p w14:paraId="55B9863C">
      <w:pPr>
        <w:rPr>
          <w:rFonts w:hint="eastAsia" w:ascii="宋体" w:hAnsi="宋体"/>
        </w:rPr>
      </w:pPr>
    </w:p>
    <w:p w14:paraId="5D0BCBEC">
      <w:pPr>
        <w:pStyle w:val="19"/>
        <w:ind w:firstLine="404"/>
        <w:rPr>
          <w:rFonts w:hint="eastAsia" w:ascii="宋体" w:hAnsi="宋体" w:eastAsia="宋体"/>
        </w:rPr>
      </w:pPr>
    </w:p>
    <w:p w14:paraId="23923F13">
      <w:pPr>
        <w:rPr>
          <w:rFonts w:hint="eastAsia" w:ascii="宋体" w:hAnsi="宋体"/>
        </w:rPr>
      </w:pPr>
    </w:p>
    <w:p w14:paraId="35727B24">
      <w:pPr>
        <w:rPr>
          <w:rFonts w:hint="eastAsia" w:ascii="宋体" w:hAnsi="宋体"/>
          <w:bCs/>
          <w:sz w:val="32"/>
          <w:szCs w:val="32"/>
        </w:rPr>
      </w:pPr>
    </w:p>
    <w:p w14:paraId="7F765D2D">
      <w:pPr>
        <w:pStyle w:val="13"/>
        <w:spacing w:line="400" w:lineRule="exact"/>
        <w:jc w:val="both"/>
        <w:rPr>
          <w:rFonts w:hint="eastAsia" w:ascii="宋体" w:hAnsi="宋体" w:eastAsia="宋体" w:cs="Times New Roman"/>
          <w:b/>
          <w:kern w:val="2"/>
          <w:sz w:val="32"/>
          <w:szCs w:val="32"/>
          <w:lang w:val="en-US" w:eastAsia="zh-CN" w:bidi="ar-SA"/>
        </w:rPr>
      </w:pPr>
      <w:r>
        <w:rPr>
          <w:rFonts w:hint="eastAsia" w:ascii="宋体" w:hAnsi="宋体" w:eastAsia="宋体" w:cs="Times New Roman"/>
          <w:b/>
          <w:kern w:val="2"/>
          <w:sz w:val="32"/>
          <w:szCs w:val="32"/>
          <w:lang w:val="en-US" w:eastAsia="zh-CN" w:bidi="ar-SA"/>
        </w:rPr>
        <w:t>4、类似项目业绩一览表（格式）</w:t>
      </w:r>
    </w:p>
    <w:p w14:paraId="4B0BEF00">
      <w:pPr>
        <w:snapToGrid w:val="0"/>
        <w:spacing w:before="50" w:after="50" w:line="300" w:lineRule="auto"/>
        <w:jc w:val="center"/>
        <w:rPr>
          <w:rFonts w:hint="eastAsia" w:ascii="宋体" w:hAnsi="宋体"/>
          <w:b/>
          <w:sz w:val="30"/>
        </w:rPr>
      </w:pPr>
    </w:p>
    <w:p w14:paraId="55EF9F6B">
      <w:pPr>
        <w:snapToGrid w:val="0"/>
        <w:spacing w:before="50" w:after="50" w:line="300" w:lineRule="auto"/>
        <w:jc w:val="center"/>
        <w:rPr>
          <w:rFonts w:hint="eastAsia" w:ascii="宋体" w:hAnsi="宋体"/>
          <w:b/>
          <w:sz w:val="30"/>
        </w:rPr>
      </w:pPr>
      <w:r>
        <w:rPr>
          <w:rFonts w:hint="eastAsia" w:ascii="宋体" w:hAnsi="宋体"/>
          <w:b/>
          <w:sz w:val="30"/>
        </w:rPr>
        <w:t>类似项目业绩一览表</w:t>
      </w:r>
    </w:p>
    <w:tbl>
      <w:tblPr>
        <w:tblStyle w:val="20"/>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418"/>
        <w:gridCol w:w="1559"/>
        <w:gridCol w:w="1417"/>
        <w:gridCol w:w="1560"/>
        <w:gridCol w:w="1702"/>
      </w:tblGrid>
      <w:tr w14:paraId="0E7C5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384" w:type="dxa"/>
            <w:vMerge w:val="restart"/>
            <w:noWrap w:val="0"/>
            <w:vAlign w:val="center"/>
          </w:tcPr>
          <w:p w14:paraId="0E25C841">
            <w:pPr>
              <w:pStyle w:val="13"/>
              <w:spacing w:line="320" w:lineRule="exact"/>
              <w:jc w:val="center"/>
              <w:rPr>
                <w:rFonts w:hint="eastAsia" w:hAnsi="宋体" w:cs="宋体"/>
                <w:b/>
                <w:sz w:val="21"/>
              </w:rPr>
            </w:pPr>
            <w:r>
              <w:rPr>
                <w:rFonts w:hint="eastAsia" w:hAnsi="宋体" w:cs="宋体"/>
                <w:b/>
                <w:sz w:val="21"/>
              </w:rPr>
              <w:t>项目名称</w:t>
            </w:r>
          </w:p>
        </w:tc>
        <w:tc>
          <w:tcPr>
            <w:tcW w:w="1418" w:type="dxa"/>
            <w:vMerge w:val="restart"/>
            <w:noWrap w:val="0"/>
            <w:vAlign w:val="center"/>
          </w:tcPr>
          <w:p w14:paraId="0FD965BD">
            <w:pPr>
              <w:pStyle w:val="13"/>
              <w:spacing w:line="320" w:lineRule="exact"/>
              <w:jc w:val="center"/>
              <w:rPr>
                <w:rFonts w:hint="eastAsia" w:hAnsi="宋体" w:cs="宋体"/>
                <w:b/>
                <w:sz w:val="21"/>
              </w:rPr>
            </w:pPr>
            <w:r>
              <w:rPr>
                <w:rFonts w:hint="eastAsia" w:hAnsi="宋体" w:cs="宋体"/>
                <w:b/>
                <w:sz w:val="21"/>
              </w:rPr>
              <w:t>建设单位</w:t>
            </w:r>
          </w:p>
        </w:tc>
        <w:tc>
          <w:tcPr>
            <w:tcW w:w="1559" w:type="dxa"/>
            <w:vMerge w:val="restart"/>
            <w:noWrap w:val="0"/>
            <w:vAlign w:val="center"/>
          </w:tcPr>
          <w:p w14:paraId="09316F88">
            <w:pPr>
              <w:pStyle w:val="13"/>
              <w:spacing w:line="320" w:lineRule="exact"/>
              <w:jc w:val="center"/>
              <w:rPr>
                <w:rFonts w:hint="eastAsia" w:hAnsi="宋体" w:cs="宋体"/>
                <w:b/>
                <w:sz w:val="21"/>
              </w:rPr>
            </w:pPr>
            <w:r>
              <w:rPr>
                <w:rFonts w:hint="eastAsia" w:hAnsi="宋体" w:cs="宋体"/>
                <w:b/>
                <w:sz w:val="21"/>
              </w:rPr>
              <w:t>合同金额</w:t>
            </w:r>
          </w:p>
          <w:p w14:paraId="353DCB95">
            <w:pPr>
              <w:pStyle w:val="13"/>
              <w:spacing w:line="320" w:lineRule="exact"/>
              <w:jc w:val="center"/>
              <w:rPr>
                <w:rFonts w:hint="eastAsia" w:hAnsi="宋体" w:cs="宋体"/>
                <w:b/>
                <w:sz w:val="21"/>
              </w:rPr>
            </w:pPr>
            <w:r>
              <w:rPr>
                <w:rFonts w:hint="eastAsia" w:hAnsi="宋体" w:cs="宋体"/>
                <w:b/>
                <w:sz w:val="21"/>
              </w:rPr>
              <w:t>（万元）</w:t>
            </w:r>
          </w:p>
        </w:tc>
        <w:tc>
          <w:tcPr>
            <w:tcW w:w="1417" w:type="dxa"/>
            <w:vMerge w:val="restart"/>
            <w:noWrap w:val="0"/>
            <w:vAlign w:val="center"/>
          </w:tcPr>
          <w:p w14:paraId="64909D12">
            <w:pPr>
              <w:pStyle w:val="13"/>
              <w:spacing w:line="320" w:lineRule="exact"/>
              <w:jc w:val="center"/>
              <w:rPr>
                <w:rFonts w:hint="eastAsia" w:hAnsi="宋体" w:cs="宋体"/>
                <w:b/>
                <w:sz w:val="21"/>
              </w:rPr>
            </w:pPr>
            <w:r>
              <w:rPr>
                <w:rFonts w:hint="eastAsia" w:hAnsi="宋体" w:cs="宋体"/>
                <w:b/>
                <w:sz w:val="21"/>
              </w:rPr>
              <w:t>中标日期</w:t>
            </w:r>
          </w:p>
        </w:tc>
        <w:tc>
          <w:tcPr>
            <w:tcW w:w="1560" w:type="dxa"/>
            <w:vMerge w:val="restart"/>
            <w:noWrap w:val="0"/>
            <w:vAlign w:val="center"/>
          </w:tcPr>
          <w:p w14:paraId="1DC8EB3E">
            <w:pPr>
              <w:pStyle w:val="13"/>
              <w:spacing w:line="320" w:lineRule="exact"/>
              <w:jc w:val="center"/>
              <w:rPr>
                <w:rFonts w:hint="eastAsia" w:hAnsi="宋体" w:cs="宋体"/>
                <w:b/>
                <w:sz w:val="21"/>
              </w:rPr>
            </w:pPr>
            <w:r>
              <w:rPr>
                <w:rFonts w:hint="eastAsia" w:hAnsi="宋体" w:cs="宋体"/>
                <w:b/>
                <w:sz w:val="21"/>
              </w:rPr>
              <w:t>签订合同</w:t>
            </w:r>
          </w:p>
          <w:p w14:paraId="43541ACE">
            <w:pPr>
              <w:pStyle w:val="13"/>
              <w:spacing w:line="320" w:lineRule="exact"/>
              <w:jc w:val="center"/>
              <w:rPr>
                <w:rFonts w:hint="eastAsia" w:hAnsi="宋体" w:cs="宋体"/>
                <w:b/>
                <w:sz w:val="21"/>
              </w:rPr>
            </w:pPr>
            <w:r>
              <w:rPr>
                <w:rFonts w:hint="eastAsia" w:hAnsi="宋体" w:cs="宋体"/>
                <w:b/>
                <w:sz w:val="21"/>
              </w:rPr>
              <w:t>日期</w:t>
            </w:r>
          </w:p>
        </w:tc>
        <w:tc>
          <w:tcPr>
            <w:tcW w:w="1702" w:type="dxa"/>
            <w:vMerge w:val="restart"/>
            <w:noWrap w:val="0"/>
            <w:vAlign w:val="center"/>
          </w:tcPr>
          <w:p w14:paraId="1C789ADD">
            <w:pPr>
              <w:pStyle w:val="13"/>
              <w:spacing w:line="320" w:lineRule="exact"/>
              <w:jc w:val="center"/>
              <w:rPr>
                <w:rFonts w:hint="eastAsia" w:hAnsi="宋体" w:cs="宋体"/>
                <w:b/>
                <w:sz w:val="21"/>
              </w:rPr>
            </w:pPr>
            <w:r>
              <w:rPr>
                <w:rFonts w:hint="eastAsia" w:hAnsi="宋体" w:cs="宋体"/>
                <w:b/>
                <w:sz w:val="21"/>
              </w:rPr>
              <w:t>竣工日期</w:t>
            </w:r>
          </w:p>
        </w:tc>
      </w:tr>
      <w:tr w14:paraId="3F03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384" w:type="dxa"/>
            <w:vMerge w:val="continue"/>
            <w:noWrap w:val="0"/>
            <w:vAlign w:val="top"/>
          </w:tcPr>
          <w:p w14:paraId="2A7B1847">
            <w:pPr>
              <w:pStyle w:val="13"/>
              <w:spacing w:line="560" w:lineRule="exact"/>
              <w:rPr>
                <w:rFonts w:hint="eastAsia" w:hAnsi="宋体" w:cs="宋体"/>
                <w:sz w:val="21"/>
              </w:rPr>
            </w:pPr>
          </w:p>
        </w:tc>
        <w:tc>
          <w:tcPr>
            <w:tcW w:w="1418" w:type="dxa"/>
            <w:vMerge w:val="continue"/>
            <w:noWrap w:val="0"/>
            <w:vAlign w:val="top"/>
          </w:tcPr>
          <w:p w14:paraId="07E1BDA4">
            <w:pPr>
              <w:pStyle w:val="13"/>
              <w:spacing w:line="560" w:lineRule="exact"/>
              <w:rPr>
                <w:rFonts w:hint="eastAsia" w:hAnsi="宋体" w:cs="宋体"/>
                <w:sz w:val="21"/>
              </w:rPr>
            </w:pPr>
          </w:p>
        </w:tc>
        <w:tc>
          <w:tcPr>
            <w:tcW w:w="1559" w:type="dxa"/>
            <w:vMerge w:val="continue"/>
            <w:noWrap w:val="0"/>
            <w:vAlign w:val="top"/>
          </w:tcPr>
          <w:p w14:paraId="25888EF4">
            <w:pPr>
              <w:pStyle w:val="13"/>
              <w:spacing w:line="560" w:lineRule="exact"/>
              <w:rPr>
                <w:rFonts w:hint="eastAsia" w:hAnsi="宋体" w:cs="宋体"/>
                <w:sz w:val="21"/>
              </w:rPr>
            </w:pPr>
          </w:p>
        </w:tc>
        <w:tc>
          <w:tcPr>
            <w:tcW w:w="1417" w:type="dxa"/>
            <w:vMerge w:val="continue"/>
            <w:noWrap w:val="0"/>
            <w:vAlign w:val="top"/>
          </w:tcPr>
          <w:p w14:paraId="49F46369">
            <w:pPr>
              <w:pStyle w:val="13"/>
              <w:spacing w:line="560" w:lineRule="exact"/>
              <w:rPr>
                <w:rFonts w:hint="eastAsia" w:hAnsi="宋体" w:cs="宋体"/>
                <w:sz w:val="21"/>
              </w:rPr>
            </w:pPr>
          </w:p>
        </w:tc>
        <w:tc>
          <w:tcPr>
            <w:tcW w:w="1560" w:type="dxa"/>
            <w:vMerge w:val="continue"/>
            <w:noWrap w:val="0"/>
            <w:vAlign w:val="top"/>
          </w:tcPr>
          <w:p w14:paraId="40BD5FA7">
            <w:pPr>
              <w:pStyle w:val="13"/>
              <w:spacing w:line="560" w:lineRule="exact"/>
              <w:rPr>
                <w:rFonts w:hint="eastAsia" w:hAnsi="宋体" w:cs="宋体"/>
                <w:sz w:val="21"/>
              </w:rPr>
            </w:pPr>
          </w:p>
        </w:tc>
        <w:tc>
          <w:tcPr>
            <w:tcW w:w="1702" w:type="dxa"/>
            <w:vMerge w:val="continue"/>
            <w:noWrap w:val="0"/>
            <w:vAlign w:val="top"/>
          </w:tcPr>
          <w:p w14:paraId="442B4E98">
            <w:pPr>
              <w:pStyle w:val="13"/>
              <w:spacing w:line="560" w:lineRule="exact"/>
              <w:rPr>
                <w:rFonts w:hint="eastAsia" w:hAnsi="宋体" w:cs="宋体"/>
                <w:sz w:val="21"/>
              </w:rPr>
            </w:pPr>
          </w:p>
        </w:tc>
      </w:tr>
      <w:tr w14:paraId="3864B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384" w:type="dxa"/>
            <w:noWrap w:val="0"/>
            <w:vAlign w:val="top"/>
          </w:tcPr>
          <w:p w14:paraId="3BB069D3">
            <w:pPr>
              <w:pStyle w:val="13"/>
              <w:spacing w:line="560" w:lineRule="exact"/>
              <w:rPr>
                <w:rFonts w:hint="eastAsia" w:hAnsi="宋体" w:cs="宋体"/>
                <w:sz w:val="21"/>
              </w:rPr>
            </w:pPr>
          </w:p>
        </w:tc>
        <w:tc>
          <w:tcPr>
            <w:tcW w:w="1418" w:type="dxa"/>
            <w:noWrap w:val="0"/>
            <w:vAlign w:val="top"/>
          </w:tcPr>
          <w:p w14:paraId="18F2E5CF">
            <w:pPr>
              <w:pStyle w:val="13"/>
              <w:spacing w:line="560" w:lineRule="exact"/>
              <w:rPr>
                <w:rFonts w:hint="eastAsia" w:hAnsi="宋体" w:cs="宋体"/>
                <w:sz w:val="21"/>
              </w:rPr>
            </w:pPr>
          </w:p>
        </w:tc>
        <w:tc>
          <w:tcPr>
            <w:tcW w:w="1559" w:type="dxa"/>
            <w:noWrap w:val="0"/>
            <w:vAlign w:val="top"/>
          </w:tcPr>
          <w:p w14:paraId="00BF0E90">
            <w:pPr>
              <w:pStyle w:val="13"/>
              <w:spacing w:line="560" w:lineRule="exact"/>
              <w:rPr>
                <w:rFonts w:hint="eastAsia" w:hAnsi="宋体" w:cs="宋体"/>
                <w:sz w:val="21"/>
              </w:rPr>
            </w:pPr>
          </w:p>
        </w:tc>
        <w:tc>
          <w:tcPr>
            <w:tcW w:w="1417" w:type="dxa"/>
            <w:noWrap w:val="0"/>
            <w:vAlign w:val="top"/>
          </w:tcPr>
          <w:p w14:paraId="6E2DCB85">
            <w:pPr>
              <w:pStyle w:val="13"/>
              <w:spacing w:line="560" w:lineRule="exact"/>
              <w:rPr>
                <w:rFonts w:hint="eastAsia" w:hAnsi="宋体" w:cs="宋体"/>
                <w:sz w:val="21"/>
              </w:rPr>
            </w:pPr>
          </w:p>
        </w:tc>
        <w:tc>
          <w:tcPr>
            <w:tcW w:w="1560" w:type="dxa"/>
            <w:noWrap w:val="0"/>
            <w:vAlign w:val="top"/>
          </w:tcPr>
          <w:p w14:paraId="4BA9AFD7">
            <w:pPr>
              <w:pStyle w:val="13"/>
              <w:spacing w:line="560" w:lineRule="exact"/>
              <w:rPr>
                <w:rFonts w:hint="eastAsia" w:hAnsi="宋体" w:cs="宋体"/>
                <w:sz w:val="21"/>
              </w:rPr>
            </w:pPr>
          </w:p>
        </w:tc>
        <w:tc>
          <w:tcPr>
            <w:tcW w:w="1702" w:type="dxa"/>
            <w:noWrap w:val="0"/>
            <w:vAlign w:val="top"/>
          </w:tcPr>
          <w:p w14:paraId="04CDDBB1">
            <w:pPr>
              <w:pStyle w:val="13"/>
              <w:spacing w:line="560" w:lineRule="exact"/>
              <w:rPr>
                <w:rFonts w:hint="eastAsia" w:hAnsi="宋体" w:cs="宋体"/>
                <w:sz w:val="21"/>
              </w:rPr>
            </w:pPr>
          </w:p>
        </w:tc>
      </w:tr>
      <w:tr w14:paraId="26B65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384" w:type="dxa"/>
            <w:noWrap w:val="0"/>
            <w:vAlign w:val="top"/>
          </w:tcPr>
          <w:p w14:paraId="2D40BC01">
            <w:pPr>
              <w:pStyle w:val="13"/>
              <w:spacing w:line="560" w:lineRule="exact"/>
              <w:rPr>
                <w:rFonts w:hint="eastAsia" w:hAnsi="宋体" w:cs="宋体"/>
                <w:sz w:val="21"/>
              </w:rPr>
            </w:pPr>
          </w:p>
        </w:tc>
        <w:tc>
          <w:tcPr>
            <w:tcW w:w="1418" w:type="dxa"/>
            <w:noWrap w:val="0"/>
            <w:vAlign w:val="top"/>
          </w:tcPr>
          <w:p w14:paraId="2A2B3571">
            <w:pPr>
              <w:pStyle w:val="13"/>
              <w:spacing w:line="560" w:lineRule="exact"/>
              <w:rPr>
                <w:rFonts w:hint="eastAsia" w:hAnsi="宋体" w:cs="宋体"/>
                <w:sz w:val="21"/>
              </w:rPr>
            </w:pPr>
          </w:p>
        </w:tc>
        <w:tc>
          <w:tcPr>
            <w:tcW w:w="1559" w:type="dxa"/>
            <w:noWrap w:val="0"/>
            <w:vAlign w:val="top"/>
          </w:tcPr>
          <w:p w14:paraId="7861AE26">
            <w:pPr>
              <w:pStyle w:val="13"/>
              <w:spacing w:line="560" w:lineRule="exact"/>
              <w:rPr>
                <w:rFonts w:hint="eastAsia" w:hAnsi="宋体" w:cs="宋体"/>
                <w:sz w:val="21"/>
              </w:rPr>
            </w:pPr>
          </w:p>
        </w:tc>
        <w:tc>
          <w:tcPr>
            <w:tcW w:w="1417" w:type="dxa"/>
            <w:noWrap w:val="0"/>
            <w:vAlign w:val="top"/>
          </w:tcPr>
          <w:p w14:paraId="616FE505">
            <w:pPr>
              <w:pStyle w:val="13"/>
              <w:spacing w:line="560" w:lineRule="exact"/>
              <w:rPr>
                <w:rFonts w:hint="eastAsia" w:hAnsi="宋体" w:cs="宋体"/>
                <w:sz w:val="21"/>
              </w:rPr>
            </w:pPr>
          </w:p>
        </w:tc>
        <w:tc>
          <w:tcPr>
            <w:tcW w:w="1560" w:type="dxa"/>
            <w:noWrap w:val="0"/>
            <w:vAlign w:val="top"/>
          </w:tcPr>
          <w:p w14:paraId="679F37AA">
            <w:pPr>
              <w:pStyle w:val="13"/>
              <w:spacing w:line="560" w:lineRule="exact"/>
              <w:rPr>
                <w:rFonts w:hint="eastAsia" w:hAnsi="宋体" w:cs="宋体"/>
                <w:sz w:val="21"/>
              </w:rPr>
            </w:pPr>
          </w:p>
        </w:tc>
        <w:tc>
          <w:tcPr>
            <w:tcW w:w="1702" w:type="dxa"/>
            <w:noWrap w:val="0"/>
            <w:vAlign w:val="top"/>
          </w:tcPr>
          <w:p w14:paraId="2E564D7F">
            <w:pPr>
              <w:pStyle w:val="13"/>
              <w:spacing w:line="560" w:lineRule="exact"/>
              <w:rPr>
                <w:rFonts w:hint="eastAsia" w:hAnsi="宋体" w:cs="宋体"/>
                <w:sz w:val="21"/>
              </w:rPr>
            </w:pPr>
          </w:p>
        </w:tc>
      </w:tr>
      <w:tr w14:paraId="2A91C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384" w:type="dxa"/>
            <w:noWrap w:val="0"/>
            <w:vAlign w:val="top"/>
          </w:tcPr>
          <w:p w14:paraId="65005280">
            <w:pPr>
              <w:pStyle w:val="13"/>
              <w:spacing w:line="560" w:lineRule="exact"/>
              <w:rPr>
                <w:rFonts w:hint="eastAsia" w:hAnsi="宋体" w:cs="宋体"/>
                <w:sz w:val="21"/>
              </w:rPr>
            </w:pPr>
          </w:p>
        </w:tc>
        <w:tc>
          <w:tcPr>
            <w:tcW w:w="1418" w:type="dxa"/>
            <w:noWrap w:val="0"/>
            <w:vAlign w:val="top"/>
          </w:tcPr>
          <w:p w14:paraId="19A47B60">
            <w:pPr>
              <w:pStyle w:val="13"/>
              <w:spacing w:line="560" w:lineRule="exact"/>
              <w:rPr>
                <w:rFonts w:hint="eastAsia" w:hAnsi="宋体" w:cs="宋体"/>
                <w:sz w:val="21"/>
              </w:rPr>
            </w:pPr>
          </w:p>
        </w:tc>
        <w:tc>
          <w:tcPr>
            <w:tcW w:w="1559" w:type="dxa"/>
            <w:noWrap w:val="0"/>
            <w:vAlign w:val="top"/>
          </w:tcPr>
          <w:p w14:paraId="55294D20">
            <w:pPr>
              <w:pStyle w:val="13"/>
              <w:spacing w:line="560" w:lineRule="exact"/>
              <w:rPr>
                <w:rFonts w:hint="eastAsia" w:hAnsi="宋体" w:cs="宋体"/>
                <w:sz w:val="21"/>
              </w:rPr>
            </w:pPr>
          </w:p>
        </w:tc>
        <w:tc>
          <w:tcPr>
            <w:tcW w:w="1417" w:type="dxa"/>
            <w:noWrap w:val="0"/>
            <w:vAlign w:val="top"/>
          </w:tcPr>
          <w:p w14:paraId="3F7D46D4">
            <w:pPr>
              <w:pStyle w:val="13"/>
              <w:spacing w:line="560" w:lineRule="exact"/>
              <w:rPr>
                <w:rFonts w:hint="eastAsia" w:hAnsi="宋体" w:cs="宋体"/>
                <w:sz w:val="21"/>
              </w:rPr>
            </w:pPr>
          </w:p>
        </w:tc>
        <w:tc>
          <w:tcPr>
            <w:tcW w:w="1560" w:type="dxa"/>
            <w:noWrap w:val="0"/>
            <w:vAlign w:val="top"/>
          </w:tcPr>
          <w:p w14:paraId="315D978E">
            <w:pPr>
              <w:pStyle w:val="13"/>
              <w:spacing w:line="560" w:lineRule="exact"/>
              <w:rPr>
                <w:rFonts w:hint="eastAsia" w:hAnsi="宋体" w:cs="宋体"/>
                <w:sz w:val="21"/>
              </w:rPr>
            </w:pPr>
          </w:p>
        </w:tc>
        <w:tc>
          <w:tcPr>
            <w:tcW w:w="1702" w:type="dxa"/>
            <w:noWrap w:val="0"/>
            <w:vAlign w:val="top"/>
          </w:tcPr>
          <w:p w14:paraId="63D5E4D2">
            <w:pPr>
              <w:pStyle w:val="13"/>
              <w:spacing w:line="560" w:lineRule="exact"/>
              <w:rPr>
                <w:rFonts w:hint="eastAsia" w:hAnsi="宋体" w:cs="宋体"/>
                <w:sz w:val="21"/>
              </w:rPr>
            </w:pPr>
          </w:p>
        </w:tc>
      </w:tr>
      <w:tr w14:paraId="17851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384" w:type="dxa"/>
            <w:noWrap w:val="0"/>
            <w:vAlign w:val="top"/>
          </w:tcPr>
          <w:p w14:paraId="7146B9D0">
            <w:pPr>
              <w:pStyle w:val="13"/>
              <w:spacing w:line="560" w:lineRule="exact"/>
              <w:rPr>
                <w:rFonts w:hint="eastAsia" w:hAnsi="宋体" w:cs="宋体"/>
                <w:sz w:val="21"/>
              </w:rPr>
            </w:pPr>
          </w:p>
        </w:tc>
        <w:tc>
          <w:tcPr>
            <w:tcW w:w="1418" w:type="dxa"/>
            <w:noWrap w:val="0"/>
            <w:vAlign w:val="top"/>
          </w:tcPr>
          <w:p w14:paraId="60CA19DD">
            <w:pPr>
              <w:pStyle w:val="13"/>
              <w:spacing w:line="560" w:lineRule="exact"/>
              <w:rPr>
                <w:rFonts w:hint="eastAsia" w:hAnsi="宋体" w:cs="宋体"/>
                <w:sz w:val="21"/>
              </w:rPr>
            </w:pPr>
          </w:p>
        </w:tc>
        <w:tc>
          <w:tcPr>
            <w:tcW w:w="1559" w:type="dxa"/>
            <w:noWrap w:val="0"/>
            <w:vAlign w:val="top"/>
          </w:tcPr>
          <w:p w14:paraId="2B5CAB81">
            <w:pPr>
              <w:pStyle w:val="13"/>
              <w:spacing w:line="560" w:lineRule="exact"/>
              <w:rPr>
                <w:rFonts w:hint="eastAsia" w:hAnsi="宋体" w:cs="宋体"/>
                <w:sz w:val="21"/>
              </w:rPr>
            </w:pPr>
          </w:p>
        </w:tc>
        <w:tc>
          <w:tcPr>
            <w:tcW w:w="1417" w:type="dxa"/>
            <w:noWrap w:val="0"/>
            <w:vAlign w:val="top"/>
          </w:tcPr>
          <w:p w14:paraId="282C9171">
            <w:pPr>
              <w:pStyle w:val="13"/>
              <w:spacing w:line="560" w:lineRule="exact"/>
              <w:rPr>
                <w:rFonts w:hint="eastAsia" w:hAnsi="宋体" w:cs="宋体"/>
                <w:sz w:val="21"/>
              </w:rPr>
            </w:pPr>
          </w:p>
        </w:tc>
        <w:tc>
          <w:tcPr>
            <w:tcW w:w="1560" w:type="dxa"/>
            <w:noWrap w:val="0"/>
            <w:vAlign w:val="top"/>
          </w:tcPr>
          <w:p w14:paraId="4CD5B240">
            <w:pPr>
              <w:pStyle w:val="13"/>
              <w:spacing w:line="560" w:lineRule="exact"/>
              <w:rPr>
                <w:rFonts w:hint="eastAsia" w:hAnsi="宋体" w:cs="宋体"/>
                <w:sz w:val="21"/>
              </w:rPr>
            </w:pPr>
          </w:p>
        </w:tc>
        <w:tc>
          <w:tcPr>
            <w:tcW w:w="1702" w:type="dxa"/>
            <w:noWrap w:val="0"/>
            <w:vAlign w:val="top"/>
          </w:tcPr>
          <w:p w14:paraId="34F17804">
            <w:pPr>
              <w:pStyle w:val="13"/>
              <w:spacing w:line="560" w:lineRule="exact"/>
              <w:rPr>
                <w:rFonts w:hint="eastAsia" w:hAnsi="宋体" w:cs="宋体"/>
                <w:sz w:val="21"/>
              </w:rPr>
            </w:pPr>
          </w:p>
        </w:tc>
      </w:tr>
      <w:tr w14:paraId="79F18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384" w:type="dxa"/>
            <w:noWrap w:val="0"/>
            <w:vAlign w:val="top"/>
          </w:tcPr>
          <w:p w14:paraId="59C0AD52">
            <w:pPr>
              <w:pStyle w:val="13"/>
              <w:spacing w:line="560" w:lineRule="exact"/>
              <w:rPr>
                <w:rFonts w:hint="eastAsia" w:hAnsi="宋体" w:cs="宋体"/>
                <w:sz w:val="21"/>
              </w:rPr>
            </w:pPr>
          </w:p>
        </w:tc>
        <w:tc>
          <w:tcPr>
            <w:tcW w:w="1418" w:type="dxa"/>
            <w:noWrap w:val="0"/>
            <w:vAlign w:val="top"/>
          </w:tcPr>
          <w:p w14:paraId="78D2C4D4">
            <w:pPr>
              <w:pStyle w:val="13"/>
              <w:spacing w:line="560" w:lineRule="exact"/>
              <w:rPr>
                <w:rFonts w:hint="eastAsia" w:hAnsi="宋体" w:cs="宋体"/>
                <w:sz w:val="21"/>
              </w:rPr>
            </w:pPr>
          </w:p>
        </w:tc>
        <w:tc>
          <w:tcPr>
            <w:tcW w:w="1559" w:type="dxa"/>
            <w:noWrap w:val="0"/>
            <w:vAlign w:val="top"/>
          </w:tcPr>
          <w:p w14:paraId="36D2D0BD">
            <w:pPr>
              <w:pStyle w:val="13"/>
              <w:spacing w:line="560" w:lineRule="exact"/>
              <w:rPr>
                <w:rFonts w:hint="eastAsia" w:hAnsi="宋体" w:cs="宋体"/>
                <w:sz w:val="21"/>
              </w:rPr>
            </w:pPr>
          </w:p>
        </w:tc>
        <w:tc>
          <w:tcPr>
            <w:tcW w:w="1417" w:type="dxa"/>
            <w:noWrap w:val="0"/>
            <w:vAlign w:val="top"/>
          </w:tcPr>
          <w:p w14:paraId="41C8CAC4">
            <w:pPr>
              <w:pStyle w:val="13"/>
              <w:spacing w:line="560" w:lineRule="exact"/>
              <w:rPr>
                <w:rFonts w:hint="eastAsia" w:hAnsi="宋体" w:cs="宋体"/>
                <w:sz w:val="21"/>
              </w:rPr>
            </w:pPr>
          </w:p>
        </w:tc>
        <w:tc>
          <w:tcPr>
            <w:tcW w:w="1560" w:type="dxa"/>
            <w:noWrap w:val="0"/>
            <w:vAlign w:val="top"/>
          </w:tcPr>
          <w:p w14:paraId="4FEDCCA7">
            <w:pPr>
              <w:pStyle w:val="13"/>
              <w:spacing w:line="560" w:lineRule="exact"/>
              <w:rPr>
                <w:rFonts w:hint="eastAsia" w:hAnsi="宋体" w:cs="宋体"/>
                <w:sz w:val="21"/>
              </w:rPr>
            </w:pPr>
          </w:p>
        </w:tc>
        <w:tc>
          <w:tcPr>
            <w:tcW w:w="1702" w:type="dxa"/>
            <w:noWrap w:val="0"/>
            <w:vAlign w:val="top"/>
          </w:tcPr>
          <w:p w14:paraId="3AED924B">
            <w:pPr>
              <w:pStyle w:val="13"/>
              <w:spacing w:line="560" w:lineRule="exact"/>
              <w:rPr>
                <w:rFonts w:hint="eastAsia" w:hAnsi="宋体" w:cs="宋体"/>
                <w:sz w:val="21"/>
              </w:rPr>
            </w:pPr>
          </w:p>
        </w:tc>
      </w:tr>
    </w:tbl>
    <w:p w14:paraId="68557FF1">
      <w:pPr>
        <w:pStyle w:val="19"/>
        <w:ind w:left="0" w:leftChars="0" w:firstLine="0" w:firstLineChars="0"/>
        <w:rPr>
          <w:rFonts w:hint="eastAsia" w:ascii="宋体" w:hAnsi="宋体" w:eastAsia="宋体"/>
          <w:szCs w:val="21"/>
        </w:rPr>
      </w:pPr>
      <w:r>
        <w:rPr>
          <w:rFonts w:hint="eastAsia" w:ascii="宋体" w:hAnsi="宋体" w:eastAsia="宋体" w:cs="宋体"/>
          <w:szCs w:val="21"/>
        </w:rPr>
        <w:t>注：根据本项目第</w:t>
      </w:r>
      <w:r>
        <w:rPr>
          <w:rFonts w:hint="eastAsia" w:ascii="宋体" w:hAnsi="宋体" w:eastAsia="宋体" w:cs="宋体"/>
          <w:szCs w:val="21"/>
          <w:lang w:val="en-US" w:eastAsia="zh-CN"/>
        </w:rPr>
        <w:t>四</w:t>
      </w:r>
      <w:r>
        <w:rPr>
          <w:rFonts w:hint="eastAsia" w:ascii="宋体" w:hAnsi="宋体" w:eastAsia="宋体" w:cs="宋体"/>
          <w:szCs w:val="21"/>
        </w:rPr>
        <w:t>章评审程序、评审方法和评审标准的要求附材料。</w:t>
      </w:r>
    </w:p>
    <w:p w14:paraId="14A2D33A">
      <w:pPr>
        <w:pStyle w:val="19"/>
        <w:ind w:firstLine="404"/>
        <w:jc w:val="center"/>
        <w:rPr>
          <w:rFonts w:hint="eastAsia" w:ascii="宋体" w:hAnsi="宋体" w:eastAsia="宋体"/>
        </w:rPr>
      </w:pPr>
    </w:p>
    <w:p w14:paraId="5CD56F90">
      <w:pPr>
        <w:snapToGrid w:val="0"/>
        <w:spacing w:before="50" w:after="50" w:line="300" w:lineRule="auto"/>
        <w:jc w:val="center"/>
        <w:rPr>
          <w:rFonts w:hint="eastAsia" w:ascii="宋体" w:hAnsi="宋体"/>
          <w:b/>
          <w:sz w:val="30"/>
        </w:rPr>
      </w:pPr>
    </w:p>
    <w:p w14:paraId="65C40AE6">
      <w:pPr>
        <w:snapToGrid w:val="0"/>
        <w:spacing w:before="50" w:after="50" w:line="300" w:lineRule="auto"/>
        <w:jc w:val="center"/>
        <w:rPr>
          <w:rFonts w:hint="eastAsia" w:ascii="宋体" w:hAnsi="宋体"/>
          <w:b/>
          <w:sz w:val="30"/>
        </w:rPr>
      </w:pPr>
    </w:p>
    <w:p w14:paraId="52F8D138">
      <w:pPr>
        <w:snapToGrid w:val="0"/>
        <w:spacing w:before="50" w:after="50" w:line="300" w:lineRule="auto"/>
        <w:jc w:val="center"/>
        <w:rPr>
          <w:rFonts w:hint="eastAsia" w:ascii="宋体" w:hAnsi="宋体"/>
          <w:b/>
          <w:sz w:val="30"/>
        </w:rPr>
      </w:pPr>
    </w:p>
    <w:p w14:paraId="4C7A6BDF">
      <w:pPr>
        <w:snapToGrid w:val="0"/>
        <w:spacing w:before="50" w:after="50" w:line="300" w:lineRule="auto"/>
        <w:jc w:val="center"/>
        <w:rPr>
          <w:rFonts w:hint="eastAsia" w:ascii="宋体" w:hAnsi="宋体"/>
          <w:b/>
          <w:sz w:val="30"/>
        </w:rPr>
      </w:pPr>
    </w:p>
    <w:p w14:paraId="4B68AAF0">
      <w:pPr>
        <w:snapToGrid w:val="0"/>
        <w:spacing w:before="50" w:after="50" w:line="300" w:lineRule="auto"/>
        <w:jc w:val="center"/>
        <w:rPr>
          <w:rFonts w:hint="eastAsia" w:ascii="宋体" w:hAnsi="宋体"/>
          <w:b/>
          <w:sz w:val="30"/>
        </w:rPr>
      </w:pPr>
    </w:p>
    <w:p w14:paraId="5BA5CE60">
      <w:pPr>
        <w:snapToGrid w:val="0"/>
        <w:spacing w:before="50" w:after="50" w:line="300" w:lineRule="auto"/>
        <w:jc w:val="center"/>
        <w:rPr>
          <w:rFonts w:hint="eastAsia" w:ascii="宋体" w:hAnsi="宋体"/>
          <w:b/>
          <w:sz w:val="30"/>
        </w:rPr>
      </w:pPr>
    </w:p>
    <w:p w14:paraId="0A202D83">
      <w:pPr>
        <w:snapToGrid w:val="0"/>
        <w:spacing w:before="50" w:after="50" w:line="300" w:lineRule="auto"/>
        <w:jc w:val="center"/>
        <w:rPr>
          <w:rFonts w:hint="eastAsia" w:ascii="宋体" w:hAnsi="宋体"/>
          <w:b/>
          <w:sz w:val="30"/>
        </w:rPr>
      </w:pPr>
    </w:p>
    <w:p w14:paraId="3549C2CF">
      <w:pPr>
        <w:snapToGrid w:val="0"/>
        <w:spacing w:before="50" w:after="50" w:line="300" w:lineRule="auto"/>
        <w:jc w:val="center"/>
        <w:rPr>
          <w:rFonts w:hint="eastAsia" w:ascii="宋体" w:hAnsi="宋体"/>
          <w:b/>
          <w:sz w:val="30"/>
        </w:rPr>
      </w:pPr>
    </w:p>
    <w:p w14:paraId="62672F04">
      <w:pPr>
        <w:snapToGrid w:val="0"/>
        <w:spacing w:before="50" w:after="50" w:line="300" w:lineRule="auto"/>
        <w:jc w:val="center"/>
        <w:rPr>
          <w:rFonts w:hint="eastAsia" w:ascii="宋体" w:hAnsi="宋体"/>
          <w:b/>
          <w:sz w:val="30"/>
        </w:rPr>
      </w:pPr>
    </w:p>
    <w:p w14:paraId="082543BB">
      <w:pPr>
        <w:pStyle w:val="4"/>
        <w:bidi w:val="0"/>
        <w:jc w:val="center"/>
        <w:rPr>
          <w:rFonts w:hint="eastAsia" w:ascii="宋体" w:hAnsi="宋体" w:eastAsia="宋体" w:cs="宋体"/>
          <w:lang w:val="en-US" w:eastAsia="zh-CN"/>
        </w:rPr>
      </w:pPr>
      <w:r>
        <w:rPr>
          <w:rFonts w:hint="eastAsia" w:ascii="宋体" w:hAnsi="宋体" w:eastAsia="宋体" w:cs="宋体"/>
          <w:lang w:val="en-US" w:eastAsia="zh-CN"/>
        </w:rPr>
        <w:t>5、项目管理机构组成表</w:t>
      </w:r>
    </w:p>
    <w:tbl>
      <w:tblPr>
        <w:tblStyle w:val="20"/>
        <w:tblW w:w="8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5"/>
        <w:gridCol w:w="945"/>
        <w:gridCol w:w="720"/>
        <w:gridCol w:w="770"/>
        <w:gridCol w:w="966"/>
        <w:gridCol w:w="1696"/>
        <w:gridCol w:w="1035"/>
        <w:gridCol w:w="1006"/>
      </w:tblGrid>
      <w:tr w14:paraId="13E13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425" w:type="dxa"/>
            <w:vMerge w:val="restart"/>
            <w:noWrap w:val="0"/>
            <w:vAlign w:val="center"/>
          </w:tcPr>
          <w:p w14:paraId="0790CB3B">
            <w:pPr>
              <w:jc w:val="center"/>
              <w:rPr>
                <w:rFonts w:ascii="宋体" w:hAnsi="宋体"/>
                <w:szCs w:val="21"/>
              </w:rPr>
            </w:pPr>
            <w:r>
              <w:rPr>
                <w:rFonts w:hint="eastAsia" w:ascii="宋体" w:hAnsi="宋体"/>
                <w:szCs w:val="21"/>
              </w:rPr>
              <w:t>工作岗位名称</w:t>
            </w:r>
          </w:p>
        </w:tc>
        <w:tc>
          <w:tcPr>
            <w:tcW w:w="945" w:type="dxa"/>
            <w:vMerge w:val="restart"/>
            <w:noWrap w:val="0"/>
            <w:vAlign w:val="center"/>
          </w:tcPr>
          <w:p w14:paraId="14643CA7">
            <w:pPr>
              <w:jc w:val="center"/>
              <w:rPr>
                <w:rFonts w:ascii="宋体" w:hAnsi="宋体"/>
                <w:szCs w:val="21"/>
              </w:rPr>
            </w:pPr>
            <w:r>
              <w:rPr>
                <w:rFonts w:hint="eastAsia" w:ascii="宋体" w:hAnsi="宋体"/>
                <w:szCs w:val="21"/>
              </w:rPr>
              <w:t>姓名</w:t>
            </w:r>
          </w:p>
        </w:tc>
        <w:tc>
          <w:tcPr>
            <w:tcW w:w="720" w:type="dxa"/>
            <w:vMerge w:val="restart"/>
            <w:noWrap w:val="0"/>
            <w:vAlign w:val="center"/>
          </w:tcPr>
          <w:p w14:paraId="7F108F1D">
            <w:pPr>
              <w:jc w:val="center"/>
              <w:rPr>
                <w:rFonts w:hint="eastAsia" w:ascii="宋体" w:hAnsi="宋体"/>
                <w:szCs w:val="21"/>
              </w:rPr>
            </w:pPr>
            <w:r>
              <w:rPr>
                <w:rFonts w:hint="eastAsia" w:ascii="宋体" w:hAnsi="宋体"/>
                <w:szCs w:val="21"/>
              </w:rPr>
              <w:t>性别</w:t>
            </w:r>
          </w:p>
        </w:tc>
        <w:tc>
          <w:tcPr>
            <w:tcW w:w="770" w:type="dxa"/>
            <w:vMerge w:val="restart"/>
            <w:noWrap w:val="0"/>
            <w:vAlign w:val="center"/>
          </w:tcPr>
          <w:p w14:paraId="7D61AC3B">
            <w:pPr>
              <w:jc w:val="center"/>
              <w:rPr>
                <w:rFonts w:hint="eastAsia" w:ascii="宋体" w:hAnsi="宋体"/>
                <w:szCs w:val="21"/>
              </w:rPr>
            </w:pPr>
            <w:r>
              <w:rPr>
                <w:rFonts w:hint="eastAsia" w:ascii="宋体" w:hAnsi="宋体"/>
                <w:szCs w:val="21"/>
              </w:rPr>
              <w:t>职称</w:t>
            </w:r>
          </w:p>
        </w:tc>
        <w:tc>
          <w:tcPr>
            <w:tcW w:w="966" w:type="dxa"/>
            <w:vMerge w:val="restart"/>
            <w:noWrap w:val="0"/>
            <w:vAlign w:val="center"/>
          </w:tcPr>
          <w:p w14:paraId="5EE0E1A2">
            <w:pPr>
              <w:jc w:val="center"/>
              <w:rPr>
                <w:rFonts w:ascii="宋体" w:hAnsi="宋体"/>
                <w:szCs w:val="21"/>
              </w:rPr>
            </w:pPr>
            <w:r>
              <w:rPr>
                <w:rFonts w:hint="eastAsia" w:ascii="宋体" w:hAnsi="宋体"/>
                <w:szCs w:val="21"/>
              </w:rPr>
              <w:t>专业</w:t>
            </w:r>
          </w:p>
        </w:tc>
        <w:tc>
          <w:tcPr>
            <w:tcW w:w="1696" w:type="dxa"/>
            <w:vMerge w:val="restart"/>
            <w:noWrap w:val="0"/>
            <w:vAlign w:val="center"/>
          </w:tcPr>
          <w:p w14:paraId="0CA374C9">
            <w:pPr>
              <w:jc w:val="center"/>
              <w:rPr>
                <w:rFonts w:ascii="宋体" w:hAnsi="宋体"/>
                <w:szCs w:val="21"/>
              </w:rPr>
            </w:pPr>
            <w:r>
              <w:rPr>
                <w:rFonts w:hint="eastAsia" w:ascii="宋体" w:hAnsi="宋体"/>
                <w:szCs w:val="21"/>
              </w:rPr>
              <w:t>相关证书名称及编号</w:t>
            </w:r>
          </w:p>
        </w:tc>
        <w:tc>
          <w:tcPr>
            <w:tcW w:w="2041" w:type="dxa"/>
            <w:gridSpan w:val="2"/>
            <w:noWrap w:val="0"/>
            <w:vAlign w:val="center"/>
          </w:tcPr>
          <w:p w14:paraId="0A286411">
            <w:pPr>
              <w:pStyle w:val="35"/>
              <w:spacing w:before="62" w:line="240" w:lineRule="auto"/>
              <w:ind w:right="0" w:rightChars="0"/>
              <w:jc w:val="center"/>
              <w:rPr>
                <w:rFonts w:hint="eastAsia" w:ascii="宋体" w:hAnsi="宋体" w:eastAsia="宋体" w:cs="宋体"/>
                <w:sz w:val="21"/>
                <w:szCs w:val="21"/>
              </w:rPr>
            </w:pPr>
            <w:r>
              <w:rPr>
                <w:rFonts w:hint="eastAsia" w:ascii="宋体" w:hAnsi="宋体" w:eastAsia="宋体" w:cs="宋体"/>
                <w:sz w:val="21"/>
                <w:szCs w:val="21"/>
              </w:rPr>
              <w:t>承担完工工程情况</w:t>
            </w:r>
          </w:p>
        </w:tc>
      </w:tr>
      <w:tr w14:paraId="61EBB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425" w:type="dxa"/>
            <w:vMerge w:val="continue"/>
            <w:noWrap w:val="0"/>
            <w:vAlign w:val="center"/>
          </w:tcPr>
          <w:p w14:paraId="77EBF581">
            <w:pPr>
              <w:pStyle w:val="35"/>
              <w:spacing w:before="62" w:line="240" w:lineRule="auto"/>
              <w:ind w:right="0" w:rightChars="0"/>
              <w:jc w:val="left"/>
            </w:pPr>
          </w:p>
        </w:tc>
        <w:tc>
          <w:tcPr>
            <w:tcW w:w="945" w:type="dxa"/>
            <w:vMerge w:val="continue"/>
            <w:noWrap w:val="0"/>
            <w:vAlign w:val="center"/>
          </w:tcPr>
          <w:p w14:paraId="0DE42906">
            <w:pPr>
              <w:pStyle w:val="35"/>
              <w:spacing w:before="62" w:line="240" w:lineRule="auto"/>
              <w:ind w:right="0" w:rightChars="0"/>
              <w:jc w:val="left"/>
            </w:pPr>
          </w:p>
        </w:tc>
        <w:tc>
          <w:tcPr>
            <w:tcW w:w="720" w:type="dxa"/>
            <w:vMerge w:val="continue"/>
            <w:noWrap w:val="0"/>
            <w:vAlign w:val="center"/>
          </w:tcPr>
          <w:p w14:paraId="27148EEA">
            <w:pPr>
              <w:pStyle w:val="35"/>
              <w:spacing w:before="62" w:line="240" w:lineRule="auto"/>
              <w:ind w:right="0" w:rightChars="0"/>
              <w:jc w:val="left"/>
            </w:pPr>
          </w:p>
        </w:tc>
        <w:tc>
          <w:tcPr>
            <w:tcW w:w="770" w:type="dxa"/>
            <w:vMerge w:val="continue"/>
            <w:noWrap w:val="0"/>
            <w:vAlign w:val="center"/>
          </w:tcPr>
          <w:p w14:paraId="73BE674A">
            <w:pPr>
              <w:pStyle w:val="35"/>
              <w:spacing w:before="62" w:line="240" w:lineRule="auto"/>
              <w:ind w:right="0" w:rightChars="0"/>
              <w:jc w:val="left"/>
            </w:pPr>
          </w:p>
        </w:tc>
        <w:tc>
          <w:tcPr>
            <w:tcW w:w="966" w:type="dxa"/>
            <w:vMerge w:val="continue"/>
            <w:noWrap w:val="0"/>
            <w:vAlign w:val="center"/>
          </w:tcPr>
          <w:p w14:paraId="10578661">
            <w:pPr>
              <w:pStyle w:val="35"/>
              <w:spacing w:before="62" w:line="240" w:lineRule="auto"/>
              <w:ind w:right="0" w:rightChars="0"/>
              <w:jc w:val="left"/>
            </w:pPr>
          </w:p>
        </w:tc>
        <w:tc>
          <w:tcPr>
            <w:tcW w:w="1696" w:type="dxa"/>
            <w:vMerge w:val="continue"/>
            <w:noWrap w:val="0"/>
            <w:vAlign w:val="center"/>
          </w:tcPr>
          <w:p w14:paraId="4C29F0D2">
            <w:pPr>
              <w:pStyle w:val="35"/>
              <w:spacing w:before="62" w:line="240" w:lineRule="auto"/>
              <w:ind w:right="0" w:rightChars="0"/>
              <w:jc w:val="left"/>
            </w:pPr>
          </w:p>
        </w:tc>
        <w:tc>
          <w:tcPr>
            <w:tcW w:w="1035" w:type="dxa"/>
            <w:noWrap w:val="0"/>
            <w:vAlign w:val="center"/>
          </w:tcPr>
          <w:p w14:paraId="488AA6CD">
            <w:pPr>
              <w:pStyle w:val="35"/>
              <w:spacing w:before="99" w:line="240" w:lineRule="auto"/>
              <w:ind w:right="0" w:rightChars="0"/>
              <w:jc w:val="center"/>
              <w:rPr>
                <w:rFonts w:hint="eastAsia" w:ascii="宋体" w:hAnsi="宋体"/>
                <w:kern w:val="2"/>
                <w:sz w:val="21"/>
                <w:szCs w:val="24"/>
                <w:lang w:val="en-US" w:eastAsia="zh-CN" w:bidi="ar-SA"/>
              </w:rPr>
            </w:pPr>
            <w:r>
              <w:rPr>
                <w:rFonts w:hint="eastAsia" w:ascii="宋体" w:hAnsi="宋体" w:eastAsia="宋体" w:cs="宋体"/>
                <w:sz w:val="21"/>
                <w:szCs w:val="21"/>
              </w:rPr>
              <w:t>项目数</w:t>
            </w:r>
          </w:p>
        </w:tc>
        <w:tc>
          <w:tcPr>
            <w:tcW w:w="1006" w:type="dxa"/>
            <w:noWrap w:val="0"/>
            <w:vAlign w:val="center"/>
          </w:tcPr>
          <w:p w14:paraId="77ED1127">
            <w:pPr>
              <w:pStyle w:val="35"/>
              <w:spacing w:line="238" w:lineRule="exact"/>
              <w:ind w:right="1"/>
              <w:jc w:val="center"/>
              <w:rPr>
                <w:kern w:val="2"/>
                <w:sz w:val="21"/>
                <w:szCs w:val="24"/>
                <w:lang w:val="en-US" w:eastAsia="zh-CN" w:bidi="ar-SA"/>
              </w:rPr>
            </w:pPr>
            <w:r>
              <w:rPr>
                <w:rFonts w:hint="eastAsia" w:ascii="宋体" w:hAnsi="宋体" w:eastAsia="宋体" w:cs="宋体"/>
                <w:sz w:val="21"/>
                <w:szCs w:val="21"/>
              </w:rPr>
              <w:t>主要项目名称</w:t>
            </w:r>
          </w:p>
        </w:tc>
      </w:tr>
      <w:tr w14:paraId="1429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425" w:type="dxa"/>
            <w:noWrap w:val="0"/>
            <w:vAlign w:val="center"/>
          </w:tcPr>
          <w:p w14:paraId="73E10E74">
            <w:pPr>
              <w:pStyle w:val="27"/>
              <w:spacing w:line="240" w:lineRule="auto"/>
              <w:ind w:firstLine="0" w:firstLineChars="0"/>
              <w:rPr>
                <w:rFonts w:hint="eastAsia" w:ascii="宋体" w:hAnsi="宋体"/>
              </w:rPr>
            </w:pPr>
            <w:r>
              <w:rPr>
                <w:rFonts w:ascii="Times New Roman" w:hAnsi="Times New Roman" w:eastAsia="Times New Roman" w:cs="Times New Roman"/>
                <w:sz w:val="21"/>
                <w:szCs w:val="21"/>
                <w:lang w:val="en-US" w:eastAsia="en-US" w:bidi="en-US"/>
              </w:rPr>
              <w:t>1.</w:t>
            </w:r>
            <w:r>
              <w:rPr>
                <w:sz w:val="21"/>
                <w:szCs w:val="21"/>
              </w:rPr>
              <w:t>项目经理</w:t>
            </w:r>
          </w:p>
        </w:tc>
        <w:tc>
          <w:tcPr>
            <w:tcW w:w="945" w:type="dxa"/>
            <w:noWrap w:val="0"/>
            <w:vAlign w:val="center"/>
          </w:tcPr>
          <w:p w14:paraId="78DA74A1">
            <w:pPr>
              <w:jc w:val="center"/>
              <w:rPr>
                <w:rFonts w:hint="eastAsia" w:ascii="宋体" w:hAnsi="宋体"/>
              </w:rPr>
            </w:pPr>
          </w:p>
        </w:tc>
        <w:tc>
          <w:tcPr>
            <w:tcW w:w="720" w:type="dxa"/>
            <w:noWrap w:val="0"/>
            <w:vAlign w:val="center"/>
          </w:tcPr>
          <w:p w14:paraId="38713367">
            <w:pPr>
              <w:jc w:val="center"/>
              <w:rPr>
                <w:rFonts w:hint="eastAsia" w:ascii="宋体" w:hAnsi="宋体"/>
              </w:rPr>
            </w:pPr>
          </w:p>
        </w:tc>
        <w:tc>
          <w:tcPr>
            <w:tcW w:w="770" w:type="dxa"/>
            <w:noWrap w:val="0"/>
            <w:vAlign w:val="center"/>
          </w:tcPr>
          <w:p w14:paraId="19765C7A">
            <w:pPr>
              <w:jc w:val="center"/>
              <w:rPr>
                <w:rFonts w:hint="eastAsia" w:ascii="宋体" w:hAnsi="宋体"/>
              </w:rPr>
            </w:pPr>
          </w:p>
        </w:tc>
        <w:tc>
          <w:tcPr>
            <w:tcW w:w="966" w:type="dxa"/>
            <w:noWrap w:val="0"/>
            <w:vAlign w:val="center"/>
          </w:tcPr>
          <w:p w14:paraId="11CABAFE">
            <w:pPr>
              <w:jc w:val="center"/>
              <w:rPr>
                <w:rFonts w:hint="eastAsia" w:ascii="宋体" w:hAnsi="宋体"/>
              </w:rPr>
            </w:pPr>
          </w:p>
        </w:tc>
        <w:tc>
          <w:tcPr>
            <w:tcW w:w="1696" w:type="dxa"/>
            <w:noWrap w:val="0"/>
            <w:vAlign w:val="center"/>
          </w:tcPr>
          <w:p w14:paraId="05A1D46A">
            <w:pPr>
              <w:jc w:val="center"/>
              <w:rPr>
                <w:rFonts w:hint="eastAsia" w:ascii="宋体" w:hAnsi="宋体"/>
              </w:rPr>
            </w:pPr>
          </w:p>
        </w:tc>
        <w:tc>
          <w:tcPr>
            <w:tcW w:w="1035" w:type="dxa"/>
            <w:noWrap w:val="0"/>
            <w:vAlign w:val="top"/>
          </w:tcPr>
          <w:p w14:paraId="70690121">
            <w:pPr>
              <w:pStyle w:val="35"/>
              <w:spacing w:before="99" w:line="240" w:lineRule="auto"/>
              <w:ind w:left="106" w:leftChars="0" w:right="0" w:rightChars="0"/>
              <w:jc w:val="left"/>
              <w:rPr>
                <w:rFonts w:hint="eastAsia" w:ascii="宋体" w:hAnsi="宋体"/>
              </w:rPr>
            </w:pPr>
          </w:p>
        </w:tc>
        <w:tc>
          <w:tcPr>
            <w:tcW w:w="1006" w:type="dxa"/>
            <w:noWrap w:val="0"/>
            <w:vAlign w:val="top"/>
          </w:tcPr>
          <w:p w14:paraId="1E236E72">
            <w:pPr>
              <w:pStyle w:val="35"/>
              <w:spacing w:line="273" w:lineRule="exact"/>
              <w:ind w:right="1" w:rightChars="0"/>
              <w:jc w:val="center"/>
            </w:pPr>
          </w:p>
        </w:tc>
      </w:tr>
      <w:tr w14:paraId="0F378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425" w:type="dxa"/>
            <w:noWrap w:val="0"/>
            <w:vAlign w:val="center"/>
          </w:tcPr>
          <w:p w14:paraId="20E76C99">
            <w:pPr>
              <w:pStyle w:val="27"/>
              <w:spacing w:line="240" w:lineRule="auto"/>
              <w:ind w:firstLine="0" w:firstLineChars="0"/>
              <w:rPr>
                <w:rFonts w:hint="eastAsia" w:ascii="宋体" w:hAnsi="宋体"/>
              </w:rPr>
            </w:pPr>
            <w:r>
              <w:rPr>
                <w:rFonts w:ascii="Times New Roman" w:hAnsi="Times New Roman" w:eastAsia="Times New Roman" w:cs="Times New Roman"/>
                <w:sz w:val="21"/>
                <w:szCs w:val="21"/>
                <w:lang w:val="en-US" w:bidi="en-US"/>
              </w:rPr>
              <w:t>2.</w:t>
            </w:r>
            <w:r>
              <w:rPr>
                <w:sz w:val="21"/>
                <w:szCs w:val="21"/>
              </w:rPr>
              <w:t>技术负责人</w:t>
            </w:r>
          </w:p>
        </w:tc>
        <w:tc>
          <w:tcPr>
            <w:tcW w:w="945" w:type="dxa"/>
            <w:noWrap w:val="0"/>
            <w:vAlign w:val="center"/>
          </w:tcPr>
          <w:p w14:paraId="3BEC6287">
            <w:pPr>
              <w:jc w:val="center"/>
              <w:rPr>
                <w:rFonts w:hint="eastAsia" w:ascii="宋体" w:hAnsi="宋体"/>
              </w:rPr>
            </w:pPr>
          </w:p>
        </w:tc>
        <w:tc>
          <w:tcPr>
            <w:tcW w:w="720" w:type="dxa"/>
            <w:noWrap w:val="0"/>
            <w:vAlign w:val="center"/>
          </w:tcPr>
          <w:p w14:paraId="56FD9100">
            <w:pPr>
              <w:jc w:val="center"/>
              <w:rPr>
                <w:rFonts w:hint="eastAsia" w:ascii="宋体" w:hAnsi="宋体"/>
              </w:rPr>
            </w:pPr>
          </w:p>
        </w:tc>
        <w:tc>
          <w:tcPr>
            <w:tcW w:w="770" w:type="dxa"/>
            <w:noWrap w:val="0"/>
            <w:vAlign w:val="center"/>
          </w:tcPr>
          <w:p w14:paraId="146E78B3">
            <w:pPr>
              <w:jc w:val="center"/>
              <w:rPr>
                <w:rFonts w:hint="eastAsia" w:ascii="宋体" w:hAnsi="宋体"/>
              </w:rPr>
            </w:pPr>
          </w:p>
        </w:tc>
        <w:tc>
          <w:tcPr>
            <w:tcW w:w="966" w:type="dxa"/>
            <w:noWrap w:val="0"/>
            <w:vAlign w:val="center"/>
          </w:tcPr>
          <w:p w14:paraId="4F34F4DE">
            <w:pPr>
              <w:jc w:val="center"/>
              <w:rPr>
                <w:rFonts w:hint="eastAsia" w:ascii="宋体" w:hAnsi="宋体"/>
              </w:rPr>
            </w:pPr>
          </w:p>
        </w:tc>
        <w:tc>
          <w:tcPr>
            <w:tcW w:w="1696" w:type="dxa"/>
            <w:noWrap w:val="0"/>
            <w:vAlign w:val="center"/>
          </w:tcPr>
          <w:p w14:paraId="681671D0">
            <w:pPr>
              <w:jc w:val="center"/>
              <w:rPr>
                <w:rFonts w:hint="eastAsia" w:ascii="宋体" w:hAnsi="宋体"/>
              </w:rPr>
            </w:pPr>
          </w:p>
        </w:tc>
        <w:tc>
          <w:tcPr>
            <w:tcW w:w="1035" w:type="dxa"/>
            <w:noWrap w:val="0"/>
            <w:vAlign w:val="center"/>
          </w:tcPr>
          <w:p w14:paraId="07A740CA">
            <w:pPr>
              <w:jc w:val="center"/>
              <w:rPr>
                <w:rFonts w:hint="eastAsia" w:ascii="宋体" w:hAnsi="宋体"/>
              </w:rPr>
            </w:pPr>
          </w:p>
        </w:tc>
        <w:tc>
          <w:tcPr>
            <w:tcW w:w="1006" w:type="dxa"/>
            <w:noWrap w:val="0"/>
            <w:vAlign w:val="center"/>
          </w:tcPr>
          <w:p w14:paraId="75A88166">
            <w:pPr>
              <w:jc w:val="center"/>
              <w:rPr>
                <w:rFonts w:hint="eastAsia" w:ascii="宋体" w:hAnsi="宋体"/>
              </w:rPr>
            </w:pPr>
          </w:p>
        </w:tc>
      </w:tr>
      <w:tr w14:paraId="65E61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425" w:type="dxa"/>
            <w:noWrap w:val="0"/>
            <w:vAlign w:val="center"/>
          </w:tcPr>
          <w:p w14:paraId="16B00E16">
            <w:pPr>
              <w:pStyle w:val="27"/>
              <w:spacing w:line="240" w:lineRule="auto"/>
              <w:ind w:firstLine="0" w:firstLineChars="0"/>
              <w:rPr>
                <w:rFonts w:hint="eastAsia" w:ascii="宋体" w:hAnsi="宋体"/>
              </w:rPr>
            </w:pPr>
            <w:r>
              <w:rPr>
                <w:rFonts w:ascii="Times New Roman" w:hAnsi="Times New Roman" w:eastAsia="Times New Roman" w:cs="Times New Roman"/>
                <w:sz w:val="21"/>
                <w:szCs w:val="21"/>
                <w:lang w:val="en-US" w:eastAsia="en-US" w:bidi="en-US"/>
              </w:rPr>
              <w:t>3.</w:t>
            </w:r>
            <w:r>
              <w:rPr>
                <w:rFonts w:hint="eastAsia" w:ascii="Times New Roman" w:hAnsi="Times New Roman" w:eastAsia="宋体" w:cs="Times New Roman"/>
                <w:sz w:val="21"/>
                <w:szCs w:val="21"/>
                <w:lang w:val="en-US" w:eastAsia="zh-CN" w:bidi="en-US"/>
              </w:rPr>
              <w:t>安全</w:t>
            </w:r>
            <w:r>
              <w:rPr>
                <w:rFonts w:hint="eastAsia"/>
                <w:sz w:val="21"/>
                <w:szCs w:val="21"/>
              </w:rPr>
              <w:t>员</w:t>
            </w:r>
          </w:p>
        </w:tc>
        <w:tc>
          <w:tcPr>
            <w:tcW w:w="945" w:type="dxa"/>
            <w:noWrap w:val="0"/>
            <w:vAlign w:val="center"/>
          </w:tcPr>
          <w:p w14:paraId="08272D3B">
            <w:pPr>
              <w:jc w:val="center"/>
              <w:rPr>
                <w:rFonts w:hint="eastAsia" w:ascii="宋体" w:hAnsi="宋体"/>
              </w:rPr>
            </w:pPr>
          </w:p>
        </w:tc>
        <w:tc>
          <w:tcPr>
            <w:tcW w:w="720" w:type="dxa"/>
            <w:noWrap w:val="0"/>
            <w:vAlign w:val="center"/>
          </w:tcPr>
          <w:p w14:paraId="6DCFC041">
            <w:pPr>
              <w:jc w:val="center"/>
              <w:rPr>
                <w:rFonts w:hint="eastAsia" w:ascii="宋体" w:hAnsi="宋体"/>
              </w:rPr>
            </w:pPr>
          </w:p>
        </w:tc>
        <w:tc>
          <w:tcPr>
            <w:tcW w:w="770" w:type="dxa"/>
            <w:noWrap w:val="0"/>
            <w:vAlign w:val="center"/>
          </w:tcPr>
          <w:p w14:paraId="3FF19487">
            <w:pPr>
              <w:jc w:val="center"/>
              <w:rPr>
                <w:rFonts w:hint="eastAsia" w:ascii="宋体" w:hAnsi="宋体"/>
              </w:rPr>
            </w:pPr>
          </w:p>
        </w:tc>
        <w:tc>
          <w:tcPr>
            <w:tcW w:w="966" w:type="dxa"/>
            <w:noWrap w:val="0"/>
            <w:vAlign w:val="center"/>
          </w:tcPr>
          <w:p w14:paraId="7611A970">
            <w:pPr>
              <w:jc w:val="center"/>
              <w:rPr>
                <w:rFonts w:hint="eastAsia" w:ascii="宋体" w:hAnsi="宋体"/>
              </w:rPr>
            </w:pPr>
          </w:p>
        </w:tc>
        <w:tc>
          <w:tcPr>
            <w:tcW w:w="1696" w:type="dxa"/>
            <w:noWrap w:val="0"/>
            <w:vAlign w:val="center"/>
          </w:tcPr>
          <w:p w14:paraId="25317853">
            <w:pPr>
              <w:jc w:val="center"/>
              <w:rPr>
                <w:rFonts w:hint="eastAsia" w:ascii="宋体" w:hAnsi="宋体"/>
              </w:rPr>
            </w:pPr>
          </w:p>
        </w:tc>
        <w:tc>
          <w:tcPr>
            <w:tcW w:w="1035" w:type="dxa"/>
            <w:noWrap w:val="0"/>
            <w:vAlign w:val="center"/>
          </w:tcPr>
          <w:p w14:paraId="4F8D2678">
            <w:pPr>
              <w:jc w:val="center"/>
              <w:rPr>
                <w:rFonts w:hint="eastAsia" w:ascii="宋体" w:hAnsi="宋体"/>
              </w:rPr>
            </w:pPr>
          </w:p>
        </w:tc>
        <w:tc>
          <w:tcPr>
            <w:tcW w:w="1006" w:type="dxa"/>
            <w:noWrap w:val="0"/>
            <w:vAlign w:val="center"/>
          </w:tcPr>
          <w:p w14:paraId="7147B8A8">
            <w:pPr>
              <w:jc w:val="center"/>
              <w:rPr>
                <w:rFonts w:hint="eastAsia" w:ascii="宋体" w:hAnsi="宋体"/>
              </w:rPr>
            </w:pPr>
          </w:p>
        </w:tc>
      </w:tr>
      <w:tr w14:paraId="4F08A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425" w:type="dxa"/>
            <w:noWrap w:val="0"/>
            <w:vAlign w:val="center"/>
          </w:tcPr>
          <w:p w14:paraId="6EB3126A">
            <w:pPr>
              <w:pStyle w:val="27"/>
              <w:spacing w:line="240" w:lineRule="auto"/>
              <w:ind w:firstLine="0" w:firstLineChars="0"/>
              <w:rPr>
                <w:rFonts w:hint="default" w:ascii="宋体" w:hAnsi="宋体" w:eastAsia="宋体"/>
                <w:lang w:val="en-US" w:eastAsia="zh-CN"/>
              </w:rPr>
            </w:pPr>
            <w:r>
              <w:rPr>
                <w:rFonts w:hint="eastAsia" w:ascii="Times New Roman" w:hAnsi="Times New Roman" w:eastAsia="宋体" w:cs="Times New Roman"/>
                <w:sz w:val="21"/>
                <w:szCs w:val="21"/>
                <w:lang w:val="en-US" w:eastAsia="zh-CN" w:bidi="en-US"/>
              </w:rPr>
              <w:t>4.质量员</w:t>
            </w:r>
          </w:p>
        </w:tc>
        <w:tc>
          <w:tcPr>
            <w:tcW w:w="945" w:type="dxa"/>
            <w:noWrap w:val="0"/>
            <w:vAlign w:val="center"/>
          </w:tcPr>
          <w:p w14:paraId="488B07BC">
            <w:pPr>
              <w:jc w:val="center"/>
              <w:rPr>
                <w:rFonts w:hint="eastAsia" w:ascii="宋体" w:hAnsi="宋体"/>
              </w:rPr>
            </w:pPr>
          </w:p>
        </w:tc>
        <w:tc>
          <w:tcPr>
            <w:tcW w:w="720" w:type="dxa"/>
            <w:noWrap w:val="0"/>
            <w:vAlign w:val="center"/>
          </w:tcPr>
          <w:p w14:paraId="21C172B0">
            <w:pPr>
              <w:jc w:val="center"/>
              <w:rPr>
                <w:rFonts w:hint="eastAsia" w:ascii="宋体" w:hAnsi="宋体"/>
              </w:rPr>
            </w:pPr>
          </w:p>
        </w:tc>
        <w:tc>
          <w:tcPr>
            <w:tcW w:w="770" w:type="dxa"/>
            <w:noWrap w:val="0"/>
            <w:vAlign w:val="center"/>
          </w:tcPr>
          <w:p w14:paraId="31D8CEAA">
            <w:pPr>
              <w:jc w:val="center"/>
              <w:rPr>
                <w:rFonts w:hint="eastAsia" w:ascii="宋体" w:hAnsi="宋体"/>
              </w:rPr>
            </w:pPr>
          </w:p>
        </w:tc>
        <w:tc>
          <w:tcPr>
            <w:tcW w:w="966" w:type="dxa"/>
            <w:noWrap w:val="0"/>
            <w:vAlign w:val="center"/>
          </w:tcPr>
          <w:p w14:paraId="0F0D0377">
            <w:pPr>
              <w:jc w:val="center"/>
              <w:rPr>
                <w:rFonts w:hint="eastAsia" w:ascii="宋体" w:hAnsi="宋体"/>
              </w:rPr>
            </w:pPr>
          </w:p>
        </w:tc>
        <w:tc>
          <w:tcPr>
            <w:tcW w:w="1696" w:type="dxa"/>
            <w:noWrap w:val="0"/>
            <w:vAlign w:val="center"/>
          </w:tcPr>
          <w:p w14:paraId="70054BA3">
            <w:pPr>
              <w:jc w:val="center"/>
              <w:rPr>
                <w:rFonts w:hint="eastAsia" w:ascii="宋体" w:hAnsi="宋体"/>
              </w:rPr>
            </w:pPr>
          </w:p>
        </w:tc>
        <w:tc>
          <w:tcPr>
            <w:tcW w:w="1035" w:type="dxa"/>
            <w:noWrap w:val="0"/>
            <w:vAlign w:val="center"/>
          </w:tcPr>
          <w:p w14:paraId="535E0101">
            <w:pPr>
              <w:jc w:val="center"/>
              <w:rPr>
                <w:rFonts w:hint="eastAsia" w:ascii="宋体" w:hAnsi="宋体"/>
              </w:rPr>
            </w:pPr>
          </w:p>
        </w:tc>
        <w:tc>
          <w:tcPr>
            <w:tcW w:w="1006" w:type="dxa"/>
            <w:noWrap w:val="0"/>
            <w:vAlign w:val="center"/>
          </w:tcPr>
          <w:p w14:paraId="609E3FEF">
            <w:pPr>
              <w:jc w:val="center"/>
              <w:rPr>
                <w:rFonts w:hint="eastAsia" w:ascii="宋体" w:hAnsi="宋体"/>
              </w:rPr>
            </w:pPr>
          </w:p>
        </w:tc>
      </w:tr>
      <w:tr w14:paraId="553E4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425" w:type="dxa"/>
            <w:noWrap w:val="0"/>
            <w:vAlign w:val="center"/>
          </w:tcPr>
          <w:p w14:paraId="1EE17202">
            <w:pPr>
              <w:jc w:val="center"/>
              <w:rPr>
                <w:rFonts w:hint="eastAsia" w:ascii="宋体" w:hAnsi="宋体"/>
              </w:rPr>
            </w:pPr>
            <w:r>
              <w:rPr>
                <w:rFonts w:hint="eastAsia" w:ascii="宋体" w:hAnsi="宋体" w:eastAsia="宋体"/>
                <w:b/>
                <w:bCs/>
                <w:szCs w:val="21"/>
                <w:lang w:val="en-US" w:eastAsia="zh-CN"/>
              </w:rPr>
              <w:t>.....</w:t>
            </w:r>
          </w:p>
        </w:tc>
        <w:tc>
          <w:tcPr>
            <w:tcW w:w="945" w:type="dxa"/>
            <w:noWrap w:val="0"/>
            <w:vAlign w:val="center"/>
          </w:tcPr>
          <w:p w14:paraId="17FAE94E">
            <w:pPr>
              <w:jc w:val="center"/>
              <w:rPr>
                <w:rFonts w:hint="eastAsia" w:ascii="宋体" w:hAnsi="宋体"/>
              </w:rPr>
            </w:pPr>
          </w:p>
        </w:tc>
        <w:tc>
          <w:tcPr>
            <w:tcW w:w="720" w:type="dxa"/>
            <w:noWrap w:val="0"/>
            <w:vAlign w:val="center"/>
          </w:tcPr>
          <w:p w14:paraId="5ED6FA99">
            <w:pPr>
              <w:jc w:val="center"/>
              <w:rPr>
                <w:rFonts w:hint="eastAsia" w:ascii="宋体" w:hAnsi="宋体"/>
              </w:rPr>
            </w:pPr>
          </w:p>
        </w:tc>
        <w:tc>
          <w:tcPr>
            <w:tcW w:w="770" w:type="dxa"/>
            <w:noWrap w:val="0"/>
            <w:vAlign w:val="center"/>
          </w:tcPr>
          <w:p w14:paraId="1052738C">
            <w:pPr>
              <w:jc w:val="center"/>
              <w:rPr>
                <w:rFonts w:hint="eastAsia" w:ascii="宋体" w:hAnsi="宋体"/>
              </w:rPr>
            </w:pPr>
          </w:p>
        </w:tc>
        <w:tc>
          <w:tcPr>
            <w:tcW w:w="966" w:type="dxa"/>
            <w:noWrap w:val="0"/>
            <w:vAlign w:val="center"/>
          </w:tcPr>
          <w:p w14:paraId="64976E0A">
            <w:pPr>
              <w:jc w:val="center"/>
              <w:rPr>
                <w:rFonts w:hint="eastAsia" w:ascii="宋体" w:hAnsi="宋体"/>
              </w:rPr>
            </w:pPr>
          </w:p>
        </w:tc>
        <w:tc>
          <w:tcPr>
            <w:tcW w:w="1696" w:type="dxa"/>
            <w:noWrap w:val="0"/>
            <w:vAlign w:val="center"/>
          </w:tcPr>
          <w:p w14:paraId="26607D35">
            <w:pPr>
              <w:jc w:val="center"/>
              <w:rPr>
                <w:rFonts w:hint="eastAsia" w:ascii="宋体" w:hAnsi="宋体"/>
              </w:rPr>
            </w:pPr>
          </w:p>
        </w:tc>
        <w:tc>
          <w:tcPr>
            <w:tcW w:w="1035" w:type="dxa"/>
            <w:noWrap w:val="0"/>
            <w:vAlign w:val="center"/>
          </w:tcPr>
          <w:p w14:paraId="7AB57F9B">
            <w:pPr>
              <w:jc w:val="center"/>
              <w:rPr>
                <w:rFonts w:hint="eastAsia" w:ascii="宋体" w:hAnsi="宋体"/>
              </w:rPr>
            </w:pPr>
          </w:p>
        </w:tc>
        <w:tc>
          <w:tcPr>
            <w:tcW w:w="1006" w:type="dxa"/>
            <w:noWrap w:val="0"/>
            <w:vAlign w:val="center"/>
          </w:tcPr>
          <w:p w14:paraId="4F038AB3">
            <w:pPr>
              <w:jc w:val="center"/>
              <w:rPr>
                <w:rFonts w:hint="eastAsia" w:ascii="宋体" w:hAnsi="宋体"/>
              </w:rPr>
            </w:pPr>
          </w:p>
        </w:tc>
      </w:tr>
      <w:tr w14:paraId="6C8E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425" w:type="dxa"/>
            <w:noWrap w:val="0"/>
            <w:vAlign w:val="center"/>
          </w:tcPr>
          <w:p w14:paraId="7F0DFBB5">
            <w:pPr>
              <w:jc w:val="left"/>
              <w:rPr>
                <w:rFonts w:hint="eastAsia" w:ascii="宋体" w:hAnsi="宋体" w:eastAsia="宋体"/>
                <w:szCs w:val="21"/>
              </w:rPr>
            </w:pPr>
          </w:p>
        </w:tc>
        <w:tc>
          <w:tcPr>
            <w:tcW w:w="945" w:type="dxa"/>
            <w:noWrap w:val="0"/>
            <w:vAlign w:val="center"/>
          </w:tcPr>
          <w:p w14:paraId="7D61E6A0">
            <w:pPr>
              <w:pStyle w:val="19"/>
              <w:ind w:firstLine="404"/>
              <w:rPr>
                <w:rFonts w:hint="eastAsia" w:ascii="宋体" w:hAnsi="宋体" w:eastAsia="宋体"/>
                <w:szCs w:val="21"/>
              </w:rPr>
            </w:pPr>
          </w:p>
        </w:tc>
        <w:tc>
          <w:tcPr>
            <w:tcW w:w="720" w:type="dxa"/>
            <w:noWrap w:val="0"/>
            <w:vAlign w:val="center"/>
          </w:tcPr>
          <w:p w14:paraId="491F78C7">
            <w:pPr>
              <w:pStyle w:val="19"/>
              <w:ind w:firstLine="404"/>
              <w:rPr>
                <w:rFonts w:hint="eastAsia" w:ascii="宋体" w:hAnsi="宋体" w:eastAsia="宋体"/>
                <w:szCs w:val="21"/>
              </w:rPr>
            </w:pPr>
          </w:p>
        </w:tc>
        <w:tc>
          <w:tcPr>
            <w:tcW w:w="770" w:type="dxa"/>
            <w:noWrap w:val="0"/>
            <w:vAlign w:val="center"/>
          </w:tcPr>
          <w:p w14:paraId="3676F3EB">
            <w:pPr>
              <w:pStyle w:val="19"/>
              <w:ind w:firstLine="404"/>
              <w:rPr>
                <w:rFonts w:hint="eastAsia" w:ascii="宋体" w:hAnsi="宋体" w:eastAsia="宋体"/>
                <w:szCs w:val="21"/>
              </w:rPr>
            </w:pPr>
          </w:p>
        </w:tc>
        <w:tc>
          <w:tcPr>
            <w:tcW w:w="966" w:type="dxa"/>
            <w:noWrap w:val="0"/>
            <w:vAlign w:val="center"/>
          </w:tcPr>
          <w:p w14:paraId="1BFA11E5">
            <w:pPr>
              <w:pStyle w:val="19"/>
              <w:ind w:firstLine="404"/>
              <w:rPr>
                <w:rFonts w:hint="eastAsia" w:ascii="宋体" w:hAnsi="宋体" w:eastAsia="宋体"/>
                <w:szCs w:val="21"/>
              </w:rPr>
            </w:pPr>
          </w:p>
        </w:tc>
        <w:tc>
          <w:tcPr>
            <w:tcW w:w="1696" w:type="dxa"/>
            <w:noWrap w:val="0"/>
            <w:vAlign w:val="center"/>
          </w:tcPr>
          <w:p w14:paraId="7637E873">
            <w:pPr>
              <w:pStyle w:val="19"/>
              <w:ind w:firstLine="404"/>
              <w:rPr>
                <w:rFonts w:hint="eastAsia" w:ascii="宋体" w:hAnsi="宋体" w:eastAsia="宋体"/>
                <w:szCs w:val="21"/>
              </w:rPr>
            </w:pPr>
          </w:p>
        </w:tc>
        <w:tc>
          <w:tcPr>
            <w:tcW w:w="1035" w:type="dxa"/>
            <w:noWrap w:val="0"/>
            <w:vAlign w:val="center"/>
          </w:tcPr>
          <w:p w14:paraId="4E9DEB8E">
            <w:pPr>
              <w:pStyle w:val="19"/>
              <w:ind w:firstLine="404"/>
              <w:rPr>
                <w:rFonts w:hint="eastAsia" w:ascii="宋体" w:hAnsi="宋体" w:eastAsia="宋体"/>
                <w:szCs w:val="21"/>
              </w:rPr>
            </w:pPr>
          </w:p>
        </w:tc>
        <w:tc>
          <w:tcPr>
            <w:tcW w:w="1006" w:type="dxa"/>
            <w:noWrap w:val="0"/>
            <w:vAlign w:val="center"/>
          </w:tcPr>
          <w:p w14:paraId="3555103B">
            <w:pPr>
              <w:pStyle w:val="19"/>
              <w:ind w:firstLine="404"/>
              <w:rPr>
                <w:rFonts w:hint="eastAsia" w:ascii="宋体" w:hAnsi="宋体" w:eastAsia="宋体"/>
                <w:szCs w:val="21"/>
              </w:rPr>
            </w:pPr>
          </w:p>
        </w:tc>
      </w:tr>
      <w:tr w14:paraId="58CFB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425" w:type="dxa"/>
            <w:noWrap w:val="0"/>
            <w:vAlign w:val="center"/>
          </w:tcPr>
          <w:p w14:paraId="23CD237E">
            <w:pPr>
              <w:pStyle w:val="19"/>
              <w:ind w:left="0" w:leftChars="0" w:firstLine="0" w:firstLineChars="0"/>
              <w:jc w:val="both"/>
              <w:rPr>
                <w:rFonts w:hint="default" w:ascii="宋体" w:hAnsi="宋体" w:eastAsia="宋体"/>
                <w:szCs w:val="21"/>
                <w:lang w:val="en-US" w:eastAsia="zh-CN"/>
              </w:rPr>
            </w:pPr>
          </w:p>
        </w:tc>
        <w:tc>
          <w:tcPr>
            <w:tcW w:w="945" w:type="dxa"/>
            <w:noWrap w:val="0"/>
            <w:vAlign w:val="center"/>
          </w:tcPr>
          <w:p w14:paraId="63429F8E">
            <w:pPr>
              <w:pStyle w:val="19"/>
              <w:ind w:firstLine="404"/>
              <w:rPr>
                <w:rFonts w:hint="eastAsia" w:ascii="宋体" w:hAnsi="宋体" w:eastAsia="宋体"/>
                <w:szCs w:val="21"/>
              </w:rPr>
            </w:pPr>
          </w:p>
        </w:tc>
        <w:tc>
          <w:tcPr>
            <w:tcW w:w="720" w:type="dxa"/>
            <w:noWrap w:val="0"/>
            <w:vAlign w:val="center"/>
          </w:tcPr>
          <w:p w14:paraId="0B305F5A">
            <w:pPr>
              <w:pStyle w:val="19"/>
              <w:ind w:firstLine="404"/>
              <w:rPr>
                <w:rFonts w:hint="eastAsia" w:ascii="宋体" w:hAnsi="宋体" w:eastAsia="宋体"/>
                <w:szCs w:val="21"/>
              </w:rPr>
            </w:pPr>
          </w:p>
        </w:tc>
        <w:tc>
          <w:tcPr>
            <w:tcW w:w="770" w:type="dxa"/>
            <w:noWrap w:val="0"/>
            <w:vAlign w:val="center"/>
          </w:tcPr>
          <w:p w14:paraId="06EA43FB">
            <w:pPr>
              <w:pStyle w:val="19"/>
              <w:ind w:firstLine="404"/>
              <w:rPr>
                <w:rFonts w:hint="eastAsia" w:ascii="宋体" w:hAnsi="宋体" w:eastAsia="宋体"/>
                <w:szCs w:val="21"/>
              </w:rPr>
            </w:pPr>
          </w:p>
        </w:tc>
        <w:tc>
          <w:tcPr>
            <w:tcW w:w="966" w:type="dxa"/>
            <w:noWrap w:val="0"/>
            <w:vAlign w:val="center"/>
          </w:tcPr>
          <w:p w14:paraId="253E6160">
            <w:pPr>
              <w:pStyle w:val="19"/>
              <w:ind w:firstLine="404"/>
              <w:rPr>
                <w:rFonts w:hint="eastAsia" w:ascii="宋体" w:hAnsi="宋体" w:eastAsia="宋体"/>
                <w:szCs w:val="21"/>
              </w:rPr>
            </w:pPr>
          </w:p>
        </w:tc>
        <w:tc>
          <w:tcPr>
            <w:tcW w:w="1696" w:type="dxa"/>
            <w:noWrap w:val="0"/>
            <w:vAlign w:val="center"/>
          </w:tcPr>
          <w:p w14:paraId="506A8913">
            <w:pPr>
              <w:pStyle w:val="19"/>
              <w:ind w:firstLine="404"/>
              <w:rPr>
                <w:rFonts w:hint="eastAsia" w:ascii="宋体" w:hAnsi="宋体" w:eastAsia="宋体"/>
                <w:szCs w:val="21"/>
              </w:rPr>
            </w:pPr>
          </w:p>
        </w:tc>
        <w:tc>
          <w:tcPr>
            <w:tcW w:w="1035" w:type="dxa"/>
            <w:noWrap w:val="0"/>
            <w:vAlign w:val="center"/>
          </w:tcPr>
          <w:p w14:paraId="528E5080">
            <w:pPr>
              <w:pStyle w:val="19"/>
              <w:ind w:firstLine="404"/>
              <w:rPr>
                <w:rFonts w:hint="eastAsia" w:ascii="宋体" w:hAnsi="宋体" w:eastAsia="宋体"/>
                <w:szCs w:val="21"/>
              </w:rPr>
            </w:pPr>
          </w:p>
        </w:tc>
        <w:tc>
          <w:tcPr>
            <w:tcW w:w="1006" w:type="dxa"/>
            <w:noWrap w:val="0"/>
            <w:vAlign w:val="center"/>
          </w:tcPr>
          <w:p w14:paraId="6ED4A6BE">
            <w:pPr>
              <w:pStyle w:val="19"/>
              <w:ind w:firstLine="404"/>
              <w:rPr>
                <w:rFonts w:hint="eastAsia" w:ascii="宋体" w:hAnsi="宋体" w:eastAsia="宋体"/>
                <w:szCs w:val="21"/>
              </w:rPr>
            </w:pPr>
          </w:p>
        </w:tc>
      </w:tr>
    </w:tbl>
    <w:p w14:paraId="401F3EC4">
      <w:pPr>
        <w:spacing w:line="380" w:lineRule="exact"/>
        <w:ind w:firstLine="420" w:firstLineChars="200"/>
        <w:jc w:val="left"/>
        <w:rPr>
          <w:rFonts w:ascii="宋体" w:hAnsi="宋体" w:cs="仿宋_GB2312"/>
          <w:szCs w:val="21"/>
        </w:rPr>
      </w:pPr>
      <w:r>
        <w:rPr>
          <w:rFonts w:hint="eastAsia" w:ascii="宋体" w:hAnsi="宋体" w:cs="仿宋_GB2312"/>
          <w:szCs w:val="21"/>
        </w:rPr>
        <w:t>注：</w:t>
      </w:r>
    </w:p>
    <w:p w14:paraId="73AA34F7">
      <w:pPr>
        <w:numPr>
          <w:ilvl w:val="0"/>
          <w:numId w:val="11"/>
        </w:numPr>
        <w:spacing w:line="380" w:lineRule="exact"/>
        <w:ind w:firstLine="420" w:firstLineChars="200"/>
        <w:jc w:val="left"/>
        <w:rPr>
          <w:rFonts w:hint="eastAsia" w:ascii="宋体" w:hAnsi="宋体" w:cs="仿宋_GB2312"/>
          <w:szCs w:val="21"/>
        </w:rPr>
      </w:pPr>
      <w:r>
        <w:rPr>
          <w:rFonts w:hint="eastAsia" w:ascii="宋体" w:hAnsi="宋体" w:cs="仿宋_GB2312"/>
          <w:szCs w:val="21"/>
        </w:rPr>
        <w:t>本表所列岗位的所有管理人员的情况均应如实填写。可按以上格式扩展为多页填写。</w:t>
      </w:r>
    </w:p>
    <w:p w14:paraId="5B861961">
      <w:pPr>
        <w:pStyle w:val="26"/>
        <w:tabs>
          <w:tab w:val="left" w:pos="2702"/>
        </w:tabs>
        <w:spacing w:after="120"/>
        <w:ind w:firstLine="420" w:firstLineChars="200"/>
        <w:jc w:val="left"/>
        <w:rPr>
          <w:rFonts w:ascii="宋体" w:hAnsi="宋体" w:eastAsia="宋体" w:cs="宋体"/>
          <w:color w:val="auto"/>
          <w:sz w:val="21"/>
          <w:szCs w:val="21"/>
          <w:lang w:val="zh-CN" w:eastAsia="zh-CN" w:bidi="zh-CN"/>
        </w:rPr>
      </w:pPr>
      <w:r>
        <w:rPr>
          <w:rFonts w:hint="eastAsia" w:ascii="宋体" w:hAnsi="宋体" w:eastAsia="宋体" w:cs="宋体"/>
          <w:color w:val="auto"/>
          <w:sz w:val="21"/>
          <w:szCs w:val="21"/>
          <w:lang w:val="en-US" w:eastAsia="zh-CN" w:bidi="zh-CN"/>
        </w:rPr>
        <w:t>2、</w:t>
      </w:r>
      <w:r>
        <w:rPr>
          <w:rFonts w:hint="eastAsia" w:ascii="宋体" w:hAnsi="宋体" w:eastAsia="宋体" w:cs="宋体"/>
          <w:color w:val="auto"/>
          <w:sz w:val="21"/>
          <w:szCs w:val="21"/>
          <w:lang w:val="zh-CN" w:eastAsia="zh-CN" w:bidi="zh-CN"/>
        </w:rPr>
        <w:t>供应商应当在本表后附所有管理人员的身份证、职称证（</w:t>
      </w:r>
      <w:r>
        <w:rPr>
          <w:rFonts w:hint="eastAsia" w:ascii="宋体" w:hAnsi="宋体" w:eastAsia="宋体" w:cs="宋体"/>
          <w:color w:val="auto"/>
          <w:sz w:val="21"/>
          <w:szCs w:val="21"/>
          <w:lang w:val="en-US" w:eastAsia="zh-CN" w:bidi="zh-CN"/>
        </w:rPr>
        <w:t>如有</w:t>
      </w:r>
      <w:r>
        <w:rPr>
          <w:rFonts w:hint="eastAsia" w:ascii="宋体" w:hAnsi="宋体" w:eastAsia="宋体" w:cs="宋体"/>
          <w:color w:val="auto"/>
          <w:sz w:val="21"/>
          <w:szCs w:val="21"/>
          <w:lang w:val="zh-CN" w:eastAsia="zh-CN" w:bidi="zh-CN"/>
        </w:rPr>
        <w:t>）、执业或职业资格证书证明材料的复印件并加盖供应商电子签章。</w:t>
      </w:r>
    </w:p>
    <w:p w14:paraId="05B513CC">
      <w:pPr>
        <w:pStyle w:val="26"/>
        <w:tabs>
          <w:tab w:val="left" w:pos="2702"/>
        </w:tabs>
        <w:spacing w:after="120"/>
        <w:jc w:val="right"/>
        <w:rPr>
          <w:rFonts w:ascii="宋体" w:hAnsi="宋体" w:eastAsia="宋体" w:cs="宋体"/>
          <w:color w:val="auto"/>
          <w:sz w:val="21"/>
          <w:szCs w:val="21"/>
          <w:lang w:val="zh-CN" w:eastAsia="zh-CN" w:bidi="zh-CN"/>
        </w:rPr>
      </w:pPr>
    </w:p>
    <w:p w14:paraId="042B2CA0">
      <w:pPr>
        <w:spacing w:line="400" w:lineRule="exact"/>
        <w:ind w:firstLine="1155" w:firstLineChars="550"/>
        <w:rPr>
          <w:rFonts w:hint="eastAsia" w:ascii="宋体" w:hAnsi="宋体" w:cs="宋体"/>
          <w:szCs w:val="21"/>
        </w:rPr>
      </w:pPr>
      <w:r>
        <w:rPr>
          <w:rFonts w:hint="eastAsia" w:ascii="宋体" w:hAnsi="宋体" w:cs="宋体"/>
          <w:szCs w:val="21"/>
        </w:rPr>
        <w:t>竞标人名称（CA电子签章）：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3C85A630">
      <w:pPr>
        <w:spacing w:line="500" w:lineRule="exact"/>
        <w:ind w:firstLine="1155" w:firstLineChars="550"/>
        <w:rPr>
          <w:rFonts w:hint="eastAsia" w:ascii="宋体" w:hAnsi="宋体" w:cs="宋体"/>
          <w:szCs w:val="21"/>
          <w:u w:val="single"/>
        </w:rPr>
      </w:pPr>
      <w:r>
        <w:rPr>
          <w:rFonts w:hint="eastAsia" w:ascii="宋体" w:hAnsi="宋体" w:cs="宋体"/>
          <w:szCs w:val="21"/>
        </w:rPr>
        <w:t>法定代表人或委托代理人（签字或加盖CA电子签字章）：</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p>
    <w:p w14:paraId="68CD9486">
      <w:pPr>
        <w:pStyle w:val="13"/>
        <w:spacing w:line="400" w:lineRule="exact"/>
        <w:ind w:left="420" w:firstLine="4500" w:firstLineChars="2250"/>
        <w:jc w:val="right"/>
        <w:rPr>
          <w:rFonts w:hAnsi="宋体" w:cs="宋体"/>
        </w:rPr>
      </w:pPr>
      <w:r>
        <w:rPr>
          <w:rFonts w:hint="eastAsia" w:hAnsi="宋体" w:cs="宋体"/>
        </w:rPr>
        <w:t>日期：  年  月  日</w:t>
      </w:r>
    </w:p>
    <w:p w14:paraId="6532FD32">
      <w:pPr>
        <w:pStyle w:val="19"/>
        <w:ind w:firstLine="404"/>
        <w:rPr>
          <w:rFonts w:hint="eastAsia" w:ascii="宋体" w:hAnsi="宋体" w:eastAsia="宋体"/>
        </w:rPr>
      </w:pPr>
    </w:p>
    <w:p w14:paraId="561EA800">
      <w:pPr>
        <w:pStyle w:val="9"/>
        <w:rPr>
          <w:rFonts w:ascii="宋体" w:hAnsi="宋体"/>
          <w:lang w:val="zh-CN" w:bidi="zh-CN"/>
        </w:rPr>
      </w:pPr>
    </w:p>
    <w:p w14:paraId="1EF630E1">
      <w:pPr>
        <w:rPr>
          <w:rFonts w:hint="eastAsia" w:ascii="宋体" w:hAnsi="宋体"/>
          <w:bCs/>
          <w:sz w:val="32"/>
          <w:szCs w:val="32"/>
        </w:rPr>
      </w:pPr>
    </w:p>
    <w:p w14:paraId="42C8D435">
      <w:pPr>
        <w:pStyle w:val="4"/>
        <w:bidi w:val="0"/>
        <w:jc w:val="left"/>
        <w:rPr>
          <w:rFonts w:hint="eastAsia" w:ascii="宋体" w:hAnsi="宋体" w:eastAsia="宋体" w:cs="宋体"/>
          <w:lang w:val="en-US" w:eastAsia="zh-CN"/>
        </w:rPr>
      </w:pPr>
      <w:bookmarkStart w:id="279" w:name="_Toc5632"/>
      <w:r>
        <w:rPr>
          <w:rFonts w:hint="eastAsia" w:ascii="宋体" w:hAnsi="宋体" w:eastAsia="宋体" w:cs="宋体"/>
          <w:lang w:val="en-US" w:eastAsia="zh-CN"/>
        </w:rPr>
        <w:t>6、除磋商文件规定必须提供以外，供应商认为需要提供的其他证明材料。（若有请提供）</w:t>
      </w:r>
      <w:bookmarkEnd w:id="279"/>
    </w:p>
    <w:p w14:paraId="04636E7F">
      <w:pPr>
        <w:pStyle w:val="4"/>
        <w:spacing w:line="360" w:lineRule="auto"/>
        <w:rPr>
          <w:rFonts w:hint="eastAsia" w:ascii="宋体" w:hAnsi="宋体"/>
          <w:sz w:val="24"/>
          <w:szCs w:val="24"/>
        </w:rPr>
      </w:pPr>
    </w:p>
    <w:p w14:paraId="4CACB012"/>
    <w:sectPr>
      <w:headerReference r:id="rId8" w:type="default"/>
      <w:footerReference r:id="rId9" w:type="default"/>
      <w:pgSz w:w="11906" w:h="16838"/>
      <w:pgMar w:top="1134" w:right="1418" w:bottom="1134" w:left="1418" w:header="851"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简体">
    <w:altName w:val="宋体-方正超大字符集"/>
    <w:panose1 w:val="03000509000000000000"/>
    <w:charset w:val="86"/>
    <w:family w:val="auto"/>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2ED68">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449298">
                          <w:pPr>
                            <w:snapToGrid w:val="0"/>
                            <w:rPr>
                              <w:sz w:val="18"/>
                            </w:rPr>
                          </w:pPr>
                          <w:r>
                            <w:rPr>
                              <w:sz w:val="18"/>
                            </w:rPr>
                            <w:fldChar w:fldCharType="begin"/>
                          </w:r>
                          <w:r>
                            <w:rPr>
                              <w:sz w:val="18"/>
                            </w:rPr>
                            <w:instrText xml:space="preserve"> PAGE  \* MERGEFORMAT </w:instrText>
                          </w:r>
                          <w:r>
                            <w:rPr>
                              <w:sz w:val="18"/>
                            </w:rPr>
                            <w:fldChar w:fldCharType="separate"/>
                          </w:r>
                          <w:r>
                            <w:rPr>
                              <w:sz w:val="18"/>
                            </w:rPr>
                            <w:t>22</w:t>
                          </w:r>
                          <w:r>
                            <w:rPr>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4M8c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V2iJI5bnPj5x/fzz9/nX98I&#10;+lCgPkCNeY8BM9Nw4wdcm9kP6My8BxVt/iIjgnHEOl3klUMiIj9aLVerCkMCY/MF8dnT8xAh3Ulv&#10;STYaGnF+RVZ+vIc0ps4puZrzt9qYMkPj/nIgZvaw3PvYY7bSsBsmQjvfnpBPj6NvqMNNp8R8dKgs&#10;9pdmI87GbjYOIep9V9Yo14Pw4ZCwidJbrjDCToVxZoXdtF95KZ7fS9bTP7X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TgzxyQEAAJsDAAAOAAAAAAAAAAEAIAAAAB4BAABkcnMvZTJvRG9j&#10;LnhtbFBLBQYAAAAABgAGAFkBAABZBQAAAAA=&#10;">
              <v:fill on="f" focussize="0,0"/>
              <v:stroke on="f"/>
              <v:imagedata o:title=""/>
              <o:lock v:ext="edit" aspectratio="f"/>
              <v:textbox inset="0mm,0mm,0mm,0mm" style="mso-fit-shape-to-text:t;">
                <w:txbxContent>
                  <w:p w14:paraId="70449298">
                    <w:pPr>
                      <w:snapToGrid w:val="0"/>
                      <w:rPr>
                        <w:sz w:val="18"/>
                      </w:rPr>
                    </w:pPr>
                    <w:r>
                      <w:rPr>
                        <w:sz w:val="18"/>
                      </w:rPr>
                      <w:fldChar w:fldCharType="begin"/>
                    </w:r>
                    <w:r>
                      <w:rPr>
                        <w:sz w:val="18"/>
                      </w:rPr>
                      <w:instrText xml:space="preserve"> PAGE  \* MERGEFORMAT </w:instrText>
                    </w:r>
                    <w:r>
                      <w:rPr>
                        <w:sz w:val="18"/>
                      </w:rPr>
                      <w:fldChar w:fldCharType="separate"/>
                    </w:r>
                    <w:r>
                      <w:rPr>
                        <w:sz w:val="18"/>
                      </w:rPr>
                      <w:t>22</w:t>
                    </w:r>
                    <w:r>
                      <w:rPr>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B6C95">
    <w:pPr>
      <w:pStyle w:val="14"/>
      <w:ind w:left="126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7A6D07">
                          <w:pPr>
                            <w:pStyle w:val="14"/>
                            <w:ind w:left="1260"/>
                            <w:jc w:val="center"/>
                          </w:pPr>
                          <w:r>
                            <w:fldChar w:fldCharType="begin"/>
                          </w:r>
                          <w:r>
                            <w:instrText xml:space="preserve"> PAGE   \* MERGEFORMAT </w:instrText>
                          </w:r>
                          <w:r>
                            <w:fldChar w:fldCharType="separate"/>
                          </w:r>
                          <w:r>
                            <w:rPr>
                              <w:lang w:val="zh-CN"/>
                            </w:rPr>
                            <w:t>23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gUys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gWN+GaEsctTvz888f515/z7+8E&#10;fShQH6DGvIeAmWn44AdMnv2Azsx7UNHmLzIiGEd5Txd55ZCIyI9Wy9WqwpDA2HxBfPb4PERIH6W3&#10;JBsNjTi/Iis/3kEaU+eUXM35W21MmaFx/zkQM3tY7n3sMVtp2A0ToZ1vT8inx9E31OGmU2I+OVQ2&#10;b8lsxNnYzcYhRL3vyhrlehDeHxI2UXrLFUbYqTDOrLCb9isvxb/3kvX4T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MOBTKyQEAAJsDAAAOAAAAAAAAAAEAIAAAAB4BAABkcnMvZTJvRG9j&#10;LnhtbFBLBQYAAAAABgAGAFkBAABZBQAAAAA=&#10;">
              <v:fill on="f" focussize="0,0"/>
              <v:stroke on="f"/>
              <v:imagedata o:title=""/>
              <o:lock v:ext="edit" aspectratio="f"/>
              <v:textbox inset="0mm,0mm,0mm,0mm" style="mso-fit-shape-to-text:t;">
                <w:txbxContent>
                  <w:p w14:paraId="557A6D07">
                    <w:pPr>
                      <w:pStyle w:val="14"/>
                      <w:ind w:left="1260"/>
                      <w:jc w:val="center"/>
                    </w:pPr>
                    <w:r>
                      <w:fldChar w:fldCharType="begin"/>
                    </w:r>
                    <w:r>
                      <w:instrText xml:space="preserve"> PAGE   \* MERGEFORMAT </w:instrText>
                    </w:r>
                    <w:r>
                      <w:fldChar w:fldCharType="separate"/>
                    </w:r>
                    <w:r>
                      <w:rPr>
                        <w:lang w:val="zh-CN"/>
                      </w:rPr>
                      <w:t>23</w:t>
                    </w:r>
                    <w:r>
                      <w:fldChar w:fldCharType="end"/>
                    </w:r>
                  </w:p>
                </w:txbxContent>
              </v:textbox>
            </v:shape>
          </w:pict>
        </mc:Fallback>
      </mc:AlternateContent>
    </w:r>
  </w:p>
  <w:p w14:paraId="1AD84539">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04374">
    <w:pPr>
      <w:pStyle w:val="14"/>
      <w:jc w:val="center"/>
    </w:pPr>
    <w:r>
      <mc:AlternateContent>
        <mc:Choice Requires="wps">
          <w:drawing>
            <wp:anchor distT="0" distB="0" distL="114300" distR="114300" simplePos="0" relativeHeight="251663360" behindDoc="0" locked="0" layoutInCell="1" allowOverlap="1">
              <wp:simplePos x="0" y="0"/>
              <wp:positionH relativeFrom="margin">
                <wp:posOffset>2675890</wp:posOffset>
              </wp:positionH>
              <wp:positionV relativeFrom="paragraph">
                <wp:posOffset>0</wp:posOffset>
              </wp:positionV>
              <wp:extent cx="191135" cy="131445"/>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91135" cy="131445"/>
                      </a:xfrm>
                      <a:prstGeom prst="rect">
                        <a:avLst/>
                      </a:prstGeom>
                      <a:noFill/>
                      <a:ln>
                        <a:noFill/>
                      </a:ln>
                    </wps:spPr>
                    <wps:txbx>
                      <w:txbxContent>
                        <w:p w14:paraId="216499D1">
                          <w:pPr>
                            <w:pStyle w:val="14"/>
                          </w:pPr>
                          <w:r>
                            <w:fldChar w:fldCharType="begin"/>
                          </w:r>
                          <w:r>
                            <w:instrText xml:space="preserve"> PAGE  \* MERGEFORMAT </w:instrText>
                          </w:r>
                          <w:r>
                            <w:fldChar w:fldCharType="separate"/>
                          </w:r>
                          <w:r>
                            <w:t>3</w:t>
                          </w:r>
                          <w:r>
                            <w:fldChar w:fldCharType="end"/>
                          </w:r>
                        </w:p>
                      </w:txbxContent>
                    </wps:txbx>
                    <wps:bodyPr lIns="0" tIns="0" rIns="0" bIns="0" upright="0">
                      <a:spAutoFit/>
                    </wps:bodyPr>
                  </wps:wsp>
                </a:graphicData>
              </a:graphic>
            </wp:anchor>
          </w:drawing>
        </mc:Choice>
        <mc:Fallback>
          <w:pict>
            <v:shape id="_x0000_s1026" o:spid="_x0000_s1026" o:spt="202" type="#_x0000_t202" style="position:absolute;left:0pt;margin-left:210.7pt;margin-top:0pt;height:10.35pt;width:15.05pt;mso-position-horizontal-relative:margin;z-index:251663360;mso-width-relative:page;mso-height-relative:page;" filled="f" stroked="f" coordsize="21600,21600" o:gfxdata="UEsDBAoAAAAAAIdO4kAAAAAAAAAAAAAAAAAEAAAAZHJzL1BLAwQUAAAACACHTuJAaEwWDtQAAAAH&#10;AQAADwAAAGRycy9kb3ducmV2LnhtbE2PMU/DMBSEdyT+g/WQWBB1HKWlDXnpgGBho2Vhc+NHEmE/&#10;R7GbhP56zATj6U5331X7xVkx0Rh6zwhqlYEgbrzpuUV4P77cb0GEqNlo65kQvinAvr6+qnRp/Mxv&#10;NB1iK1IJh1IjdDEOpZSh6cjpsPIDcfI+/eh0THJspRn1nMqdlXmWbaTTPaeFTg/01FHzdTg7hM3y&#10;PNy97iifL42d+OOiVCSFeHujskcQkZb4F4Zf/IQOdWI6+TObICxCkasiRRHSo2QXa7UGcULIsweQ&#10;dSX/89c/UEsDBBQAAAAIAIdO4kCwF/zNxwEAAI0DAAAOAAAAZHJzL2Uyb0RvYy54bWytU0tu2zAQ&#10;3RfoHQjua1pxUjSC5SCFkaJA0RZIegCaoiwC/IFDW/IF2ht01U33PZfPkSElOU2yySIbajgzfDPv&#10;zWh51RtN9jKAcraixWxOibTC1cpuK/rj7ubdB0ogcltz7ays6EECvVq9fbPsfCnPXOt0LQNBEAtl&#10;5yvaxuhLxkC00nCYOS8tBhsXDI94DVtWB94hutHsbD5/zzoXah+ckADoXQ9BOiKGlwC6plFCrp3Y&#10;GWnjgBqk5hEpQas80FXutmmkiN+aBmQkuqLINOYTi6C9SSdbLXm5Ddy3Sowt8Je08IST4cpi0RPU&#10;mkdOdkE9gzJKBAeuiTPhDBuIZEWQRTF/os1ty73MXFBq8CfR4fVgxdf990BUXdFFQYnlBid+/P3r&#10;+Off8e9Pgj4UqPNQYt6tx8zYf3Q9rs3kB3Qm3n0TTPoiI4JxlPdwklf2kYj06LIoFheUCAwVi+L8&#10;/CKhsIfHPkD8JJ0hyahowOllUfn+C8QhdUpJtay7UVrnCWr7yIGYycNS50OHyYr9ph/pbFx9QDb6&#10;s0Ut015MRpiMzWTsfFDbNi9OqgH+ehexcO4noQ5QYzGcUmY0blRag//vOevhL1rd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hMFg7UAAAABwEAAA8AAAAAAAAAAQAgAAAAIgAAAGRycy9kb3ducmV2&#10;LnhtbFBLAQIUABQAAAAIAIdO4kCwF/zNxwEAAI0DAAAOAAAAAAAAAAEAIAAAACMBAABkcnMvZTJv&#10;RG9jLnhtbFBLBQYAAAAABgAGAFkBAABcBQAAAAA=&#10;">
              <v:fill on="f" focussize="0,0"/>
              <v:stroke on="f"/>
              <v:imagedata o:title=""/>
              <o:lock v:ext="edit" aspectratio="f"/>
              <v:textbox inset="0mm,0mm,0mm,0mm" style="mso-fit-shape-to-text:t;">
                <w:txbxContent>
                  <w:p w14:paraId="216499D1">
                    <w:pPr>
                      <w:pStyle w:val="14"/>
                    </w:pPr>
                    <w:r>
                      <w:fldChar w:fldCharType="begin"/>
                    </w:r>
                    <w:r>
                      <w:instrText xml:space="preserve"> PAGE  \* MERGEFORMAT </w:instrText>
                    </w:r>
                    <w:r>
                      <w:fldChar w:fldCharType="separate"/>
                    </w:r>
                    <w:r>
                      <w:t>3</w:t>
                    </w:r>
                    <w:r>
                      <w:fldChar w:fldCharType="end"/>
                    </w:r>
                  </w:p>
                </w:txbxContent>
              </v:textbox>
            </v:shape>
          </w:pict>
        </mc:Fallback>
      </mc:AlternateContent>
    </w:r>
  </w:p>
  <w:p w14:paraId="7687D66D">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4FED2">
    <w:pPr>
      <w:pStyle w:val="14"/>
    </w:pPr>
    <w:r>
      <mc:AlternateContent>
        <mc:Choice Requires="wps">
          <w:drawing>
            <wp:anchor distT="0" distB="0" distL="114300" distR="114300" simplePos="0" relativeHeight="251662336" behindDoc="0" locked="0" layoutInCell="1" allowOverlap="1">
              <wp:simplePos x="0" y="0"/>
              <wp:positionH relativeFrom="margin">
                <wp:posOffset>2769235</wp:posOffset>
              </wp:positionH>
              <wp:positionV relativeFrom="paragraph">
                <wp:posOffset>-38100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4E5752">
                          <w:pPr>
                            <w:snapToGrid w:val="0"/>
                            <w:rPr>
                              <w:sz w:val="18"/>
                            </w:rP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218.05pt;margin-top:-3pt;height:144pt;width:144pt;mso-position-horizontal-relative:margin;mso-wrap-style:none;z-index:251662336;mso-width-relative:page;mso-height-relative:page;" filled="f" stroked="f" coordsize="21600,21600" o:gfxdata="UEsDBAoAAAAAAIdO4kAAAAAAAAAAAAAAAAAEAAAAZHJzL1BLAwQUAAAACACHTuJABdE9h9YAAAAK&#10;AQAADwAAAGRycy9kb3ducmV2LnhtbE2PPU/DMBCGdyT+g3VIbK2dUKVRiNOhEgsbBSGxufE1jvBH&#10;ZLtp8u85Jhjv7tF7z9seFmfZjDGNwUsotgIY+j7o0Q8SPt5fNjWwlJXXygaPElZMcOju71rV6HDz&#10;bzif8sAoxKdGSTA5Tw3nqTfoVNqGCT3dLiE6lWmMA9dR3SjcWV4KUXGnRk8fjJrwaLD/Pl2dhP3y&#10;GXBKeMSvy9xHM661fV2lfHwoxDOwjEv+g+FXn9ShI6dzuHqdmJWwe6oKQiVsKupEwL7c0eIsoaxL&#10;Abxr+f8K3Q9QSwMEFAAAAAgAh07iQL+vPtHKAQAAmwMAAA4AAABkcnMvZTJvRG9jLnhtbK1TzY7T&#10;MBC+r8Q7WL5TZyuBqqjpClQtQkKAtOwDuI7dWPKfPG6TvgC8AScue9/n6nMwdpIuLJc9cHHGM+Nv&#10;5vtmsr4ZrCFHGUF719DrRUWJdMK32u0bev/t9vWKEkjctdx4Jxt6kkBvNq+u1n2o5dJ33rQyEgRx&#10;UPehoV1KoWYMRCcth4UP0mFQ+Wh5wmvcszbyHtGtYcuqest6H9sQvZAA6N2OQTohxpcAeqW0kFsv&#10;Dla6NKJGaXhCStDpAHRTulVKivRFKZCJmIYi01ROLIL2Lp9ss+b1PvLQaTG1wF/SwjNOlmuHRS9Q&#10;W544OUT9D5TVInrwKi2Et2wkUhRBFtfVM23uOh5k4YJSQ7iIDv8PVnw+fo1Etw1dvqHEcYsTP//8&#10;cf71eH74TtCHAvUBasy7C5iZhvd+wLWZ/YDOzHtQ0eYvMiIYR3lPF3nlkIjIj1bL1arCkMDYfEF8&#10;9vQ8REgfpLckGw2NOL8iKz9+gjSmzim5mvO32pgyQ+P+ciBm9rDc+9hjttKwGyZCO9+ekE+Po2+o&#10;w02nxHx0qGzektmIs7GbjUOIet+VNcr1ILw7JGyi9JYrjLBTYZxZYTftV16KP+8l6+mf2v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BdE9h9YAAAAKAQAADwAAAAAAAAABACAAAAAiAAAAZHJzL2Rv&#10;d25yZXYueG1sUEsBAhQAFAAAAAgAh07iQL+vPtHKAQAAmwMAAA4AAAAAAAAAAQAgAAAAJQEAAGRy&#10;cy9lMm9Eb2MueG1sUEsFBgAAAAAGAAYAWQEAAGEFAAAAAA==&#10;">
              <v:fill on="f" focussize="0,0"/>
              <v:stroke on="f"/>
              <v:imagedata o:title=""/>
              <o:lock v:ext="edit" aspectratio="f"/>
              <v:textbox inset="0mm,0mm,0mm,0mm" style="mso-fit-shape-to-text:t;">
                <w:txbxContent>
                  <w:p w14:paraId="294E5752">
                    <w:pPr>
                      <w:snapToGrid w:val="0"/>
                      <w:rPr>
                        <w:sz w:val="18"/>
                      </w:rP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2FF9EC">
                          <w:pPr>
                            <w:pStyle w:val="14"/>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vRG8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1DiHrflTXK9SC8Oy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9EbyQEAAJsDAAAOAAAAAAAAAAEAIAAAAB4BAABkcnMvZTJvRG9j&#10;LnhtbFBLBQYAAAAABgAGAFkBAABZBQAAAAA=&#10;">
              <v:fill on="f" focussize="0,0"/>
              <v:stroke on="f"/>
              <v:imagedata o:title=""/>
              <o:lock v:ext="edit" aspectratio="f"/>
              <v:textbox inset="0mm,0mm,0mm,0mm" style="mso-fit-shape-to-text:t;">
                <w:txbxContent>
                  <w:p w14:paraId="502FF9EC">
                    <w:pPr>
                      <w:pStyle w:val="14"/>
                      <w:rPr>
                        <w:rFonts w:hint="eastAsia"/>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19DDE">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D351CBE">
                          <w:pPr>
                            <w:pStyle w:val="14"/>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i1kc4yAgAAZ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zrGijQNPUyk1JUerdDu&#10;2p7nzhQn0HSmmxRv+aZGKVvmwz1zGA2Uj8cT7rCU0iCl6S1KKuO+/us8xqNj8FLSYNRyqvGyKJEf&#10;NDoJwDAYbjB2g6EP6tZgdtEc1JJMXHBBDmbpjPqCF7WKOeBimiNTTsNg3oZu3PEiuVitUhBmz7Kw&#10;1Q+WR+goj7erQ4CcSeUoSqcEuhM3mL7Up/6lxPH+c5+inv4O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KLWRzjICAABlBAAADgAAAAAAAAABACAAAAAfAQAAZHJzL2Uyb0RvYy54bWxQSwUG&#10;AAAAAAYABgBZAQAAwwUAAAAA&#10;">
              <v:fill on="f" focussize="0,0"/>
              <v:stroke on="f" weight="0.5pt"/>
              <v:imagedata o:title=""/>
              <o:lock v:ext="edit" aspectratio="f"/>
              <v:textbox inset="0mm,0mm,0mm,0mm" style="mso-fit-shape-to-text:t;">
                <w:txbxContent>
                  <w:p w14:paraId="3D351CBE">
                    <w:pPr>
                      <w:pStyle w:val="14"/>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0A503">
    <w:pPr>
      <w:spacing w:line="1" w:lineRule="exact"/>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-257175</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38CB52E0">
                          <w:pPr>
                            <w:pStyle w:val="14"/>
                          </w:pPr>
                          <w:r>
                            <w:rPr>
                              <w:rFonts w:hint="eastAsia"/>
                            </w:rPr>
                            <w:fldChar w:fldCharType="begin"/>
                          </w:r>
                          <w:r>
                            <w:rPr>
                              <w:rFonts w:hint="eastAsia"/>
                            </w:rPr>
                            <w:instrText xml:space="preserve"> PAGE  \* MERGEFORMAT </w:instrText>
                          </w:r>
                          <w:r>
                            <w:rPr>
                              <w:rFonts w:hint="eastAsia"/>
                            </w:rPr>
                            <w:fldChar w:fldCharType="separate"/>
                          </w:r>
                          <w:r>
                            <w:t>69</w:t>
                          </w:r>
                          <w:r>
                            <w:rPr>
                              <w:rFonts w:hint="eastAsia"/>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20.25pt;height:144pt;width:144pt;mso-position-horizontal:center;mso-position-horizontal-relative:margin;mso-wrap-style:none;z-index:251664384;mso-width-relative:page;mso-height-relative:page;" filled="f" stroked="f" coordsize="21600,21600" o:gfxdata="UEsDBAoAAAAAAIdO4kAAAAAAAAAAAAAAAAAEAAAAZHJzL1BLAwQUAAAACACHTuJAC4uP+9UAAAAI&#10;AQAADwAAAGRycy9kb3ducmV2LnhtbE2PMU/DMBCFdyT+g3WV2Fq7VUujEKdDJRY2CkJic+NrHDU+&#10;R7abJv+eY4Lt7t7Tu+9Vh8n3YsSYukAa1isFAqkJtqNWw+fH67IAkbIha/pAqGHGBIf68aEypQ13&#10;esfxlFvBIZRKo8HlPJRSpsahN2kVBiTWLiF6k3mNrbTR3Dnc93Kj1LP0piP+4MyAR4fN9XTzGvbT&#10;V8Ah4RG/L2MTXTcX/dus9dNirV5AZJzynxl+8RkdamY6hxvZJHoNXCRrWG7VDgTLm6Lgy5mH7X4H&#10;sq7k/wL1D1BLAwQUAAAACACHTuJAq80ntucBAADJAwAADgAAAGRycy9lMm9Eb2MueG1srVPBjtMw&#10;EL0j8Q+W7zTZSrsqUdMVqFqEhABp2Q9wHaexZHssj9ukfAD8AScu3PmufgdjJ+mi5bIHLsl4Zvxm&#10;3pvx+nawhh1VQA2u5leLkjPlJDTa7Wv+8OXu1YozjMI1woBTNT8p5Lebly/Wva/UEjowjQqMQBxW&#10;va95F6OvigJlp6zABXjlKNhCsCLSMeyLJoie0K0plmV5U/QQGh9AKkTybscgnxDDcwChbbVUW5AH&#10;q1wcUYMyIhIl7LRHvsndtq2S8VPboorM1JyYxvylImTv0rfYrEW1D8J3Wk4tiOe08ISTFdpR0QvU&#10;VkTBDkH/A2W1DIDQxoUEW4xEsiLE4qp8os19J7zKXEhq9BfR8f/Byo/Hz4HppuavbzhzwtLEzz++&#10;n3/+Pv/6xshHAvUeK8q795QZh7cw0NrMfiRn4j20waY/MWIUJ3lPF3nVEJlMl1bL1aqkkKTYfCD8&#10;4vG6DxjfKbAsGTUPNL8sqzh+wDimzimpmoM7bUyeoXGsJxLXy+t84RIhcONSrsrbMMEkSmPryYrD&#10;bph47qA5EU16H1S+g/CVs562o+aOHgNn5r0j8dMizUaYjd1sCCfpYs0jZwcf9L7LS5daQP/mEKnl&#10;zCQVHquRAulAE85aTNuYVujvc856fIGb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uLj/vVAAAA&#10;CAEAAA8AAAAAAAAAAQAgAAAAIgAAAGRycy9kb3ducmV2LnhtbFBLAQIUABQAAAAIAIdO4kCrzSe2&#10;5wEAAMkDAAAOAAAAAAAAAAEAIAAAACQBAABkcnMvZTJvRG9jLnhtbFBLBQYAAAAABgAGAFkBAAB9&#10;BQAAAAA=&#10;">
              <v:fill on="f" focussize="0,0"/>
              <v:stroke on="f"/>
              <v:imagedata o:title=""/>
              <o:lock v:ext="edit" aspectratio="f"/>
              <v:textbox inset="0mm,0mm,0mm,0mm" style="mso-fit-shape-to-text:t;">
                <w:txbxContent>
                  <w:p w14:paraId="38CB52E0">
                    <w:pPr>
                      <w:pStyle w:val="14"/>
                    </w:pPr>
                    <w:r>
                      <w:rPr>
                        <w:rFonts w:hint="eastAsia"/>
                      </w:rPr>
                      <w:fldChar w:fldCharType="begin"/>
                    </w:r>
                    <w:r>
                      <w:rPr>
                        <w:rFonts w:hint="eastAsia"/>
                      </w:rPr>
                      <w:instrText xml:space="preserve"> PAGE  \* MERGEFORMAT </w:instrText>
                    </w:r>
                    <w:r>
                      <w:rPr>
                        <w:rFonts w:hint="eastAsia"/>
                      </w:rPr>
                      <w:fldChar w:fldCharType="separate"/>
                    </w:r>
                    <w:r>
                      <w:t>69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9BD4A">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C6FA79"/>
    <w:multiLevelType w:val="singleLevel"/>
    <w:tmpl w:val="D6C6FA79"/>
    <w:lvl w:ilvl="0" w:tentative="0">
      <w:start w:val="1"/>
      <w:numFmt w:val="decimal"/>
      <w:suff w:val="nothing"/>
      <w:lvlText w:val="%1、"/>
      <w:lvlJc w:val="left"/>
    </w:lvl>
  </w:abstractNum>
  <w:abstractNum w:abstractNumId="1">
    <w:nsid w:val="47172C76"/>
    <w:multiLevelType w:val="singleLevel"/>
    <w:tmpl w:val="47172C76"/>
    <w:lvl w:ilvl="0" w:tentative="0">
      <w:start w:val="1"/>
      <w:numFmt w:val="chineseCounting"/>
      <w:suff w:val="nothing"/>
      <w:lvlText w:val="%1、"/>
      <w:lvlJc w:val="left"/>
      <w:rPr>
        <w:rFonts w:hint="eastAsia"/>
      </w:rPr>
    </w:lvl>
  </w:abstractNum>
  <w:abstractNum w:abstractNumId="2">
    <w:nsid w:val="49F16539"/>
    <w:multiLevelType w:val="multilevel"/>
    <w:tmpl w:val="49F16539"/>
    <w:lvl w:ilvl="0" w:tentative="0">
      <w:start w:val="1"/>
      <w:numFmt w:val="japaneseCounting"/>
      <w:lvlText w:val="第%1章"/>
      <w:lvlJc w:val="left"/>
      <w:pPr>
        <w:ind w:left="1128" w:hanging="1128"/>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DA1B44A"/>
    <w:multiLevelType w:val="singleLevel"/>
    <w:tmpl w:val="4DA1B44A"/>
    <w:lvl w:ilvl="0" w:tentative="0">
      <w:start w:val="4"/>
      <w:numFmt w:val="chineseCounting"/>
      <w:suff w:val="nothing"/>
      <w:lvlText w:val="（%1）"/>
      <w:lvlJc w:val="left"/>
      <w:rPr>
        <w:rFonts w:hint="eastAsia"/>
      </w:rPr>
    </w:lvl>
  </w:abstractNum>
  <w:abstractNum w:abstractNumId="4">
    <w:nsid w:val="62DD23FE"/>
    <w:multiLevelType w:val="singleLevel"/>
    <w:tmpl w:val="62DD23FE"/>
    <w:lvl w:ilvl="0" w:tentative="0">
      <w:start w:val="1"/>
      <w:numFmt w:val="decimal"/>
      <w:lvlText w:val="%1."/>
      <w:lvlJc w:val="left"/>
      <w:pPr>
        <w:ind w:left="425" w:hanging="425"/>
      </w:pPr>
      <w:rPr>
        <w:rFonts w:hint="default"/>
      </w:rPr>
    </w:lvl>
  </w:abstractNum>
  <w:abstractNum w:abstractNumId="5">
    <w:nsid w:val="62DD242D"/>
    <w:multiLevelType w:val="singleLevel"/>
    <w:tmpl w:val="62DD242D"/>
    <w:lvl w:ilvl="0" w:tentative="0">
      <w:start w:val="1"/>
      <w:numFmt w:val="decimalEnclosedCircleChinese"/>
      <w:suff w:val="nothing"/>
      <w:lvlText w:val="%1　"/>
      <w:lvlJc w:val="left"/>
      <w:pPr>
        <w:ind w:left="0" w:firstLine="400"/>
      </w:pPr>
      <w:rPr>
        <w:rFonts w:hint="eastAsia" w:ascii="宋体" w:hAnsi="宋体" w:eastAsia="宋体" w:cs="宋体"/>
        <w:sz w:val="21"/>
        <w:szCs w:val="21"/>
      </w:rPr>
    </w:lvl>
  </w:abstractNum>
  <w:abstractNum w:abstractNumId="6">
    <w:nsid w:val="62DD2D3D"/>
    <w:multiLevelType w:val="singleLevel"/>
    <w:tmpl w:val="62DD2D3D"/>
    <w:lvl w:ilvl="0" w:tentative="0">
      <w:start w:val="1"/>
      <w:numFmt w:val="decimal"/>
      <w:suff w:val="nothing"/>
      <w:lvlText w:val="%1."/>
      <w:lvlJc w:val="left"/>
    </w:lvl>
  </w:abstractNum>
  <w:abstractNum w:abstractNumId="7">
    <w:nsid w:val="6A02C4A9"/>
    <w:multiLevelType w:val="singleLevel"/>
    <w:tmpl w:val="6A02C4A9"/>
    <w:lvl w:ilvl="0" w:tentative="0">
      <w:start w:val="1"/>
      <w:numFmt w:val="decimal"/>
      <w:pStyle w:val="6"/>
      <w:lvlText w:val="%1."/>
      <w:lvlJc w:val="left"/>
      <w:pPr>
        <w:tabs>
          <w:tab w:val="left" w:pos="360"/>
        </w:tabs>
        <w:ind w:left="360" w:hanging="360"/>
      </w:pPr>
    </w:lvl>
  </w:abstractNum>
  <w:abstractNum w:abstractNumId="8">
    <w:nsid w:val="6CB651A1"/>
    <w:multiLevelType w:val="singleLevel"/>
    <w:tmpl w:val="6CB651A1"/>
    <w:lvl w:ilvl="0" w:tentative="0">
      <w:start w:val="1"/>
      <w:numFmt w:val="chineseCounting"/>
      <w:suff w:val="space"/>
      <w:lvlText w:val="第%1部分"/>
      <w:lvlJc w:val="left"/>
      <w:rPr>
        <w:rFonts w:hint="eastAsia"/>
      </w:rPr>
    </w:lvl>
  </w:abstractNum>
  <w:abstractNum w:abstractNumId="9">
    <w:nsid w:val="7D46DE13"/>
    <w:multiLevelType w:val="singleLevel"/>
    <w:tmpl w:val="7D46DE13"/>
    <w:lvl w:ilvl="0" w:tentative="0">
      <w:start w:val="1"/>
      <w:numFmt w:val="decimal"/>
      <w:suff w:val="nothing"/>
      <w:lvlText w:val="（%1）"/>
      <w:lvlJc w:val="left"/>
    </w:lvl>
  </w:abstractNum>
  <w:abstractNum w:abstractNumId="10">
    <w:nsid w:val="7F8C4310"/>
    <w:multiLevelType w:val="singleLevel"/>
    <w:tmpl w:val="7F8C4310"/>
    <w:lvl w:ilvl="0" w:tentative="0">
      <w:start w:val="1"/>
      <w:numFmt w:val="decimal"/>
      <w:suff w:val="nothing"/>
      <w:lvlText w:val="%1、"/>
      <w:lvlJc w:val="left"/>
    </w:lvl>
  </w:abstractNum>
  <w:num w:numId="1">
    <w:abstractNumId w:val="7"/>
  </w:num>
  <w:num w:numId="2">
    <w:abstractNumId w:val="2"/>
  </w:num>
  <w:num w:numId="3">
    <w:abstractNumId w:val="3"/>
  </w:num>
  <w:num w:numId="4">
    <w:abstractNumId w:val="9"/>
  </w:num>
  <w:num w:numId="5">
    <w:abstractNumId w:val="4"/>
  </w:num>
  <w:num w:numId="6">
    <w:abstractNumId w:val="5"/>
  </w:num>
  <w:num w:numId="7">
    <w:abstractNumId w:val="10"/>
  </w:num>
  <w:num w:numId="8">
    <w:abstractNumId w:val="6"/>
  </w:num>
  <w:num w:numId="9">
    <w:abstractNumId w:val="1"/>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MjY3MmQ5MzgxODRhNGFiOWQyZTZkYzQwYjIzNWYifQ=="/>
  </w:docVars>
  <w:rsids>
    <w:rsidRoot w:val="4B540F63"/>
    <w:rsid w:val="000146A6"/>
    <w:rsid w:val="003E494C"/>
    <w:rsid w:val="00573DCF"/>
    <w:rsid w:val="009E0A58"/>
    <w:rsid w:val="00A4040B"/>
    <w:rsid w:val="01730582"/>
    <w:rsid w:val="017C25DD"/>
    <w:rsid w:val="01DD1C4C"/>
    <w:rsid w:val="02447105"/>
    <w:rsid w:val="024505F1"/>
    <w:rsid w:val="02631625"/>
    <w:rsid w:val="02914803"/>
    <w:rsid w:val="02CA3411"/>
    <w:rsid w:val="03343D40"/>
    <w:rsid w:val="036667DD"/>
    <w:rsid w:val="03B95AA0"/>
    <w:rsid w:val="042B0441"/>
    <w:rsid w:val="04727D76"/>
    <w:rsid w:val="04865C14"/>
    <w:rsid w:val="04965F47"/>
    <w:rsid w:val="04DE21B6"/>
    <w:rsid w:val="053022E6"/>
    <w:rsid w:val="05452235"/>
    <w:rsid w:val="05B42F17"/>
    <w:rsid w:val="05E70FCC"/>
    <w:rsid w:val="06181458"/>
    <w:rsid w:val="06233BF8"/>
    <w:rsid w:val="06781F50"/>
    <w:rsid w:val="06E8307A"/>
    <w:rsid w:val="079566CC"/>
    <w:rsid w:val="08AA0F48"/>
    <w:rsid w:val="08CD6445"/>
    <w:rsid w:val="090E0B90"/>
    <w:rsid w:val="09167A44"/>
    <w:rsid w:val="096C3723"/>
    <w:rsid w:val="0972111F"/>
    <w:rsid w:val="09C3197A"/>
    <w:rsid w:val="0A93666A"/>
    <w:rsid w:val="0AA23C86"/>
    <w:rsid w:val="0AEB7501"/>
    <w:rsid w:val="0B143885"/>
    <w:rsid w:val="0B3E51AB"/>
    <w:rsid w:val="0B632B21"/>
    <w:rsid w:val="0BB2614A"/>
    <w:rsid w:val="0C0113C0"/>
    <w:rsid w:val="0C5D1E9D"/>
    <w:rsid w:val="0C8D626F"/>
    <w:rsid w:val="0CA22C52"/>
    <w:rsid w:val="0D4264BA"/>
    <w:rsid w:val="0D847672"/>
    <w:rsid w:val="0D8E229F"/>
    <w:rsid w:val="0E05576B"/>
    <w:rsid w:val="0E4A4418"/>
    <w:rsid w:val="0F055463"/>
    <w:rsid w:val="0F344F42"/>
    <w:rsid w:val="0F566DED"/>
    <w:rsid w:val="0FCE1048"/>
    <w:rsid w:val="0FE268D2"/>
    <w:rsid w:val="10284C2D"/>
    <w:rsid w:val="102F7D69"/>
    <w:rsid w:val="104F21BA"/>
    <w:rsid w:val="105A22BC"/>
    <w:rsid w:val="10E5667A"/>
    <w:rsid w:val="1120143A"/>
    <w:rsid w:val="112C7CAB"/>
    <w:rsid w:val="11366ED6"/>
    <w:rsid w:val="11DE27B7"/>
    <w:rsid w:val="11E61538"/>
    <w:rsid w:val="11ED40C5"/>
    <w:rsid w:val="12810624"/>
    <w:rsid w:val="12CB4C91"/>
    <w:rsid w:val="12DD414E"/>
    <w:rsid w:val="12F90557"/>
    <w:rsid w:val="132E6594"/>
    <w:rsid w:val="133D279D"/>
    <w:rsid w:val="139A4A87"/>
    <w:rsid w:val="13E1581F"/>
    <w:rsid w:val="143708A8"/>
    <w:rsid w:val="143C6364"/>
    <w:rsid w:val="146579F1"/>
    <w:rsid w:val="1476392B"/>
    <w:rsid w:val="14C64A14"/>
    <w:rsid w:val="14D07EBA"/>
    <w:rsid w:val="14D26F15"/>
    <w:rsid w:val="15427F5D"/>
    <w:rsid w:val="155043EB"/>
    <w:rsid w:val="15784B39"/>
    <w:rsid w:val="157E0E4B"/>
    <w:rsid w:val="158E0298"/>
    <w:rsid w:val="158F03A1"/>
    <w:rsid w:val="160F5527"/>
    <w:rsid w:val="162D55EF"/>
    <w:rsid w:val="162F433C"/>
    <w:rsid w:val="164E349E"/>
    <w:rsid w:val="164E701A"/>
    <w:rsid w:val="167C6157"/>
    <w:rsid w:val="16A37813"/>
    <w:rsid w:val="16CF5E02"/>
    <w:rsid w:val="16DD203D"/>
    <w:rsid w:val="177C724E"/>
    <w:rsid w:val="17935AF6"/>
    <w:rsid w:val="17B60D70"/>
    <w:rsid w:val="17C8229E"/>
    <w:rsid w:val="18363C5F"/>
    <w:rsid w:val="184E3CAD"/>
    <w:rsid w:val="185F31B6"/>
    <w:rsid w:val="18BB11EA"/>
    <w:rsid w:val="18BB7EB4"/>
    <w:rsid w:val="18D96837"/>
    <w:rsid w:val="19045B0B"/>
    <w:rsid w:val="191D1A17"/>
    <w:rsid w:val="198B6051"/>
    <w:rsid w:val="19AD1CFF"/>
    <w:rsid w:val="19AD2AD5"/>
    <w:rsid w:val="19F636A6"/>
    <w:rsid w:val="1A134E88"/>
    <w:rsid w:val="1A9C79E4"/>
    <w:rsid w:val="1AEC5C96"/>
    <w:rsid w:val="1B132036"/>
    <w:rsid w:val="1C072B24"/>
    <w:rsid w:val="1C850D11"/>
    <w:rsid w:val="1C97240B"/>
    <w:rsid w:val="1CBC2C96"/>
    <w:rsid w:val="1CE311D7"/>
    <w:rsid w:val="1D0E51AB"/>
    <w:rsid w:val="1D68396B"/>
    <w:rsid w:val="1DC87107"/>
    <w:rsid w:val="1DD158A2"/>
    <w:rsid w:val="1DE026A3"/>
    <w:rsid w:val="1DF824BB"/>
    <w:rsid w:val="1E7B061E"/>
    <w:rsid w:val="1E7E1EBC"/>
    <w:rsid w:val="1EB22D69"/>
    <w:rsid w:val="1FB663CE"/>
    <w:rsid w:val="20207C58"/>
    <w:rsid w:val="203364CE"/>
    <w:rsid w:val="20726494"/>
    <w:rsid w:val="2076376A"/>
    <w:rsid w:val="209F7BF6"/>
    <w:rsid w:val="20CA763A"/>
    <w:rsid w:val="20DB35F6"/>
    <w:rsid w:val="20E272F7"/>
    <w:rsid w:val="2119490C"/>
    <w:rsid w:val="21316F3F"/>
    <w:rsid w:val="21BA631B"/>
    <w:rsid w:val="22A005F3"/>
    <w:rsid w:val="22A771DD"/>
    <w:rsid w:val="22A90A8C"/>
    <w:rsid w:val="22EA4CC6"/>
    <w:rsid w:val="230074E7"/>
    <w:rsid w:val="23171889"/>
    <w:rsid w:val="236906DB"/>
    <w:rsid w:val="2377085B"/>
    <w:rsid w:val="239E6770"/>
    <w:rsid w:val="242D5640"/>
    <w:rsid w:val="247B052C"/>
    <w:rsid w:val="249917FE"/>
    <w:rsid w:val="24D9609E"/>
    <w:rsid w:val="24DA5582"/>
    <w:rsid w:val="24DE047B"/>
    <w:rsid w:val="251D242F"/>
    <w:rsid w:val="255D282B"/>
    <w:rsid w:val="257139A1"/>
    <w:rsid w:val="25754019"/>
    <w:rsid w:val="25804B6B"/>
    <w:rsid w:val="260B64FA"/>
    <w:rsid w:val="26C55A59"/>
    <w:rsid w:val="26D61DF6"/>
    <w:rsid w:val="271303B6"/>
    <w:rsid w:val="27717D0C"/>
    <w:rsid w:val="277D3FBB"/>
    <w:rsid w:val="28185869"/>
    <w:rsid w:val="288B087A"/>
    <w:rsid w:val="289C4061"/>
    <w:rsid w:val="293F4E4D"/>
    <w:rsid w:val="2944442E"/>
    <w:rsid w:val="297A7E50"/>
    <w:rsid w:val="29F51A75"/>
    <w:rsid w:val="2A0E67EA"/>
    <w:rsid w:val="2A113E59"/>
    <w:rsid w:val="2A7C19A5"/>
    <w:rsid w:val="2A8E6B28"/>
    <w:rsid w:val="2AC1560A"/>
    <w:rsid w:val="2AEF3F25"/>
    <w:rsid w:val="2B0A5203"/>
    <w:rsid w:val="2B605072"/>
    <w:rsid w:val="2B795EE5"/>
    <w:rsid w:val="2C6B7188"/>
    <w:rsid w:val="2C900111"/>
    <w:rsid w:val="2C937E06"/>
    <w:rsid w:val="2D0E34CD"/>
    <w:rsid w:val="2D2074FA"/>
    <w:rsid w:val="2D4653AA"/>
    <w:rsid w:val="2DE441C9"/>
    <w:rsid w:val="2E202B49"/>
    <w:rsid w:val="2E5D1AEE"/>
    <w:rsid w:val="2E5E373C"/>
    <w:rsid w:val="2E647C32"/>
    <w:rsid w:val="2E9F034A"/>
    <w:rsid w:val="2EEE6644"/>
    <w:rsid w:val="2F082EF4"/>
    <w:rsid w:val="2F205F08"/>
    <w:rsid w:val="2F666780"/>
    <w:rsid w:val="2F8D1E33"/>
    <w:rsid w:val="2F9B14FA"/>
    <w:rsid w:val="2FF97476"/>
    <w:rsid w:val="3030312A"/>
    <w:rsid w:val="30706781"/>
    <w:rsid w:val="30F720DE"/>
    <w:rsid w:val="315A2315"/>
    <w:rsid w:val="316118F5"/>
    <w:rsid w:val="32327209"/>
    <w:rsid w:val="32E82290"/>
    <w:rsid w:val="32F131FD"/>
    <w:rsid w:val="337146AB"/>
    <w:rsid w:val="339D48A3"/>
    <w:rsid w:val="33A31DCB"/>
    <w:rsid w:val="33C12889"/>
    <w:rsid w:val="3423628F"/>
    <w:rsid w:val="34272982"/>
    <w:rsid w:val="34345435"/>
    <w:rsid w:val="34486818"/>
    <w:rsid w:val="34786F57"/>
    <w:rsid w:val="34C359EA"/>
    <w:rsid w:val="34CC1523"/>
    <w:rsid w:val="34F167A3"/>
    <w:rsid w:val="350503E9"/>
    <w:rsid w:val="35460218"/>
    <w:rsid w:val="35466E38"/>
    <w:rsid w:val="35493EC5"/>
    <w:rsid w:val="354E03E2"/>
    <w:rsid w:val="35D32FA4"/>
    <w:rsid w:val="360B0636"/>
    <w:rsid w:val="36134AB5"/>
    <w:rsid w:val="364C4C97"/>
    <w:rsid w:val="368E5920"/>
    <w:rsid w:val="36984018"/>
    <w:rsid w:val="36A7157E"/>
    <w:rsid w:val="370C129C"/>
    <w:rsid w:val="37205D5A"/>
    <w:rsid w:val="37B7086A"/>
    <w:rsid w:val="37B84CF6"/>
    <w:rsid w:val="37B95FE7"/>
    <w:rsid w:val="37C66ED9"/>
    <w:rsid w:val="37EA4224"/>
    <w:rsid w:val="383E64EC"/>
    <w:rsid w:val="38434D5F"/>
    <w:rsid w:val="386128A9"/>
    <w:rsid w:val="38855E54"/>
    <w:rsid w:val="39BA6046"/>
    <w:rsid w:val="39CE564E"/>
    <w:rsid w:val="39E038A9"/>
    <w:rsid w:val="3A2D545E"/>
    <w:rsid w:val="3B006970"/>
    <w:rsid w:val="3B3F4A55"/>
    <w:rsid w:val="3BAA5C47"/>
    <w:rsid w:val="3C703BA3"/>
    <w:rsid w:val="3C7C412F"/>
    <w:rsid w:val="3C7F531E"/>
    <w:rsid w:val="3CAA649E"/>
    <w:rsid w:val="3CC50F8A"/>
    <w:rsid w:val="3D3F3621"/>
    <w:rsid w:val="3D92565F"/>
    <w:rsid w:val="3DA908AC"/>
    <w:rsid w:val="3DCD197F"/>
    <w:rsid w:val="3DE55DF3"/>
    <w:rsid w:val="3E921340"/>
    <w:rsid w:val="3E976956"/>
    <w:rsid w:val="3ECA5494"/>
    <w:rsid w:val="3EE47599"/>
    <w:rsid w:val="3F074F48"/>
    <w:rsid w:val="40197D27"/>
    <w:rsid w:val="404448BC"/>
    <w:rsid w:val="408F7768"/>
    <w:rsid w:val="40FD258B"/>
    <w:rsid w:val="416D14B4"/>
    <w:rsid w:val="419C3F9F"/>
    <w:rsid w:val="41B45312"/>
    <w:rsid w:val="42813BA5"/>
    <w:rsid w:val="42F56341"/>
    <w:rsid w:val="43171D5C"/>
    <w:rsid w:val="432D3C9F"/>
    <w:rsid w:val="438374A9"/>
    <w:rsid w:val="444E7770"/>
    <w:rsid w:val="45466634"/>
    <w:rsid w:val="455B692F"/>
    <w:rsid w:val="458A2894"/>
    <w:rsid w:val="46AD457E"/>
    <w:rsid w:val="46CE77DF"/>
    <w:rsid w:val="46E6047B"/>
    <w:rsid w:val="47152B0E"/>
    <w:rsid w:val="471B670E"/>
    <w:rsid w:val="477660E2"/>
    <w:rsid w:val="47A72196"/>
    <w:rsid w:val="48340F35"/>
    <w:rsid w:val="489C0190"/>
    <w:rsid w:val="48AD58CA"/>
    <w:rsid w:val="48C06AA9"/>
    <w:rsid w:val="48D6451F"/>
    <w:rsid w:val="48E11DE6"/>
    <w:rsid w:val="490474CD"/>
    <w:rsid w:val="49316CFF"/>
    <w:rsid w:val="49341976"/>
    <w:rsid w:val="4984543A"/>
    <w:rsid w:val="4A1E4BE4"/>
    <w:rsid w:val="4A3363AB"/>
    <w:rsid w:val="4A3C54A0"/>
    <w:rsid w:val="4A4E6A63"/>
    <w:rsid w:val="4A913ECA"/>
    <w:rsid w:val="4AAC5D33"/>
    <w:rsid w:val="4ACB00B3"/>
    <w:rsid w:val="4B540F63"/>
    <w:rsid w:val="4B6A3E1C"/>
    <w:rsid w:val="4B9F3F48"/>
    <w:rsid w:val="4BA00335"/>
    <w:rsid w:val="4BE64A79"/>
    <w:rsid w:val="4BEB0208"/>
    <w:rsid w:val="4BF54CBC"/>
    <w:rsid w:val="4BF73D81"/>
    <w:rsid w:val="4C360E06"/>
    <w:rsid w:val="4C6B1ADF"/>
    <w:rsid w:val="4C7B0D38"/>
    <w:rsid w:val="4CE216E4"/>
    <w:rsid w:val="4D01527F"/>
    <w:rsid w:val="4D6A6542"/>
    <w:rsid w:val="4D98538C"/>
    <w:rsid w:val="4DBC35DF"/>
    <w:rsid w:val="4E007AF1"/>
    <w:rsid w:val="4E4D5283"/>
    <w:rsid w:val="4E4F1CA6"/>
    <w:rsid w:val="4E546137"/>
    <w:rsid w:val="4E915170"/>
    <w:rsid w:val="4EDA09E1"/>
    <w:rsid w:val="4EFA32E8"/>
    <w:rsid w:val="4F1638C7"/>
    <w:rsid w:val="4F2C4E99"/>
    <w:rsid w:val="4F441C71"/>
    <w:rsid w:val="4FB629B4"/>
    <w:rsid w:val="4FE70E6E"/>
    <w:rsid w:val="5013523E"/>
    <w:rsid w:val="502F5A2A"/>
    <w:rsid w:val="5042341A"/>
    <w:rsid w:val="50DF45F3"/>
    <w:rsid w:val="50ED6502"/>
    <w:rsid w:val="51475FBA"/>
    <w:rsid w:val="51612C25"/>
    <w:rsid w:val="51636B48"/>
    <w:rsid w:val="51747903"/>
    <w:rsid w:val="51CC32BF"/>
    <w:rsid w:val="51E050EC"/>
    <w:rsid w:val="5217339A"/>
    <w:rsid w:val="52410C5B"/>
    <w:rsid w:val="52A4714D"/>
    <w:rsid w:val="52AA259D"/>
    <w:rsid w:val="52B60442"/>
    <w:rsid w:val="533E12D2"/>
    <w:rsid w:val="537A1951"/>
    <w:rsid w:val="53986FA1"/>
    <w:rsid w:val="53D83FE5"/>
    <w:rsid w:val="54577226"/>
    <w:rsid w:val="54855951"/>
    <w:rsid w:val="54EF0E42"/>
    <w:rsid w:val="555202ED"/>
    <w:rsid w:val="56455CF2"/>
    <w:rsid w:val="56837A94"/>
    <w:rsid w:val="56AE611E"/>
    <w:rsid w:val="56BF2829"/>
    <w:rsid w:val="57595874"/>
    <w:rsid w:val="57FB56F4"/>
    <w:rsid w:val="57FB7AFE"/>
    <w:rsid w:val="583C6547"/>
    <w:rsid w:val="588E7E29"/>
    <w:rsid w:val="58966990"/>
    <w:rsid w:val="58C83E84"/>
    <w:rsid w:val="58D16CDC"/>
    <w:rsid w:val="595C45CC"/>
    <w:rsid w:val="59CF4D9E"/>
    <w:rsid w:val="59E41B48"/>
    <w:rsid w:val="59E62D98"/>
    <w:rsid w:val="5A0326D6"/>
    <w:rsid w:val="5A2055FA"/>
    <w:rsid w:val="5A702D37"/>
    <w:rsid w:val="5A9552DA"/>
    <w:rsid w:val="5ABF5125"/>
    <w:rsid w:val="5AD76600"/>
    <w:rsid w:val="5AE6068E"/>
    <w:rsid w:val="5B033458"/>
    <w:rsid w:val="5B0373F5"/>
    <w:rsid w:val="5B376E57"/>
    <w:rsid w:val="5B991B08"/>
    <w:rsid w:val="5BB91DF1"/>
    <w:rsid w:val="5C20586B"/>
    <w:rsid w:val="5CAD363A"/>
    <w:rsid w:val="5CE251E3"/>
    <w:rsid w:val="5D1851E3"/>
    <w:rsid w:val="5D7243BE"/>
    <w:rsid w:val="5D9C143B"/>
    <w:rsid w:val="5DEF51E8"/>
    <w:rsid w:val="5E15720D"/>
    <w:rsid w:val="5ED3588D"/>
    <w:rsid w:val="5F0104A8"/>
    <w:rsid w:val="5F0E6369"/>
    <w:rsid w:val="5F6B0859"/>
    <w:rsid w:val="5FB55033"/>
    <w:rsid w:val="5FC552D2"/>
    <w:rsid w:val="5FD255E8"/>
    <w:rsid w:val="5FE17CD8"/>
    <w:rsid w:val="6025396A"/>
    <w:rsid w:val="60933FC7"/>
    <w:rsid w:val="60E94998"/>
    <w:rsid w:val="610417D1"/>
    <w:rsid w:val="612B5903"/>
    <w:rsid w:val="615F2D0F"/>
    <w:rsid w:val="61E138C1"/>
    <w:rsid w:val="622C5484"/>
    <w:rsid w:val="62593BF5"/>
    <w:rsid w:val="62615DBB"/>
    <w:rsid w:val="62982086"/>
    <w:rsid w:val="62F329B7"/>
    <w:rsid w:val="630E06E5"/>
    <w:rsid w:val="631A16A8"/>
    <w:rsid w:val="63335880"/>
    <w:rsid w:val="63381C06"/>
    <w:rsid w:val="63493BD5"/>
    <w:rsid w:val="63560318"/>
    <w:rsid w:val="63F20007"/>
    <w:rsid w:val="64030466"/>
    <w:rsid w:val="64780C7B"/>
    <w:rsid w:val="64A453EE"/>
    <w:rsid w:val="64A5252F"/>
    <w:rsid w:val="654D0F0C"/>
    <w:rsid w:val="65516FAF"/>
    <w:rsid w:val="657D4C13"/>
    <w:rsid w:val="65965237"/>
    <w:rsid w:val="65C50731"/>
    <w:rsid w:val="662817F5"/>
    <w:rsid w:val="66303069"/>
    <w:rsid w:val="669420CE"/>
    <w:rsid w:val="66D12411"/>
    <w:rsid w:val="67057C39"/>
    <w:rsid w:val="67102057"/>
    <w:rsid w:val="67D5034D"/>
    <w:rsid w:val="67E81E4D"/>
    <w:rsid w:val="68012CA9"/>
    <w:rsid w:val="68163BB5"/>
    <w:rsid w:val="6837248C"/>
    <w:rsid w:val="68A11FFC"/>
    <w:rsid w:val="68AF1B75"/>
    <w:rsid w:val="68DE73BB"/>
    <w:rsid w:val="69476FE1"/>
    <w:rsid w:val="695928D6"/>
    <w:rsid w:val="696941C2"/>
    <w:rsid w:val="69C02956"/>
    <w:rsid w:val="6A5167DD"/>
    <w:rsid w:val="6A5601F1"/>
    <w:rsid w:val="6A575068"/>
    <w:rsid w:val="6AC85630"/>
    <w:rsid w:val="6AD7618E"/>
    <w:rsid w:val="6AFC5C0F"/>
    <w:rsid w:val="6AFD06C6"/>
    <w:rsid w:val="6BEF307E"/>
    <w:rsid w:val="6BFD35BB"/>
    <w:rsid w:val="6C1E55A0"/>
    <w:rsid w:val="6C456FA0"/>
    <w:rsid w:val="6C557ED9"/>
    <w:rsid w:val="6CC60283"/>
    <w:rsid w:val="6CF84455"/>
    <w:rsid w:val="6E407C99"/>
    <w:rsid w:val="6E53151F"/>
    <w:rsid w:val="6E822A89"/>
    <w:rsid w:val="6EA16471"/>
    <w:rsid w:val="6EA645A5"/>
    <w:rsid w:val="6F841134"/>
    <w:rsid w:val="6FAE512A"/>
    <w:rsid w:val="70AB3A18"/>
    <w:rsid w:val="718219B5"/>
    <w:rsid w:val="71D47516"/>
    <w:rsid w:val="72693A87"/>
    <w:rsid w:val="72822E9E"/>
    <w:rsid w:val="728B1D53"/>
    <w:rsid w:val="72B56DCF"/>
    <w:rsid w:val="730B4C41"/>
    <w:rsid w:val="7358775B"/>
    <w:rsid w:val="735B3FA5"/>
    <w:rsid w:val="73651F12"/>
    <w:rsid w:val="737650A4"/>
    <w:rsid w:val="73B2734A"/>
    <w:rsid w:val="73B6605B"/>
    <w:rsid w:val="73C12009"/>
    <w:rsid w:val="73E159A2"/>
    <w:rsid w:val="7439758C"/>
    <w:rsid w:val="74410B4F"/>
    <w:rsid w:val="744B7936"/>
    <w:rsid w:val="7477343C"/>
    <w:rsid w:val="74924005"/>
    <w:rsid w:val="74F9679D"/>
    <w:rsid w:val="75556648"/>
    <w:rsid w:val="75E905E3"/>
    <w:rsid w:val="75F06D76"/>
    <w:rsid w:val="75FC0FA2"/>
    <w:rsid w:val="762A3631"/>
    <w:rsid w:val="763C2BB2"/>
    <w:rsid w:val="769D4369"/>
    <w:rsid w:val="76F123A0"/>
    <w:rsid w:val="77BF5221"/>
    <w:rsid w:val="77D10FE2"/>
    <w:rsid w:val="77E921C6"/>
    <w:rsid w:val="786F7A21"/>
    <w:rsid w:val="793F5645"/>
    <w:rsid w:val="7943285A"/>
    <w:rsid w:val="79515459"/>
    <w:rsid w:val="79B610AF"/>
    <w:rsid w:val="7A0D74F1"/>
    <w:rsid w:val="7A6A04A0"/>
    <w:rsid w:val="7A7E23EB"/>
    <w:rsid w:val="7A996FD7"/>
    <w:rsid w:val="7ACD0A2E"/>
    <w:rsid w:val="7BDE4235"/>
    <w:rsid w:val="7CDD2541"/>
    <w:rsid w:val="7D1312C2"/>
    <w:rsid w:val="7DFF1847"/>
    <w:rsid w:val="7E13413D"/>
    <w:rsid w:val="7E1C3FA0"/>
    <w:rsid w:val="7E4F64C2"/>
    <w:rsid w:val="7E5A65A4"/>
    <w:rsid w:val="7E941F8F"/>
    <w:rsid w:val="7F9552BC"/>
    <w:rsid w:val="7F983B28"/>
    <w:rsid w:val="7FAF2DF8"/>
    <w:rsid w:val="7FD70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39"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60" w:after="60" w:line="360" w:lineRule="auto"/>
      <w:jc w:val="center"/>
      <w:outlineLvl w:val="0"/>
    </w:pPr>
    <w:rPr>
      <w:b/>
      <w:bCs/>
      <w:kern w:val="44"/>
      <w:sz w:val="32"/>
      <w:szCs w:val="44"/>
    </w:rPr>
  </w:style>
  <w:style w:type="paragraph" w:styleId="2">
    <w:name w:val="heading 2"/>
    <w:basedOn w:val="1"/>
    <w:next w:val="1"/>
    <w:qFormat/>
    <w:uiPriority w:val="0"/>
    <w:pPr>
      <w:keepNext/>
      <w:keepLines/>
      <w:spacing w:line="360" w:lineRule="auto"/>
      <w:outlineLvl w:val="1"/>
    </w:pPr>
    <w:rPr>
      <w:rFonts w:ascii="Cambria" w:hAnsi="Cambria"/>
      <w:b/>
      <w:bCs/>
      <w:sz w:val="24"/>
      <w:szCs w:val="32"/>
    </w:rPr>
  </w:style>
  <w:style w:type="paragraph" w:styleId="4">
    <w:name w:val="heading 3"/>
    <w:basedOn w:val="1"/>
    <w:next w:val="1"/>
    <w:qFormat/>
    <w:uiPriority w:val="0"/>
    <w:pPr>
      <w:keepNext/>
      <w:keepLines/>
      <w:spacing w:line="413" w:lineRule="auto"/>
      <w:outlineLvl w:val="2"/>
    </w:pPr>
    <w:rPr>
      <w:rFonts w:ascii="Calibri" w:hAnsi="Calibri"/>
      <w:b/>
      <w:sz w:val="32"/>
      <w:szCs w:val="22"/>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index 8"/>
    <w:basedOn w:val="1"/>
    <w:next w:val="1"/>
    <w:qFormat/>
    <w:uiPriority w:val="0"/>
    <w:pPr>
      <w:ind w:left="1400" w:leftChars="1400"/>
    </w:pPr>
    <w:rPr>
      <w:rFonts w:ascii="Times New Roman" w:hAnsi="Times New Roman" w:eastAsia="宋体" w:cs="Times New Roman"/>
      <w:szCs w:val="20"/>
    </w:rPr>
  </w:style>
  <w:style w:type="paragraph" w:styleId="6">
    <w:name w:val="List Number"/>
    <w:basedOn w:val="1"/>
    <w:qFormat/>
    <w:uiPriority w:val="0"/>
    <w:pPr>
      <w:numPr>
        <w:ilvl w:val="0"/>
        <w:numId w:val="1"/>
      </w:numPr>
    </w:pPr>
  </w:style>
  <w:style w:type="paragraph" w:styleId="7">
    <w:name w:val="Normal Indent"/>
    <w:basedOn w:val="1"/>
    <w:next w:val="1"/>
    <w:qFormat/>
    <w:uiPriority w:val="99"/>
    <w:pPr>
      <w:ind w:firstLine="420"/>
    </w:pPr>
    <w:rPr>
      <w:szCs w:val="20"/>
    </w:rPr>
  </w:style>
  <w:style w:type="paragraph" w:styleId="8">
    <w:name w:val="annotation text"/>
    <w:basedOn w:val="1"/>
    <w:qFormat/>
    <w:uiPriority w:val="99"/>
    <w:pPr>
      <w:jc w:val="left"/>
    </w:pPr>
  </w:style>
  <w:style w:type="paragraph" w:styleId="9">
    <w:name w:val="Body Text"/>
    <w:basedOn w:val="1"/>
    <w:next w:val="1"/>
    <w:unhideWhenUsed/>
    <w:qFormat/>
    <w:uiPriority w:val="0"/>
    <w:pPr>
      <w:spacing w:after="120"/>
    </w:pPr>
  </w:style>
  <w:style w:type="paragraph" w:styleId="10">
    <w:name w:val="Body Text Indent"/>
    <w:basedOn w:val="1"/>
    <w:qFormat/>
    <w:uiPriority w:val="99"/>
    <w:pPr>
      <w:ind w:firstLine="830" w:firstLineChars="352"/>
    </w:pPr>
    <w:rPr>
      <w:rFonts w:ascii="仿宋_GB2312" w:eastAsia="仿宋_GB2312"/>
      <w:kern w:val="0"/>
      <w:sz w:val="32"/>
      <w:szCs w:val="20"/>
    </w:rPr>
  </w:style>
  <w:style w:type="paragraph" w:styleId="11">
    <w:name w:val="toc 5"/>
    <w:basedOn w:val="1"/>
    <w:next w:val="1"/>
    <w:unhideWhenUsed/>
    <w:qFormat/>
    <w:uiPriority w:val="39"/>
    <w:pPr>
      <w:ind w:left="1680" w:leftChars="800"/>
    </w:pPr>
    <w:rPr>
      <w:rFonts w:ascii="Calibri" w:hAnsi="Calibri" w:cs="Mongolian Baiti"/>
      <w:szCs w:val="22"/>
    </w:rPr>
  </w:style>
  <w:style w:type="paragraph" w:styleId="12">
    <w:name w:val="toc 3"/>
    <w:basedOn w:val="1"/>
    <w:next w:val="1"/>
    <w:qFormat/>
    <w:uiPriority w:val="39"/>
    <w:pPr>
      <w:ind w:left="840" w:leftChars="400"/>
    </w:pPr>
    <w:rPr>
      <w:rFonts w:ascii="Calibri" w:hAnsi="Calibri"/>
      <w:szCs w:val="22"/>
    </w:rPr>
  </w:style>
  <w:style w:type="paragraph" w:styleId="13">
    <w:name w:val="Plain Text"/>
    <w:basedOn w:val="1"/>
    <w:next w:val="1"/>
    <w:qFormat/>
    <w:uiPriority w:val="0"/>
    <w:rPr>
      <w:rFonts w:ascii="宋体" w:hAnsi="Courier New"/>
      <w:kern w:val="0"/>
      <w:sz w:val="20"/>
      <w:szCs w:val="21"/>
    </w:rPr>
  </w:style>
  <w:style w:type="paragraph" w:styleId="14">
    <w:name w:val="footer"/>
    <w:basedOn w:val="1"/>
    <w:unhideWhenUsed/>
    <w:qFormat/>
    <w:uiPriority w:val="0"/>
    <w:pPr>
      <w:tabs>
        <w:tab w:val="center" w:pos="4153"/>
        <w:tab w:val="right" w:pos="8306"/>
      </w:tabs>
      <w:snapToGrid w:val="0"/>
      <w:jc w:val="left"/>
    </w:pPr>
    <w:rPr>
      <w:kern w:val="0"/>
      <w:sz w:val="18"/>
      <w:szCs w:val="18"/>
    </w:rPr>
  </w:style>
  <w:style w:type="paragraph" w:styleId="15">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tabs>
        <w:tab w:val="right" w:leader="dot" w:pos="8296"/>
      </w:tabs>
      <w:ind w:left="420" w:leftChars="200"/>
    </w:pPr>
  </w:style>
  <w:style w:type="paragraph" w:styleId="18">
    <w:name w:val="Normal (Web)"/>
    <w:basedOn w:val="1"/>
    <w:unhideWhenUsed/>
    <w:qFormat/>
    <w:uiPriority w:val="0"/>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19">
    <w:name w:val="Body Text First Indent 2"/>
    <w:basedOn w:val="10"/>
    <w:next w:val="1"/>
    <w:unhideWhenUsed/>
    <w:qFormat/>
    <w:uiPriority w:val="99"/>
    <w:pPr>
      <w:tabs>
        <w:tab w:val="left" w:pos="0"/>
      </w:tabs>
      <w:spacing w:after="120"/>
      <w:ind w:left="420" w:leftChars="200" w:firstLine="420" w:firstLineChars="200"/>
    </w:pPr>
    <w:rPr>
      <w:spacing w:val="-4"/>
      <w:sz w:val="21"/>
    </w:rPr>
  </w:style>
  <w:style w:type="character" w:styleId="22">
    <w:name w:val="HTML Sample"/>
    <w:basedOn w:val="21"/>
    <w:qFormat/>
    <w:uiPriority w:val="0"/>
    <w:rPr>
      <w:rFonts w:ascii="Courier New" w:hAnsi="Courier New"/>
    </w:rPr>
  </w:style>
  <w:style w:type="paragraph" w:customStyle="1" w:styleId="23">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24">
    <w:name w:val="List Paragraph"/>
    <w:basedOn w:val="1"/>
    <w:qFormat/>
    <w:uiPriority w:val="34"/>
    <w:pPr>
      <w:ind w:firstLine="420" w:firstLineChars="200"/>
    </w:pPr>
  </w:style>
  <w:style w:type="paragraph" w:customStyle="1" w:styleId="25">
    <w:name w:val="BodyText"/>
    <w:basedOn w:val="1"/>
    <w:qFormat/>
    <w:uiPriority w:val="0"/>
    <w:pPr>
      <w:spacing w:line="500" w:lineRule="exact"/>
      <w:jc w:val="center"/>
    </w:pPr>
    <w:rPr>
      <w:rFonts w:ascii="仿宋_GB2312" w:eastAsia="仿宋_GB2312"/>
      <w:kern w:val="2"/>
      <w:sz w:val="44"/>
      <w:lang w:val="en-US" w:eastAsia="zh-CN" w:bidi="ar-SA"/>
    </w:rPr>
  </w:style>
  <w:style w:type="paragraph" w:customStyle="1" w:styleId="26">
    <w:name w:val="正文_3"/>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27">
    <w:name w:val="Other|1"/>
    <w:basedOn w:val="1"/>
    <w:qFormat/>
    <w:uiPriority w:val="0"/>
    <w:pPr>
      <w:spacing w:line="360" w:lineRule="auto"/>
      <w:ind w:firstLine="400"/>
    </w:pPr>
    <w:rPr>
      <w:rFonts w:ascii="宋体" w:hAnsi="宋体" w:cs="宋体"/>
      <w:kern w:val="0"/>
      <w:sz w:val="20"/>
      <w:szCs w:val="20"/>
      <w:lang w:val="zh-CN" w:bidi="zh-CN"/>
    </w:rPr>
  </w:style>
  <w:style w:type="paragraph" w:customStyle="1" w:styleId="28">
    <w:name w:val="Body text|1_1"/>
    <w:basedOn w:val="26"/>
    <w:qFormat/>
    <w:uiPriority w:val="0"/>
    <w:pPr>
      <w:spacing w:line="360" w:lineRule="auto"/>
      <w:ind w:firstLine="400"/>
    </w:pPr>
    <w:rPr>
      <w:rFonts w:ascii="宋体" w:hAnsi="宋体" w:eastAsia="宋体" w:cs="宋体"/>
      <w:color w:val="auto"/>
      <w:kern w:val="2"/>
      <w:sz w:val="20"/>
      <w:szCs w:val="20"/>
      <w:lang w:val="zh-CN" w:eastAsia="zh-CN" w:bidi="zh-CN"/>
    </w:rPr>
  </w:style>
  <w:style w:type="paragraph" w:customStyle="1" w:styleId="29">
    <w:name w:val="表格文字"/>
    <w:basedOn w:val="1"/>
    <w:qFormat/>
    <w:uiPriority w:val="99"/>
    <w:pPr>
      <w:spacing w:before="25" w:after="25"/>
      <w:jc w:val="left"/>
    </w:pPr>
    <w:rPr>
      <w:bCs/>
      <w:spacing w:val="10"/>
      <w:kern w:val="0"/>
      <w:sz w:val="24"/>
    </w:rPr>
  </w:style>
  <w:style w:type="paragraph" w:customStyle="1" w:styleId="30">
    <w:name w:val="Table Text"/>
    <w:basedOn w:val="1"/>
    <w:semiHidden/>
    <w:qFormat/>
    <w:uiPriority w:val="0"/>
    <w:rPr>
      <w:rFonts w:ascii="宋体" w:hAnsi="宋体" w:eastAsia="宋体" w:cs="宋体"/>
      <w:sz w:val="19"/>
      <w:szCs w:val="19"/>
      <w:lang w:val="en-US" w:eastAsia="en-US" w:bidi="ar-SA"/>
    </w:rPr>
  </w:style>
  <w:style w:type="table" w:customStyle="1" w:styleId="31">
    <w:name w:val="Table Normal"/>
    <w:semiHidden/>
    <w:unhideWhenUsed/>
    <w:qFormat/>
    <w:uiPriority w:val="0"/>
    <w:tblPr>
      <w:tblCellMar>
        <w:top w:w="0" w:type="dxa"/>
        <w:left w:w="0" w:type="dxa"/>
        <w:bottom w:w="0" w:type="dxa"/>
        <w:right w:w="0" w:type="dxa"/>
      </w:tblCellMar>
    </w:tblPr>
  </w:style>
  <w:style w:type="paragraph" w:customStyle="1" w:styleId="32">
    <w:name w:val="Body text|1_0_0"/>
    <w:basedOn w:val="33"/>
    <w:qFormat/>
    <w:uiPriority w:val="0"/>
    <w:pPr>
      <w:spacing w:line="360" w:lineRule="auto"/>
      <w:ind w:firstLine="400"/>
    </w:pPr>
    <w:rPr>
      <w:rFonts w:ascii="宋体" w:hAnsi="宋体" w:eastAsia="宋体" w:cs="宋体"/>
      <w:color w:val="auto"/>
      <w:kern w:val="2"/>
      <w:sz w:val="20"/>
      <w:szCs w:val="20"/>
      <w:lang w:val="zh-CN" w:eastAsia="zh-CN" w:bidi="zh-CN"/>
    </w:rPr>
  </w:style>
  <w:style w:type="paragraph" w:customStyle="1" w:styleId="33">
    <w:name w:val="正文_2_0"/>
    <w:next w:val="34"/>
    <w:qFormat/>
    <w:uiPriority w:val="0"/>
    <w:pPr>
      <w:widowControl w:val="0"/>
    </w:pPr>
    <w:rPr>
      <w:rFonts w:ascii="Times New Roman" w:hAnsi="Times New Roman" w:eastAsia="Times New Roman" w:cs="Times New Roman"/>
      <w:color w:val="000000"/>
      <w:sz w:val="24"/>
      <w:szCs w:val="24"/>
      <w:lang w:val="en-US" w:eastAsia="en-US" w:bidi="en-US"/>
    </w:rPr>
  </w:style>
  <w:style w:type="paragraph" w:customStyle="1" w:styleId="34">
    <w:name w:val="Default"/>
    <w:unhideWhenUsed/>
    <w:qFormat/>
    <w:uiPriority w:val="99"/>
    <w:pPr>
      <w:widowControl w:val="0"/>
      <w:autoSpaceDE w:val="0"/>
      <w:autoSpaceDN w:val="0"/>
      <w:adjustRightInd w:val="0"/>
      <w:spacing w:beforeLines="0" w:afterLines="0"/>
    </w:pPr>
    <w:rPr>
      <w:rFonts w:hint="eastAsia" w:ascii="宋体" w:hAnsi="宋体" w:eastAsia="宋体" w:cs="Times New Roman"/>
      <w:color w:val="000000"/>
      <w:sz w:val="24"/>
      <w:szCs w:val="24"/>
    </w:rPr>
  </w:style>
  <w:style w:type="paragraph" w:customStyle="1" w:styleId="35">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5" Type="http://schemas.openxmlformats.org/officeDocument/2006/relationships/fontTable" Target="fontTable.xml"/><Relationship Id="rId54" Type="http://schemas.openxmlformats.org/officeDocument/2006/relationships/numbering" Target="numbering.xml"/><Relationship Id="rId53" Type="http://schemas.openxmlformats.org/officeDocument/2006/relationships/customXml" Target="../customXml/item1.xml"/><Relationship Id="rId52" Type="http://schemas.openxmlformats.org/officeDocument/2006/relationships/image" Target="media/image42.png"/><Relationship Id="rId51" Type="http://schemas.openxmlformats.org/officeDocument/2006/relationships/image" Target="media/image41.png"/><Relationship Id="rId50" Type="http://schemas.openxmlformats.org/officeDocument/2006/relationships/image" Target="media/image40.png"/><Relationship Id="rId5" Type="http://schemas.openxmlformats.org/officeDocument/2006/relationships/footer" Target="footer3.xml"/><Relationship Id="rId49" Type="http://schemas.openxmlformats.org/officeDocument/2006/relationships/image" Target="media/image39.png"/><Relationship Id="rId48" Type="http://schemas.openxmlformats.org/officeDocument/2006/relationships/image" Target="media/image38.png"/><Relationship Id="rId47" Type="http://schemas.openxmlformats.org/officeDocument/2006/relationships/image" Target="media/image37.png"/><Relationship Id="rId46" Type="http://schemas.openxmlformats.org/officeDocument/2006/relationships/image" Target="media/image36.png"/><Relationship Id="rId45" Type="http://schemas.openxmlformats.org/officeDocument/2006/relationships/image" Target="media/image35.png"/><Relationship Id="rId44" Type="http://schemas.openxmlformats.org/officeDocument/2006/relationships/image" Target="media/image34.png"/><Relationship Id="rId43" Type="http://schemas.openxmlformats.org/officeDocument/2006/relationships/image" Target="media/image33.png"/><Relationship Id="rId42" Type="http://schemas.openxmlformats.org/officeDocument/2006/relationships/image" Target="media/image32.png"/><Relationship Id="rId41" Type="http://schemas.openxmlformats.org/officeDocument/2006/relationships/image" Target="media/image31.png"/><Relationship Id="rId40" Type="http://schemas.openxmlformats.org/officeDocument/2006/relationships/image" Target="media/image30.png"/><Relationship Id="rId4" Type="http://schemas.openxmlformats.org/officeDocument/2006/relationships/footer" Target="footer2.xml"/><Relationship Id="rId39" Type="http://schemas.openxmlformats.org/officeDocument/2006/relationships/image" Target="media/image29.png"/><Relationship Id="rId38" Type="http://schemas.openxmlformats.org/officeDocument/2006/relationships/image" Target="media/image28.png"/><Relationship Id="rId37" Type="http://schemas.openxmlformats.org/officeDocument/2006/relationships/image" Target="media/image27.png"/><Relationship Id="rId36" Type="http://schemas.openxmlformats.org/officeDocument/2006/relationships/image" Target="media/image26.png"/><Relationship Id="rId35" Type="http://schemas.openxmlformats.org/officeDocument/2006/relationships/image" Target="media/image25.png"/><Relationship Id="rId34" Type="http://schemas.openxmlformats.org/officeDocument/2006/relationships/image" Target="media/image24.png"/><Relationship Id="rId33" Type="http://schemas.openxmlformats.org/officeDocument/2006/relationships/image" Target="media/image23.png"/><Relationship Id="rId32" Type="http://schemas.openxmlformats.org/officeDocument/2006/relationships/image" Target="media/image22.png"/><Relationship Id="rId31" Type="http://schemas.openxmlformats.org/officeDocument/2006/relationships/image" Target="media/image21.png"/><Relationship Id="rId30" Type="http://schemas.openxmlformats.org/officeDocument/2006/relationships/image" Target="media/image20.png"/><Relationship Id="rId3" Type="http://schemas.openxmlformats.org/officeDocument/2006/relationships/footer" Target="footer1.xml"/><Relationship Id="rId29" Type="http://schemas.openxmlformats.org/officeDocument/2006/relationships/image" Target="media/image19.png"/><Relationship Id="rId28" Type="http://schemas.openxmlformats.org/officeDocument/2006/relationships/image" Target="media/image18.png"/><Relationship Id="rId27" Type="http://schemas.openxmlformats.org/officeDocument/2006/relationships/image" Target="media/image17.png"/><Relationship Id="rId26" Type="http://schemas.openxmlformats.org/officeDocument/2006/relationships/image" Target="media/image16.png"/><Relationship Id="rId25" Type="http://schemas.openxmlformats.org/officeDocument/2006/relationships/image" Target="media/image15.png"/><Relationship Id="rId24" Type="http://schemas.openxmlformats.org/officeDocument/2006/relationships/image" Target="media/image14.png"/><Relationship Id="rId23" Type="http://schemas.openxmlformats.org/officeDocument/2006/relationships/image" Target="media/image13.png"/><Relationship Id="rId22" Type="http://schemas.openxmlformats.org/officeDocument/2006/relationships/image" Target="media/image12.png"/><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png"/><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36466</Words>
  <Characters>38735</Characters>
  <Lines>0</Lines>
  <Paragraphs>0</Paragraphs>
  <TotalTime>11</TotalTime>
  <ScaleCrop>false</ScaleCrop>
  <LinksUpToDate>false</LinksUpToDate>
  <CharactersWithSpaces>40716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2024-02-27T03:09:00Z</dcterms:created>
  <dc:creator>Alice</dc:creator>
  <cp:lastModifiedBy>volunna</cp:lastModifiedBy>
  <cp:lastPrinted>2025-09-08T01:22:00Z</cp:lastPrinted>
  <dcterms:modified xsi:type="dcterms:W3CDTF">2026-06-08T03:40:24Z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F5CB898D4BC54337995AA1DEBD976231</vt:lpwstr>
  </property>
  <property fmtid="{D5CDD505-2E9C-101B-9397-08002B2CF9AE}" pid="4" name="KSOTemplateDocerSaveRecord">
    <vt:lpwstr>eyJoZGlkIjoiOTM1MWY4ODgxNTMxZWEyNGUxODFhOTI2ZWYyNDdiN2EiLCJ1c2VySWQiOiIzMDk0NTY1NzIifQ==</vt:lpwstr>
  </property>
</Properties>
</file>