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36162">
      <w:pPr>
        <w:pStyle w:val="18"/>
        <w:spacing w:line="20" w:lineRule="exact"/>
        <w:ind w:left="630"/>
        <w:jc w:val="center"/>
        <w:rPr>
          <w:color w:val="auto"/>
          <w:sz w:val="44"/>
          <w:szCs w:val="44"/>
        </w:rPr>
      </w:pPr>
    </w:p>
    <w:p w14:paraId="6AF6112A">
      <w:pPr>
        <w:bidi w:val="0"/>
        <w:jc w:val="center"/>
        <w:rPr>
          <w:rFonts w:hint="eastAsia"/>
          <w:b/>
          <w:bCs/>
          <w:color w:val="auto"/>
          <w:sz w:val="44"/>
          <w:szCs w:val="44"/>
          <w:lang w:eastAsia="zh-CN"/>
        </w:rPr>
      </w:pPr>
      <w:bookmarkStart w:id="0" w:name="OLE_LINK23"/>
    </w:p>
    <w:p w14:paraId="36BA87B1">
      <w:pPr>
        <w:pStyle w:val="24"/>
        <w:tabs>
          <w:tab w:val="left" w:pos="0"/>
          <w:tab w:val="left" w:pos="7560"/>
        </w:tabs>
        <w:jc w:val="center"/>
        <w:rPr>
          <w:rFonts w:hint="eastAsia" w:ascii="华文新魏" w:hAnsi="华文新魏" w:eastAsia="华文新魏" w:cs="华文新魏"/>
          <w:b/>
          <w:bCs/>
          <w:color w:val="auto"/>
          <w:sz w:val="52"/>
          <w:szCs w:val="52"/>
          <w:lang w:eastAsia="zh-CN"/>
        </w:rPr>
      </w:pPr>
      <w:r>
        <w:rPr>
          <w:rFonts w:hint="eastAsia" w:ascii="华文新魏" w:hAnsi="华文新魏" w:eastAsia="华文新魏" w:cs="华文新魏"/>
          <w:b/>
          <w:bCs/>
          <w:color w:val="auto"/>
          <w:sz w:val="52"/>
          <w:szCs w:val="52"/>
          <w:lang w:eastAsia="zh-CN"/>
        </w:rPr>
        <w:t>广西鑫磐工程项目管理有限责任公司</w:t>
      </w:r>
    </w:p>
    <w:p w14:paraId="26AEBA36">
      <w:pPr>
        <w:pStyle w:val="2"/>
        <w:rPr>
          <w:rFonts w:hint="eastAsia"/>
          <w:color w:val="auto"/>
          <w:lang w:eastAsia="zh-CN"/>
        </w:rPr>
      </w:pPr>
    </w:p>
    <w:p w14:paraId="2E451949">
      <w:pPr>
        <w:pStyle w:val="24"/>
        <w:tabs>
          <w:tab w:val="left" w:pos="0"/>
          <w:tab w:val="left" w:pos="7560"/>
        </w:tabs>
        <w:jc w:val="center"/>
        <w:rPr>
          <w:rFonts w:hAnsi="宋体"/>
          <w:b/>
          <w:color w:val="auto"/>
          <w:sz w:val="30"/>
          <w:szCs w:val="30"/>
        </w:rPr>
      </w:pPr>
      <w:r>
        <w:rPr>
          <w:rFonts w:hint="eastAsia" w:ascii="华文新魏" w:hAnsi="华文新魏" w:eastAsia="华文新魏" w:cs="华文新魏"/>
          <w:b/>
          <w:bCs/>
          <w:color w:val="auto"/>
          <w:sz w:val="72"/>
          <w:szCs w:val="72"/>
        </w:rPr>
        <w:t>竞争性磋商</w:t>
      </w:r>
      <w:r>
        <w:rPr>
          <w:rFonts w:hint="eastAsia" w:ascii="华文新魏" w:hAnsi="华文新魏" w:eastAsia="华文新魏" w:cs="华文新魏"/>
          <w:b/>
          <w:color w:val="auto"/>
          <w:sz w:val="72"/>
          <w:szCs w:val="72"/>
        </w:rPr>
        <w:t>采购文件</w:t>
      </w:r>
      <w:bookmarkEnd w:id="0"/>
    </w:p>
    <w:p w14:paraId="780C90E1">
      <w:pPr>
        <w:pStyle w:val="24"/>
        <w:ind w:firstLine="1687" w:firstLineChars="700"/>
        <w:rPr>
          <w:rFonts w:hAnsi="宋体"/>
          <w:b/>
          <w:color w:val="auto"/>
          <w:sz w:val="24"/>
          <w:szCs w:val="24"/>
        </w:rPr>
      </w:pPr>
    </w:p>
    <w:p w14:paraId="2F9C9238">
      <w:pPr>
        <w:pStyle w:val="24"/>
        <w:ind w:firstLine="1687" w:firstLineChars="700"/>
        <w:rPr>
          <w:rFonts w:hAnsi="宋体"/>
          <w:b/>
          <w:color w:val="auto"/>
          <w:sz w:val="24"/>
          <w:szCs w:val="24"/>
        </w:rPr>
      </w:pPr>
    </w:p>
    <w:p w14:paraId="402E7CC8">
      <w:pPr>
        <w:pStyle w:val="24"/>
        <w:ind w:firstLine="1687" w:firstLineChars="700"/>
        <w:rPr>
          <w:rFonts w:hAnsi="宋体"/>
          <w:b/>
          <w:color w:val="auto"/>
          <w:sz w:val="24"/>
          <w:szCs w:val="24"/>
        </w:rPr>
      </w:pPr>
    </w:p>
    <w:p w14:paraId="2D34F311">
      <w:pPr>
        <w:bidi w:val="0"/>
        <w:spacing w:line="360" w:lineRule="auto"/>
        <w:jc w:val="center"/>
        <w:rPr>
          <w:rFonts w:hint="eastAsia" w:ascii="Times New Roman" w:hAnsi="Times New Roman" w:eastAsia="宋体" w:cs="Times New Roman"/>
          <w:b/>
          <w:bCs/>
          <w:color w:val="auto"/>
          <w:sz w:val="32"/>
          <w:szCs w:val="32"/>
          <w:lang w:val="en-US" w:eastAsia="zh-CN"/>
        </w:rPr>
      </w:pPr>
      <w:r>
        <w:rPr>
          <w:rFonts w:hint="eastAsia" w:ascii="Times New Roman" w:hAnsi="Times New Roman" w:eastAsia="宋体" w:cs="Times New Roman"/>
          <w:b/>
          <w:bCs/>
          <w:color w:val="auto"/>
          <w:sz w:val="32"/>
          <w:szCs w:val="32"/>
          <w:lang w:val="en-US" w:eastAsia="zh-CN"/>
        </w:rPr>
        <w:t>项目名称：</w:t>
      </w:r>
      <w:r>
        <w:rPr>
          <w:rFonts w:hint="eastAsia" w:cs="Times New Roman"/>
          <w:b/>
          <w:bCs/>
          <w:color w:val="auto"/>
          <w:sz w:val="32"/>
          <w:szCs w:val="32"/>
          <w:lang w:val="en-US" w:eastAsia="zh-CN"/>
        </w:rPr>
        <w:t>龙州县龙津初级中学校舍维修改造工程（二期）</w:t>
      </w:r>
    </w:p>
    <w:p w14:paraId="2F789B9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360" w:rightChars="0"/>
        <w:jc w:val="center"/>
        <w:rPr>
          <w:rFonts w:hint="eastAsia" w:ascii="宋体" w:hAnsi="宋体" w:cs="宋体"/>
          <w:b/>
          <w:bCs/>
          <w:color w:val="auto"/>
          <w:sz w:val="30"/>
          <w:szCs w:val="30"/>
          <w:lang w:val="zh-CN" w:eastAsia="zh-CN"/>
        </w:rPr>
      </w:pPr>
      <w:r>
        <w:rPr>
          <w:rFonts w:hint="eastAsia" w:ascii="Times New Roman" w:hAnsi="Times New Roman" w:eastAsia="宋体" w:cs="Times New Roman"/>
          <w:b/>
          <w:bCs/>
          <w:color w:val="auto"/>
          <w:sz w:val="32"/>
          <w:szCs w:val="32"/>
          <w:lang w:val="en-US" w:eastAsia="zh-CN"/>
        </w:rPr>
        <w:t>项目编号：</w:t>
      </w:r>
      <w:bookmarkStart w:id="1" w:name="OLE_LINK2"/>
      <w:r>
        <w:rPr>
          <w:rFonts w:hint="eastAsia" w:ascii="宋体" w:hAnsi="宋体" w:cs="宋体"/>
          <w:b/>
          <w:bCs/>
          <w:color w:val="auto"/>
          <w:sz w:val="30"/>
          <w:szCs w:val="30"/>
          <w:lang w:val="zh-CN" w:eastAsia="zh-CN"/>
        </w:rPr>
        <w:t>CZZC2026-C2-230047-GXXP</w:t>
      </w:r>
    </w:p>
    <w:p w14:paraId="58A0F40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360" w:rightChars="0"/>
        <w:jc w:val="left"/>
        <w:rPr>
          <w:rFonts w:hint="default" w:ascii="宋体" w:hAnsi="宋体" w:eastAsia="宋体" w:cs="宋体"/>
          <w:color w:val="auto"/>
          <w:sz w:val="30"/>
          <w:szCs w:val="30"/>
          <w:lang w:val="en-US"/>
        </w:rPr>
      </w:pPr>
    </w:p>
    <w:bookmarkEnd w:id="1"/>
    <w:p w14:paraId="40C4BE17">
      <w:pPr>
        <w:pStyle w:val="24"/>
        <w:jc w:val="center"/>
        <w:rPr>
          <w:rFonts w:hAnsi="宋体"/>
          <w:color w:val="auto"/>
          <w:sz w:val="30"/>
          <w:szCs w:val="30"/>
        </w:rPr>
      </w:pPr>
    </w:p>
    <w:p w14:paraId="46DD7248">
      <w:pPr>
        <w:pStyle w:val="24"/>
        <w:jc w:val="center"/>
        <w:rPr>
          <w:rFonts w:hAnsi="宋体"/>
          <w:color w:val="auto"/>
          <w:sz w:val="30"/>
          <w:szCs w:val="30"/>
        </w:rPr>
      </w:pPr>
    </w:p>
    <w:p w14:paraId="2934C625">
      <w:pPr>
        <w:pStyle w:val="24"/>
        <w:jc w:val="center"/>
        <w:rPr>
          <w:rFonts w:hAnsi="宋体"/>
          <w:color w:val="auto"/>
          <w:sz w:val="30"/>
          <w:szCs w:val="30"/>
        </w:rPr>
      </w:pPr>
    </w:p>
    <w:p w14:paraId="623E8A3F">
      <w:pPr>
        <w:pStyle w:val="24"/>
        <w:jc w:val="both"/>
        <w:rPr>
          <w:rFonts w:hAnsi="宋体"/>
          <w:color w:val="auto"/>
          <w:sz w:val="30"/>
          <w:szCs w:val="30"/>
        </w:rPr>
      </w:pPr>
    </w:p>
    <w:p w14:paraId="3751B9E8">
      <w:pPr>
        <w:spacing w:line="600" w:lineRule="exact"/>
        <w:ind w:firstLine="2189" w:firstLineChars="400"/>
        <w:jc w:val="both"/>
        <w:rPr>
          <w:rFonts w:hint="eastAsia"/>
          <w:b/>
          <w:color w:val="auto"/>
          <w:spacing w:val="113"/>
          <w:sz w:val="32"/>
          <w:szCs w:val="32"/>
        </w:rPr>
      </w:pPr>
    </w:p>
    <w:p w14:paraId="2AEC9E04">
      <w:pPr>
        <w:keepNext w:val="0"/>
        <w:keepLines w:val="0"/>
        <w:pageBreakBefore w:val="0"/>
        <w:widowControl w:val="0"/>
        <w:kinsoku/>
        <w:wordWrap/>
        <w:overflowPunct/>
        <w:topLinePunct w:val="0"/>
        <w:autoSpaceDE/>
        <w:autoSpaceDN/>
        <w:bidi w:val="0"/>
        <w:adjustRightInd/>
        <w:snapToGrid/>
        <w:spacing w:line="700" w:lineRule="exact"/>
        <w:ind w:firstLine="1095" w:firstLineChars="200"/>
        <w:jc w:val="both"/>
        <w:textAlignment w:val="auto"/>
        <w:rPr>
          <w:rFonts w:hint="eastAsia"/>
          <w:b/>
          <w:color w:val="auto"/>
          <w:sz w:val="32"/>
          <w:szCs w:val="32"/>
          <w:lang w:val="zh-CN"/>
        </w:rPr>
      </w:pPr>
      <w:r>
        <w:rPr>
          <w:rFonts w:hint="eastAsia"/>
          <w:b/>
          <w:color w:val="auto"/>
          <w:spacing w:val="113"/>
          <w:sz w:val="32"/>
          <w:szCs w:val="32"/>
        </w:rPr>
        <w:t>采购单位</w:t>
      </w:r>
      <w:r>
        <w:rPr>
          <w:rFonts w:hint="eastAsia"/>
          <w:b/>
          <w:color w:val="auto"/>
          <w:sz w:val="32"/>
          <w:szCs w:val="32"/>
        </w:rPr>
        <w:t>：</w:t>
      </w:r>
      <w:r>
        <w:rPr>
          <w:rFonts w:hint="eastAsia"/>
          <w:b/>
          <w:color w:val="auto"/>
          <w:sz w:val="32"/>
          <w:szCs w:val="32"/>
          <w:lang w:val="zh-CN"/>
        </w:rPr>
        <w:t>龙州县教育局</w:t>
      </w:r>
    </w:p>
    <w:p w14:paraId="698CBB21">
      <w:pPr>
        <w:keepNext w:val="0"/>
        <w:keepLines w:val="0"/>
        <w:pageBreakBefore w:val="0"/>
        <w:widowControl w:val="0"/>
        <w:kinsoku/>
        <w:wordWrap/>
        <w:overflowPunct/>
        <w:topLinePunct w:val="0"/>
        <w:autoSpaceDE/>
        <w:autoSpaceDN/>
        <w:bidi w:val="0"/>
        <w:adjustRightInd/>
        <w:snapToGrid/>
        <w:spacing w:line="700" w:lineRule="exact"/>
        <w:ind w:firstLine="964" w:firstLineChars="300"/>
        <w:jc w:val="both"/>
        <w:textAlignment w:val="auto"/>
        <w:rPr>
          <w:rFonts w:hint="eastAsia"/>
          <w:b/>
          <w:color w:val="auto"/>
          <w:sz w:val="32"/>
          <w:szCs w:val="32"/>
          <w:lang w:eastAsia="zh-CN"/>
        </w:rPr>
      </w:pPr>
      <w:r>
        <w:rPr>
          <w:rFonts w:hint="eastAsia"/>
          <w:b/>
          <w:color w:val="auto"/>
          <w:sz w:val="32"/>
          <w:szCs w:val="32"/>
        </w:rPr>
        <w:t>采购代理机构：</w:t>
      </w:r>
      <w:r>
        <w:rPr>
          <w:rFonts w:hint="eastAsia"/>
          <w:b/>
          <w:color w:val="auto"/>
          <w:sz w:val="32"/>
          <w:szCs w:val="32"/>
          <w:lang w:eastAsia="zh-CN"/>
        </w:rPr>
        <w:t>广西鑫磐工程项目管理有限责任公司</w:t>
      </w:r>
    </w:p>
    <w:p w14:paraId="7007A413">
      <w:pPr>
        <w:keepNext w:val="0"/>
        <w:keepLines w:val="0"/>
        <w:pageBreakBefore w:val="0"/>
        <w:widowControl w:val="0"/>
        <w:kinsoku/>
        <w:wordWrap/>
        <w:overflowPunct/>
        <w:topLinePunct w:val="0"/>
        <w:autoSpaceDE/>
        <w:autoSpaceDN/>
        <w:bidi w:val="0"/>
        <w:adjustRightInd/>
        <w:snapToGrid/>
        <w:spacing w:line="700" w:lineRule="exact"/>
        <w:ind w:firstLine="964" w:firstLineChars="300"/>
        <w:jc w:val="both"/>
        <w:textAlignment w:val="auto"/>
        <w:rPr>
          <w:rFonts w:hint="eastAsia"/>
          <w:b/>
          <w:color w:val="auto"/>
          <w:sz w:val="32"/>
          <w:szCs w:val="32"/>
          <w:lang w:eastAsia="zh-CN"/>
        </w:rPr>
      </w:pPr>
    </w:p>
    <w:p w14:paraId="2958897C">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eastAsia="宋体"/>
          <w:b/>
          <w:color w:val="auto"/>
          <w:spacing w:val="57"/>
          <w:sz w:val="30"/>
          <w:szCs w:val="30"/>
          <w:lang w:val="en-US" w:eastAsia="zh-CN"/>
        </w:rPr>
      </w:pPr>
      <w:r>
        <w:rPr>
          <w:b/>
          <w:color w:val="auto"/>
          <w:spacing w:val="57"/>
          <w:sz w:val="30"/>
          <w:szCs w:val="30"/>
        </w:rPr>
        <w:t>20</w:t>
      </w:r>
      <w:r>
        <w:rPr>
          <w:rFonts w:hint="eastAsia"/>
          <w:b/>
          <w:color w:val="auto"/>
          <w:spacing w:val="57"/>
          <w:sz w:val="30"/>
          <w:szCs w:val="30"/>
        </w:rPr>
        <w:t>2</w:t>
      </w:r>
      <w:r>
        <w:rPr>
          <w:rFonts w:hint="eastAsia"/>
          <w:b/>
          <w:color w:val="auto"/>
          <w:spacing w:val="57"/>
          <w:sz w:val="30"/>
          <w:szCs w:val="30"/>
          <w:lang w:val="en-US" w:eastAsia="zh-CN"/>
        </w:rPr>
        <w:t>6</w:t>
      </w:r>
      <w:r>
        <w:rPr>
          <w:rFonts w:hint="eastAsia"/>
          <w:b/>
          <w:color w:val="auto"/>
          <w:spacing w:val="57"/>
          <w:sz w:val="30"/>
          <w:szCs w:val="30"/>
        </w:rPr>
        <w:t>年</w:t>
      </w:r>
      <w:r>
        <w:rPr>
          <w:rFonts w:hint="eastAsia"/>
          <w:b/>
          <w:color w:val="auto"/>
          <w:spacing w:val="57"/>
          <w:sz w:val="30"/>
          <w:szCs w:val="30"/>
          <w:lang w:val="en-US" w:eastAsia="zh-CN"/>
        </w:rPr>
        <w:t>06</w:t>
      </w:r>
      <w:r>
        <w:rPr>
          <w:rFonts w:hint="eastAsia"/>
          <w:b/>
          <w:color w:val="auto"/>
          <w:spacing w:val="57"/>
          <w:sz w:val="30"/>
          <w:szCs w:val="30"/>
        </w:rPr>
        <w:t>月</w:t>
      </w:r>
      <w:r>
        <w:rPr>
          <w:rFonts w:hint="eastAsia"/>
          <w:b/>
          <w:color w:val="auto"/>
          <w:spacing w:val="57"/>
          <w:sz w:val="30"/>
          <w:szCs w:val="30"/>
          <w:lang w:val="en-US" w:eastAsia="zh-CN"/>
        </w:rPr>
        <w:t>18日</w:t>
      </w:r>
    </w:p>
    <w:p w14:paraId="658A6017">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b/>
          <w:color w:val="auto"/>
          <w:spacing w:val="57"/>
          <w:sz w:val="30"/>
          <w:szCs w:val="30"/>
        </w:rPr>
      </w:pPr>
    </w:p>
    <w:p w14:paraId="50176540">
      <w:pPr>
        <w:spacing w:line="1200" w:lineRule="exact"/>
        <w:jc w:val="center"/>
        <w:rPr>
          <w:rFonts w:hint="eastAsia" w:hAnsi="宋体"/>
          <w:b/>
          <w:color w:val="auto"/>
          <w:sz w:val="44"/>
        </w:rPr>
        <w:sectPr>
          <w:pgSz w:w="11906" w:h="16838"/>
          <w:pgMar w:top="1304" w:right="1344" w:bottom="1134" w:left="1304" w:header="851" w:footer="992" w:gutter="0"/>
          <w:cols w:space="720" w:num="1"/>
          <w:docGrid w:linePitch="312" w:charSpace="0"/>
        </w:sectPr>
      </w:pPr>
    </w:p>
    <w:p w14:paraId="3435A073">
      <w:pPr>
        <w:spacing w:line="1200" w:lineRule="exact"/>
        <w:jc w:val="center"/>
        <w:rPr>
          <w:rFonts w:hAnsi="宋体"/>
          <w:b/>
          <w:color w:val="auto"/>
          <w:sz w:val="44"/>
        </w:rPr>
      </w:pPr>
      <w:r>
        <w:rPr>
          <w:rFonts w:hint="eastAsia" w:hAnsi="宋体"/>
          <w:b/>
          <w:color w:val="auto"/>
          <w:sz w:val="44"/>
        </w:rPr>
        <w:t>目  录</w:t>
      </w:r>
    </w:p>
    <w:p w14:paraId="67E66EB1">
      <w:pPr>
        <w:spacing w:line="460" w:lineRule="exact"/>
        <w:jc w:val="center"/>
        <w:rPr>
          <w:rFonts w:ascii="宋体" w:hAnsi="宋体"/>
          <w:b/>
          <w:color w:val="auto"/>
          <w:sz w:val="30"/>
          <w:szCs w:val="30"/>
        </w:rPr>
      </w:pPr>
    </w:p>
    <w:p w14:paraId="0537D1EA">
      <w:pPr>
        <w:pStyle w:val="37"/>
        <w:keepNext w:val="0"/>
        <w:keepLines w:val="0"/>
        <w:pageBreakBefore w:val="0"/>
        <w:widowControl w:val="0"/>
        <w:tabs>
          <w:tab w:val="right" w:leader="dot" w:pos="9460"/>
        </w:tabs>
        <w:kinsoku/>
        <w:wordWrap/>
        <w:overflowPunct/>
        <w:topLinePunct w:val="0"/>
        <w:autoSpaceDE/>
        <w:autoSpaceDN/>
        <w:bidi w:val="0"/>
        <w:adjustRightInd/>
        <w:snapToGrid/>
        <w:spacing w:line="600" w:lineRule="exact"/>
        <w:ind w:left="0" w:leftChars="0" w:firstLine="0" w:firstLineChars="0"/>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TOC \o "1-3" \h \z \u</w:instrText>
      </w:r>
      <w:r>
        <w:rPr>
          <w:rFonts w:hint="eastAsia" w:ascii="宋体" w:hAnsi="宋体" w:eastAsia="宋体" w:cs="宋体"/>
          <w:color w:val="auto"/>
          <w:sz w:val="30"/>
          <w:szCs w:val="30"/>
        </w:rPr>
        <w:fldChar w:fldCharType="separate"/>
      </w: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HYPERLINK \l _Toc13387 </w:instrText>
      </w:r>
      <w:r>
        <w:rPr>
          <w:rFonts w:hint="eastAsia" w:ascii="宋体" w:hAnsi="宋体" w:eastAsia="宋体" w:cs="宋体"/>
          <w:color w:val="auto"/>
          <w:sz w:val="30"/>
          <w:szCs w:val="30"/>
        </w:rPr>
        <w:fldChar w:fldCharType="separate"/>
      </w:r>
      <w:r>
        <w:rPr>
          <w:rFonts w:hint="eastAsia" w:ascii="宋体" w:hAnsi="宋体" w:eastAsia="宋体" w:cs="宋体"/>
          <w:color w:val="auto"/>
          <w:sz w:val="30"/>
          <w:szCs w:val="30"/>
        </w:rPr>
        <w:t>第一章 竞争性磋商公告</w:t>
      </w:r>
      <w:r>
        <w:rPr>
          <w:rFonts w:hint="eastAsia" w:ascii="宋体" w:hAnsi="宋体" w:eastAsia="宋体" w:cs="宋体"/>
          <w:color w:val="auto"/>
          <w:sz w:val="30"/>
          <w:szCs w:val="30"/>
        </w:rPr>
        <w:tab/>
      </w: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PAGEREF _Toc13387 \h </w:instrText>
      </w:r>
      <w:r>
        <w:rPr>
          <w:rFonts w:hint="eastAsia" w:ascii="宋体" w:hAnsi="宋体" w:eastAsia="宋体" w:cs="宋体"/>
          <w:color w:val="auto"/>
          <w:sz w:val="30"/>
          <w:szCs w:val="30"/>
        </w:rPr>
        <w:fldChar w:fldCharType="separate"/>
      </w:r>
      <w:r>
        <w:rPr>
          <w:rFonts w:hint="eastAsia" w:ascii="宋体" w:hAnsi="宋体" w:eastAsia="宋体" w:cs="宋体"/>
          <w:color w:val="auto"/>
          <w:sz w:val="30"/>
          <w:szCs w:val="30"/>
        </w:rPr>
        <w:t>2</w:t>
      </w:r>
      <w:r>
        <w:rPr>
          <w:rFonts w:hint="eastAsia" w:ascii="宋体" w:hAnsi="宋体" w:eastAsia="宋体" w:cs="宋体"/>
          <w:color w:val="auto"/>
          <w:sz w:val="30"/>
          <w:szCs w:val="30"/>
        </w:rPr>
        <w:fldChar w:fldCharType="end"/>
      </w:r>
      <w:r>
        <w:rPr>
          <w:rFonts w:hint="eastAsia" w:ascii="宋体" w:hAnsi="宋体" w:eastAsia="宋体" w:cs="宋体"/>
          <w:color w:val="auto"/>
          <w:sz w:val="30"/>
          <w:szCs w:val="30"/>
        </w:rPr>
        <w:fldChar w:fldCharType="end"/>
      </w:r>
    </w:p>
    <w:p w14:paraId="7FD69EF5">
      <w:pPr>
        <w:pStyle w:val="37"/>
        <w:keepNext w:val="0"/>
        <w:keepLines w:val="0"/>
        <w:pageBreakBefore w:val="0"/>
        <w:widowControl w:val="0"/>
        <w:tabs>
          <w:tab w:val="right" w:leader="dot" w:pos="9460"/>
        </w:tabs>
        <w:kinsoku/>
        <w:wordWrap/>
        <w:overflowPunct/>
        <w:topLinePunct w:val="0"/>
        <w:autoSpaceDE/>
        <w:autoSpaceDN/>
        <w:bidi w:val="0"/>
        <w:adjustRightInd/>
        <w:snapToGrid/>
        <w:spacing w:line="600" w:lineRule="exact"/>
        <w:ind w:left="0" w:leftChars="0" w:firstLine="0" w:firstLineChars="0"/>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HYPERLINK \l _Toc29992 </w:instrText>
      </w:r>
      <w:r>
        <w:rPr>
          <w:rFonts w:hint="eastAsia" w:ascii="宋体" w:hAnsi="宋体" w:eastAsia="宋体" w:cs="宋体"/>
          <w:color w:val="auto"/>
          <w:sz w:val="30"/>
          <w:szCs w:val="30"/>
        </w:rPr>
        <w:fldChar w:fldCharType="separate"/>
      </w:r>
      <w:r>
        <w:rPr>
          <w:rFonts w:hint="eastAsia" w:ascii="宋体" w:hAnsi="宋体" w:eastAsia="宋体" w:cs="宋体"/>
          <w:color w:val="auto"/>
          <w:sz w:val="30"/>
          <w:szCs w:val="30"/>
        </w:rPr>
        <w:t>第二章  供应商须知及前附表</w:t>
      </w:r>
      <w:r>
        <w:rPr>
          <w:rFonts w:hint="eastAsia" w:ascii="宋体" w:hAnsi="宋体" w:eastAsia="宋体" w:cs="宋体"/>
          <w:color w:val="auto"/>
          <w:sz w:val="30"/>
          <w:szCs w:val="30"/>
        </w:rPr>
        <w:tab/>
      </w: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PAGEREF _Toc29992 \h </w:instrText>
      </w:r>
      <w:r>
        <w:rPr>
          <w:rFonts w:hint="eastAsia" w:ascii="宋体" w:hAnsi="宋体" w:eastAsia="宋体" w:cs="宋体"/>
          <w:color w:val="auto"/>
          <w:sz w:val="30"/>
          <w:szCs w:val="30"/>
        </w:rPr>
        <w:fldChar w:fldCharType="separate"/>
      </w:r>
      <w:r>
        <w:rPr>
          <w:rFonts w:hint="eastAsia" w:ascii="宋体" w:hAnsi="宋体" w:eastAsia="宋体" w:cs="宋体"/>
          <w:color w:val="auto"/>
          <w:sz w:val="30"/>
          <w:szCs w:val="30"/>
        </w:rPr>
        <w:t>6</w:t>
      </w:r>
      <w:r>
        <w:rPr>
          <w:rFonts w:hint="eastAsia" w:ascii="宋体" w:hAnsi="宋体" w:eastAsia="宋体" w:cs="宋体"/>
          <w:color w:val="auto"/>
          <w:sz w:val="30"/>
          <w:szCs w:val="30"/>
        </w:rPr>
        <w:fldChar w:fldCharType="end"/>
      </w:r>
      <w:r>
        <w:rPr>
          <w:rFonts w:hint="eastAsia" w:ascii="宋体" w:hAnsi="宋体" w:eastAsia="宋体" w:cs="宋体"/>
          <w:color w:val="auto"/>
          <w:sz w:val="30"/>
          <w:szCs w:val="30"/>
        </w:rPr>
        <w:fldChar w:fldCharType="end"/>
      </w:r>
    </w:p>
    <w:p w14:paraId="59CCDE7C">
      <w:pPr>
        <w:pStyle w:val="31"/>
        <w:keepNext w:val="0"/>
        <w:keepLines w:val="0"/>
        <w:pageBreakBefore w:val="0"/>
        <w:widowControl w:val="0"/>
        <w:tabs>
          <w:tab w:val="right" w:leader="dot" w:pos="9460"/>
          <w:tab w:val="clear" w:pos="840"/>
          <w:tab w:val="clear" w:pos="9628"/>
        </w:tabs>
        <w:kinsoku/>
        <w:wordWrap/>
        <w:overflowPunct/>
        <w:topLinePunct w:val="0"/>
        <w:autoSpaceDE/>
        <w:autoSpaceDN/>
        <w:bidi w:val="0"/>
        <w:adjustRightInd/>
        <w:snapToGrid/>
        <w:spacing w:line="600" w:lineRule="exact"/>
        <w:ind w:left="0" w:leftChars="0" w:firstLine="0" w:firstLineChars="0"/>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HYPERLINK \l _Toc1817 </w:instrText>
      </w:r>
      <w:r>
        <w:rPr>
          <w:rFonts w:hint="eastAsia" w:ascii="宋体" w:hAnsi="宋体" w:eastAsia="宋体" w:cs="宋体"/>
          <w:color w:val="auto"/>
          <w:sz w:val="30"/>
          <w:szCs w:val="30"/>
        </w:rPr>
        <w:fldChar w:fldCharType="separate"/>
      </w:r>
      <w:r>
        <w:rPr>
          <w:rFonts w:hint="eastAsia" w:ascii="宋体" w:hAnsi="宋体" w:eastAsia="宋体" w:cs="宋体"/>
          <w:color w:val="auto"/>
          <w:sz w:val="30"/>
          <w:szCs w:val="30"/>
        </w:rPr>
        <w:t>第三章</w:t>
      </w:r>
      <w:r>
        <w:rPr>
          <w:rFonts w:hint="eastAsia" w:ascii="宋体" w:hAnsi="宋体" w:eastAsia="宋体" w:cs="宋体"/>
          <w:color w:val="auto"/>
          <w:sz w:val="30"/>
          <w:szCs w:val="30"/>
          <w:lang w:val="en-US" w:eastAsia="zh-CN"/>
        </w:rPr>
        <w:t xml:space="preserve"> </w:t>
      </w:r>
      <w:r>
        <w:rPr>
          <w:rFonts w:hint="eastAsia" w:ascii="宋体" w:hAnsi="宋体" w:eastAsia="宋体" w:cs="宋体"/>
          <w:color w:val="auto"/>
          <w:sz w:val="30"/>
          <w:szCs w:val="30"/>
        </w:rPr>
        <w:t>评标办法</w:t>
      </w:r>
      <w:r>
        <w:rPr>
          <w:rFonts w:hint="eastAsia" w:ascii="宋体" w:hAnsi="宋体" w:eastAsia="宋体" w:cs="宋体"/>
          <w:color w:val="auto"/>
          <w:sz w:val="30"/>
          <w:szCs w:val="30"/>
        </w:rPr>
        <w:tab/>
      </w: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PAGEREF _Toc1817 \h </w:instrText>
      </w:r>
      <w:r>
        <w:rPr>
          <w:rFonts w:hint="eastAsia" w:ascii="宋体" w:hAnsi="宋体" w:eastAsia="宋体" w:cs="宋体"/>
          <w:color w:val="auto"/>
          <w:sz w:val="30"/>
          <w:szCs w:val="30"/>
        </w:rPr>
        <w:fldChar w:fldCharType="separate"/>
      </w:r>
      <w:r>
        <w:rPr>
          <w:rFonts w:hint="eastAsia" w:ascii="宋体" w:hAnsi="宋体" w:eastAsia="宋体" w:cs="宋体"/>
          <w:color w:val="auto"/>
          <w:sz w:val="30"/>
          <w:szCs w:val="30"/>
        </w:rPr>
        <w:t>22</w:t>
      </w:r>
      <w:r>
        <w:rPr>
          <w:rFonts w:hint="eastAsia" w:ascii="宋体" w:hAnsi="宋体" w:eastAsia="宋体" w:cs="宋体"/>
          <w:color w:val="auto"/>
          <w:sz w:val="30"/>
          <w:szCs w:val="30"/>
        </w:rPr>
        <w:fldChar w:fldCharType="end"/>
      </w:r>
      <w:r>
        <w:rPr>
          <w:rFonts w:hint="eastAsia" w:ascii="宋体" w:hAnsi="宋体" w:eastAsia="宋体" w:cs="宋体"/>
          <w:color w:val="auto"/>
          <w:sz w:val="30"/>
          <w:szCs w:val="30"/>
        </w:rPr>
        <w:fldChar w:fldCharType="end"/>
      </w:r>
    </w:p>
    <w:p w14:paraId="282F1BFA">
      <w:pPr>
        <w:pStyle w:val="31"/>
        <w:keepNext w:val="0"/>
        <w:keepLines w:val="0"/>
        <w:pageBreakBefore w:val="0"/>
        <w:widowControl w:val="0"/>
        <w:tabs>
          <w:tab w:val="right" w:leader="dot" w:pos="9460"/>
          <w:tab w:val="clear" w:pos="840"/>
          <w:tab w:val="clear" w:pos="9628"/>
        </w:tabs>
        <w:kinsoku/>
        <w:wordWrap/>
        <w:overflowPunct/>
        <w:topLinePunct w:val="0"/>
        <w:autoSpaceDE/>
        <w:autoSpaceDN/>
        <w:bidi w:val="0"/>
        <w:adjustRightInd/>
        <w:snapToGrid/>
        <w:spacing w:line="600" w:lineRule="exact"/>
        <w:ind w:left="0" w:leftChars="0" w:firstLine="0" w:firstLineChars="0"/>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HYPERLINK \l _Toc18266 </w:instrText>
      </w:r>
      <w:r>
        <w:rPr>
          <w:rFonts w:hint="eastAsia" w:ascii="宋体" w:hAnsi="宋体" w:eastAsia="宋体" w:cs="宋体"/>
          <w:color w:val="auto"/>
          <w:sz w:val="30"/>
          <w:szCs w:val="30"/>
        </w:rPr>
        <w:fldChar w:fldCharType="separate"/>
      </w:r>
      <w:r>
        <w:rPr>
          <w:rFonts w:hint="eastAsia" w:ascii="宋体" w:hAnsi="宋体" w:eastAsia="宋体" w:cs="宋体"/>
          <w:color w:val="auto"/>
          <w:sz w:val="30"/>
          <w:szCs w:val="30"/>
          <w:lang w:val="en-US" w:eastAsia="zh-CN"/>
        </w:rPr>
        <w:t xml:space="preserve">第四章 </w:t>
      </w:r>
      <w:r>
        <w:rPr>
          <w:rFonts w:hint="eastAsia" w:ascii="宋体" w:hAnsi="宋体" w:eastAsia="宋体" w:cs="宋体"/>
          <w:color w:val="auto"/>
          <w:sz w:val="30"/>
          <w:szCs w:val="30"/>
        </w:rPr>
        <w:t>合同条款及格式</w:t>
      </w:r>
      <w:r>
        <w:rPr>
          <w:rFonts w:hint="eastAsia" w:ascii="宋体" w:hAnsi="宋体" w:eastAsia="宋体" w:cs="宋体"/>
          <w:color w:val="auto"/>
          <w:sz w:val="30"/>
          <w:szCs w:val="30"/>
        </w:rPr>
        <w:tab/>
      </w: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PAGEREF _Toc18266 \h </w:instrText>
      </w:r>
      <w:r>
        <w:rPr>
          <w:rFonts w:hint="eastAsia" w:ascii="宋体" w:hAnsi="宋体" w:eastAsia="宋体" w:cs="宋体"/>
          <w:color w:val="auto"/>
          <w:sz w:val="30"/>
          <w:szCs w:val="30"/>
        </w:rPr>
        <w:fldChar w:fldCharType="separate"/>
      </w:r>
      <w:r>
        <w:rPr>
          <w:rFonts w:hint="eastAsia" w:ascii="宋体" w:hAnsi="宋体" w:eastAsia="宋体" w:cs="宋体"/>
          <w:color w:val="auto"/>
          <w:sz w:val="30"/>
          <w:szCs w:val="30"/>
        </w:rPr>
        <w:t>26</w:t>
      </w:r>
      <w:r>
        <w:rPr>
          <w:rFonts w:hint="eastAsia" w:ascii="宋体" w:hAnsi="宋体" w:eastAsia="宋体" w:cs="宋体"/>
          <w:color w:val="auto"/>
          <w:sz w:val="30"/>
          <w:szCs w:val="30"/>
        </w:rPr>
        <w:fldChar w:fldCharType="end"/>
      </w:r>
      <w:r>
        <w:rPr>
          <w:rFonts w:hint="eastAsia" w:ascii="宋体" w:hAnsi="宋体" w:eastAsia="宋体" w:cs="宋体"/>
          <w:color w:val="auto"/>
          <w:sz w:val="30"/>
          <w:szCs w:val="30"/>
        </w:rPr>
        <w:fldChar w:fldCharType="end"/>
      </w:r>
    </w:p>
    <w:p w14:paraId="52711AED">
      <w:pPr>
        <w:pStyle w:val="31"/>
        <w:keepNext w:val="0"/>
        <w:keepLines w:val="0"/>
        <w:pageBreakBefore w:val="0"/>
        <w:widowControl w:val="0"/>
        <w:tabs>
          <w:tab w:val="right" w:leader="dot" w:pos="9460"/>
          <w:tab w:val="clear" w:pos="840"/>
          <w:tab w:val="clear" w:pos="9628"/>
        </w:tabs>
        <w:kinsoku/>
        <w:wordWrap/>
        <w:overflowPunct/>
        <w:topLinePunct w:val="0"/>
        <w:autoSpaceDE/>
        <w:autoSpaceDN/>
        <w:bidi w:val="0"/>
        <w:adjustRightInd/>
        <w:snapToGrid/>
        <w:spacing w:line="600" w:lineRule="exact"/>
        <w:ind w:left="0" w:leftChars="0" w:firstLine="0" w:firstLineChars="0"/>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HYPERLINK \l _Toc25107 </w:instrText>
      </w:r>
      <w:r>
        <w:rPr>
          <w:rFonts w:hint="eastAsia" w:ascii="宋体" w:hAnsi="宋体" w:eastAsia="宋体" w:cs="宋体"/>
          <w:color w:val="auto"/>
          <w:sz w:val="30"/>
          <w:szCs w:val="30"/>
        </w:rPr>
        <w:fldChar w:fldCharType="separate"/>
      </w:r>
      <w:r>
        <w:rPr>
          <w:rFonts w:hint="eastAsia" w:ascii="宋体" w:hAnsi="宋体" w:eastAsia="宋体" w:cs="宋体"/>
          <w:color w:val="auto"/>
          <w:sz w:val="30"/>
          <w:szCs w:val="30"/>
        </w:rPr>
        <w:t>第</w:t>
      </w:r>
      <w:r>
        <w:rPr>
          <w:rFonts w:hint="eastAsia" w:ascii="宋体" w:hAnsi="宋体" w:eastAsia="宋体" w:cs="宋体"/>
          <w:color w:val="auto"/>
          <w:sz w:val="30"/>
          <w:szCs w:val="30"/>
          <w:lang w:val="en-US" w:eastAsia="zh-CN"/>
        </w:rPr>
        <w:t>五</w:t>
      </w:r>
      <w:r>
        <w:rPr>
          <w:rFonts w:hint="eastAsia" w:ascii="宋体" w:hAnsi="宋体" w:eastAsia="宋体" w:cs="宋体"/>
          <w:color w:val="auto"/>
          <w:sz w:val="30"/>
          <w:szCs w:val="30"/>
        </w:rPr>
        <w:t>章  图纸</w:t>
      </w:r>
      <w:r>
        <w:rPr>
          <w:rFonts w:hint="eastAsia" w:ascii="宋体" w:hAnsi="宋体" w:eastAsia="宋体" w:cs="宋体"/>
          <w:color w:val="auto"/>
          <w:sz w:val="30"/>
          <w:szCs w:val="30"/>
        </w:rPr>
        <w:tab/>
      </w: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PAGEREF _Toc25107 \h </w:instrText>
      </w:r>
      <w:r>
        <w:rPr>
          <w:rFonts w:hint="eastAsia" w:ascii="宋体" w:hAnsi="宋体" w:eastAsia="宋体" w:cs="宋体"/>
          <w:color w:val="auto"/>
          <w:sz w:val="30"/>
          <w:szCs w:val="30"/>
        </w:rPr>
        <w:fldChar w:fldCharType="separate"/>
      </w:r>
      <w:r>
        <w:rPr>
          <w:rFonts w:hint="eastAsia" w:ascii="宋体" w:hAnsi="宋体" w:eastAsia="宋体" w:cs="宋体"/>
          <w:color w:val="auto"/>
          <w:sz w:val="30"/>
          <w:szCs w:val="30"/>
        </w:rPr>
        <w:t>61</w:t>
      </w:r>
      <w:r>
        <w:rPr>
          <w:rFonts w:hint="eastAsia" w:ascii="宋体" w:hAnsi="宋体" w:eastAsia="宋体" w:cs="宋体"/>
          <w:color w:val="auto"/>
          <w:sz w:val="30"/>
          <w:szCs w:val="30"/>
        </w:rPr>
        <w:fldChar w:fldCharType="end"/>
      </w:r>
      <w:r>
        <w:rPr>
          <w:rFonts w:hint="eastAsia" w:ascii="宋体" w:hAnsi="宋体" w:eastAsia="宋体" w:cs="宋体"/>
          <w:color w:val="auto"/>
          <w:sz w:val="30"/>
          <w:szCs w:val="30"/>
        </w:rPr>
        <w:fldChar w:fldCharType="end"/>
      </w:r>
    </w:p>
    <w:p w14:paraId="229C4666">
      <w:pPr>
        <w:pStyle w:val="31"/>
        <w:keepNext w:val="0"/>
        <w:keepLines w:val="0"/>
        <w:pageBreakBefore w:val="0"/>
        <w:widowControl w:val="0"/>
        <w:tabs>
          <w:tab w:val="right" w:leader="dot" w:pos="9460"/>
          <w:tab w:val="clear" w:pos="840"/>
          <w:tab w:val="clear" w:pos="9628"/>
        </w:tabs>
        <w:kinsoku/>
        <w:wordWrap/>
        <w:overflowPunct/>
        <w:topLinePunct w:val="0"/>
        <w:autoSpaceDE/>
        <w:autoSpaceDN/>
        <w:bidi w:val="0"/>
        <w:adjustRightInd/>
        <w:snapToGrid/>
        <w:spacing w:line="600" w:lineRule="exact"/>
        <w:ind w:left="0" w:leftChars="0" w:firstLine="0" w:firstLineChars="0"/>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HYPERLINK \l _Toc23421 </w:instrText>
      </w:r>
      <w:r>
        <w:rPr>
          <w:rFonts w:hint="eastAsia" w:ascii="宋体" w:hAnsi="宋体" w:eastAsia="宋体" w:cs="宋体"/>
          <w:color w:val="auto"/>
          <w:sz w:val="30"/>
          <w:szCs w:val="30"/>
        </w:rPr>
        <w:fldChar w:fldCharType="separate"/>
      </w:r>
      <w:r>
        <w:rPr>
          <w:rFonts w:hint="eastAsia" w:ascii="宋体" w:hAnsi="宋体" w:eastAsia="宋体" w:cs="宋体"/>
          <w:color w:val="auto"/>
          <w:sz w:val="30"/>
          <w:szCs w:val="30"/>
        </w:rPr>
        <w:t>第</w:t>
      </w:r>
      <w:r>
        <w:rPr>
          <w:rFonts w:hint="eastAsia" w:ascii="宋体" w:hAnsi="宋体" w:eastAsia="宋体" w:cs="宋体"/>
          <w:color w:val="auto"/>
          <w:sz w:val="30"/>
          <w:szCs w:val="30"/>
          <w:lang w:val="en-US" w:eastAsia="zh-CN"/>
        </w:rPr>
        <w:t>六</w:t>
      </w:r>
      <w:r>
        <w:rPr>
          <w:rFonts w:hint="eastAsia" w:ascii="宋体" w:hAnsi="宋体" w:eastAsia="宋体" w:cs="宋体"/>
          <w:color w:val="auto"/>
          <w:sz w:val="30"/>
          <w:szCs w:val="30"/>
        </w:rPr>
        <w:t>章  技术规范</w:t>
      </w:r>
      <w:r>
        <w:rPr>
          <w:rFonts w:hint="eastAsia" w:ascii="宋体" w:hAnsi="宋体" w:eastAsia="宋体" w:cs="宋体"/>
          <w:color w:val="auto"/>
          <w:sz w:val="30"/>
          <w:szCs w:val="30"/>
        </w:rPr>
        <w:tab/>
      </w: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PAGEREF _Toc23421 \h </w:instrText>
      </w:r>
      <w:r>
        <w:rPr>
          <w:rFonts w:hint="eastAsia" w:ascii="宋体" w:hAnsi="宋体" w:eastAsia="宋体" w:cs="宋体"/>
          <w:color w:val="auto"/>
          <w:sz w:val="30"/>
          <w:szCs w:val="30"/>
        </w:rPr>
        <w:fldChar w:fldCharType="separate"/>
      </w:r>
      <w:r>
        <w:rPr>
          <w:rFonts w:hint="eastAsia" w:ascii="宋体" w:hAnsi="宋体" w:eastAsia="宋体" w:cs="宋体"/>
          <w:color w:val="auto"/>
          <w:sz w:val="30"/>
          <w:szCs w:val="30"/>
        </w:rPr>
        <w:t>61</w:t>
      </w:r>
      <w:r>
        <w:rPr>
          <w:rFonts w:hint="eastAsia" w:ascii="宋体" w:hAnsi="宋体" w:eastAsia="宋体" w:cs="宋体"/>
          <w:color w:val="auto"/>
          <w:sz w:val="30"/>
          <w:szCs w:val="30"/>
        </w:rPr>
        <w:fldChar w:fldCharType="end"/>
      </w:r>
      <w:r>
        <w:rPr>
          <w:rFonts w:hint="eastAsia" w:ascii="宋体" w:hAnsi="宋体" w:eastAsia="宋体" w:cs="宋体"/>
          <w:color w:val="auto"/>
          <w:sz w:val="30"/>
          <w:szCs w:val="30"/>
        </w:rPr>
        <w:fldChar w:fldCharType="end"/>
      </w:r>
    </w:p>
    <w:p w14:paraId="160F7093">
      <w:pPr>
        <w:pStyle w:val="31"/>
        <w:keepNext w:val="0"/>
        <w:keepLines w:val="0"/>
        <w:pageBreakBefore w:val="0"/>
        <w:widowControl w:val="0"/>
        <w:tabs>
          <w:tab w:val="right" w:leader="dot" w:pos="9460"/>
          <w:tab w:val="clear" w:pos="840"/>
          <w:tab w:val="clear" w:pos="9628"/>
        </w:tabs>
        <w:kinsoku/>
        <w:wordWrap/>
        <w:overflowPunct/>
        <w:topLinePunct w:val="0"/>
        <w:autoSpaceDE/>
        <w:autoSpaceDN/>
        <w:bidi w:val="0"/>
        <w:adjustRightInd/>
        <w:snapToGrid/>
        <w:spacing w:line="600" w:lineRule="exact"/>
        <w:ind w:left="0" w:leftChars="0" w:firstLine="0" w:firstLineChars="0"/>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HYPERLINK \l _Toc24361 </w:instrText>
      </w:r>
      <w:r>
        <w:rPr>
          <w:rFonts w:hint="eastAsia" w:ascii="宋体" w:hAnsi="宋体" w:eastAsia="宋体" w:cs="宋体"/>
          <w:color w:val="auto"/>
          <w:sz w:val="30"/>
          <w:szCs w:val="30"/>
        </w:rPr>
        <w:fldChar w:fldCharType="separate"/>
      </w:r>
      <w:r>
        <w:rPr>
          <w:rFonts w:hint="eastAsia" w:ascii="宋体" w:hAnsi="宋体" w:eastAsia="宋体" w:cs="宋体"/>
          <w:color w:val="auto"/>
          <w:sz w:val="30"/>
          <w:szCs w:val="30"/>
        </w:rPr>
        <w:t>第</w:t>
      </w:r>
      <w:r>
        <w:rPr>
          <w:rFonts w:hint="eastAsia" w:ascii="宋体" w:hAnsi="宋体" w:eastAsia="宋体" w:cs="宋体"/>
          <w:color w:val="auto"/>
          <w:sz w:val="30"/>
          <w:szCs w:val="30"/>
          <w:lang w:val="en-US" w:eastAsia="zh-CN"/>
        </w:rPr>
        <w:t>七</w:t>
      </w:r>
      <w:r>
        <w:rPr>
          <w:rFonts w:hint="eastAsia" w:ascii="宋体" w:hAnsi="宋体" w:eastAsia="宋体" w:cs="宋体"/>
          <w:color w:val="auto"/>
          <w:sz w:val="30"/>
          <w:szCs w:val="30"/>
        </w:rPr>
        <w:t>章</w:t>
      </w:r>
      <w:r>
        <w:rPr>
          <w:rFonts w:hint="eastAsia" w:ascii="宋体" w:hAnsi="宋体" w:eastAsia="宋体" w:cs="宋体"/>
          <w:color w:val="auto"/>
          <w:sz w:val="30"/>
          <w:szCs w:val="30"/>
          <w:lang w:val="en-US" w:eastAsia="zh-CN"/>
        </w:rPr>
        <w:t xml:space="preserve"> </w:t>
      </w:r>
      <w:r>
        <w:rPr>
          <w:rFonts w:hint="eastAsia" w:ascii="宋体" w:hAnsi="宋体" w:eastAsia="宋体" w:cs="宋体"/>
          <w:color w:val="auto"/>
          <w:sz w:val="30"/>
          <w:szCs w:val="30"/>
        </w:rPr>
        <w:t>工程量清单</w:t>
      </w:r>
      <w:r>
        <w:rPr>
          <w:rFonts w:hint="eastAsia" w:ascii="宋体" w:hAnsi="宋体" w:eastAsia="宋体" w:cs="宋体"/>
          <w:color w:val="auto"/>
          <w:sz w:val="30"/>
          <w:szCs w:val="30"/>
        </w:rPr>
        <w:tab/>
      </w: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PAGEREF _Toc24361 \h </w:instrText>
      </w:r>
      <w:r>
        <w:rPr>
          <w:rFonts w:hint="eastAsia" w:ascii="宋体" w:hAnsi="宋体" w:eastAsia="宋体" w:cs="宋体"/>
          <w:color w:val="auto"/>
          <w:sz w:val="30"/>
          <w:szCs w:val="30"/>
        </w:rPr>
        <w:fldChar w:fldCharType="separate"/>
      </w:r>
      <w:r>
        <w:rPr>
          <w:rFonts w:hint="eastAsia" w:ascii="宋体" w:hAnsi="宋体" w:eastAsia="宋体" w:cs="宋体"/>
          <w:color w:val="auto"/>
          <w:sz w:val="30"/>
          <w:szCs w:val="30"/>
        </w:rPr>
        <w:t>61</w:t>
      </w:r>
      <w:r>
        <w:rPr>
          <w:rFonts w:hint="eastAsia" w:ascii="宋体" w:hAnsi="宋体" w:eastAsia="宋体" w:cs="宋体"/>
          <w:color w:val="auto"/>
          <w:sz w:val="30"/>
          <w:szCs w:val="30"/>
        </w:rPr>
        <w:fldChar w:fldCharType="end"/>
      </w:r>
      <w:r>
        <w:rPr>
          <w:rFonts w:hint="eastAsia" w:ascii="宋体" w:hAnsi="宋体" w:eastAsia="宋体" w:cs="宋体"/>
          <w:color w:val="auto"/>
          <w:sz w:val="30"/>
          <w:szCs w:val="30"/>
        </w:rPr>
        <w:fldChar w:fldCharType="end"/>
      </w:r>
    </w:p>
    <w:p w14:paraId="357CFDB3">
      <w:pPr>
        <w:pStyle w:val="31"/>
        <w:keepNext w:val="0"/>
        <w:keepLines w:val="0"/>
        <w:pageBreakBefore w:val="0"/>
        <w:widowControl w:val="0"/>
        <w:tabs>
          <w:tab w:val="right" w:leader="dot" w:pos="9460"/>
          <w:tab w:val="clear" w:pos="840"/>
          <w:tab w:val="clear" w:pos="9628"/>
        </w:tabs>
        <w:kinsoku/>
        <w:wordWrap/>
        <w:overflowPunct/>
        <w:topLinePunct w:val="0"/>
        <w:autoSpaceDE/>
        <w:autoSpaceDN/>
        <w:bidi w:val="0"/>
        <w:adjustRightInd/>
        <w:snapToGrid/>
        <w:spacing w:line="600" w:lineRule="exact"/>
        <w:ind w:left="0" w:leftChars="0" w:firstLine="0" w:firstLineChars="0"/>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HYPERLINK \l _Toc3996 </w:instrText>
      </w:r>
      <w:r>
        <w:rPr>
          <w:rFonts w:hint="eastAsia" w:ascii="宋体" w:hAnsi="宋体" w:eastAsia="宋体" w:cs="宋体"/>
          <w:color w:val="auto"/>
          <w:sz w:val="30"/>
          <w:szCs w:val="30"/>
        </w:rPr>
        <w:fldChar w:fldCharType="separate"/>
      </w:r>
      <w:r>
        <w:rPr>
          <w:rFonts w:hint="eastAsia" w:ascii="宋体" w:hAnsi="宋体" w:eastAsia="宋体" w:cs="宋体"/>
          <w:color w:val="auto"/>
          <w:sz w:val="30"/>
          <w:szCs w:val="30"/>
        </w:rPr>
        <w:t>第</w:t>
      </w:r>
      <w:r>
        <w:rPr>
          <w:rFonts w:hint="eastAsia" w:ascii="宋体" w:hAnsi="宋体" w:eastAsia="宋体" w:cs="宋体"/>
          <w:color w:val="auto"/>
          <w:sz w:val="30"/>
          <w:szCs w:val="30"/>
          <w:lang w:val="en-US" w:eastAsia="zh-CN"/>
        </w:rPr>
        <w:t>八</w:t>
      </w:r>
      <w:r>
        <w:rPr>
          <w:rFonts w:hint="eastAsia" w:ascii="宋体" w:hAnsi="宋体" w:eastAsia="宋体" w:cs="宋体"/>
          <w:color w:val="auto"/>
          <w:sz w:val="30"/>
          <w:szCs w:val="30"/>
        </w:rPr>
        <w:t>章  响应文件格式</w:t>
      </w:r>
      <w:r>
        <w:rPr>
          <w:rFonts w:hint="eastAsia" w:ascii="宋体" w:hAnsi="宋体" w:eastAsia="宋体" w:cs="宋体"/>
          <w:color w:val="auto"/>
          <w:sz w:val="30"/>
          <w:szCs w:val="30"/>
        </w:rPr>
        <w:tab/>
      </w: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PAGEREF _Toc3996 \h </w:instrText>
      </w:r>
      <w:r>
        <w:rPr>
          <w:rFonts w:hint="eastAsia" w:ascii="宋体" w:hAnsi="宋体" w:eastAsia="宋体" w:cs="宋体"/>
          <w:color w:val="auto"/>
          <w:sz w:val="30"/>
          <w:szCs w:val="30"/>
        </w:rPr>
        <w:fldChar w:fldCharType="separate"/>
      </w:r>
      <w:r>
        <w:rPr>
          <w:rFonts w:hint="eastAsia" w:ascii="宋体" w:hAnsi="宋体" w:eastAsia="宋体" w:cs="宋体"/>
          <w:color w:val="auto"/>
          <w:sz w:val="30"/>
          <w:szCs w:val="30"/>
        </w:rPr>
        <w:t>64</w:t>
      </w:r>
      <w:r>
        <w:rPr>
          <w:rFonts w:hint="eastAsia" w:ascii="宋体" w:hAnsi="宋体" w:eastAsia="宋体" w:cs="宋体"/>
          <w:color w:val="auto"/>
          <w:sz w:val="30"/>
          <w:szCs w:val="30"/>
        </w:rPr>
        <w:fldChar w:fldCharType="end"/>
      </w:r>
      <w:r>
        <w:rPr>
          <w:rFonts w:hint="eastAsia" w:ascii="宋体" w:hAnsi="宋体" w:eastAsia="宋体" w:cs="宋体"/>
          <w:color w:val="auto"/>
          <w:sz w:val="30"/>
          <w:szCs w:val="30"/>
        </w:rPr>
        <w:fldChar w:fldCharType="end"/>
      </w:r>
    </w:p>
    <w:p w14:paraId="61DD4CF2">
      <w:pPr>
        <w:pStyle w:val="31"/>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fldChar w:fldCharType="end"/>
      </w:r>
    </w:p>
    <w:p w14:paraId="17A6ED2F">
      <w:pPr>
        <w:pStyle w:val="4"/>
        <w:spacing w:after="0" w:line="460" w:lineRule="exact"/>
        <w:jc w:val="center"/>
        <w:rPr>
          <w:rFonts w:ascii="宋体" w:hAnsi="宋体" w:eastAsia="宋体"/>
          <w:color w:val="auto"/>
          <w:szCs w:val="24"/>
        </w:rPr>
      </w:pPr>
      <w:r>
        <w:rPr>
          <w:rFonts w:hAnsi="宋体"/>
          <w:color w:val="auto"/>
          <w:sz w:val="30"/>
          <w:szCs w:val="30"/>
        </w:rPr>
        <w:br w:type="page"/>
      </w:r>
      <w:bookmarkStart w:id="2" w:name="_Toc13387"/>
      <w:r>
        <w:rPr>
          <w:rFonts w:hint="eastAsia" w:ascii="宋体" w:hAnsi="宋体" w:eastAsia="宋体"/>
          <w:color w:val="auto"/>
          <w:sz w:val="36"/>
          <w:szCs w:val="24"/>
        </w:rPr>
        <w:t>第一章 竞争性磋商公告</w:t>
      </w:r>
      <w:bookmarkEnd w:id="2"/>
    </w:p>
    <w:p w14:paraId="2CCB2371">
      <w:pPr>
        <w:rPr>
          <w:color w:val="auto"/>
        </w:rPr>
      </w:pPr>
    </w:p>
    <w:p w14:paraId="0862ED9A">
      <w:pPr>
        <w:pStyle w:val="253"/>
        <w:keepNext w:val="0"/>
        <w:keepLines w:val="0"/>
        <w:pageBreakBefore w:val="0"/>
        <w:kinsoku/>
        <w:wordWrap/>
        <w:overflowPunct/>
        <w:topLinePunct w:val="0"/>
        <w:autoSpaceDE/>
        <w:autoSpaceDN/>
        <w:bidi w:val="0"/>
        <w:adjustRightInd/>
        <w:snapToGrid/>
        <w:spacing w:line="360" w:lineRule="auto"/>
        <w:jc w:val="center"/>
        <w:textAlignment w:val="auto"/>
        <w:rPr>
          <w:rFonts w:hAnsi="宋体"/>
          <w:b/>
          <w:color w:val="auto"/>
          <w:sz w:val="24"/>
          <w:szCs w:val="24"/>
          <w:highlight w:val="none"/>
        </w:rPr>
      </w:pPr>
      <w:r>
        <w:rPr>
          <w:rFonts w:hint="eastAsia" w:hAnsi="宋体"/>
          <w:b/>
          <w:color w:val="auto"/>
          <w:sz w:val="24"/>
          <w:szCs w:val="24"/>
          <w:highlight w:val="none"/>
          <w:lang w:val="zh-CN" w:eastAsia="zh-CN"/>
        </w:rPr>
        <w:t>龙州县龙津初级中学校舍维修改造工程（二期）</w:t>
      </w:r>
      <w:r>
        <w:rPr>
          <w:rFonts w:hint="eastAsia" w:hAnsi="宋体"/>
          <w:b/>
          <w:color w:val="auto"/>
          <w:sz w:val="24"/>
          <w:szCs w:val="24"/>
          <w:highlight w:val="none"/>
        </w:rPr>
        <w:t>竞争性磋商公告</w:t>
      </w:r>
    </w:p>
    <w:p w14:paraId="606604DC">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auto"/>
        <w:ind w:left="0" w:leftChars="0" w:firstLine="442" w:firstLineChars="200"/>
        <w:textAlignment w:val="auto"/>
        <w:rPr>
          <w:rFonts w:ascii="宋体" w:hAnsi="宋体"/>
          <w:color w:val="auto"/>
          <w:sz w:val="22"/>
          <w:szCs w:val="22"/>
          <w:highlight w:val="none"/>
        </w:rPr>
      </w:pPr>
      <w:r>
        <w:rPr>
          <w:rFonts w:hint="eastAsia" w:ascii="宋体" w:hAnsi="宋体"/>
          <w:b/>
          <w:bCs/>
          <w:color w:val="auto"/>
          <w:sz w:val="22"/>
          <w:szCs w:val="22"/>
          <w:highlight w:val="none"/>
        </w:rPr>
        <w:t>项目概况</w:t>
      </w:r>
    </w:p>
    <w:p w14:paraId="3D9699BE">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auto"/>
        <w:ind w:left="0" w:leftChars="0" w:firstLine="420" w:firstLineChars="200"/>
        <w:textAlignment w:val="auto"/>
        <w:rPr>
          <w:rFonts w:ascii="宋体" w:hAnsi="宋体"/>
          <w:b/>
          <w:color w:val="auto"/>
          <w:sz w:val="20"/>
          <w:szCs w:val="20"/>
          <w:highlight w:val="none"/>
        </w:rPr>
      </w:pPr>
      <w:r>
        <w:rPr>
          <w:rFonts w:hint="eastAsia" w:ascii="宋体" w:hAnsi="宋体"/>
          <w:color w:val="auto"/>
          <w:szCs w:val="21"/>
          <w:highlight w:val="none"/>
          <w:u w:val="single"/>
          <w:lang w:val="zh-CN" w:eastAsia="zh-CN"/>
        </w:rPr>
        <w:t>龙州县龙津初级中学校舍维修改造工程（二期）</w:t>
      </w:r>
      <w:r>
        <w:rPr>
          <w:rFonts w:hint="eastAsia" w:ascii="宋体" w:hAnsi="宋体"/>
          <w:color w:val="auto"/>
          <w:szCs w:val="21"/>
        </w:rPr>
        <w:t>采购项目的潜在供应商应在</w:t>
      </w:r>
      <w:r>
        <w:rPr>
          <w:rFonts w:hint="eastAsia" w:ascii="宋体" w:hAnsi="宋体"/>
          <w:color w:val="auto"/>
          <w:szCs w:val="21"/>
          <w:u w:val="single"/>
        </w:rPr>
        <w:t>广西政府采购云平台（https://www.gcy.zfcg.gxzf.gov.cn/）</w:t>
      </w:r>
      <w:r>
        <w:rPr>
          <w:rFonts w:hint="eastAsia" w:ascii="宋体" w:hAnsi="宋体" w:eastAsia="宋体" w:cs="宋体"/>
          <w:snapToGrid w:val="0"/>
          <w:color w:val="auto"/>
          <w:sz w:val="21"/>
          <w:szCs w:val="21"/>
        </w:rPr>
        <w:t>获取（下载）</w:t>
      </w:r>
      <w:r>
        <w:rPr>
          <w:rFonts w:hint="eastAsia" w:ascii="宋体" w:hAnsi="宋体"/>
          <w:color w:val="auto"/>
          <w:szCs w:val="21"/>
        </w:rPr>
        <w:t>竞争性磋商文件，并于</w:t>
      </w:r>
      <w:r>
        <w:rPr>
          <w:rFonts w:hint="eastAsia" w:ascii="宋体" w:hAnsi="宋体" w:cs="宋体"/>
          <w:bCs/>
          <w:color w:val="auto"/>
          <w:szCs w:val="21"/>
          <w:highlight w:val="none"/>
          <w:u w:val="single"/>
          <w:lang w:eastAsia="zh-CN"/>
        </w:rPr>
        <w:t>202</w:t>
      </w:r>
      <w:r>
        <w:rPr>
          <w:rFonts w:hint="eastAsia" w:ascii="宋体" w:hAnsi="宋体" w:cs="宋体"/>
          <w:bCs/>
          <w:color w:val="auto"/>
          <w:szCs w:val="21"/>
          <w:highlight w:val="none"/>
          <w:u w:val="single"/>
          <w:lang w:val="en-US" w:eastAsia="zh-CN"/>
        </w:rPr>
        <w:t>6</w:t>
      </w:r>
      <w:r>
        <w:rPr>
          <w:rFonts w:hint="eastAsia" w:ascii="宋体" w:hAnsi="宋体" w:eastAsia="宋体" w:cs="宋体"/>
          <w:bCs/>
          <w:color w:val="auto"/>
          <w:szCs w:val="21"/>
          <w:highlight w:val="none"/>
          <w:u w:val="single"/>
          <w:lang w:eastAsia="zh-CN"/>
        </w:rPr>
        <w:t>年</w:t>
      </w:r>
      <w:r>
        <w:rPr>
          <w:rFonts w:hint="eastAsia" w:ascii="宋体" w:hAnsi="宋体" w:cs="宋体"/>
          <w:bCs/>
          <w:color w:val="auto"/>
          <w:szCs w:val="21"/>
          <w:highlight w:val="none"/>
          <w:u w:val="single"/>
          <w:lang w:val="en-US" w:eastAsia="zh-CN"/>
        </w:rPr>
        <w:t>7</w:t>
      </w:r>
      <w:r>
        <w:rPr>
          <w:rFonts w:hint="eastAsia" w:ascii="宋体" w:hAnsi="宋体" w:eastAsia="宋体" w:cs="宋体"/>
          <w:bCs/>
          <w:color w:val="auto"/>
          <w:szCs w:val="21"/>
          <w:highlight w:val="none"/>
          <w:u w:val="single"/>
          <w:lang w:eastAsia="zh-CN"/>
        </w:rPr>
        <w:t>月</w:t>
      </w:r>
      <w:r>
        <w:rPr>
          <w:rFonts w:hint="eastAsia" w:ascii="宋体" w:hAnsi="宋体" w:cs="宋体"/>
          <w:bCs/>
          <w:color w:val="auto"/>
          <w:szCs w:val="21"/>
          <w:highlight w:val="none"/>
          <w:u w:val="single"/>
          <w:lang w:val="en-US" w:eastAsia="zh-CN"/>
        </w:rPr>
        <w:t>1</w:t>
      </w:r>
      <w:r>
        <w:rPr>
          <w:rFonts w:hint="eastAsia" w:ascii="宋体" w:hAnsi="宋体" w:eastAsia="宋体" w:cs="宋体"/>
          <w:bCs/>
          <w:color w:val="auto"/>
          <w:szCs w:val="21"/>
          <w:highlight w:val="none"/>
          <w:u w:val="single"/>
          <w:lang w:eastAsia="zh-CN"/>
        </w:rPr>
        <w:t>日</w:t>
      </w:r>
      <w:r>
        <w:rPr>
          <w:rFonts w:hint="eastAsia" w:ascii="宋体" w:hAnsi="宋体" w:cs="宋体"/>
          <w:bCs/>
          <w:color w:val="auto"/>
          <w:szCs w:val="21"/>
          <w:highlight w:val="none"/>
          <w:u w:val="single"/>
          <w:lang w:val="en-US" w:eastAsia="zh-CN"/>
        </w:rPr>
        <w:t>15</w:t>
      </w:r>
      <w:r>
        <w:rPr>
          <w:rFonts w:hint="eastAsia" w:ascii="宋体" w:hAnsi="宋体" w:eastAsia="宋体" w:cs="宋体"/>
          <w:bCs/>
          <w:color w:val="auto"/>
          <w:szCs w:val="21"/>
          <w:highlight w:val="none"/>
          <w:u w:val="single"/>
          <w:lang w:eastAsia="zh-CN"/>
        </w:rPr>
        <w:t>：</w:t>
      </w:r>
      <w:r>
        <w:rPr>
          <w:rFonts w:hint="eastAsia" w:ascii="宋体" w:hAnsi="宋体" w:cs="宋体"/>
          <w:bCs/>
          <w:color w:val="auto"/>
          <w:szCs w:val="21"/>
          <w:highlight w:val="none"/>
          <w:u w:val="single"/>
          <w:lang w:val="en-US" w:eastAsia="zh-CN"/>
        </w:rPr>
        <w:t>0</w:t>
      </w:r>
      <w:r>
        <w:rPr>
          <w:rFonts w:hint="eastAsia" w:ascii="宋体" w:hAnsi="宋体" w:eastAsia="宋体" w:cs="宋体"/>
          <w:bCs/>
          <w:color w:val="auto"/>
          <w:szCs w:val="21"/>
          <w:highlight w:val="none"/>
          <w:u w:val="single"/>
          <w:lang w:eastAsia="zh-CN"/>
        </w:rPr>
        <w:t>0</w:t>
      </w:r>
      <w:r>
        <w:rPr>
          <w:rFonts w:hint="eastAsia" w:ascii="宋体" w:hAnsi="宋体"/>
          <w:bCs/>
          <w:color w:val="auto"/>
          <w:szCs w:val="21"/>
        </w:rPr>
        <w:t>（北京时间）前提交响应</w:t>
      </w:r>
      <w:r>
        <w:rPr>
          <w:rFonts w:ascii="宋体" w:hAnsi="宋体"/>
          <w:bCs/>
          <w:color w:val="auto"/>
          <w:szCs w:val="21"/>
        </w:rPr>
        <w:t>文件</w:t>
      </w:r>
      <w:r>
        <w:rPr>
          <w:rFonts w:hint="eastAsia" w:ascii="宋体" w:hAnsi="宋体"/>
          <w:color w:val="auto"/>
          <w:szCs w:val="21"/>
          <w:highlight w:val="none"/>
        </w:rPr>
        <w:t>。</w:t>
      </w:r>
    </w:p>
    <w:p w14:paraId="42C985E8">
      <w:pPr>
        <w:pStyle w:val="41"/>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firstLine="420"/>
        <w:jc w:val="both"/>
        <w:textAlignment w:val="auto"/>
        <w:rPr>
          <w:rFonts w:cs="宋体"/>
          <w:color w:val="auto"/>
          <w:sz w:val="21"/>
          <w:szCs w:val="21"/>
          <w:highlight w:val="none"/>
          <w:lang w:bidi="zh-CN"/>
        </w:rPr>
      </w:pPr>
      <w:r>
        <w:rPr>
          <w:rFonts w:hint="eastAsia" w:cs="宋体"/>
          <w:b/>
          <w:bCs/>
          <w:color w:val="auto"/>
          <w:sz w:val="21"/>
          <w:szCs w:val="21"/>
          <w:highlight w:val="none"/>
          <w:lang w:bidi="zh-CN"/>
        </w:rPr>
        <w:t>一、项目基本情况</w:t>
      </w:r>
    </w:p>
    <w:p w14:paraId="5CAA780A">
      <w:pPr>
        <w:pStyle w:val="41"/>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firstLine="420"/>
        <w:jc w:val="both"/>
        <w:textAlignment w:val="auto"/>
        <w:rPr>
          <w:rFonts w:hint="eastAsia" w:eastAsia="宋体" w:cs="宋体"/>
          <w:color w:val="auto"/>
          <w:sz w:val="21"/>
          <w:szCs w:val="21"/>
          <w:highlight w:val="none"/>
          <w:lang w:eastAsia="zh-CN" w:bidi="zh-CN"/>
        </w:rPr>
      </w:pPr>
      <w:r>
        <w:rPr>
          <w:rFonts w:hint="eastAsia" w:cs="宋体"/>
          <w:color w:val="auto"/>
          <w:sz w:val="21"/>
          <w:szCs w:val="21"/>
          <w:highlight w:val="none"/>
          <w:lang w:bidi="zh-CN"/>
        </w:rPr>
        <w:t>项目编号：</w:t>
      </w:r>
      <w:r>
        <w:rPr>
          <w:rFonts w:hint="eastAsia" w:ascii="宋体" w:hAnsi="宋体" w:cs="宋体"/>
          <w:color w:val="auto"/>
          <w:sz w:val="21"/>
          <w:szCs w:val="21"/>
          <w:highlight w:val="none"/>
          <w:lang w:val="zh-CN" w:eastAsia="zh-CN"/>
        </w:rPr>
        <w:t>CZZC2026-C2-230047-GXXP</w:t>
      </w:r>
    </w:p>
    <w:p w14:paraId="52909A6D">
      <w:pPr>
        <w:pStyle w:val="41"/>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firstLine="420"/>
        <w:jc w:val="both"/>
        <w:textAlignment w:val="auto"/>
        <w:rPr>
          <w:rFonts w:hint="eastAsia" w:cs="宋体"/>
          <w:color w:val="auto"/>
          <w:sz w:val="21"/>
          <w:szCs w:val="21"/>
          <w:highlight w:val="none"/>
          <w:lang w:val="zh-CN" w:bidi="zh-CN"/>
        </w:rPr>
      </w:pPr>
      <w:r>
        <w:rPr>
          <w:rFonts w:hint="eastAsia" w:cs="宋体"/>
          <w:color w:val="auto"/>
          <w:sz w:val="21"/>
          <w:szCs w:val="21"/>
          <w:highlight w:val="none"/>
          <w:lang w:bidi="zh-CN"/>
        </w:rPr>
        <w:t>项目名称：</w:t>
      </w:r>
      <w:r>
        <w:rPr>
          <w:rFonts w:hint="eastAsia" w:cs="宋体"/>
          <w:color w:val="auto"/>
          <w:sz w:val="21"/>
          <w:szCs w:val="21"/>
          <w:highlight w:val="none"/>
          <w:lang w:val="zh-CN" w:eastAsia="zh-CN" w:bidi="zh-CN"/>
        </w:rPr>
        <w:t>龙州县龙津初级中学校舍维修改造工程（二期）</w:t>
      </w:r>
    </w:p>
    <w:p w14:paraId="400F5FD6">
      <w:pPr>
        <w:pStyle w:val="41"/>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firstLine="420"/>
        <w:jc w:val="both"/>
        <w:textAlignment w:val="auto"/>
        <w:rPr>
          <w:rFonts w:hint="eastAsia" w:cs="宋体"/>
          <w:color w:val="auto"/>
          <w:sz w:val="21"/>
          <w:szCs w:val="21"/>
          <w:highlight w:val="none"/>
          <w:lang w:bidi="zh-CN"/>
        </w:rPr>
      </w:pPr>
      <w:r>
        <w:rPr>
          <w:rFonts w:hint="eastAsia" w:cs="宋体"/>
          <w:color w:val="auto"/>
          <w:sz w:val="21"/>
          <w:szCs w:val="21"/>
          <w:highlight w:val="none"/>
          <w:lang w:bidi="zh-CN"/>
        </w:rPr>
        <w:t xml:space="preserve">采购方式：竞争性磋商 </w:t>
      </w:r>
    </w:p>
    <w:p w14:paraId="7DB75AD8">
      <w:pPr>
        <w:pStyle w:val="41"/>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firstLine="420"/>
        <w:jc w:val="both"/>
        <w:textAlignment w:val="auto"/>
        <w:rPr>
          <w:rFonts w:hint="eastAsia" w:cs="宋体"/>
          <w:color w:val="auto"/>
          <w:sz w:val="21"/>
          <w:szCs w:val="21"/>
          <w:highlight w:val="none"/>
          <w:lang w:bidi="zh-CN"/>
        </w:rPr>
      </w:pPr>
      <w:r>
        <w:rPr>
          <w:rFonts w:hint="eastAsia" w:cs="宋体"/>
          <w:color w:val="auto"/>
          <w:sz w:val="21"/>
          <w:szCs w:val="21"/>
          <w:highlight w:val="none"/>
          <w:lang w:bidi="zh-CN"/>
        </w:rPr>
        <w:t>采购预算价：</w:t>
      </w:r>
      <w:r>
        <w:rPr>
          <w:rFonts w:hint="eastAsia" w:cs="宋体"/>
          <w:color w:val="auto"/>
          <w:sz w:val="21"/>
          <w:szCs w:val="21"/>
          <w:highlight w:val="none"/>
          <w:lang w:val="en-US" w:bidi="zh-CN"/>
        </w:rPr>
        <w:t>¥</w:t>
      </w:r>
      <w:r>
        <w:rPr>
          <w:rFonts w:hint="eastAsia" w:cs="宋体"/>
          <w:color w:val="auto"/>
          <w:sz w:val="21"/>
          <w:szCs w:val="21"/>
          <w:highlight w:val="none"/>
          <w:lang w:val="en-US" w:eastAsia="zh-CN" w:bidi="zh-CN"/>
        </w:rPr>
        <w:t>1263107.00</w:t>
      </w:r>
      <w:r>
        <w:rPr>
          <w:rFonts w:hint="eastAsia" w:cs="宋体"/>
          <w:color w:val="auto"/>
          <w:sz w:val="21"/>
          <w:szCs w:val="21"/>
          <w:highlight w:val="none"/>
          <w:lang w:bidi="zh-CN"/>
        </w:rPr>
        <w:t>元</w:t>
      </w:r>
    </w:p>
    <w:p w14:paraId="692B3D65">
      <w:pPr>
        <w:pStyle w:val="41"/>
        <w:spacing w:before="0" w:beforeAutospacing="0" w:after="0" w:afterAutospacing="0" w:line="360" w:lineRule="auto"/>
        <w:ind w:firstLine="420"/>
        <w:jc w:val="both"/>
        <w:rPr>
          <w:rFonts w:hint="eastAsia" w:cs="宋体"/>
          <w:color w:val="auto"/>
          <w:sz w:val="21"/>
          <w:szCs w:val="21"/>
          <w:highlight w:val="none"/>
          <w:lang w:bidi="zh-CN"/>
        </w:rPr>
      </w:pPr>
      <w:r>
        <w:rPr>
          <w:rFonts w:hint="eastAsia" w:cs="宋体"/>
          <w:color w:val="auto"/>
          <w:sz w:val="21"/>
          <w:szCs w:val="21"/>
          <w:highlight w:val="none"/>
          <w:lang w:bidi="zh-CN"/>
        </w:rPr>
        <w:t>采购内容：主要包括</w:t>
      </w:r>
      <w:r>
        <w:rPr>
          <w:rFonts w:hint="eastAsia" w:ascii="宋体" w:hAnsi="宋体" w:eastAsia="宋体" w:cs="宋体"/>
          <w:color w:val="auto"/>
          <w:sz w:val="21"/>
          <w:szCs w:val="21"/>
          <w:highlight w:val="none"/>
          <w:lang w:bidi="zh-CN"/>
        </w:rPr>
        <w:t>旧实验楼改成宿舍、综合楼改</w:t>
      </w:r>
      <w:r>
        <w:rPr>
          <w:rFonts w:hint="eastAsia" w:cs="宋体"/>
          <w:color w:val="auto"/>
          <w:sz w:val="21"/>
          <w:szCs w:val="21"/>
          <w:highlight w:val="none"/>
          <w:lang w:bidi="zh-CN"/>
        </w:rPr>
        <w:t>教室</w:t>
      </w:r>
      <w:r>
        <w:rPr>
          <w:rFonts w:hint="eastAsia" w:ascii="宋体" w:hAnsi="宋体" w:eastAsia="宋体" w:cs="宋体"/>
          <w:color w:val="auto"/>
          <w:sz w:val="21"/>
          <w:szCs w:val="21"/>
          <w:highlight w:val="none"/>
          <w:lang w:bidi="zh-CN"/>
        </w:rPr>
        <w:t>、实训楼改造（包括拆除工程、装饰装修工程、安装工程等），</w:t>
      </w:r>
      <w:r>
        <w:rPr>
          <w:rFonts w:hint="eastAsia" w:ascii="宋体" w:hAnsi="宋体" w:eastAsia="宋体" w:cs="宋体"/>
          <w:color w:val="auto"/>
          <w:sz w:val="21"/>
          <w:szCs w:val="21"/>
          <w:highlight w:val="none"/>
          <w:lang w:val="en-US" w:eastAsia="zh-CN" w:bidi="zh-CN"/>
        </w:rPr>
        <w:t>具体施工内容详见经评审的工程量清单和施工图纸。</w:t>
      </w:r>
    </w:p>
    <w:p w14:paraId="07E488CA">
      <w:pPr>
        <w:pStyle w:val="41"/>
        <w:spacing w:before="0" w:beforeAutospacing="0" w:after="0" w:afterAutospacing="0" w:line="360" w:lineRule="auto"/>
        <w:ind w:firstLine="420"/>
        <w:jc w:val="both"/>
        <w:rPr>
          <w:rFonts w:hint="eastAsia" w:cs="宋体"/>
          <w:color w:val="auto"/>
          <w:sz w:val="21"/>
          <w:szCs w:val="21"/>
          <w:highlight w:val="none"/>
          <w:lang w:bidi="zh-CN"/>
        </w:rPr>
      </w:pPr>
      <w:r>
        <w:rPr>
          <w:rFonts w:hint="eastAsia" w:cs="宋体"/>
          <w:color w:val="auto"/>
          <w:sz w:val="21"/>
          <w:szCs w:val="21"/>
          <w:highlight w:val="none"/>
          <w:lang w:bidi="zh-CN"/>
        </w:rPr>
        <w:t>合同履约期限：工期</w:t>
      </w:r>
      <w:r>
        <w:rPr>
          <w:rFonts w:hint="eastAsia" w:cs="宋体"/>
          <w:color w:val="auto"/>
          <w:sz w:val="21"/>
          <w:szCs w:val="21"/>
          <w:highlight w:val="none"/>
          <w:lang w:val="en-US" w:bidi="zh-CN"/>
        </w:rPr>
        <w:t xml:space="preserve"> 90</w:t>
      </w:r>
      <w:r>
        <w:rPr>
          <w:rFonts w:hint="eastAsia" w:cs="宋体"/>
          <w:color w:val="auto"/>
          <w:sz w:val="21"/>
          <w:szCs w:val="21"/>
          <w:highlight w:val="none"/>
          <w:lang w:bidi="zh-CN"/>
        </w:rPr>
        <w:t>日历天。</w:t>
      </w:r>
    </w:p>
    <w:p w14:paraId="40CFCB14">
      <w:pPr>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二、申请人的资格要求</w:t>
      </w:r>
    </w:p>
    <w:p w14:paraId="4FD988C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1.满足《中华人民共和国政府采购法》第二十二条规定；</w:t>
      </w:r>
    </w:p>
    <w:p w14:paraId="267100AC">
      <w:pPr>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.落实政府采购政策需满足的资格要求：本项目属于专门面向</w:t>
      </w:r>
      <w:r>
        <w:rPr>
          <w:rFonts w:hint="eastAsia" w:ascii="宋体" w:hAnsi="宋体"/>
          <w:color w:val="auto"/>
          <w:szCs w:val="21"/>
          <w:highlight w:val="none"/>
          <w:lang w:eastAsia="zh-CN"/>
        </w:rPr>
        <w:t>中小微</w:t>
      </w:r>
      <w:r>
        <w:rPr>
          <w:rFonts w:hint="eastAsia" w:ascii="宋体" w:hAnsi="宋体"/>
          <w:color w:val="auto"/>
          <w:szCs w:val="21"/>
          <w:highlight w:val="none"/>
        </w:rPr>
        <w:t>企业采购的项目；</w:t>
      </w:r>
    </w:p>
    <w:p w14:paraId="61420F4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3.本项目的特定资格要求：</w:t>
      </w:r>
    </w:p>
    <w:p w14:paraId="14DBD5C0">
      <w:pPr>
        <w:wordWrap w:val="0"/>
        <w:spacing w:line="360" w:lineRule="auto"/>
        <w:ind w:firstLine="420" w:firstLineChars="200"/>
        <w:rPr>
          <w:rFonts w:ascii="宋体" w:hAnsi="宋体"/>
          <w:color w:val="auto"/>
          <w:szCs w:val="21"/>
          <w:highlight w:val="none"/>
        </w:rPr>
      </w:pPr>
      <w:bookmarkStart w:id="3" w:name="_Hlk87627428"/>
      <w:r>
        <w:rPr>
          <w:rFonts w:hint="eastAsia" w:ascii="宋体" w:hAnsi="宋体"/>
          <w:color w:val="auto"/>
          <w:szCs w:val="21"/>
          <w:highlight w:val="none"/>
        </w:rPr>
        <w:t>（1）</w:t>
      </w:r>
      <w:bookmarkStart w:id="4" w:name="OLE_LINK6"/>
      <w:r>
        <w:rPr>
          <w:color w:val="auto"/>
          <w:highlight w:val="none"/>
        </w:rPr>
        <w:t>本次招标要求投标人须</w:t>
      </w:r>
      <w:r>
        <w:rPr>
          <w:rFonts w:hint="eastAsia"/>
          <w:color w:val="auto"/>
          <w:highlight w:val="none"/>
        </w:rPr>
        <w:t>具备</w:t>
      </w:r>
      <w:r>
        <w:rPr>
          <w:rFonts w:hint="eastAsia"/>
          <w:color w:val="auto"/>
          <w:highlight w:val="none"/>
          <w:lang w:eastAsia="zh-CN"/>
        </w:rPr>
        <w:t>建筑</w:t>
      </w:r>
      <w:r>
        <w:rPr>
          <w:rFonts w:hint="eastAsia"/>
          <w:color w:val="auto"/>
          <w:highlight w:val="none"/>
        </w:rPr>
        <w:t>工程施工总承包</w:t>
      </w:r>
      <w:r>
        <w:rPr>
          <w:rFonts w:hint="eastAsia" w:ascii="宋体" w:hAnsi="宋体" w:cs="宋体"/>
          <w:color w:val="auto"/>
          <w:highlight w:val="none"/>
        </w:rPr>
        <w:t>（含三级）以上资质</w:t>
      </w:r>
      <w:r>
        <w:rPr>
          <w:rFonts w:hint="eastAsia"/>
          <w:color w:val="auto"/>
          <w:highlight w:val="none"/>
        </w:rPr>
        <w:t>；</w:t>
      </w:r>
      <w:r>
        <w:rPr>
          <w:color w:val="auto"/>
          <w:highlight w:val="none"/>
        </w:rPr>
        <w:t>并在人员、设备、资金等方面具</w:t>
      </w:r>
      <w:r>
        <w:rPr>
          <w:rFonts w:hint="eastAsia"/>
          <w:color w:val="auto"/>
          <w:highlight w:val="none"/>
        </w:rPr>
        <w:t>备相</w:t>
      </w:r>
      <w:r>
        <w:rPr>
          <w:color w:val="auto"/>
          <w:highlight w:val="none"/>
        </w:rPr>
        <w:t>应的施工能力</w:t>
      </w:r>
      <w:bookmarkEnd w:id="4"/>
      <w:r>
        <w:rPr>
          <w:color w:val="auto"/>
          <w:highlight w:val="none"/>
        </w:rPr>
        <w:t>。其中，投标人拟派项目经理须</w:t>
      </w:r>
      <w:r>
        <w:rPr>
          <w:rFonts w:hint="eastAsia"/>
          <w:color w:val="auto"/>
          <w:highlight w:val="none"/>
        </w:rPr>
        <w:t>具备</w:t>
      </w:r>
      <w:r>
        <w:rPr>
          <w:rFonts w:hint="eastAsia"/>
          <w:color w:val="auto"/>
          <w:highlight w:val="none"/>
          <w:lang w:eastAsia="zh-CN"/>
        </w:rPr>
        <w:t>建筑</w:t>
      </w:r>
      <w:r>
        <w:rPr>
          <w:rFonts w:hint="eastAsia"/>
          <w:color w:val="auto"/>
          <w:highlight w:val="none"/>
        </w:rPr>
        <w:t>工程专业二级（含以上）注册建造师执业资格</w:t>
      </w:r>
      <w:r>
        <w:rPr>
          <w:color w:val="auto"/>
          <w:highlight w:val="none"/>
        </w:rPr>
        <w:t>，具备有效的安全生产考核合格证书（B类）</w:t>
      </w:r>
      <w:r>
        <w:rPr>
          <w:rFonts w:hint="eastAsia"/>
          <w:color w:val="auto"/>
          <w:highlight w:val="none"/>
        </w:rPr>
        <w:t>。</w:t>
      </w:r>
    </w:p>
    <w:bookmarkEnd w:id="3"/>
    <w:p w14:paraId="7D2F4A39">
      <w:pPr>
        <w:widowControl/>
        <w:shd w:val="clear" w:color="auto" w:fill="FFFFFF"/>
        <w:snapToGrid w:val="0"/>
        <w:spacing w:line="360" w:lineRule="auto"/>
        <w:ind w:firstLine="420" w:firstLineChars="200"/>
        <w:jc w:val="left"/>
        <w:rPr>
          <w:rFonts w:ascii="宋体" w:hAnsi="宋体"/>
          <w:color w:val="auto"/>
          <w:szCs w:val="21"/>
          <w:highlight w:val="none"/>
          <w:lang w:val="zh-CN"/>
        </w:rPr>
      </w:pPr>
      <w:r>
        <w:rPr>
          <w:rFonts w:hint="eastAsia" w:ascii="宋体" w:hAnsi="宋体"/>
          <w:color w:val="auto"/>
          <w:szCs w:val="21"/>
          <w:highlight w:val="none"/>
        </w:rPr>
        <w:t>（2）</w:t>
      </w:r>
      <w:r>
        <w:rPr>
          <w:rFonts w:hint="eastAsia" w:ascii="宋体" w:hAnsi="宋体"/>
          <w:color w:val="auto"/>
          <w:szCs w:val="21"/>
          <w:highlight w:val="none"/>
          <w:lang w:val="zh-CN"/>
        </w:rPr>
        <w:t>不接受未按本竞争性磋商公告要求获取采购文件的供应商竞标。</w:t>
      </w:r>
    </w:p>
    <w:p w14:paraId="35095CBC">
      <w:pPr>
        <w:widowControl/>
        <w:shd w:val="clear" w:color="auto" w:fill="FFFFFF"/>
        <w:snapToGrid w:val="0"/>
        <w:spacing w:line="360" w:lineRule="auto"/>
        <w:ind w:firstLine="420" w:firstLineChars="200"/>
        <w:jc w:val="left"/>
        <w:rPr>
          <w:rFonts w:ascii="宋体" w:hAnsi="宋体"/>
          <w:color w:val="auto"/>
          <w:szCs w:val="21"/>
          <w:highlight w:val="none"/>
          <w:lang w:val="zh-CN"/>
        </w:rPr>
      </w:pPr>
      <w:r>
        <w:rPr>
          <w:rFonts w:hint="eastAsia" w:ascii="宋体" w:hAnsi="宋体"/>
          <w:color w:val="auto"/>
          <w:szCs w:val="21"/>
          <w:highlight w:val="none"/>
          <w:lang w:val="zh-CN"/>
        </w:rPr>
        <w:t>（</w:t>
      </w:r>
      <w:r>
        <w:rPr>
          <w:rFonts w:hint="eastAsia" w:ascii="宋体" w:hAnsi="宋体"/>
          <w:color w:val="auto"/>
          <w:szCs w:val="21"/>
          <w:highlight w:val="none"/>
          <w:lang w:val="en-US" w:eastAsia="zh-CN"/>
        </w:rPr>
        <w:t>3</w:t>
      </w:r>
      <w:r>
        <w:rPr>
          <w:rFonts w:hint="eastAsia" w:ascii="宋体" w:hAnsi="宋体"/>
          <w:color w:val="auto"/>
          <w:szCs w:val="21"/>
          <w:highlight w:val="none"/>
          <w:lang w:val="zh-CN"/>
        </w:rPr>
        <w:t>）本项目不接受联合体竞标,不允许转包和分包。</w:t>
      </w:r>
    </w:p>
    <w:p w14:paraId="307EF2E5">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三、获取采购文件</w:t>
      </w:r>
    </w:p>
    <w:p w14:paraId="5605E827">
      <w:pPr>
        <w:pStyle w:val="41"/>
        <w:spacing w:before="75" w:beforeAutospacing="0" w:after="75" w:afterAutospacing="0" w:line="360" w:lineRule="auto"/>
        <w:ind w:firstLine="420"/>
        <w:jc w:val="both"/>
        <w:rPr>
          <w:color w:val="auto"/>
          <w:kern w:val="2"/>
          <w:sz w:val="21"/>
          <w:szCs w:val="21"/>
          <w:highlight w:val="none"/>
          <w:lang w:val="zh-CN"/>
        </w:rPr>
      </w:pPr>
      <w:r>
        <w:rPr>
          <w:rFonts w:hint="eastAsia"/>
          <w:color w:val="auto"/>
          <w:kern w:val="2"/>
          <w:sz w:val="21"/>
          <w:szCs w:val="21"/>
          <w:highlight w:val="none"/>
          <w:lang w:val="zh-CN"/>
        </w:rPr>
        <w:t>时间：</w:t>
      </w:r>
      <w:r>
        <w:rPr>
          <w:rFonts w:hint="eastAsia"/>
          <w:color w:val="auto"/>
          <w:kern w:val="2"/>
          <w:sz w:val="21"/>
          <w:szCs w:val="21"/>
          <w:highlight w:val="none"/>
          <w:lang w:val="en-US" w:eastAsia="zh-CN"/>
        </w:rPr>
        <w:t>2026年06月18日</w:t>
      </w:r>
      <w:r>
        <w:rPr>
          <w:rFonts w:hint="eastAsia"/>
          <w:color w:val="auto"/>
          <w:kern w:val="2"/>
          <w:sz w:val="21"/>
          <w:szCs w:val="21"/>
          <w:highlight w:val="none"/>
        </w:rPr>
        <w:t>起</w:t>
      </w:r>
      <w:r>
        <w:rPr>
          <w:rFonts w:hint="eastAsia"/>
          <w:color w:val="auto"/>
          <w:kern w:val="2"/>
          <w:sz w:val="21"/>
          <w:szCs w:val="21"/>
          <w:highlight w:val="none"/>
          <w:lang w:val="zh-CN"/>
        </w:rPr>
        <w:t>至</w:t>
      </w:r>
      <w:r>
        <w:rPr>
          <w:rFonts w:hint="eastAsia"/>
          <w:color w:val="auto"/>
          <w:kern w:val="2"/>
          <w:sz w:val="21"/>
          <w:szCs w:val="21"/>
          <w:highlight w:val="none"/>
          <w:lang w:val="en-US" w:eastAsia="zh-CN"/>
        </w:rPr>
        <w:t>2026年06月26日</w:t>
      </w:r>
      <w:r>
        <w:rPr>
          <w:rFonts w:hint="eastAsia"/>
          <w:color w:val="auto"/>
          <w:kern w:val="2"/>
          <w:sz w:val="21"/>
          <w:szCs w:val="21"/>
          <w:highlight w:val="none"/>
          <w:lang w:val="zh-CN"/>
        </w:rPr>
        <w:t>止（工作日），每天上午8:00至12:00，下午</w:t>
      </w:r>
      <w:r>
        <w:rPr>
          <w:rFonts w:hint="eastAsia"/>
          <w:color w:val="auto"/>
          <w:kern w:val="2"/>
          <w:sz w:val="21"/>
          <w:szCs w:val="21"/>
          <w:highlight w:val="none"/>
          <w:lang w:val="en-US" w:eastAsia="zh-CN"/>
        </w:rPr>
        <w:t>14</w:t>
      </w:r>
      <w:r>
        <w:rPr>
          <w:rFonts w:hint="eastAsia"/>
          <w:color w:val="auto"/>
          <w:kern w:val="2"/>
          <w:sz w:val="21"/>
          <w:szCs w:val="21"/>
          <w:highlight w:val="none"/>
          <w:lang w:val="zh-CN"/>
        </w:rPr>
        <w:t>:00至</w:t>
      </w:r>
      <w:r>
        <w:rPr>
          <w:rFonts w:hint="eastAsia"/>
          <w:color w:val="auto"/>
          <w:kern w:val="2"/>
          <w:sz w:val="21"/>
          <w:szCs w:val="21"/>
          <w:highlight w:val="none"/>
          <w:lang w:val="en-US" w:eastAsia="zh-CN"/>
        </w:rPr>
        <w:t>24</w:t>
      </w:r>
      <w:r>
        <w:rPr>
          <w:rFonts w:hint="eastAsia"/>
          <w:color w:val="auto"/>
          <w:kern w:val="2"/>
          <w:sz w:val="21"/>
          <w:szCs w:val="21"/>
          <w:highlight w:val="none"/>
          <w:lang w:val="zh-CN"/>
        </w:rPr>
        <w:t>:</w:t>
      </w:r>
      <w:r>
        <w:rPr>
          <w:rFonts w:hint="eastAsia"/>
          <w:color w:val="auto"/>
          <w:kern w:val="2"/>
          <w:sz w:val="21"/>
          <w:szCs w:val="21"/>
          <w:highlight w:val="none"/>
          <w:lang w:val="en-US" w:eastAsia="zh-CN"/>
        </w:rPr>
        <w:t>0</w:t>
      </w:r>
      <w:r>
        <w:rPr>
          <w:rFonts w:hint="eastAsia"/>
          <w:color w:val="auto"/>
          <w:kern w:val="2"/>
          <w:sz w:val="21"/>
          <w:szCs w:val="21"/>
          <w:highlight w:val="none"/>
          <w:lang w:val="zh-CN"/>
        </w:rPr>
        <w:t>0（北京时间，法定节假日除外）</w:t>
      </w:r>
    </w:p>
    <w:p w14:paraId="1D47DD06">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地点（网址）：广西政府采购云平台</w:t>
      </w:r>
      <w:r>
        <w:rPr>
          <w:rFonts w:hint="eastAsia" w:ascii="宋体" w:hAnsi="宋体" w:eastAsia="宋体" w:cs="宋体"/>
          <w:color w:val="auto"/>
          <w:szCs w:val="21"/>
          <w:highlight w:val="none"/>
          <w:u w:val="none"/>
          <w:lang w:eastAsia="zh-CN"/>
        </w:rPr>
        <w:t>（https://www.gcy.zfcg.gxzf.gov.cn</w:t>
      </w:r>
      <w:r>
        <w:rPr>
          <w:rFonts w:hint="eastAsia" w:ascii="宋体" w:hAnsi="宋体" w:cs="宋体"/>
          <w:color w:val="auto"/>
          <w:szCs w:val="21"/>
          <w:highlight w:val="none"/>
          <w:u w:val="none"/>
          <w:lang w:eastAsia="zh-CN"/>
        </w:rPr>
        <w:t>）</w:t>
      </w:r>
      <w:r>
        <w:rPr>
          <w:rFonts w:hint="eastAsia" w:ascii="宋体" w:hAnsi="宋体" w:eastAsia="宋体" w:cs="宋体"/>
          <w:color w:val="auto"/>
          <w:szCs w:val="21"/>
          <w:highlight w:val="none"/>
        </w:rPr>
        <w:t>线上获取</w:t>
      </w:r>
    </w:p>
    <w:p w14:paraId="10ACA14F">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方式：供应商登录广西政府采购云平台https://www.gcy.zfcg.gxzf.gov.cn/在线申请获取采购文件（进入“项目采购”应用，在获取采购文件菜单中选择项目，申请获取采购文件）。</w:t>
      </w:r>
    </w:p>
    <w:p w14:paraId="0C4A8F2C">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售价：0元。</w:t>
      </w:r>
    </w:p>
    <w:p w14:paraId="2599D199">
      <w:pPr>
        <w:spacing w:line="360" w:lineRule="auto"/>
        <w:ind w:firstLine="422" w:firstLineChars="200"/>
        <w:rPr>
          <w:rFonts w:ascii="宋体" w:hAnsi="宋体"/>
          <w:b/>
          <w:color w:val="auto"/>
          <w:szCs w:val="21"/>
          <w:highlight w:val="none"/>
        </w:rPr>
      </w:pPr>
      <w:bookmarkStart w:id="5" w:name="_Hlk87630394"/>
      <w:r>
        <w:rPr>
          <w:rFonts w:hint="eastAsia" w:ascii="宋体" w:hAnsi="宋体"/>
          <w:b/>
          <w:color w:val="auto"/>
          <w:szCs w:val="21"/>
          <w:highlight w:val="none"/>
        </w:rPr>
        <w:t>四、响应文件提交</w:t>
      </w:r>
    </w:p>
    <w:bookmarkEnd w:id="5"/>
    <w:p w14:paraId="2D93A793">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截止时间：</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07</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01</w:t>
      </w:r>
      <w:r>
        <w:rPr>
          <w:rFonts w:hint="eastAsia" w:ascii="宋体" w:hAnsi="宋体" w:eastAsia="宋体" w:cs="宋体"/>
          <w:color w:val="auto"/>
          <w:szCs w:val="21"/>
          <w:highlight w:val="none"/>
          <w:lang w:eastAsia="zh-CN"/>
        </w:rPr>
        <w:t>日</w:t>
      </w:r>
      <w:r>
        <w:rPr>
          <w:rFonts w:hint="eastAsia" w:ascii="宋体" w:hAnsi="宋体" w:cs="宋体"/>
          <w:color w:val="auto"/>
          <w:szCs w:val="21"/>
          <w:highlight w:val="none"/>
          <w:lang w:val="en-US" w:eastAsia="zh-CN"/>
        </w:rPr>
        <w:t>15:0</w:t>
      </w:r>
      <w:r>
        <w:rPr>
          <w:rFonts w:hint="eastAsia" w:ascii="宋体" w:hAnsi="宋体" w:eastAsia="宋体" w:cs="宋体"/>
          <w:color w:val="auto"/>
          <w:szCs w:val="21"/>
          <w:highlight w:val="none"/>
          <w:lang w:eastAsia="zh-CN"/>
        </w:rPr>
        <w:t>0</w:t>
      </w:r>
      <w:r>
        <w:rPr>
          <w:rFonts w:hint="eastAsia" w:ascii="宋体" w:hAnsi="宋体" w:eastAsia="宋体" w:cs="宋体"/>
          <w:color w:val="auto"/>
          <w:szCs w:val="21"/>
          <w:highlight w:val="none"/>
        </w:rPr>
        <w:t>（北京时间）</w:t>
      </w:r>
    </w:p>
    <w:p w14:paraId="7EA8370D">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地点（网址）：请登录广西政府采购云平台投标客户端投标</w:t>
      </w:r>
    </w:p>
    <w:p w14:paraId="78E902D9">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五、开启</w:t>
      </w:r>
    </w:p>
    <w:p w14:paraId="2D2C5C99">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bCs/>
          <w:color w:val="auto"/>
          <w:szCs w:val="21"/>
          <w:highlight w:val="none"/>
          <w:u w:val="none"/>
        </w:rPr>
        <w:t>开启时间：</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07</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01</w:t>
      </w:r>
      <w:r>
        <w:rPr>
          <w:rFonts w:hint="eastAsia" w:ascii="宋体" w:hAnsi="宋体" w:eastAsia="宋体" w:cs="宋体"/>
          <w:color w:val="auto"/>
          <w:szCs w:val="21"/>
          <w:highlight w:val="none"/>
          <w:lang w:eastAsia="zh-CN"/>
        </w:rPr>
        <w:t>日</w:t>
      </w:r>
      <w:r>
        <w:rPr>
          <w:rFonts w:hint="eastAsia" w:ascii="宋体" w:hAnsi="宋体" w:cs="宋体"/>
          <w:color w:val="auto"/>
          <w:szCs w:val="21"/>
          <w:highlight w:val="none"/>
          <w:lang w:val="en-US" w:eastAsia="zh-CN"/>
        </w:rPr>
        <w:t>15:0</w:t>
      </w:r>
      <w:r>
        <w:rPr>
          <w:rFonts w:hint="eastAsia" w:ascii="宋体" w:hAnsi="宋体" w:eastAsia="宋体" w:cs="宋体"/>
          <w:color w:val="auto"/>
          <w:szCs w:val="21"/>
          <w:highlight w:val="none"/>
          <w:lang w:eastAsia="zh-CN"/>
        </w:rPr>
        <w:t>0</w:t>
      </w:r>
      <w:r>
        <w:rPr>
          <w:rFonts w:hint="eastAsia" w:ascii="宋体" w:hAnsi="宋体" w:eastAsia="宋体" w:cs="宋体"/>
          <w:color w:val="auto"/>
          <w:szCs w:val="21"/>
          <w:highlight w:val="none"/>
        </w:rPr>
        <w:t>（北京时间）</w:t>
      </w:r>
    </w:p>
    <w:p w14:paraId="0828354B">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color w:val="auto"/>
          <w:szCs w:val="21"/>
          <w:highlight w:val="none"/>
          <w:u w:val="none"/>
          <w:lang w:eastAsia="zh-CN"/>
        </w:rPr>
        <w:t>地点：广西政府采购云平台（https://www.gcy.zfcg.gxzf.gov.cn</w:t>
      </w:r>
      <w:r>
        <w:rPr>
          <w:rFonts w:hint="eastAsia" w:ascii="宋体" w:hAnsi="宋体" w:cs="宋体"/>
          <w:color w:val="auto"/>
          <w:szCs w:val="21"/>
          <w:highlight w:val="none"/>
          <w:u w:val="none"/>
          <w:lang w:eastAsia="zh-CN"/>
        </w:rPr>
        <w:t>）</w:t>
      </w:r>
    </w:p>
    <w:p w14:paraId="15EBC043">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六、公告期限：</w:t>
      </w:r>
    </w:p>
    <w:p w14:paraId="761D875F">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自本公告发布之日起</w:t>
      </w:r>
      <w:r>
        <w:rPr>
          <w:rFonts w:hint="eastAsia" w:ascii="宋体" w:hAnsi="宋体"/>
          <w:color w:val="auto"/>
          <w:kern w:val="0"/>
          <w:szCs w:val="21"/>
          <w:highlight w:val="none"/>
          <w:lang w:val="en-US" w:eastAsia="zh-CN"/>
        </w:rPr>
        <w:t>5</w:t>
      </w:r>
      <w:r>
        <w:rPr>
          <w:rFonts w:hint="eastAsia" w:ascii="宋体" w:hAnsi="宋体"/>
          <w:color w:val="auto"/>
          <w:kern w:val="0"/>
          <w:szCs w:val="21"/>
          <w:highlight w:val="none"/>
        </w:rPr>
        <w:t>个工作日。</w:t>
      </w:r>
    </w:p>
    <w:p w14:paraId="026719A7">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七、其他补充事宜：</w:t>
      </w:r>
    </w:p>
    <w:p w14:paraId="3C640C5B">
      <w:pPr>
        <w:spacing w:line="360" w:lineRule="auto"/>
        <w:ind w:left="538" w:leftChars="256" w:firstLine="0" w:firstLineChars="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1.本项目不收取投标保证金。</w:t>
      </w:r>
      <w:r>
        <w:rPr>
          <w:rFonts w:hint="eastAsia" w:ascii="宋体" w:hAnsi="宋体" w:eastAsia="宋体" w:cs="宋体"/>
          <w:i w:val="0"/>
          <w:iCs w:val="0"/>
          <w:caps w:val="0"/>
          <w:color w:val="auto"/>
          <w:spacing w:val="0"/>
          <w:sz w:val="21"/>
          <w:szCs w:val="21"/>
          <w:highlight w:val="none"/>
        </w:rPr>
        <w:br w:type="textWrapping"/>
      </w:r>
      <w:r>
        <w:rPr>
          <w:rFonts w:hint="eastAsia" w:ascii="宋体" w:hAnsi="宋体" w:eastAsia="宋体" w:cs="宋体"/>
          <w:i w:val="0"/>
          <w:iCs w:val="0"/>
          <w:caps w:val="0"/>
          <w:color w:val="auto"/>
          <w:spacing w:val="0"/>
          <w:sz w:val="21"/>
          <w:szCs w:val="21"/>
          <w:highlight w:val="none"/>
        </w:rPr>
        <w:t>2.网上查询地址</w:t>
      </w:r>
      <w:r>
        <w:rPr>
          <w:rFonts w:hint="eastAsia" w:ascii="宋体" w:hAnsi="宋体" w:cs="宋体"/>
          <w:i w:val="0"/>
          <w:iCs w:val="0"/>
          <w:caps w:val="0"/>
          <w:color w:val="auto"/>
          <w:spacing w:val="0"/>
          <w:sz w:val="21"/>
          <w:szCs w:val="21"/>
          <w:highlight w:val="none"/>
          <w:lang w:eastAsia="zh-CN"/>
        </w:rPr>
        <w:t>：</w:t>
      </w:r>
      <w:r>
        <w:rPr>
          <w:rFonts w:hint="eastAsia" w:ascii="宋体" w:hAnsi="宋体" w:eastAsia="宋体" w:cs="Times New Roman"/>
          <w:color w:val="auto"/>
          <w:szCs w:val="21"/>
          <w:highlight w:val="none"/>
        </w:rPr>
        <w:t>中国政府采购网、广西壮族自治区政府采购网、全国公共资源交易平台（广西.崇左）。</w:t>
      </w:r>
      <w:r>
        <w:rPr>
          <w:rFonts w:hint="eastAsia" w:ascii="宋体" w:hAnsi="宋体" w:eastAsia="宋体" w:cs="宋体"/>
          <w:i w:val="0"/>
          <w:iCs w:val="0"/>
          <w:caps w:val="0"/>
          <w:color w:val="auto"/>
          <w:spacing w:val="0"/>
          <w:sz w:val="21"/>
          <w:szCs w:val="21"/>
          <w:highlight w:val="none"/>
        </w:rPr>
        <w:br w:type="textWrapping"/>
      </w:r>
      <w:r>
        <w:rPr>
          <w:rFonts w:hint="eastAsia" w:ascii="宋体" w:hAnsi="宋体" w:eastAsia="宋体" w:cs="宋体"/>
          <w:i w:val="0"/>
          <w:iCs w:val="0"/>
          <w:caps w:val="0"/>
          <w:color w:val="auto"/>
          <w:spacing w:val="0"/>
          <w:sz w:val="21"/>
          <w:szCs w:val="21"/>
          <w:highlight w:val="none"/>
        </w:rPr>
        <w:t>3.本项目需要落实的政府采购政策：（1）政府采购促进中小企业发展；（2）政府采购支持采用本国产品的政策；（3）强制采购节能产品；优先采购节能产品、环境标志产品；（4）政府采购促进残疾人就业政策；（5）政府采购支持监狱企业发展。</w:t>
      </w:r>
      <w:r>
        <w:rPr>
          <w:rFonts w:hint="eastAsia" w:ascii="宋体" w:hAnsi="宋体" w:eastAsia="宋体" w:cs="宋体"/>
          <w:i w:val="0"/>
          <w:iCs w:val="0"/>
          <w:caps w:val="0"/>
          <w:color w:val="auto"/>
          <w:spacing w:val="0"/>
          <w:sz w:val="21"/>
          <w:szCs w:val="21"/>
          <w:highlight w:val="none"/>
        </w:rPr>
        <w:br w:type="textWrapping"/>
      </w:r>
      <w:r>
        <w:rPr>
          <w:rFonts w:hint="eastAsia" w:ascii="宋体" w:hAnsi="宋体" w:eastAsia="宋体" w:cs="宋体"/>
          <w:i w:val="0"/>
          <w:iCs w:val="0"/>
          <w:caps w:val="0"/>
          <w:color w:val="auto"/>
          <w:spacing w:val="0"/>
          <w:sz w:val="21"/>
          <w:szCs w:val="21"/>
          <w:highlight w:val="none"/>
        </w:rPr>
        <w:t>4.“政采云”平台电子投标相关事宜说明：</w:t>
      </w:r>
      <w:r>
        <w:rPr>
          <w:rFonts w:hint="eastAsia" w:ascii="宋体" w:hAnsi="宋体" w:eastAsia="宋体" w:cs="宋体"/>
          <w:i w:val="0"/>
          <w:iCs w:val="0"/>
          <w:caps w:val="0"/>
          <w:color w:val="auto"/>
          <w:spacing w:val="0"/>
          <w:sz w:val="21"/>
          <w:szCs w:val="21"/>
          <w:highlight w:val="none"/>
        </w:rPr>
        <w:br w:type="textWrapping"/>
      </w:r>
      <w:r>
        <w:rPr>
          <w:rFonts w:hint="eastAsia" w:ascii="宋体" w:hAnsi="宋体" w:eastAsia="宋体" w:cs="宋体"/>
          <w:i w:val="0"/>
          <w:iCs w:val="0"/>
          <w:caps w:val="0"/>
          <w:color w:val="auto"/>
          <w:spacing w:val="0"/>
          <w:sz w:val="21"/>
          <w:szCs w:val="21"/>
          <w:highlight w:val="none"/>
        </w:rPr>
        <w:t>（1）本项目为全流程电子化采购项目，通过“政采云”平台（https：//www.zcygov.cn）实行在线电子投标，投标人应先安装“政采云电子投标客户端”（请自行前往“政采云”平台进行下载），并按照本项目招标文件和“政采云”平台的要求编制、加密后在投标截止时间前通过网络上传至 “政采云”平台（加密的电子投标文件是指后缀名为“jmbs”的文件），投标人在“政采云”平台提交电子投标文件时，请填写参加远程开标活动经办人联系方式。投标人登录“政采云”平台，依次进入“服务中心-项目采购-操作流程-电子招投标-政府采购项目电子交易管理操作指南-供应商”查看电子投标具体操作流程。</w:t>
      </w:r>
      <w:r>
        <w:rPr>
          <w:rFonts w:hint="eastAsia" w:ascii="宋体" w:hAnsi="宋体" w:eastAsia="宋体" w:cs="宋体"/>
          <w:i w:val="0"/>
          <w:iCs w:val="0"/>
          <w:caps w:val="0"/>
          <w:color w:val="auto"/>
          <w:spacing w:val="0"/>
          <w:sz w:val="21"/>
          <w:szCs w:val="21"/>
          <w:highlight w:val="none"/>
        </w:rPr>
        <w:br w:type="textWrapping"/>
      </w:r>
      <w:r>
        <w:rPr>
          <w:rFonts w:hint="eastAsia" w:ascii="宋体" w:hAnsi="宋体" w:eastAsia="宋体" w:cs="宋体"/>
          <w:i w:val="0"/>
          <w:iCs w:val="0"/>
          <w:caps w:val="0"/>
          <w:color w:val="auto"/>
          <w:spacing w:val="0"/>
          <w:sz w:val="21"/>
          <w:szCs w:val="21"/>
          <w:highlight w:val="none"/>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陆“政采云”平台，依次进入“服务中心-入驻与配置”中查看CA数字证书办理操作流程。如在操作过程中遇到问题或者需要技术支持，请致电政采云客服热线：95763）。</w:t>
      </w:r>
      <w:r>
        <w:rPr>
          <w:rFonts w:hint="eastAsia" w:ascii="宋体" w:hAnsi="宋体" w:eastAsia="宋体" w:cs="宋体"/>
          <w:i w:val="0"/>
          <w:iCs w:val="0"/>
          <w:caps w:val="0"/>
          <w:color w:val="auto"/>
          <w:spacing w:val="0"/>
          <w:sz w:val="21"/>
          <w:szCs w:val="21"/>
          <w:highlight w:val="none"/>
        </w:rPr>
        <w:br w:type="textWrapping"/>
      </w:r>
      <w:r>
        <w:rPr>
          <w:rFonts w:hint="eastAsia" w:ascii="宋体" w:hAnsi="宋体" w:eastAsia="宋体" w:cs="宋体"/>
          <w:i w:val="0"/>
          <w:iCs w:val="0"/>
          <w:caps w:val="0"/>
          <w:color w:val="auto"/>
          <w:spacing w:val="0"/>
          <w:sz w:val="21"/>
          <w:szCs w:val="21"/>
          <w:highlight w:val="none"/>
        </w:rPr>
        <w:t>（3）CA证书在线解密：投标人投标时，需凭制作投标文件时用来加密的有效数字证书（CA认证）登录“政采云”平台电子开标大厅现场按规定时间对加密的投标文件进行解密，否则后果自负。</w:t>
      </w:r>
      <w:r>
        <w:rPr>
          <w:rFonts w:hint="eastAsia" w:ascii="宋体" w:hAnsi="宋体" w:eastAsia="宋体" w:cs="宋体"/>
          <w:i w:val="0"/>
          <w:iCs w:val="0"/>
          <w:caps w:val="0"/>
          <w:color w:val="auto"/>
          <w:spacing w:val="0"/>
          <w:sz w:val="21"/>
          <w:szCs w:val="21"/>
          <w:highlight w:val="none"/>
        </w:rPr>
        <w:br w:type="textWrapping"/>
      </w:r>
      <w:r>
        <w:rPr>
          <w:rFonts w:hint="eastAsia" w:ascii="宋体" w:hAnsi="宋体" w:eastAsia="宋体" w:cs="宋体"/>
          <w:i w:val="0"/>
          <w:iCs w:val="0"/>
          <w:caps w:val="0"/>
          <w:color w:val="auto"/>
          <w:spacing w:val="0"/>
          <w:sz w:val="21"/>
          <w:szCs w:val="21"/>
          <w:highlight w:val="none"/>
        </w:rPr>
        <w:t>注：1）为确保网上操作合法、有效和安全，请投标人确保在电子投标过程中能够对相关数据电文进行加密和使用电子签章，妥善保管CA数字证书并使用有效的CA数字证书参与整个招标活动。2）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政采云”平台将予以拒收。</w:t>
      </w:r>
      <w:r>
        <w:rPr>
          <w:rFonts w:hint="eastAsia" w:ascii="宋体" w:hAnsi="宋体" w:eastAsia="宋体" w:cs="宋体"/>
          <w:i w:val="0"/>
          <w:iCs w:val="0"/>
          <w:caps w:val="0"/>
          <w:color w:val="auto"/>
          <w:spacing w:val="0"/>
          <w:sz w:val="21"/>
          <w:szCs w:val="21"/>
          <w:highlight w:val="none"/>
        </w:rPr>
        <w:br w:type="textWrapping"/>
      </w:r>
      <w:r>
        <w:rPr>
          <w:rFonts w:hint="eastAsia" w:ascii="宋体" w:hAnsi="宋体" w:eastAsia="宋体" w:cs="宋体"/>
          <w:i w:val="0"/>
          <w:iCs w:val="0"/>
          <w:caps w:val="0"/>
          <w:color w:val="auto"/>
          <w:spacing w:val="0"/>
          <w:sz w:val="21"/>
          <w:szCs w:val="21"/>
          <w:highlight w:val="none"/>
        </w:rPr>
        <w:t>5.为加大政府采购支持中小企业力度，帮助政府采购中标供应商解决融资难、融资贵的问题，进一步做好线上“政采贷”融资业务工作，如供应商有需要的，详见供应商须知正文后附件：《崇左市线上“政采贷”政策告知函》、《崇左市线上“政采贷”业务流程图》、《崇左市金融机构线上“政采贷”业务办理联络表》。</w:t>
      </w:r>
      <w:r>
        <w:rPr>
          <w:rFonts w:hint="eastAsia" w:ascii="宋体" w:hAnsi="宋体" w:eastAsia="宋体" w:cs="宋体"/>
          <w:i w:val="0"/>
          <w:iCs w:val="0"/>
          <w:caps w:val="0"/>
          <w:color w:val="auto"/>
          <w:spacing w:val="0"/>
          <w:sz w:val="21"/>
          <w:szCs w:val="21"/>
          <w:highlight w:val="none"/>
        </w:rPr>
        <w:br w:type="textWrapping"/>
      </w:r>
      <w:r>
        <w:rPr>
          <w:rFonts w:hint="eastAsia" w:ascii="宋体" w:hAnsi="宋体" w:eastAsia="宋体" w:cs="宋体"/>
          <w:i w:val="0"/>
          <w:iCs w:val="0"/>
          <w:caps w:val="0"/>
          <w:color w:val="auto"/>
          <w:spacing w:val="0"/>
          <w:sz w:val="21"/>
          <w:szCs w:val="21"/>
          <w:highlight w:val="none"/>
        </w:rPr>
        <w:t>6.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0B53754">
      <w:pPr>
        <w:spacing w:line="360" w:lineRule="auto"/>
        <w:ind w:left="538" w:leftChars="256" w:firstLine="0" w:firstLineChars="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lang w:val="en-US" w:eastAsia="zh-CN"/>
        </w:rPr>
        <w:t>7.</w:t>
      </w:r>
      <w:r>
        <w:rPr>
          <w:rFonts w:hint="eastAsia" w:ascii="宋体" w:hAnsi="宋体" w:eastAsia="宋体" w:cs="宋体"/>
          <w:i w:val="0"/>
          <w:iCs w:val="0"/>
          <w:caps w:val="0"/>
          <w:color w:val="auto"/>
          <w:spacing w:val="0"/>
          <w:sz w:val="21"/>
          <w:szCs w:val="21"/>
          <w:highlight w:val="none"/>
        </w:rPr>
        <w:t>本项目实行中标后线上合同签订方式，请各供应商提前办好企业CA数字证书和企业法人证书，具体办理方式详见政采云ca办理模块。</w:t>
      </w:r>
    </w:p>
    <w:p w14:paraId="586EB639">
      <w:pPr>
        <w:spacing w:line="360" w:lineRule="auto"/>
        <w:ind w:left="538" w:leftChars="256" w:firstLine="0" w:firstLineChars="0"/>
        <w:rPr>
          <w:rFonts w:hint="eastAsia"/>
          <w:color w:val="auto"/>
          <w:highlight w:val="none"/>
        </w:rPr>
      </w:pPr>
      <w:r>
        <w:rPr>
          <w:rFonts w:hint="eastAsia" w:ascii="宋体" w:hAnsi="宋体" w:eastAsia="宋体" w:cs="宋体"/>
          <w:i w:val="0"/>
          <w:iCs w:val="0"/>
          <w:caps w:val="0"/>
          <w:color w:val="auto"/>
          <w:spacing w:val="0"/>
          <w:sz w:val="21"/>
          <w:szCs w:val="21"/>
          <w:highlight w:val="none"/>
          <w:lang w:val="en-US" w:eastAsia="zh-CN"/>
        </w:rPr>
        <w:t>8.项目</w:t>
      </w:r>
      <w:r>
        <w:rPr>
          <w:rFonts w:hint="eastAsia" w:ascii="宋体" w:hAnsi="宋体" w:eastAsia="宋体" w:cs="宋体"/>
          <w:i w:val="0"/>
          <w:iCs w:val="0"/>
          <w:caps w:val="0"/>
          <w:color w:val="auto"/>
          <w:spacing w:val="0"/>
          <w:sz w:val="21"/>
          <w:szCs w:val="21"/>
          <w:highlight w:val="none"/>
        </w:rPr>
        <w:t>实行全程电子投标且采用</w:t>
      </w:r>
      <w:r>
        <w:rPr>
          <w:rFonts w:hint="eastAsia" w:ascii="宋体" w:hAnsi="宋体" w:eastAsia="宋体" w:cs="宋体"/>
          <w:b/>
          <w:bCs/>
          <w:i w:val="0"/>
          <w:iCs w:val="0"/>
          <w:caps w:val="0"/>
          <w:color w:val="auto"/>
          <w:spacing w:val="0"/>
          <w:sz w:val="21"/>
          <w:szCs w:val="21"/>
          <w:highlight w:val="none"/>
        </w:rPr>
        <w:t>远程异地评标，</w:t>
      </w:r>
      <w:r>
        <w:rPr>
          <w:rFonts w:hint="eastAsia" w:ascii="宋体" w:hAnsi="宋体" w:eastAsia="宋体" w:cs="宋体"/>
          <w:color w:val="auto"/>
          <w:kern w:val="0"/>
          <w:sz w:val="21"/>
          <w:szCs w:val="21"/>
          <w:highlight w:val="none"/>
          <w:lang w:val="en-US" w:eastAsia="zh-CN" w:bidi="ar-SA"/>
        </w:rPr>
        <w:t>评标主会场地址：崇左市公共资源交易中心五层评标区（崇左市江州区石景林路）；评标分会场地址：南宁市青秀区茶花园路6-1号南湖翠苑9层0928号开标室，0771-5725583。</w:t>
      </w:r>
      <w:r>
        <w:rPr>
          <w:rFonts w:hint="eastAsia" w:ascii="宋体" w:hAnsi="宋体" w:eastAsia="宋体" w:cs="宋体"/>
          <w:i w:val="0"/>
          <w:iCs w:val="0"/>
          <w:caps w:val="0"/>
          <w:color w:val="auto"/>
          <w:spacing w:val="0"/>
          <w:sz w:val="21"/>
          <w:szCs w:val="21"/>
          <w:highlight w:val="none"/>
        </w:rPr>
        <w:t> </w:t>
      </w:r>
    </w:p>
    <w:p w14:paraId="59536A0F">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八、凡对本次采购提出询问，请按以下方式联系。</w:t>
      </w:r>
    </w:p>
    <w:p w14:paraId="2F79E8C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1.采购人信息</w:t>
      </w:r>
    </w:p>
    <w:p w14:paraId="61F5C671">
      <w:pPr>
        <w:spacing w:line="360" w:lineRule="auto"/>
        <w:ind w:firstLine="420" w:firstLineChars="200"/>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rPr>
        <w:t>名称：</w:t>
      </w:r>
      <w:r>
        <w:rPr>
          <w:rFonts w:hint="eastAsia" w:ascii="宋体" w:hAnsi="宋体" w:cs="宋体"/>
          <w:color w:val="auto"/>
          <w:sz w:val="21"/>
          <w:szCs w:val="21"/>
          <w:highlight w:val="none"/>
          <w:lang w:eastAsia="zh-CN"/>
        </w:rPr>
        <w:t>龙州县教育局</w:t>
      </w:r>
    </w:p>
    <w:p w14:paraId="56FD713A">
      <w:pPr>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地址：</w:t>
      </w:r>
      <w:r>
        <w:rPr>
          <w:rFonts w:hint="eastAsia" w:ascii="宋体" w:hAnsi="宋体" w:cs="宋体"/>
          <w:color w:val="auto"/>
          <w:sz w:val="21"/>
          <w:szCs w:val="21"/>
          <w:highlight w:val="none"/>
          <w:lang w:val="en-US" w:eastAsia="zh-CN"/>
        </w:rPr>
        <w:t>龙州龙州镇城北路34号</w:t>
      </w:r>
    </w:p>
    <w:p w14:paraId="0D0331C0">
      <w:pPr>
        <w:spacing w:line="360" w:lineRule="auto"/>
        <w:ind w:firstLine="420" w:firstLineChars="200"/>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联系方式：</w:t>
      </w:r>
      <w:r>
        <w:rPr>
          <w:rFonts w:hint="eastAsia" w:ascii="宋体" w:hAnsi="宋体" w:cs="宋体"/>
          <w:color w:val="auto"/>
          <w:sz w:val="21"/>
          <w:szCs w:val="21"/>
          <w:highlight w:val="none"/>
          <w:lang w:val="en-US" w:eastAsia="zh-CN"/>
        </w:rPr>
        <w:t>欧主任  0771-8815910</w:t>
      </w:r>
    </w:p>
    <w:p w14:paraId="310C4E1B">
      <w:pPr>
        <w:spacing w:line="360" w:lineRule="auto"/>
        <w:ind w:firstLine="420" w:firstLineChars="200"/>
        <w:rPr>
          <w:rFonts w:ascii="宋体" w:hAnsi="宋体" w:cs="宋体"/>
          <w:color w:val="auto"/>
          <w:kern w:val="0"/>
          <w:szCs w:val="21"/>
        </w:rPr>
      </w:pPr>
      <w:r>
        <w:rPr>
          <w:rFonts w:ascii="宋体" w:hAnsi="宋体" w:cs="宋体"/>
          <w:color w:val="auto"/>
          <w:kern w:val="0"/>
          <w:szCs w:val="21"/>
        </w:rPr>
        <w:t>2.</w:t>
      </w:r>
      <w:r>
        <w:rPr>
          <w:rFonts w:hint="eastAsia" w:ascii="宋体" w:hAnsi="宋体" w:cs="宋体"/>
          <w:color w:val="auto"/>
          <w:kern w:val="0"/>
          <w:szCs w:val="21"/>
        </w:rPr>
        <w:t>采购代理机构信息</w:t>
      </w:r>
    </w:p>
    <w:p w14:paraId="4A230900">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名称：广西</w:t>
      </w:r>
      <w:r>
        <w:rPr>
          <w:rFonts w:hint="eastAsia" w:ascii="宋体" w:hAnsi="宋体" w:eastAsia="宋体" w:cs="宋体"/>
          <w:color w:val="auto"/>
          <w:kern w:val="0"/>
          <w:szCs w:val="21"/>
          <w:lang w:val="en-US" w:eastAsia="zh-CN"/>
        </w:rPr>
        <w:t>鑫磐工程项目管理</w:t>
      </w:r>
      <w:r>
        <w:rPr>
          <w:rFonts w:hint="eastAsia" w:ascii="宋体" w:hAnsi="宋体" w:eastAsia="宋体" w:cs="宋体"/>
          <w:color w:val="auto"/>
          <w:kern w:val="0"/>
          <w:szCs w:val="21"/>
        </w:rPr>
        <w:t>有限</w:t>
      </w:r>
      <w:r>
        <w:rPr>
          <w:rFonts w:hint="eastAsia" w:ascii="宋体" w:hAnsi="宋体" w:eastAsia="宋体" w:cs="宋体"/>
          <w:color w:val="auto"/>
          <w:kern w:val="0"/>
          <w:szCs w:val="21"/>
          <w:lang w:val="en-US" w:eastAsia="zh-CN"/>
        </w:rPr>
        <w:t>责任</w:t>
      </w:r>
      <w:r>
        <w:rPr>
          <w:rFonts w:hint="eastAsia" w:ascii="宋体" w:hAnsi="宋体" w:eastAsia="宋体" w:cs="宋体"/>
          <w:color w:val="auto"/>
          <w:kern w:val="0"/>
          <w:szCs w:val="21"/>
        </w:rPr>
        <w:t>公司</w:t>
      </w:r>
    </w:p>
    <w:p w14:paraId="26ED800F">
      <w:pPr>
        <w:spacing w:line="360" w:lineRule="auto"/>
        <w:ind w:firstLine="420" w:firstLineChars="200"/>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rPr>
        <w:t>地址：南</w:t>
      </w:r>
      <w:r>
        <w:rPr>
          <w:rFonts w:hint="eastAsia" w:ascii="宋体" w:hAnsi="宋体" w:eastAsia="宋体" w:cs="宋体"/>
          <w:color w:val="auto"/>
          <w:kern w:val="0"/>
          <w:szCs w:val="21"/>
          <w:lang w:val="en-US" w:eastAsia="zh-CN"/>
        </w:rPr>
        <w:t>宁市朝阳路76号维也纳酒店副楼b725室</w:t>
      </w:r>
    </w:p>
    <w:p w14:paraId="47F14F0B">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3.项目联系方式</w:t>
      </w:r>
    </w:p>
    <w:p w14:paraId="094AFF27">
      <w:pPr>
        <w:spacing w:line="360" w:lineRule="auto"/>
        <w:ind w:firstLine="420" w:firstLineChars="200"/>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rPr>
        <w:t>项目联系人：张工</w:t>
      </w:r>
      <w:r>
        <w:rPr>
          <w:rFonts w:hint="eastAsia" w:ascii="宋体" w:hAnsi="宋体" w:eastAsia="宋体" w:cs="宋体"/>
          <w:color w:val="auto"/>
          <w:kern w:val="0"/>
          <w:szCs w:val="21"/>
          <w:lang w:val="en-US" w:eastAsia="zh-CN"/>
        </w:rPr>
        <w:t xml:space="preserve">    </w:t>
      </w:r>
      <w:r>
        <w:rPr>
          <w:rFonts w:hint="eastAsia" w:ascii="宋体" w:hAnsi="宋体" w:eastAsia="宋体" w:cs="宋体"/>
          <w:color w:val="auto"/>
          <w:kern w:val="0"/>
          <w:szCs w:val="21"/>
        </w:rPr>
        <w:t>电话：15977674154</w:t>
      </w:r>
      <w:r>
        <w:rPr>
          <w:rFonts w:hint="eastAsia" w:ascii="宋体" w:hAnsi="宋体" w:eastAsia="宋体" w:cs="宋体"/>
          <w:color w:val="auto"/>
          <w:kern w:val="0"/>
          <w:szCs w:val="21"/>
          <w:lang w:val="en-US" w:eastAsia="zh-CN"/>
        </w:rPr>
        <w:t xml:space="preserve">     </w:t>
      </w:r>
      <w:r>
        <w:rPr>
          <w:rFonts w:hint="eastAsia" w:ascii="宋体" w:hAnsi="宋体" w:eastAsia="宋体" w:cs="宋体"/>
          <w:color w:val="auto"/>
          <w:kern w:val="0"/>
          <w:szCs w:val="21"/>
        </w:rPr>
        <w:t>0771-</w:t>
      </w:r>
      <w:r>
        <w:rPr>
          <w:rFonts w:hint="eastAsia" w:ascii="宋体" w:hAnsi="宋体" w:eastAsia="宋体" w:cs="宋体"/>
          <w:color w:val="auto"/>
          <w:kern w:val="0"/>
          <w:szCs w:val="21"/>
          <w:lang w:val="en-US" w:eastAsia="zh-CN"/>
        </w:rPr>
        <w:t xml:space="preserve">2507590 </w:t>
      </w:r>
    </w:p>
    <w:p w14:paraId="3FB5B48F">
      <w:pPr>
        <w:spacing w:line="360" w:lineRule="auto"/>
        <w:ind w:firstLine="420" w:firstLineChars="200"/>
        <w:jc w:val="right"/>
        <w:rPr>
          <w:rFonts w:ascii="宋体" w:hAnsi="宋体" w:cs="宋体"/>
          <w:color w:val="auto"/>
          <w:szCs w:val="21"/>
        </w:rPr>
      </w:pPr>
    </w:p>
    <w:p w14:paraId="3CA056B8">
      <w:pPr>
        <w:spacing w:line="360" w:lineRule="auto"/>
        <w:jc w:val="right"/>
        <w:rPr>
          <w:rFonts w:hint="eastAsia" w:ascii="宋体" w:hAnsi="宋体" w:cs="宋体"/>
          <w:color w:val="auto"/>
          <w:szCs w:val="21"/>
          <w:lang w:eastAsia="zh-CN"/>
        </w:rPr>
      </w:pPr>
      <w:r>
        <w:rPr>
          <w:rFonts w:hint="eastAsia" w:ascii="宋体" w:hAnsi="宋体" w:cs="宋体"/>
          <w:color w:val="auto"/>
          <w:szCs w:val="21"/>
          <w:lang w:eastAsia="zh-CN"/>
        </w:rPr>
        <w:t>广西鑫磐工程项目管理有限责任公司</w:t>
      </w:r>
    </w:p>
    <w:p w14:paraId="1D3965CC">
      <w:pPr>
        <w:spacing w:line="440" w:lineRule="exact"/>
        <w:jc w:val="right"/>
        <w:rPr>
          <w:rFonts w:hint="eastAsia" w:ascii="宋体" w:hAnsi="宋体"/>
          <w:color w:val="auto"/>
          <w:szCs w:val="21"/>
        </w:rPr>
      </w:pPr>
      <w:r>
        <w:rPr>
          <w:rFonts w:ascii="宋体" w:hAnsi="宋体" w:cs="宋体"/>
          <w:color w:val="auto"/>
          <w:szCs w:val="21"/>
        </w:rPr>
        <w:t>202</w:t>
      </w:r>
      <w:r>
        <w:rPr>
          <w:rFonts w:hint="eastAsia" w:ascii="宋体" w:hAnsi="宋体" w:cs="宋体"/>
          <w:color w:val="auto"/>
          <w:szCs w:val="21"/>
          <w:lang w:val="en-US" w:eastAsia="zh-CN"/>
        </w:rPr>
        <w:t>6</w:t>
      </w:r>
      <w:r>
        <w:rPr>
          <w:rFonts w:hint="eastAsia" w:ascii="宋体" w:hAnsi="宋体" w:cs="宋体"/>
          <w:color w:val="auto"/>
          <w:szCs w:val="21"/>
        </w:rPr>
        <w:t>年</w:t>
      </w:r>
      <w:r>
        <w:rPr>
          <w:rFonts w:hint="eastAsia" w:ascii="宋体" w:hAnsi="宋体" w:cs="宋体"/>
          <w:color w:val="auto"/>
          <w:szCs w:val="21"/>
          <w:lang w:val="en-US" w:eastAsia="zh-CN"/>
        </w:rPr>
        <w:t>06</w:t>
      </w:r>
      <w:r>
        <w:rPr>
          <w:rFonts w:hint="eastAsia" w:ascii="宋体" w:hAnsi="宋体" w:cs="宋体"/>
          <w:color w:val="auto"/>
          <w:szCs w:val="21"/>
        </w:rPr>
        <w:t>月</w:t>
      </w:r>
      <w:r>
        <w:rPr>
          <w:rFonts w:hint="eastAsia" w:ascii="宋体" w:hAnsi="宋体" w:cs="宋体"/>
          <w:color w:val="auto"/>
          <w:szCs w:val="21"/>
          <w:lang w:val="en-US" w:eastAsia="zh-CN"/>
        </w:rPr>
        <w:t>18</w:t>
      </w:r>
      <w:r>
        <w:rPr>
          <w:rFonts w:hint="eastAsia" w:ascii="宋体" w:hAnsi="宋体" w:cs="宋体"/>
          <w:color w:val="auto"/>
          <w:szCs w:val="21"/>
        </w:rPr>
        <w:t>日</w:t>
      </w:r>
      <w:r>
        <w:rPr>
          <w:rFonts w:hint="eastAsia" w:ascii="宋体" w:hAnsi="宋体"/>
          <w:color w:val="auto"/>
          <w:szCs w:val="21"/>
        </w:rPr>
        <w:t xml:space="preserve"> </w:t>
      </w:r>
      <w:bookmarkStart w:id="6" w:name="_Toc29992"/>
    </w:p>
    <w:p w14:paraId="67AA6EBC">
      <w:pPr>
        <w:spacing w:line="440" w:lineRule="exact"/>
        <w:jc w:val="right"/>
        <w:rPr>
          <w:rFonts w:hint="eastAsia" w:ascii="宋体" w:hAnsi="宋体"/>
          <w:color w:val="auto"/>
          <w:szCs w:val="21"/>
        </w:rPr>
      </w:pPr>
    </w:p>
    <w:p w14:paraId="58B97064">
      <w:pPr>
        <w:spacing w:line="440" w:lineRule="exact"/>
        <w:jc w:val="right"/>
        <w:rPr>
          <w:rFonts w:hint="eastAsia" w:ascii="宋体" w:hAnsi="宋体"/>
          <w:color w:val="auto"/>
          <w:szCs w:val="21"/>
        </w:rPr>
      </w:pPr>
    </w:p>
    <w:p w14:paraId="3F8262E9">
      <w:pPr>
        <w:spacing w:line="440" w:lineRule="exact"/>
        <w:jc w:val="right"/>
        <w:rPr>
          <w:rFonts w:hint="eastAsia" w:ascii="宋体" w:hAnsi="宋体"/>
          <w:color w:val="auto"/>
          <w:szCs w:val="21"/>
        </w:rPr>
      </w:pPr>
    </w:p>
    <w:p w14:paraId="2E734899">
      <w:pPr>
        <w:rPr>
          <w:rFonts w:hint="eastAsia" w:ascii="宋体" w:hAnsi="宋体" w:eastAsia="宋体"/>
          <w:color w:val="auto"/>
          <w:sz w:val="36"/>
          <w:szCs w:val="36"/>
          <w:highlight w:val="none"/>
        </w:rPr>
      </w:pPr>
      <w:r>
        <w:rPr>
          <w:rFonts w:hint="eastAsia" w:ascii="宋体" w:hAnsi="宋体" w:eastAsia="宋体"/>
          <w:color w:val="auto"/>
          <w:sz w:val="36"/>
          <w:szCs w:val="36"/>
          <w:highlight w:val="none"/>
        </w:rPr>
        <w:br w:type="page"/>
      </w:r>
    </w:p>
    <w:p w14:paraId="63A15CCC">
      <w:pPr>
        <w:spacing w:line="440" w:lineRule="exact"/>
        <w:jc w:val="center"/>
        <w:rPr>
          <w:rFonts w:ascii="宋体" w:hAnsi="宋体" w:eastAsia="宋体"/>
          <w:color w:val="auto"/>
          <w:sz w:val="36"/>
          <w:szCs w:val="36"/>
          <w:highlight w:val="none"/>
        </w:rPr>
      </w:pPr>
      <w:r>
        <w:rPr>
          <w:rFonts w:hint="eastAsia" w:ascii="宋体" w:hAnsi="宋体" w:eastAsia="宋体"/>
          <w:color w:val="auto"/>
          <w:sz w:val="36"/>
          <w:szCs w:val="36"/>
          <w:highlight w:val="none"/>
        </w:rPr>
        <w:t>第二章  供应商须知及前附表</w:t>
      </w:r>
      <w:bookmarkEnd w:id="6"/>
    </w:p>
    <w:p w14:paraId="7960F38A">
      <w:pPr>
        <w:bidi w:val="0"/>
        <w:jc w:val="center"/>
        <w:rPr>
          <w:color w:val="auto"/>
          <w:sz w:val="36"/>
          <w:szCs w:val="36"/>
          <w:highlight w:val="none"/>
        </w:rPr>
      </w:pPr>
      <w:bookmarkStart w:id="7" w:name="_Toc18682802"/>
      <w:bookmarkStart w:id="8" w:name="_Toc18682862"/>
      <w:bookmarkStart w:id="9" w:name="_Toc80818614"/>
      <w:r>
        <w:rPr>
          <w:rFonts w:hint="eastAsia"/>
          <w:color w:val="auto"/>
          <w:sz w:val="36"/>
          <w:szCs w:val="36"/>
          <w:highlight w:val="none"/>
        </w:rPr>
        <w:t>前附表</w:t>
      </w:r>
      <w:bookmarkEnd w:id="7"/>
      <w:bookmarkEnd w:id="8"/>
      <w:bookmarkEnd w:id="9"/>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1682"/>
        <w:gridCol w:w="6965"/>
      </w:tblGrid>
      <w:tr w14:paraId="45B7F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518" w:type="dxa"/>
            <w:vAlign w:val="center"/>
          </w:tcPr>
          <w:p w14:paraId="69CC312D">
            <w:pPr>
              <w:spacing w:line="440" w:lineRule="exact"/>
              <w:jc w:val="center"/>
              <w:rPr>
                <w:rFonts w:ascii="宋体" w:hAnsi="宋体" w:cs="Courier New"/>
                <w:b/>
                <w:color w:val="auto"/>
                <w:spacing w:val="2"/>
                <w:szCs w:val="21"/>
                <w:highlight w:val="none"/>
              </w:rPr>
            </w:pPr>
            <w:bookmarkStart w:id="10" w:name="_Hlk87630531"/>
            <w:r>
              <w:rPr>
                <w:rFonts w:hint="eastAsia" w:ascii="宋体" w:hAnsi="宋体" w:cs="Courier New"/>
                <w:b/>
                <w:color w:val="auto"/>
                <w:spacing w:val="2"/>
                <w:szCs w:val="21"/>
                <w:highlight w:val="none"/>
              </w:rPr>
              <w:t>项号</w:t>
            </w:r>
          </w:p>
        </w:tc>
        <w:tc>
          <w:tcPr>
            <w:tcW w:w="1682" w:type="dxa"/>
            <w:vAlign w:val="center"/>
          </w:tcPr>
          <w:p w14:paraId="21D7C317">
            <w:pPr>
              <w:spacing w:line="440" w:lineRule="exact"/>
              <w:jc w:val="center"/>
              <w:rPr>
                <w:rFonts w:ascii="宋体" w:hAnsi="宋体" w:cs="Courier New"/>
                <w:b/>
                <w:color w:val="auto"/>
                <w:spacing w:val="2"/>
                <w:szCs w:val="21"/>
                <w:highlight w:val="none"/>
              </w:rPr>
            </w:pPr>
            <w:r>
              <w:rPr>
                <w:rFonts w:hint="eastAsia" w:ascii="宋体" w:hAnsi="宋体" w:cs="Courier New"/>
                <w:b/>
                <w:color w:val="auto"/>
                <w:spacing w:val="2"/>
                <w:szCs w:val="21"/>
                <w:highlight w:val="none"/>
              </w:rPr>
              <w:t>内容</w:t>
            </w:r>
          </w:p>
        </w:tc>
        <w:tc>
          <w:tcPr>
            <w:tcW w:w="6965" w:type="dxa"/>
            <w:vAlign w:val="center"/>
          </w:tcPr>
          <w:p w14:paraId="54607079">
            <w:pPr>
              <w:spacing w:line="440" w:lineRule="exact"/>
              <w:jc w:val="center"/>
              <w:rPr>
                <w:rFonts w:ascii="宋体" w:hAnsi="宋体" w:cs="Courier New"/>
                <w:b/>
                <w:color w:val="auto"/>
                <w:spacing w:val="2"/>
                <w:szCs w:val="21"/>
                <w:highlight w:val="none"/>
              </w:rPr>
            </w:pPr>
            <w:r>
              <w:rPr>
                <w:rFonts w:hint="eastAsia" w:ascii="宋体" w:hAnsi="宋体" w:cs="Courier New"/>
                <w:b/>
                <w:color w:val="auto"/>
                <w:spacing w:val="2"/>
                <w:szCs w:val="21"/>
                <w:highlight w:val="none"/>
              </w:rPr>
              <w:t>说明与要求</w:t>
            </w:r>
          </w:p>
        </w:tc>
      </w:tr>
      <w:tr w14:paraId="43D67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18" w:type="dxa"/>
            <w:vAlign w:val="center"/>
          </w:tcPr>
          <w:p w14:paraId="4BBC53C5">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1</w:t>
            </w:r>
          </w:p>
        </w:tc>
        <w:tc>
          <w:tcPr>
            <w:tcW w:w="1682" w:type="dxa"/>
            <w:vAlign w:val="center"/>
          </w:tcPr>
          <w:p w14:paraId="5F06C2B5">
            <w:pPr>
              <w:spacing w:line="440" w:lineRule="exact"/>
              <w:jc w:val="center"/>
              <w:rPr>
                <w:rFonts w:ascii="宋体" w:hAnsi="宋体"/>
                <w:color w:val="auto"/>
                <w:szCs w:val="21"/>
                <w:highlight w:val="none"/>
              </w:rPr>
            </w:pPr>
            <w:r>
              <w:rPr>
                <w:rFonts w:hint="eastAsia" w:ascii="宋体" w:hAnsi="宋体"/>
                <w:color w:val="auto"/>
                <w:szCs w:val="21"/>
                <w:highlight w:val="none"/>
              </w:rPr>
              <w:t>采购项目名称及编号</w:t>
            </w:r>
          </w:p>
        </w:tc>
        <w:tc>
          <w:tcPr>
            <w:tcW w:w="6965" w:type="dxa"/>
          </w:tcPr>
          <w:p w14:paraId="35126338">
            <w:pPr>
              <w:spacing w:line="440" w:lineRule="exact"/>
              <w:jc w:val="left"/>
              <w:rPr>
                <w:rFonts w:hint="eastAsia" w:ascii="Times New Roman" w:hAnsi="宋体" w:eastAsia="宋体" w:cs="Times New Roman"/>
                <w:b/>
                <w:color w:val="auto"/>
                <w:sz w:val="21"/>
                <w:szCs w:val="21"/>
                <w:highlight w:val="none"/>
                <w:lang w:val="en-US" w:eastAsia="zh-CN"/>
              </w:rPr>
            </w:pPr>
            <w:r>
              <w:rPr>
                <w:rFonts w:hint="eastAsia" w:ascii="Times New Roman" w:hAnsi="宋体" w:eastAsia="宋体" w:cs="Times New Roman"/>
                <w:b/>
                <w:color w:val="auto"/>
                <w:sz w:val="21"/>
                <w:szCs w:val="21"/>
                <w:highlight w:val="none"/>
                <w:lang w:val="en-US" w:eastAsia="zh-CN"/>
              </w:rPr>
              <w:t>采购项目名称：</w:t>
            </w:r>
            <w:r>
              <w:rPr>
                <w:rFonts w:hint="eastAsia" w:cs="宋体"/>
                <w:color w:val="auto"/>
                <w:sz w:val="21"/>
                <w:szCs w:val="21"/>
                <w:highlight w:val="none"/>
                <w:lang w:val="zh-CN" w:eastAsia="zh-CN" w:bidi="zh-CN"/>
              </w:rPr>
              <w:t>龙州县龙津初级中学校舍维修改造工程（二期）</w:t>
            </w:r>
          </w:p>
          <w:p w14:paraId="5305DF47">
            <w:pPr>
              <w:spacing w:line="440" w:lineRule="exact"/>
              <w:jc w:val="left"/>
              <w:rPr>
                <w:rFonts w:hint="default" w:ascii="宋体" w:hAnsi="宋体"/>
                <w:color w:val="auto"/>
                <w:szCs w:val="21"/>
                <w:highlight w:val="none"/>
                <w:lang w:val="en-US"/>
              </w:rPr>
            </w:pPr>
            <w:r>
              <w:rPr>
                <w:rFonts w:hint="eastAsia" w:ascii="Times New Roman" w:hAnsi="宋体" w:eastAsia="宋体" w:cs="Times New Roman"/>
                <w:b/>
                <w:color w:val="auto"/>
                <w:sz w:val="21"/>
                <w:szCs w:val="21"/>
                <w:highlight w:val="none"/>
                <w:lang w:val="en-US" w:eastAsia="zh-CN"/>
              </w:rPr>
              <w:t>项目编号</w:t>
            </w:r>
            <w:r>
              <w:rPr>
                <w:rFonts w:hint="eastAsia" w:ascii="Times New Roman" w:hAnsi="宋体" w:eastAsia="宋体" w:cs="Times New Roman"/>
                <w:b w:val="0"/>
                <w:bCs/>
                <w:color w:val="auto"/>
                <w:sz w:val="21"/>
                <w:szCs w:val="21"/>
                <w:highlight w:val="none"/>
                <w:lang w:val="en-US" w:eastAsia="zh-CN"/>
              </w:rPr>
              <w:t>：CZZC2026-C2-230047-GXXP</w:t>
            </w:r>
            <w:bookmarkStart w:id="250" w:name="_GoBack"/>
            <w:bookmarkEnd w:id="250"/>
          </w:p>
        </w:tc>
      </w:tr>
      <w:tr w14:paraId="1EDBE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518" w:type="dxa"/>
            <w:vAlign w:val="center"/>
          </w:tcPr>
          <w:p w14:paraId="64966414">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2</w:t>
            </w:r>
          </w:p>
        </w:tc>
        <w:tc>
          <w:tcPr>
            <w:tcW w:w="1682" w:type="dxa"/>
            <w:vAlign w:val="center"/>
          </w:tcPr>
          <w:p w14:paraId="6BD6D69C">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建设地点</w:t>
            </w:r>
          </w:p>
        </w:tc>
        <w:tc>
          <w:tcPr>
            <w:tcW w:w="6965" w:type="dxa"/>
            <w:vAlign w:val="center"/>
          </w:tcPr>
          <w:p w14:paraId="12280297">
            <w:pPr>
              <w:wordWrap w:val="0"/>
              <w:spacing w:line="240" w:lineRule="auto"/>
              <w:jc w:val="left"/>
              <w:rPr>
                <w:rFonts w:hint="default" w:cs="宋体"/>
                <w:color w:val="auto"/>
                <w:sz w:val="21"/>
                <w:szCs w:val="21"/>
                <w:highlight w:val="none"/>
                <w:lang w:val="en-US" w:eastAsia="zh-CN" w:bidi="zh-CN"/>
              </w:rPr>
            </w:pPr>
            <w:r>
              <w:rPr>
                <w:rFonts w:hint="eastAsia" w:cs="宋体"/>
                <w:color w:val="auto"/>
                <w:sz w:val="21"/>
                <w:szCs w:val="21"/>
                <w:highlight w:val="none"/>
                <w:lang w:val="en-US" w:eastAsia="zh-CN" w:bidi="zh-CN"/>
              </w:rPr>
              <w:t>龙州县</w:t>
            </w:r>
          </w:p>
        </w:tc>
      </w:tr>
      <w:tr w14:paraId="77C4B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8" w:type="dxa"/>
            <w:vAlign w:val="center"/>
          </w:tcPr>
          <w:p w14:paraId="242B7CDB">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3</w:t>
            </w:r>
          </w:p>
        </w:tc>
        <w:tc>
          <w:tcPr>
            <w:tcW w:w="1682" w:type="dxa"/>
            <w:vAlign w:val="center"/>
          </w:tcPr>
          <w:p w14:paraId="2D5D1F09">
            <w:pPr>
              <w:spacing w:line="440" w:lineRule="exact"/>
              <w:jc w:val="center"/>
              <w:rPr>
                <w:rFonts w:ascii="宋体" w:hAnsi="宋体"/>
                <w:color w:val="auto"/>
                <w:szCs w:val="21"/>
                <w:highlight w:val="none"/>
              </w:rPr>
            </w:pPr>
            <w:r>
              <w:rPr>
                <w:rFonts w:hint="eastAsia" w:ascii="宋体" w:hAnsi="宋体"/>
                <w:color w:val="auto"/>
                <w:szCs w:val="21"/>
                <w:highlight w:val="none"/>
              </w:rPr>
              <w:t>建设概况</w:t>
            </w:r>
          </w:p>
        </w:tc>
        <w:tc>
          <w:tcPr>
            <w:tcW w:w="6965" w:type="dxa"/>
            <w:vAlign w:val="center"/>
          </w:tcPr>
          <w:p w14:paraId="328CBE95">
            <w:pPr>
              <w:pStyle w:val="41"/>
              <w:spacing w:before="0" w:beforeAutospacing="0" w:after="0" w:afterAutospacing="0" w:line="405" w:lineRule="atLeast"/>
              <w:jc w:val="both"/>
              <w:rPr>
                <w:rFonts w:hint="eastAsia" w:cs="宋体"/>
                <w:color w:val="auto"/>
                <w:sz w:val="21"/>
                <w:szCs w:val="21"/>
                <w:highlight w:val="none"/>
                <w:lang w:val="en-US" w:eastAsia="zh-CN" w:bidi="zh-CN"/>
              </w:rPr>
            </w:pPr>
            <w:r>
              <w:rPr>
                <w:rFonts w:hint="eastAsia" w:cs="宋体"/>
                <w:color w:val="auto"/>
                <w:sz w:val="21"/>
                <w:szCs w:val="21"/>
                <w:highlight w:val="none"/>
                <w:lang w:bidi="zh-CN"/>
              </w:rPr>
              <w:t>主要包括</w:t>
            </w:r>
            <w:r>
              <w:rPr>
                <w:rFonts w:hint="eastAsia" w:ascii="宋体" w:hAnsi="宋体" w:eastAsia="宋体" w:cs="宋体"/>
                <w:color w:val="auto"/>
                <w:sz w:val="21"/>
                <w:szCs w:val="21"/>
                <w:highlight w:val="none"/>
                <w:lang w:bidi="zh-CN"/>
              </w:rPr>
              <w:t>旧实验楼改成宿舍、综合楼改</w:t>
            </w:r>
            <w:r>
              <w:rPr>
                <w:rFonts w:hint="eastAsia" w:cs="宋体"/>
                <w:color w:val="auto"/>
                <w:sz w:val="21"/>
                <w:szCs w:val="21"/>
                <w:highlight w:val="none"/>
                <w:lang w:bidi="zh-CN"/>
              </w:rPr>
              <w:t>教室</w:t>
            </w:r>
            <w:r>
              <w:rPr>
                <w:rFonts w:hint="eastAsia" w:ascii="宋体" w:hAnsi="宋体" w:eastAsia="宋体" w:cs="宋体"/>
                <w:color w:val="auto"/>
                <w:sz w:val="21"/>
                <w:szCs w:val="21"/>
                <w:highlight w:val="none"/>
                <w:lang w:bidi="zh-CN"/>
              </w:rPr>
              <w:t>、实训楼改造（包括拆除工程、装饰装修工程、安装工程等），</w:t>
            </w:r>
            <w:r>
              <w:rPr>
                <w:rFonts w:hint="eastAsia" w:ascii="宋体" w:hAnsi="宋体" w:eastAsia="宋体" w:cs="宋体"/>
                <w:color w:val="auto"/>
                <w:sz w:val="21"/>
                <w:szCs w:val="21"/>
                <w:highlight w:val="none"/>
                <w:lang w:val="en-US" w:eastAsia="zh-CN" w:bidi="zh-CN"/>
              </w:rPr>
              <w:t>具体施工内容详见经评审的工程量清单和施工图纸。</w:t>
            </w:r>
          </w:p>
        </w:tc>
      </w:tr>
      <w:tr w14:paraId="7EE0B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518" w:type="dxa"/>
            <w:vAlign w:val="center"/>
          </w:tcPr>
          <w:p w14:paraId="423C7503">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4</w:t>
            </w:r>
          </w:p>
        </w:tc>
        <w:tc>
          <w:tcPr>
            <w:tcW w:w="1682" w:type="dxa"/>
            <w:vAlign w:val="center"/>
          </w:tcPr>
          <w:p w14:paraId="1EBCD943">
            <w:pPr>
              <w:spacing w:line="440" w:lineRule="exact"/>
              <w:jc w:val="center"/>
              <w:rPr>
                <w:rFonts w:ascii="宋体" w:hAnsi="宋体"/>
                <w:b/>
                <w:color w:val="auto"/>
                <w:szCs w:val="21"/>
                <w:highlight w:val="none"/>
              </w:rPr>
            </w:pPr>
            <w:r>
              <w:rPr>
                <w:rFonts w:hint="eastAsia" w:ascii="宋体" w:hAnsi="宋体"/>
                <w:color w:val="auto"/>
                <w:szCs w:val="21"/>
                <w:highlight w:val="none"/>
              </w:rPr>
              <w:t>采购预算金额</w:t>
            </w:r>
          </w:p>
        </w:tc>
        <w:tc>
          <w:tcPr>
            <w:tcW w:w="6965" w:type="dxa"/>
            <w:vAlign w:val="center"/>
          </w:tcPr>
          <w:p w14:paraId="72B34619">
            <w:pPr>
              <w:spacing w:line="420" w:lineRule="exact"/>
              <w:jc w:val="left"/>
              <w:rPr>
                <w:rFonts w:hint="eastAsia" w:ascii="宋体" w:hAnsi="宋体" w:eastAsia="宋体" w:cs="Courier New"/>
                <w:b/>
                <w:bCs w:val="0"/>
                <w:color w:val="auto"/>
                <w:spacing w:val="2"/>
                <w:szCs w:val="21"/>
                <w:highlight w:val="none"/>
                <w:lang w:eastAsia="zh-CN"/>
              </w:rPr>
            </w:pPr>
            <w:r>
              <w:rPr>
                <w:rFonts w:hint="eastAsia" w:ascii="宋体" w:hAnsi="宋体" w:eastAsia="宋体" w:cs="Courier New"/>
                <w:b/>
                <w:bCs w:val="0"/>
                <w:color w:val="auto"/>
                <w:spacing w:val="2"/>
                <w:szCs w:val="21"/>
                <w:highlight w:val="none"/>
              </w:rPr>
              <w:t>上控价为：</w:t>
            </w:r>
            <w:r>
              <w:rPr>
                <w:rFonts w:hint="eastAsia" w:cs="宋体"/>
                <w:color w:val="auto"/>
                <w:sz w:val="21"/>
                <w:szCs w:val="21"/>
                <w:highlight w:val="none"/>
                <w:lang w:val="en-US" w:bidi="zh-CN"/>
              </w:rPr>
              <w:t>¥</w:t>
            </w:r>
            <w:r>
              <w:rPr>
                <w:rFonts w:hint="eastAsia" w:cs="宋体"/>
                <w:color w:val="auto"/>
                <w:sz w:val="21"/>
                <w:szCs w:val="21"/>
                <w:highlight w:val="none"/>
                <w:lang w:val="en-US" w:eastAsia="zh-CN" w:bidi="zh-CN"/>
              </w:rPr>
              <w:t>1263107.00</w:t>
            </w:r>
            <w:r>
              <w:rPr>
                <w:rFonts w:hint="eastAsia" w:cs="宋体"/>
                <w:color w:val="auto"/>
                <w:sz w:val="21"/>
                <w:szCs w:val="21"/>
                <w:highlight w:val="none"/>
                <w:lang w:bidi="zh-CN"/>
              </w:rPr>
              <w:t>元</w:t>
            </w:r>
          </w:p>
          <w:p w14:paraId="2EF8790B">
            <w:pPr>
              <w:spacing w:line="420" w:lineRule="exact"/>
              <w:jc w:val="left"/>
              <w:rPr>
                <w:rFonts w:ascii="宋体" w:hAnsi="宋体" w:cs="Courier New"/>
                <w:b/>
                <w:color w:val="auto"/>
                <w:spacing w:val="2"/>
                <w:szCs w:val="21"/>
                <w:highlight w:val="none"/>
              </w:rPr>
            </w:pPr>
            <w:r>
              <w:rPr>
                <w:rFonts w:hint="eastAsia" w:ascii="宋体" w:hAnsi="宋体" w:cs="Courier New"/>
                <w:b/>
                <w:bCs w:val="0"/>
                <w:color w:val="auto"/>
                <w:spacing w:val="2"/>
                <w:szCs w:val="21"/>
                <w:highlight w:val="none"/>
              </w:rPr>
              <w:t>供应商的最终磋商报价不能高于本项目的采购预算金额。</w:t>
            </w:r>
          </w:p>
        </w:tc>
      </w:tr>
      <w:tr w14:paraId="41301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518" w:type="dxa"/>
            <w:vAlign w:val="center"/>
          </w:tcPr>
          <w:p w14:paraId="124F552C">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5</w:t>
            </w:r>
          </w:p>
        </w:tc>
        <w:tc>
          <w:tcPr>
            <w:tcW w:w="1682" w:type="dxa"/>
            <w:vAlign w:val="center"/>
          </w:tcPr>
          <w:p w14:paraId="7F75256E">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质量标准</w:t>
            </w:r>
          </w:p>
        </w:tc>
        <w:tc>
          <w:tcPr>
            <w:tcW w:w="6965" w:type="dxa"/>
            <w:vAlign w:val="center"/>
          </w:tcPr>
          <w:p w14:paraId="01AEE73C">
            <w:pPr>
              <w:spacing w:line="420" w:lineRule="exact"/>
              <w:rPr>
                <w:rFonts w:ascii="宋体" w:hAnsi="宋体"/>
                <w:color w:val="auto"/>
                <w:szCs w:val="21"/>
                <w:highlight w:val="none"/>
              </w:rPr>
            </w:pPr>
            <w:r>
              <w:rPr>
                <w:rFonts w:hint="eastAsia" w:ascii="宋体" w:hAnsi="宋体"/>
                <w:color w:val="auto"/>
                <w:szCs w:val="21"/>
                <w:highlight w:val="none"/>
              </w:rPr>
              <w:t>达到现行国家竣工验收规范的合格标准。</w:t>
            </w:r>
          </w:p>
        </w:tc>
      </w:tr>
      <w:tr w14:paraId="659A8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518" w:type="dxa"/>
            <w:vAlign w:val="center"/>
          </w:tcPr>
          <w:p w14:paraId="5DE2AF2A">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6</w:t>
            </w:r>
          </w:p>
        </w:tc>
        <w:tc>
          <w:tcPr>
            <w:tcW w:w="1682" w:type="dxa"/>
            <w:vAlign w:val="center"/>
          </w:tcPr>
          <w:p w14:paraId="52E0EFB9">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采购范围</w:t>
            </w:r>
          </w:p>
        </w:tc>
        <w:tc>
          <w:tcPr>
            <w:tcW w:w="6965" w:type="dxa"/>
            <w:vAlign w:val="center"/>
          </w:tcPr>
          <w:p w14:paraId="14AB6393">
            <w:pPr>
              <w:spacing w:line="420" w:lineRule="exact"/>
              <w:rPr>
                <w:rFonts w:ascii="宋体" w:hAnsi="宋体"/>
                <w:color w:val="auto"/>
                <w:szCs w:val="21"/>
                <w:highlight w:val="none"/>
              </w:rPr>
            </w:pPr>
            <w:r>
              <w:rPr>
                <w:rFonts w:hint="eastAsia" w:ascii="宋体" w:hAnsi="宋体"/>
                <w:color w:val="auto"/>
                <w:szCs w:val="21"/>
                <w:highlight w:val="none"/>
              </w:rPr>
              <w:t>工程采购清单包含全部内容（具体内容详见工程量清单</w:t>
            </w:r>
            <w:r>
              <w:rPr>
                <w:rFonts w:hint="eastAsia" w:ascii="宋体" w:hAnsi="宋体"/>
                <w:color w:val="auto"/>
                <w:szCs w:val="21"/>
                <w:highlight w:val="none"/>
                <w:lang w:val="en-US" w:eastAsia="zh-CN"/>
              </w:rPr>
              <w:t>和施工图纸</w:t>
            </w:r>
            <w:r>
              <w:rPr>
                <w:rFonts w:hint="eastAsia" w:ascii="宋体" w:hAnsi="宋体"/>
                <w:color w:val="auto"/>
                <w:szCs w:val="21"/>
                <w:highlight w:val="none"/>
              </w:rPr>
              <w:t>）。</w:t>
            </w:r>
          </w:p>
        </w:tc>
      </w:tr>
      <w:tr w14:paraId="32CD7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518" w:type="dxa"/>
            <w:vAlign w:val="center"/>
          </w:tcPr>
          <w:p w14:paraId="39794086">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7</w:t>
            </w:r>
          </w:p>
        </w:tc>
        <w:tc>
          <w:tcPr>
            <w:tcW w:w="1682" w:type="dxa"/>
            <w:vAlign w:val="center"/>
          </w:tcPr>
          <w:p w14:paraId="68AB0E01">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工期要求</w:t>
            </w:r>
          </w:p>
        </w:tc>
        <w:tc>
          <w:tcPr>
            <w:tcW w:w="6965" w:type="dxa"/>
            <w:vAlign w:val="center"/>
          </w:tcPr>
          <w:p w14:paraId="05B3808A">
            <w:pPr>
              <w:pStyle w:val="41"/>
              <w:widowControl w:val="0"/>
              <w:adjustRightInd w:val="0"/>
              <w:snapToGrid w:val="0"/>
              <w:spacing w:before="0" w:beforeAutospacing="0" w:after="0" w:afterAutospacing="0" w:line="400" w:lineRule="exact"/>
              <w:rPr>
                <w:color w:val="auto"/>
                <w:kern w:val="2"/>
                <w:sz w:val="21"/>
                <w:szCs w:val="21"/>
                <w:highlight w:val="none"/>
              </w:rPr>
            </w:pPr>
            <w:r>
              <w:rPr>
                <w:rFonts w:hint="eastAsia"/>
                <w:color w:val="auto"/>
                <w:kern w:val="2"/>
                <w:sz w:val="21"/>
                <w:szCs w:val="21"/>
                <w:highlight w:val="none"/>
              </w:rPr>
              <w:t>计划工期</w:t>
            </w:r>
            <w:r>
              <w:rPr>
                <w:rFonts w:hint="eastAsia"/>
                <w:color w:val="auto"/>
                <w:kern w:val="2"/>
                <w:sz w:val="21"/>
                <w:szCs w:val="21"/>
                <w:highlight w:val="none"/>
                <w:lang w:eastAsia="zh-CN"/>
              </w:rPr>
              <w:t>：</w:t>
            </w:r>
            <w:r>
              <w:rPr>
                <w:rFonts w:hint="eastAsia" w:cs="宋体"/>
                <w:color w:val="auto"/>
                <w:sz w:val="21"/>
                <w:szCs w:val="21"/>
                <w:highlight w:val="none"/>
                <w:lang w:bidi="zh-CN"/>
              </w:rPr>
              <w:t>工期</w:t>
            </w:r>
            <w:r>
              <w:rPr>
                <w:rFonts w:hint="eastAsia" w:cs="宋体"/>
                <w:color w:val="auto"/>
                <w:sz w:val="21"/>
                <w:szCs w:val="21"/>
                <w:highlight w:val="none"/>
                <w:lang w:val="en-US" w:bidi="zh-CN"/>
              </w:rPr>
              <w:t>90</w:t>
            </w:r>
            <w:r>
              <w:rPr>
                <w:rFonts w:hint="eastAsia" w:cs="宋体"/>
                <w:color w:val="auto"/>
                <w:sz w:val="21"/>
                <w:szCs w:val="21"/>
                <w:highlight w:val="none"/>
                <w:lang w:bidi="zh-CN"/>
              </w:rPr>
              <w:t>日历天。</w:t>
            </w:r>
          </w:p>
        </w:tc>
      </w:tr>
      <w:bookmarkEnd w:id="10"/>
      <w:tr w14:paraId="37A86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518" w:type="dxa"/>
            <w:vAlign w:val="center"/>
          </w:tcPr>
          <w:p w14:paraId="3EB9A024">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8</w:t>
            </w:r>
          </w:p>
        </w:tc>
        <w:tc>
          <w:tcPr>
            <w:tcW w:w="1682" w:type="dxa"/>
            <w:vAlign w:val="center"/>
          </w:tcPr>
          <w:p w14:paraId="1A60630C">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供应商资格要求</w:t>
            </w:r>
          </w:p>
        </w:tc>
        <w:tc>
          <w:tcPr>
            <w:tcW w:w="6965" w:type="dxa"/>
          </w:tcPr>
          <w:p w14:paraId="700EE846">
            <w:pPr>
              <w:spacing w:line="440" w:lineRule="exact"/>
              <w:ind w:firstLine="420" w:firstLineChars="200"/>
              <w:rPr>
                <w:color w:val="auto"/>
                <w:highlight w:val="none"/>
              </w:rPr>
            </w:pPr>
            <w:r>
              <w:rPr>
                <w:rFonts w:hint="eastAsia"/>
                <w:color w:val="auto"/>
                <w:highlight w:val="none"/>
              </w:rPr>
              <w:t>1.满足《中华人民共和国政府采购法》第二十二条规定；</w:t>
            </w:r>
          </w:p>
          <w:p w14:paraId="59023519">
            <w:pPr>
              <w:spacing w:line="440" w:lineRule="exact"/>
              <w:ind w:firstLine="420" w:firstLineChars="200"/>
              <w:rPr>
                <w:color w:val="auto"/>
                <w:highlight w:val="none"/>
              </w:rPr>
            </w:pPr>
            <w:r>
              <w:rPr>
                <w:color w:val="auto"/>
                <w:highlight w:val="none"/>
              </w:rPr>
              <w:t>2</w:t>
            </w:r>
            <w:r>
              <w:rPr>
                <w:rFonts w:hint="eastAsia"/>
                <w:color w:val="auto"/>
                <w:highlight w:val="none"/>
              </w:rPr>
              <w:t>.落实政府采购政策需满足的资格要求：</w:t>
            </w:r>
            <w:r>
              <w:rPr>
                <w:rFonts w:hint="eastAsia" w:ascii="宋体" w:hAnsi="宋体"/>
                <w:color w:val="auto"/>
                <w:szCs w:val="21"/>
                <w:highlight w:val="none"/>
              </w:rPr>
              <w:t>本项目属于专门面向</w:t>
            </w:r>
            <w:r>
              <w:rPr>
                <w:rFonts w:hint="eastAsia" w:ascii="宋体" w:hAnsi="宋体"/>
                <w:color w:val="auto"/>
                <w:szCs w:val="21"/>
                <w:highlight w:val="none"/>
                <w:lang w:eastAsia="zh-CN"/>
              </w:rPr>
              <w:t>中小微</w:t>
            </w:r>
            <w:r>
              <w:rPr>
                <w:rFonts w:hint="eastAsia" w:ascii="宋体" w:hAnsi="宋体"/>
                <w:color w:val="auto"/>
                <w:szCs w:val="21"/>
                <w:highlight w:val="none"/>
              </w:rPr>
              <w:t>企业采购的项目</w:t>
            </w:r>
            <w:r>
              <w:rPr>
                <w:rFonts w:hint="eastAsia"/>
                <w:color w:val="auto"/>
                <w:highlight w:val="none"/>
              </w:rPr>
              <w:t>；</w:t>
            </w:r>
          </w:p>
          <w:p w14:paraId="6C028A56">
            <w:pPr>
              <w:spacing w:line="440" w:lineRule="exact"/>
              <w:ind w:firstLine="420" w:firstLineChars="200"/>
              <w:rPr>
                <w:color w:val="auto"/>
                <w:highlight w:val="none"/>
              </w:rPr>
            </w:pPr>
            <w:r>
              <w:rPr>
                <w:rFonts w:hint="eastAsia"/>
                <w:color w:val="auto"/>
                <w:highlight w:val="none"/>
              </w:rPr>
              <w:t>3.本项目的特定资格要求：</w:t>
            </w:r>
          </w:p>
          <w:p w14:paraId="64091517">
            <w:pPr>
              <w:wordWrap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color w:val="auto"/>
                <w:highlight w:val="none"/>
              </w:rPr>
              <w:t>本次招标要求投标人须</w:t>
            </w:r>
            <w:r>
              <w:rPr>
                <w:rFonts w:hint="eastAsia"/>
                <w:color w:val="auto"/>
                <w:highlight w:val="none"/>
              </w:rPr>
              <w:t>具备</w:t>
            </w:r>
            <w:r>
              <w:rPr>
                <w:rFonts w:hint="eastAsia"/>
                <w:color w:val="auto"/>
                <w:highlight w:val="none"/>
                <w:lang w:eastAsia="zh-CN"/>
              </w:rPr>
              <w:t>建筑</w:t>
            </w:r>
            <w:r>
              <w:rPr>
                <w:rFonts w:hint="eastAsia"/>
                <w:color w:val="auto"/>
                <w:highlight w:val="none"/>
              </w:rPr>
              <w:t>工程施工总承包</w:t>
            </w:r>
            <w:r>
              <w:rPr>
                <w:rFonts w:hint="eastAsia" w:ascii="宋体" w:hAnsi="宋体" w:cs="宋体"/>
                <w:color w:val="auto"/>
                <w:highlight w:val="none"/>
              </w:rPr>
              <w:t>（含三级）以上资质</w:t>
            </w:r>
            <w:r>
              <w:rPr>
                <w:rFonts w:hint="eastAsia"/>
                <w:color w:val="auto"/>
                <w:highlight w:val="none"/>
              </w:rPr>
              <w:t>；</w:t>
            </w:r>
            <w:r>
              <w:rPr>
                <w:color w:val="auto"/>
                <w:highlight w:val="none"/>
              </w:rPr>
              <w:t>并在人员、设备、资金等方面具</w:t>
            </w:r>
            <w:r>
              <w:rPr>
                <w:rFonts w:hint="eastAsia"/>
                <w:color w:val="auto"/>
                <w:highlight w:val="none"/>
              </w:rPr>
              <w:t>备相</w:t>
            </w:r>
            <w:r>
              <w:rPr>
                <w:color w:val="auto"/>
                <w:highlight w:val="none"/>
              </w:rPr>
              <w:t>应的施工能力。其中，投标人拟派项目经理须</w:t>
            </w:r>
            <w:r>
              <w:rPr>
                <w:rFonts w:hint="eastAsia"/>
                <w:color w:val="auto"/>
                <w:highlight w:val="none"/>
              </w:rPr>
              <w:t>具备</w:t>
            </w:r>
            <w:r>
              <w:rPr>
                <w:rFonts w:hint="eastAsia"/>
                <w:color w:val="auto"/>
                <w:highlight w:val="none"/>
                <w:lang w:eastAsia="zh-CN"/>
              </w:rPr>
              <w:t>建筑</w:t>
            </w:r>
            <w:r>
              <w:rPr>
                <w:rFonts w:hint="eastAsia"/>
                <w:color w:val="auto"/>
                <w:highlight w:val="none"/>
              </w:rPr>
              <w:t>工程专业二级（含以上）注册建造师执业资格</w:t>
            </w:r>
            <w:r>
              <w:rPr>
                <w:color w:val="auto"/>
                <w:highlight w:val="none"/>
              </w:rPr>
              <w:t>，具备有效的安全生产考核合格证书（B类）</w:t>
            </w:r>
            <w:r>
              <w:rPr>
                <w:rFonts w:hint="eastAsia"/>
                <w:color w:val="auto"/>
                <w:highlight w:val="none"/>
              </w:rPr>
              <w:t>。</w:t>
            </w:r>
          </w:p>
          <w:p w14:paraId="3EFA9DA7">
            <w:pPr>
              <w:widowControl/>
              <w:shd w:val="clear" w:color="auto" w:fill="FFFFFF"/>
              <w:snapToGrid w:val="0"/>
              <w:spacing w:line="440" w:lineRule="exact"/>
              <w:ind w:firstLine="420" w:firstLineChars="200"/>
              <w:jc w:val="left"/>
              <w:rPr>
                <w:rFonts w:ascii="宋体" w:hAnsi="宋体"/>
                <w:color w:val="auto"/>
                <w:szCs w:val="21"/>
                <w:highlight w:val="none"/>
                <w:lang w:val="zh-CN"/>
              </w:rPr>
            </w:pPr>
            <w:r>
              <w:rPr>
                <w:rFonts w:hint="eastAsia" w:ascii="宋体" w:hAnsi="宋体"/>
                <w:color w:val="auto"/>
                <w:szCs w:val="21"/>
                <w:highlight w:val="none"/>
              </w:rPr>
              <w:t>（2）</w:t>
            </w:r>
            <w:r>
              <w:rPr>
                <w:rFonts w:hint="eastAsia" w:ascii="宋体" w:hAnsi="宋体"/>
                <w:color w:val="auto"/>
                <w:szCs w:val="21"/>
                <w:highlight w:val="none"/>
                <w:lang w:val="zh-CN"/>
              </w:rPr>
              <w:t>不接受未按本竞争性磋商公告要求获取采购文件的供应商竞标。</w:t>
            </w:r>
          </w:p>
          <w:p w14:paraId="5D06A5F4">
            <w:pPr>
              <w:widowControl/>
              <w:shd w:val="clear" w:color="auto" w:fill="FFFFFF"/>
              <w:snapToGrid w:val="0"/>
              <w:spacing w:line="440" w:lineRule="exact"/>
              <w:ind w:firstLine="420" w:firstLineChars="200"/>
              <w:jc w:val="left"/>
              <w:rPr>
                <w:color w:val="auto"/>
                <w:highlight w:val="none"/>
                <w:lang w:val="zh-CN"/>
              </w:rPr>
            </w:pPr>
            <w:r>
              <w:rPr>
                <w:rFonts w:hint="eastAsia" w:ascii="宋体" w:hAnsi="宋体"/>
                <w:color w:val="auto"/>
                <w:szCs w:val="21"/>
                <w:highlight w:val="none"/>
                <w:lang w:val="zh-CN"/>
              </w:rPr>
              <w:t>（</w:t>
            </w:r>
            <w:r>
              <w:rPr>
                <w:rFonts w:hint="eastAsia" w:ascii="宋体" w:hAnsi="宋体"/>
                <w:color w:val="auto"/>
                <w:szCs w:val="21"/>
                <w:highlight w:val="none"/>
                <w:lang w:val="en-US" w:eastAsia="zh-CN"/>
              </w:rPr>
              <w:t>3</w:t>
            </w:r>
            <w:r>
              <w:rPr>
                <w:rFonts w:hint="eastAsia" w:ascii="宋体" w:hAnsi="宋体"/>
                <w:color w:val="auto"/>
                <w:szCs w:val="21"/>
                <w:highlight w:val="none"/>
                <w:lang w:val="zh-CN"/>
              </w:rPr>
              <w:t>）本项目不接受联合体竞标,不允许转包和分包。</w:t>
            </w:r>
          </w:p>
        </w:tc>
      </w:tr>
      <w:tr w14:paraId="46755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518" w:type="dxa"/>
            <w:vAlign w:val="center"/>
          </w:tcPr>
          <w:p w14:paraId="2D093210">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9</w:t>
            </w:r>
          </w:p>
        </w:tc>
        <w:tc>
          <w:tcPr>
            <w:tcW w:w="1682" w:type="dxa"/>
            <w:vAlign w:val="center"/>
          </w:tcPr>
          <w:p w14:paraId="3596BAEB">
            <w:pPr>
              <w:spacing w:line="440" w:lineRule="exact"/>
              <w:jc w:val="center"/>
              <w:rPr>
                <w:rFonts w:ascii="宋体" w:hAnsi="宋体" w:cs="Courier New"/>
                <w:color w:val="auto"/>
                <w:spacing w:val="2"/>
                <w:szCs w:val="21"/>
                <w:highlight w:val="none"/>
              </w:rPr>
            </w:pPr>
            <w:r>
              <w:rPr>
                <w:rFonts w:hint="eastAsia" w:ascii="宋体" w:hAnsi="宋体"/>
                <w:bCs/>
                <w:color w:val="auto"/>
                <w:szCs w:val="21"/>
                <w:highlight w:val="none"/>
              </w:rPr>
              <w:t>报价方式</w:t>
            </w:r>
          </w:p>
        </w:tc>
        <w:tc>
          <w:tcPr>
            <w:tcW w:w="6965" w:type="dxa"/>
            <w:vAlign w:val="center"/>
          </w:tcPr>
          <w:p w14:paraId="304086CA">
            <w:pPr>
              <w:pStyle w:val="199"/>
              <w:spacing w:line="420" w:lineRule="exact"/>
              <w:rPr>
                <w:rFonts w:hAnsi="宋体"/>
                <w:color w:val="auto"/>
                <w:szCs w:val="21"/>
                <w:highlight w:val="none"/>
              </w:rPr>
            </w:pPr>
            <w:r>
              <w:rPr>
                <w:rFonts w:hint="eastAsia" w:hAnsi="宋体"/>
                <w:bCs/>
                <w:color w:val="auto"/>
                <w:szCs w:val="21"/>
                <w:highlight w:val="none"/>
              </w:rPr>
              <w:t>工程量清单报价（</w:t>
            </w:r>
            <w:r>
              <w:rPr>
                <w:rFonts w:hint="eastAsia" w:hAnsi="宋体"/>
                <w:b/>
                <w:bCs/>
                <w:color w:val="auto"/>
                <w:szCs w:val="21"/>
                <w:highlight w:val="none"/>
              </w:rPr>
              <w:t>清单计价法），</w:t>
            </w:r>
            <w:r>
              <w:rPr>
                <w:rFonts w:hint="eastAsia" w:hAnsi="宋体"/>
                <w:color w:val="auto"/>
                <w:szCs w:val="21"/>
                <w:highlight w:val="none"/>
              </w:rPr>
              <w:t>供应商按照采购人提供的工程量清单填写。</w:t>
            </w:r>
          </w:p>
        </w:tc>
      </w:tr>
      <w:tr w14:paraId="50347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518" w:type="dxa"/>
            <w:vAlign w:val="center"/>
          </w:tcPr>
          <w:p w14:paraId="0223A227">
            <w:pPr>
              <w:spacing w:line="440" w:lineRule="exact"/>
              <w:jc w:val="center"/>
              <w:rPr>
                <w:rFonts w:ascii="宋体" w:hAnsi="宋体" w:cs="Courier New"/>
                <w:color w:val="auto"/>
                <w:spacing w:val="2"/>
                <w:szCs w:val="21"/>
                <w:highlight w:val="none"/>
              </w:rPr>
            </w:pPr>
            <w:bookmarkStart w:id="11" w:name="_Hlk87630554"/>
            <w:r>
              <w:rPr>
                <w:rFonts w:hint="eastAsia" w:ascii="宋体" w:hAnsi="宋体" w:cs="Courier New"/>
                <w:color w:val="auto"/>
                <w:spacing w:val="2"/>
                <w:szCs w:val="21"/>
                <w:highlight w:val="none"/>
              </w:rPr>
              <w:t>10</w:t>
            </w:r>
          </w:p>
        </w:tc>
        <w:tc>
          <w:tcPr>
            <w:tcW w:w="1682" w:type="dxa"/>
            <w:vAlign w:val="center"/>
          </w:tcPr>
          <w:p w14:paraId="58F1D59E">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磋商有效期</w:t>
            </w:r>
          </w:p>
        </w:tc>
        <w:tc>
          <w:tcPr>
            <w:tcW w:w="6965" w:type="dxa"/>
            <w:vAlign w:val="center"/>
          </w:tcPr>
          <w:p w14:paraId="71111132">
            <w:pPr>
              <w:spacing w:line="420" w:lineRule="exact"/>
              <w:rPr>
                <w:rFonts w:ascii="宋体" w:hAnsi="宋体" w:cs="Courier New"/>
                <w:color w:val="auto"/>
                <w:spacing w:val="2"/>
                <w:szCs w:val="21"/>
                <w:highlight w:val="none"/>
              </w:rPr>
            </w:pPr>
            <w:r>
              <w:rPr>
                <w:rFonts w:hint="eastAsia" w:ascii="宋体" w:hAnsi="宋体" w:cs="Courier New"/>
                <w:color w:val="auto"/>
                <w:spacing w:val="2"/>
                <w:szCs w:val="21"/>
                <w:highlight w:val="none"/>
              </w:rPr>
              <w:t>磋商截止之日后</w:t>
            </w:r>
            <w:r>
              <w:rPr>
                <w:rFonts w:hint="eastAsia" w:ascii="宋体" w:hAnsi="宋体" w:cs="Courier New"/>
                <w:color w:val="auto"/>
                <w:spacing w:val="2"/>
                <w:szCs w:val="21"/>
                <w:highlight w:val="none"/>
                <w:u w:val="single"/>
                <w:lang w:val="en-US" w:eastAsia="zh-CN"/>
              </w:rPr>
              <w:t>9</w:t>
            </w:r>
            <w:r>
              <w:rPr>
                <w:rFonts w:hint="eastAsia" w:ascii="宋体" w:hAnsi="宋体" w:cs="Courier New"/>
                <w:color w:val="auto"/>
                <w:spacing w:val="2"/>
                <w:szCs w:val="21"/>
                <w:highlight w:val="none"/>
                <w:u w:val="single"/>
              </w:rPr>
              <w:t>0</w:t>
            </w:r>
            <w:r>
              <w:rPr>
                <w:rFonts w:hint="eastAsia" w:ascii="宋体" w:hAnsi="宋体" w:cs="Courier New"/>
                <w:color w:val="auto"/>
                <w:spacing w:val="2"/>
                <w:szCs w:val="21"/>
                <w:highlight w:val="none"/>
              </w:rPr>
              <w:t>日历天</w:t>
            </w:r>
          </w:p>
        </w:tc>
      </w:tr>
      <w:bookmarkEnd w:id="11"/>
      <w:tr w14:paraId="46394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518" w:type="dxa"/>
            <w:vAlign w:val="center"/>
          </w:tcPr>
          <w:p w14:paraId="248849EE">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11</w:t>
            </w:r>
          </w:p>
        </w:tc>
        <w:tc>
          <w:tcPr>
            <w:tcW w:w="1682" w:type="dxa"/>
            <w:vAlign w:val="center"/>
          </w:tcPr>
          <w:p w14:paraId="28BDD660">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磋商保证金</w:t>
            </w:r>
          </w:p>
        </w:tc>
        <w:tc>
          <w:tcPr>
            <w:tcW w:w="6965" w:type="dxa"/>
            <w:vAlign w:val="center"/>
          </w:tcPr>
          <w:p w14:paraId="109EC0B2">
            <w:pPr>
              <w:spacing w:line="420" w:lineRule="exact"/>
              <w:rPr>
                <w:rFonts w:ascii="宋体" w:hAnsi="宋体"/>
                <w:color w:val="auto"/>
                <w:kern w:val="0"/>
                <w:szCs w:val="21"/>
                <w:highlight w:val="none"/>
              </w:rPr>
            </w:pPr>
            <w:r>
              <w:rPr>
                <w:rFonts w:hint="eastAsia" w:ascii="宋体" w:hAnsi="宋体"/>
                <w:color w:val="auto"/>
                <w:kern w:val="0"/>
                <w:szCs w:val="21"/>
                <w:highlight w:val="none"/>
              </w:rPr>
              <w:t>本项目不收取磋商保证金</w:t>
            </w:r>
          </w:p>
        </w:tc>
      </w:tr>
      <w:tr w14:paraId="458CC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518" w:type="dxa"/>
            <w:vAlign w:val="center"/>
          </w:tcPr>
          <w:p w14:paraId="7B39E19B">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12</w:t>
            </w:r>
          </w:p>
        </w:tc>
        <w:tc>
          <w:tcPr>
            <w:tcW w:w="1682" w:type="dxa"/>
            <w:vAlign w:val="center"/>
          </w:tcPr>
          <w:p w14:paraId="5B1E4D34">
            <w:pPr>
              <w:spacing w:line="440" w:lineRule="exact"/>
              <w:jc w:val="center"/>
              <w:rPr>
                <w:rFonts w:ascii="宋体" w:hAnsi="宋体" w:cs="Courier New"/>
                <w:color w:val="auto"/>
                <w:spacing w:val="2"/>
                <w:szCs w:val="21"/>
                <w:highlight w:val="none"/>
              </w:rPr>
            </w:pPr>
            <w:r>
              <w:rPr>
                <w:rFonts w:hint="eastAsia" w:ascii="宋体" w:hAnsi="宋体" w:cs="Courier New"/>
                <w:bCs/>
                <w:color w:val="auto"/>
                <w:spacing w:val="2"/>
                <w:szCs w:val="21"/>
                <w:highlight w:val="none"/>
              </w:rPr>
              <w:t>现场勘查</w:t>
            </w:r>
          </w:p>
        </w:tc>
        <w:tc>
          <w:tcPr>
            <w:tcW w:w="6965" w:type="dxa"/>
            <w:vAlign w:val="center"/>
          </w:tcPr>
          <w:p w14:paraId="76A8AF36">
            <w:pPr>
              <w:spacing w:line="420" w:lineRule="exact"/>
              <w:rPr>
                <w:rFonts w:ascii="宋体" w:hAnsi="宋体" w:cs="Courier New"/>
                <w:bCs/>
                <w:color w:val="auto"/>
                <w:spacing w:val="2"/>
                <w:szCs w:val="21"/>
                <w:highlight w:val="none"/>
              </w:rPr>
            </w:pPr>
            <w:r>
              <w:rPr>
                <w:rFonts w:hint="eastAsia" w:ascii="宋体" w:hAnsi="宋体" w:cs="Courier New"/>
                <w:bCs/>
                <w:color w:val="auto"/>
                <w:spacing w:val="2"/>
                <w:szCs w:val="21"/>
                <w:highlight w:val="none"/>
              </w:rPr>
              <w:t>采购人不组织现场踏勘，供应商自行现场勘查。</w:t>
            </w:r>
          </w:p>
        </w:tc>
      </w:tr>
      <w:tr w14:paraId="536E2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518" w:type="dxa"/>
            <w:vAlign w:val="center"/>
          </w:tcPr>
          <w:p w14:paraId="01D87D3B">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13</w:t>
            </w:r>
          </w:p>
        </w:tc>
        <w:tc>
          <w:tcPr>
            <w:tcW w:w="1682" w:type="dxa"/>
            <w:vAlign w:val="center"/>
          </w:tcPr>
          <w:p w14:paraId="7AB93A6B">
            <w:pPr>
              <w:spacing w:line="440" w:lineRule="exact"/>
              <w:jc w:val="center"/>
              <w:rPr>
                <w:rFonts w:ascii="宋体" w:hAnsi="宋体" w:cs="Courier New"/>
                <w:color w:val="auto"/>
                <w:spacing w:val="2"/>
                <w:szCs w:val="21"/>
                <w:highlight w:val="none"/>
              </w:rPr>
            </w:pPr>
            <w:r>
              <w:rPr>
                <w:rFonts w:hint="eastAsia" w:ascii="宋体" w:hAnsi="宋体"/>
                <w:color w:val="auto"/>
                <w:szCs w:val="21"/>
                <w:highlight w:val="none"/>
              </w:rPr>
              <w:t>响应文件形式</w:t>
            </w:r>
          </w:p>
        </w:tc>
        <w:tc>
          <w:tcPr>
            <w:tcW w:w="6965" w:type="dxa"/>
            <w:vAlign w:val="center"/>
          </w:tcPr>
          <w:p w14:paraId="3233E2CE">
            <w:pPr>
              <w:spacing w:line="440" w:lineRule="exact"/>
              <w:rPr>
                <w:rFonts w:ascii="宋体"/>
                <w:snapToGrid w:val="0"/>
                <w:color w:val="auto"/>
                <w:szCs w:val="21"/>
                <w:highlight w:val="none"/>
              </w:rPr>
            </w:pPr>
            <w:r>
              <w:rPr>
                <w:rFonts w:hint="eastAsia" w:ascii="宋体"/>
                <w:snapToGrid w:val="0"/>
                <w:color w:val="auto"/>
                <w:szCs w:val="21"/>
                <w:highlight w:val="none"/>
              </w:rPr>
              <w:t>供应商应准备电子</w:t>
            </w:r>
            <w:r>
              <w:rPr>
                <w:rFonts w:hint="eastAsia" w:ascii="宋体" w:hAnsi="宋体"/>
                <w:color w:val="auto"/>
                <w:szCs w:val="21"/>
                <w:highlight w:val="none"/>
              </w:rPr>
              <w:t>响应</w:t>
            </w:r>
            <w:r>
              <w:rPr>
                <w:rFonts w:hint="eastAsia" w:ascii="宋体"/>
                <w:snapToGrid w:val="0"/>
                <w:color w:val="auto"/>
                <w:szCs w:val="21"/>
                <w:highlight w:val="none"/>
              </w:rPr>
              <w:t>文件。电子</w:t>
            </w:r>
            <w:r>
              <w:rPr>
                <w:rFonts w:hint="eastAsia" w:ascii="宋体" w:hAnsi="宋体"/>
                <w:color w:val="auto"/>
                <w:szCs w:val="21"/>
                <w:highlight w:val="none"/>
              </w:rPr>
              <w:t>响应</w:t>
            </w:r>
            <w:r>
              <w:rPr>
                <w:rFonts w:hint="eastAsia" w:ascii="宋体"/>
                <w:snapToGrid w:val="0"/>
                <w:color w:val="auto"/>
                <w:szCs w:val="21"/>
                <w:highlight w:val="none"/>
              </w:rPr>
              <w:t>文件是指通过“政采云</w:t>
            </w:r>
            <w:r>
              <w:rPr>
                <w:color w:val="auto"/>
                <w:szCs w:val="21"/>
                <w:highlight w:val="none"/>
              </w:rPr>
              <w:t>电子投标</w:t>
            </w:r>
            <w:r>
              <w:rPr>
                <w:rFonts w:hint="eastAsia" w:ascii="宋体"/>
                <w:snapToGrid w:val="0"/>
                <w:color w:val="auto"/>
                <w:szCs w:val="21"/>
                <w:highlight w:val="none"/>
              </w:rPr>
              <w:t>客户端”完成</w:t>
            </w:r>
            <w:r>
              <w:rPr>
                <w:rFonts w:hint="eastAsia" w:ascii="宋体" w:hAnsi="宋体"/>
                <w:color w:val="auto"/>
                <w:szCs w:val="21"/>
                <w:highlight w:val="none"/>
              </w:rPr>
              <w:t>响应</w:t>
            </w:r>
            <w:r>
              <w:rPr>
                <w:rFonts w:hint="eastAsia" w:ascii="宋体"/>
                <w:snapToGrid w:val="0"/>
                <w:color w:val="auto"/>
                <w:szCs w:val="21"/>
                <w:highlight w:val="none"/>
              </w:rPr>
              <w:t>文件编制后生成并加密的数据电文形式的电子加密</w:t>
            </w:r>
            <w:r>
              <w:rPr>
                <w:rFonts w:hint="eastAsia" w:ascii="宋体" w:hAnsi="宋体"/>
                <w:color w:val="auto"/>
                <w:szCs w:val="21"/>
                <w:highlight w:val="none"/>
              </w:rPr>
              <w:t>响应</w:t>
            </w:r>
            <w:r>
              <w:rPr>
                <w:rFonts w:hint="eastAsia" w:ascii="宋体"/>
                <w:snapToGrid w:val="0"/>
                <w:color w:val="auto"/>
                <w:szCs w:val="21"/>
                <w:highlight w:val="none"/>
              </w:rPr>
              <w:t>文件。</w:t>
            </w:r>
          </w:p>
        </w:tc>
      </w:tr>
      <w:tr w14:paraId="290D2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518" w:type="dxa"/>
            <w:vAlign w:val="center"/>
          </w:tcPr>
          <w:p w14:paraId="5C88BB49">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14</w:t>
            </w:r>
          </w:p>
        </w:tc>
        <w:tc>
          <w:tcPr>
            <w:tcW w:w="1682" w:type="dxa"/>
            <w:vAlign w:val="center"/>
          </w:tcPr>
          <w:p w14:paraId="3831E48F">
            <w:pPr>
              <w:spacing w:line="440" w:lineRule="exact"/>
              <w:jc w:val="center"/>
              <w:rPr>
                <w:rFonts w:ascii="宋体" w:hAnsi="宋体" w:cs="Courier New"/>
                <w:color w:val="auto"/>
                <w:spacing w:val="2"/>
                <w:szCs w:val="21"/>
                <w:highlight w:val="none"/>
              </w:rPr>
            </w:pPr>
            <w:r>
              <w:rPr>
                <w:rFonts w:hint="eastAsia" w:ascii="宋体" w:hAnsi="宋体"/>
                <w:color w:val="auto"/>
                <w:szCs w:val="21"/>
                <w:highlight w:val="none"/>
              </w:rPr>
              <w:t>响应</w:t>
            </w:r>
            <w:r>
              <w:rPr>
                <w:rFonts w:hint="eastAsia" w:ascii="宋体"/>
                <w:snapToGrid w:val="0"/>
                <w:color w:val="auto"/>
                <w:szCs w:val="21"/>
                <w:highlight w:val="none"/>
              </w:rPr>
              <w:t>文件的编制</w:t>
            </w:r>
          </w:p>
        </w:tc>
        <w:tc>
          <w:tcPr>
            <w:tcW w:w="6965" w:type="dxa"/>
            <w:vAlign w:val="center"/>
          </w:tcPr>
          <w:p w14:paraId="5FCCA1DD">
            <w:pPr>
              <w:widowControl/>
              <w:spacing w:line="440" w:lineRule="exact"/>
              <w:jc w:val="left"/>
              <w:rPr>
                <w:rFonts w:ascii="宋体"/>
                <w:snapToGrid w:val="0"/>
                <w:color w:val="auto"/>
                <w:szCs w:val="21"/>
                <w:highlight w:val="none"/>
              </w:rPr>
            </w:pPr>
            <w:r>
              <w:rPr>
                <w:rFonts w:hint="eastAsia" w:ascii="宋体"/>
                <w:snapToGrid w:val="0"/>
                <w:color w:val="auto"/>
                <w:szCs w:val="21"/>
                <w:highlight w:val="none"/>
              </w:rPr>
              <w:t>供应商应先安装“政采云</w:t>
            </w:r>
            <w:r>
              <w:rPr>
                <w:color w:val="auto"/>
                <w:szCs w:val="21"/>
                <w:highlight w:val="none"/>
              </w:rPr>
              <w:t>电子投标</w:t>
            </w:r>
            <w:r>
              <w:rPr>
                <w:rFonts w:hint="eastAsia" w:ascii="宋体"/>
                <w:snapToGrid w:val="0"/>
                <w:color w:val="auto"/>
                <w:szCs w:val="21"/>
                <w:highlight w:val="none"/>
              </w:rPr>
              <w:t>客户端”，并按照本磋商文件和“政采云平台”的要求，通过“政采云</w:t>
            </w:r>
            <w:r>
              <w:rPr>
                <w:color w:val="auto"/>
                <w:szCs w:val="21"/>
                <w:highlight w:val="none"/>
              </w:rPr>
              <w:t>电子投标</w:t>
            </w:r>
            <w:r>
              <w:rPr>
                <w:rFonts w:hint="eastAsia" w:ascii="宋体"/>
                <w:snapToGrid w:val="0"/>
                <w:color w:val="auto"/>
                <w:szCs w:val="21"/>
                <w:highlight w:val="none"/>
              </w:rPr>
              <w:t>客户端”编制并加密</w:t>
            </w:r>
            <w:r>
              <w:rPr>
                <w:rFonts w:hint="eastAsia" w:ascii="宋体" w:hAnsi="宋体"/>
                <w:color w:val="auto"/>
                <w:szCs w:val="21"/>
                <w:highlight w:val="none"/>
              </w:rPr>
              <w:t>响应</w:t>
            </w:r>
            <w:r>
              <w:rPr>
                <w:rFonts w:hint="eastAsia" w:ascii="宋体"/>
                <w:snapToGrid w:val="0"/>
                <w:color w:val="auto"/>
                <w:szCs w:val="21"/>
                <w:highlight w:val="none"/>
              </w:rPr>
              <w:t>文件。</w:t>
            </w:r>
          </w:p>
        </w:tc>
      </w:tr>
      <w:tr w14:paraId="42D17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518" w:type="dxa"/>
            <w:vAlign w:val="center"/>
          </w:tcPr>
          <w:p w14:paraId="10316D96">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15</w:t>
            </w:r>
          </w:p>
        </w:tc>
        <w:tc>
          <w:tcPr>
            <w:tcW w:w="1682" w:type="dxa"/>
            <w:vAlign w:val="center"/>
          </w:tcPr>
          <w:p w14:paraId="3EF63C53">
            <w:pPr>
              <w:spacing w:line="440" w:lineRule="exact"/>
              <w:jc w:val="center"/>
              <w:rPr>
                <w:rFonts w:ascii="宋体" w:hAnsi="宋体" w:cs="Courier New"/>
                <w:color w:val="auto"/>
                <w:spacing w:val="2"/>
                <w:szCs w:val="21"/>
                <w:highlight w:val="none"/>
              </w:rPr>
            </w:pPr>
            <w:r>
              <w:rPr>
                <w:rFonts w:hint="eastAsia" w:ascii="宋体" w:hAnsi="宋体"/>
                <w:color w:val="auto"/>
                <w:szCs w:val="21"/>
                <w:highlight w:val="none"/>
              </w:rPr>
              <w:t>响应</w:t>
            </w:r>
            <w:r>
              <w:rPr>
                <w:rFonts w:hint="eastAsia" w:ascii="宋体"/>
                <w:snapToGrid w:val="0"/>
                <w:color w:val="auto"/>
                <w:szCs w:val="21"/>
                <w:highlight w:val="none"/>
              </w:rPr>
              <w:t>文件的盖章</w:t>
            </w:r>
          </w:p>
        </w:tc>
        <w:tc>
          <w:tcPr>
            <w:tcW w:w="6965" w:type="dxa"/>
            <w:vAlign w:val="center"/>
          </w:tcPr>
          <w:p w14:paraId="285209F6">
            <w:pPr>
              <w:widowControl/>
              <w:spacing w:line="440" w:lineRule="exact"/>
              <w:jc w:val="left"/>
              <w:rPr>
                <w:rFonts w:ascii="宋体"/>
                <w:snapToGrid w:val="0"/>
                <w:color w:val="auto"/>
                <w:szCs w:val="21"/>
                <w:highlight w:val="none"/>
              </w:rPr>
            </w:pPr>
            <w:r>
              <w:rPr>
                <w:rFonts w:hint="eastAsia" w:ascii="宋体" w:hAnsi="宋体"/>
                <w:color w:val="auto"/>
                <w:szCs w:val="21"/>
                <w:highlight w:val="none"/>
              </w:rPr>
              <w:t>响应</w:t>
            </w:r>
            <w:r>
              <w:rPr>
                <w:rFonts w:hint="eastAsia" w:ascii="宋体"/>
                <w:snapToGrid w:val="0"/>
                <w:color w:val="auto"/>
                <w:szCs w:val="21"/>
                <w:highlight w:val="none"/>
              </w:rPr>
              <w:t>文件中所涉及的加盖公章均采用CA电子签章。</w:t>
            </w:r>
          </w:p>
        </w:tc>
      </w:tr>
      <w:tr w14:paraId="78BFB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518" w:type="dxa"/>
            <w:vAlign w:val="center"/>
          </w:tcPr>
          <w:p w14:paraId="01C8DA9C">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16</w:t>
            </w:r>
          </w:p>
        </w:tc>
        <w:tc>
          <w:tcPr>
            <w:tcW w:w="1682" w:type="dxa"/>
            <w:vAlign w:val="center"/>
          </w:tcPr>
          <w:p w14:paraId="3642D62C">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响应文件</w:t>
            </w:r>
          </w:p>
          <w:p w14:paraId="6E670FE2">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份数</w:t>
            </w:r>
          </w:p>
        </w:tc>
        <w:tc>
          <w:tcPr>
            <w:tcW w:w="6965" w:type="dxa"/>
            <w:vAlign w:val="center"/>
          </w:tcPr>
          <w:p w14:paraId="0E9FA888">
            <w:pPr>
              <w:widowControl/>
              <w:spacing w:line="440" w:lineRule="exact"/>
              <w:jc w:val="left"/>
              <w:rPr>
                <w:rFonts w:ascii="宋体"/>
                <w:snapToGrid w:val="0"/>
                <w:color w:val="auto"/>
                <w:szCs w:val="21"/>
                <w:highlight w:val="none"/>
              </w:rPr>
            </w:pPr>
            <w:r>
              <w:rPr>
                <w:rFonts w:hint="eastAsia" w:ascii="宋体"/>
                <w:snapToGrid w:val="0"/>
                <w:color w:val="auto"/>
                <w:szCs w:val="21"/>
                <w:highlight w:val="none"/>
              </w:rPr>
              <w:t xml:space="preserve">供应商应准备电子加密响应文件、以介质存储的数据电文形式的电子备份响应文件份数： </w:t>
            </w:r>
          </w:p>
          <w:p w14:paraId="420DE1F0">
            <w:pPr>
              <w:widowControl/>
              <w:spacing w:line="440" w:lineRule="exact"/>
              <w:jc w:val="left"/>
              <w:rPr>
                <w:rFonts w:ascii="宋体"/>
                <w:snapToGrid w:val="0"/>
                <w:color w:val="auto"/>
                <w:szCs w:val="21"/>
                <w:highlight w:val="none"/>
              </w:rPr>
            </w:pPr>
            <w:r>
              <w:rPr>
                <w:rFonts w:hint="eastAsia" w:ascii="宋体"/>
                <w:snapToGrid w:val="0"/>
                <w:color w:val="auto"/>
                <w:szCs w:val="21"/>
                <w:highlight w:val="none"/>
              </w:rPr>
              <w:t>1.电子加密响应文件按政采云平台要求及本磋商文件要求制作、加密，并</w:t>
            </w:r>
            <w:r>
              <w:rPr>
                <w:rFonts w:ascii="宋体"/>
                <w:snapToGrid w:val="0"/>
                <w:color w:val="auto"/>
                <w:szCs w:val="21"/>
                <w:highlight w:val="none"/>
              </w:rPr>
              <w:t>在</w:t>
            </w:r>
            <w:r>
              <w:rPr>
                <w:rFonts w:hint="eastAsia" w:ascii="宋体"/>
                <w:snapToGrid w:val="0"/>
                <w:color w:val="auto"/>
                <w:szCs w:val="21"/>
                <w:highlight w:val="none"/>
              </w:rPr>
              <w:t>响应文件提交</w:t>
            </w:r>
            <w:r>
              <w:rPr>
                <w:rFonts w:ascii="宋体"/>
                <w:snapToGrid w:val="0"/>
                <w:color w:val="auto"/>
                <w:szCs w:val="21"/>
                <w:highlight w:val="none"/>
              </w:rPr>
              <w:t>截止时间前</w:t>
            </w:r>
            <w:r>
              <w:rPr>
                <w:rFonts w:hint="eastAsia" w:ascii="宋体"/>
                <w:snapToGrid w:val="0"/>
                <w:color w:val="auto"/>
                <w:szCs w:val="21"/>
                <w:highlight w:val="none"/>
              </w:rPr>
              <w:t>成功上传提交至“政采云平台”。“电子加密投标文件”成功上传提交后，供应商可自行打印响应文件接收回执。</w:t>
            </w:r>
          </w:p>
          <w:p w14:paraId="377AA1DB">
            <w:pPr>
              <w:widowControl/>
              <w:spacing w:line="440" w:lineRule="exact"/>
              <w:jc w:val="left"/>
              <w:rPr>
                <w:rFonts w:ascii="宋体"/>
                <w:snapToGrid w:val="0"/>
                <w:color w:val="auto"/>
                <w:szCs w:val="21"/>
                <w:highlight w:val="none"/>
              </w:rPr>
            </w:pPr>
            <w:r>
              <w:rPr>
                <w:rFonts w:hint="eastAsia" w:ascii="宋体"/>
                <w:snapToGrid w:val="0"/>
                <w:color w:val="auto"/>
                <w:szCs w:val="21"/>
                <w:highlight w:val="none"/>
              </w:rPr>
              <w:t xml:space="preserve">2.以介质存储的数据电文形式的电子备份响应文件，按政采云平台《政府采购项目电子交易管理操作指南-供应商》中上传的电子响应文件格式，以U 盘的形式提供。数量为 1 份。 </w:t>
            </w:r>
          </w:p>
          <w:p w14:paraId="3ED90BFF">
            <w:pPr>
              <w:widowControl/>
              <w:spacing w:line="440" w:lineRule="exact"/>
              <w:jc w:val="left"/>
              <w:rPr>
                <w:rFonts w:ascii="宋体"/>
                <w:snapToGrid w:val="0"/>
                <w:color w:val="auto"/>
                <w:szCs w:val="21"/>
                <w:highlight w:val="none"/>
              </w:rPr>
            </w:pPr>
            <w:r>
              <w:rPr>
                <w:rFonts w:hint="eastAsia" w:ascii="宋体"/>
                <w:snapToGrid w:val="0"/>
                <w:color w:val="auto"/>
                <w:szCs w:val="21"/>
                <w:highlight w:val="none"/>
              </w:rPr>
              <w:t xml:space="preserve">3. 响应文件启用顺序和效力。响应文件的启用，按先后顺位分别为电子加密响应文件、以介质存储的数据电文形式的电子备份响应文件。顺位在先的响应文件已按时解密的，下一顺位响应文件自动失效。在下一顺位的响应文件启用时，前一顺位的响应文件自动失效。 </w:t>
            </w:r>
          </w:p>
          <w:p w14:paraId="46C6CF02">
            <w:pPr>
              <w:widowControl/>
              <w:spacing w:line="440" w:lineRule="exact"/>
              <w:jc w:val="left"/>
              <w:rPr>
                <w:rFonts w:ascii="宋体"/>
                <w:snapToGrid w:val="0"/>
                <w:color w:val="auto"/>
                <w:szCs w:val="21"/>
                <w:highlight w:val="none"/>
              </w:rPr>
            </w:pPr>
            <w:r>
              <w:rPr>
                <w:rFonts w:hint="eastAsia" w:ascii="宋体"/>
                <w:snapToGrid w:val="0"/>
                <w:color w:val="auto"/>
                <w:szCs w:val="21"/>
                <w:highlight w:val="none"/>
              </w:rPr>
              <w:t>未</w:t>
            </w:r>
            <w:r>
              <w:rPr>
                <w:rFonts w:ascii="宋体"/>
                <w:snapToGrid w:val="0"/>
                <w:color w:val="auto"/>
                <w:szCs w:val="21"/>
                <w:highlight w:val="none"/>
              </w:rPr>
              <w:t>在</w:t>
            </w:r>
            <w:r>
              <w:rPr>
                <w:rFonts w:hint="eastAsia" w:ascii="宋体"/>
                <w:snapToGrid w:val="0"/>
                <w:color w:val="auto"/>
                <w:szCs w:val="21"/>
                <w:highlight w:val="none"/>
              </w:rPr>
              <w:t>响应文件提交</w:t>
            </w:r>
            <w:r>
              <w:rPr>
                <w:rFonts w:ascii="宋体"/>
                <w:snapToGrid w:val="0"/>
                <w:color w:val="auto"/>
                <w:szCs w:val="21"/>
                <w:highlight w:val="none"/>
              </w:rPr>
              <w:t>截止时间前</w:t>
            </w:r>
            <w:r>
              <w:rPr>
                <w:rFonts w:hint="eastAsia" w:ascii="宋体"/>
                <w:snapToGrid w:val="0"/>
                <w:color w:val="auto"/>
                <w:szCs w:val="21"/>
                <w:highlight w:val="none"/>
              </w:rPr>
              <w:t xml:space="preserve">传输提交电子加密响应文件的，响应无效。 </w:t>
            </w:r>
          </w:p>
          <w:p w14:paraId="76B7600E">
            <w:pPr>
              <w:spacing w:line="420" w:lineRule="exact"/>
              <w:rPr>
                <w:rFonts w:ascii="宋体" w:hAnsi="宋体" w:cs="Courier New"/>
                <w:color w:val="auto"/>
                <w:spacing w:val="2"/>
                <w:szCs w:val="21"/>
                <w:highlight w:val="none"/>
              </w:rPr>
            </w:pPr>
            <w:r>
              <w:rPr>
                <w:rFonts w:hint="eastAsia" w:ascii="宋体"/>
                <w:snapToGrid w:val="0"/>
                <w:color w:val="auto"/>
                <w:szCs w:val="21"/>
                <w:highlight w:val="none"/>
              </w:rPr>
              <w:t>未按规定提供相应的备份响应文件，造成项目开评标活动无法进行下去的，响应无效。</w:t>
            </w:r>
          </w:p>
        </w:tc>
      </w:tr>
      <w:tr w14:paraId="4C92B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518" w:type="dxa"/>
            <w:vAlign w:val="center"/>
          </w:tcPr>
          <w:p w14:paraId="4FC71B5D">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17</w:t>
            </w:r>
          </w:p>
        </w:tc>
        <w:tc>
          <w:tcPr>
            <w:tcW w:w="1682" w:type="dxa"/>
            <w:vAlign w:val="center"/>
          </w:tcPr>
          <w:p w14:paraId="55A30818">
            <w:pPr>
              <w:spacing w:line="440" w:lineRule="exact"/>
              <w:jc w:val="center"/>
              <w:rPr>
                <w:rFonts w:ascii="宋体" w:hAnsi="宋体" w:cs="宋体"/>
                <w:color w:val="auto"/>
                <w:spacing w:val="2"/>
                <w:szCs w:val="21"/>
                <w:highlight w:val="none"/>
              </w:rPr>
            </w:pPr>
            <w:r>
              <w:rPr>
                <w:rFonts w:hint="eastAsia" w:ascii="宋体"/>
                <w:snapToGrid w:val="0"/>
                <w:color w:val="auto"/>
                <w:szCs w:val="21"/>
                <w:highlight w:val="none"/>
              </w:rPr>
              <w:t>电子响应文件的解密</w:t>
            </w:r>
          </w:p>
        </w:tc>
        <w:tc>
          <w:tcPr>
            <w:tcW w:w="6965" w:type="dxa"/>
            <w:vAlign w:val="center"/>
          </w:tcPr>
          <w:p w14:paraId="7478E518">
            <w:pPr>
              <w:adjustRightInd w:val="0"/>
              <w:spacing w:line="420" w:lineRule="exact"/>
              <w:ind w:firstLine="420" w:firstLineChars="200"/>
              <w:rPr>
                <w:rFonts w:ascii="宋体" w:hAnsi="宋体" w:cs="宋体"/>
                <w:color w:val="auto"/>
                <w:spacing w:val="2"/>
                <w:szCs w:val="21"/>
                <w:highlight w:val="none"/>
              </w:rPr>
            </w:pPr>
            <w:r>
              <w:rPr>
                <w:rFonts w:hint="eastAsia" w:ascii="宋体"/>
                <w:snapToGrid w:val="0"/>
                <w:color w:val="auto"/>
                <w:szCs w:val="21"/>
                <w:highlight w:val="none"/>
              </w:rPr>
              <w:t>响应文件提交截止时间后 30 分钟内，供应商必须在此时间段内登录政采云平台，用“项目采购-开标评标”功能完成电子响应文件的解密。若供应商在规定时间内未按时解密的，供应商已递交了电子备份响应文件的，以电子备份响应文件为依据，未能按时解密且未提交电子备份响应文件的视为响应文件撤回。</w:t>
            </w:r>
          </w:p>
        </w:tc>
      </w:tr>
      <w:tr w14:paraId="79386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518" w:type="dxa"/>
            <w:vAlign w:val="center"/>
          </w:tcPr>
          <w:p w14:paraId="2DE38E1D">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18</w:t>
            </w:r>
          </w:p>
        </w:tc>
        <w:tc>
          <w:tcPr>
            <w:tcW w:w="1682" w:type="dxa"/>
            <w:vAlign w:val="center"/>
          </w:tcPr>
          <w:p w14:paraId="3564BE23">
            <w:pPr>
              <w:spacing w:line="440" w:lineRule="exact"/>
              <w:jc w:val="center"/>
              <w:rPr>
                <w:rFonts w:ascii="宋体" w:hAnsi="宋体" w:cs="宋体"/>
                <w:color w:val="auto"/>
                <w:spacing w:val="2"/>
                <w:szCs w:val="21"/>
                <w:highlight w:val="none"/>
              </w:rPr>
            </w:pPr>
            <w:r>
              <w:rPr>
                <w:rFonts w:hint="eastAsia" w:ascii="宋体" w:hAnsi="宋体" w:cs="宋体"/>
                <w:color w:val="auto"/>
                <w:spacing w:val="2"/>
                <w:szCs w:val="21"/>
                <w:highlight w:val="none"/>
              </w:rPr>
              <w:t>响应文件提交地点及截止时间</w:t>
            </w:r>
          </w:p>
        </w:tc>
        <w:tc>
          <w:tcPr>
            <w:tcW w:w="6965" w:type="dxa"/>
            <w:vAlign w:val="center"/>
          </w:tcPr>
          <w:p w14:paraId="48B31B28">
            <w:pPr>
              <w:adjustRightInd w:val="0"/>
              <w:spacing w:line="420" w:lineRule="exact"/>
              <w:ind w:firstLine="420" w:firstLineChars="200"/>
              <w:rPr>
                <w:rFonts w:hint="eastAsia" w:ascii="宋体"/>
                <w:snapToGrid w:val="0"/>
                <w:color w:val="auto"/>
                <w:szCs w:val="21"/>
                <w:highlight w:val="none"/>
              </w:rPr>
            </w:pPr>
            <w:r>
              <w:rPr>
                <w:rFonts w:hint="eastAsia" w:ascii="宋体"/>
                <w:snapToGrid w:val="0"/>
                <w:color w:val="auto"/>
                <w:szCs w:val="21"/>
                <w:highlight w:val="none"/>
              </w:rPr>
              <w:t>截止时间：</w:t>
            </w:r>
            <w:r>
              <w:rPr>
                <w:rFonts w:hint="eastAsia" w:ascii="宋体"/>
                <w:snapToGrid w:val="0"/>
                <w:color w:val="auto"/>
                <w:szCs w:val="21"/>
                <w:highlight w:val="none"/>
                <w:lang w:eastAsia="zh-CN"/>
              </w:rPr>
              <w:t>详见公告</w:t>
            </w:r>
            <w:r>
              <w:rPr>
                <w:rFonts w:hint="eastAsia" w:ascii="宋体"/>
                <w:snapToGrid w:val="0"/>
                <w:color w:val="auto"/>
                <w:szCs w:val="21"/>
                <w:highlight w:val="none"/>
              </w:rPr>
              <w:t>。</w:t>
            </w:r>
          </w:p>
          <w:p w14:paraId="7B1D6BD3">
            <w:pPr>
              <w:adjustRightInd w:val="0"/>
              <w:spacing w:line="420" w:lineRule="exact"/>
              <w:ind w:firstLine="420" w:firstLineChars="200"/>
              <w:rPr>
                <w:rFonts w:hint="eastAsia" w:ascii="宋体"/>
                <w:snapToGrid w:val="0"/>
                <w:color w:val="auto"/>
                <w:szCs w:val="21"/>
                <w:highlight w:val="none"/>
              </w:rPr>
            </w:pPr>
            <w:r>
              <w:rPr>
                <w:rFonts w:hint="eastAsia" w:ascii="宋体"/>
                <w:snapToGrid w:val="0"/>
                <w:color w:val="auto"/>
                <w:szCs w:val="21"/>
                <w:highlight w:val="none"/>
              </w:rPr>
              <w:t>地点：通过</w:t>
            </w:r>
            <w:r>
              <w:rPr>
                <w:rFonts w:hint="eastAsia" w:ascii="宋体"/>
                <w:snapToGrid w:val="0"/>
                <w:color w:val="auto"/>
                <w:szCs w:val="21"/>
                <w:highlight w:val="none"/>
                <w:lang w:eastAsia="zh-CN"/>
              </w:rPr>
              <w:t>广西政府采购云</w:t>
            </w:r>
            <w:r>
              <w:rPr>
                <w:rFonts w:hint="eastAsia" w:ascii="宋体"/>
                <w:snapToGrid w:val="0"/>
                <w:color w:val="auto"/>
                <w:szCs w:val="21"/>
                <w:highlight w:val="none"/>
              </w:rPr>
              <w:t>平台（网址：http://www.zcygov.cn）实行在线响应（本项目采用在线开评标方式，供应商无须前往开标现场）。</w:t>
            </w:r>
          </w:p>
        </w:tc>
      </w:tr>
      <w:tr w14:paraId="26317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18" w:type="dxa"/>
            <w:vAlign w:val="center"/>
          </w:tcPr>
          <w:p w14:paraId="38775445">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19</w:t>
            </w:r>
          </w:p>
        </w:tc>
        <w:tc>
          <w:tcPr>
            <w:tcW w:w="1682" w:type="dxa"/>
            <w:vAlign w:val="center"/>
          </w:tcPr>
          <w:p w14:paraId="50B191A0">
            <w:pPr>
              <w:spacing w:line="440" w:lineRule="exact"/>
              <w:jc w:val="center"/>
              <w:rPr>
                <w:rFonts w:ascii="宋体" w:hAnsi="宋体" w:cs="宋体"/>
                <w:color w:val="auto"/>
                <w:spacing w:val="2"/>
                <w:szCs w:val="21"/>
                <w:highlight w:val="none"/>
              </w:rPr>
            </w:pPr>
            <w:r>
              <w:rPr>
                <w:rFonts w:hint="eastAsia" w:ascii="宋体" w:hAnsi="宋体" w:cs="Courier New"/>
                <w:color w:val="auto"/>
                <w:spacing w:val="2"/>
                <w:szCs w:val="21"/>
                <w:highlight w:val="none"/>
              </w:rPr>
              <w:t>磋商</w:t>
            </w:r>
            <w:r>
              <w:rPr>
                <w:rFonts w:hint="eastAsia" w:ascii="宋体" w:hAnsi="宋体" w:cs="宋体"/>
                <w:color w:val="auto"/>
                <w:szCs w:val="21"/>
                <w:highlight w:val="none"/>
              </w:rPr>
              <w:t>时间及</w:t>
            </w:r>
            <w:r>
              <w:rPr>
                <w:rFonts w:hint="eastAsia" w:ascii="宋体" w:hAnsi="宋体" w:cs="Courier New"/>
                <w:color w:val="auto"/>
                <w:spacing w:val="2"/>
                <w:szCs w:val="21"/>
                <w:highlight w:val="none"/>
              </w:rPr>
              <w:t>磋商</w:t>
            </w:r>
            <w:r>
              <w:rPr>
                <w:rFonts w:hint="eastAsia" w:ascii="宋体" w:hAnsi="宋体" w:cs="宋体"/>
                <w:color w:val="auto"/>
                <w:spacing w:val="2"/>
                <w:szCs w:val="21"/>
                <w:highlight w:val="none"/>
              </w:rPr>
              <w:t>地点</w:t>
            </w:r>
          </w:p>
        </w:tc>
        <w:tc>
          <w:tcPr>
            <w:tcW w:w="6965" w:type="dxa"/>
            <w:vAlign w:val="center"/>
          </w:tcPr>
          <w:p w14:paraId="10D61C7E">
            <w:pPr>
              <w:adjustRightInd w:val="0"/>
              <w:spacing w:line="420" w:lineRule="exact"/>
              <w:ind w:firstLine="420" w:firstLineChars="200"/>
              <w:rPr>
                <w:rFonts w:hint="eastAsia" w:ascii="宋体"/>
                <w:snapToGrid w:val="0"/>
                <w:color w:val="auto"/>
                <w:szCs w:val="21"/>
                <w:highlight w:val="none"/>
              </w:rPr>
            </w:pPr>
            <w:r>
              <w:rPr>
                <w:rFonts w:hint="eastAsia" w:ascii="宋体"/>
                <w:snapToGrid w:val="0"/>
                <w:color w:val="auto"/>
                <w:szCs w:val="21"/>
                <w:highlight w:val="none"/>
              </w:rPr>
              <w:t>磋商时间：</w:t>
            </w:r>
            <w:r>
              <w:rPr>
                <w:rFonts w:hint="eastAsia" w:ascii="宋体"/>
                <w:snapToGrid w:val="0"/>
                <w:color w:val="auto"/>
                <w:szCs w:val="21"/>
                <w:highlight w:val="none"/>
                <w:lang w:eastAsia="zh-CN"/>
              </w:rPr>
              <w:t>详见公告</w:t>
            </w:r>
            <w:r>
              <w:rPr>
                <w:rFonts w:hint="eastAsia" w:ascii="宋体"/>
                <w:snapToGrid w:val="0"/>
                <w:color w:val="auto"/>
                <w:szCs w:val="21"/>
                <w:highlight w:val="none"/>
              </w:rPr>
              <w:t>。</w:t>
            </w:r>
          </w:p>
          <w:p w14:paraId="3252B926">
            <w:pPr>
              <w:adjustRightInd w:val="0"/>
              <w:spacing w:line="420" w:lineRule="exact"/>
              <w:ind w:firstLine="420" w:firstLineChars="200"/>
              <w:rPr>
                <w:rFonts w:hint="eastAsia" w:ascii="宋体"/>
                <w:snapToGrid w:val="0"/>
                <w:color w:val="auto"/>
                <w:szCs w:val="21"/>
                <w:highlight w:val="none"/>
              </w:rPr>
            </w:pPr>
            <w:r>
              <w:rPr>
                <w:rFonts w:hint="eastAsia" w:ascii="宋体"/>
                <w:snapToGrid w:val="0"/>
                <w:color w:val="auto"/>
                <w:szCs w:val="21"/>
                <w:highlight w:val="none"/>
              </w:rPr>
              <w:t>磋商地点：通过</w:t>
            </w:r>
            <w:r>
              <w:rPr>
                <w:rFonts w:hint="eastAsia" w:ascii="宋体"/>
                <w:snapToGrid w:val="0"/>
                <w:color w:val="auto"/>
                <w:szCs w:val="21"/>
                <w:highlight w:val="none"/>
                <w:lang w:eastAsia="zh-CN"/>
              </w:rPr>
              <w:t>广西政府采购云</w:t>
            </w:r>
            <w:r>
              <w:rPr>
                <w:rFonts w:hint="eastAsia" w:ascii="宋体"/>
                <w:snapToGrid w:val="0"/>
                <w:color w:val="auto"/>
                <w:szCs w:val="21"/>
                <w:highlight w:val="none"/>
              </w:rPr>
              <w:t>平台（网址：http://www.zcygov.cn）实行在线响应（本项目采用在线开评标方式，供应商无须前往开标现场）。</w:t>
            </w:r>
          </w:p>
        </w:tc>
      </w:tr>
      <w:tr w14:paraId="0EBD6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518" w:type="dxa"/>
            <w:vAlign w:val="center"/>
          </w:tcPr>
          <w:p w14:paraId="727EDFF0">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20</w:t>
            </w:r>
          </w:p>
        </w:tc>
        <w:tc>
          <w:tcPr>
            <w:tcW w:w="1682" w:type="dxa"/>
            <w:vAlign w:val="center"/>
          </w:tcPr>
          <w:p w14:paraId="01EC75E0">
            <w:pPr>
              <w:spacing w:line="440" w:lineRule="exact"/>
              <w:jc w:val="center"/>
              <w:rPr>
                <w:rFonts w:ascii="宋体" w:hAnsi="宋体"/>
                <w:color w:val="auto"/>
                <w:szCs w:val="21"/>
                <w:highlight w:val="none"/>
              </w:rPr>
            </w:pPr>
            <w:r>
              <w:rPr>
                <w:rFonts w:hint="eastAsia" w:ascii="宋体" w:hAnsi="宋体"/>
                <w:color w:val="auto"/>
                <w:szCs w:val="21"/>
                <w:highlight w:val="none"/>
              </w:rPr>
              <w:t>资格审查</w:t>
            </w:r>
          </w:p>
          <w:p w14:paraId="1C76D8FB">
            <w:pPr>
              <w:spacing w:line="440" w:lineRule="exact"/>
              <w:jc w:val="center"/>
              <w:rPr>
                <w:rFonts w:ascii="宋体" w:hAnsi="宋体"/>
                <w:color w:val="auto"/>
                <w:szCs w:val="21"/>
                <w:highlight w:val="none"/>
              </w:rPr>
            </w:pPr>
            <w:r>
              <w:rPr>
                <w:rFonts w:hint="eastAsia" w:ascii="宋体" w:hAnsi="宋体"/>
                <w:color w:val="auto"/>
                <w:szCs w:val="21"/>
                <w:highlight w:val="none"/>
              </w:rPr>
              <w:t>方式</w:t>
            </w:r>
          </w:p>
        </w:tc>
        <w:tc>
          <w:tcPr>
            <w:tcW w:w="6965" w:type="dxa"/>
            <w:vAlign w:val="center"/>
          </w:tcPr>
          <w:p w14:paraId="7F43CBD6">
            <w:pPr>
              <w:spacing w:line="420" w:lineRule="exact"/>
              <w:rPr>
                <w:rFonts w:ascii="宋体" w:hAnsi="宋体"/>
                <w:color w:val="auto"/>
                <w:szCs w:val="21"/>
                <w:highlight w:val="none"/>
              </w:rPr>
            </w:pPr>
            <w:r>
              <w:rPr>
                <w:rFonts w:hint="eastAsia" w:ascii="宋体" w:hAnsi="宋体"/>
                <w:color w:val="auto"/>
                <w:szCs w:val="21"/>
                <w:highlight w:val="none"/>
              </w:rPr>
              <w:t>资格后审</w:t>
            </w:r>
          </w:p>
        </w:tc>
      </w:tr>
      <w:tr w14:paraId="27016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518" w:type="dxa"/>
            <w:vAlign w:val="center"/>
          </w:tcPr>
          <w:p w14:paraId="23747CDD">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21</w:t>
            </w:r>
          </w:p>
        </w:tc>
        <w:tc>
          <w:tcPr>
            <w:tcW w:w="1682" w:type="dxa"/>
            <w:vAlign w:val="center"/>
          </w:tcPr>
          <w:p w14:paraId="49CD8472">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评标办法</w:t>
            </w:r>
          </w:p>
        </w:tc>
        <w:tc>
          <w:tcPr>
            <w:tcW w:w="6965" w:type="dxa"/>
            <w:vAlign w:val="center"/>
          </w:tcPr>
          <w:p w14:paraId="719758FD">
            <w:pPr>
              <w:spacing w:line="420" w:lineRule="exact"/>
              <w:ind w:left="1890" w:hanging="1890" w:hangingChars="900"/>
              <w:rPr>
                <w:rFonts w:ascii="宋体" w:hAnsi="宋体" w:cs="Courier New"/>
                <w:color w:val="auto"/>
                <w:spacing w:val="2"/>
                <w:szCs w:val="21"/>
                <w:highlight w:val="none"/>
              </w:rPr>
            </w:pPr>
            <w:r>
              <w:rPr>
                <w:rFonts w:hint="eastAsia" w:ascii="宋体" w:hAnsi="宋体"/>
                <w:color w:val="auto"/>
                <w:szCs w:val="21"/>
                <w:highlight w:val="none"/>
              </w:rPr>
              <w:t>采用综合评分</w:t>
            </w:r>
            <w:r>
              <w:rPr>
                <w:rFonts w:ascii="宋体" w:hAnsi="宋体"/>
                <w:color w:val="auto"/>
                <w:szCs w:val="21"/>
                <w:highlight w:val="none"/>
              </w:rPr>
              <w:t>法</w:t>
            </w:r>
            <w:r>
              <w:rPr>
                <w:rFonts w:hint="eastAsia" w:ascii="宋体" w:hAnsi="宋体"/>
                <w:color w:val="auto"/>
                <w:szCs w:val="21"/>
                <w:highlight w:val="none"/>
              </w:rPr>
              <w:t>。</w:t>
            </w:r>
          </w:p>
        </w:tc>
      </w:tr>
      <w:tr w14:paraId="699B2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518" w:type="dxa"/>
            <w:vAlign w:val="center"/>
          </w:tcPr>
          <w:p w14:paraId="6804DC00">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22</w:t>
            </w:r>
          </w:p>
        </w:tc>
        <w:tc>
          <w:tcPr>
            <w:tcW w:w="1682" w:type="dxa"/>
            <w:vAlign w:val="center"/>
          </w:tcPr>
          <w:p w14:paraId="1016E7B6">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履约保证金</w:t>
            </w:r>
          </w:p>
        </w:tc>
        <w:tc>
          <w:tcPr>
            <w:tcW w:w="6965" w:type="dxa"/>
            <w:vAlign w:val="center"/>
          </w:tcPr>
          <w:p w14:paraId="5D695D45">
            <w:pPr>
              <w:spacing w:line="420" w:lineRule="exact"/>
              <w:rPr>
                <w:rFonts w:ascii="宋体" w:hAnsi="宋体" w:cs="Arial"/>
                <w:color w:val="auto"/>
                <w:szCs w:val="21"/>
                <w:highlight w:val="none"/>
              </w:rPr>
            </w:pPr>
            <w:r>
              <w:rPr>
                <w:rFonts w:hint="eastAsia" w:ascii="宋体" w:hAnsi="宋体" w:cs="Arial"/>
                <w:color w:val="auto"/>
                <w:szCs w:val="21"/>
                <w:highlight w:val="none"/>
              </w:rPr>
              <w:t>本项目不收取</w:t>
            </w:r>
            <w:r>
              <w:rPr>
                <w:rFonts w:hint="eastAsia" w:ascii="宋体" w:hAnsi="宋体" w:cs="Courier New"/>
                <w:color w:val="auto"/>
                <w:spacing w:val="2"/>
                <w:szCs w:val="21"/>
                <w:highlight w:val="none"/>
              </w:rPr>
              <w:t>履约保证金。</w:t>
            </w:r>
          </w:p>
        </w:tc>
      </w:tr>
      <w:tr w14:paraId="33BEF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518" w:type="dxa"/>
            <w:vMerge w:val="restart"/>
            <w:vAlign w:val="center"/>
          </w:tcPr>
          <w:p w14:paraId="2B0316E0">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23</w:t>
            </w:r>
          </w:p>
        </w:tc>
        <w:tc>
          <w:tcPr>
            <w:tcW w:w="1682" w:type="dxa"/>
            <w:vMerge w:val="restart"/>
            <w:vAlign w:val="center"/>
          </w:tcPr>
          <w:p w14:paraId="375B1607">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联系人</w:t>
            </w:r>
          </w:p>
        </w:tc>
        <w:tc>
          <w:tcPr>
            <w:tcW w:w="6965" w:type="dxa"/>
            <w:vAlign w:val="center"/>
          </w:tcPr>
          <w:p w14:paraId="35B70413">
            <w:pPr>
              <w:spacing w:line="440" w:lineRule="exact"/>
              <w:rPr>
                <w:rFonts w:hint="default" w:ascii="宋体" w:hAnsi="宋体"/>
                <w:color w:val="auto"/>
                <w:sz w:val="21"/>
                <w:szCs w:val="21"/>
                <w:highlight w:val="none"/>
                <w:lang w:val="en-US"/>
              </w:rPr>
            </w:pPr>
            <w:r>
              <w:rPr>
                <w:rFonts w:hint="eastAsia" w:ascii="宋体" w:hAnsi="宋体"/>
                <w:color w:val="auto"/>
                <w:sz w:val="21"/>
                <w:szCs w:val="21"/>
                <w:highlight w:val="none"/>
              </w:rPr>
              <w:t>采购联系人：</w:t>
            </w:r>
            <w:r>
              <w:rPr>
                <w:rFonts w:hint="eastAsia" w:ascii="宋体" w:hAnsi="宋体"/>
                <w:color w:val="auto"/>
                <w:sz w:val="21"/>
                <w:szCs w:val="21"/>
                <w:highlight w:val="none"/>
                <w:lang w:val="en-US" w:eastAsia="zh-CN"/>
              </w:rPr>
              <w:t>欧主任</w:t>
            </w:r>
            <w:r>
              <w:rPr>
                <w:rFonts w:hint="eastAsia" w:ascii="宋体" w:hAnsi="宋体"/>
                <w:color w:val="auto"/>
                <w:sz w:val="21"/>
                <w:szCs w:val="21"/>
                <w:highlight w:val="none"/>
              </w:rPr>
              <w:t xml:space="preserve"> 联系电话：</w:t>
            </w:r>
            <w:r>
              <w:rPr>
                <w:color w:val="auto"/>
                <w:sz w:val="21"/>
                <w:szCs w:val="21"/>
                <w:highlight w:val="none"/>
                <w:u w:val="none"/>
              </w:rPr>
              <w:t xml:space="preserve"> </w:t>
            </w:r>
            <w:r>
              <w:rPr>
                <w:rFonts w:hint="eastAsia" w:ascii="宋体" w:hAnsi="宋体" w:eastAsia="宋体" w:cs="宋体"/>
                <w:color w:val="auto"/>
                <w:kern w:val="0"/>
                <w:sz w:val="21"/>
                <w:szCs w:val="21"/>
                <w:highlight w:val="none"/>
                <w:u w:val="none"/>
                <w:lang w:val="en-US" w:eastAsia="zh-CN" w:bidi="ar"/>
              </w:rPr>
              <w:t>0771-</w:t>
            </w:r>
            <w:r>
              <w:rPr>
                <w:rFonts w:hint="eastAsia" w:ascii="宋体" w:hAnsi="宋体" w:cs="宋体"/>
                <w:color w:val="auto"/>
                <w:kern w:val="0"/>
                <w:sz w:val="21"/>
                <w:szCs w:val="21"/>
                <w:highlight w:val="none"/>
                <w:u w:val="none"/>
                <w:lang w:val="en-US" w:eastAsia="zh-CN" w:bidi="ar"/>
              </w:rPr>
              <w:t>8815910</w:t>
            </w:r>
          </w:p>
        </w:tc>
      </w:tr>
      <w:tr w14:paraId="32CCD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518" w:type="dxa"/>
            <w:vMerge w:val="continue"/>
            <w:vAlign w:val="center"/>
          </w:tcPr>
          <w:p w14:paraId="36609FC0">
            <w:pPr>
              <w:spacing w:line="440" w:lineRule="exact"/>
              <w:jc w:val="center"/>
              <w:rPr>
                <w:rFonts w:ascii="宋体" w:hAnsi="宋体" w:cs="Courier New"/>
                <w:color w:val="auto"/>
                <w:spacing w:val="2"/>
                <w:szCs w:val="21"/>
                <w:highlight w:val="none"/>
              </w:rPr>
            </w:pPr>
          </w:p>
        </w:tc>
        <w:tc>
          <w:tcPr>
            <w:tcW w:w="1682" w:type="dxa"/>
            <w:vMerge w:val="continue"/>
            <w:vAlign w:val="center"/>
          </w:tcPr>
          <w:p w14:paraId="39C2E884">
            <w:pPr>
              <w:spacing w:line="440" w:lineRule="exact"/>
              <w:jc w:val="center"/>
              <w:rPr>
                <w:rFonts w:ascii="宋体" w:hAnsi="宋体" w:cs="Courier New"/>
                <w:color w:val="auto"/>
                <w:spacing w:val="2"/>
                <w:szCs w:val="21"/>
                <w:highlight w:val="none"/>
              </w:rPr>
            </w:pPr>
          </w:p>
        </w:tc>
        <w:tc>
          <w:tcPr>
            <w:tcW w:w="6965" w:type="dxa"/>
            <w:vAlign w:val="center"/>
          </w:tcPr>
          <w:p w14:paraId="51FFE628">
            <w:pPr>
              <w:autoSpaceDE w:val="0"/>
              <w:spacing w:line="420" w:lineRule="exact"/>
              <w:rPr>
                <w:rFonts w:hint="default" w:ascii="宋体" w:hAnsi="宋体"/>
                <w:color w:val="auto"/>
                <w:sz w:val="21"/>
                <w:szCs w:val="21"/>
                <w:highlight w:val="none"/>
                <w:lang w:val="en-US"/>
              </w:rPr>
            </w:pPr>
            <w:r>
              <w:rPr>
                <w:rFonts w:hint="eastAsia" w:ascii="宋体" w:hAnsi="宋体"/>
                <w:color w:val="auto"/>
                <w:sz w:val="21"/>
                <w:szCs w:val="21"/>
                <w:highlight w:val="none"/>
              </w:rPr>
              <w:t>代理机构联系人：</w:t>
            </w:r>
            <w:r>
              <w:rPr>
                <w:rFonts w:hint="eastAsia" w:ascii="宋体" w:hAnsi="宋体"/>
                <w:color w:val="auto"/>
                <w:sz w:val="21"/>
                <w:szCs w:val="21"/>
                <w:highlight w:val="none"/>
                <w:lang w:eastAsia="zh-CN"/>
              </w:rPr>
              <w:t>张凯</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联系电话：</w:t>
            </w:r>
            <w:r>
              <w:rPr>
                <w:rFonts w:hint="eastAsia" w:cs="宋体" w:asciiTheme="minorEastAsia" w:hAnsiTheme="minorEastAsia" w:eastAsiaTheme="minorEastAsia"/>
                <w:color w:val="auto"/>
                <w:szCs w:val="21"/>
                <w:highlight w:val="none"/>
                <w:lang w:val="en-US" w:eastAsia="zh-CN"/>
              </w:rPr>
              <w:t>15977674154</w:t>
            </w:r>
          </w:p>
        </w:tc>
      </w:tr>
      <w:tr w14:paraId="15812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518" w:type="dxa"/>
            <w:vMerge w:val="continue"/>
            <w:vAlign w:val="center"/>
          </w:tcPr>
          <w:p w14:paraId="19E75305">
            <w:pPr>
              <w:spacing w:line="440" w:lineRule="exact"/>
              <w:jc w:val="center"/>
              <w:rPr>
                <w:rFonts w:ascii="宋体" w:hAnsi="宋体" w:cs="Courier New"/>
                <w:color w:val="auto"/>
                <w:spacing w:val="2"/>
                <w:szCs w:val="21"/>
                <w:highlight w:val="none"/>
              </w:rPr>
            </w:pPr>
          </w:p>
        </w:tc>
        <w:tc>
          <w:tcPr>
            <w:tcW w:w="1682" w:type="dxa"/>
            <w:vMerge w:val="continue"/>
            <w:vAlign w:val="center"/>
          </w:tcPr>
          <w:p w14:paraId="7DD7468E">
            <w:pPr>
              <w:spacing w:line="440" w:lineRule="exact"/>
              <w:jc w:val="center"/>
              <w:rPr>
                <w:rFonts w:ascii="宋体" w:hAnsi="宋体" w:cs="Courier New"/>
                <w:color w:val="auto"/>
                <w:spacing w:val="2"/>
                <w:szCs w:val="21"/>
                <w:highlight w:val="none"/>
              </w:rPr>
            </w:pPr>
          </w:p>
        </w:tc>
        <w:tc>
          <w:tcPr>
            <w:tcW w:w="6965" w:type="dxa"/>
            <w:vAlign w:val="center"/>
          </w:tcPr>
          <w:p w14:paraId="0E301005">
            <w:pPr>
              <w:spacing w:line="420" w:lineRule="exact"/>
              <w:rPr>
                <w:rFonts w:ascii="宋体" w:hAnsi="宋体"/>
                <w:color w:val="auto"/>
                <w:sz w:val="21"/>
                <w:szCs w:val="21"/>
                <w:highlight w:val="none"/>
              </w:rPr>
            </w:pPr>
            <w:r>
              <w:rPr>
                <w:rFonts w:hint="eastAsia" w:ascii="宋体" w:hAnsi="宋体"/>
                <w:color w:val="auto"/>
                <w:sz w:val="21"/>
                <w:szCs w:val="21"/>
                <w:highlight w:val="none"/>
              </w:rPr>
              <w:t>行政监督单位：</w:t>
            </w:r>
            <w:r>
              <w:rPr>
                <w:rFonts w:hint="eastAsia" w:ascii="宋体" w:hAnsi="宋体"/>
                <w:color w:val="auto"/>
                <w:sz w:val="21"/>
                <w:szCs w:val="21"/>
                <w:highlight w:val="none"/>
                <w:lang w:val="en-US" w:eastAsia="zh-CN"/>
              </w:rPr>
              <w:t>龙州县</w:t>
            </w:r>
            <w:r>
              <w:rPr>
                <w:rFonts w:hint="eastAsia" w:ascii="宋体" w:hAnsi="宋体"/>
                <w:color w:val="auto"/>
                <w:sz w:val="21"/>
                <w:szCs w:val="21"/>
                <w:highlight w:val="none"/>
              </w:rPr>
              <w:t xml:space="preserve">财政局政府采购监督管理股      </w:t>
            </w:r>
          </w:p>
          <w:p w14:paraId="63626C48">
            <w:pPr>
              <w:spacing w:line="420" w:lineRule="exact"/>
              <w:rPr>
                <w:rFonts w:ascii="宋体" w:hAnsi="宋体"/>
                <w:color w:val="auto"/>
                <w:sz w:val="21"/>
                <w:szCs w:val="21"/>
                <w:highlight w:val="none"/>
              </w:rPr>
            </w:pPr>
            <w:r>
              <w:rPr>
                <w:rFonts w:hint="eastAsia" w:ascii="宋体" w:hAnsi="宋体"/>
                <w:color w:val="auto"/>
                <w:sz w:val="21"/>
                <w:szCs w:val="21"/>
                <w:highlight w:val="none"/>
              </w:rPr>
              <w:t>联系电话：</w:t>
            </w:r>
            <w:r>
              <w:rPr>
                <w:rFonts w:hint="eastAsia" w:ascii="宋体" w:hAnsi="宋体" w:eastAsia="宋体" w:cs="宋体"/>
                <w:color w:val="auto"/>
                <w:kern w:val="2"/>
                <w:sz w:val="21"/>
                <w:szCs w:val="21"/>
                <w:highlight w:val="none"/>
                <w:lang w:val="en-US" w:eastAsia="zh-CN" w:bidi="ar"/>
              </w:rPr>
              <w:t>0771-</w:t>
            </w:r>
            <w:r>
              <w:rPr>
                <w:rFonts w:hint="eastAsia" w:ascii="宋体" w:hAnsi="宋体" w:cs="宋体"/>
                <w:color w:val="auto"/>
                <w:kern w:val="2"/>
                <w:sz w:val="21"/>
                <w:szCs w:val="21"/>
                <w:highlight w:val="none"/>
                <w:lang w:val="en-US" w:eastAsia="zh-CN" w:bidi="ar"/>
              </w:rPr>
              <w:t>8812665</w:t>
            </w:r>
          </w:p>
        </w:tc>
      </w:tr>
      <w:tr w14:paraId="5C99F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518" w:type="dxa"/>
            <w:vAlign w:val="center"/>
          </w:tcPr>
          <w:p w14:paraId="2D92A99A">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24</w:t>
            </w:r>
          </w:p>
        </w:tc>
        <w:tc>
          <w:tcPr>
            <w:tcW w:w="1682" w:type="dxa"/>
            <w:vAlign w:val="center"/>
          </w:tcPr>
          <w:p w14:paraId="36FD94D6">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其他说明</w:t>
            </w:r>
          </w:p>
        </w:tc>
        <w:tc>
          <w:tcPr>
            <w:tcW w:w="6965" w:type="dxa"/>
            <w:vAlign w:val="center"/>
          </w:tcPr>
          <w:p w14:paraId="779C7B7B">
            <w:pPr>
              <w:widowControl/>
              <w:spacing w:line="440" w:lineRule="exact"/>
              <w:jc w:val="left"/>
              <w:rPr>
                <w:rFonts w:ascii="宋体"/>
                <w:snapToGrid w:val="0"/>
                <w:color w:val="auto"/>
                <w:szCs w:val="21"/>
                <w:highlight w:val="none"/>
              </w:rPr>
            </w:pPr>
            <w:r>
              <w:rPr>
                <w:rFonts w:hint="eastAsia" w:ascii="宋体"/>
                <w:snapToGrid w:val="0"/>
                <w:color w:val="auto"/>
                <w:szCs w:val="21"/>
                <w:highlight w:val="none"/>
              </w:rPr>
              <w:t xml:space="preserve">采购人或者采购代理机构在资格审查结束前，对供应商进行信用查询。 </w:t>
            </w:r>
          </w:p>
          <w:p w14:paraId="39E4B69E">
            <w:pPr>
              <w:widowControl/>
              <w:spacing w:line="440" w:lineRule="exact"/>
              <w:jc w:val="left"/>
              <w:rPr>
                <w:rFonts w:ascii="宋体"/>
                <w:snapToGrid w:val="0"/>
                <w:color w:val="auto"/>
                <w:szCs w:val="21"/>
                <w:highlight w:val="none"/>
              </w:rPr>
            </w:pPr>
            <w:r>
              <w:rPr>
                <w:rFonts w:hint="eastAsia" w:ascii="宋体"/>
                <w:snapToGrid w:val="0"/>
                <w:color w:val="auto"/>
                <w:szCs w:val="21"/>
                <w:highlight w:val="none"/>
              </w:rPr>
              <w:t xml:space="preserve">查询渠道：“信用中国”网站(www.creditchina.gov.cn) 、中国政府采购网(www.ccgp.gov.cn)。 </w:t>
            </w:r>
          </w:p>
          <w:p w14:paraId="4E98C602">
            <w:pPr>
              <w:widowControl/>
              <w:spacing w:line="440" w:lineRule="exact"/>
              <w:jc w:val="left"/>
              <w:rPr>
                <w:rFonts w:ascii="宋体"/>
                <w:snapToGrid w:val="0"/>
                <w:color w:val="auto"/>
                <w:szCs w:val="21"/>
                <w:highlight w:val="none"/>
              </w:rPr>
            </w:pPr>
            <w:r>
              <w:rPr>
                <w:rFonts w:hint="eastAsia" w:ascii="宋体"/>
                <w:snapToGrid w:val="0"/>
                <w:color w:val="auto"/>
                <w:szCs w:val="21"/>
                <w:highlight w:val="none"/>
              </w:rPr>
              <w:t xml:space="preserve">信用查询截止时间点：资格审查结束前 </w:t>
            </w:r>
          </w:p>
          <w:p w14:paraId="1B4C267C">
            <w:pPr>
              <w:widowControl/>
              <w:spacing w:line="440" w:lineRule="exact"/>
              <w:jc w:val="left"/>
              <w:rPr>
                <w:rFonts w:ascii="宋体"/>
                <w:snapToGrid w:val="0"/>
                <w:color w:val="auto"/>
                <w:szCs w:val="21"/>
                <w:highlight w:val="none"/>
              </w:rPr>
            </w:pPr>
            <w:r>
              <w:rPr>
                <w:rFonts w:hint="eastAsia" w:ascii="宋体"/>
                <w:snapToGrid w:val="0"/>
                <w:color w:val="auto"/>
                <w:szCs w:val="21"/>
                <w:highlight w:val="none"/>
              </w:rPr>
              <w:t xml:space="preserve">查询记录和证据留存方式：在查询网站中直接打印查询记录，打印材料作为评审资料保存。 </w:t>
            </w:r>
          </w:p>
          <w:p w14:paraId="176A9A1A">
            <w:pPr>
              <w:autoSpaceDE w:val="0"/>
              <w:autoSpaceDN w:val="0"/>
              <w:adjustRightInd w:val="0"/>
              <w:spacing w:line="420" w:lineRule="exact"/>
              <w:ind w:left="105" w:leftChars="50" w:right="-84" w:firstLine="315" w:firstLineChars="150"/>
              <w:jc w:val="left"/>
              <w:rPr>
                <w:rFonts w:ascii="宋体" w:hAnsi="宋体"/>
                <w:color w:val="auto"/>
                <w:szCs w:val="21"/>
                <w:highlight w:val="none"/>
              </w:rPr>
            </w:pPr>
            <w:r>
              <w:rPr>
                <w:rFonts w:hint="eastAsia" w:ascii="宋体"/>
                <w:snapToGrid w:val="0"/>
                <w:color w:val="auto"/>
                <w:szCs w:val="21"/>
                <w:highlight w:val="none"/>
              </w:rPr>
              <w:t>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案件当事人名单、政府采购严重违法失信行为记录名单及其他不符合《中华人民共和国政府采购法》第二十二条规定条件的供应商）的，视同联合体存在不良信用记录。</w:t>
            </w:r>
          </w:p>
        </w:tc>
      </w:tr>
      <w:tr w14:paraId="2834E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18" w:type="dxa"/>
            <w:vAlign w:val="center"/>
          </w:tcPr>
          <w:p w14:paraId="506E3DA4">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25</w:t>
            </w:r>
          </w:p>
        </w:tc>
        <w:tc>
          <w:tcPr>
            <w:tcW w:w="1682" w:type="dxa"/>
            <w:vAlign w:val="center"/>
          </w:tcPr>
          <w:p w14:paraId="4E1E0B54">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采购代理</w:t>
            </w:r>
          </w:p>
          <w:p w14:paraId="49ADFFC8">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服务费支付</w:t>
            </w:r>
          </w:p>
        </w:tc>
        <w:tc>
          <w:tcPr>
            <w:tcW w:w="6965" w:type="dxa"/>
            <w:vAlign w:val="center"/>
          </w:tcPr>
          <w:p w14:paraId="1AA60C4A">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代理服务费由成交人支付，依据国家计委《招标代理服务收费管理暂行办法》（计价格[2002]1980号）及《国家发展改革委关于降低部分建设项目收费标准规范收费行为等有关问题的通知》（发改价格[2011]534号）规定（按工程类）计取。由成交人在领取成交通知书后五个工作日内，以现金或转帐方式一次性支付给采购代理机构。</w:t>
            </w:r>
          </w:p>
          <w:p w14:paraId="5C50B96E">
            <w:pPr>
              <w:pStyle w:val="24"/>
              <w:snapToGrid w:val="0"/>
              <w:spacing w:line="320" w:lineRule="exact"/>
              <w:rPr>
                <w:rFonts w:hAnsi="宋体"/>
                <w:color w:val="auto"/>
                <w:szCs w:val="21"/>
                <w:highlight w:val="none"/>
              </w:rPr>
            </w:pPr>
            <w:r>
              <w:rPr>
                <w:rFonts w:hint="eastAsia" w:hAnsi="宋体"/>
                <w:color w:val="auto"/>
                <w:szCs w:val="21"/>
                <w:highlight w:val="none"/>
              </w:rPr>
              <w:t>采购代理服务费收款账户名称：</w:t>
            </w:r>
          </w:p>
          <w:p w14:paraId="1288539F">
            <w:pPr>
              <w:spacing w:line="420" w:lineRule="exact"/>
              <w:ind w:firstLine="420" w:firstLineChars="200"/>
              <w:rPr>
                <w:rFonts w:hint="eastAsia" w:ascii="宋体" w:hAnsi="宋体" w:cs="宋体"/>
                <w:color w:val="auto"/>
                <w:szCs w:val="21"/>
                <w:lang w:eastAsia="zh-CN"/>
              </w:rPr>
            </w:pPr>
            <w:r>
              <w:rPr>
                <w:rFonts w:hint="eastAsia" w:ascii="宋体" w:hAnsi="宋体" w:cs="宋体"/>
                <w:color w:val="auto"/>
                <w:szCs w:val="21"/>
              </w:rPr>
              <w:t>开户名称：</w:t>
            </w:r>
            <w:r>
              <w:rPr>
                <w:rFonts w:hint="eastAsia" w:ascii="宋体" w:hAnsi="宋体" w:cs="宋体"/>
                <w:color w:val="auto"/>
                <w:szCs w:val="21"/>
                <w:lang w:eastAsia="zh-CN"/>
              </w:rPr>
              <w:t>广西鑫磐工程项目管理有限责任公司</w:t>
            </w:r>
          </w:p>
          <w:p w14:paraId="3DBA0071">
            <w:pPr>
              <w:spacing w:line="420" w:lineRule="exact"/>
              <w:ind w:firstLine="420" w:firstLineChars="200"/>
              <w:rPr>
                <w:rFonts w:hint="eastAsia" w:ascii="宋体" w:hAnsi="宋体" w:cs="宋体"/>
                <w:color w:val="auto"/>
                <w:szCs w:val="21"/>
              </w:rPr>
            </w:pPr>
            <w:r>
              <w:rPr>
                <w:rFonts w:hint="eastAsia" w:ascii="宋体" w:hAnsi="宋体" w:cs="宋体"/>
                <w:color w:val="auto"/>
                <w:szCs w:val="21"/>
              </w:rPr>
              <w:t>开户银行：中国建设银行股份有限公司南宁淡村路支行</w:t>
            </w:r>
          </w:p>
          <w:p w14:paraId="642C4776">
            <w:pPr>
              <w:spacing w:line="420" w:lineRule="exact"/>
              <w:ind w:firstLine="420" w:firstLineChars="200"/>
              <w:rPr>
                <w:rFonts w:hint="eastAsia" w:ascii="宋体" w:hAnsi="宋体" w:eastAsia="宋体"/>
                <w:b/>
                <w:color w:val="auto"/>
                <w:szCs w:val="21"/>
                <w:highlight w:val="none"/>
                <w:lang w:eastAsia="zh-CN"/>
              </w:rPr>
            </w:pPr>
            <w:r>
              <w:rPr>
                <w:rFonts w:hint="eastAsia" w:ascii="宋体" w:hAnsi="宋体" w:cs="宋体"/>
                <w:color w:val="auto"/>
                <w:szCs w:val="21"/>
              </w:rPr>
              <w:t xml:space="preserve">银行账号：45001604952050501755 </w:t>
            </w:r>
          </w:p>
        </w:tc>
      </w:tr>
      <w:tr w14:paraId="1B965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18" w:type="dxa"/>
            <w:vAlign w:val="center"/>
          </w:tcPr>
          <w:p w14:paraId="2F94B9E1">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26</w:t>
            </w:r>
          </w:p>
        </w:tc>
        <w:tc>
          <w:tcPr>
            <w:tcW w:w="1682" w:type="dxa"/>
            <w:vAlign w:val="center"/>
          </w:tcPr>
          <w:p w14:paraId="23E92CEA">
            <w:pPr>
              <w:autoSpaceDE w:val="0"/>
              <w:autoSpaceDN w:val="0"/>
              <w:adjustRightInd w:val="0"/>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政府采购信息发布媒体</w:t>
            </w:r>
          </w:p>
        </w:tc>
        <w:tc>
          <w:tcPr>
            <w:tcW w:w="6965" w:type="dxa"/>
            <w:vAlign w:val="center"/>
          </w:tcPr>
          <w:p w14:paraId="67AA6AC5">
            <w:pPr>
              <w:spacing w:line="420" w:lineRule="exact"/>
              <w:rPr>
                <w:rFonts w:ascii="宋体" w:hAnsi="宋体"/>
                <w:color w:val="auto"/>
                <w:szCs w:val="21"/>
                <w:highlight w:val="none"/>
              </w:rPr>
            </w:pPr>
            <w:r>
              <w:rPr>
                <w:rFonts w:hint="eastAsia" w:ascii="宋体" w:hAnsi="宋体" w:cs="宋体"/>
                <w:color w:val="auto"/>
                <w:kern w:val="0"/>
                <w:szCs w:val="21"/>
                <w:highlight w:val="none"/>
              </w:rPr>
              <w:t>中国政府采购网、广西壮族自治区政府采购网、</w:t>
            </w:r>
            <w:r>
              <w:rPr>
                <w:rFonts w:hint="eastAsia" w:ascii="宋体" w:hAnsi="宋体" w:cs="Arial"/>
                <w:color w:val="auto"/>
                <w:kern w:val="0"/>
                <w:szCs w:val="21"/>
                <w:highlight w:val="none"/>
              </w:rPr>
              <w:t>全国公共资源交易平台（广西.崇左）</w:t>
            </w:r>
            <w:r>
              <w:rPr>
                <w:rFonts w:hint="eastAsia" w:ascii="宋体" w:hAnsi="宋体" w:cs="宋体"/>
                <w:color w:val="auto"/>
                <w:kern w:val="0"/>
                <w:szCs w:val="21"/>
                <w:highlight w:val="none"/>
              </w:rPr>
              <w:t>。</w:t>
            </w:r>
          </w:p>
        </w:tc>
      </w:tr>
      <w:tr w14:paraId="7CE92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18" w:type="dxa"/>
            <w:vAlign w:val="center"/>
          </w:tcPr>
          <w:p w14:paraId="69F6A9E1">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27</w:t>
            </w:r>
          </w:p>
        </w:tc>
        <w:tc>
          <w:tcPr>
            <w:tcW w:w="1682" w:type="dxa"/>
            <w:vAlign w:val="center"/>
          </w:tcPr>
          <w:p w14:paraId="2FAB50F9">
            <w:pPr>
              <w:autoSpaceDE w:val="0"/>
              <w:autoSpaceDN w:val="0"/>
              <w:adjustRightInd w:val="0"/>
              <w:spacing w:line="440" w:lineRule="exact"/>
              <w:jc w:val="center"/>
              <w:rPr>
                <w:rFonts w:ascii="宋体" w:hAnsi="宋体" w:cs="Courier New"/>
                <w:b/>
                <w:color w:val="auto"/>
                <w:spacing w:val="2"/>
                <w:szCs w:val="21"/>
                <w:highlight w:val="none"/>
              </w:rPr>
            </w:pPr>
            <w:r>
              <w:rPr>
                <w:rFonts w:hint="eastAsia" w:ascii="宋体" w:hAnsi="宋体" w:cs="Courier New"/>
                <w:b/>
                <w:color w:val="auto"/>
                <w:spacing w:val="2"/>
                <w:szCs w:val="21"/>
                <w:highlight w:val="none"/>
              </w:rPr>
              <w:t>预留采购份额</w:t>
            </w:r>
          </w:p>
        </w:tc>
        <w:tc>
          <w:tcPr>
            <w:tcW w:w="6965" w:type="dxa"/>
            <w:vAlign w:val="center"/>
          </w:tcPr>
          <w:p w14:paraId="1637C0A4">
            <w:pPr>
              <w:spacing w:line="400" w:lineRule="exact"/>
              <w:rPr>
                <w:rFonts w:ascii="宋体" w:hAnsi="宋体" w:cs="Courier New"/>
                <w:b/>
                <w:color w:val="auto"/>
                <w:spacing w:val="2"/>
                <w:szCs w:val="21"/>
                <w:highlight w:val="none"/>
              </w:rPr>
            </w:pPr>
            <w:r>
              <w:rPr>
                <w:rFonts w:hint="eastAsia" w:ascii="宋体" w:hAnsi="宋体" w:cs="Courier New"/>
                <w:b/>
                <w:color w:val="auto"/>
                <w:spacing w:val="2"/>
                <w:szCs w:val="21"/>
                <w:highlight w:val="none"/>
              </w:rPr>
              <w:t>本项目属于专门面向</w:t>
            </w:r>
            <w:r>
              <w:rPr>
                <w:rFonts w:hint="eastAsia" w:ascii="宋体" w:hAnsi="宋体" w:cs="Courier New"/>
                <w:b/>
                <w:color w:val="auto"/>
                <w:spacing w:val="2"/>
                <w:szCs w:val="21"/>
                <w:highlight w:val="none"/>
                <w:lang w:eastAsia="zh-CN"/>
              </w:rPr>
              <w:t>中小微</w:t>
            </w:r>
            <w:r>
              <w:rPr>
                <w:rFonts w:hint="eastAsia" w:ascii="宋体" w:hAnsi="宋体" w:cs="Courier New"/>
                <w:b/>
                <w:color w:val="auto"/>
                <w:spacing w:val="2"/>
                <w:szCs w:val="21"/>
                <w:highlight w:val="none"/>
              </w:rPr>
              <w:t>企业采购的项目。</w:t>
            </w:r>
          </w:p>
          <w:p w14:paraId="473BB54B">
            <w:pPr>
              <w:spacing w:line="400" w:lineRule="exact"/>
              <w:rPr>
                <w:rFonts w:ascii="宋体" w:hAnsi="宋体" w:cs="Courier New"/>
                <w:b/>
                <w:color w:val="auto"/>
                <w:spacing w:val="2"/>
                <w:szCs w:val="21"/>
                <w:highlight w:val="none"/>
              </w:rPr>
            </w:pPr>
            <w:r>
              <w:rPr>
                <w:rFonts w:hint="eastAsia" w:ascii="宋体" w:hAnsi="宋体" w:cs="Courier New"/>
                <w:b/>
                <w:color w:val="auto"/>
                <w:spacing w:val="2"/>
                <w:szCs w:val="21"/>
                <w:highlight w:val="none"/>
              </w:rPr>
              <w:t>中小企业划分标准所属行业：建筑业。</w:t>
            </w:r>
          </w:p>
        </w:tc>
      </w:tr>
      <w:tr w14:paraId="6891E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18" w:type="dxa"/>
            <w:vAlign w:val="center"/>
          </w:tcPr>
          <w:p w14:paraId="79F1BDD6">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28</w:t>
            </w:r>
          </w:p>
        </w:tc>
        <w:tc>
          <w:tcPr>
            <w:tcW w:w="1682" w:type="dxa"/>
            <w:vAlign w:val="center"/>
          </w:tcPr>
          <w:p w14:paraId="5B19751F">
            <w:pPr>
              <w:autoSpaceDE w:val="0"/>
              <w:autoSpaceDN w:val="0"/>
              <w:adjustRightInd w:val="0"/>
              <w:spacing w:line="440" w:lineRule="exact"/>
              <w:jc w:val="center"/>
              <w:rPr>
                <w:rFonts w:ascii="宋体" w:hAnsi="宋体" w:cs="Courier New"/>
                <w:color w:val="auto"/>
                <w:spacing w:val="2"/>
                <w:szCs w:val="21"/>
                <w:highlight w:val="none"/>
              </w:rPr>
            </w:pPr>
            <w:r>
              <w:rPr>
                <w:rFonts w:hint="eastAsia" w:ascii="宋体"/>
                <w:snapToGrid w:val="0"/>
                <w:color w:val="auto"/>
                <w:szCs w:val="21"/>
                <w:highlight w:val="none"/>
              </w:rPr>
              <w:t>解释</w:t>
            </w:r>
          </w:p>
        </w:tc>
        <w:tc>
          <w:tcPr>
            <w:tcW w:w="6965" w:type="dxa"/>
            <w:vAlign w:val="center"/>
          </w:tcPr>
          <w:p w14:paraId="249EF258">
            <w:pPr>
              <w:widowControl/>
              <w:spacing w:line="440" w:lineRule="exact"/>
              <w:jc w:val="left"/>
              <w:rPr>
                <w:rFonts w:ascii="宋体"/>
                <w:snapToGrid w:val="0"/>
                <w:color w:val="auto"/>
                <w:szCs w:val="21"/>
                <w:highlight w:val="none"/>
              </w:rPr>
            </w:pPr>
            <w:r>
              <w:rPr>
                <w:rFonts w:hint="eastAsia" w:ascii="宋体"/>
                <w:snapToGrid w:val="0"/>
                <w:color w:val="auto"/>
                <w:szCs w:val="21"/>
                <w:highlight w:val="none"/>
              </w:rPr>
              <w:t>构成本磋商文件的各个组成文件应互为解释，互为说明；除磋商文件中有特别规定外，仅适用于招标投标阶段的规定，按更正公告（澄清公告）、磋商文件目录编排内容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6EDC8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18" w:type="dxa"/>
            <w:vAlign w:val="center"/>
          </w:tcPr>
          <w:p w14:paraId="351A0284">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29</w:t>
            </w:r>
          </w:p>
        </w:tc>
        <w:tc>
          <w:tcPr>
            <w:tcW w:w="1682" w:type="dxa"/>
            <w:vAlign w:val="center"/>
          </w:tcPr>
          <w:p w14:paraId="56FE94BB">
            <w:pPr>
              <w:autoSpaceDE w:val="0"/>
              <w:autoSpaceDN w:val="0"/>
              <w:adjustRightInd w:val="0"/>
              <w:spacing w:line="440" w:lineRule="exact"/>
              <w:jc w:val="center"/>
              <w:rPr>
                <w:rFonts w:ascii="宋体" w:hAnsi="宋体" w:cs="Courier New"/>
                <w:color w:val="auto"/>
                <w:spacing w:val="2"/>
                <w:szCs w:val="21"/>
                <w:highlight w:val="none"/>
              </w:rPr>
            </w:pPr>
            <w:r>
              <w:rPr>
                <w:rFonts w:hint="eastAsia" w:ascii="宋体"/>
                <w:snapToGrid w:val="0"/>
                <w:color w:val="auto"/>
                <w:szCs w:val="21"/>
                <w:highlight w:val="none"/>
              </w:rPr>
              <w:t>其它事项说明</w:t>
            </w:r>
          </w:p>
        </w:tc>
        <w:tc>
          <w:tcPr>
            <w:tcW w:w="6965" w:type="dxa"/>
            <w:vAlign w:val="center"/>
          </w:tcPr>
          <w:p w14:paraId="1AEB1B86">
            <w:pPr>
              <w:widowControl/>
              <w:spacing w:line="440" w:lineRule="exact"/>
              <w:jc w:val="left"/>
              <w:rPr>
                <w:rFonts w:ascii="宋体"/>
                <w:snapToGrid w:val="0"/>
                <w:color w:val="auto"/>
                <w:szCs w:val="21"/>
                <w:highlight w:val="none"/>
              </w:rPr>
            </w:pPr>
            <w:r>
              <w:rPr>
                <w:rFonts w:hint="eastAsia" w:ascii="宋体"/>
                <w:snapToGrid w:val="0"/>
                <w:color w:val="auto"/>
                <w:szCs w:val="21"/>
                <w:highlight w:val="none"/>
              </w:rPr>
              <w:t xml:space="preserve">1.本磋商文件中描述供应商的“公章”是指根据我国对公章的管理规定，用供应商法定主体行为名称制作的印章，除本磋商文件有特殊规定外，供应商的财务章、部门章、分公司章、工会章、合同章、投标专用章、业务专用章及银行的转账章、现金收讫章、现金付讫章等其他形式印章均不能代替公章。 </w:t>
            </w:r>
          </w:p>
          <w:p w14:paraId="790509A1">
            <w:pPr>
              <w:widowControl/>
              <w:spacing w:line="440" w:lineRule="exact"/>
              <w:jc w:val="left"/>
              <w:rPr>
                <w:rFonts w:ascii="宋体"/>
                <w:snapToGrid w:val="0"/>
                <w:color w:val="auto"/>
                <w:szCs w:val="21"/>
                <w:highlight w:val="none"/>
              </w:rPr>
            </w:pPr>
            <w:r>
              <w:rPr>
                <w:rFonts w:hint="eastAsia" w:ascii="宋体"/>
                <w:snapToGrid w:val="0"/>
                <w:color w:val="auto"/>
                <w:szCs w:val="21"/>
                <w:highlight w:val="none"/>
              </w:rPr>
              <w:t xml:space="preserve">2.供应商为其他组织或者自然人时，本磋商文件规定的法定代表人指负责人或者自然人。本磋商文件所称负责人是指参加磋商的其他组织营业执照上的负责人，本磋商文件所称自然人指参与磋商的自然人本人。 </w:t>
            </w:r>
          </w:p>
          <w:p w14:paraId="7D336AB8">
            <w:pPr>
              <w:widowControl/>
              <w:spacing w:line="440" w:lineRule="exact"/>
              <w:jc w:val="left"/>
              <w:rPr>
                <w:rFonts w:ascii="宋体"/>
                <w:snapToGrid w:val="0"/>
                <w:color w:val="auto"/>
                <w:szCs w:val="21"/>
                <w:highlight w:val="none"/>
              </w:rPr>
            </w:pPr>
            <w:r>
              <w:rPr>
                <w:rFonts w:hint="eastAsia" w:ascii="宋体"/>
                <w:snapToGrid w:val="0"/>
                <w:color w:val="auto"/>
                <w:szCs w:val="21"/>
                <w:highlight w:val="none"/>
              </w:rPr>
              <w:t xml:space="preserve">3.本磋商文件中描述供应商的“签字”是指供应商的法定代表人或者委托代理人亲自在文件规定签字处亲笔写上个人的名字的行为，私章、签字章、印鉴、影印等其他形式均不能代替亲笔签字。 </w:t>
            </w:r>
          </w:p>
          <w:p w14:paraId="06204208">
            <w:pPr>
              <w:widowControl/>
              <w:spacing w:line="440" w:lineRule="exact"/>
              <w:jc w:val="left"/>
              <w:rPr>
                <w:rFonts w:ascii="宋体"/>
                <w:snapToGrid w:val="0"/>
                <w:color w:val="auto"/>
                <w:szCs w:val="21"/>
                <w:highlight w:val="none"/>
              </w:rPr>
            </w:pPr>
            <w:r>
              <w:rPr>
                <w:rFonts w:hint="eastAsia" w:ascii="宋体"/>
                <w:snapToGrid w:val="0"/>
                <w:color w:val="auto"/>
                <w:szCs w:val="21"/>
                <w:highlight w:val="none"/>
              </w:rPr>
              <w:t>4.电子响应文件中须加盖供应商公章部分均采用 CA 签章，并根据政采云平台《政府采购项目电子交易管理操作指南-供应商》及本磋商文件规定的格式和顺序编制电子响应文件并进行关联定位，以便评标委员会在评审时，点击评分项可直接定位到该评分项内容。如对磋商文件的某项要求，供应商的电子响应文件未能关联定位提供相应的内容与其对应，则评标委员会在评审时如做出对供应商不利的评审由供应商自行承担。电子响应文件如内容不完整、编排混乱导致响应文件被误读、 漏读，或者在按磋商文件规定的部位查找不到相关内容的，由供应商自行承担。</w:t>
            </w:r>
          </w:p>
          <w:p w14:paraId="79928A9C">
            <w:pPr>
              <w:widowControl/>
              <w:spacing w:line="440" w:lineRule="exact"/>
              <w:jc w:val="left"/>
              <w:rPr>
                <w:rFonts w:ascii="宋体"/>
                <w:snapToGrid w:val="0"/>
                <w:color w:val="auto"/>
                <w:szCs w:val="21"/>
                <w:highlight w:val="none"/>
              </w:rPr>
            </w:pPr>
            <w:r>
              <w:rPr>
                <w:rFonts w:hint="eastAsia" w:ascii="宋体"/>
                <w:snapToGrid w:val="0"/>
                <w:color w:val="auto"/>
                <w:szCs w:val="21"/>
                <w:highlight w:val="none"/>
              </w:rPr>
              <w:t xml:space="preserve">5.CA 签章上目前没有法人（负责人）或授权代表签字信息，供应商在响应文件中涉及到签字的位置线下签字后扫描上传即可。响应文件中涉及到签字的位置未按要求签字的，提供的材料视为无效。 </w:t>
            </w:r>
          </w:p>
          <w:p w14:paraId="1419A565">
            <w:pPr>
              <w:widowControl/>
              <w:spacing w:line="440" w:lineRule="exact"/>
              <w:jc w:val="left"/>
              <w:rPr>
                <w:rFonts w:ascii="宋体"/>
                <w:snapToGrid w:val="0"/>
                <w:color w:val="auto"/>
                <w:szCs w:val="21"/>
                <w:highlight w:val="none"/>
              </w:rPr>
            </w:pPr>
            <w:r>
              <w:rPr>
                <w:rFonts w:hint="eastAsia" w:ascii="宋体"/>
                <w:snapToGrid w:val="0"/>
                <w:color w:val="auto"/>
                <w:szCs w:val="21"/>
                <w:highlight w:val="none"/>
              </w:rPr>
              <w:t xml:space="preserve">6.自然人参加磋商的，磋商文件规定盖公章处由自然人摁手指指印。 </w:t>
            </w:r>
          </w:p>
          <w:p w14:paraId="4B9BC5C8">
            <w:pPr>
              <w:spacing w:line="420" w:lineRule="exact"/>
              <w:rPr>
                <w:rFonts w:ascii="宋体" w:hAnsi="宋体" w:cs="宋体"/>
                <w:color w:val="auto"/>
                <w:kern w:val="0"/>
                <w:szCs w:val="21"/>
                <w:highlight w:val="none"/>
              </w:rPr>
            </w:pPr>
            <w:r>
              <w:rPr>
                <w:rFonts w:hint="eastAsia" w:ascii="宋体"/>
                <w:snapToGrid w:val="0"/>
                <w:color w:val="auto"/>
                <w:szCs w:val="21"/>
                <w:highlight w:val="none"/>
              </w:rPr>
              <w:t>7.本磋商文件所称的“以上”“以下”“以内”“届满”，包括本数；所称的“不满”“超过”“以外”，不包括本数。</w:t>
            </w:r>
          </w:p>
        </w:tc>
      </w:tr>
    </w:tbl>
    <w:p w14:paraId="36DCDD03">
      <w:pPr>
        <w:jc w:val="center"/>
        <w:rPr>
          <w:rFonts w:ascii="宋体" w:hAnsi="宋体"/>
          <w:b/>
          <w:color w:val="auto"/>
          <w:sz w:val="36"/>
        </w:rPr>
      </w:pPr>
      <w:r>
        <w:rPr>
          <w:rFonts w:ascii="宋体" w:hAnsi="宋体"/>
          <w:b/>
          <w:color w:val="auto"/>
          <w:sz w:val="36"/>
        </w:rPr>
        <w:br w:type="page"/>
      </w:r>
      <w:r>
        <w:rPr>
          <w:rFonts w:hint="eastAsia" w:ascii="宋体" w:hAnsi="宋体"/>
          <w:b/>
          <w:color w:val="auto"/>
          <w:sz w:val="36"/>
        </w:rPr>
        <w:t>供应商须知</w:t>
      </w:r>
    </w:p>
    <w:p w14:paraId="123EA3B4">
      <w:pPr>
        <w:bidi w:val="0"/>
        <w:rPr>
          <w:color w:val="auto"/>
        </w:rPr>
      </w:pPr>
      <w:bookmarkStart w:id="12" w:name="_Toc80818615"/>
      <w:bookmarkStart w:id="13" w:name="_Toc18682803"/>
      <w:r>
        <w:rPr>
          <w:color w:val="auto"/>
        </w:rPr>
        <w:t>l.项目说明</w:t>
      </w:r>
      <w:bookmarkEnd w:id="12"/>
      <w:bookmarkEnd w:id="13"/>
    </w:p>
    <w:p w14:paraId="29568386">
      <w:pPr>
        <w:spacing w:line="460" w:lineRule="exact"/>
        <w:ind w:firstLine="420" w:firstLineChars="200"/>
        <w:rPr>
          <w:rFonts w:ascii="宋体" w:hAnsi="宋体"/>
          <w:color w:val="auto"/>
          <w:szCs w:val="21"/>
          <w:u w:val="single"/>
        </w:rPr>
      </w:pPr>
      <w:r>
        <w:rPr>
          <w:rFonts w:ascii="宋体" w:hAnsi="宋体"/>
          <w:color w:val="auto"/>
          <w:szCs w:val="21"/>
        </w:rPr>
        <w:t>1.1工程综合说明</w:t>
      </w:r>
      <w:r>
        <w:rPr>
          <w:rFonts w:hint="eastAsia" w:ascii="宋体" w:hAnsi="宋体"/>
          <w:color w:val="auto"/>
          <w:szCs w:val="21"/>
        </w:rPr>
        <w:t>见磋商</w:t>
      </w:r>
      <w:r>
        <w:rPr>
          <w:rFonts w:ascii="宋体" w:hAnsi="宋体"/>
          <w:color w:val="auto"/>
          <w:szCs w:val="21"/>
        </w:rPr>
        <w:t>须知“</w:t>
      </w:r>
      <w:r>
        <w:rPr>
          <w:rFonts w:hint="eastAsia" w:ascii="宋体" w:hAnsi="宋体"/>
          <w:bCs/>
          <w:color w:val="auto"/>
          <w:szCs w:val="21"/>
        </w:rPr>
        <w:t>供应商须知前附表</w:t>
      </w:r>
      <w:r>
        <w:rPr>
          <w:rFonts w:ascii="宋体" w:hAnsi="宋体"/>
          <w:color w:val="auto"/>
          <w:szCs w:val="21"/>
        </w:rPr>
        <w:t>”</w:t>
      </w:r>
      <w:r>
        <w:rPr>
          <w:rFonts w:hint="eastAsia" w:ascii="宋体" w:hAnsi="宋体"/>
          <w:color w:val="auto"/>
          <w:szCs w:val="21"/>
        </w:rPr>
        <w:t>。</w:t>
      </w:r>
    </w:p>
    <w:p w14:paraId="0664A028">
      <w:pPr>
        <w:spacing w:line="460" w:lineRule="exact"/>
        <w:ind w:firstLine="435"/>
        <w:rPr>
          <w:rFonts w:ascii="宋体" w:hAnsi="宋体"/>
          <w:color w:val="auto"/>
          <w:szCs w:val="21"/>
        </w:rPr>
      </w:pPr>
      <w:r>
        <w:rPr>
          <w:rFonts w:ascii="宋体" w:hAnsi="宋体"/>
          <w:color w:val="auto"/>
          <w:szCs w:val="21"/>
        </w:rPr>
        <w:t>1.2 上述</w:t>
      </w:r>
      <w:r>
        <w:rPr>
          <w:rFonts w:hint="eastAsia" w:ascii="宋体" w:hAnsi="宋体"/>
          <w:color w:val="auto"/>
          <w:szCs w:val="21"/>
        </w:rPr>
        <w:t>工程</w:t>
      </w:r>
      <w:r>
        <w:rPr>
          <w:rFonts w:ascii="宋体" w:hAnsi="宋体"/>
          <w:color w:val="auto"/>
          <w:szCs w:val="21"/>
        </w:rPr>
        <w:t>按照</w:t>
      </w:r>
      <w:r>
        <w:rPr>
          <w:rFonts w:hint="eastAsia" w:ascii="宋体" w:hAnsi="宋体" w:cs="宋体"/>
          <w:color w:val="auto"/>
          <w:szCs w:val="21"/>
        </w:rPr>
        <w:t>《中华人民共和国政府采购法》、</w:t>
      </w:r>
      <w:r>
        <w:rPr>
          <w:rFonts w:hint="eastAsia" w:ascii="宋体" w:hAnsi="宋体" w:cs="Arial"/>
          <w:color w:val="auto"/>
          <w:szCs w:val="21"/>
        </w:rPr>
        <w:t>《中华人民共和国政府采购法实施条例》、</w:t>
      </w:r>
      <w:r>
        <w:rPr>
          <w:rFonts w:hint="eastAsia" w:ascii="宋体" w:hAnsi="宋体"/>
          <w:color w:val="auto"/>
          <w:szCs w:val="21"/>
        </w:rPr>
        <w:t>《政府采购竞争性磋商采购方式管理暂行办法》</w:t>
      </w:r>
      <w:r>
        <w:rPr>
          <w:rFonts w:hint="eastAsia" w:ascii="宋体" w:hAnsi="宋体" w:cs="Arial"/>
          <w:color w:val="auto"/>
          <w:szCs w:val="21"/>
        </w:rPr>
        <w:t>及</w:t>
      </w:r>
      <w:r>
        <w:rPr>
          <w:rFonts w:ascii="宋体" w:hAnsi="宋体"/>
          <w:color w:val="auto"/>
          <w:szCs w:val="21"/>
        </w:rPr>
        <w:t>有关法律、法规和规章，现通过</w:t>
      </w:r>
      <w:r>
        <w:rPr>
          <w:rFonts w:hint="eastAsia" w:ascii="宋体" w:hAnsi="宋体"/>
          <w:color w:val="auto"/>
          <w:szCs w:val="21"/>
        </w:rPr>
        <w:t>磋商</w:t>
      </w:r>
      <w:r>
        <w:rPr>
          <w:rFonts w:ascii="宋体" w:hAnsi="宋体"/>
          <w:color w:val="auto"/>
          <w:szCs w:val="21"/>
        </w:rPr>
        <w:t>来择优选定施工单位。</w:t>
      </w:r>
    </w:p>
    <w:p w14:paraId="4B8DF3ED">
      <w:pPr>
        <w:spacing w:line="460" w:lineRule="exact"/>
        <w:ind w:firstLine="420" w:firstLineChars="200"/>
        <w:rPr>
          <w:rFonts w:ascii="宋体" w:hAnsi="宋体"/>
          <w:color w:val="auto"/>
          <w:szCs w:val="21"/>
        </w:rPr>
      </w:pPr>
      <w:r>
        <w:rPr>
          <w:rFonts w:hint="eastAsia" w:ascii="宋体" w:hAnsi="宋体"/>
          <w:color w:val="auto"/>
          <w:szCs w:val="21"/>
        </w:rPr>
        <w:t>1.3 供应商资格要求：符合磋商须知前附表规定。</w:t>
      </w:r>
    </w:p>
    <w:p w14:paraId="422064F3">
      <w:pPr>
        <w:spacing w:line="460" w:lineRule="exact"/>
        <w:ind w:firstLine="428" w:firstLineChars="200"/>
        <w:rPr>
          <w:rFonts w:ascii="宋体" w:hAnsi="宋体" w:cs="Courier New"/>
          <w:color w:val="auto"/>
          <w:spacing w:val="2"/>
          <w:szCs w:val="21"/>
        </w:rPr>
      </w:pPr>
      <w:r>
        <w:rPr>
          <w:rFonts w:hint="eastAsia" w:ascii="宋体" w:hAnsi="宋体" w:cs="Courier New"/>
          <w:color w:val="auto"/>
          <w:spacing w:val="2"/>
          <w:szCs w:val="21"/>
        </w:rPr>
        <w:t>1.4 本项目不接受联合体进行磋商。</w:t>
      </w:r>
    </w:p>
    <w:p w14:paraId="3C190BA0">
      <w:pPr>
        <w:bidi w:val="0"/>
        <w:rPr>
          <w:color w:val="auto"/>
        </w:rPr>
      </w:pPr>
      <w:bookmarkStart w:id="14" w:name="_Toc346264267"/>
      <w:bookmarkStart w:id="15" w:name="_Toc80818616"/>
      <w:bookmarkStart w:id="16" w:name="_Toc18682804"/>
      <w:r>
        <w:rPr>
          <w:color w:val="auto"/>
        </w:rPr>
        <w:t>2.资金情况</w:t>
      </w:r>
      <w:bookmarkEnd w:id="14"/>
      <w:bookmarkEnd w:id="15"/>
      <w:bookmarkEnd w:id="16"/>
    </w:p>
    <w:p w14:paraId="29266B2C">
      <w:pPr>
        <w:spacing w:line="460" w:lineRule="exact"/>
        <w:ind w:firstLine="417" w:firstLineChars="195"/>
        <w:rPr>
          <w:rFonts w:ascii="宋体" w:hAnsi="宋体" w:cs="Courier New"/>
          <w:b/>
          <w:bCs/>
          <w:color w:val="auto"/>
          <w:spacing w:val="2"/>
          <w:szCs w:val="21"/>
        </w:rPr>
      </w:pPr>
      <w:r>
        <w:rPr>
          <w:rFonts w:hint="eastAsia" w:ascii="宋体" w:hAnsi="宋体" w:cs="Courier New"/>
          <w:color w:val="auto"/>
          <w:spacing w:val="2"/>
          <w:szCs w:val="21"/>
        </w:rPr>
        <w:t>2.1资金来源：</w:t>
      </w:r>
      <w:r>
        <w:rPr>
          <w:rFonts w:hint="eastAsia" w:ascii="宋体" w:hAnsi="宋体" w:cs="Courier New"/>
          <w:b/>
          <w:bCs/>
          <w:color w:val="auto"/>
          <w:spacing w:val="2"/>
          <w:szCs w:val="21"/>
        </w:rPr>
        <w:t>财政配套资金。</w:t>
      </w:r>
    </w:p>
    <w:p w14:paraId="6348653A">
      <w:pPr>
        <w:spacing w:line="460" w:lineRule="exact"/>
        <w:ind w:firstLine="417" w:firstLineChars="195"/>
        <w:rPr>
          <w:rFonts w:ascii="宋体" w:hAnsi="宋体" w:cs="Courier New"/>
          <w:color w:val="auto"/>
          <w:spacing w:val="2"/>
          <w:szCs w:val="21"/>
        </w:rPr>
      </w:pPr>
      <w:r>
        <w:rPr>
          <w:rFonts w:hint="eastAsia" w:ascii="宋体" w:hAnsi="宋体" w:cs="Courier New"/>
          <w:color w:val="auto"/>
          <w:spacing w:val="2"/>
          <w:szCs w:val="21"/>
        </w:rPr>
        <w:t>2.2资金到位及落实情况：已落实。</w:t>
      </w:r>
    </w:p>
    <w:p w14:paraId="62C45753">
      <w:pPr>
        <w:bidi w:val="0"/>
        <w:rPr>
          <w:color w:val="auto"/>
        </w:rPr>
      </w:pPr>
      <w:bookmarkStart w:id="17" w:name="_Toc346264268"/>
      <w:bookmarkStart w:id="18" w:name="_Toc80818617"/>
      <w:bookmarkStart w:id="19" w:name="_Toc18682805"/>
      <w:r>
        <w:rPr>
          <w:color w:val="auto"/>
        </w:rPr>
        <w:t>3.磋商费用</w:t>
      </w:r>
      <w:bookmarkEnd w:id="17"/>
      <w:bookmarkEnd w:id="18"/>
      <w:bookmarkEnd w:id="19"/>
    </w:p>
    <w:p w14:paraId="1E576527">
      <w:pPr>
        <w:pStyle w:val="19"/>
        <w:spacing w:line="460" w:lineRule="exact"/>
        <w:ind w:firstLine="409" w:firstLineChars="195"/>
        <w:rPr>
          <w:rFonts w:hAnsi="宋体"/>
          <w:color w:val="auto"/>
          <w:spacing w:val="0"/>
          <w:sz w:val="21"/>
          <w:szCs w:val="21"/>
        </w:rPr>
      </w:pPr>
      <w:r>
        <w:rPr>
          <w:rFonts w:hint="eastAsia" w:hAnsi="宋体"/>
          <w:color w:val="auto"/>
          <w:spacing w:val="0"/>
          <w:sz w:val="21"/>
          <w:szCs w:val="21"/>
        </w:rPr>
        <w:t>供应商准备和参加磋商活动所发生的一切费用自理，不管磋商结果如何，采购人及采购代理机构对上述费用不负任何责任。</w:t>
      </w:r>
    </w:p>
    <w:p w14:paraId="549F8756">
      <w:pPr>
        <w:bidi w:val="0"/>
        <w:rPr>
          <w:color w:val="auto"/>
        </w:rPr>
      </w:pPr>
      <w:bookmarkStart w:id="20" w:name="_Toc346264269"/>
      <w:bookmarkStart w:id="21" w:name="_Toc80818618"/>
      <w:bookmarkStart w:id="22" w:name="_Toc18682806"/>
      <w:r>
        <w:rPr>
          <w:color w:val="auto"/>
        </w:rPr>
        <w:t>4.竞争性磋商文件</w:t>
      </w:r>
      <w:r>
        <w:rPr>
          <w:rFonts w:hint="eastAsia"/>
          <w:color w:val="auto"/>
        </w:rPr>
        <w:t>（下文简称磋商文件）</w:t>
      </w:r>
      <w:r>
        <w:rPr>
          <w:color w:val="auto"/>
        </w:rPr>
        <w:t>的组成</w:t>
      </w:r>
      <w:bookmarkEnd w:id="20"/>
      <w:bookmarkEnd w:id="21"/>
      <w:bookmarkEnd w:id="22"/>
    </w:p>
    <w:p w14:paraId="04092298">
      <w:pPr>
        <w:spacing w:line="460" w:lineRule="exact"/>
        <w:ind w:firstLine="420" w:firstLineChars="200"/>
        <w:rPr>
          <w:rFonts w:ascii="宋体" w:hAnsi="宋体"/>
          <w:color w:val="auto"/>
          <w:szCs w:val="21"/>
        </w:rPr>
      </w:pPr>
      <w:r>
        <w:rPr>
          <w:rFonts w:hint="eastAsia" w:ascii="宋体" w:hAnsi="宋体"/>
          <w:color w:val="auto"/>
          <w:szCs w:val="21"/>
        </w:rPr>
        <w:t>4.1 磋商文件包括下列内容：</w:t>
      </w:r>
    </w:p>
    <w:p w14:paraId="7A4EB923">
      <w:pPr>
        <w:spacing w:line="460" w:lineRule="exact"/>
        <w:ind w:firstLine="420" w:firstLineChars="200"/>
        <w:rPr>
          <w:rFonts w:ascii="宋体" w:hAnsi="宋体"/>
          <w:color w:val="auto"/>
          <w:szCs w:val="21"/>
        </w:rPr>
      </w:pPr>
      <w:r>
        <w:rPr>
          <w:rFonts w:hint="eastAsia" w:ascii="宋体" w:hAnsi="宋体"/>
          <w:color w:val="auto"/>
          <w:szCs w:val="21"/>
        </w:rPr>
        <w:t>第一章 竞争性磋商公告</w:t>
      </w:r>
    </w:p>
    <w:p w14:paraId="7F1E28C1">
      <w:pPr>
        <w:spacing w:line="460" w:lineRule="exact"/>
        <w:ind w:firstLine="420" w:firstLineChars="200"/>
        <w:rPr>
          <w:rFonts w:ascii="宋体" w:hAnsi="宋体"/>
          <w:color w:val="auto"/>
          <w:szCs w:val="21"/>
        </w:rPr>
      </w:pPr>
      <w:r>
        <w:rPr>
          <w:rFonts w:hint="eastAsia" w:ascii="宋体" w:hAnsi="宋体"/>
          <w:color w:val="auto"/>
          <w:szCs w:val="21"/>
        </w:rPr>
        <w:t>第二章 供应商须知及前附表</w:t>
      </w:r>
    </w:p>
    <w:p w14:paraId="37115BDC">
      <w:pPr>
        <w:spacing w:line="460" w:lineRule="exact"/>
        <w:ind w:firstLine="420" w:firstLineChars="200"/>
        <w:rPr>
          <w:rFonts w:hint="eastAsia" w:ascii="宋体" w:hAnsi="宋体"/>
          <w:color w:val="auto"/>
          <w:szCs w:val="21"/>
        </w:rPr>
      </w:pPr>
      <w:r>
        <w:rPr>
          <w:rFonts w:hint="eastAsia" w:ascii="宋体" w:hAnsi="宋体"/>
          <w:color w:val="auto"/>
          <w:szCs w:val="21"/>
        </w:rPr>
        <w:t>第三章 评标办法</w:t>
      </w:r>
    </w:p>
    <w:p w14:paraId="14038224">
      <w:pPr>
        <w:spacing w:line="460" w:lineRule="exact"/>
        <w:ind w:firstLine="420" w:firstLineChars="200"/>
        <w:rPr>
          <w:rFonts w:ascii="宋体" w:hAnsi="宋体"/>
          <w:color w:val="auto"/>
          <w:szCs w:val="21"/>
        </w:rPr>
      </w:pPr>
      <w:r>
        <w:rPr>
          <w:rFonts w:hint="eastAsia" w:ascii="宋体" w:hAnsi="宋体"/>
          <w:color w:val="auto"/>
          <w:szCs w:val="21"/>
        </w:rPr>
        <w:t>第四章 合同格式</w:t>
      </w:r>
    </w:p>
    <w:p w14:paraId="44E0D106">
      <w:pPr>
        <w:spacing w:line="460" w:lineRule="exact"/>
        <w:ind w:firstLine="420" w:firstLineChars="200"/>
        <w:rPr>
          <w:rFonts w:ascii="宋体" w:hAnsi="宋体"/>
          <w:color w:val="auto"/>
          <w:szCs w:val="21"/>
        </w:rPr>
      </w:pPr>
      <w:r>
        <w:rPr>
          <w:rFonts w:hint="eastAsia" w:ascii="宋体" w:hAnsi="宋体"/>
          <w:color w:val="auto"/>
          <w:szCs w:val="21"/>
        </w:rPr>
        <w:t>第五章 图纸</w:t>
      </w:r>
    </w:p>
    <w:p w14:paraId="11EBDC12">
      <w:pPr>
        <w:spacing w:line="460" w:lineRule="exact"/>
        <w:ind w:firstLine="420" w:firstLineChars="200"/>
        <w:rPr>
          <w:rFonts w:ascii="宋体" w:hAnsi="宋体"/>
          <w:color w:val="auto"/>
          <w:szCs w:val="21"/>
        </w:rPr>
      </w:pPr>
      <w:r>
        <w:rPr>
          <w:rFonts w:hint="eastAsia" w:ascii="宋体" w:hAnsi="宋体"/>
          <w:color w:val="auto"/>
          <w:szCs w:val="21"/>
        </w:rPr>
        <w:t>第六章 技术规范</w:t>
      </w:r>
    </w:p>
    <w:p w14:paraId="7F7AC269">
      <w:pPr>
        <w:spacing w:line="460" w:lineRule="exact"/>
        <w:ind w:firstLine="420" w:firstLineChars="200"/>
        <w:rPr>
          <w:rFonts w:ascii="宋体" w:hAnsi="宋体"/>
          <w:color w:val="auto"/>
          <w:szCs w:val="21"/>
        </w:rPr>
      </w:pPr>
      <w:r>
        <w:rPr>
          <w:rFonts w:hint="eastAsia" w:ascii="宋体" w:hAnsi="宋体"/>
          <w:color w:val="auto"/>
          <w:szCs w:val="21"/>
        </w:rPr>
        <w:t>第七章 工程量清单</w:t>
      </w:r>
    </w:p>
    <w:p w14:paraId="151B066E">
      <w:pPr>
        <w:spacing w:line="460" w:lineRule="exact"/>
        <w:ind w:firstLine="420" w:firstLineChars="200"/>
        <w:rPr>
          <w:rFonts w:hint="eastAsia" w:ascii="宋体" w:hAnsi="宋体"/>
          <w:color w:val="auto"/>
          <w:szCs w:val="21"/>
        </w:rPr>
      </w:pPr>
      <w:r>
        <w:rPr>
          <w:rFonts w:hint="eastAsia" w:ascii="宋体" w:hAnsi="宋体"/>
          <w:color w:val="auto"/>
          <w:szCs w:val="21"/>
        </w:rPr>
        <w:t>第八章 响应文件格式</w:t>
      </w:r>
    </w:p>
    <w:p w14:paraId="0B6EDEEC">
      <w:pPr>
        <w:spacing w:line="460" w:lineRule="exact"/>
        <w:ind w:firstLine="420" w:firstLineChars="200"/>
        <w:rPr>
          <w:rFonts w:ascii="宋体" w:hAnsi="宋体"/>
          <w:color w:val="auto"/>
          <w:szCs w:val="21"/>
        </w:rPr>
      </w:pPr>
      <w:r>
        <w:rPr>
          <w:rFonts w:hint="eastAsia" w:ascii="宋体" w:hAnsi="宋体"/>
          <w:color w:val="auto"/>
          <w:szCs w:val="21"/>
        </w:rPr>
        <w:t>根据本章第5条、第6条对磋商文件所作的澄清、修改，构成磋商文件的组成部分。</w:t>
      </w:r>
    </w:p>
    <w:p w14:paraId="438FD7AE">
      <w:pPr>
        <w:spacing w:line="460" w:lineRule="exact"/>
        <w:ind w:firstLine="428" w:firstLineChars="200"/>
        <w:rPr>
          <w:rFonts w:ascii="宋体" w:hAnsi="宋体" w:cs="Courier New"/>
          <w:color w:val="auto"/>
          <w:spacing w:val="2"/>
          <w:szCs w:val="21"/>
        </w:rPr>
      </w:pPr>
      <w:r>
        <w:rPr>
          <w:rFonts w:hint="eastAsia" w:ascii="宋体" w:hAnsi="宋体" w:cs="Courier New"/>
          <w:color w:val="auto"/>
          <w:spacing w:val="2"/>
          <w:szCs w:val="21"/>
        </w:rPr>
        <w:t>4.2供应商应认真审阅磋商文件中所有的磋商须知、合同格式、技术规范和图纸。如果供应商编制的响应文件不符合磋商文件的要求，或实质上不响应磋商文件要求，其响应文件将被采购人拒绝。</w:t>
      </w:r>
    </w:p>
    <w:p w14:paraId="362E8368">
      <w:pPr>
        <w:bidi w:val="0"/>
        <w:rPr>
          <w:rFonts w:ascii="宋体" w:hAnsi="宋体" w:eastAsia="宋体"/>
          <w:color w:val="auto"/>
          <w:sz w:val="21"/>
          <w:szCs w:val="21"/>
        </w:rPr>
      </w:pPr>
      <w:bookmarkStart w:id="23" w:name="_Toc346264270"/>
      <w:bookmarkStart w:id="24" w:name="_Toc18682807"/>
      <w:bookmarkStart w:id="25" w:name="_Toc80818619"/>
      <w:r>
        <w:rPr>
          <w:rFonts w:ascii="宋体" w:hAnsi="宋体" w:eastAsia="宋体"/>
          <w:color w:val="auto"/>
          <w:sz w:val="21"/>
          <w:szCs w:val="21"/>
        </w:rPr>
        <w:t>5.磋商文件的</w:t>
      </w:r>
      <w:bookmarkEnd w:id="23"/>
      <w:bookmarkEnd w:id="24"/>
      <w:r>
        <w:rPr>
          <w:rFonts w:hint="eastAsia" w:ascii="宋体" w:hAnsi="宋体" w:cs="Courier New"/>
          <w:color w:val="auto"/>
          <w:spacing w:val="2"/>
          <w:sz w:val="21"/>
          <w:szCs w:val="21"/>
        </w:rPr>
        <w:t>澄清</w:t>
      </w:r>
      <w:bookmarkEnd w:id="25"/>
    </w:p>
    <w:p w14:paraId="11281E89">
      <w:pPr>
        <w:spacing w:line="460" w:lineRule="exact"/>
        <w:ind w:firstLine="417" w:firstLineChars="195"/>
        <w:rPr>
          <w:rFonts w:ascii="宋体" w:hAnsi="宋体" w:cs="Courier New"/>
          <w:color w:val="auto"/>
          <w:spacing w:val="2"/>
          <w:szCs w:val="21"/>
        </w:rPr>
      </w:pPr>
      <w:r>
        <w:rPr>
          <w:rFonts w:hint="eastAsia" w:ascii="宋体" w:hAnsi="宋体" w:cs="Courier New"/>
          <w:color w:val="auto"/>
          <w:spacing w:val="2"/>
          <w:szCs w:val="21"/>
        </w:rPr>
        <w:t>5.1供应商在收到</w:t>
      </w:r>
      <w:r>
        <w:rPr>
          <w:rFonts w:ascii="宋体" w:hAnsi="宋体" w:cs="Courier New"/>
          <w:color w:val="auto"/>
          <w:spacing w:val="2"/>
          <w:szCs w:val="21"/>
        </w:rPr>
        <w:t>采购</w:t>
      </w:r>
      <w:r>
        <w:rPr>
          <w:rFonts w:hint="eastAsia" w:ascii="宋体" w:hAnsi="宋体" w:cs="Courier New"/>
          <w:color w:val="auto"/>
          <w:spacing w:val="2"/>
          <w:szCs w:val="21"/>
        </w:rPr>
        <w:t>文件后，若有问题需要澄清，须以书面形式（包括书面文字、传真、电报等，下同）向采购代理机构提出，采购代理机构将以书面形式予以解答，答复将以书面形式通知所有获得采购文件的供应商。</w:t>
      </w:r>
    </w:p>
    <w:p w14:paraId="1B60274F">
      <w:pPr>
        <w:spacing w:line="460" w:lineRule="exact"/>
        <w:ind w:firstLine="417" w:firstLineChars="195"/>
        <w:rPr>
          <w:rFonts w:ascii="宋体" w:hAnsi="宋体" w:cs="Courier New"/>
          <w:color w:val="auto"/>
          <w:spacing w:val="2"/>
          <w:szCs w:val="21"/>
        </w:rPr>
      </w:pPr>
      <w:r>
        <w:rPr>
          <w:rFonts w:hint="eastAsia" w:ascii="宋体" w:hAnsi="宋体" w:cs="Courier New"/>
          <w:color w:val="auto"/>
          <w:spacing w:val="2"/>
          <w:szCs w:val="21"/>
        </w:rPr>
        <w:t>5.2</w:t>
      </w:r>
      <w:r>
        <w:rPr>
          <w:rFonts w:ascii="宋体" w:hAnsi="宋体" w:cs="Courier New"/>
          <w:color w:val="auto"/>
          <w:spacing w:val="2"/>
          <w:szCs w:val="21"/>
        </w:rPr>
        <w:t>提交首次响应文件截止之日前，采购人、采购代理机构或者磋商小组可以对已发出的磋商文件进行必要的澄清，澄清的内容作为磋商文件的组成部分。澄清的内容可能影响响应文件编制的，采购人、采购代理机构应当在提交首次响应文件截止时间至少5日前，以书面形式通知所有获取磋商文件的供应商</w:t>
      </w:r>
      <w:r>
        <w:rPr>
          <w:rFonts w:hint="eastAsia" w:ascii="宋体" w:hAnsi="宋体" w:cs="Courier New"/>
          <w:color w:val="auto"/>
          <w:spacing w:val="2"/>
          <w:szCs w:val="21"/>
        </w:rPr>
        <w:t>；</w:t>
      </w:r>
      <w:r>
        <w:rPr>
          <w:rFonts w:ascii="宋体" w:hAnsi="宋体" w:cs="Courier New"/>
          <w:color w:val="auto"/>
          <w:spacing w:val="2"/>
          <w:szCs w:val="21"/>
        </w:rPr>
        <w:t>不足5日的，采购人、采购代理机构应当顺延提交首次响应文件截止时间。</w:t>
      </w:r>
    </w:p>
    <w:p w14:paraId="514ADD97">
      <w:pPr>
        <w:bidi w:val="0"/>
        <w:rPr>
          <w:color w:val="auto"/>
        </w:rPr>
      </w:pPr>
      <w:bookmarkStart w:id="26" w:name="_Toc346264271"/>
      <w:bookmarkStart w:id="27" w:name="_Toc80818620"/>
      <w:bookmarkStart w:id="28" w:name="_Toc18682808"/>
      <w:r>
        <w:rPr>
          <w:color w:val="auto"/>
        </w:rPr>
        <w:t>6.磋商文件的修改</w:t>
      </w:r>
      <w:bookmarkEnd w:id="26"/>
      <w:bookmarkEnd w:id="27"/>
      <w:bookmarkEnd w:id="28"/>
    </w:p>
    <w:p w14:paraId="280EECB6">
      <w:pPr>
        <w:spacing w:line="460" w:lineRule="exact"/>
        <w:ind w:firstLine="417" w:firstLineChars="195"/>
        <w:rPr>
          <w:rFonts w:ascii="宋体" w:hAnsi="宋体" w:cs="Courier New"/>
          <w:color w:val="auto"/>
          <w:spacing w:val="2"/>
          <w:szCs w:val="21"/>
        </w:rPr>
      </w:pPr>
      <w:r>
        <w:rPr>
          <w:rFonts w:hint="eastAsia" w:ascii="宋体" w:hAnsi="宋体" w:cs="Courier New"/>
          <w:color w:val="auto"/>
          <w:spacing w:val="2"/>
          <w:szCs w:val="21"/>
        </w:rPr>
        <w:t>6</w:t>
      </w:r>
      <w:r>
        <w:rPr>
          <w:rFonts w:ascii="宋体" w:hAnsi="宋体" w:cs="Courier New"/>
          <w:color w:val="auto"/>
          <w:spacing w:val="2"/>
          <w:szCs w:val="21"/>
        </w:rPr>
        <w:t>.</w:t>
      </w:r>
      <w:r>
        <w:rPr>
          <w:rFonts w:hint="eastAsia" w:ascii="宋体" w:hAnsi="宋体" w:cs="Courier New"/>
          <w:color w:val="auto"/>
          <w:spacing w:val="2"/>
          <w:szCs w:val="21"/>
        </w:rPr>
        <w:t>1 在磋商截止日期前，采购代理机构可以补充通知的方式对磋商文件进行修改，这种修改可能是采购人作出的也可能是为了解答供应商要求澄清的问题。</w:t>
      </w:r>
    </w:p>
    <w:p w14:paraId="42F1776A">
      <w:pPr>
        <w:spacing w:line="460" w:lineRule="exact"/>
        <w:ind w:firstLine="417" w:firstLineChars="195"/>
        <w:rPr>
          <w:rFonts w:ascii="宋体" w:hAnsi="宋体" w:cs="Courier New"/>
          <w:color w:val="auto"/>
          <w:spacing w:val="2"/>
          <w:szCs w:val="21"/>
        </w:rPr>
      </w:pPr>
      <w:r>
        <w:rPr>
          <w:rFonts w:hint="eastAsia" w:ascii="宋体" w:hAnsi="宋体" w:cs="Courier New"/>
          <w:color w:val="auto"/>
          <w:spacing w:val="2"/>
          <w:szCs w:val="21"/>
        </w:rPr>
        <w:t>6.2 为使供应商有充足的时间对磋商文件全部作出响应，并编出有质量的响应文件，采购人必须在响应文件递交截止日期5日前，将补充通知以书面形式通知</w:t>
      </w:r>
      <w:r>
        <w:rPr>
          <w:rFonts w:hint="eastAsia" w:hAnsi="宋体"/>
          <w:bCs/>
          <w:color w:val="auto"/>
          <w:szCs w:val="21"/>
        </w:rPr>
        <w:t>在财政部门指定的政府采购信息发布媒体网站上发布，</w:t>
      </w:r>
      <w:r>
        <w:rPr>
          <w:rFonts w:hint="eastAsia" w:ascii="宋体" w:hAnsi="宋体" w:cs="Courier New"/>
          <w:color w:val="auto"/>
          <w:spacing w:val="2"/>
          <w:szCs w:val="21"/>
        </w:rPr>
        <w:t>并以书面形式通知所有获得磋商文件的供应商，</w:t>
      </w:r>
      <w:r>
        <w:rPr>
          <w:rFonts w:ascii="宋体" w:hAnsi="宋体" w:cs="Courier New"/>
          <w:color w:val="auto"/>
          <w:spacing w:val="2"/>
          <w:szCs w:val="21"/>
        </w:rPr>
        <w:t>不足5日的，采购人、采购代理机构应当顺延提交首次响应文件截止时间。</w:t>
      </w:r>
      <w:r>
        <w:rPr>
          <w:rFonts w:hint="eastAsia" w:ascii="宋体" w:hAnsi="宋体" w:cs="Courier New"/>
          <w:color w:val="auto"/>
          <w:spacing w:val="2"/>
          <w:szCs w:val="21"/>
        </w:rPr>
        <w:t>补充通知作为采购文件的组成部分，对供应商起约束作用。</w:t>
      </w:r>
    </w:p>
    <w:p w14:paraId="0A013446">
      <w:pPr>
        <w:bidi w:val="0"/>
        <w:rPr>
          <w:color w:val="auto"/>
        </w:rPr>
      </w:pPr>
      <w:bookmarkStart w:id="29" w:name="_Toc174353362"/>
      <w:bookmarkStart w:id="30" w:name="_Toc239659099"/>
      <w:bookmarkStart w:id="31" w:name="_Toc346264272"/>
      <w:bookmarkStart w:id="32" w:name="_Toc18682809"/>
      <w:bookmarkStart w:id="33" w:name="_Toc80818621"/>
      <w:r>
        <w:rPr>
          <w:color w:val="auto"/>
        </w:rPr>
        <w:t>7.磋商报价</w:t>
      </w:r>
      <w:bookmarkEnd w:id="29"/>
      <w:bookmarkEnd w:id="30"/>
      <w:r>
        <w:rPr>
          <w:color w:val="auto"/>
        </w:rPr>
        <w:t>及</w:t>
      </w:r>
      <w:bookmarkEnd w:id="31"/>
      <w:r>
        <w:rPr>
          <w:rFonts w:hint="eastAsia"/>
          <w:color w:val="auto"/>
        </w:rPr>
        <w:t>采购</w:t>
      </w:r>
      <w:bookmarkEnd w:id="32"/>
      <w:bookmarkEnd w:id="33"/>
      <w:r>
        <w:rPr>
          <w:rFonts w:hint="eastAsia"/>
          <w:color w:val="auto"/>
        </w:rPr>
        <w:t>预算金额</w:t>
      </w:r>
    </w:p>
    <w:p w14:paraId="482D2ECC">
      <w:pPr>
        <w:adjustRightInd w:val="0"/>
        <w:spacing w:line="460" w:lineRule="exact"/>
        <w:ind w:firstLine="420" w:firstLineChars="200"/>
        <w:rPr>
          <w:rFonts w:ascii="宋体" w:hAnsi="宋体"/>
          <w:color w:val="auto"/>
          <w:szCs w:val="21"/>
        </w:rPr>
      </w:pPr>
      <w:r>
        <w:rPr>
          <w:rFonts w:hint="eastAsia" w:ascii="宋体" w:hAnsi="宋体"/>
          <w:color w:val="auto"/>
          <w:szCs w:val="21"/>
        </w:rPr>
        <w:t>7.1 供应商应按第六章“工程量清单”的要求填写相应表格。</w:t>
      </w:r>
    </w:p>
    <w:p w14:paraId="5CE19FA1">
      <w:pPr>
        <w:adjustRightInd w:val="0"/>
        <w:spacing w:line="460" w:lineRule="exact"/>
        <w:ind w:firstLine="420" w:firstLineChars="200"/>
        <w:rPr>
          <w:rFonts w:ascii="宋体" w:hAnsi="宋体"/>
          <w:color w:val="auto"/>
          <w:szCs w:val="21"/>
        </w:rPr>
      </w:pPr>
      <w:r>
        <w:rPr>
          <w:rFonts w:hint="eastAsia" w:ascii="宋体" w:hAnsi="宋体"/>
          <w:color w:val="auto"/>
          <w:szCs w:val="21"/>
        </w:rPr>
        <w:t>7.2 供应商在磋商截止时间前修改磋商函中的磋商总报价，应同时修改第六章“工程量清单”中的相应报价。此修改须符合本章第16款的有关要求。</w:t>
      </w:r>
    </w:p>
    <w:p w14:paraId="21353804">
      <w:pPr>
        <w:spacing w:line="420" w:lineRule="exact"/>
        <w:ind w:firstLine="420" w:firstLineChars="200"/>
        <w:jc w:val="left"/>
        <w:rPr>
          <w:rFonts w:ascii="宋体" w:hAnsi="宋体"/>
          <w:b/>
          <w:bCs/>
          <w:color w:val="auto"/>
          <w:szCs w:val="21"/>
        </w:rPr>
      </w:pPr>
      <w:bookmarkStart w:id="34" w:name="_Hlk87630946"/>
      <w:r>
        <w:rPr>
          <w:rFonts w:hint="eastAsia" w:ascii="宋体" w:hAnsi="宋体"/>
          <w:color w:val="auto"/>
          <w:szCs w:val="21"/>
        </w:rPr>
        <w:t xml:space="preserve">7.3 </w:t>
      </w:r>
      <w:r>
        <w:rPr>
          <w:rFonts w:hint="eastAsia" w:ascii="宋体" w:hAnsi="宋体"/>
          <w:b/>
          <w:bCs/>
          <w:color w:val="auto"/>
          <w:szCs w:val="21"/>
        </w:rPr>
        <w:t>本项目采购预算金额为：详见前附表内容。</w:t>
      </w:r>
    </w:p>
    <w:p w14:paraId="00FFC7D4">
      <w:pPr>
        <w:spacing w:line="420" w:lineRule="exact"/>
        <w:ind w:firstLine="420" w:firstLineChars="200"/>
        <w:jc w:val="left"/>
        <w:rPr>
          <w:rFonts w:ascii="宋体" w:hAnsi="宋体"/>
          <w:b/>
          <w:color w:val="auto"/>
          <w:szCs w:val="21"/>
        </w:rPr>
      </w:pPr>
      <w:r>
        <w:rPr>
          <w:rFonts w:hint="eastAsia" w:ascii="宋体" w:hAnsi="宋体"/>
          <w:color w:val="auto"/>
          <w:szCs w:val="21"/>
        </w:rPr>
        <w:t>本采购项目的有效磋商报价范围为：</w:t>
      </w:r>
      <w:r>
        <w:rPr>
          <w:rFonts w:hint="eastAsia" w:ascii="宋体" w:hAnsi="宋体" w:cs="Courier New"/>
          <w:b/>
          <w:color w:val="auto"/>
          <w:spacing w:val="2"/>
          <w:szCs w:val="21"/>
        </w:rPr>
        <w:t>供应商的最终磋商报价不能高于本项目的采购预算金额。</w:t>
      </w:r>
    </w:p>
    <w:bookmarkEnd w:id="34"/>
    <w:p w14:paraId="24FC173D">
      <w:pPr>
        <w:spacing w:line="460" w:lineRule="exact"/>
        <w:ind w:firstLine="420" w:firstLineChars="200"/>
        <w:rPr>
          <w:rFonts w:ascii="宋体" w:hAnsi="宋体"/>
          <w:color w:val="auto"/>
          <w:szCs w:val="21"/>
        </w:rPr>
      </w:pPr>
      <w:r>
        <w:rPr>
          <w:rFonts w:hint="eastAsia" w:ascii="宋体" w:hAnsi="宋体"/>
          <w:color w:val="auto"/>
          <w:szCs w:val="21"/>
        </w:rPr>
        <w:t>7.4进行磋商报价，其优惠应直接体现在各项磋商报价的单价中，磋商函中供应商不得采用总价优惠、总价百分比优惠或以报价调整函的方式的报价必须与工程量清单汇总表一致，否则作无效标处理。</w:t>
      </w:r>
    </w:p>
    <w:p w14:paraId="4A92A55F">
      <w:pPr>
        <w:spacing w:line="460" w:lineRule="exact"/>
        <w:rPr>
          <w:rFonts w:ascii="宋体" w:hAnsi="宋体"/>
          <w:color w:val="auto"/>
          <w:szCs w:val="21"/>
        </w:rPr>
      </w:pPr>
      <w:r>
        <w:rPr>
          <w:rFonts w:ascii="宋体" w:hAnsi="宋体"/>
          <w:color w:val="auto"/>
          <w:szCs w:val="21"/>
        </w:rPr>
        <w:t xml:space="preserve">    7.</w:t>
      </w:r>
      <w:r>
        <w:rPr>
          <w:rFonts w:hint="eastAsia" w:ascii="宋体" w:hAnsi="宋体"/>
          <w:color w:val="auto"/>
          <w:szCs w:val="21"/>
        </w:rPr>
        <w:t>5</w:t>
      </w:r>
      <w:r>
        <w:rPr>
          <w:rFonts w:ascii="宋体" w:hAnsi="宋体"/>
          <w:color w:val="auto"/>
          <w:szCs w:val="21"/>
        </w:rPr>
        <w:t>磋商货币</w:t>
      </w:r>
    </w:p>
    <w:p w14:paraId="6178A045">
      <w:pPr>
        <w:spacing w:line="460" w:lineRule="exact"/>
        <w:ind w:firstLine="420" w:firstLineChars="200"/>
        <w:rPr>
          <w:rFonts w:ascii="宋体" w:hAnsi="宋体"/>
          <w:color w:val="auto"/>
          <w:szCs w:val="21"/>
        </w:rPr>
      </w:pPr>
      <w:r>
        <w:rPr>
          <w:rFonts w:hint="eastAsia" w:ascii="宋体" w:hAnsi="宋体"/>
          <w:color w:val="auto"/>
          <w:szCs w:val="21"/>
        </w:rPr>
        <w:t>响应文件</w:t>
      </w:r>
      <w:r>
        <w:rPr>
          <w:rFonts w:ascii="宋体" w:hAnsi="宋体"/>
          <w:color w:val="auto"/>
          <w:szCs w:val="21"/>
        </w:rPr>
        <w:t>报价中的单价和合价全部采用人民币表示。</w:t>
      </w:r>
    </w:p>
    <w:p w14:paraId="4904726C">
      <w:pPr>
        <w:bidi w:val="0"/>
        <w:rPr>
          <w:color w:val="auto"/>
        </w:rPr>
      </w:pPr>
      <w:bookmarkStart w:id="35" w:name="_Toc80818622"/>
      <w:bookmarkStart w:id="36" w:name="_Toc239659100"/>
      <w:bookmarkStart w:id="37" w:name="_Toc346264273"/>
      <w:bookmarkStart w:id="38" w:name="_Toc18682810"/>
      <w:r>
        <w:rPr>
          <w:color w:val="auto"/>
        </w:rPr>
        <w:t>8.</w:t>
      </w:r>
      <w:r>
        <w:rPr>
          <w:rFonts w:hint="eastAsia"/>
          <w:color w:val="auto"/>
        </w:rPr>
        <w:t>响应文件</w:t>
      </w:r>
      <w:r>
        <w:rPr>
          <w:color w:val="auto"/>
        </w:rPr>
        <w:t>的语言</w:t>
      </w:r>
      <w:bookmarkEnd w:id="35"/>
      <w:bookmarkEnd w:id="36"/>
      <w:bookmarkEnd w:id="37"/>
      <w:bookmarkEnd w:id="38"/>
    </w:p>
    <w:p w14:paraId="4A9AC6C9">
      <w:pPr>
        <w:spacing w:line="460" w:lineRule="exact"/>
        <w:ind w:firstLine="435"/>
        <w:rPr>
          <w:rFonts w:ascii="宋体" w:hAnsi="宋体"/>
          <w:color w:val="auto"/>
          <w:szCs w:val="21"/>
        </w:rPr>
      </w:pPr>
      <w:r>
        <w:rPr>
          <w:rFonts w:hint="eastAsia" w:ascii="宋体" w:hAnsi="宋体"/>
          <w:color w:val="auto"/>
          <w:szCs w:val="21"/>
        </w:rPr>
        <w:t>响应文件</w:t>
      </w:r>
      <w:r>
        <w:rPr>
          <w:rFonts w:ascii="宋体" w:hAnsi="宋体"/>
          <w:color w:val="auto"/>
          <w:szCs w:val="21"/>
        </w:rPr>
        <w:t>及</w:t>
      </w:r>
      <w:r>
        <w:rPr>
          <w:rFonts w:hint="eastAsia" w:ascii="宋体" w:hAnsi="宋体"/>
          <w:color w:val="auto"/>
          <w:szCs w:val="21"/>
        </w:rPr>
        <w:t>供应商</w:t>
      </w:r>
      <w:r>
        <w:rPr>
          <w:rFonts w:ascii="宋体" w:hAnsi="宋体"/>
          <w:color w:val="auto"/>
          <w:szCs w:val="21"/>
        </w:rPr>
        <w:t>与采购人之间与磋商有关的来往通知、函件和文件均应使用中文。</w:t>
      </w:r>
    </w:p>
    <w:p w14:paraId="40AB1C83">
      <w:pPr>
        <w:bidi w:val="0"/>
        <w:rPr>
          <w:color w:val="auto"/>
        </w:rPr>
      </w:pPr>
      <w:bookmarkStart w:id="39" w:name="_Toc346264274"/>
      <w:bookmarkStart w:id="40" w:name="_Toc80818623"/>
      <w:bookmarkStart w:id="41" w:name="_Toc18682811"/>
      <w:bookmarkStart w:id="42" w:name="_Toc239659101"/>
      <w:r>
        <w:rPr>
          <w:color w:val="auto"/>
        </w:rPr>
        <w:t>9.</w:t>
      </w:r>
      <w:r>
        <w:rPr>
          <w:rFonts w:hint="eastAsia"/>
          <w:color w:val="auto"/>
        </w:rPr>
        <w:t>响应文件</w:t>
      </w:r>
      <w:r>
        <w:rPr>
          <w:color w:val="auto"/>
        </w:rPr>
        <w:t>的组成</w:t>
      </w:r>
      <w:bookmarkEnd w:id="39"/>
      <w:bookmarkEnd w:id="40"/>
      <w:bookmarkEnd w:id="41"/>
      <w:bookmarkEnd w:id="42"/>
    </w:p>
    <w:p w14:paraId="5A069765">
      <w:pPr>
        <w:pStyle w:val="24"/>
        <w:adjustRightInd w:val="0"/>
        <w:snapToGrid w:val="0"/>
        <w:spacing w:line="500" w:lineRule="exact"/>
        <w:ind w:firstLine="411" w:firstLineChars="196"/>
        <w:jc w:val="left"/>
        <w:rPr>
          <w:rFonts w:hAnsi="宋体"/>
          <w:color w:val="auto"/>
          <w:szCs w:val="21"/>
        </w:rPr>
      </w:pPr>
      <w:bookmarkStart w:id="43" w:name="_Hlk86744397"/>
      <w:r>
        <w:rPr>
          <w:rFonts w:hAnsi="宋体"/>
          <w:color w:val="auto"/>
          <w:szCs w:val="21"/>
        </w:rPr>
        <w:t xml:space="preserve">9.1 </w:t>
      </w:r>
      <w:r>
        <w:rPr>
          <w:rFonts w:hint="eastAsia" w:hAnsi="宋体"/>
          <w:color w:val="auto"/>
          <w:szCs w:val="21"/>
        </w:rPr>
        <w:t>响应文件包括</w:t>
      </w:r>
      <w:r>
        <w:rPr>
          <w:rFonts w:hAnsi="宋体"/>
          <w:color w:val="auto"/>
          <w:szCs w:val="21"/>
        </w:rPr>
        <w:t>资格</w:t>
      </w:r>
      <w:r>
        <w:rPr>
          <w:rFonts w:hint="eastAsia" w:hAnsi="宋体"/>
          <w:color w:val="auto"/>
          <w:szCs w:val="21"/>
        </w:rPr>
        <w:t>文件</w:t>
      </w:r>
      <w:r>
        <w:rPr>
          <w:rFonts w:hAnsi="宋体"/>
          <w:color w:val="auto"/>
          <w:szCs w:val="21"/>
        </w:rPr>
        <w:t>、商务</w:t>
      </w:r>
      <w:r>
        <w:rPr>
          <w:rFonts w:hint="eastAsia" w:hAnsi="宋体"/>
          <w:color w:val="auto"/>
          <w:szCs w:val="21"/>
        </w:rPr>
        <w:t>技术文件、</w:t>
      </w:r>
      <w:r>
        <w:rPr>
          <w:rFonts w:hint="eastAsia"/>
          <w:color w:val="auto"/>
          <w:szCs w:val="21"/>
        </w:rPr>
        <w:t>报价文件</w:t>
      </w:r>
      <w:r>
        <w:rPr>
          <w:rFonts w:hint="eastAsia"/>
          <w:b/>
          <w:color w:val="auto"/>
          <w:szCs w:val="21"/>
        </w:rPr>
        <w:t>三部份</w:t>
      </w:r>
      <w:r>
        <w:rPr>
          <w:rFonts w:hint="eastAsia"/>
          <w:color w:val="auto"/>
          <w:szCs w:val="21"/>
        </w:rPr>
        <w:t>组成</w:t>
      </w:r>
      <w:r>
        <w:rPr>
          <w:rFonts w:hint="eastAsia" w:hAnsi="宋体"/>
          <w:color w:val="auto"/>
          <w:szCs w:val="21"/>
        </w:rPr>
        <w:t>并分别编制，以下材料组成在磋商文件第七章“响应文件格式”中未附格式的，由供应商自行拟定。</w:t>
      </w:r>
      <w:r>
        <w:rPr>
          <w:rFonts w:hint="eastAsia" w:hAnsi="宋体"/>
          <w:b/>
          <w:color w:val="auto"/>
          <w:kern w:val="0"/>
          <w:szCs w:val="21"/>
        </w:rPr>
        <w:t>响应文件中所有复印件均须加盖磋商单位公章，否则视为无效磋商响应文件。</w:t>
      </w:r>
    </w:p>
    <w:bookmarkEnd w:id="43"/>
    <w:p w14:paraId="04AA1688">
      <w:pPr>
        <w:spacing w:line="460" w:lineRule="exact"/>
        <w:ind w:firstLine="422" w:firstLineChars="200"/>
        <w:rPr>
          <w:rFonts w:ascii="宋体" w:hAnsi="宋体"/>
          <w:b/>
          <w:color w:val="auto"/>
          <w:szCs w:val="21"/>
        </w:rPr>
      </w:pPr>
      <w:bookmarkStart w:id="44" w:name="_Hlk86744311"/>
      <w:bookmarkStart w:id="45" w:name="_Hlk87630980"/>
      <w:r>
        <w:rPr>
          <w:rFonts w:hint="eastAsia" w:ascii="宋体" w:hAnsi="宋体"/>
          <w:b/>
          <w:color w:val="auto"/>
          <w:szCs w:val="21"/>
        </w:rPr>
        <w:t>9</w:t>
      </w:r>
      <w:r>
        <w:rPr>
          <w:rFonts w:ascii="宋体" w:hAnsi="宋体"/>
          <w:b/>
          <w:color w:val="auto"/>
          <w:szCs w:val="21"/>
        </w:rPr>
        <w:t>.2资格</w:t>
      </w:r>
      <w:r>
        <w:rPr>
          <w:rFonts w:hint="eastAsia" w:ascii="宋体" w:hAnsi="宋体"/>
          <w:b/>
          <w:color w:val="auto"/>
          <w:szCs w:val="21"/>
        </w:rPr>
        <w:t>文件应</w:t>
      </w:r>
      <w:r>
        <w:rPr>
          <w:rFonts w:ascii="宋体" w:hAnsi="宋体"/>
          <w:b/>
          <w:color w:val="auto"/>
          <w:szCs w:val="21"/>
        </w:rPr>
        <w:t>包括下列内容：</w:t>
      </w:r>
    </w:p>
    <w:bookmarkEnd w:id="44"/>
    <w:p w14:paraId="234586F9">
      <w:pPr>
        <w:spacing w:line="460" w:lineRule="exact"/>
        <w:ind w:left="27" w:leftChars="13" w:firstLine="420" w:firstLineChars="200"/>
        <w:jc w:val="left"/>
        <w:rPr>
          <w:rFonts w:ascii="宋体" w:hAnsi="宋体" w:cs="宋体"/>
          <w:b/>
          <w:color w:val="auto"/>
          <w:kern w:val="0"/>
          <w:szCs w:val="21"/>
        </w:rPr>
      </w:pPr>
      <w:bookmarkStart w:id="46" w:name="_Hlk86744419"/>
      <w:r>
        <w:rPr>
          <w:rFonts w:hint="eastAsia" w:ascii="宋体" w:hAnsi="宋体"/>
          <w:color w:val="auto"/>
          <w:szCs w:val="21"/>
        </w:rPr>
        <w:t>（1）</w:t>
      </w:r>
      <w:r>
        <w:rPr>
          <w:rFonts w:hint="eastAsia" w:ascii="宋体" w:hAnsi="宋体" w:cs="Times New Roman"/>
          <w:color w:val="auto"/>
          <w:szCs w:val="21"/>
          <w:lang w:val="en-US" w:eastAsia="zh-CN"/>
        </w:rPr>
        <w:t>崇左市政府采购供应商信用承诺函；（格式详见响应文件格式）</w:t>
      </w:r>
    </w:p>
    <w:p w14:paraId="0B02FC23">
      <w:pPr>
        <w:spacing w:line="460" w:lineRule="exact"/>
        <w:ind w:left="27" w:leftChars="13" w:firstLine="420" w:firstLineChars="200"/>
        <w:jc w:val="left"/>
        <w:rPr>
          <w:rFonts w:hint="eastAsia" w:ascii="宋体" w:hAnsi="宋体"/>
          <w:color w:val="auto"/>
          <w:szCs w:val="21"/>
        </w:rPr>
      </w:pPr>
      <w:r>
        <w:rPr>
          <w:rFonts w:hint="eastAsia" w:ascii="宋体" w:hAnsi="宋体"/>
          <w:color w:val="auto"/>
          <w:szCs w:val="21"/>
        </w:rPr>
        <w:t>（2）供应商有效的安全生产许可证复印件；</w:t>
      </w:r>
    </w:p>
    <w:p w14:paraId="47CCEA99">
      <w:pPr>
        <w:widowControl/>
        <w:spacing w:line="460" w:lineRule="exact"/>
        <w:ind w:left="1062" w:leftChars="200" w:hanging="642" w:hangingChars="300"/>
        <w:jc w:val="left"/>
        <w:rPr>
          <w:rFonts w:ascii="宋体" w:hAnsi="宋体" w:cs="Courier New"/>
          <w:color w:val="auto"/>
          <w:spacing w:val="2"/>
          <w:szCs w:val="21"/>
        </w:rPr>
      </w:pPr>
      <w:r>
        <w:rPr>
          <w:rFonts w:hint="eastAsia" w:ascii="宋体" w:hAnsi="宋体" w:cs="Courier New"/>
          <w:color w:val="auto"/>
          <w:spacing w:val="2"/>
          <w:szCs w:val="21"/>
        </w:rPr>
        <w:t>（3）</w:t>
      </w:r>
      <w:r>
        <w:rPr>
          <w:rFonts w:hint="eastAsia" w:ascii="宋体" w:hAnsi="宋体"/>
          <w:color w:val="auto"/>
          <w:szCs w:val="21"/>
        </w:rPr>
        <w:t>供应商</w:t>
      </w:r>
      <w:r>
        <w:rPr>
          <w:rFonts w:hint="eastAsia" w:ascii="宋体" w:hAnsi="宋体" w:cs="Courier New"/>
          <w:color w:val="auto"/>
          <w:spacing w:val="2"/>
          <w:szCs w:val="21"/>
        </w:rPr>
        <w:t>有效的</w:t>
      </w:r>
      <w:r>
        <w:rPr>
          <w:rFonts w:hint="eastAsia" w:ascii="宋体" w:hAnsi="宋体"/>
          <w:color w:val="auto"/>
          <w:szCs w:val="21"/>
        </w:rPr>
        <w:t>资质证书</w:t>
      </w:r>
      <w:r>
        <w:rPr>
          <w:rFonts w:hint="eastAsia" w:ascii="宋体" w:hAnsi="宋体" w:cs="Courier New"/>
          <w:color w:val="auto"/>
          <w:spacing w:val="2"/>
          <w:szCs w:val="21"/>
        </w:rPr>
        <w:t>副本复印件</w:t>
      </w:r>
      <w:r>
        <w:rPr>
          <w:rFonts w:hint="eastAsia" w:ascii="宋体" w:hAnsi="宋体" w:cs="Courier New"/>
          <w:color w:val="auto"/>
          <w:spacing w:val="2"/>
          <w:szCs w:val="21"/>
          <w:lang w:eastAsia="zh-CN"/>
        </w:rPr>
        <w:t>【要求资质为</w:t>
      </w:r>
      <w:r>
        <w:rPr>
          <w:rFonts w:hint="eastAsia" w:ascii="宋体" w:hAnsi="宋体" w:cs="Courier New"/>
          <w:b/>
          <w:bCs/>
          <w:color w:val="auto"/>
          <w:spacing w:val="2"/>
          <w:szCs w:val="21"/>
          <w:lang w:val="en-US" w:eastAsia="zh-CN"/>
        </w:rPr>
        <w:t>建筑</w:t>
      </w:r>
      <w:r>
        <w:rPr>
          <w:rFonts w:hint="eastAsia"/>
          <w:b/>
          <w:bCs/>
          <w:color w:val="auto"/>
        </w:rPr>
        <w:t>工程施工总承包</w:t>
      </w:r>
      <w:r>
        <w:rPr>
          <w:rFonts w:hint="eastAsia"/>
          <w:b/>
          <w:bCs/>
          <w:color w:val="auto"/>
          <w:lang w:eastAsia="zh-CN"/>
        </w:rPr>
        <w:t>三级</w:t>
      </w:r>
      <w:r>
        <w:rPr>
          <w:rFonts w:hint="eastAsia" w:ascii="宋体" w:hAnsi="宋体" w:cs="宋体"/>
          <w:b/>
          <w:bCs/>
          <w:color w:val="auto"/>
        </w:rPr>
        <w:t>（含三级）</w:t>
      </w:r>
      <w:r>
        <w:rPr>
          <w:rFonts w:hint="eastAsia"/>
          <w:b/>
          <w:bCs/>
          <w:color w:val="auto"/>
          <w:lang w:eastAsia="zh-CN"/>
        </w:rPr>
        <w:t>及</w:t>
      </w:r>
      <w:r>
        <w:rPr>
          <w:rFonts w:hint="eastAsia" w:ascii="宋体" w:hAnsi="宋体" w:cs="宋体"/>
          <w:color w:val="auto"/>
        </w:rPr>
        <w:t>以上</w:t>
      </w:r>
      <w:r>
        <w:rPr>
          <w:rFonts w:hint="eastAsia" w:ascii="宋体" w:hAnsi="宋体" w:cs="Courier New"/>
          <w:color w:val="auto"/>
          <w:spacing w:val="2"/>
          <w:szCs w:val="21"/>
          <w:lang w:eastAsia="zh-CN"/>
        </w:rPr>
        <w:t>】</w:t>
      </w:r>
      <w:r>
        <w:rPr>
          <w:rFonts w:hint="eastAsia" w:ascii="宋体" w:hAnsi="宋体" w:cs="Courier New"/>
          <w:color w:val="auto"/>
          <w:spacing w:val="2"/>
          <w:szCs w:val="21"/>
        </w:rPr>
        <w:t>；</w:t>
      </w:r>
    </w:p>
    <w:p w14:paraId="2727C183">
      <w:pPr>
        <w:spacing w:line="460" w:lineRule="exact"/>
        <w:ind w:left="27" w:leftChars="13" w:firstLine="420" w:firstLineChars="200"/>
        <w:jc w:val="left"/>
        <w:rPr>
          <w:rFonts w:hint="eastAsia"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4</w:t>
      </w:r>
      <w:r>
        <w:rPr>
          <w:rFonts w:hint="eastAsia" w:ascii="宋体" w:hAnsi="宋体"/>
          <w:color w:val="auto"/>
          <w:szCs w:val="21"/>
        </w:rPr>
        <w:t>）供应商参与政府采购活动前三年在经营活动中没有重大违法记录的书面声明函；</w:t>
      </w:r>
    </w:p>
    <w:p w14:paraId="7D2AAC13">
      <w:pPr>
        <w:spacing w:line="460" w:lineRule="exact"/>
        <w:ind w:left="27" w:leftChars="13" w:firstLine="420" w:firstLineChars="200"/>
        <w:jc w:val="left"/>
        <w:rPr>
          <w:rFonts w:hint="eastAsia" w:ascii="宋体" w:hAnsi="宋体"/>
          <w:color w:val="auto"/>
          <w:szCs w:val="21"/>
        </w:rPr>
      </w:pPr>
      <w:bookmarkStart w:id="47" w:name="_Hlk86744247"/>
      <w:r>
        <w:rPr>
          <w:rFonts w:hint="eastAsia" w:ascii="宋体" w:hAnsi="宋体"/>
          <w:color w:val="auto"/>
          <w:szCs w:val="21"/>
        </w:rPr>
        <w:t>（</w:t>
      </w:r>
      <w:r>
        <w:rPr>
          <w:rFonts w:hint="eastAsia" w:ascii="宋体" w:hAnsi="宋体"/>
          <w:color w:val="auto"/>
          <w:szCs w:val="21"/>
          <w:lang w:val="en-US" w:eastAsia="zh-CN"/>
        </w:rPr>
        <w:t>5</w:t>
      </w:r>
      <w:r>
        <w:rPr>
          <w:rFonts w:hint="eastAsia" w:ascii="宋体" w:hAnsi="宋体"/>
          <w:color w:val="auto"/>
          <w:szCs w:val="21"/>
        </w:rPr>
        <w:t>）拟投入本工程项目经理的身份证复印件、</w:t>
      </w:r>
      <w:r>
        <w:rPr>
          <w:rFonts w:hint="eastAsia" w:ascii="宋体" w:hAnsi="宋体"/>
          <w:color w:val="auto"/>
          <w:szCs w:val="21"/>
          <w:lang w:val="en-US" w:eastAsia="zh-CN"/>
        </w:rPr>
        <w:t>建筑工程</w:t>
      </w:r>
      <w:r>
        <w:rPr>
          <w:rFonts w:hint="eastAsia" w:ascii="宋体" w:hAnsi="宋体"/>
          <w:color w:val="auto"/>
          <w:szCs w:val="21"/>
        </w:rPr>
        <w:t>专业二级（含以上）注册建造师执业</w:t>
      </w:r>
      <w:r>
        <w:rPr>
          <w:rFonts w:hint="eastAsia" w:ascii="宋体" w:hAnsi="宋体"/>
          <w:color w:val="auto"/>
          <w:szCs w:val="21"/>
          <w:lang w:eastAsia="zh-CN"/>
        </w:rPr>
        <w:t>证书复印件</w:t>
      </w:r>
      <w:r>
        <w:rPr>
          <w:rFonts w:hint="eastAsia" w:ascii="宋体" w:hAnsi="宋体"/>
          <w:color w:val="auto"/>
          <w:szCs w:val="21"/>
        </w:rPr>
        <w:t>、安全生产考核合格证书（B类）复印件</w:t>
      </w:r>
      <w:r>
        <w:rPr>
          <w:rFonts w:hint="eastAsia" w:ascii="宋体" w:hAnsi="宋体"/>
          <w:color w:val="auto"/>
          <w:szCs w:val="21"/>
          <w:lang w:eastAsia="zh-CN"/>
        </w:rPr>
        <w:t>、在供应商单位缴纳的养老保险凭证复印件（要求缴费时间为磋商截止时间前半年内连续三个月）、</w:t>
      </w:r>
      <w:r>
        <w:rPr>
          <w:rFonts w:hint="eastAsia" w:ascii="宋体" w:hAnsi="宋体"/>
          <w:b/>
          <w:bCs/>
          <w:color w:val="auto"/>
          <w:szCs w:val="21"/>
          <w:lang w:val="en-US" w:eastAsia="zh-CN"/>
        </w:rPr>
        <w:t>拟投入的项目经理无在建项目承诺书（格式自拟）</w:t>
      </w:r>
      <w:r>
        <w:rPr>
          <w:rFonts w:hint="eastAsia" w:ascii="宋体" w:hAnsi="宋体"/>
          <w:color w:val="auto"/>
          <w:szCs w:val="21"/>
        </w:rPr>
        <w:t>；</w:t>
      </w:r>
    </w:p>
    <w:p w14:paraId="1B1129A7">
      <w:pPr>
        <w:spacing w:line="460" w:lineRule="exact"/>
        <w:ind w:left="27" w:leftChars="13" w:firstLine="420" w:firstLineChars="200"/>
        <w:jc w:val="left"/>
        <w:rPr>
          <w:rFonts w:hint="eastAsia" w:ascii="宋体" w:hAnsi="宋体"/>
          <w:color w:val="auto"/>
          <w:szCs w:val="21"/>
          <w:lang w:val="en-US" w:eastAsia="zh-CN"/>
        </w:rPr>
      </w:pPr>
      <w:r>
        <w:rPr>
          <w:rFonts w:hint="eastAsia" w:ascii="宋体" w:hAnsi="宋体"/>
          <w:color w:val="auto"/>
          <w:szCs w:val="21"/>
          <w:lang w:val="en-US" w:eastAsia="zh-CN"/>
        </w:rPr>
        <w:t>（6）供应商直接控股、管理关系信息表；</w:t>
      </w:r>
      <w:r>
        <w:rPr>
          <w:rFonts w:hint="eastAsia" w:ascii="宋体" w:hAnsi="宋体" w:cs="Times New Roman"/>
          <w:color w:val="auto"/>
          <w:szCs w:val="21"/>
          <w:lang w:val="en-US" w:eastAsia="zh-CN"/>
        </w:rPr>
        <w:t>（格式详见第八章响应文件格式）</w:t>
      </w:r>
    </w:p>
    <w:p w14:paraId="5A92E1A9">
      <w:pPr>
        <w:spacing w:line="460" w:lineRule="exact"/>
        <w:ind w:left="27" w:leftChars="13" w:firstLine="420" w:firstLineChars="200"/>
        <w:jc w:val="left"/>
        <w:rPr>
          <w:rFonts w:hint="eastAsia" w:ascii="宋体" w:hAnsi="宋体"/>
          <w:color w:val="auto"/>
          <w:szCs w:val="21"/>
          <w:lang w:val="en-US" w:eastAsia="zh-CN"/>
        </w:rPr>
      </w:pPr>
      <w:r>
        <w:rPr>
          <w:rFonts w:hint="eastAsia" w:ascii="宋体" w:hAnsi="宋体"/>
          <w:color w:val="auto"/>
          <w:szCs w:val="21"/>
          <w:lang w:val="en-US" w:eastAsia="zh-CN"/>
        </w:rPr>
        <w:t>（7）本项目专门面向中小企业采购（供应商为中小微企业或监狱企业或残疾人福利企业 ），供应商须按照格式提供中小企业声明函。</w:t>
      </w:r>
      <w:r>
        <w:rPr>
          <w:rFonts w:hint="eastAsia" w:ascii="宋体" w:hAnsi="宋体" w:cs="Times New Roman"/>
          <w:color w:val="auto"/>
          <w:szCs w:val="21"/>
          <w:lang w:val="en-US" w:eastAsia="zh-CN"/>
        </w:rPr>
        <w:t>（格式详见第八章响应文件格式）</w:t>
      </w:r>
    </w:p>
    <w:bookmarkEnd w:id="47"/>
    <w:p w14:paraId="3272F3C7">
      <w:pPr>
        <w:pStyle w:val="24"/>
        <w:adjustRightInd w:val="0"/>
        <w:snapToGrid w:val="0"/>
        <w:spacing w:line="460" w:lineRule="exact"/>
        <w:ind w:firstLine="413" w:firstLineChars="196"/>
        <w:jc w:val="left"/>
        <w:rPr>
          <w:rFonts w:hAnsi="宋体"/>
          <w:b/>
          <w:color w:val="auto"/>
          <w:kern w:val="0"/>
          <w:szCs w:val="21"/>
        </w:rPr>
      </w:pPr>
      <w:r>
        <w:rPr>
          <w:rFonts w:hint="eastAsia" w:hAnsi="宋体"/>
          <w:b/>
          <w:snapToGrid w:val="0"/>
          <w:color w:val="auto"/>
          <w:kern w:val="0"/>
          <w:szCs w:val="21"/>
        </w:rPr>
        <w:t>注：1.</w:t>
      </w:r>
      <w:r>
        <w:rPr>
          <w:rFonts w:hint="eastAsia" w:hAnsi="宋体"/>
          <w:b/>
          <w:color w:val="auto"/>
          <w:kern w:val="0"/>
          <w:szCs w:val="21"/>
        </w:rPr>
        <w:t>以上材料须提供，否则视为无效磋商响应文件。</w:t>
      </w:r>
    </w:p>
    <w:p w14:paraId="5EEED715">
      <w:pPr>
        <w:tabs>
          <w:tab w:val="left" w:pos="3870"/>
          <w:tab w:val="left" w:pos="4085"/>
        </w:tabs>
        <w:snapToGrid w:val="0"/>
        <w:spacing w:line="460" w:lineRule="exact"/>
        <w:ind w:firstLine="422" w:firstLineChars="200"/>
        <w:jc w:val="left"/>
        <w:rPr>
          <w:rFonts w:ascii="宋体" w:hAnsi="宋体"/>
          <w:b/>
          <w:color w:val="auto"/>
          <w:kern w:val="0"/>
          <w:szCs w:val="21"/>
        </w:rPr>
      </w:pPr>
      <w:r>
        <w:rPr>
          <w:rFonts w:hint="eastAsia" w:ascii="宋体" w:hAnsi="宋体"/>
          <w:b/>
          <w:color w:val="auto"/>
          <w:kern w:val="0"/>
          <w:szCs w:val="21"/>
        </w:rPr>
        <w:t>2.供应商在“信用中国”网站、“中国政府采购网”的信用记录情况由采购代理查询提供，若查询结果不满足采购文件要求的响应文件将视为资格审查不合格。</w:t>
      </w:r>
    </w:p>
    <w:p w14:paraId="12C0DFB9">
      <w:pPr>
        <w:spacing w:line="460" w:lineRule="exact"/>
        <w:ind w:firstLine="422" w:firstLineChars="200"/>
        <w:rPr>
          <w:rFonts w:ascii="宋体" w:hAnsi="宋体"/>
          <w:b/>
          <w:color w:val="auto"/>
          <w:szCs w:val="21"/>
        </w:rPr>
      </w:pPr>
      <w:r>
        <w:rPr>
          <w:rFonts w:hint="eastAsia" w:ascii="宋体" w:hAnsi="宋体"/>
          <w:b/>
          <w:color w:val="auto"/>
          <w:szCs w:val="21"/>
        </w:rPr>
        <w:t>9</w:t>
      </w:r>
      <w:r>
        <w:rPr>
          <w:rFonts w:ascii="宋体" w:hAnsi="宋体"/>
          <w:b/>
          <w:color w:val="auto"/>
          <w:szCs w:val="21"/>
        </w:rPr>
        <w:t>.3 商务</w:t>
      </w:r>
      <w:r>
        <w:rPr>
          <w:rFonts w:hint="eastAsia" w:ascii="宋体" w:hAnsi="宋体"/>
          <w:b/>
          <w:color w:val="auto"/>
          <w:szCs w:val="21"/>
        </w:rPr>
        <w:t>技术文件</w:t>
      </w:r>
    </w:p>
    <w:p w14:paraId="55F1DDAE">
      <w:pPr>
        <w:spacing w:line="460" w:lineRule="exact"/>
        <w:ind w:firstLine="413" w:firstLineChars="196"/>
        <w:rPr>
          <w:rFonts w:ascii="宋体" w:hAnsi="宋体"/>
          <w:b/>
          <w:color w:val="auto"/>
          <w:szCs w:val="21"/>
        </w:rPr>
      </w:pPr>
      <w:r>
        <w:rPr>
          <w:rFonts w:hint="eastAsia" w:ascii="宋体" w:hAnsi="宋体"/>
          <w:b/>
          <w:color w:val="auto"/>
          <w:szCs w:val="21"/>
        </w:rPr>
        <w:t>9.3.1</w:t>
      </w:r>
      <w:r>
        <w:rPr>
          <w:rFonts w:ascii="宋体" w:hAnsi="宋体"/>
          <w:b/>
          <w:color w:val="auto"/>
          <w:szCs w:val="21"/>
        </w:rPr>
        <w:t>商务</w:t>
      </w:r>
      <w:r>
        <w:rPr>
          <w:rFonts w:hint="eastAsia" w:ascii="宋体" w:hAnsi="宋体"/>
          <w:b/>
          <w:color w:val="auto"/>
          <w:szCs w:val="21"/>
        </w:rPr>
        <w:t>文件应</w:t>
      </w:r>
      <w:r>
        <w:rPr>
          <w:rFonts w:ascii="宋体" w:hAnsi="宋体"/>
          <w:b/>
          <w:color w:val="auto"/>
          <w:szCs w:val="21"/>
        </w:rPr>
        <w:t>包括下列内容</w:t>
      </w:r>
      <w:r>
        <w:rPr>
          <w:rFonts w:hint="eastAsia" w:ascii="宋体" w:hAnsi="宋体"/>
          <w:b/>
          <w:color w:val="auto"/>
          <w:szCs w:val="21"/>
        </w:rPr>
        <w:t>：</w:t>
      </w:r>
    </w:p>
    <w:p w14:paraId="279D23A0">
      <w:pPr>
        <w:spacing w:line="460" w:lineRule="exact"/>
        <w:ind w:firstLine="420" w:firstLineChars="200"/>
        <w:rPr>
          <w:rFonts w:hAnsi="宋体" w:cs="宋体"/>
          <w:color w:val="auto"/>
          <w:szCs w:val="21"/>
        </w:rPr>
      </w:pPr>
      <w:r>
        <w:rPr>
          <w:rFonts w:hint="eastAsia" w:hAnsi="宋体" w:cs="宋体"/>
          <w:color w:val="auto"/>
          <w:szCs w:val="21"/>
        </w:rPr>
        <w:t>（1）诚信声明；</w:t>
      </w:r>
    </w:p>
    <w:p w14:paraId="7108FC91">
      <w:pPr>
        <w:spacing w:line="460" w:lineRule="exact"/>
        <w:ind w:firstLine="420" w:firstLineChars="200"/>
        <w:rPr>
          <w:rFonts w:hAnsi="宋体" w:cs="宋体"/>
          <w:color w:val="auto"/>
          <w:szCs w:val="21"/>
        </w:rPr>
      </w:pPr>
      <w:r>
        <w:rPr>
          <w:rFonts w:hint="eastAsia" w:hAnsi="宋体" w:cs="宋体"/>
          <w:color w:val="auto"/>
          <w:szCs w:val="21"/>
        </w:rPr>
        <w:t>（2）法定代表人授权委托书和委托代理人身份证扫描件(授权委托代理时提供)；当法定代表人参加投标时，仅需提供法定代表人的身份证扫描件；</w:t>
      </w:r>
    </w:p>
    <w:p w14:paraId="4FE04405">
      <w:pPr>
        <w:spacing w:line="460" w:lineRule="exact"/>
        <w:ind w:firstLine="420" w:firstLineChars="200"/>
        <w:rPr>
          <w:rFonts w:hAnsi="宋体" w:cs="宋体"/>
          <w:color w:val="auto"/>
          <w:szCs w:val="21"/>
        </w:rPr>
      </w:pPr>
      <w:r>
        <w:rPr>
          <w:rFonts w:hint="eastAsia" w:hAnsi="宋体" w:cs="宋体"/>
          <w:color w:val="auto"/>
          <w:szCs w:val="21"/>
        </w:rPr>
        <w:t>（3）足额缴纳农民工工资的承诺书；</w:t>
      </w:r>
    </w:p>
    <w:p w14:paraId="6F356CE6">
      <w:pPr>
        <w:spacing w:line="460" w:lineRule="exact"/>
        <w:ind w:firstLine="420" w:firstLineChars="200"/>
        <w:rPr>
          <w:rFonts w:hAnsi="宋体" w:cs="宋体"/>
          <w:color w:val="auto"/>
          <w:szCs w:val="21"/>
        </w:rPr>
      </w:pPr>
      <w:r>
        <w:rPr>
          <w:rFonts w:hint="eastAsia" w:hAnsi="宋体" w:cs="宋体"/>
          <w:color w:val="auto"/>
          <w:szCs w:val="21"/>
        </w:rPr>
        <w:t>（4）安全防护、文明施工措施方案的承诺书；</w:t>
      </w:r>
    </w:p>
    <w:p w14:paraId="4825C4BC">
      <w:pPr>
        <w:spacing w:line="460" w:lineRule="exact"/>
        <w:ind w:firstLine="435"/>
        <w:rPr>
          <w:rFonts w:hAnsi="宋体" w:cs="宋体"/>
          <w:color w:val="auto"/>
          <w:szCs w:val="21"/>
        </w:rPr>
      </w:pPr>
      <w:r>
        <w:rPr>
          <w:rFonts w:hint="eastAsia" w:hAnsi="宋体" w:cs="宋体"/>
          <w:color w:val="auto"/>
          <w:szCs w:val="21"/>
        </w:rPr>
        <w:t>（5）中小企业声明函；</w:t>
      </w:r>
    </w:p>
    <w:p w14:paraId="2FE386B2">
      <w:pPr>
        <w:spacing w:line="460" w:lineRule="exact"/>
        <w:ind w:firstLine="435"/>
        <w:rPr>
          <w:rFonts w:hAnsi="宋体" w:cs="宋体"/>
          <w:color w:val="auto"/>
          <w:szCs w:val="21"/>
        </w:rPr>
      </w:pPr>
      <w:r>
        <w:rPr>
          <w:rFonts w:hint="eastAsia" w:hAnsi="宋体" w:cs="宋体"/>
          <w:color w:val="auto"/>
          <w:szCs w:val="21"/>
        </w:rPr>
        <w:t>（6）监狱企业证明；</w:t>
      </w:r>
    </w:p>
    <w:p w14:paraId="291B1E0F">
      <w:pPr>
        <w:pStyle w:val="24"/>
        <w:spacing w:line="460" w:lineRule="exact"/>
        <w:ind w:firstLine="420" w:firstLineChars="200"/>
        <w:rPr>
          <w:rFonts w:hAnsi="宋体" w:cs="宋体"/>
          <w:color w:val="auto"/>
          <w:szCs w:val="21"/>
        </w:rPr>
      </w:pPr>
      <w:r>
        <w:rPr>
          <w:rFonts w:hint="eastAsia" w:hAnsi="宋体" w:cs="宋体"/>
          <w:color w:val="auto"/>
          <w:szCs w:val="21"/>
        </w:rPr>
        <w:t>（7）残疾人福利性单位声明函；</w:t>
      </w:r>
    </w:p>
    <w:p w14:paraId="3E0BCA9D">
      <w:pPr>
        <w:pStyle w:val="24"/>
        <w:spacing w:line="460" w:lineRule="exact"/>
        <w:ind w:firstLine="420" w:firstLineChars="200"/>
        <w:rPr>
          <w:rFonts w:hAnsi="宋体"/>
          <w:color w:val="auto"/>
          <w:szCs w:val="21"/>
        </w:rPr>
      </w:pPr>
      <w:r>
        <w:rPr>
          <w:rFonts w:hint="eastAsia" w:hAnsi="宋体" w:cs="宋体"/>
          <w:color w:val="auto"/>
          <w:szCs w:val="21"/>
        </w:rPr>
        <w:t>（8）</w:t>
      </w:r>
      <w:r>
        <w:rPr>
          <w:rFonts w:hint="eastAsia" w:hAnsi="宋体"/>
          <w:color w:val="auto"/>
          <w:szCs w:val="21"/>
        </w:rPr>
        <w:t>供应商认为</w:t>
      </w:r>
      <w:r>
        <w:rPr>
          <w:rFonts w:hint="eastAsia" w:hAnsi="宋体" w:cs="宋体"/>
          <w:color w:val="auto"/>
          <w:szCs w:val="21"/>
        </w:rPr>
        <w:t>评标办法中需</w:t>
      </w:r>
      <w:r>
        <w:rPr>
          <w:rFonts w:hint="eastAsia" w:hAnsi="宋体"/>
          <w:color w:val="auto"/>
          <w:szCs w:val="21"/>
        </w:rPr>
        <w:t>提供的其他资料</w:t>
      </w:r>
      <w:r>
        <w:rPr>
          <w:rFonts w:hint="eastAsia" w:hAnsi="宋体"/>
          <w:color w:val="auto"/>
          <w:szCs w:val="21"/>
          <w:lang w:eastAsia="zh-CN"/>
        </w:rPr>
        <w:t>（如企业业绩、信誉实力等证明材料）</w:t>
      </w:r>
      <w:r>
        <w:rPr>
          <w:rFonts w:hint="eastAsia" w:hAnsi="宋体"/>
          <w:color w:val="auto"/>
          <w:szCs w:val="21"/>
        </w:rPr>
        <w:t>。</w:t>
      </w:r>
    </w:p>
    <w:p w14:paraId="21B78FF3">
      <w:pPr>
        <w:pStyle w:val="24"/>
        <w:adjustRightInd w:val="0"/>
        <w:snapToGrid w:val="0"/>
        <w:spacing w:line="460" w:lineRule="exact"/>
        <w:ind w:firstLine="413" w:firstLineChars="196"/>
        <w:jc w:val="left"/>
        <w:rPr>
          <w:rFonts w:hAnsi="宋体"/>
          <w:b/>
          <w:color w:val="auto"/>
          <w:kern w:val="0"/>
          <w:szCs w:val="21"/>
        </w:rPr>
      </w:pPr>
      <w:r>
        <w:rPr>
          <w:rFonts w:hint="eastAsia" w:hAnsi="宋体"/>
          <w:b/>
          <w:snapToGrid w:val="0"/>
          <w:color w:val="auto"/>
          <w:kern w:val="0"/>
          <w:szCs w:val="21"/>
        </w:rPr>
        <w:t>注：</w:t>
      </w:r>
      <w:r>
        <w:rPr>
          <w:rFonts w:hint="eastAsia" w:hAnsi="宋体"/>
          <w:b/>
          <w:color w:val="auto"/>
          <w:kern w:val="0"/>
          <w:szCs w:val="21"/>
        </w:rPr>
        <w:t>以上（1）～（4）材料须提供，否则视为无效磋商响应文件。</w:t>
      </w:r>
    </w:p>
    <w:p w14:paraId="222171C6">
      <w:pPr>
        <w:spacing w:line="460" w:lineRule="exact"/>
        <w:ind w:firstLine="413" w:firstLineChars="196"/>
        <w:rPr>
          <w:rFonts w:ascii="宋体" w:hAnsi="宋体"/>
          <w:b/>
          <w:color w:val="auto"/>
          <w:szCs w:val="21"/>
        </w:rPr>
      </w:pPr>
      <w:r>
        <w:rPr>
          <w:rFonts w:hint="eastAsia" w:ascii="宋体" w:hAnsi="宋体"/>
          <w:b/>
          <w:color w:val="auto"/>
          <w:szCs w:val="21"/>
        </w:rPr>
        <w:t>9.3.2技术文件应</w:t>
      </w:r>
      <w:r>
        <w:rPr>
          <w:rFonts w:ascii="宋体" w:hAnsi="宋体"/>
          <w:b/>
          <w:color w:val="auto"/>
          <w:szCs w:val="21"/>
        </w:rPr>
        <w:t>包括下列内容</w:t>
      </w:r>
      <w:r>
        <w:rPr>
          <w:rFonts w:hint="eastAsia" w:ascii="宋体" w:hAnsi="宋体"/>
          <w:b/>
          <w:color w:val="auto"/>
          <w:szCs w:val="21"/>
        </w:rPr>
        <w:t>：</w:t>
      </w:r>
    </w:p>
    <w:p w14:paraId="14F567FF">
      <w:pPr>
        <w:spacing w:line="460" w:lineRule="exact"/>
        <w:ind w:firstLine="420" w:firstLineChars="200"/>
        <w:rPr>
          <w:rFonts w:ascii="宋体" w:hAnsi="宋体" w:cs="宋体"/>
          <w:color w:val="auto"/>
          <w:szCs w:val="21"/>
        </w:rPr>
      </w:pPr>
      <w:r>
        <w:rPr>
          <w:rFonts w:hint="eastAsia" w:ascii="宋体" w:hAnsi="宋体" w:cs="宋体"/>
          <w:color w:val="auto"/>
          <w:szCs w:val="21"/>
        </w:rPr>
        <w:t>（1）项目管理机构</w:t>
      </w:r>
      <w:r>
        <w:rPr>
          <w:rFonts w:hint="eastAsia" w:ascii="宋体" w:hAnsi="宋体" w:cs="Courier New"/>
          <w:color w:val="auto"/>
          <w:spacing w:val="2"/>
          <w:szCs w:val="21"/>
        </w:rPr>
        <w:t>；</w:t>
      </w:r>
    </w:p>
    <w:p w14:paraId="24A73A1C">
      <w:pPr>
        <w:spacing w:line="460" w:lineRule="exact"/>
        <w:ind w:firstLine="420" w:firstLineChars="200"/>
        <w:rPr>
          <w:rFonts w:ascii="宋体" w:hAnsi="宋体" w:cs="宋体"/>
          <w:color w:val="auto"/>
          <w:szCs w:val="21"/>
        </w:rPr>
      </w:pPr>
      <w:r>
        <w:rPr>
          <w:rFonts w:hint="eastAsia" w:ascii="宋体" w:hAnsi="宋体" w:cs="宋体"/>
          <w:color w:val="auto"/>
          <w:szCs w:val="21"/>
        </w:rPr>
        <w:t>①项目管理机构配备情况表；</w:t>
      </w:r>
    </w:p>
    <w:p w14:paraId="143F60AA">
      <w:pPr>
        <w:spacing w:line="460" w:lineRule="exact"/>
        <w:ind w:firstLine="420" w:firstLineChars="200"/>
        <w:rPr>
          <w:rFonts w:ascii="宋体" w:hAnsi="宋体" w:cs="宋体"/>
          <w:color w:val="auto"/>
          <w:szCs w:val="21"/>
        </w:rPr>
      </w:pPr>
      <w:r>
        <w:rPr>
          <w:rFonts w:hint="eastAsia" w:ascii="宋体" w:hAnsi="宋体" w:cs="宋体"/>
          <w:color w:val="auto"/>
          <w:szCs w:val="21"/>
        </w:rPr>
        <w:t>②拟投入本工程项目经理的简历表；</w:t>
      </w:r>
    </w:p>
    <w:p w14:paraId="70C10235">
      <w:pPr>
        <w:spacing w:line="460" w:lineRule="exact"/>
        <w:ind w:firstLine="420" w:firstLineChars="200"/>
        <w:rPr>
          <w:rFonts w:ascii="宋体" w:hAnsi="宋体" w:cs="宋体"/>
          <w:color w:val="auto"/>
          <w:szCs w:val="21"/>
        </w:rPr>
      </w:pPr>
      <w:r>
        <w:rPr>
          <w:rFonts w:hint="eastAsia" w:ascii="宋体" w:hAnsi="宋体" w:cs="宋体"/>
          <w:color w:val="auto"/>
          <w:szCs w:val="21"/>
        </w:rPr>
        <w:t>③项目管理机构配备情况辅助说明资料。</w:t>
      </w:r>
    </w:p>
    <w:p w14:paraId="07D8E3C0">
      <w:pPr>
        <w:snapToGrid w:val="0"/>
        <w:spacing w:line="460" w:lineRule="exact"/>
        <w:ind w:firstLine="420" w:firstLineChars="200"/>
        <w:rPr>
          <w:rFonts w:ascii="宋体" w:hAnsi="宋体" w:cs="宋体"/>
          <w:color w:val="auto"/>
          <w:szCs w:val="21"/>
        </w:rPr>
      </w:pPr>
      <w:r>
        <w:rPr>
          <w:rFonts w:hint="eastAsia" w:ascii="宋体" w:hAnsi="宋体" w:cs="宋体"/>
          <w:color w:val="auto"/>
          <w:szCs w:val="21"/>
        </w:rPr>
        <w:t>（2）施工组织设计</w:t>
      </w:r>
      <w:r>
        <w:rPr>
          <w:rFonts w:hint="eastAsia" w:ascii="宋体" w:hAnsi="宋体" w:cs="Courier New"/>
          <w:color w:val="auto"/>
          <w:spacing w:val="2"/>
          <w:szCs w:val="21"/>
        </w:rPr>
        <w:t>；</w:t>
      </w:r>
    </w:p>
    <w:p w14:paraId="01D5C951">
      <w:pPr>
        <w:spacing w:line="460" w:lineRule="exact"/>
        <w:ind w:firstLine="420" w:firstLineChars="200"/>
        <w:rPr>
          <w:rFonts w:ascii="宋体" w:hAnsi="宋体" w:cs="宋体"/>
          <w:color w:val="auto"/>
          <w:szCs w:val="21"/>
        </w:rPr>
      </w:pPr>
      <w:r>
        <w:rPr>
          <w:rFonts w:hint="eastAsia" w:ascii="宋体" w:hAnsi="宋体" w:cs="宋体"/>
          <w:color w:val="auto"/>
          <w:szCs w:val="21"/>
        </w:rPr>
        <w:t>（3）供应商认为需要提供的有关资料。</w:t>
      </w:r>
    </w:p>
    <w:p w14:paraId="15091127">
      <w:pPr>
        <w:pStyle w:val="24"/>
        <w:adjustRightInd w:val="0"/>
        <w:snapToGrid w:val="0"/>
        <w:spacing w:line="460" w:lineRule="exact"/>
        <w:ind w:firstLine="413" w:firstLineChars="196"/>
        <w:jc w:val="left"/>
        <w:rPr>
          <w:rFonts w:hAnsi="宋体"/>
          <w:b/>
          <w:color w:val="auto"/>
          <w:kern w:val="0"/>
          <w:szCs w:val="21"/>
        </w:rPr>
      </w:pPr>
      <w:r>
        <w:rPr>
          <w:rFonts w:hint="eastAsia" w:hAnsi="宋体" w:cs="宋体"/>
          <w:b/>
          <w:color w:val="auto"/>
          <w:szCs w:val="21"/>
        </w:rPr>
        <w:t>注：以上（1）～（2）材料须提供</w:t>
      </w:r>
      <w:r>
        <w:rPr>
          <w:rFonts w:hint="eastAsia" w:hAnsi="宋体"/>
          <w:b/>
          <w:color w:val="auto"/>
          <w:kern w:val="0"/>
          <w:szCs w:val="21"/>
        </w:rPr>
        <w:t>，否则视为无效磋商响应文件。</w:t>
      </w:r>
    </w:p>
    <w:p w14:paraId="63FA3D52">
      <w:pPr>
        <w:pStyle w:val="24"/>
        <w:adjustRightInd w:val="0"/>
        <w:snapToGrid w:val="0"/>
        <w:spacing w:line="460" w:lineRule="exact"/>
        <w:ind w:firstLine="413" w:firstLineChars="196"/>
        <w:jc w:val="left"/>
        <w:rPr>
          <w:rFonts w:hAnsi="宋体"/>
          <w:b/>
          <w:color w:val="auto"/>
          <w:kern w:val="0"/>
          <w:szCs w:val="21"/>
        </w:rPr>
      </w:pPr>
      <w:r>
        <w:rPr>
          <w:rFonts w:hint="eastAsia" w:hAnsi="宋体"/>
          <w:b/>
          <w:color w:val="auto"/>
          <w:kern w:val="0"/>
          <w:szCs w:val="21"/>
        </w:rPr>
        <w:t>9.4报价文件</w:t>
      </w:r>
    </w:p>
    <w:p w14:paraId="33BA89AA">
      <w:pPr>
        <w:pStyle w:val="24"/>
        <w:adjustRightInd w:val="0"/>
        <w:snapToGrid w:val="0"/>
        <w:spacing w:line="460" w:lineRule="exact"/>
        <w:ind w:firstLine="420" w:firstLineChars="200"/>
        <w:jc w:val="left"/>
        <w:rPr>
          <w:rFonts w:hAnsi="宋体"/>
          <w:b/>
          <w:color w:val="auto"/>
          <w:kern w:val="0"/>
          <w:szCs w:val="21"/>
        </w:rPr>
      </w:pPr>
      <w:r>
        <w:rPr>
          <w:rFonts w:hint="eastAsia" w:hAnsi="宋体"/>
          <w:color w:val="auto"/>
          <w:szCs w:val="21"/>
        </w:rPr>
        <w:t>（1）磋商函；</w:t>
      </w:r>
    </w:p>
    <w:p w14:paraId="4E078F35">
      <w:pPr>
        <w:spacing w:line="460" w:lineRule="exact"/>
        <w:ind w:firstLine="420" w:firstLineChars="200"/>
        <w:jc w:val="left"/>
        <w:rPr>
          <w:rFonts w:ascii="宋体" w:hAnsi="宋体"/>
          <w:color w:val="auto"/>
          <w:szCs w:val="21"/>
        </w:rPr>
      </w:pPr>
      <w:r>
        <w:rPr>
          <w:rFonts w:hint="eastAsia" w:ascii="宋体" w:hAnsi="宋体"/>
          <w:color w:val="auto"/>
          <w:szCs w:val="21"/>
        </w:rPr>
        <w:t>（2）已标价的工程量清单（必须按照采购人提供的工程量清单填写）；</w:t>
      </w:r>
    </w:p>
    <w:p w14:paraId="4F31A86A">
      <w:pPr>
        <w:spacing w:line="460" w:lineRule="exact"/>
        <w:ind w:firstLine="420" w:firstLineChars="200"/>
        <w:rPr>
          <w:rFonts w:ascii="宋体" w:hAnsi="宋体"/>
          <w:color w:val="auto"/>
          <w:szCs w:val="21"/>
        </w:rPr>
      </w:pPr>
      <w:r>
        <w:rPr>
          <w:rFonts w:hint="eastAsia" w:ascii="宋体" w:hAnsi="宋体"/>
          <w:color w:val="auto"/>
          <w:szCs w:val="21"/>
        </w:rPr>
        <w:t>（3）</w:t>
      </w:r>
      <w:bookmarkStart w:id="48" w:name="_Hlk9585414"/>
      <w:r>
        <w:rPr>
          <w:rFonts w:hint="eastAsia" w:ascii="宋体" w:hAnsi="宋体"/>
          <w:color w:val="auto"/>
          <w:szCs w:val="21"/>
        </w:rPr>
        <w:t>供应商针对报价需要说明的其他文件和说明</w:t>
      </w:r>
      <w:bookmarkEnd w:id="48"/>
      <w:r>
        <w:rPr>
          <w:rFonts w:hint="eastAsia" w:ascii="宋体" w:hAnsi="宋体"/>
          <w:color w:val="auto"/>
          <w:szCs w:val="21"/>
        </w:rPr>
        <w:t>。</w:t>
      </w:r>
    </w:p>
    <w:p w14:paraId="5BFD0AAA">
      <w:pPr>
        <w:pStyle w:val="24"/>
        <w:adjustRightInd w:val="0"/>
        <w:snapToGrid w:val="0"/>
        <w:spacing w:line="460" w:lineRule="exact"/>
        <w:ind w:firstLine="413" w:firstLineChars="196"/>
        <w:jc w:val="left"/>
        <w:rPr>
          <w:rFonts w:hAnsi="宋体" w:cs="宋体"/>
          <w:b/>
          <w:color w:val="auto"/>
          <w:szCs w:val="21"/>
        </w:rPr>
      </w:pPr>
      <w:r>
        <w:rPr>
          <w:rFonts w:hint="eastAsia" w:hAnsi="宋体" w:cs="宋体"/>
          <w:b/>
          <w:color w:val="auto"/>
          <w:szCs w:val="21"/>
        </w:rPr>
        <w:t>注：以上（1）～（2）材料须提供</w:t>
      </w:r>
      <w:r>
        <w:rPr>
          <w:rFonts w:hint="eastAsia" w:hAnsi="宋体"/>
          <w:b/>
          <w:color w:val="auto"/>
          <w:kern w:val="0"/>
          <w:szCs w:val="21"/>
        </w:rPr>
        <w:t>，否则视为无效磋商响应文件。</w:t>
      </w:r>
      <w:bookmarkEnd w:id="46"/>
    </w:p>
    <w:bookmarkEnd w:id="45"/>
    <w:p w14:paraId="3E25D440">
      <w:pPr>
        <w:bidi w:val="0"/>
        <w:rPr>
          <w:color w:val="auto"/>
        </w:rPr>
      </w:pPr>
      <w:bookmarkStart w:id="49" w:name="_Toc18682812"/>
      <w:bookmarkStart w:id="50" w:name="_Toc239659102"/>
      <w:bookmarkStart w:id="51" w:name="_Toc346264275"/>
      <w:bookmarkStart w:id="52" w:name="_Toc80818624"/>
      <w:r>
        <w:rPr>
          <w:color w:val="auto"/>
        </w:rPr>
        <w:t>10.磋商有效期</w:t>
      </w:r>
      <w:bookmarkEnd w:id="49"/>
      <w:bookmarkEnd w:id="50"/>
      <w:bookmarkEnd w:id="51"/>
      <w:bookmarkEnd w:id="52"/>
    </w:p>
    <w:p w14:paraId="00A2D2C3">
      <w:pPr>
        <w:spacing w:line="460" w:lineRule="exact"/>
        <w:ind w:firstLine="420" w:firstLineChars="200"/>
        <w:rPr>
          <w:rFonts w:ascii="宋体" w:hAnsi="宋体"/>
          <w:color w:val="auto"/>
          <w:szCs w:val="21"/>
        </w:rPr>
      </w:pPr>
      <w:r>
        <w:rPr>
          <w:rFonts w:hint="eastAsia" w:ascii="宋体" w:hAnsi="宋体"/>
          <w:color w:val="auto"/>
          <w:szCs w:val="21"/>
        </w:rPr>
        <w:t>10.1 在</w:t>
      </w:r>
      <w:r>
        <w:rPr>
          <w:rFonts w:ascii="宋体" w:hAnsi="宋体"/>
          <w:color w:val="auto"/>
          <w:szCs w:val="21"/>
        </w:rPr>
        <w:t>前附表第</w:t>
      </w:r>
      <w:r>
        <w:rPr>
          <w:rFonts w:hint="eastAsia" w:ascii="宋体" w:hAnsi="宋体"/>
          <w:color w:val="auto"/>
          <w:szCs w:val="21"/>
        </w:rPr>
        <w:t>10</w:t>
      </w:r>
      <w:r>
        <w:rPr>
          <w:rFonts w:ascii="宋体" w:hAnsi="宋体"/>
          <w:color w:val="auto"/>
          <w:szCs w:val="21"/>
        </w:rPr>
        <w:t>项</w:t>
      </w:r>
      <w:r>
        <w:rPr>
          <w:rFonts w:hint="eastAsia" w:ascii="宋体" w:hAnsi="宋体"/>
          <w:color w:val="auto"/>
          <w:szCs w:val="21"/>
        </w:rPr>
        <w:t>规定的磋商有效期内，供应商不得要求撤销或修改其响应文件，有效期不足的响应文件将被拒绝。</w:t>
      </w:r>
    </w:p>
    <w:p w14:paraId="6B13F388">
      <w:pPr>
        <w:spacing w:line="460" w:lineRule="exact"/>
        <w:ind w:firstLine="409" w:firstLineChars="195"/>
        <w:rPr>
          <w:rFonts w:ascii="宋体" w:hAnsi="宋体"/>
          <w:color w:val="auto"/>
          <w:szCs w:val="21"/>
        </w:rPr>
      </w:pPr>
      <w:r>
        <w:rPr>
          <w:rFonts w:hint="eastAsia" w:ascii="宋体" w:hAnsi="宋体"/>
          <w:color w:val="auto"/>
          <w:szCs w:val="21"/>
        </w:rPr>
        <w:t>10.2在原定磋商有效期满之前，如果出现特殊情况，</w:t>
      </w:r>
      <w:r>
        <w:rPr>
          <w:rFonts w:ascii="宋体" w:hAnsi="宋体"/>
          <w:color w:val="auto"/>
          <w:szCs w:val="21"/>
        </w:rPr>
        <w:t>经</w:t>
      </w:r>
      <w:r>
        <w:rPr>
          <w:rFonts w:hint="eastAsia" w:ascii="宋体" w:hAnsi="宋体"/>
          <w:color w:val="auto"/>
          <w:szCs w:val="21"/>
        </w:rPr>
        <w:t>政府采购监督管理部门</w:t>
      </w:r>
      <w:r>
        <w:rPr>
          <w:rFonts w:ascii="宋体" w:hAnsi="宋体"/>
          <w:color w:val="auto"/>
          <w:szCs w:val="21"/>
        </w:rPr>
        <w:t>核准，</w:t>
      </w:r>
      <w:r>
        <w:rPr>
          <w:rFonts w:hint="eastAsia" w:ascii="宋体" w:hAnsi="宋体"/>
          <w:color w:val="auto"/>
          <w:szCs w:val="21"/>
        </w:rPr>
        <w:t>采购人可以书面形式向供应商提出延长磋商有效期的要求，供应商须以书面形式予以答复。同意延长磋商有效期的供应商不允许修改其响应文件，在延长期内本须知第10条的规定仍然适用。</w:t>
      </w:r>
    </w:p>
    <w:p w14:paraId="003496B8">
      <w:pPr>
        <w:bidi w:val="0"/>
        <w:rPr>
          <w:color w:val="auto"/>
        </w:rPr>
      </w:pPr>
      <w:bookmarkStart w:id="53" w:name="_Toc18682813"/>
      <w:bookmarkStart w:id="54" w:name="_Toc80818625"/>
      <w:bookmarkStart w:id="55" w:name="_Toc239659103"/>
      <w:bookmarkStart w:id="56" w:name="_Toc346264276"/>
      <w:r>
        <w:rPr>
          <w:color w:val="auto"/>
        </w:rPr>
        <w:t>11.</w:t>
      </w:r>
      <w:r>
        <w:rPr>
          <w:rFonts w:hint="eastAsia"/>
          <w:color w:val="auto"/>
        </w:rPr>
        <w:t>磋商</w:t>
      </w:r>
      <w:r>
        <w:rPr>
          <w:color w:val="auto"/>
        </w:rPr>
        <w:t>保证金</w:t>
      </w:r>
      <w:bookmarkEnd w:id="53"/>
      <w:bookmarkEnd w:id="54"/>
      <w:bookmarkEnd w:id="55"/>
      <w:bookmarkEnd w:id="56"/>
    </w:p>
    <w:p w14:paraId="4085BAE0">
      <w:pPr>
        <w:spacing w:line="460" w:lineRule="exact"/>
        <w:rPr>
          <w:rFonts w:ascii="宋体" w:hAnsi="宋体"/>
          <w:color w:val="auto"/>
          <w:szCs w:val="21"/>
        </w:rPr>
      </w:pPr>
      <w:r>
        <w:rPr>
          <w:rFonts w:hint="eastAsia" w:ascii="宋体" w:hAnsi="宋体"/>
          <w:color w:val="auto"/>
          <w:szCs w:val="21"/>
        </w:rPr>
        <w:t xml:space="preserve">    本项目不收取磋商保证金</w:t>
      </w:r>
    </w:p>
    <w:p w14:paraId="3864CAA2">
      <w:pPr>
        <w:tabs>
          <w:tab w:val="left" w:pos="458"/>
        </w:tabs>
        <w:spacing w:line="460" w:lineRule="exact"/>
        <w:rPr>
          <w:rFonts w:ascii="宋体" w:hAnsi="宋体"/>
          <w:b/>
          <w:color w:val="auto"/>
          <w:szCs w:val="21"/>
        </w:rPr>
      </w:pPr>
      <w:bookmarkStart w:id="57" w:name="_Toc239659104"/>
      <w:r>
        <w:rPr>
          <w:rFonts w:ascii="宋体" w:hAnsi="宋体"/>
          <w:b/>
          <w:color w:val="auto"/>
          <w:szCs w:val="21"/>
        </w:rPr>
        <w:t>12.磋商预备</w:t>
      </w:r>
      <w:bookmarkEnd w:id="57"/>
    </w:p>
    <w:p w14:paraId="25BBE32F">
      <w:pPr>
        <w:spacing w:line="460" w:lineRule="exact"/>
        <w:rPr>
          <w:rFonts w:ascii="宋体" w:hAnsi="宋体"/>
          <w:color w:val="auto"/>
          <w:szCs w:val="21"/>
        </w:rPr>
      </w:pPr>
      <w:r>
        <w:rPr>
          <w:rFonts w:ascii="宋体" w:hAnsi="宋体"/>
          <w:color w:val="auto"/>
          <w:szCs w:val="21"/>
        </w:rPr>
        <w:t xml:space="preserve">    12.1 勘察现场</w:t>
      </w:r>
    </w:p>
    <w:p w14:paraId="67E01F0B">
      <w:pPr>
        <w:spacing w:line="460" w:lineRule="exact"/>
        <w:ind w:firstLine="420" w:firstLineChars="200"/>
        <w:rPr>
          <w:rFonts w:ascii="宋体" w:hAnsi="宋体"/>
          <w:color w:val="auto"/>
          <w:szCs w:val="21"/>
        </w:rPr>
      </w:pPr>
      <w:r>
        <w:rPr>
          <w:rFonts w:ascii="宋体" w:hAnsi="宋体"/>
          <w:color w:val="auto"/>
          <w:szCs w:val="21"/>
        </w:rPr>
        <w:t>12.1.1</w:t>
      </w:r>
      <w:r>
        <w:rPr>
          <w:rFonts w:hint="eastAsia" w:ascii="宋体" w:hAnsi="宋体"/>
          <w:color w:val="auto"/>
          <w:szCs w:val="21"/>
        </w:rPr>
        <w:t>采购人不组织现场踏勘</w:t>
      </w:r>
    </w:p>
    <w:p w14:paraId="1D285DAE">
      <w:pPr>
        <w:spacing w:line="460" w:lineRule="exact"/>
        <w:ind w:firstLine="480"/>
        <w:rPr>
          <w:rFonts w:ascii="宋体" w:hAnsi="宋体"/>
          <w:color w:val="auto"/>
          <w:szCs w:val="21"/>
        </w:rPr>
      </w:pPr>
      <w:r>
        <w:rPr>
          <w:rFonts w:ascii="宋体" w:hAnsi="宋体"/>
          <w:color w:val="auto"/>
          <w:szCs w:val="21"/>
        </w:rPr>
        <w:t>12.2 磋商答疑</w:t>
      </w:r>
    </w:p>
    <w:p w14:paraId="0052A27E">
      <w:pPr>
        <w:spacing w:line="460" w:lineRule="exact"/>
        <w:ind w:firstLine="480"/>
        <w:rPr>
          <w:rFonts w:ascii="宋体" w:hAnsi="宋体"/>
          <w:color w:val="auto"/>
          <w:szCs w:val="21"/>
        </w:rPr>
      </w:pPr>
      <w:r>
        <w:rPr>
          <w:rFonts w:ascii="宋体" w:hAnsi="宋体"/>
          <w:color w:val="auto"/>
          <w:szCs w:val="21"/>
        </w:rPr>
        <w:t xml:space="preserve">12.2.1 </w:t>
      </w:r>
      <w:r>
        <w:rPr>
          <w:rFonts w:hint="eastAsia" w:ascii="宋体" w:hAnsi="宋体"/>
          <w:color w:val="auto"/>
          <w:szCs w:val="21"/>
        </w:rPr>
        <w:t>供应商</w:t>
      </w:r>
      <w:r>
        <w:rPr>
          <w:rFonts w:ascii="宋体" w:hAnsi="宋体"/>
          <w:color w:val="auto"/>
          <w:szCs w:val="21"/>
        </w:rPr>
        <w:t>提出的与磋商有关的任何问题须在磋商截止日期前，以书面形式送达采购人处。如果</w:t>
      </w:r>
      <w:r>
        <w:rPr>
          <w:rFonts w:hint="eastAsia" w:ascii="宋体" w:hAnsi="宋体"/>
          <w:color w:val="auto"/>
          <w:szCs w:val="21"/>
        </w:rPr>
        <w:t>供应商</w:t>
      </w:r>
      <w:r>
        <w:rPr>
          <w:rFonts w:ascii="宋体" w:hAnsi="宋体"/>
          <w:color w:val="auto"/>
          <w:szCs w:val="21"/>
        </w:rPr>
        <w:t>在规定的时间内提出的问题在</w:t>
      </w:r>
      <w:r>
        <w:rPr>
          <w:rFonts w:hint="eastAsia" w:ascii="宋体" w:hAnsi="宋体"/>
          <w:color w:val="auto"/>
          <w:szCs w:val="21"/>
        </w:rPr>
        <w:t>采购</w:t>
      </w:r>
      <w:r>
        <w:rPr>
          <w:rFonts w:ascii="宋体" w:hAnsi="宋体"/>
          <w:color w:val="auto"/>
          <w:szCs w:val="21"/>
        </w:rPr>
        <w:t>补遗文件中未得到书面解答的，应立即以书面形式报告</w:t>
      </w:r>
      <w:r>
        <w:rPr>
          <w:rFonts w:hint="eastAsia" w:ascii="宋体" w:hAnsi="宋体"/>
          <w:color w:val="auto"/>
          <w:szCs w:val="21"/>
        </w:rPr>
        <w:t>政府采购监督管理部门</w:t>
      </w:r>
      <w:r>
        <w:rPr>
          <w:rFonts w:ascii="宋体" w:hAnsi="宋体"/>
          <w:color w:val="auto"/>
          <w:szCs w:val="21"/>
        </w:rPr>
        <w:t>，否则将视为提出的问题不再需要答复。</w:t>
      </w:r>
    </w:p>
    <w:p w14:paraId="4E82CEA4">
      <w:pPr>
        <w:spacing w:line="460" w:lineRule="exact"/>
        <w:ind w:firstLine="435"/>
        <w:rPr>
          <w:rFonts w:ascii="宋体" w:hAnsi="宋体"/>
          <w:color w:val="auto"/>
          <w:szCs w:val="21"/>
        </w:rPr>
      </w:pPr>
      <w:r>
        <w:rPr>
          <w:rFonts w:ascii="宋体" w:hAnsi="宋体"/>
          <w:color w:val="auto"/>
          <w:szCs w:val="21"/>
        </w:rPr>
        <w:t>12.2.</w:t>
      </w:r>
      <w:r>
        <w:rPr>
          <w:rFonts w:hint="eastAsia" w:ascii="宋体" w:hAnsi="宋体"/>
          <w:color w:val="auto"/>
          <w:szCs w:val="21"/>
        </w:rPr>
        <w:t>2采购</w:t>
      </w:r>
      <w:r>
        <w:rPr>
          <w:rFonts w:ascii="宋体" w:hAnsi="宋体"/>
          <w:color w:val="auto"/>
          <w:szCs w:val="21"/>
        </w:rPr>
        <w:t>补遗文件包括所有问题和答复，补遗文件将迅速提供给所有获得磋商文件的</w:t>
      </w:r>
      <w:r>
        <w:rPr>
          <w:rFonts w:hint="eastAsia" w:ascii="宋体" w:hAnsi="宋体"/>
          <w:color w:val="auto"/>
          <w:szCs w:val="21"/>
        </w:rPr>
        <w:t>供应商</w:t>
      </w:r>
      <w:r>
        <w:rPr>
          <w:rFonts w:ascii="宋体" w:hAnsi="宋体"/>
          <w:color w:val="auto"/>
          <w:szCs w:val="21"/>
        </w:rPr>
        <w:t>。由于</w:t>
      </w:r>
      <w:r>
        <w:rPr>
          <w:rFonts w:hint="eastAsia" w:ascii="宋体" w:hAnsi="宋体"/>
          <w:color w:val="auto"/>
          <w:szCs w:val="21"/>
        </w:rPr>
        <w:t>供应商</w:t>
      </w:r>
      <w:r>
        <w:rPr>
          <w:rFonts w:ascii="宋体" w:hAnsi="宋体"/>
          <w:color w:val="auto"/>
          <w:szCs w:val="21"/>
        </w:rPr>
        <w:t>书面提出而产生的对本须知4.1款中所列磋商文件的修改，由采购人按照本须知第6条的规定，以补充通知的方式发出。</w:t>
      </w:r>
    </w:p>
    <w:p w14:paraId="582D3443">
      <w:pPr>
        <w:bidi w:val="0"/>
        <w:rPr>
          <w:color w:val="auto"/>
        </w:rPr>
      </w:pPr>
      <w:bookmarkStart w:id="58" w:name="_Toc18682814"/>
      <w:bookmarkStart w:id="59" w:name="_Toc346264277"/>
      <w:bookmarkStart w:id="60" w:name="_Toc80818626"/>
      <w:bookmarkStart w:id="61" w:name="_Toc239659105"/>
      <w:r>
        <w:rPr>
          <w:color w:val="auto"/>
        </w:rPr>
        <w:t>13.</w:t>
      </w:r>
      <w:r>
        <w:rPr>
          <w:rFonts w:hint="eastAsia"/>
          <w:color w:val="auto"/>
        </w:rPr>
        <w:t>响应文件</w:t>
      </w:r>
      <w:r>
        <w:rPr>
          <w:color w:val="auto"/>
        </w:rPr>
        <w:t>的份数和签署</w:t>
      </w:r>
      <w:bookmarkEnd w:id="58"/>
      <w:bookmarkEnd w:id="59"/>
      <w:bookmarkEnd w:id="60"/>
      <w:bookmarkEnd w:id="61"/>
    </w:p>
    <w:p w14:paraId="599F023E">
      <w:pPr>
        <w:spacing w:line="460" w:lineRule="exact"/>
        <w:ind w:firstLine="457" w:firstLineChars="218"/>
        <w:rPr>
          <w:rFonts w:ascii="宋体" w:hAnsi="宋体"/>
          <w:color w:val="auto"/>
          <w:szCs w:val="21"/>
        </w:rPr>
      </w:pPr>
      <w:r>
        <w:rPr>
          <w:rFonts w:ascii="宋体" w:hAnsi="宋体"/>
          <w:color w:val="auto"/>
          <w:szCs w:val="21"/>
        </w:rPr>
        <w:t xml:space="preserve">13.1 </w:t>
      </w:r>
      <w:r>
        <w:rPr>
          <w:rFonts w:hint="eastAsia" w:ascii="宋体" w:hAnsi="宋体"/>
          <w:color w:val="auto"/>
          <w:szCs w:val="21"/>
        </w:rPr>
        <w:t>供应商</w:t>
      </w:r>
      <w:r>
        <w:rPr>
          <w:rFonts w:ascii="宋体" w:hAnsi="宋体"/>
          <w:color w:val="auto"/>
          <w:szCs w:val="21"/>
        </w:rPr>
        <w:t>按本须知“前附表第</w:t>
      </w:r>
      <w:r>
        <w:rPr>
          <w:rFonts w:hint="eastAsia" w:ascii="宋体" w:hAnsi="宋体"/>
          <w:color w:val="auto"/>
          <w:szCs w:val="21"/>
        </w:rPr>
        <w:t>16</w:t>
      </w:r>
      <w:r>
        <w:rPr>
          <w:rFonts w:ascii="宋体" w:hAnsi="宋体"/>
          <w:color w:val="auto"/>
          <w:szCs w:val="21"/>
        </w:rPr>
        <w:t>项”的规定，编制</w:t>
      </w:r>
      <w:r>
        <w:rPr>
          <w:rFonts w:hint="eastAsia" w:ascii="宋体" w:hAnsi="Calibri"/>
          <w:snapToGrid w:val="0"/>
          <w:color w:val="auto"/>
          <w:szCs w:val="21"/>
        </w:rPr>
        <w:t>电子加密响应文件及电子备份响应文件</w:t>
      </w:r>
      <w:r>
        <w:rPr>
          <w:rFonts w:ascii="宋体" w:hAnsi="宋体"/>
          <w:color w:val="auto"/>
          <w:szCs w:val="21"/>
        </w:rPr>
        <w:t>。</w:t>
      </w:r>
    </w:p>
    <w:p w14:paraId="7CF271ED">
      <w:pPr>
        <w:spacing w:line="460" w:lineRule="exact"/>
        <w:ind w:firstLine="409" w:firstLineChars="195"/>
        <w:rPr>
          <w:rFonts w:ascii="宋体" w:hAnsi="宋体"/>
          <w:color w:val="auto"/>
          <w:szCs w:val="21"/>
        </w:rPr>
      </w:pPr>
      <w:r>
        <w:rPr>
          <w:rFonts w:ascii="宋体" w:hAnsi="宋体"/>
          <w:color w:val="auto"/>
          <w:szCs w:val="21"/>
        </w:rPr>
        <w:t>13.2</w:t>
      </w:r>
      <w:r>
        <w:rPr>
          <w:rFonts w:hint="eastAsia" w:ascii="宋体" w:hAnsi="宋体"/>
          <w:color w:val="auto"/>
          <w:szCs w:val="21"/>
        </w:rPr>
        <w:t>供应商应按本磋商文件规定的格式和顺序编制响应文件并标注页码，响应文件内容不完整、编排混乱导致磋商文件被误读、漏读或者查找不到相关内容的，是供应商的责任。供应商的响应文件应按磋商文件提供格式的规定位置加盖供应商单位公章，法定代表人或授权委托代理人签署。</w:t>
      </w:r>
    </w:p>
    <w:p w14:paraId="44449D1C">
      <w:pPr>
        <w:adjustRightInd w:val="0"/>
        <w:snapToGrid w:val="0"/>
        <w:spacing w:line="460" w:lineRule="exact"/>
        <w:ind w:firstLine="420"/>
        <w:jc w:val="left"/>
        <w:rPr>
          <w:rFonts w:ascii="宋体" w:hAnsi="宋体" w:cs="仿宋_GB2312"/>
          <w:b/>
          <w:color w:val="auto"/>
          <w:kern w:val="0"/>
          <w:szCs w:val="21"/>
          <w:lang w:val="zh-CN"/>
        </w:rPr>
      </w:pPr>
      <w:bookmarkStart w:id="62" w:name="_Hlk87631003"/>
      <w:r>
        <w:rPr>
          <w:rFonts w:hint="eastAsia" w:ascii="宋体"/>
          <w:b/>
          <w:snapToGrid w:val="0"/>
          <w:color w:val="auto"/>
          <w:szCs w:val="21"/>
        </w:rPr>
        <w:t>响应文件（包含电子备份响应文件），其中电子响应文件中所须加盖单位公章部分均采用 CA 签章。若磋商文件中有专门标注的某关联点，并要求供应商在电子投标系统中作出磋商响应的，如供应商未对关联点进行响应或者在响应文件其它内容进行描述，造成电子评审不能查询的责任</w:t>
      </w:r>
      <w:r>
        <w:rPr>
          <w:rFonts w:hint="eastAsia" w:ascii="宋体" w:hAnsi="宋体" w:cs="仿宋_GB2312"/>
          <w:b/>
          <w:color w:val="auto"/>
          <w:kern w:val="0"/>
          <w:szCs w:val="21"/>
          <w:lang w:val="zh-CN"/>
        </w:rPr>
        <w:t>由</w:t>
      </w:r>
      <w:r>
        <w:rPr>
          <w:rFonts w:hint="eastAsia" w:ascii="宋体"/>
          <w:b/>
          <w:snapToGrid w:val="0"/>
          <w:color w:val="auto"/>
          <w:szCs w:val="21"/>
        </w:rPr>
        <w:t>供应商</w:t>
      </w:r>
      <w:r>
        <w:rPr>
          <w:rFonts w:hint="eastAsia" w:ascii="宋体" w:hAnsi="宋体" w:cs="仿宋_GB2312"/>
          <w:b/>
          <w:color w:val="auto"/>
          <w:kern w:val="0"/>
          <w:szCs w:val="21"/>
          <w:lang w:val="zh-CN"/>
        </w:rPr>
        <w:t>自行承担。</w:t>
      </w:r>
    </w:p>
    <w:bookmarkEnd w:id="62"/>
    <w:p w14:paraId="77FDF5AE">
      <w:pPr>
        <w:spacing w:line="460" w:lineRule="exact"/>
        <w:ind w:firstLine="409" w:firstLineChars="195"/>
        <w:rPr>
          <w:rFonts w:ascii="宋体" w:hAnsi="宋体" w:cs="仿宋_GB2312"/>
          <w:color w:val="auto"/>
          <w:kern w:val="0"/>
          <w:szCs w:val="21"/>
          <w:lang w:val="zh-CN"/>
        </w:rPr>
      </w:pPr>
      <w:r>
        <w:rPr>
          <w:rFonts w:ascii="宋体" w:hAnsi="宋体"/>
          <w:color w:val="auto"/>
          <w:szCs w:val="21"/>
        </w:rPr>
        <w:t>13.3</w:t>
      </w:r>
      <w:r>
        <w:rPr>
          <w:rFonts w:hint="eastAsia" w:ascii="宋体" w:hAnsi="宋体" w:cs="仿宋_GB2312"/>
          <w:color w:val="auto"/>
          <w:kern w:val="0"/>
          <w:szCs w:val="21"/>
          <w:lang w:val="zh-CN"/>
        </w:rPr>
        <w:t>响应文件不得涂改，若有修改错漏处，须加盖单位公章或者法定代表人或授权委托人签</w:t>
      </w:r>
      <w:r>
        <w:rPr>
          <w:rFonts w:hint="eastAsia" w:ascii="宋体" w:hAnsi="宋体"/>
          <w:color w:val="auto"/>
          <w:szCs w:val="21"/>
        </w:rPr>
        <w:t>署</w:t>
      </w:r>
      <w:r>
        <w:rPr>
          <w:rFonts w:hint="eastAsia" w:ascii="宋体" w:hAnsi="宋体" w:cs="仿宋_GB2312"/>
          <w:color w:val="auto"/>
          <w:kern w:val="0"/>
          <w:szCs w:val="21"/>
          <w:lang w:val="zh-CN"/>
        </w:rPr>
        <w:t>。响应文件因扫描不清晰或乱码或表达不清所引起的后果由</w:t>
      </w:r>
      <w:r>
        <w:rPr>
          <w:rFonts w:hint="eastAsia" w:ascii="宋体" w:hAnsi="宋体"/>
          <w:color w:val="auto"/>
          <w:szCs w:val="21"/>
        </w:rPr>
        <w:t>供应商</w:t>
      </w:r>
      <w:r>
        <w:rPr>
          <w:rFonts w:hint="eastAsia" w:ascii="宋体" w:hAnsi="宋体" w:cs="仿宋_GB2312"/>
          <w:color w:val="auto"/>
          <w:kern w:val="0"/>
          <w:szCs w:val="21"/>
          <w:lang w:val="zh-CN"/>
        </w:rPr>
        <w:t>负责。</w:t>
      </w:r>
    </w:p>
    <w:p w14:paraId="58A4500D">
      <w:pPr>
        <w:adjustRightInd w:val="0"/>
        <w:snapToGrid w:val="0"/>
        <w:spacing w:line="460" w:lineRule="exact"/>
        <w:ind w:firstLine="420"/>
        <w:jc w:val="left"/>
        <w:rPr>
          <w:rFonts w:ascii="宋体" w:hAnsi="宋体" w:cs="仿宋_GB2312"/>
          <w:color w:val="auto"/>
          <w:kern w:val="0"/>
          <w:szCs w:val="21"/>
          <w:lang w:val="zh-CN"/>
        </w:rPr>
      </w:pPr>
      <w:bookmarkStart w:id="63" w:name="_Hlk87631030"/>
      <w:r>
        <w:rPr>
          <w:rFonts w:hint="eastAsia" w:ascii="宋体" w:hAnsi="宋体" w:cs="仿宋_GB2312"/>
          <w:color w:val="auto"/>
          <w:kern w:val="0"/>
          <w:szCs w:val="21"/>
          <w:lang w:val="zh-CN"/>
        </w:rPr>
        <w:t>13.4</w:t>
      </w:r>
      <w:r>
        <w:rPr>
          <w:rFonts w:hint="eastAsia" w:ascii="宋体" w:hAnsi="宋体"/>
          <w:color w:val="auto"/>
          <w:szCs w:val="21"/>
        </w:rPr>
        <w:t>供应商</w:t>
      </w:r>
      <w:r>
        <w:rPr>
          <w:rFonts w:hint="eastAsia" w:ascii="宋体" w:hAnsi="宋体" w:cs="仿宋_GB2312"/>
          <w:color w:val="auto"/>
          <w:kern w:val="0"/>
          <w:szCs w:val="21"/>
          <w:lang w:val="zh-CN"/>
        </w:rPr>
        <w:t>应将电子备份响应文件装入到一个响应文件袋内加以密封（要求文件袋无明显缝隙露出袋内文件），电子备份响应文件袋在每一封贴处密封签章（公章、密封章、法定代表人（负责人）、委托代理人签字等均可）。电子备份响应文件袋外层包装封面上应标记“供应商名称、供应商地址、项目名称、项目编号、所投分标及磋商截止时间前不得启封”字样。逾期送达或者未按照磋商文件要求密封的电子备份响应文件将被拒</w:t>
      </w:r>
      <w:r>
        <w:rPr>
          <w:rFonts w:hint="eastAsia" w:ascii="宋体" w:hAnsi="宋体" w:cs="Arial"/>
          <w:color w:val="auto"/>
          <w:kern w:val="0"/>
          <w:szCs w:val="21"/>
        </w:rPr>
        <w:t>收</w:t>
      </w:r>
      <w:r>
        <w:rPr>
          <w:rFonts w:hint="eastAsia" w:ascii="宋体" w:hAnsi="宋体" w:cs="仿宋_GB2312"/>
          <w:color w:val="auto"/>
          <w:kern w:val="0"/>
          <w:szCs w:val="21"/>
          <w:lang w:val="zh-CN"/>
        </w:rPr>
        <w:t>，由此造成电子备份响应文件被误投或提前拆封的风险由</w:t>
      </w:r>
      <w:r>
        <w:rPr>
          <w:rFonts w:hint="eastAsia" w:ascii="宋体" w:hAnsi="宋体"/>
          <w:color w:val="auto"/>
          <w:szCs w:val="21"/>
        </w:rPr>
        <w:t>供应商</w:t>
      </w:r>
      <w:r>
        <w:rPr>
          <w:rFonts w:hint="eastAsia" w:ascii="宋体" w:hAnsi="宋体" w:cs="仿宋_GB2312"/>
          <w:color w:val="auto"/>
          <w:kern w:val="0"/>
          <w:szCs w:val="21"/>
          <w:lang w:val="zh-CN"/>
        </w:rPr>
        <w:t>承担。</w:t>
      </w:r>
    </w:p>
    <w:bookmarkEnd w:id="63"/>
    <w:p w14:paraId="5A2A6790">
      <w:pPr>
        <w:bidi w:val="0"/>
        <w:rPr>
          <w:color w:val="auto"/>
        </w:rPr>
      </w:pPr>
      <w:bookmarkStart w:id="64" w:name="_Toc80818627"/>
      <w:bookmarkStart w:id="65" w:name="_Toc346264278"/>
      <w:bookmarkStart w:id="66" w:name="_Toc239659106"/>
      <w:bookmarkStart w:id="67" w:name="_Toc18682815"/>
      <w:r>
        <w:rPr>
          <w:color w:val="auto"/>
        </w:rPr>
        <w:t>14.</w:t>
      </w:r>
      <w:r>
        <w:rPr>
          <w:rFonts w:hint="eastAsia"/>
          <w:color w:val="auto"/>
        </w:rPr>
        <w:t>响应文件</w:t>
      </w:r>
      <w:r>
        <w:rPr>
          <w:color w:val="auto"/>
        </w:rPr>
        <w:t>提交截止时间</w:t>
      </w:r>
      <w:bookmarkEnd w:id="64"/>
      <w:bookmarkEnd w:id="65"/>
      <w:bookmarkEnd w:id="66"/>
      <w:bookmarkEnd w:id="67"/>
    </w:p>
    <w:p w14:paraId="1A686FF6">
      <w:pPr>
        <w:spacing w:line="460" w:lineRule="exact"/>
        <w:rPr>
          <w:rFonts w:ascii="宋体" w:hAnsi="宋体"/>
          <w:color w:val="auto"/>
          <w:szCs w:val="21"/>
        </w:rPr>
      </w:pPr>
      <w:r>
        <w:rPr>
          <w:rFonts w:ascii="宋体" w:hAnsi="宋体"/>
          <w:color w:val="auto"/>
          <w:szCs w:val="21"/>
        </w:rPr>
        <w:t xml:space="preserve">    14.1 </w:t>
      </w:r>
      <w:r>
        <w:rPr>
          <w:rFonts w:hint="eastAsia" w:ascii="宋体" w:hAnsi="宋体"/>
          <w:color w:val="auto"/>
          <w:szCs w:val="21"/>
        </w:rPr>
        <w:t>响应文件</w:t>
      </w:r>
      <w:r>
        <w:rPr>
          <w:rFonts w:ascii="宋体" w:hAnsi="宋体"/>
          <w:color w:val="auto"/>
          <w:szCs w:val="21"/>
        </w:rPr>
        <w:t>提交截止时间：</w:t>
      </w:r>
      <w:r>
        <w:rPr>
          <w:rFonts w:hint="eastAsia" w:ascii="宋体" w:hAnsi="宋体"/>
          <w:color w:val="auto"/>
          <w:szCs w:val="21"/>
        </w:rPr>
        <w:t>按</w:t>
      </w:r>
      <w:r>
        <w:rPr>
          <w:rFonts w:ascii="宋体" w:hAnsi="宋体"/>
          <w:color w:val="auto"/>
          <w:szCs w:val="21"/>
        </w:rPr>
        <w:t>本须知“前附表第</w:t>
      </w:r>
      <w:r>
        <w:rPr>
          <w:rFonts w:hint="eastAsia" w:ascii="宋体" w:hAnsi="宋体"/>
          <w:color w:val="auto"/>
          <w:szCs w:val="21"/>
        </w:rPr>
        <w:t>18</w:t>
      </w:r>
      <w:r>
        <w:rPr>
          <w:rFonts w:ascii="宋体" w:hAnsi="宋体"/>
          <w:color w:val="auto"/>
          <w:szCs w:val="21"/>
        </w:rPr>
        <w:t>项”的规定。</w:t>
      </w:r>
    </w:p>
    <w:p w14:paraId="197994B7">
      <w:pPr>
        <w:spacing w:line="460" w:lineRule="exact"/>
        <w:ind w:firstLine="435"/>
        <w:rPr>
          <w:rFonts w:ascii="宋体" w:hAnsi="宋体"/>
          <w:color w:val="auto"/>
          <w:szCs w:val="21"/>
        </w:rPr>
      </w:pPr>
      <w:r>
        <w:rPr>
          <w:rFonts w:ascii="宋体" w:hAnsi="宋体"/>
          <w:color w:val="auto"/>
          <w:szCs w:val="21"/>
        </w:rPr>
        <w:t>14.2 采购人可按本须知第6条规定以补充通知的方式，酌情延长提交</w:t>
      </w:r>
      <w:r>
        <w:rPr>
          <w:rFonts w:hint="eastAsia" w:ascii="宋体" w:hAnsi="宋体"/>
          <w:color w:val="auto"/>
          <w:szCs w:val="21"/>
        </w:rPr>
        <w:t>响应文件</w:t>
      </w:r>
      <w:r>
        <w:rPr>
          <w:rFonts w:ascii="宋体" w:hAnsi="宋体"/>
          <w:color w:val="auto"/>
          <w:szCs w:val="21"/>
        </w:rPr>
        <w:t>的截止时间。在上述情况下，采购人与</w:t>
      </w:r>
      <w:r>
        <w:rPr>
          <w:rFonts w:hint="eastAsia" w:ascii="宋体" w:hAnsi="宋体"/>
          <w:color w:val="auto"/>
          <w:szCs w:val="21"/>
        </w:rPr>
        <w:t>供应商</w:t>
      </w:r>
      <w:r>
        <w:rPr>
          <w:rFonts w:ascii="宋体" w:hAnsi="宋体"/>
          <w:color w:val="auto"/>
          <w:szCs w:val="21"/>
        </w:rPr>
        <w:t>的全部权力、责任和义务，将适用于延长后新的</w:t>
      </w:r>
      <w:r>
        <w:rPr>
          <w:rFonts w:hint="eastAsia" w:ascii="宋体" w:hAnsi="宋体"/>
          <w:color w:val="auto"/>
          <w:szCs w:val="21"/>
        </w:rPr>
        <w:t>响应文件</w:t>
      </w:r>
      <w:r>
        <w:rPr>
          <w:rFonts w:ascii="宋体" w:hAnsi="宋体"/>
          <w:color w:val="auto"/>
          <w:szCs w:val="21"/>
        </w:rPr>
        <w:t>提交截止时间。</w:t>
      </w:r>
    </w:p>
    <w:p w14:paraId="16FEBE73">
      <w:pPr>
        <w:bidi w:val="0"/>
        <w:rPr>
          <w:color w:val="auto"/>
        </w:rPr>
      </w:pPr>
      <w:bookmarkStart w:id="68" w:name="_Toc18682816"/>
      <w:bookmarkStart w:id="69" w:name="_Toc346264279"/>
      <w:bookmarkStart w:id="70" w:name="_Toc80818628"/>
      <w:bookmarkStart w:id="71" w:name="_Toc239659107"/>
      <w:r>
        <w:rPr>
          <w:color w:val="auto"/>
        </w:rPr>
        <w:t>15.</w:t>
      </w:r>
      <w:r>
        <w:rPr>
          <w:rFonts w:hint="eastAsia"/>
          <w:color w:val="auto"/>
        </w:rPr>
        <w:t>响应文件</w:t>
      </w:r>
      <w:r>
        <w:rPr>
          <w:color w:val="auto"/>
        </w:rPr>
        <w:t>的提交</w:t>
      </w:r>
      <w:bookmarkEnd w:id="68"/>
      <w:bookmarkEnd w:id="69"/>
      <w:bookmarkEnd w:id="70"/>
      <w:bookmarkEnd w:id="71"/>
    </w:p>
    <w:p w14:paraId="30EF5847">
      <w:pPr>
        <w:spacing w:line="460" w:lineRule="exact"/>
        <w:ind w:firstLine="420" w:firstLineChars="200"/>
        <w:rPr>
          <w:rFonts w:ascii="宋体" w:hAnsi="宋体" w:cs="Arial"/>
          <w:color w:val="auto"/>
          <w:kern w:val="0"/>
          <w:szCs w:val="21"/>
        </w:rPr>
      </w:pPr>
      <w:r>
        <w:rPr>
          <w:rFonts w:hint="eastAsia" w:ascii="宋体" w:hAnsi="宋体" w:cs="Arial"/>
          <w:color w:val="auto"/>
          <w:kern w:val="0"/>
          <w:szCs w:val="21"/>
        </w:rPr>
        <w:t>15.1供应商应当在响应文件提交截止时间前将生成的“电子加密投标文件”上传提交至政采云平台。</w:t>
      </w:r>
      <w:r>
        <w:rPr>
          <w:rFonts w:ascii="宋体" w:hAnsi="宋体" w:cs="Arial"/>
          <w:color w:val="auto"/>
          <w:kern w:val="0"/>
          <w:szCs w:val="21"/>
        </w:rPr>
        <w:t>因未注册入库、未办理CA数字证书、CA证书故障、操作不当等原因造成无法</w:t>
      </w:r>
      <w:r>
        <w:rPr>
          <w:rFonts w:hint="eastAsia" w:ascii="宋体" w:hAnsi="宋体" w:cs="Arial"/>
          <w:color w:val="auto"/>
          <w:kern w:val="0"/>
          <w:szCs w:val="21"/>
        </w:rPr>
        <w:t>响应</w:t>
      </w:r>
      <w:r>
        <w:rPr>
          <w:rFonts w:ascii="宋体" w:hAnsi="宋体" w:cs="Arial"/>
          <w:color w:val="auto"/>
          <w:kern w:val="0"/>
          <w:szCs w:val="21"/>
        </w:rPr>
        <w:t>或</w:t>
      </w:r>
      <w:r>
        <w:rPr>
          <w:rFonts w:hint="eastAsia" w:ascii="宋体" w:hAnsi="宋体" w:cs="Arial"/>
          <w:color w:val="auto"/>
          <w:kern w:val="0"/>
          <w:szCs w:val="21"/>
        </w:rPr>
        <w:t>响应</w:t>
      </w:r>
      <w:r>
        <w:rPr>
          <w:rFonts w:ascii="宋体" w:hAnsi="宋体" w:cs="Arial"/>
          <w:color w:val="auto"/>
          <w:kern w:val="0"/>
          <w:szCs w:val="21"/>
        </w:rPr>
        <w:t>失败等后果由</w:t>
      </w:r>
      <w:r>
        <w:rPr>
          <w:rFonts w:hint="eastAsia" w:ascii="宋体" w:hAnsi="宋体" w:cs="Arial"/>
          <w:color w:val="auto"/>
          <w:kern w:val="0"/>
          <w:szCs w:val="21"/>
        </w:rPr>
        <w:t>供应商</w:t>
      </w:r>
      <w:r>
        <w:rPr>
          <w:rFonts w:ascii="宋体" w:hAnsi="宋体" w:cs="Arial"/>
          <w:color w:val="auto"/>
          <w:kern w:val="0"/>
          <w:szCs w:val="21"/>
        </w:rPr>
        <w:t>自行承担。</w:t>
      </w:r>
    </w:p>
    <w:p w14:paraId="402DC5CB">
      <w:pPr>
        <w:widowControl/>
        <w:spacing w:line="460" w:lineRule="exact"/>
        <w:ind w:firstLine="420" w:firstLineChars="200"/>
        <w:jc w:val="left"/>
        <w:rPr>
          <w:rFonts w:ascii="宋体" w:hAnsi="宋体" w:cs="Arial"/>
          <w:color w:val="auto"/>
          <w:kern w:val="0"/>
          <w:szCs w:val="21"/>
        </w:rPr>
      </w:pPr>
      <w:r>
        <w:rPr>
          <w:rFonts w:hint="eastAsia" w:ascii="宋体" w:hAnsi="宋体" w:cs="Arial"/>
          <w:color w:val="auto"/>
          <w:kern w:val="0"/>
          <w:szCs w:val="21"/>
        </w:rPr>
        <w:t>15.2 供应商可以提供以介质（U 盘）存储的数据电文形成的电子备份响应文件。电子备份响应文件应当在响应文件提交截止时间请提交至崇左市城南新区石景林路东段政务服务中心综合楼五楼开标厅，由</w:t>
      </w:r>
      <w:r>
        <w:rPr>
          <w:rFonts w:hint="eastAsia" w:ascii="宋体" w:hAnsi="宋体" w:cs="宋体"/>
          <w:color w:val="auto"/>
          <w:szCs w:val="21"/>
          <w:lang w:eastAsia="zh-CN"/>
        </w:rPr>
        <w:t>代理公司</w:t>
      </w:r>
      <w:r>
        <w:rPr>
          <w:rFonts w:hint="eastAsia" w:ascii="宋体" w:hAnsi="宋体" w:cs="Arial"/>
          <w:color w:val="auto"/>
          <w:kern w:val="0"/>
          <w:szCs w:val="21"/>
        </w:rPr>
        <w:t>接受（接受邮寄</w:t>
      </w:r>
      <w:r>
        <w:rPr>
          <w:rFonts w:hint="eastAsia" w:ascii="宋体" w:hAnsi="宋体" w:cs="Arial"/>
          <w:color w:val="auto"/>
          <w:kern w:val="0"/>
          <w:szCs w:val="21"/>
          <w:lang w:val="en-US" w:eastAsia="zh-CN"/>
        </w:rPr>
        <w:t>或者</w:t>
      </w:r>
      <w:r>
        <w:rPr>
          <w:rFonts w:hint="eastAsia" w:ascii="宋体" w:hAnsi="宋体" w:cs="Arial"/>
          <w:color w:val="auto"/>
          <w:kern w:val="0"/>
          <w:szCs w:val="21"/>
        </w:rPr>
        <w:t>现场提交），逾期送达或未按要求密封将被拒收。</w:t>
      </w:r>
    </w:p>
    <w:p w14:paraId="60935B02">
      <w:pPr>
        <w:widowControl/>
        <w:spacing w:line="460" w:lineRule="exact"/>
        <w:ind w:firstLine="420" w:firstLineChars="200"/>
        <w:jc w:val="left"/>
        <w:rPr>
          <w:rFonts w:ascii="宋体" w:hAnsi="宋体" w:cs="Arial"/>
          <w:color w:val="auto"/>
          <w:kern w:val="0"/>
          <w:szCs w:val="21"/>
        </w:rPr>
      </w:pPr>
      <w:r>
        <w:rPr>
          <w:rFonts w:hint="eastAsia" w:ascii="宋体" w:hAnsi="宋体" w:cs="Arial"/>
          <w:color w:val="auto"/>
          <w:kern w:val="0"/>
          <w:szCs w:val="21"/>
        </w:rPr>
        <w:t>本项目拒收到付邮件，通过邮寄方式送达的，请合理安排邮寄时间，因邮寄原因未能在规定时间内送达的后果由供应商自行承担。</w:t>
      </w:r>
    </w:p>
    <w:p w14:paraId="66B99AE3">
      <w:pPr>
        <w:bidi w:val="0"/>
        <w:rPr>
          <w:color w:val="auto"/>
        </w:rPr>
      </w:pPr>
      <w:bookmarkStart w:id="72" w:name="_Toc346264280"/>
      <w:bookmarkStart w:id="73" w:name="_Toc239659108"/>
      <w:bookmarkStart w:id="74" w:name="_Toc18682817"/>
      <w:bookmarkStart w:id="75" w:name="_Toc80818629"/>
      <w:r>
        <w:rPr>
          <w:color w:val="auto"/>
        </w:rPr>
        <w:t>16.</w:t>
      </w:r>
      <w:r>
        <w:rPr>
          <w:rFonts w:hint="eastAsia"/>
          <w:color w:val="auto"/>
        </w:rPr>
        <w:t>响应文件</w:t>
      </w:r>
      <w:r>
        <w:rPr>
          <w:color w:val="auto"/>
        </w:rPr>
        <w:t>的修改与撤回</w:t>
      </w:r>
      <w:bookmarkEnd w:id="72"/>
      <w:bookmarkEnd w:id="73"/>
      <w:bookmarkEnd w:id="74"/>
      <w:bookmarkEnd w:id="75"/>
    </w:p>
    <w:p w14:paraId="7C99E4A7">
      <w:pPr>
        <w:spacing w:line="460" w:lineRule="exact"/>
        <w:rPr>
          <w:rFonts w:ascii="宋体" w:hAnsi="宋体" w:cs="Arial"/>
          <w:color w:val="auto"/>
          <w:kern w:val="0"/>
          <w:szCs w:val="21"/>
        </w:rPr>
      </w:pPr>
      <w:bookmarkStart w:id="76" w:name="_Toc346264281"/>
      <w:bookmarkStart w:id="77" w:name="_Toc239659109"/>
      <w:bookmarkStart w:id="78" w:name="_Toc18682818"/>
      <w:r>
        <w:rPr>
          <w:rFonts w:hint="eastAsia" w:ascii="宋体" w:hAnsi="宋体" w:cs="Arial"/>
          <w:color w:val="auto"/>
          <w:kern w:val="0"/>
          <w:szCs w:val="21"/>
        </w:rPr>
        <w:t>响应文件提交截止时间前可以补充、修改或者撤回电子响应文件。补充或者修改电子响应文件的，应当先行撤回原文件，补充、修改后重新传输提交，响应文件提交截止时间前未完成传输的，视为撤回响应文件。</w:t>
      </w:r>
    </w:p>
    <w:p w14:paraId="1C40C692">
      <w:pPr>
        <w:spacing w:line="460" w:lineRule="exact"/>
        <w:rPr>
          <w:rFonts w:ascii="宋体" w:hAnsi="宋体"/>
          <w:b/>
          <w:bCs/>
          <w:color w:val="auto"/>
          <w:szCs w:val="21"/>
        </w:rPr>
      </w:pPr>
      <w:r>
        <w:rPr>
          <w:rFonts w:ascii="宋体" w:hAnsi="宋体"/>
          <w:b/>
          <w:bCs/>
          <w:color w:val="auto"/>
          <w:szCs w:val="21"/>
        </w:rPr>
        <w:t>17.</w:t>
      </w:r>
      <w:bookmarkEnd w:id="76"/>
      <w:bookmarkEnd w:id="77"/>
      <w:bookmarkEnd w:id="78"/>
      <w:r>
        <w:rPr>
          <w:rFonts w:hint="eastAsia" w:ascii="宋体" w:hAnsi="宋体"/>
          <w:b/>
          <w:bCs/>
          <w:color w:val="auto"/>
          <w:szCs w:val="21"/>
        </w:rPr>
        <w:t xml:space="preserve"> 响应文件</w:t>
      </w:r>
      <w:r>
        <w:rPr>
          <w:rFonts w:ascii="宋体" w:hAnsi="宋体"/>
          <w:b/>
          <w:bCs/>
          <w:color w:val="auto"/>
          <w:szCs w:val="21"/>
        </w:rPr>
        <w:t>的</w:t>
      </w:r>
      <w:r>
        <w:rPr>
          <w:rFonts w:hint="eastAsia" w:ascii="宋体" w:hAnsi="宋体"/>
          <w:b/>
          <w:bCs/>
          <w:color w:val="auto"/>
          <w:szCs w:val="21"/>
        </w:rPr>
        <w:t>解密</w:t>
      </w:r>
    </w:p>
    <w:p w14:paraId="62C59C94">
      <w:pPr>
        <w:adjustRightInd w:val="0"/>
        <w:snapToGrid w:val="0"/>
        <w:spacing w:line="460" w:lineRule="exact"/>
        <w:ind w:firstLine="420" w:firstLineChars="200"/>
        <w:rPr>
          <w:rFonts w:ascii="宋体" w:hAnsi="宋体" w:cs="Courier New"/>
          <w:color w:val="auto"/>
          <w:szCs w:val="21"/>
        </w:rPr>
      </w:pPr>
      <w:r>
        <w:rPr>
          <w:rFonts w:hint="eastAsia" w:ascii="宋体" w:hAnsi="宋体" w:cs="Courier New"/>
          <w:color w:val="auto"/>
          <w:szCs w:val="21"/>
        </w:rPr>
        <w:t>17.1采购代理机构按磋商文件规定的时间、地点通过“政采云平台”组织磋商、开启响应文件，所有供应商均应当准时在线参加。供应商如不参加磋商会的，视同认可磋商结果，事后不得对采购相关人员、磋商过程和磋商结果提出异议，同时供应商因未在线参加磋商而导致响应文件无法按时解密等一切后果由供应商自己承担。本项目磋商过程实行全程录音、录像监控。</w:t>
      </w:r>
    </w:p>
    <w:p w14:paraId="03B729A0">
      <w:pPr>
        <w:adjustRightInd w:val="0"/>
        <w:snapToGrid w:val="0"/>
        <w:spacing w:line="460" w:lineRule="exact"/>
        <w:ind w:firstLine="420" w:firstLineChars="200"/>
        <w:rPr>
          <w:rFonts w:ascii="宋体" w:hAnsi="宋体" w:cs="Courier New"/>
          <w:color w:val="auto"/>
          <w:szCs w:val="21"/>
        </w:rPr>
      </w:pPr>
      <w:r>
        <w:rPr>
          <w:rFonts w:hint="eastAsia" w:ascii="宋体" w:hAnsi="宋体" w:cs="Courier New"/>
          <w:color w:val="auto"/>
          <w:szCs w:val="21"/>
        </w:rPr>
        <w:t>17.2采购代理机构工作人员向各供应商发出电子加密响应文件【开始解密】通知，由供应商按响应文件规定的时间内自行进行响应文件解密。供应商在规定的时间内无法完成已递交的“电子加密投标文件”解密的，如已按规定递交了电子备份响应文件的，将由采购组织机构按“政府采购云平台”操作规范将备份响应文件上传至“政府采购云平台”，上传成功后，“电子加密投标文件”自动失效。如未提供备份电子响应文件，将不进行再次解密程序。无法在线解密视为供应商放弃磋商。在线解密时间为 30 分钟。</w:t>
      </w:r>
    </w:p>
    <w:p w14:paraId="7BEB045A">
      <w:pPr>
        <w:adjustRightInd w:val="0"/>
        <w:snapToGrid w:val="0"/>
        <w:spacing w:line="460" w:lineRule="exact"/>
        <w:ind w:firstLine="420" w:firstLineChars="200"/>
        <w:rPr>
          <w:rFonts w:ascii="宋体" w:hAnsi="宋体" w:cs="Courier New"/>
          <w:color w:val="auto"/>
          <w:szCs w:val="21"/>
        </w:rPr>
      </w:pPr>
      <w:r>
        <w:rPr>
          <w:rFonts w:hint="eastAsia" w:ascii="宋体" w:hAnsi="宋体" w:cs="Courier New"/>
          <w:color w:val="auto"/>
          <w:szCs w:val="21"/>
        </w:rPr>
        <w:t>17.3响应</w:t>
      </w:r>
      <w:r>
        <w:rPr>
          <w:rFonts w:ascii="宋体" w:hAnsi="宋体" w:cs="Courier New"/>
          <w:color w:val="auto"/>
          <w:szCs w:val="21"/>
        </w:rPr>
        <w:t>文件解密结束，</w:t>
      </w:r>
      <w:r>
        <w:rPr>
          <w:rFonts w:hint="eastAsia" w:ascii="宋体" w:hAnsi="宋体" w:cs="Courier New"/>
          <w:color w:val="auto"/>
          <w:szCs w:val="21"/>
        </w:rPr>
        <w:t>磋商活动组织人员在线开</w:t>
      </w:r>
      <w:r>
        <w:rPr>
          <w:rFonts w:ascii="宋体" w:hAnsi="宋体" w:cs="Courier New"/>
          <w:color w:val="auto"/>
          <w:szCs w:val="21"/>
        </w:rPr>
        <w:t>启</w:t>
      </w:r>
      <w:r>
        <w:rPr>
          <w:rFonts w:hint="eastAsia" w:ascii="宋体" w:hAnsi="宋体" w:cs="Courier New"/>
          <w:color w:val="auto"/>
          <w:szCs w:val="21"/>
        </w:rPr>
        <w:t>报价文件。供应商在线制作响应文件时填写的报价金额</w:t>
      </w:r>
      <w:r>
        <w:rPr>
          <w:rFonts w:ascii="宋体" w:hAnsi="宋体" w:cs="Courier New"/>
          <w:color w:val="auto"/>
          <w:szCs w:val="21"/>
        </w:rPr>
        <w:t>与解密后“电子加密投标文件”中《</w:t>
      </w:r>
      <w:r>
        <w:rPr>
          <w:rFonts w:hint="eastAsia" w:ascii="宋体" w:hAnsi="宋体" w:cs="Courier New"/>
          <w:color w:val="auto"/>
          <w:szCs w:val="21"/>
        </w:rPr>
        <w:t>磋商函</w:t>
      </w:r>
      <w:r>
        <w:rPr>
          <w:rFonts w:ascii="宋体" w:hAnsi="宋体" w:cs="Courier New"/>
          <w:color w:val="auto"/>
          <w:szCs w:val="21"/>
        </w:rPr>
        <w:t>》填写的金额不一致的，以解密后“电子加密投标文件”中《</w:t>
      </w:r>
      <w:r>
        <w:rPr>
          <w:rFonts w:hint="eastAsia" w:ascii="宋体" w:hAnsi="宋体" w:cs="Courier New"/>
          <w:color w:val="auto"/>
          <w:szCs w:val="21"/>
        </w:rPr>
        <w:t>磋商函</w:t>
      </w:r>
      <w:r>
        <w:rPr>
          <w:rFonts w:ascii="宋体" w:hAnsi="宋体" w:cs="Courier New"/>
          <w:color w:val="auto"/>
          <w:szCs w:val="21"/>
        </w:rPr>
        <w:t>》填写的金额为准，</w:t>
      </w:r>
      <w:r>
        <w:rPr>
          <w:rFonts w:hint="eastAsia" w:ascii="宋体" w:hAnsi="宋体" w:cs="Courier New"/>
          <w:color w:val="auto"/>
          <w:szCs w:val="21"/>
        </w:rPr>
        <w:t>供应商</w:t>
      </w:r>
      <w:r>
        <w:rPr>
          <w:rFonts w:ascii="宋体" w:hAnsi="宋体" w:cs="Courier New"/>
          <w:color w:val="auto"/>
          <w:szCs w:val="21"/>
        </w:rPr>
        <w:t>拒绝接受此调整的，按无效</w:t>
      </w:r>
      <w:r>
        <w:rPr>
          <w:rFonts w:hint="eastAsia" w:ascii="宋体" w:hAnsi="宋体" w:cs="Courier New"/>
          <w:color w:val="auto"/>
          <w:szCs w:val="21"/>
        </w:rPr>
        <w:t>响应</w:t>
      </w:r>
      <w:r>
        <w:rPr>
          <w:rFonts w:ascii="宋体" w:hAnsi="宋体" w:cs="Courier New"/>
          <w:color w:val="auto"/>
          <w:szCs w:val="21"/>
        </w:rPr>
        <w:t>处理。</w:t>
      </w:r>
    </w:p>
    <w:p w14:paraId="69A4FD8C">
      <w:pPr>
        <w:adjustRightInd w:val="0"/>
        <w:snapToGrid w:val="0"/>
        <w:spacing w:line="460" w:lineRule="exact"/>
        <w:ind w:firstLine="422" w:firstLineChars="200"/>
        <w:rPr>
          <w:rFonts w:ascii="宋体" w:hAnsi="宋体" w:cs="Arial"/>
          <w:color w:val="auto"/>
          <w:kern w:val="0"/>
          <w:szCs w:val="21"/>
        </w:rPr>
      </w:pPr>
      <w:r>
        <w:rPr>
          <w:rFonts w:ascii="宋体" w:hAnsi="宋体" w:cs="Courier New"/>
          <w:b/>
          <w:bCs/>
          <w:color w:val="auto"/>
          <w:szCs w:val="21"/>
        </w:rPr>
        <w:t>特别说明：如遇“政采云平台”电子化开标或评审程序调整的，按调整后程序执行。</w:t>
      </w:r>
    </w:p>
    <w:p w14:paraId="1C87EFF2">
      <w:pPr>
        <w:widowControl/>
        <w:spacing w:line="460" w:lineRule="exact"/>
        <w:ind w:firstLine="420" w:firstLineChars="200"/>
        <w:jc w:val="left"/>
        <w:rPr>
          <w:rFonts w:ascii="宋体" w:hAnsi="宋体" w:cs="Arial"/>
          <w:color w:val="auto"/>
          <w:kern w:val="0"/>
          <w:szCs w:val="21"/>
        </w:rPr>
      </w:pPr>
      <w:r>
        <w:rPr>
          <w:rFonts w:hint="eastAsia" w:ascii="宋体" w:hAnsi="宋体" w:cs="Arial"/>
          <w:color w:val="auto"/>
          <w:kern w:val="0"/>
          <w:szCs w:val="21"/>
        </w:rPr>
        <w:t>17.4在响应文件提交截止时间止提交响应文件的供应商不足 3 家时，不得开标，应当由供应商法定代表人或者委托代理人签字领回电子备份响应文件（电子备份响应文件采用邮寄方式提交的，以到付的方式寄回至原地址），除此之外采购人和采购代理机构对已提交的响应文件概不退回。</w:t>
      </w:r>
    </w:p>
    <w:p w14:paraId="2402BB87">
      <w:pPr>
        <w:bidi w:val="0"/>
        <w:rPr>
          <w:color w:val="auto"/>
        </w:rPr>
      </w:pPr>
      <w:bookmarkStart w:id="79" w:name="_Toc346264282"/>
      <w:bookmarkStart w:id="80" w:name="_Toc80818630"/>
      <w:bookmarkStart w:id="81" w:name="_Toc18682819"/>
      <w:bookmarkStart w:id="82" w:name="_Toc239659110"/>
      <w:r>
        <w:rPr>
          <w:color w:val="auto"/>
        </w:rPr>
        <w:t>18.评标内容的保密</w:t>
      </w:r>
      <w:bookmarkEnd w:id="79"/>
      <w:bookmarkEnd w:id="80"/>
      <w:bookmarkEnd w:id="81"/>
      <w:bookmarkEnd w:id="82"/>
    </w:p>
    <w:p w14:paraId="21A6CE8C">
      <w:pPr>
        <w:spacing w:line="460" w:lineRule="exact"/>
        <w:rPr>
          <w:rFonts w:ascii="宋体" w:hAnsi="宋体"/>
          <w:color w:val="auto"/>
          <w:szCs w:val="21"/>
        </w:rPr>
      </w:pPr>
      <w:r>
        <w:rPr>
          <w:rFonts w:ascii="宋体" w:hAnsi="宋体"/>
          <w:color w:val="auto"/>
          <w:szCs w:val="21"/>
        </w:rPr>
        <w:t xml:space="preserve">    18.1</w:t>
      </w:r>
      <w:r>
        <w:rPr>
          <w:rFonts w:hint="eastAsia" w:ascii="宋体" w:hAnsi="宋体"/>
          <w:color w:val="auto"/>
          <w:szCs w:val="21"/>
        </w:rPr>
        <w:t>采购人、采购代理机构应当按照政府采购法和政府采购竞争性磋商采购方式管理暂行办法的规定组织开展竞争性磋商，并采取必要措施，保证磋商在严格保密的情况下进行。任何单位和个人不得非法干预、影响磋商过程和结果。</w:t>
      </w:r>
    </w:p>
    <w:p w14:paraId="32742C09">
      <w:pPr>
        <w:spacing w:line="460" w:lineRule="exact"/>
        <w:ind w:firstLine="435"/>
        <w:rPr>
          <w:rFonts w:ascii="宋体" w:hAnsi="宋体"/>
          <w:color w:val="auto"/>
          <w:szCs w:val="21"/>
        </w:rPr>
      </w:pPr>
      <w:r>
        <w:rPr>
          <w:rFonts w:ascii="宋体" w:hAnsi="宋体"/>
          <w:color w:val="auto"/>
          <w:szCs w:val="21"/>
        </w:rPr>
        <w:t>18.2 在</w:t>
      </w:r>
      <w:r>
        <w:rPr>
          <w:rFonts w:hint="eastAsia" w:ascii="宋体" w:hAnsi="宋体"/>
          <w:color w:val="auto"/>
          <w:szCs w:val="21"/>
        </w:rPr>
        <w:t>响应文件</w:t>
      </w:r>
      <w:r>
        <w:rPr>
          <w:rFonts w:ascii="宋体" w:hAnsi="宋体"/>
          <w:color w:val="auto"/>
          <w:szCs w:val="21"/>
        </w:rPr>
        <w:t>的审查、澄清、评价和比较以及授予合同的过程中，</w:t>
      </w:r>
      <w:r>
        <w:rPr>
          <w:rFonts w:hint="eastAsia" w:ascii="宋体" w:hAnsi="宋体"/>
          <w:color w:val="auto"/>
          <w:szCs w:val="21"/>
        </w:rPr>
        <w:t>供应商</w:t>
      </w:r>
      <w:r>
        <w:rPr>
          <w:rFonts w:ascii="宋体" w:hAnsi="宋体"/>
          <w:color w:val="auto"/>
          <w:szCs w:val="21"/>
        </w:rPr>
        <w:t>对采购人和</w:t>
      </w:r>
      <w:r>
        <w:rPr>
          <w:rFonts w:hint="eastAsia" w:ascii="宋体" w:hAnsi="宋体"/>
          <w:bCs/>
          <w:color w:val="auto"/>
          <w:szCs w:val="21"/>
        </w:rPr>
        <w:t>磋商小组</w:t>
      </w:r>
      <w:r>
        <w:rPr>
          <w:rFonts w:ascii="宋体" w:hAnsi="宋体"/>
          <w:color w:val="auto"/>
          <w:szCs w:val="21"/>
        </w:rPr>
        <w:t>施加影响的任何行为，都将导致取消其磋商资格。</w:t>
      </w:r>
    </w:p>
    <w:p w14:paraId="0B478D73">
      <w:pPr>
        <w:bidi w:val="0"/>
        <w:rPr>
          <w:color w:val="auto"/>
        </w:rPr>
      </w:pPr>
      <w:bookmarkStart w:id="83" w:name="_Toc239659111"/>
      <w:bookmarkStart w:id="84" w:name="_Toc18682820"/>
      <w:bookmarkStart w:id="85" w:name="_Toc80818631"/>
      <w:bookmarkStart w:id="86" w:name="_Toc346264283"/>
      <w:r>
        <w:rPr>
          <w:color w:val="auto"/>
        </w:rPr>
        <w:t>19.</w:t>
      </w:r>
      <w:r>
        <w:rPr>
          <w:rFonts w:hint="eastAsia"/>
          <w:color w:val="auto"/>
        </w:rPr>
        <w:t>响应文件</w:t>
      </w:r>
      <w:r>
        <w:rPr>
          <w:color w:val="auto"/>
        </w:rPr>
        <w:t>计算错误的修正</w:t>
      </w:r>
      <w:bookmarkEnd w:id="83"/>
      <w:bookmarkEnd w:id="84"/>
      <w:bookmarkEnd w:id="85"/>
      <w:bookmarkEnd w:id="86"/>
    </w:p>
    <w:p w14:paraId="52565472">
      <w:pPr>
        <w:spacing w:line="460" w:lineRule="exact"/>
        <w:ind w:left="-15" w:leftChars="-7" w:firstLine="388" w:firstLineChars="185"/>
        <w:rPr>
          <w:rFonts w:ascii="宋体" w:hAnsi="宋体"/>
          <w:color w:val="auto"/>
          <w:szCs w:val="21"/>
        </w:rPr>
      </w:pPr>
      <w:r>
        <w:rPr>
          <w:rFonts w:ascii="宋体" w:hAnsi="宋体"/>
          <w:color w:val="auto"/>
          <w:szCs w:val="21"/>
        </w:rPr>
        <w:t>19.1</w:t>
      </w:r>
      <w:r>
        <w:rPr>
          <w:rFonts w:hint="eastAsia" w:ascii="宋体" w:hAnsi="宋体"/>
          <w:bCs/>
          <w:color w:val="auto"/>
          <w:szCs w:val="21"/>
        </w:rPr>
        <w:t>磋商小组</w:t>
      </w:r>
      <w:r>
        <w:rPr>
          <w:rFonts w:ascii="宋体" w:hAnsi="宋体"/>
          <w:color w:val="auto"/>
          <w:szCs w:val="21"/>
        </w:rPr>
        <w:t>将对确定为实质上响应磋商文件要求的</w:t>
      </w:r>
      <w:r>
        <w:rPr>
          <w:rFonts w:hint="eastAsia" w:ascii="宋体" w:hAnsi="宋体"/>
          <w:color w:val="auto"/>
          <w:szCs w:val="21"/>
        </w:rPr>
        <w:t>响应文件</w:t>
      </w:r>
      <w:r>
        <w:rPr>
          <w:rFonts w:ascii="宋体" w:hAnsi="宋体"/>
          <w:color w:val="auto"/>
          <w:szCs w:val="21"/>
        </w:rPr>
        <w:t>进行校核，看其是否有计算或表达上的错误，修正错误的原则如下：</w:t>
      </w:r>
    </w:p>
    <w:p w14:paraId="1E4833D7">
      <w:pPr>
        <w:spacing w:line="460" w:lineRule="exact"/>
        <w:ind w:left="-15" w:leftChars="-7" w:firstLine="388" w:firstLineChars="185"/>
        <w:rPr>
          <w:rFonts w:ascii="宋体" w:hAnsi="宋体"/>
          <w:color w:val="auto"/>
          <w:szCs w:val="21"/>
        </w:rPr>
      </w:pPr>
      <w:r>
        <w:rPr>
          <w:rFonts w:ascii="宋体" w:hAnsi="宋体"/>
          <w:color w:val="auto"/>
          <w:szCs w:val="21"/>
        </w:rPr>
        <w:t>19.1.1如果数字表示的金额和用文字表示的金额不一致时，应以文字表示的金额为准；</w:t>
      </w:r>
    </w:p>
    <w:p w14:paraId="7AB38614">
      <w:pPr>
        <w:spacing w:line="460" w:lineRule="exact"/>
        <w:ind w:left="-15" w:leftChars="-7" w:firstLine="388" w:firstLineChars="185"/>
        <w:rPr>
          <w:rFonts w:ascii="宋体" w:hAnsi="宋体"/>
          <w:color w:val="auto"/>
          <w:szCs w:val="21"/>
        </w:rPr>
      </w:pPr>
      <w:r>
        <w:rPr>
          <w:rFonts w:ascii="宋体" w:hAnsi="宋体"/>
          <w:color w:val="auto"/>
          <w:szCs w:val="21"/>
        </w:rPr>
        <w:t>19.1.2当单价与数量的乘积与合价不一致时，以单价为准，除非</w:t>
      </w:r>
      <w:r>
        <w:rPr>
          <w:rFonts w:hint="eastAsia" w:ascii="宋体" w:hAnsi="宋体"/>
          <w:bCs/>
          <w:color w:val="auto"/>
          <w:szCs w:val="21"/>
        </w:rPr>
        <w:t>磋商</w:t>
      </w:r>
      <w:r>
        <w:rPr>
          <w:rFonts w:hint="eastAsia" w:ascii="宋体" w:hAnsi="宋体"/>
          <w:color w:val="auto"/>
          <w:szCs w:val="21"/>
        </w:rPr>
        <w:t>小组</w:t>
      </w:r>
      <w:r>
        <w:rPr>
          <w:rFonts w:ascii="宋体" w:hAnsi="宋体"/>
          <w:color w:val="auto"/>
          <w:szCs w:val="21"/>
        </w:rPr>
        <w:t>认为单价有明显的小数点错误，此时应以标出的合价为准，并修改单价</w:t>
      </w:r>
      <w:r>
        <w:rPr>
          <w:rFonts w:hint="eastAsia" w:ascii="宋体" w:hAnsi="宋体"/>
          <w:color w:val="auto"/>
          <w:szCs w:val="21"/>
        </w:rPr>
        <w:t>；</w:t>
      </w:r>
    </w:p>
    <w:p w14:paraId="72698815">
      <w:pPr>
        <w:spacing w:line="460" w:lineRule="exact"/>
        <w:ind w:left="-15" w:leftChars="-7" w:firstLine="388" w:firstLineChars="185"/>
        <w:rPr>
          <w:rFonts w:ascii="宋体" w:hAnsi="宋体"/>
          <w:color w:val="auto"/>
          <w:szCs w:val="21"/>
        </w:rPr>
      </w:pPr>
      <w:r>
        <w:rPr>
          <w:rFonts w:hint="eastAsia" w:ascii="宋体" w:hAnsi="宋体"/>
          <w:color w:val="auto"/>
          <w:szCs w:val="21"/>
        </w:rPr>
        <w:t>19.1.3 当分项乘积累计得出的总额与标出的总额不一致时，以标出的分项乘积为准，并修改标出的总额；</w:t>
      </w:r>
    </w:p>
    <w:p w14:paraId="73687BFD">
      <w:pPr>
        <w:spacing w:line="460" w:lineRule="exact"/>
        <w:ind w:left="-15" w:leftChars="-7" w:firstLine="388" w:firstLineChars="185"/>
        <w:rPr>
          <w:rFonts w:ascii="宋体" w:hAnsi="宋体"/>
          <w:color w:val="auto"/>
          <w:szCs w:val="21"/>
        </w:rPr>
      </w:pPr>
      <w:r>
        <w:rPr>
          <w:rFonts w:ascii="宋体" w:hAnsi="宋体"/>
          <w:color w:val="auto"/>
          <w:szCs w:val="21"/>
        </w:rPr>
        <w:t>19.2 按上述修正错误的原则及方法调整或修正</w:t>
      </w:r>
      <w:r>
        <w:rPr>
          <w:rFonts w:hint="eastAsia" w:ascii="宋体" w:hAnsi="宋体"/>
          <w:color w:val="auto"/>
          <w:szCs w:val="21"/>
        </w:rPr>
        <w:t>响应文件</w:t>
      </w:r>
      <w:r>
        <w:rPr>
          <w:rFonts w:ascii="宋体" w:hAnsi="宋体"/>
          <w:color w:val="auto"/>
          <w:szCs w:val="21"/>
        </w:rPr>
        <w:t>的磋商报价，</w:t>
      </w:r>
      <w:r>
        <w:rPr>
          <w:rFonts w:hint="eastAsia" w:ascii="宋体" w:hAnsi="宋体"/>
          <w:color w:val="auto"/>
          <w:szCs w:val="21"/>
        </w:rPr>
        <w:t>在供应商确认</w:t>
      </w:r>
      <w:r>
        <w:rPr>
          <w:rFonts w:ascii="宋体" w:hAnsi="宋体"/>
          <w:color w:val="auto"/>
          <w:szCs w:val="21"/>
        </w:rPr>
        <w:t>后，调整或修正后的磋商报价对</w:t>
      </w:r>
      <w:r>
        <w:rPr>
          <w:rFonts w:hint="eastAsia" w:ascii="宋体" w:hAnsi="宋体"/>
          <w:color w:val="auto"/>
          <w:szCs w:val="21"/>
        </w:rPr>
        <w:t>供应商</w:t>
      </w:r>
      <w:r>
        <w:rPr>
          <w:rFonts w:ascii="宋体" w:hAnsi="宋体"/>
          <w:color w:val="auto"/>
          <w:szCs w:val="21"/>
        </w:rPr>
        <w:t>起约束作用。</w:t>
      </w:r>
    </w:p>
    <w:p w14:paraId="20E44068">
      <w:pPr>
        <w:spacing w:line="460" w:lineRule="exact"/>
        <w:ind w:left="-15" w:leftChars="-7" w:firstLine="390" w:firstLineChars="185"/>
        <w:rPr>
          <w:rFonts w:ascii="宋体" w:hAnsi="宋体"/>
          <w:color w:val="auto"/>
          <w:szCs w:val="21"/>
        </w:rPr>
      </w:pPr>
      <w:r>
        <w:rPr>
          <w:rFonts w:hint="eastAsia" w:ascii="宋体" w:hAnsi="宋体"/>
          <w:b/>
          <w:color w:val="auto"/>
          <w:szCs w:val="21"/>
        </w:rPr>
        <w:t>按上述修正错误的原则及方法调整或修正响应文件的磋商报价，供应商须在线同意并签字确认，调整后的磋商报价对供应商具有约束作用。如果供应商不接受修正后的报价，则其响应文件将作为无效响应处理。</w:t>
      </w:r>
    </w:p>
    <w:p w14:paraId="57042AC4">
      <w:pPr>
        <w:bidi w:val="0"/>
        <w:rPr>
          <w:color w:val="auto"/>
        </w:rPr>
      </w:pPr>
      <w:bookmarkStart w:id="87" w:name="_Toc239659112"/>
      <w:bookmarkStart w:id="88" w:name="_Toc80818632"/>
      <w:bookmarkStart w:id="89" w:name="_Toc346264284"/>
      <w:bookmarkStart w:id="90" w:name="_Toc18682821"/>
      <w:r>
        <w:rPr>
          <w:color w:val="auto"/>
        </w:rPr>
        <w:t>20.</w:t>
      </w:r>
      <w:r>
        <w:rPr>
          <w:rFonts w:hint="eastAsia"/>
          <w:color w:val="auto"/>
        </w:rPr>
        <w:t>供应商</w:t>
      </w:r>
      <w:r>
        <w:rPr>
          <w:color w:val="auto"/>
        </w:rPr>
        <w:t>资格审查</w:t>
      </w:r>
      <w:bookmarkEnd w:id="87"/>
      <w:bookmarkEnd w:id="88"/>
      <w:bookmarkEnd w:id="89"/>
      <w:bookmarkEnd w:id="90"/>
    </w:p>
    <w:p w14:paraId="3EF744C8">
      <w:pPr>
        <w:spacing w:line="460" w:lineRule="exact"/>
        <w:ind w:firstLine="457" w:firstLineChars="218"/>
        <w:rPr>
          <w:rFonts w:ascii="宋体" w:hAnsi="宋体"/>
          <w:color w:val="auto"/>
          <w:szCs w:val="21"/>
        </w:rPr>
      </w:pPr>
      <w:r>
        <w:rPr>
          <w:rFonts w:hint="eastAsia" w:ascii="宋体" w:hAnsi="宋体"/>
          <w:color w:val="auto"/>
          <w:szCs w:val="21"/>
        </w:rPr>
        <w:t>资格后审，只有通过资格审查才能进入符合性审查。所要提供的材料见本须知9.2条内容，资格审查资料有任何一项缺项或不合格者其资格审查视为不通过。</w:t>
      </w:r>
    </w:p>
    <w:p w14:paraId="1DCA0432">
      <w:pPr>
        <w:bidi w:val="0"/>
        <w:rPr>
          <w:color w:val="auto"/>
        </w:rPr>
      </w:pPr>
      <w:bookmarkStart w:id="91" w:name="_Toc120331586"/>
      <w:bookmarkStart w:id="92" w:name="_Toc18682822"/>
      <w:bookmarkStart w:id="93" w:name="_Toc346264285"/>
      <w:bookmarkStart w:id="94" w:name="_Toc239659113"/>
      <w:bookmarkStart w:id="95" w:name="_Toc174353376"/>
      <w:bookmarkStart w:id="96" w:name="_Toc80818633"/>
      <w:r>
        <w:rPr>
          <w:color w:val="auto"/>
        </w:rPr>
        <w:t>21.</w:t>
      </w:r>
      <w:r>
        <w:rPr>
          <w:rFonts w:hint="eastAsia"/>
          <w:color w:val="auto"/>
        </w:rPr>
        <w:t>响应文件</w:t>
      </w:r>
      <w:r>
        <w:rPr>
          <w:color w:val="auto"/>
        </w:rPr>
        <w:t>的</w:t>
      </w:r>
      <w:bookmarkEnd w:id="91"/>
      <w:bookmarkEnd w:id="92"/>
      <w:bookmarkEnd w:id="93"/>
      <w:bookmarkEnd w:id="94"/>
      <w:bookmarkEnd w:id="95"/>
      <w:r>
        <w:rPr>
          <w:rFonts w:hint="eastAsia"/>
          <w:color w:val="auto"/>
        </w:rPr>
        <w:t>符合性鉴定</w:t>
      </w:r>
      <w:bookmarkEnd w:id="96"/>
    </w:p>
    <w:p w14:paraId="0918244E">
      <w:pPr>
        <w:spacing w:line="460" w:lineRule="exact"/>
        <w:ind w:firstLine="420" w:firstLineChars="200"/>
        <w:rPr>
          <w:rFonts w:ascii="宋体" w:hAnsi="宋体"/>
          <w:color w:val="auto"/>
          <w:szCs w:val="21"/>
        </w:rPr>
      </w:pPr>
      <w:r>
        <w:rPr>
          <w:rFonts w:hint="eastAsia" w:ascii="宋体" w:hAnsi="宋体"/>
          <w:color w:val="auto"/>
          <w:szCs w:val="21"/>
        </w:rPr>
        <w:t>21.1 对响应文件进行符合性鉴定。响应文件应实质上响应磋商文件的要求，应与磋商文件所有条款、条件和规定，无明显差异或保留。磋商小组对实质上不响应磋商文件要求的磋商予以拒绝，但磋商小组认定属于供应商疏忽、笔误所造成的差错，应当允许其在磋商结束之前在政采云系统上进行修改或者补正并加盖单位公章。在磋商小组会发出询标函规定的回复限期内不补正或经补正后仍不符合磋商文件要求的，应认定其响应无效。供应商修改、补正响应文件后，不影响磋商小组对其响应文件所作的评价和评分结果。</w:t>
      </w:r>
    </w:p>
    <w:p w14:paraId="204B22A1">
      <w:pPr>
        <w:spacing w:line="460" w:lineRule="exact"/>
        <w:ind w:firstLine="411" w:firstLineChars="196"/>
        <w:rPr>
          <w:rFonts w:ascii="宋体" w:hAnsi="宋体"/>
          <w:color w:val="auto"/>
          <w:szCs w:val="21"/>
        </w:rPr>
      </w:pPr>
      <w:r>
        <w:rPr>
          <w:rFonts w:ascii="宋体" w:hAnsi="宋体"/>
          <w:color w:val="auto"/>
          <w:szCs w:val="21"/>
        </w:rPr>
        <w:t>21.</w:t>
      </w:r>
      <w:r>
        <w:rPr>
          <w:rFonts w:hint="eastAsia" w:ascii="宋体" w:hAnsi="宋体"/>
          <w:color w:val="auto"/>
          <w:szCs w:val="21"/>
        </w:rPr>
        <w:t>2 供应商或其响应文件有</w:t>
      </w:r>
      <w:r>
        <w:rPr>
          <w:rFonts w:ascii="宋体" w:hAnsi="宋体"/>
          <w:color w:val="auto"/>
          <w:szCs w:val="21"/>
        </w:rPr>
        <w:t>下列情况之一者</w:t>
      </w:r>
      <w:r>
        <w:rPr>
          <w:rFonts w:hint="eastAsia" w:ascii="宋体" w:hAnsi="宋体"/>
          <w:color w:val="auto"/>
          <w:szCs w:val="21"/>
        </w:rPr>
        <w:t>，其响应文件</w:t>
      </w:r>
      <w:r>
        <w:rPr>
          <w:rFonts w:ascii="宋体" w:hAnsi="宋体"/>
          <w:color w:val="auto"/>
          <w:szCs w:val="21"/>
        </w:rPr>
        <w:t>将视为无效</w:t>
      </w:r>
      <w:r>
        <w:rPr>
          <w:rFonts w:hint="eastAsia" w:ascii="宋体" w:hAnsi="宋体"/>
          <w:color w:val="auto"/>
          <w:szCs w:val="21"/>
        </w:rPr>
        <w:t>响应处理</w:t>
      </w:r>
      <w:r>
        <w:rPr>
          <w:rFonts w:ascii="宋体" w:hAnsi="宋体"/>
          <w:color w:val="auto"/>
          <w:szCs w:val="21"/>
        </w:rPr>
        <w:t>：</w:t>
      </w:r>
    </w:p>
    <w:p w14:paraId="6946908F">
      <w:pPr>
        <w:spacing w:line="460" w:lineRule="exact"/>
        <w:ind w:firstLine="411" w:firstLineChars="196"/>
        <w:rPr>
          <w:rFonts w:ascii="宋体" w:hAnsi="宋体"/>
          <w:color w:val="auto"/>
          <w:szCs w:val="21"/>
        </w:rPr>
      </w:pPr>
      <w:r>
        <w:rPr>
          <w:rFonts w:ascii="宋体" w:hAnsi="宋体"/>
          <w:color w:val="auto"/>
          <w:szCs w:val="21"/>
        </w:rPr>
        <w:t>21.2.</w:t>
      </w:r>
      <w:r>
        <w:rPr>
          <w:rFonts w:hint="eastAsia" w:ascii="宋体" w:hAnsi="宋体"/>
          <w:color w:val="auto"/>
          <w:szCs w:val="21"/>
        </w:rPr>
        <w:t>1 未按</w:t>
      </w:r>
      <w:r>
        <w:rPr>
          <w:rFonts w:ascii="宋体" w:hAnsi="宋体"/>
          <w:color w:val="auto"/>
          <w:szCs w:val="21"/>
        </w:rPr>
        <w:t>本须知第9条规定的</w:t>
      </w:r>
      <w:r>
        <w:rPr>
          <w:rFonts w:hint="eastAsia" w:ascii="宋体" w:hAnsi="宋体"/>
          <w:color w:val="auto"/>
          <w:szCs w:val="21"/>
        </w:rPr>
        <w:t>响应文件必须提供的</w:t>
      </w:r>
      <w:r>
        <w:rPr>
          <w:rFonts w:ascii="宋体" w:hAnsi="宋体"/>
          <w:color w:val="auto"/>
          <w:szCs w:val="21"/>
        </w:rPr>
        <w:t>内容</w:t>
      </w:r>
      <w:r>
        <w:rPr>
          <w:rFonts w:hint="eastAsia" w:ascii="宋体" w:hAnsi="宋体"/>
          <w:color w:val="auto"/>
          <w:szCs w:val="21"/>
        </w:rPr>
        <w:t>组成，或</w:t>
      </w:r>
      <w:r>
        <w:rPr>
          <w:rFonts w:ascii="宋体" w:hAnsi="宋体"/>
          <w:color w:val="auto"/>
          <w:szCs w:val="21"/>
        </w:rPr>
        <w:t>未按本须知第13</w:t>
      </w:r>
      <w:r>
        <w:rPr>
          <w:rFonts w:hint="eastAsia" w:ascii="宋体" w:hAnsi="宋体"/>
          <w:color w:val="auto"/>
          <w:szCs w:val="21"/>
        </w:rPr>
        <w:t>条</w:t>
      </w:r>
      <w:r>
        <w:rPr>
          <w:rFonts w:ascii="宋体" w:hAnsi="宋体"/>
          <w:color w:val="auto"/>
          <w:szCs w:val="21"/>
        </w:rPr>
        <w:t>规定加盖</w:t>
      </w:r>
      <w:r>
        <w:rPr>
          <w:rFonts w:hint="eastAsia" w:ascii="宋体" w:hAnsi="宋体"/>
          <w:color w:val="auto"/>
          <w:szCs w:val="21"/>
        </w:rPr>
        <w:t>供应商单位公</w:t>
      </w:r>
      <w:r>
        <w:rPr>
          <w:rFonts w:ascii="宋体" w:hAnsi="宋体"/>
          <w:color w:val="auto"/>
          <w:szCs w:val="21"/>
        </w:rPr>
        <w:t>章</w:t>
      </w:r>
      <w:r>
        <w:rPr>
          <w:rFonts w:hint="eastAsia" w:ascii="宋体" w:hAnsi="宋体"/>
          <w:color w:val="auto"/>
          <w:szCs w:val="21"/>
        </w:rPr>
        <w:t>、</w:t>
      </w:r>
      <w:r>
        <w:rPr>
          <w:rFonts w:ascii="宋体" w:hAnsi="宋体"/>
          <w:color w:val="auto"/>
          <w:szCs w:val="21"/>
        </w:rPr>
        <w:t>未经法定代表人或其委托代理人签字的</w:t>
      </w:r>
      <w:r>
        <w:rPr>
          <w:rFonts w:hint="eastAsia" w:ascii="宋体" w:hAnsi="宋体"/>
          <w:color w:val="auto"/>
          <w:szCs w:val="21"/>
        </w:rPr>
        <w:t>；</w:t>
      </w:r>
    </w:p>
    <w:p w14:paraId="69924C48">
      <w:pPr>
        <w:spacing w:line="460" w:lineRule="exact"/>
        <w:ind w:firstLine="411" w:firstLineChars="196"/>
        <w:rPr>
          <w:rFonts w:ascii="宋体" w:hAnsi="宋体"/>
          <w:color w:val="auto"/>
          <w:szCs w:val="21"/>
        </w:rPr>
      </w:pPr>
      <w:r>
        <w:rPr>
          <w:rFonts w:hint="eastAsia" w:ascii="宋体" w:hAnsi="宋体"/>
          <w:color w:val="auto"/>
          <w:szCs w:val="21"/>
        </w:rPr>
        <w:t xml:space="preserve">21.2.2 </w:t>
      </w:r>
      <w:r>
        <w:rPr>
          <w:rFonts w:ascii="宋体" w:hAnsi="宋体"/>
          <w:color w:val="auto"/>
          <w:szCs w:val="21"/>
        </w:rPr>
        <w:t>由</w:t>
      </w:r>
      <w:r>
        <w:rPr>
          <w:rFonts w:hint="eastAsia" w:ascii="宋体" w:hAnsi="宋体"/>
          <w:color w:val="auto"/>
          <w:szCs w:val="21"/>
        </w:rPr>
        <w:t>授权</w:t>
      </w:r>
      <w:r>
        <w:rPr>
          <w:rFonts w:ascii="宋体" w:hAnsi="宋体"/>
          <w:color w:val="auto"/>
          <w:szCs w:val="21"/>
        </w:rPr>
        <w:t>委托代理人签字，但未随</w:t>
      </w:r>
      <w:r>
        <w:rPr>
          <w:rFonts w:hint="eastAsia" w:ascii="宋体" w:hAnsi="宋体"/>
          <w:color w:val="auto"/>
          <w:szCs w:val="21"/>
        </w:rPr>
        <w:t>响应文件</w:t>
      </w:r>
      <w:r>
        <w:rPr>
          <w:rFonts w:ascii="宋体" w:hAnsi="宋体"/>
          <w:color w:val="auto"/>
          <w:szCs w:val="21"/>
        </w:rPr>
        <w:t>一起提交有效的“授权委托书”原件的</w:t>
      </w:r>
      <w:r>
        <w:rPr>
          <w:rFonts w:hint="eastAsia" w:ascii="宋体" w:hAnsi="宋体"/>
          <w:color w:val="auto"/>
          <w:szCs w:val="21"/>
        </w:rPr>
        <w:t>，或者出具的身份证明与授权委托书中的信息不符</w:t>
      </w:r>
      <w:r>
        <w:rPr>
          <w:rFonts w:ascii="宋体" w:hAnsi="宋体"/>
          <w:color w:val="auto"/>
          <w:szCs w:val="21"/>
        </w:rPr>
        <w:t>；</w:t>
      </w:r>
    </w:p>
    <w:p w14:paraId="18F32D27">
      <w:pPr>
        <w:spacing w:line="460" w:lineRule="exact"/>
        <w:rPr>
          <w:rFonts w:ascii="宋体" w:hAnsi="宋体"/>
          <w:color w:val="auto"/>
          <w:szCs w:val="21"/>
        </w:rPr>
      </w:pPr>
      <w:r>
        <w:rPr>
          <w:rFonts w:hint="eastAsia" w:ascii="宋体" w:hAnsi="宋体"/>
          <w:color w:val="auto"/>
          <w:szCs w:val="21"/>
        </w:rPr>
        <w:t xml:space="preserve">  21.2.3响应文件的实质性内容未使用中文表述、使用计量单位不符合磋商文件要求；或未采用人民币报价或者未按照磋商文件标明的币种报价。</w:t>
      </w:r>
    </w:p>
    <w:p w14:paraId="0B5422D3">
      <w:pPr>
        <w:spacing w:line="460" w:lineRule="exact"/>
        <w:ind w:firstLine="420" w:firstLineChars="200"/>
        <w:rPr>
          <w:rFonts w:ascii="宋体" w:hAnsi="宋体"/>
          <w:color w:val="auto"/>
          <w:szCs w:val="21"/>
        </w:rPr>
      </w:pPr>
      <w:r>
        <w:rPr>
          <w:rFonts w:hint="eastAsia" w:ascii="宋体" w:hAnsi="宋体"/>
          <w:color w:val="auto"/>
          <w:szCs w:val="21"/>
        </w:rPr>
        <w:t>21.2.4供应商磋商报价高于本工程的采购上限控制价的；或者被磋商小组视为“低于成本”或者“明显不合理并有可能影响服务质量或不能诚信履约”的；</w:t>
      </w:r>
    </w:p>
    <w:p w14:paraId="7EA764A8">
      <w:pPr>
        <w:spacing w:line="460" w:lineRule="exact"/>
        <w:ind w:firstLine="420" w:firstLineChars="200"/>
        <w:rPr>
          <w:rFonts w:ascii="宋体" w:hAnsi="宋体"/>
          <w:color w:val="auto"/>
          <w:szCs w:val="21"/>
        </w:rPr>
      </w:pPr>
      <w:r>
        <w:rPr>
          <w:rFonts w:hint="eastAsia" w:ascii="宋体" w:hAnsi="宋体"/>
          <w:color w:val="auto"/>
          <w:szCs w:val="21"/>
        </w:rPr>
        <w:t>21.2.5供应商未按照采购人提供的工程量清单格式编制，或修改了工程清单中的细目号、细目名称、单位、数量的；</w:t>
      </w:r>
    </w:p>
    <w:p w14:paraId="7BECCF7C">
      <w:pPr>
        <w:spacing w:line="460" w:lineRule="exact"/>
        <w:ind w:firstLine="420" w:firstLineChars="200"/>
        <w:rPr>
          <w:rFonts w:ascii="宋体" w:hAnsi="宋体"/>
          <w:color w:val="auto"/>
          <w:szCs w:val="21"/>
        </w:rPr>
      </w:pPr>
      <w:r>
        <w:rPr>
          <w:rFonts w:hint="eastAsia" w:ascii="宋体" w:hAnsi="宋体"/>
          <w:color w:val="auto"/>
          <w:szCs w:val="21"/>
        </w:rPr>
        <w:t>21.2.6修正后的报价，供应商不确认的；</w:t>
      </w:r>
    </w:p>
    <w:p w14:paraId="5B1DCCE6">
      <w:pPr>
        <w:spacing w:line="460" w:lineRule="exact"/>
        <w:ind w:firstLine="436"/>
        <w:rPr>
          <w:rFonts w:ascii="宋体" w:hAnsi="宋体"/>
          <w:color w:val="auto"/>
          <w:szCs w:val="21"/>
        </w:rPr>
      </w:pPr>
      <w:r>
        <w:rPr>
          <w:rFonts w:ascii="宋体" w:hAnsi="宋体"/>
          <w:color w:val="auto"/>
          <w:szCs w:val="21"/>
        </w:rPr>
        <w:t>21.2.</w:t>
      </w:r>
      <w:r>
        <w:rPr>
          <w:rFonts w:hint="eastAsia" w:ascii="宋体" w:hAnsi="宋体"/>
          <w:color w:val="auto"/>
          <w:szCs w:val="21"/>
        </w:rPr>
        <w:t>7响应文件</w:t>
      </w:r>
      <w:r>
        <w:rPr>
          <w:rFonts w:ascii="宋体" w:hAnsi="宋体"/>
          <w:color w:val="auto"/>
          <w:szCs w:val="21"/>
        </w:rPr>
        <w:t>内容</w:t>
      </w:r>
      <w:r>
        <w:rPr>
          <w:rFonts w:hint="eastAsia" w:ascii="宋体" w:hAnsi="宋体"/>
          <w:color w:val="auto"/>
          <w:szCs w:val="21"/>
        </w:rPr>
        <w:t>虚假的，或</w:t>
      </w:r>
      <w:r>
        <w:rPr>
          <w:rFonts w:ascii="宋体" w:hAnsi="宋体"/>
          <w:color w:val="auto"/>
          <w:szCs w:val="21"/>
        </w:rPr>
        <w:t>关键内容字迹模糊、</w:t>
      </w:r>
      <w:r>
        <w:rPr>
          <w:rFonts w:hint="eastAsia" w:ascii="宋体" w:hAnsi="宋体"/>
          <w:color w:val="auto"/>
          <w:szCs w:val="21"/>
        </w:rPr>
        <w:t>辨认</w:t>
      </w:r>
      <w:r>
        <w:rPr>
          <w:rFonts w:ascii="宋体" w:hAnsi="宋体"/>
          <w:color w:val="auto"/>
          <w:szCs w:val="21"/>
        </w:rPr>
        <w:t>不清</w:t>
      </w:r>
      <w:r>
        <w:rPr>
          <w:rFonts w:hint="eastAsia" w:ascii="宋体" w:hAnsi="宋体"/>
          <w:color w:val="auto"/>
          <w:szCs w:val="21"/>
        </w:rPr>
        <w:t>的</w:t>
      </w:r>
      <w:r>
        <w:rPr>
          <w:rFonts w:ascii="宋体" w:hAnsi="宋体"/>
          <w:color w:val="auto"/>
          <w:szCs w:val="21"/>
        </w:rPr>
        <w:t>；</w:t>
      </w:r>
    </w:p>
    <w:p w14:paraId="38C4C107">
      <w:pPr>
        <w:spacing w:line="460" w:lineRule="exact"/>
        <w:ind w:firstLine="420" w:firstLineChars="200"/>
        <w:rPr>
          <w:rFonts w:ascii="宋体" w:hAnsi="宋体"/>
          <w:color w:val="auto"/>
          <w:szCs w:val="21"/>
        </w:rPr>
      </w:pPr>
      <w:r>
        <w:rPr>
          <w:rFonts w:ascii="宋体" w:hAnsi="宋体"/>
          <w:color w:val="auto"/>
          <w:szCs w:val="21"/>
        </w:rPr>
        <w:t>21.2.</w:t>
      </w:r>
      <w:r>
        <w:rPr>
          <w:rFonts w:hint="eastAsia" w:ascii="宋体" w:hAnsi="宋体"/>
          <w:color w:val="auto"/>
          <w:szCs w:val="21"/>
        </w:rPr>
        <w:t>8响应文件</w:t>
      </w:r>
      <w:r>
        <w:rPr>
          <w:rFonts w:ascii="宋体" w:hAnsi="宋体"/>
          <w:color w:val="auto"/>
          <w:szCs w:val="21"/>
        </w:rPr>
        <w:t>实质上没有响应磋商文件的</w:t>
      </w:r>
      <w:r>
        <w:rPr>
          <w:rFonts w:hint="eastAsia" w:ascii="宋体" w:hAnsi="宋体"/>
          <w:color w:val="auto"/>
          <w:szCs w:val="21"/>
        </w:rPr>
        <w:t>其它</w:t>
      </w:r>
      <w:r>
        <w:rPr>
          <w:rFonts w:ascii="宋体" w:hAnsi="宋体"/>
          <w:color w:val="auto"/>
          <w:szCs w:val="21"/>
        </w:rPr>
        <w:t>要求</w:t>
      </w:r>
      <w:r>
        <w:rPr>
          <w:rFonts w:hint="eastAsia" w:ascii="宋体" w:hAnsi="宋体"/>
          <w:color w:val="auto"/>
          <w:szCs w:val="21"/>
        </w:rPr>
        <w:t>的</w:t>
      </w:r>
      <w:r>
        <w:rPr>
          <w:rFonts w:ascii="宋体" w:hAnsi="宋体"/>
          <w:color w:val="auto"/>
          <w:szCs w:val="21"/>
        </w:rPr>
        <w:t>；</w:t>
      </w:r>
    </w:p>
    <w:p w14:paraId="7BDAA0CE">
      <w:pPr>
        <w:spacing w:line="460" w:lineRule="exact"/>
        <w:ind w:firstLine="420" w:firstLineChars="200"/>
        <w:rPr>
          <w:rFonts w:ascii="宋体" w:hAnsi="宋体"/>
          <w:color w:val="auto"/>
          <w:szCs w:val="21"/>
        </w:rPr>
      </w:pPr>
      <w:r>
        <w:rPr>
          <w:rFonts w:hint="eastAsia" w:ascii="宋体" w:hAnsi="宋体"/>
          <w:color w:val="auto"/>
          <w:szCs w:val="21"/>
        </w:rPr>
        <w:t>21.2.9供应商采用总价优惠、总价百分比优惠或以报价调整函的方式进行磋商报价的；</w:t>
      </w:r>
    </w:p>
    <w:p w14:paraId="722155A5">
      <w:pPr>
        <w:spacing w:line="460" w:lineRule="exact"/>
        <w:ind w:firstLine="420"/>
        <w:rPr>
          <w:rFonts w:ascii="宋体" w:hAnsi="宋体"/>
          <w:color w:val="auto"/>
          <w:szCs w:val="21"/>
        </w:rPr>
      </w:pPr>
      <w:r>
        <w:rPr>
          <w:rFonts w:hint="eastAsia" w:ascii="宋体" w:hAnsi="宋体"/>
          <w:color w:val="auto"/>
          <w:szCs w:val="21"/>
        </w:rPr>
        <w:t>21.2.10供应商不具备独立法人资格或作为独立法人资格但就本工程提交一个以上的响应文件的；</w:t>
      </w:r>
    </w:p>
    <w:p w14:paraId="5A7E1C4B">
      <w:pPr>
        <w:adjustRightInd w:val="0"/>
        <w:snapToGrid w:val="0"/>
        <w:spacing w:line="460" w:lineRule="exact"/>
        <w:ind w:firstLine="411" w:firstLineChars="196"/>
        <w:rPr>
          <w:rFonts w:ascii="宋体" w:hAnsi="宋体"/>
          <w:color w:val="auto"/>
          <w:szCs w:val="21"/>
        </w:rPr>
      </w:pPr>
      <w:r>
        <w:rPr>
          <w:rFonts w:hint="eastAsia" w:ascii="宋体" w:hAnsi="宋体"/>
          <w:color w:val="auto"/>
          <w:szCs w:val="21"/>
        </w:rPr>
        <w:t>21.2.11有下列情形之一的视为供应商相互串通磋商，响应文件将被视为无效:</w:t>
      </w:r>
    </w:p>
    <w:p w14:paraId="401E2759">
      <w:pPr>
        <w:adjustRightInd w:val="0"/>
        <w:snapToGrid w:val="0"/>
        <w:spacing w:line="460" w:lineRule="exact"/>
        <w:ind w:firstLine="411" w:firstLineChars="196"/>
        <w:rPr>
          <w:rFonts w:ascii="宋体" w:hAnsi="宋体"/>
          <w:color w:val="auto"/>
          <w:szCs w:val="21"/>
        </w:rPr>
      </w:pPr>
      <w:r>
        <w:rPr>
          <w:rFonts w:hint="eastAsia" w:ascii="宋体" w:hAnsi="宋体"/>
          <w:color w:val="auto"/>
          <w:szCs w:val="21"/>
        </w:rPr>
        <w:t>（1）不同供应商的响应文件由同一单位或者个人编制；或不同供应商编制文件的IP地址一致的；</w:t>
      </w:r>
    </w:p>
    <w:p w14:paraId="017E3273">
      <w:pPr>
        <w:adjustRightInd w:val="0"/>
        <w:snapToGrid w:val="0"/>
        <w:spacing w:line="460" w:lineRule="exact"/>
        <w:ind w:firstLine="411" w:firstLineChars="196"/>
        <w:rPr>
          <w:rFonts w:ascii="宋体" w:hAnsi="宋体"/>
          <w:color w:val="auto"/>
          <w:szCs w:val="21"/>
        </w:rPr>
      </w:pPr>
      <w:r>
        <w:rPr>
          <w:rFonts w:hint="eastAsia" w:ascii="宋体" w:hAnsi="宋体"/>
          <w:color w:val="auto"/>
          <w:szCs w:val="21"/>
        </w:rPr>
        <w:t>（2）不同供应商委托同一单位或者个人办理磋商事宜；</w:t>
      </w:r>
    </w:p>
    <w:p w14:paraId="0BFDD96B">
      <w:pPr>
        <w:adjustRightInd w:val="0"/>
        <w:snapToGrid w:val="0"/>
        <w:spacing w:line="460" w:lineRule="exact"/>
        <w:ind w:firstLine="411" w:firstLineChars="196"/>
        <w:rPr>
          <w:rFonts w:ascii="宋体" w:hAnsi="宋体"/>
          <w:color w:val="auto"/>
          <w:szCs w:val="21"/>
        </w:rPr>
      </w:pPr>
      <w:r>
        <w:rPr>
          <w:rFonts w:hint="eastAsia" w:ascii="宋体" w:hAnsi="宋体"/>
          <w:color w:val="auto"/>
          <w:szCs w:val="21"/>
        </w:rPr>
        <w:t>（3）不同供应商的响应文件载明的项目管理成员或者联系人员为同一人；</w:t>
      </w:r>
    </w:p>
    <w:p w14:paraId="28446EC9">
      <w:pPr>
        <w:adjustRightInd w:val="0"/>
        <w:snapToGrid w:val="0"/>
        <w:spacing w:line="460" w:lineRule="exact"/>
        <w:ind w:firstLine="411" w:firstLineChars="196"/>
        <w:rPr>
          <w:rFonts w:ascii="宋体" w:hAnsi="宋体"/>
          <w:color w:val="auto"/>
          <w:szCs w:val="21"/>
        </w:rPr>
      </w:pPr>
      <w:r>
        <w:rPr>
          <w:rFonts w:hint="eastAsia" w:ascii="宋体" w:hAnsi="宋体"/>
          <w:color w:val="auto"/>
          <w:szCs w:val="21"/>
        </w:rPr>
        <w:t>（4）不同供应商的响应文件异常一致或磋商报价呈规律性差异；</w:t>
      </w:r>
    </w:p>
    <w:p w14:paraId="6085A26F">
      <w:pPr>
        <w:adjustRightInd w:val="0"/>
        <w:snapToGrid w:val="0"/>
        <w:spacing w:line="460" w:lineRule="exact"/>
        <w:ind w:firstLine="411" w:firstLineChars="196"/>
        <w:rPr>
          <w:rFonts w:ascii="宋体" w:hAnsi="宋体"/>
          <w:color w:val="auto"/>
          <w:szCs w:val="21"/>
        </w:rPr>
      </w:pPr>
      <w:r>
        <w:rPr>
          <w:rFonts w:hint="eastAsia" w:ascii="宋体" w:hAnsi="宋体"/>
          <w:color w:val="auto"/>
          <w:szCs w:val="21"/>
        </w:rPr>
        <w:t>（5）不同供应商的响应文件资料相互混装；</w:t>
      </w:r>
    </w:p>
    <w:p w14:paraId="6A355713">
      <w:pPr>
        <w:adjustRightInd w:val="0"/>
        <w:snapToGrid w:val="0"/>
        <w:spacing w:line="460" w:lineRule="exact"/>
        <w:ind w:firstLine="411" w:firstLineChars="196"/>
        <w:rPr>
          <w:rFonts w:ascii="宋体" w:hAnsi="宋体"/>
          <w:color w:val="auto"/>
          <w:szCs w:val="21"/>
        </w:rPr>
      </w:pPr>
      <w:r>
        <w:rPr>
          <w:rFonts w:hint="eastAsia" w:ascii="宋体" w:hAnsi="宋体"/>
          <w:color w:val="auto"/>
          <w:szCs w:val="21"/>
        </w:rPr>
        <w:t>（6）不同供应商的磋商保证金从同一个单位或者个人账户转出。</w:t>
      </w:r>
    </w:p>
    <w:p w14:paraId="5C3ED82F">
      <w:pPr>
        <w:adjustRightInd w:val="0"/>
        <w:snapToGrid w:val="0"/>
        <w:spacing w:line="460" w:lineRule="exact"/>
        <w:ind w:firstLine="411" w:firstLineChars="196"/>
        <w:rPr>
          <w:rFonts w:ascii="宋体" w:hAnsi="宋体"/>
          <w:color w:val="auto"/>
          <w:szCs w:val="21"/>
        </w:rPr>
      </w:pPr>
      <w:r>
        <w:rPr>
          <w:rFonts w:hint="eastAsia" w:ascii="宋体" w:hAnsi="宋体"/>
          <w:color w:val="auto"/>
          <w:szCs w:val="21"/>
        </w:rPr>
        <w:t>21.2.12单位负责人为同一人或者存在直接控股、管理关系的不同供应商，参加同一合同项下的政府采购活动；</w:t>
      </w:r>
    </w:p>
    <w:p w14:paraId="18574D94">
      <w:pPr>
        <w:adjustRightInd w:val="0"/>
        <w:snapToGrid w:val="0"/>
        <w:spacing w:line="460" w:lineRule="exact"/>
        <w:ind w:firstLine="413" w:firstLineChars="196"/>
        <w:rPr>
          <w:rFonts w:ascii="宋体" w:hAnsi="宋体"/>
          <w:b/>
          <w:color w:val="auto"/>
          <w:szCs w:val="21"/>
        </w:rPr>
      </w:pPr>
      <w:r>
        <w:rPr>
          <w:rFonts w:hint="eastAsia" w:ascii="宋体" w:hAnsi="宋体"/>
          <w:b/>
          <w:color w:val="auto"/>
          <w:szCs w:val="21"/>
        </w:rPr>
        <w:t>21.2.13其他响应无效的情形：</w:t>
      </w:r>
    </w:p>
    <w:p w14:paraId="2B34D1EA">
      <w:pPr>
        <w:adjustRightInd w:val="0"/>
        <w:snapToGrid w:val="0"/>
        <w:spacing w:line="460" w:lineRule="exact"/>
        <w:ind w:firstLine="413" w:firstLineChars="196"/>
        <w:rPr>
          <w:rFonts w:ascii="宋体" w:hAnsi="宋体"/>
          <w:b/>
          <w:color w:val="auto"/>
          <w:szCs w:val="21"/>
        </w:rPr>
      </w:pPr>
      <w:r>
        <w:rPr>
          <w:rFonts w:hint="eastAsia" w:ascii="宋体" w:hAnsi="宋体"/>
          <w:b/>
          <w:color w:val="auto"/>
          <w:szCs w:val="21"/>
        </w:rPr>
        <w:t>（1）响应</w:t>
      </w:r>
      <w:r>
        <w:rPr>
          <w:rFonts w:ascii="宋体" w:hAnsi="宋体"/>
          <w:b/>
          <w:color w:val="auto"/>
          <w:szCs w:val="21"/>
        </w:rPr>
        <w:t>文件未按</w:t>
      </w:r>
      <w:r>
        <w:rPr>
          <w:rFonts w:hint="eastAsia" w:ascii="宋体" w:hAnsi="宋体"/>
          <w:b/>
          <w:color w:val="auto"/>
          <w:szCs w:val="21"/>
        </w:rPr>
        <w:t>磋商</w:t>
      </w:r>
      <w:r>
        <w:rPr>
          <w:rFonts w:ascii="宋体" w:hAnsi="宋体"/>
          <w:b/>
          <w:color w:val="auto"/>
          <w:szCs w:val="21"/>
        </w:rPr>
        <w:t>文件要求签署</w:t>
      </w:r>
      <w:r>
        <w:rPr>
          <w:rFonts w:hint="eastAsia" w:ascii="宋体" w:hAnsi="宋体"/>
          <w:b/>
          <w:color w:val="auto"/>
          <w:szCs w:val="21"/>
        </w:rPr>
        <w:t>或</w:t>
      </w:r>
      <w:r>
        <w:rPr>
          <w:rFonts w:ascii="宋体" w:hAnsi="宋体"/>
          <w:b/>
          <w:color w:val="auto"/>
          <w:szCs w:val="21"/>
        </w:rPr>
        <w:t>CA电子签章的；</w:t>
      </w:r>
    </w:p>
    <w:p w14:paraId="468CE293">
      <w:pPr>
        <w:adjustRightInd w:val="0"/>
        <w:snapToGrid w:val="0"/>
        <w:spacing w:line="460" w:lineRule="exact"/>
        <w:ind w:firstLine="413" w:firstLineChars="196"/>
        <w:rPr>
          <w:rFonts w:ascii="宋体" w:hAnsi="宋体"/>
          <w:b/>
          <w:color w:val="auto"/>
          <w:szCs w:val="21"/>
        </w:rPr>
      </w:pPr>
      <w:r>
        <w:rPr>
          <w:rFonts w:hint="eastAsia" w:ascii="宋体" w:hAnsi="宋体"/>
          <w:b/>
          <w:color w:val="auto"/>
          <w:szCs w:val="21"/>
        </w:rPr>
        <w:t>（2）供应商</w:t>
      </w:r>
      <w:r>
        <w:rPr>
          <w:rFonts w:ascii="宋体" w:hAnsi="宋体"/>
          <w:b/>
          <w:color w:val="auto"/>
          <w:szCs w:val="21"/>
        </w:rPr>
        <w:t>提交两份或两份以上内容不同的</w:t>
      </w:r>
      <w:r>
        <w:rPr>
          <w:rFonts w:hint="eastAsia" w:ascii="宋体" w:hAnsi="宋体"/>
          <w:b/>
          <w:color w:val="auto"/>
          <w:szCs w:val="21"/>
        </w:rPr>
        <w:t>响应</w:t>
      </w:r>
      <w:r>
        <w:rPr>
          <w:rFonts w:ascii="宋体" w:hAnsi="宋体"/>
          <w:b/>
          <w:color w:val="auto"/>
          <w:szCs w:val="21"/>
        </w:rPr>
        <w:t>文件；</w:t>
      </w:r>
    </w:p>
    <w:p w14:paraId="4AB0AB03">
      <w:pPr>
        <w:adjustRightInd w:val="0"/>
        <w:snapToGrid w:val="0"/>
        <w:spacing w:line="460" w:lineRule="exact"/>
        <w:ind w:firstLine="413" w:firstLineChars="196"/>
        <w:rPr>
          <w:rFonts w:ascii="宋体" w:hAnsi="宋体"/>
          <w:b/>
          <w:color w:val="auto"/>
          <w:szCs w:val="21"/>
        </w:rPr>
      </w:pPr>
      <w:r>
        <w:rPr>
          <w:rFonts w:hint="eastAsia" w:ascii="宋体" w:hAnsi="宋体"/>
          <w:b/>
          <w:color w:val="auto"/>
          <w:szCs w:val="21"/>
        </w:rPr>
        <w:t>（3）供应商</w:t>
      </w:r>
      <w:r>
        <w:rPr>
          <w:rFonts w:ascii="宋体" w:hAnsi="宋体"/>
          <w:b/>
          <w:color w:val="auto"/>
          <w:szCs w:val="21"/>
        </w:rPr>
        <w:t>在线制作</w:t>
      </w:r>
      <w:r>
        <w:rPr>
          <w:rFonts w:hint="eastAsia" w:ascii="宋体" w:hAnsi="宋体"/>
          <w:b/>
          <w:color w:val="auto"/>
          <w:szCs w:val="21"/>
        </w:rPr>
        <w:t>响应</w:t>
      </w:r>
      <w:r>
        <w:rPr>
          <w:rFonts w:ascii="宋体" w:hAnsi="宋体"/>
          <w:b/>
          <w:color w:val="auto"/>
          <w:szCs w:val="21"/>
        </w:rPr>
        <w:t>文件时</w:t>
      </w:r>
      <w:r>
        <w:rPr>
          <w:rFonts w:hint="eastAsia" w:ascii="宋体" w:hAnsi="宋体"/>
          <w:b/>
          <w:color w:val="auto"/>
          <w:szCs w:val="21"/>
        </w:rPr>
        <w:t>填写的报价金额</w:t>
      </w:r>
      <w:r>
        <w:rPr>
          <w:rFonts w:ascii="宋体" w:hAnsi="宋体"/>
          <w:b/>
          <w:color w:val="auto"/>
          <w:szCs w:val="21"/>
        </w:rPr>
        <w:t>与解密后“电子加密投标文件”中《</w:t>
      </w:r>
      <w:r>
        <w:rPr>
          <w:rFonts w:hint="eastAsia" w:ascii="宋体" w:hAnsi="宋体"/>
          <w:b/>
          <w:color w:val="auto"/>
          <w:szCs w:val="21"/>
        </w:rPr>
        <w:t>磋商函</w:t>
      </w:r>
      <w:r>
        <w:rPr>
          <w:rFonts w:ascii="宋体" w:hAnsi="宋体"/>
          <w:b/>
          <w:color w:val="auto"/>
          <w:szCs w:val="21"/>
        </w:rPr>
        <w:t>》填写的金额不一致并拒绝按</w:t>
      </w:r>
      <w:r>
        <w:rPr>
          <w:rFonts w:hint="eastAsia" w:ascii="宋体" w:hAnsi="宋体"/>
          <w:b/>
          <w:color w:val="auto"/>
          <w:szCs w:val="21"/>
        </w:rPr>
        <w:t>磋商</w:t>
      </w:r>
      <w:r>
        <w:rPr>
          <w:rFonts w:ascii="宋体" w:hAnsi="宋体"/>
          <w:b/>
          <w:color w:val="auto"/>
          <w:szCs w:val="21"/>
        </w:rPr>
        <w:t>文件要求接受调整的；</w:t>
      </w:r>
    </w:p>
    <w:p w14:paraId="557AE101">
      <w:pPr>
        <w:adjustRightInd w:val="0"/>
        <w:snapToGrid w:val="0"/>
        <w:spacing w:line="460" w:lineRule="exact"/>
        <w:ind w:firstLine="413" w:firstLineChars="196"/>
        <w:rPr>
          <w:rFonts w:ascii="宋体" w:hAnsi="宋体"/>
          <w:b/>
          <w:color w:val="auto"/>
          <w:szCs w:val="21"/>
        </w:rPr>
      </w:pPr>
      <w:r>
        <w:rPr>
          <w:rFonts w:hint="eastAsia" w:ascii="宋体" w:hAnsi="宋体"/>
          <w:b/>
          <w:color w:val="auto"/>
          <w:szCs w:val="21"/>
        </w:rPr>
        <w:t>（4）</w:t>
      </w:r>
      <w:r>
        <w:rPr>
          <w:rFonts w:ascii="宋体" w:hAnsi="宋体"/>
          <w:b/>
          <w:color w:val="auto"/>
          <w:szCs w:val="21"/>
        </w:rPr>
        <w:t>法律、法规和</w:t>
      </w:r>
      <w:r>
        <w:rPr>
          <w:rFonts w:hint="eastAsia" w:ascii="宋体" w:hAnsi="宋体"/>
          <w:b/>
          <w:color w:val="auto"/>
          <w:szCs w:val="21"/>
        </w:rPr>
        <w:t>磋商</w:t>
      </w:r>
      <w:r>
        <w:rPr>
          <w:rFonts w:ascii="宋体" w:hAnsi="宋体"/>
          <w:b/>
          <w:color w:val="auto"/>
          <w:szCs w:val="21"/>
        </w:rPr>
        <w:t>文件规定的其他无效情形（或出现重大偏差）。</w:t>
      </w:r>
    </w:p>
    <w:p w14:paraId="16C898E5">
      <w:pPr>
        <w:spacing w:line="460" w:lineRule="exact"/>
        <w:ind w:firstLine="420" w:firstLineChars="200"/>
        <w:rPr>
          <w:rFonts w:ascii="宋体" w:hAnsi="宋体" w:cs="宋体"/>
          <w:color w:val="auto"/>
          <w:szCs w:val="21"/>
        </w:rPr>
      </w:pPr>
      <w:r>
        <w:rPr>
          <w:rFonts w:hint="eastAsia" w:ascii="宋体" w:hAnsi="宋体" w:cs="宋体"/>
          <w:color w:val="auto"/>
          <w:szCs w:val="21"/>
        </w:rPr>
        <w:t>21.3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7C86EE9F">
      <w:pPr>
        <w:spacing w:line="460" w:lineRule="exact"/>
        <w:ind w:firstLine="420" w:firstLineChars="200"/>
        <w:rPr>
          <w:rFonts w:ascii="宋体" w:hAnsi="宋体"/>
          <w:color w:val="auto"/>
          <w:szCs w:val="21"/>
        </w:rPr>
      </w:pPr>
      <w:r>
        <w:rPr>
          <w:rFonts w:hint="eastAsia" w:ascii="宋体" w:hAnsi="宋体" w:cs="宋体"/>
          <w:color w:val="auto"/>
          <w:szCs w:val="21"/>
        </w:rPr>
        <w:t>21.4</w:t>
      </w:r>
      <w:r>
        <w:rPr>
          <w:rFonts w:hint="eastAsia" w:ascii="宋体" w:hAnsi="宋体"/>
          <w:color w:val="auto"/>
          <w:szCs w:val="21"/>
        </w:rPr>
        <w:t>通过符合性审查的合格供应商不足3家的，不得进入磋商环节，采购人或者采购代理机构应当重新开展采购活动。</w:t>
      </w:r>
    </w:p>
    <w:p w14:paraId="2D0B91B1">
      <w:pPr>
        <w:bidi w:val="0"/>
        <w:rPr>
          <w:color w:val="auto"/>
        </w:rPr>
      </w:pPr>
      <w:bookmarkStart w:id="97" w:name="_Toc18682823"/>
      <w:bookmarkStart w:id="98" w:name="_Toc80818634"/>
      <w:bookmarkStart w:id="99" w:name="_Toc346264287"/>
      <w:bookmarkStart w:id="100" w:name="_Toc239659115"/>
      <w:r>
        <w:rPr>
          <w:rFonts w:hint="eastAsia"/>
          <w:color w:val="auto"/>
        </w:rPr>
        <w:t>22.磋商与评标</w:t>
      </w:r>
      <w:bookmarkEnd w:id="97"/>
      <w:bookmarkEnd w:id="98"/>
    </w:p>
    <w:p w14:paraId="1A957363">
      <w:pPr>
        <w:spacing w:line="460" w:lineRule="exact"/>
        <w:ind w:firstLine="420" w:firstLineChars="200"/>
        <w:rPr>
          <w:rFonts w:ascii="宋体" w:hAnsi="宋体"/>
          <w:color w:val="auto"/>
          <w:szCs w:val="21"/>
        </w:rPr>
      </w:pPr>
      <w:r>
        <w:rPr>
          <w:rFonts w:hint="eastAsia" w:ascii="宋体" w:hAnsi="宋体"/>
          <w:color w:val="auto"/>
          <w:szCs w:val="21"/>
        </w:rPr>
        <w:t>22.1磋商</w:t>
      </w:r>
    </w:p>
    <w:p w14:paraId="5BEC562F">
      <w:pPr>
        <w:spacing w:line="460" w:lineRule="exact"/>
        <w:ind w:firstLine="420" w:firstLineChars="200"/>
        <w:rPr>
          <w:rFonts w:ascii="宋体" w:hAnsi="宋体"/>
          <w:color w:val="auto"/>
          <w:szCs w:val="21"/>
        </w:rPr>
      </w:pPr>
      <w:r>
        <w:rPr>
          <w:rFonts w:hint="eastAsia" w:ascii="宋体" w:hAnsi="宋体"/>
          <w:color w:val="auto"/>
          <w:szCs w:val="21"/>
        </w:rPr>
        <w:t>22.1.1截标后为与供应商磋商的时间，具体时间由采购代理机构另行通知。</w:t>
      </w:r>
    </w:p>
    <w:p w14:paraId="4ED1E905">
      <w:pPr>
        <w:spacing w:line="460" w:lineRule="exact"/>
        <w:ind w:firstLine="420" w:firstLineChars="200"/>
        <w:rPr>
          <w:rFonts w:ascii="宋体" w:hAnsi="宋体"/>
          <w:color w:val="auto"/>
          <w:szCs w:val="21"/>
        </w:rPr>
      </w:pPr>
      <w:r>
        <w:rPr>
          <w:rFonts w:hint="eastAsia" w:ascii="宋体" w:hAnsi="宋体"/>
          <w:color w:val="auto"/>
          <w:szCs w:val="21"/>
        </w:rPr>
        <w:t>22.1.2</w:t>
      </w:r>
      <w:r>
        <w:rPr>
          <w:rFonts w:ascii="宋体" w:hAnsi="宋体"/>
          <w:color w:val="auto"/>
          <w:szCs w:val="21"/>
        </w:rPr>
        <w:t xml:space="preserve"> 磋商小组共3人以上单数依法组成，其中评审专家人数不得少于磋商小组成员总数的2/3</w:t>
      </w:r>
      <w:r>
        <w:rPr>
          <w:rFonts w:hint="eastAsia" w:ascii="宋体" w:hAnsi="宋体"/>
          <w:color w:val="auto"/>
          <w:szCs w:val="21"/>
        </w:rPr>
        <w:t>。在整个磋商过程中，磋商小组将负责对全部响应文件进行审查、磋商及评</w:t>
      </w:r>
      <w:r>
        <w:rPr>
          <w:rFonts w:ascii="宋体" w:hAnsi="宋体"/>
          <w:color w:val="auto"/>
          <w:szCs w:val="21"/>
        </w:rPr>
        <w:t>审</w:t>
      </w:r>
      <w:r>
        <w:rPr>
          <w:rFonts w:hint="eastAsia" w:ascii="宋体" w:hAnsi="宋体"/>
          <w:color w:val="auto"/>
          <w:szCs w:val="21"/>
        </w:rPr>
        <w:t>工作。</w:t>
      </w:r>
    </w:p>
    <w:p w14:paraId="5C17C477">
      <w:pPr>
        <w:spacing w:line="460" w:lineRule="exact"/>
        <w:ind w:firstLine="420" w:firstLineChars="200"/>
        <w:rPr>
          <w:rFonts w:ascii="宋体" w:hAnsi="宋体"/>
          <w:color w:val="auto"/>
          <w:szCs w:val="21"/>
        </w:rPr>
      </w:pPr>
      <w:r>
        <w:rPr>
          <w:rFonts w:hint="eastAsia" w:ascii="宋体" w:hAnsi="宋体"/>
          <w:color w:val="auto"/>
          <w:szCs w:val="21"/>
        </w:rPr>
        <w:t>22.1.3采购代理机构将在本须知规定组织磋商小组与各供应商分别进行磋商。供应商可由1～3人组成参谈组，磋商中供应商成员之间意见不一致时，以供应商的法定代表人（或其委托代理人）的意见为准。</w:t>
      </w:r>
    </w:p>
    <w:p w14:paraId="56B64F45">
      <w:pPr>
        <w:spacing w:line="460" w:lineRule="exact"/>
        <w:ind w:firstLine="420" w:firstLineChars="200"/>
        <w:rPr>
          <w:rFonts w:ascii="宋体" w:hAnsi="宋体"/>
          <w:color w:val="auto"/>
          <w:szCs w:val="21"/>
        </w:rPr>
      </w:pPr>
      <w:r>
        <w:rPr>
          <w:rFonts w:hint="eastAsia" w:ascii="宋体" w:hAnsi="宋体"/>
          <w:color w:val="auto"/>
          <w:szCs w:val="21"/>
        </w:rPr>
        <w:t>22.1.4</w:t>
      </w:r>
      <w:r>
        <w:rPr>
          <w:rFonts w:ascii="宋体" w:hAnsi="宋体"/>
          <w:color w:val="auto"/>
          <w:szCs w:val="21"/>
        </w:rPr>
        <w:t>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0AD952D7">
      <w:pPr>
        <w:spacing w:line="460" w:lineRule="exact"/>
        <w:ind w:firstLine="420" w:firstLineChars="200"/>
        <w:rPr>
          <w:rFonts w:ascii="宋体" w:hAnsi="宋体"/>
          <w:color w:val="auto"/>
          <w:szCs w:val="21"/>
        </w:rPr>
      </w:pPr>
      <w:r>
        <w:rPr>
          <w:rFonts w:hint="eastAsia" w:ascii="宋体" w:hAnsi="宋体"/>
          <w:color w:val="auto"/>
          <w:szCs w:val="21"/>
        </w:rPr>
        <w:t>22.1.5由</w:t>
      </w:r>
      <w:r>
        <w:rPr>
          <w:rFonts w:ascii="宋体" w:hAnsi="宋体"/>
          <w:color w:val="auto"/>
          <w:szCs w:val="21"/>
        </w:rPr>
        <w:t>磋商小组</w:t>
      </w:r>
      <w:r>
        <w:rPr>
          <w:rFonts w:hint="eastAsia" w:ascii="宋体" w:hAnsi="宋体"/>
          <w:color w:val="auto"/>
          <w:szCs w:val="21"/>
        </w:rPr>
        <w:t>按照供应商须知前附表确定的顺序，集中与单一供应商分别进行磋商，给予所有参加磋商的供应商平等的磋商机会。由</w:t>
      </w:r>
      <w:r>
        <w:rPr>
          <w:rFonts w:ascii="宋体" w:hAnsi="宋体"/>
          <w:color w:val="auto"/>
          <w:szCs w:val="21"/>
        </w:rPr>
        <w:t>磋商小组</w:t>
      </w:r>
      <w:r>
        <w:rPr>
          <w:rFonts w:hint="eastAsia" w:ascii="宋体" w:hAnsi="宋体"/>
          <w:color w:val="auto"/>
          <w:szCs w:val="21"/>
        </w:rPr>
        <w:t>发起询标进行磋商，同时采购代理机构可通知各供应商，通知的联系方式以供应商在政采云平台“获取采购文件”填写联系人的手机号为准，各供应商应在线关注询标信息并保证提供的联系方保持通讯畅通，接到在线询标信息后应在20分钟内进行询标回复；磋商结束后，供应商按磋商小组要求的时间内递交磋商时要求其就商务和技术条件作出的包含补充、修改、承诺、最终报价等内容的应答文件在线提交，应答文件必须由供应商的法定代表人或委托代理人签名或盖公章，应答文件构成响应文件的一部分。</w:t>
      </w:r>
    </w:p>
    <w:p w14:paraId="063A35F0">
      <w:pPr>
        <w:spacing w:line="460" w:lineRule="exact"/>
        <w:ind w:firstLine="420" w:firstLineChars="200"/>
        <w:rPr>
          <w:rFonts w:ascii="宋体" w:hAnsi="宋体"/>
          <w:color w:val="auto"/>
          <w:szCs w:val="21"/>
        </w:rPr>
      </w:pPr>
      <w:r>
        <w:rPr>
          <w:rFonts w:ascii="宋体" w:hAnsi="宋体"/>
          <w:color w:val="auto"/>
          <w:szCs w:val="21"/>
        </w:rPr>
        <w:t>磋商小组应当要求所有实质性响应的供应商在规定时间内提交最后报价，提交最后报价的供应商不得少于3家。</w:t>
      </w:r>
    </w:p>
    <w:p w14:paraId="66EA5F40">
      <w:pPr>
        <w:pStyle w:val="24"/>
        <w:snapToGrid w:val="0"/>
        <w:spacing w:line="460" w:lineRule="exact"/>
        <w:jc w:val="left"/>
        <w:rPr>
          <w:rFonts w:hAnsi="宋体"/>
          <w:color w:val="auto"/>
          <w:szCs w:val="21"/>
        </w:rPr>
      </w:pPr>
      <w:r>
        <w:rPr>
          <w:rFonts w:hint="eastAsia" w:hAnsi="宋体"/>
          <w:color w:val="auto"/>
          <w:szCs w:val="21"/>
        </w:rPr>
        <w:t xml:space="preserve">    22.1.6作最后报价时，</w:t>
      </w:r>
      <w:r>
        <w:rPr>
          <w:rFonts w:hint="eastAsia" w:hAnsi="宋体"/>
          <w:b/>
          <w:color w:val="auto"/>
          <w:szCs w:val="21"/>
        </w:rPr>
        <w:t>供应商的最终报价文件必须以采购代理机构提供的工程量清单的格式编制或填写</w:t>
      </w:r>
      <w:r>
        <w:rPr>
          <w:rFonts w:hint="eastAsia" w:hAnsi="宋体"/>
          <w:color w:val="auto"/>
          <w:szCs w:val="21"/>
        </w:rPr>
        <w:t>，供应商不得采用总价优惠、总价百分比优惠或以报价调整函的方式进行最终磋商报价，其优惠应直接体现在各项磋商报价的单价中。供应商须提前做好相关准备并按时递交最终报价文件（因供应商原因无法在磋商时联系的或供应商未在规定的时间内提供最终报价文件，则以供应商最近一次报价的有效磋商报价为准）。</w:t>
      </w:r>
    </w:p>
    <w:p w14:paraId="7664E68E">
      <w:pPr>
        <w:pStyle w:val="24"/>
        <w:snapToGrid w:val="0"/>
        <w:spacing w:line="460" w:lineRule="exact"/>
        <w:jc w:val="left"/>
        <w:rPr>
          <w:rFonts w:hAnsi="宋体"/>
          <w:color w:val="auto"/>
          <w:szCs w:val="21"/>
        </w:rPr>
      </w:pPr>
      <w:r>
        <w:rPr>
          <w:rFonts w:hint="eastAsia" w:hAnsi="宋体"/>
          <w:color w:val="auto"/>
          <w:szCs w:val="21"/>
        </w:rPr>
        <w:t xml:space="preserve">    22.1.7</w:t>
      </w:r>
      <w:r>
        <w:rPr>
          <w:rFonts w:hAnsi="宋体"/>
          <w:color w:val="auto"/>
          <w:szCs w:val="21"/>
        </w:rPr>
        <w:t>已提交响应文件的供应商，在提交最</w:t>
      </w:r>
      <w:r>
        <w:rPr>
          <w:rFonts w:hint="eastAsia" w:hAnsi="宋体"/>
          <w:color w:val="auto"/>
          <w:szCs w:val="21"/>
        </w:rPr>
        <w:t>终</w:t>
      </w:r>
      <w:r>
        <w:rPr>
          <w:rFonts w:hAnsi="宋体"/>
          <w:color w:val="auto"/>
          <w:szCs w:val="21"/>
        </w:rPr>
        <w:t>报价之前，可以根据磋商情况退出磋商。经磋商确定最终采购需求和提交最</w:t>
      </w:r>
      <w:r>
        <w:rPr>
          <w:rFonts w:hint="eastAsia" w:hAnsi="宋体"/>
          <w:color w:val="auto"/>
          <w:szCs w:val="21"/>
        </w:rPr>
        <w:t>终</w:t>
      </w:r>
      <w:r>
        <w:rPr>
          <w:rFonts w:hAnsi="宋体"/>
          <w:color w:val="auto"/>
          <w:szCs w:val="21"/>
        </w:rPr>
        <w:t>报价的供应商后，由磋商小组采用综合评分法对提交最</w:t>
      </w:r>
      <w:r>
        <w:rPr>
          <w:rFonts w:hint="eastAsia" w:hAnsi="宋体"/>
          <w:color w:val="auto"/>
          <w:szCs w:val="21"/>
        </w:rPr>
        <w:t>终</w:t>
      </w:r>
      <w:r>
        <w:rPr>
          <w:rFonts w:hAnsi="宋体"/>
          <w:color w:val="auto"/>
          <w:szCs w:val="21"/>
        </w:rPr>
        <w:t>报价的供应商的响应文件和最</w:t>
      </w:r>
      <w:r>
        <w:rPr>
          <w:rFonts w:hint="eastAsia" w:hAnsi="宋体"/>
          <w:color w:val="auto"/>
          <w:szCs w:val="21"/>
        </w:rPr>
        <w:t>终</w:t>
      </w:r>
      <w:r>
        <w:rPr>
          <w:rFonts w:hAnsi="宋体"/>
          <w:color w:val="auto"/>
          <w:szCs w:val="21"/>
        </w:rPr>
        <w:t>报价进行综合评分。</w:t>
      </w:r>
    </w:p>
    <w:p w14:paraId="3C2D3F5F">
      <w:pPr>
        <w:spacing w:line="460" w:lineRule="exact"/>
        <w:ind w:firstLine="420" w:firstLineChars="200"/>
        <w:rPr>
          <w:rFonts w:ascii="宋体" w:hAnsi="宋体"/>
          <w:color w:val="auto"/>
          <w:szCs w:val="21"/>
        </w:rPr>
      </w:pPr>
      <w:r>
        <w:rPr>
          <w:rFonts w:hint="eastAsia" w:ascii="宋体" w:hAnsi="宋体"/>
          <w:color w:val="auto"/>
          <w:szCs w:val="21"/>
        </w:rPr>
        <w:t>22.1.8</w:t>
      </w:r>
      <w:r>
        <w:rPr>
          <w:rFonts w:ascii="宋体" w:hAnsi="宋体"/>
          <w:color w:val="auto"/>
          <w:szCs w:val="21"/>
        </w:rPr>
        <w:t>磋商</w:t>
      </w:r>
      <w:r>
        <w:rPr>
          <w:rFonts w:hint="eastAsia" w:ascii="宋体" w:hAnsi="宋体"/>
          <w:color w:val="auto"/>
          <w:szCs w:val="21"/>
        </w:rPr>
        <w:t>结束后，</w:t>
      </w:r>
      <w:r>
        <w:rPr>
          <w:rFonts w:ascii="宋体" w:hAnsi="宋体"/>
          <w:color w:val="auto"/>
          <w:szCs w:val="21"/>
        </w:rPr>
        <w:t>磋商</w:t>
      </w:r>
      <w:r>
        <w:rPr>
          <w:rFonts w:hint="eastAsia" w:ascii="宋体" w:hAnsi="宋体"/>
          <w:color w:val="auto"/>
          <w:szCs w:val="21"/>
        </w:rPr>
        <w:t>小组不得再与供应商进行任何形式的商谈。</w:t>
      </w:r>
    </w:p>
    <w:p w14:paraId="152F678D">
      <w:pPr>
        <w:spacing w:line="460" w:lineRule="exact"/>
        <w:ind w:firstLine="420" w:firstLineChars="200"/>
        <w:rPr>
          <w:rFonts w:ascii="宋体" w:hAnsi="宋体"/>
          <w:color w:val="auto"/>
          <w:szCs w:val="21"/>
        </w:rPr>
      </w:pPr>
      <w:r>
        <w:rPr>
          <w:rFonts w:hint="eastAsia" w:ascii="宋体" w:hAnsi="宋体"/>
          <w:color w:val="auto"/>
          <w:szCs w:val="21"/>
        </w:rPr>
        <w:t>22.1.9</w:t>
      </w:r>
      <w:r>
        <w:rPr>
          <w:rFonts w:ascii="宋体" w:hAnsi="宋体"/>
          <w:color w:val="auto"/>
          <w:szCs w:val="21"/>
        </w:rPr>
        <w:t>磋商</w:t>
      </w:r>
      <w:r>
        <w:rPr>
          <w:rFonts w:hint="eastAsia" w:ascii="宋体" w:hAnsi="宋体"/>
          <w:color w:val="auto"/>
          <w:szCs w:val="21"/>
        </w:rPr>
        <w:t>的任何一方不得透露与</w:t>
      </w:r>
      <w:r>
        <w:rPr>
          <w:rFonts w:ascii="宋体" w:hAnsi="宋体"/>
          <w:color w:val="auto"/>
          <w:szCs w:val="21"/>
        </w:rPr>
        <w:t>磋商</w:t>
      </w:r>
      <w:r>
        <w:rPr>
          <w:rFonts w:hint="eastAsia" w:ascii="宋体" w:hAnsi="宋体"/>
          <w:color w:val="auto"/>
          <w:szCs w:val="21"/>
        </w:rPr>
        <w:t>有关的其他供应商的技术资料、价格和其他信息。</w:t>
      </w:r>
    </w:p>
    <w:p w14:paraId="666CBE69">
      <w:pPr>
        <w:spacing w:line="460" w:lineRule="exact"/>
        <w:ind w:firstLine="420" w:firstLineChars="200"/>
        <w:rPr>
          <w:rFonts w:ascii="宋体" w:hAnsi="宋体"/>
          <w:color w:val="auto"/>
          <w:szCs w:val="21"/>
        </w:rPr>
      </w:pPr>
      <w:r>
        <w:rPr>
          <w:rFonts w:hint="eastAsia" w:ascii="宋体" w:hAnsi="宋体"/>
          <w:color w:val="auto"/>
          <w:szCs w:val="21"/>
        </w:rPr>
        <w:t>22.2 评审</w:t>
      </w:r>
    </w:p>
    <w:p w14:paraId="25FEADEA">
      <w:pPr>
        <w:spacing w:line="460" w:lineRule="exact"/>
        <w:ind w:firstLine="420" w:firstLineChars="200"/>
        <w:rPr>
          <w:rFonts w:ascii="宋体" w:hAnsi="宋体"/>
          <w:color w:val="auto"/>
          <w:szCs w:val="21"/>
        </w:rPr>
      </w:pPr>
      <w:r>
        <w:rPr>
          <w:rFonts w:hint="eastAsia" w:ascii="宋体" w:hAnsi="宋体"/>
          <w:color w:val="auto"/>
          <w:szCs w:val="21"/>
        </w:rPr>
        <w:t>22.2.1本采购项目</w:t>
      </w:r>
      <w:r>
        <w:rPr>
          <w:rFonts w:hint="eastAsia" w:ascii="宋体" w:hAnsi="宋体"/>
          <w:color w:val="auto"/>
          <w:spacing w:val="2"/>
          <w:szCs w:val="21"/>
        </w:rPr>
        <w:t>对通过资格审查和符合性审查评审为合格的响应文件</w:t>
      </w:r>
      <w:r>
        <w:rPr>
          <w:rFonts w:hint="eastAsia" w:ascii="宋体" w:hAnsi="宋体"/>
          <w:color w:val="auto"/>
          <w:szCs w:val="21"/>
        </w:rPr>
        <w:t>采用</w:t>
      </w:r>
      <w:r>
        <w:rPr>
          <w:rFonts w:hint="eastAsia" w:ascii="宋体" w:hAnsi="宋体"/>
          <w:color w:val="auto"/>
          <w:spacing w:val="2"/>
          <w:szCs w:val="21"/>
        </w:rPr>
        <w:t>综合评分</w:t>
      </w:r>
      <w:r>
        <w:rPr>
          <w:rFonts w:ascii="宋体" w:hAnsi="宋体"/>
          <w:color w:val="auto"/>
          <w:spacing w:val="2"/>
          <w:szCs w:val="21"/>
        </w:rPr>
        <w:t>法</w:t>
      </w:r>
      <w:r>
        <w:rPr>
          <w:rFonts w:hint="eastAsia" w:ascii="宋体" w:hAnsi="宋体"/>
          <w:color w:val="auto"/>
          <w:szCs w:val="21"/>
        </w:rPr>
        <w:t>，评标依据为磋商文件和响应文件及</w:t>
      </w:r>
      <w:r>
        <w:rPr>
          <w:rFonts w:ascii="宋体" w:hAnsi="宋体"/>
          <w:color w:val="auto"/>
          <w:szCs w:val="21"/>
        </w:rPr>
        <w:t>磋商</w:t>
      </w:r>
      <w:r>
        <w:rPr>
          <w:rFonts w:hint="eastAsia" w:ascii="宋体" w:hAnsi="宋体"/>
          <w:color w:val="auto"/>
          <w:szCs w:val="21"/>
        </w:rPr>
        <w:t>应答文件。</w:t>
      </w:r>
    </w:p>
    <w:p w14:paraId="16ACD4B3">
      <w:pPr>
        <w:spacing w:line="460" w:lineRule="exact"/>
        <w:ind w:firstLine="420" w:firstLineChars="200"/>
        <w:rPr>
          <w:rFonts w:ascii="宋体" w:hAnsi="宋体"/>
          <w:color w:val="auto"/>
          <w:szCs w:val="21"/>
        </w:rPr>
      </w:pPr>
      <w:r>
        <w:rPr>
          <w:rFonts w:hint="eastAsia" w:ascii="宋体" w:hAnsi="宋体"/>
          <w:color w:val="auto"/>
          <w:szCs w:val="21"/>
        </w:rPr>
        <w:t>22.2.2评标工作将采取封闭方式进行，</w:t>
      </w:r>
      <w:r>
        <w:rPr>
          <w:rFonts w:ascii="宋体" w:hAnsi="宋体"/>
          <w:color w:val="auto"/>
          <w:szCs w:val="21"/>
        </w:rPr>
        <w:t>磋商</w:t>
      </w:r>
      <w:r>
        <w:rPr>
          <w:rFonts w:hint="eastAsia" w:ascii="宋体" w:hAnsi="宋体"/>
          <w:color w:val="auto"/>
          <w:szCs w:val="21"/>
        </w:rPr>
        <w:t>小组成员和有关工作人员不得透露对响应文件的评审、比较和成交候选供应商的推荐情况以及与评标有关的其他情况。</w:t>
      </w:r>
    </w:p>
    <w:p w14:paraId="17A6644D">
      <w:pPr>
        <w:spacing w:line="460" w:lineRule="exact"/>
        <w:ind w:firstLine="420" w:firstLineChars="200"/>
        <w:rPr>
          <w:rFonts w:ascii="宋体" w:hAnsi="宋体"/>
          <w:color w:val="auto"/>
          <w:szCs w:val="21"/>
        </w:rPr>
      </w:pPr>
      <w:r>
        <w:rPr>
          <w:rFonts w:hint="eastAsia" w:ascii="宋体" w:hAnsi="宋体"/>
          <w:color w:val="auto"/>
          <w:szCs w:val="21"/>
        </w:rPr>
        <w:t>22.3供应商在评标过程中，所进行的力图影响评标结果公正性的活动，将可能导致其成交资格被取消。</w:t>
      </w:r>
    </w:p>
    <w:p w14:paraId="2A23028C">
      <w:pPr>
        <w:spacing w:line="460" w:lineRule="exact"/>
        <w:ind w:firstLine="420" w:firstLineChars="200"/>
        <w:rPr>
          <w:rFonts w:ascii="宋体" w:hAnsi="宋体"/>
          <w:color w:val="auto"/>
          <w:szCs w:val="21"/>
        </w:rPr>
      </w:pPr>
      <w:r>
        <w:rPr>
          <w:rFonts w:hint="eastAsia" w:ascii="宋体" w:hAnsi="宋体"/>
          <w:color w:val="auto"/>
          <w:szCs w:val="21"/>
        </w:rPr>
        <w:t>22.4供应商磋商报价超出采购上限控制价则磋商无效。如果全部供应商的磋商报价均超出采购上限控制价，采购人不能支付的，由采购单位重新组织采购。</w:t>
      </w:r>
    </w:p>
    <w:p w14:paraId="142E845C">
      <w:pPr>
        <w:bidi w:val="0"/>
        <w:rPr>
          <w:color w:val="auto"/>
        </w:rPr>
      </w:pPr>
      <w:bookmarkStart w:id="101" w:name="_Toc18682824"/>
      <w:bookmarkStart w:id="102" w:name="_Toc80818635"/>
      <w:r>
        <w:rPr>
          <w:rFonts w:hint="eastAsia"/>
          <w:color w:val="auto"/>
        </w:rPr>
        <w:t>23.</w:t>
      </w:r>
      <w:bookmarkEnd w:id="99"/>
      <w:bookmarkEnd w:id="101"/>
      <w:r>
        <w:rPr>
          <w:rFonts w:hint="eastAsia"/>
          <w:color w:val="auto"/>
        </w:rPr>
        <w:t xml:space="preserve"> 废标的情形</w:t>
      </w:r>
      <w:bookmarkEnd w:id="102"/>
    </w:p>
    <w:p w14:paraId="07F4A4D2">
      <w:pPr>
        <w:pStyle w:val="24"/>
        <w:spacing w:line="460" w:lineRule="exact"/>
        <w:ind w:left="525"/>
        <w:rPr>
          <w:rFonts w:hAnsi="宋体"/>
          <w:color w:val="auto"/>
          <w:szCs w:val="21"/>
        </w:rPr>
      </w:pPr>
      <w:r>
        <w:rPr>
          <w:rFonts w:hint="eastAsia" w:hAnsi="宋体"/>
          <w:color w:val="auto"/>
          <w:szCs w:val="21"/>
        </w:rPr>
        <w:t>属于下列情形之一的，应予废标：</w:t>
      </w:r>
    </w:p>
    <w:p w14:paraId="1C7CD699">
      <w:pPr>
        <w:tabs>
          <w:tab w:val="left" w:pos="975"/>
        </w:tabs>
        <w:snapToGrid w:val="0"/>
        <w:spacing w:line="440" w:lineRule="exact"/>
        <w:ind w:firstLine="411" w:firstLineChars="196"/>
        <w:jc w:val="left"/>
        <w:rPr>
          <w:rFonts w:ascii="宋体" w:hAnsi="宋体"/>
          <w:color w:val="auto"/>
          <w:szCs w:val="21"/>
        </w:rPr>
      </w:pPr>
      <w:r>
        <w:rPr>
          <w:rFonts w:hint="eastAsia" w:ascii="宋体" w:hAnsi="宋体"/>
          <w:color w:val="auto"/>
          <w:szCs w:val="21"/>
        </w:rPr>
        <w:t>（1）采购过程中符合要求的供应商或者报价未超过采购预算的供应商不足3家的；</w:t>
      </w:r>
    </w:p>
    <w:p w14:paraId="7D457393">
      <w:pPr>
        <w:tabs>
          <w:tab w:val="left" w:pos="975"/>
        </w:tabs>
        <w:snapToGrid w:val="0"/>
        <w:spacing w:line="440" w:lineRule="exact"/>
        <w:ind w:firstLine="411" w:firstLineChars="196"/>
        <w:jc w:val="left"/>
        <w:rPr>
          <w:rFonts w:ascii="宋体" w:hAnsi="宋体"/>
          <w:color w:val="auto"/>
          <w:szCs w:val="21"/>
        </w:rPr>
      </w:pPr>
      <w:r>
        <w:rPr>
          <w:rFonts w:hint="eastAsia" w:ascii="宋体" w:hAnsi="宋体"/>
          <w:color w:val="auto"/>
          <w:szCs w:val="21"/>
        </w:rPr>
        <w:t xml:space="preserve"> (2)出现影响采购公正的违法、违规行为的;</w:t>
      </w:r>
    </w:p>
    <w:p w14:paraId="39400EEC">
      <w:pPr>
        <w:tabs>
          <w:tab w:val="left" w:pos="975"/>
        </w:tabs>
        <w:snapToGrid w:val="0"/>
        <w:spacing w:line="440" w:lineRule="exact"/>
        <w:ind w:firstLine="411" w:firstLineChars="196"/>
        <w:jc w:val="left"/>
        <w:rPr>
          <w:rFonts w:ascii="宋体" w:hAnsi="宋体"/>
          <w:color w:val="auto"/>
          <w:szCs w:val="21"/>
        </w:rPr>
      </w:pPr>
      <w:r>
        <w:rPr>
          <w:rFonts w:hint="eastAsia" w:ascii="宋体" w:hAnsi="宋体"/>
          <w:color w:val="auto"/>
          <w:szCs w:val="21"/>
        </w:rPr>
        <w:t xml:space="preserve"> (3)磋商文件内容违反国家有关强制性规定的;</w:t>
      </w:r>
    </w:p>
    <w:p w14:paraId="2FBF8009">
      <w:pPr>
        <w:tabs>
          <w:tab w:val="left" w:pos="975"/>
        </w:tabs>
        <w:snapToGrid w:val="0"/>
        <w:spacing w:line="440" w:lineRule="exact"/>
        <w:ind w:firstLine="514" w:firstLineChars="245"/>
        <w:jc w:val="left"/>
        <w:rPr>
          <w:rFonts w:ascii="宋体" w:hAnsi="宋体"/>
          <w:color w:val="auto"/>
          <w:szCs w:val="21"/>
        </w:rPr>
      </w:pPr>
      <w:r>
        <w:rPr>
          <w:rFonts w:hint="eastAsia" w:ascii="宋体" w:hAnsi="宋体"/>
          <w:color w:val="auto"/>
          <w:szCs w:val="21"/>
        </w:rPr>
        <w:t>(4)因重大变故,采购任务取消的;</w:t>
      </w:r>
    </w:p>
    <w:p w14:paraId="71FB355F">
      <w:pPr>
        <w:bidi w:val="0"/>
        <w:rPr>
          <w:color w:val="auto"/>
        </w:rPr>
      </w:pPr>
      <w:bookmarkStart w:id="103" w:name="_Toc80818636"/>
      <w:bookmarkStart w:id="104" w:name="_Toc346264288"/>
      <w:bookmarkStart w:id="105" w:name="_Toc18682825"/>
      <w:r>
        <w:rPr>
          <w:color w:val="auto"/>
        </w:rPr>
        <w:t>2</w:t>
      </w:r>
      <w:r>
        <w:rPr>
          <w:rFonts w:hint="eastAsia"/>
          <w:color w:val="auto"/>
        </w:rPr>
        <w:t>4</w:t>
      </w:r>
      <w:r>
        <w:rPr>
          <w:color w:val="auto"/>
        </w:rPr>
        <w:t>.</w:t>
      </w:r>
      <w:r>
        <w:rPr>
          <w:rFonts w:hint="eastAsia"/>
          <w:color w:val="auto"/>
        </w:rPr>
        <w:t>成交</w:t>
      </w:r>
      <w:r>
        <w:rPr>
          <w:color w:val="auto"/>
        </w:rPr>
        <w:t>公告</w:t>
      </w:r>
      <w:bookmarkEnd w:id="100"/>
      <w:bookmarkEnd w:id="103"/>
      <w:bookmarkEnd w:id="104"/>
      <w:bookmarkEnd w:id="105"/>
    </w:p>
    <w:p w14:paraId="14EB67D6">
      <w:pPr>
        <w:pStyle w:val="24"/>
        <w:spacing w:line="460" w:lineRule="exact"/>
        <w:ind w:left="53" w:leftChars="25" w:firstLine="371" w:firstLineChars="177"/>
        <w:rPr>
          <w:rFonts w:hAnsi="宋体" w:cs="宋体"/>
          <w:color w:val="auto"/>
          <w:szCs w:val="21"/>
        </w:rPr>
      </w:pPr>
      <w:bookmarkStart w:id="106" w:name="_Toc346264289"/>
      <w:bookmarkStart w:id="107" w:name="_Toc239659116"/>
      <w:r>
        <w:rPr>
          <w:rFonts w:hint="eastAsia" w:hAnsi="宋体" w:cs="宋体"/>
          <w:color w:val="auto"/>
          <w:szCs w:val="21"/>
        </w:rPr>
        <w:t>24.1采购代理机构将在评审结束后2个工作日内将评审报告送采购人，采购人收到采购代理机构提交的评审报告后，2个工作日内确定成交供应商。采购人确认后，成交结果将在发布竞争性磋商公告的网站上公布，同时向成交人发出成交通知书。</w:t>
      </w:r>
    </w:p>
    <w:p w14:paraId="46E1DC16">
      <w:pPr>
        <w:spacing w:line="460" w:lineRule="exact"/>
        <w:rPr>
          <w:rFonts w:ascii="宋体" w:hAnsi="宋体" w:cs="宋体"/>
          <w:color w:val="auto"/>
          <w:szCs w:val="21"/>
        </w:rPr>
      </w:pPr>
      <w:r>
        <w:rPr>
          <w:rFonts w:hint="eastAsia" w:ascii="宋体" w:hAnsi="宋体" w:cs="宋体"/>
          <w:color w:val="auto"/>
          <w:szCs w:val="21"/>
        </w:rPr>
        <w:t xml:space="preserve">    24.2 供应商如对成交公告有异议，可以在成交公告期限届满之日起7个工作日内以书面形式向采购人或采购代理机构提出质疑。采购人或采购代理机构将在收到供应商的书面形式质疑后7个工作日内做出答复，但答复的内容不得涉及商业密秘。</w:t>
      </w:r>
    </w:p>
    <w:p w14:paraId="7AEE20CE">
      <w:pPr>
        <w:pStyle w:val="24"/>
        <w:spacing w:line="460" w:lineRule="exact"/>
        <w:ind w:left="53" w:leftChars="25" w:firstLine="371" w:firstLineChars="177"/>
        <w:rPr>
          <w:rFonts w:hAnsi="宋体" w:cs="宋体"/>
          <w:color w:val="auto"/>
          <w:szCs w:val="21"/>
        </w:rPr>
      </w:pPr>
      <w:r>
        <w:rPr>
          <w:rFonts w:hint="eastAsia" w:hAnsi="宋体" w:cs="宋体"/>
          <w:color w:val="auto"/>
          <w:szCs w:val="21"/>
        </w:rPr>
        <w:t>24.3 质疑供应商必须首先经过质疑程序，在对采购人或采购代理机构的答复不满意，或者采购人或采购代理机构未在规定的时间内做出答复的，可以在答复期满后15个工作日内书面向同级政府采购监督管理部门投诉。</w:t>
      </w:r>
    </w:p>
    <w:p w14:paraId="56F6E112">
      <w:pPr>
        <w:bidi w:val="0"/>
        <w:rPr>
          <w:color w:val="auto"/>
        </w:rPr>
      </w:pPr>
      <w:bookmarkStart w:id="108" w:name="_Toc18682826"/>
      <w:bookmarkStart w:id="109" w:name="_Toc80818637"/>
      <w:r>
        <w:rPr>
          <w:color w:val="auto"/>
        </w:rPr>
        <w:t>2</w:t>
      </w:r>
      <w:r>
        <w:rPr>
          <w:rFonts w:hint="eastAsia"/>
          <w:color w:val="auto"/>
        </w:rPr>
        <w:t>5</w:t>
      </w:r>
      <w:r>
        <w:rPr>
          <w:color w:val="auto"/>
        </w:rPr>
        <w:t>.</w:t>
      </w:r>
      <w:r>
        <w:rPr>
          <w:rFonts w:hint="eastAsia"/>
          <w:color w:val="auto"/>
        </w:rPr>
        <w:t>成交</w:t>
      </w:r>
      <w:r>
        <w:rPr>
          <w:color w:val="auto"/>
        </w:rPr>
        <w:t>通知书</w:t>
      </w:r>
      <w:bookmarkEnd w:id="106"/>
      <w:bookmarkEnd w:id="107"/>
      <w:bookmarkEnd w:id="108"/>
      <w:bookmarkEnd w:id="109"/>
    </w:p>
    <w:p w14:paraId="03BB58AB">
      <w:pPr>
        <w:spacing w:line="460" w:lineRule="exact"/>
        <w:ind w:left="229" w:leftChars="109" w:firstLine="210" w:firstLineChars="100"/>
        <w:rPr>
          <w:rFonts w:ascii="宋体" w:hAnsi="宋体"/>
          <w:color w:val="auto"/>
          <w:szCs w:val="21"/>
        </w:rPr>
      </w:pPr>
      <w:r>
        <w:rPr>
          <w:rFonts w:ascii="宋体" w:hAnsi="宋体"/>
          <w:color w:val="auto"/>
          <w:szCs w:val="21"/>
        </w:rPr>
        <w:t>2</w:t>
      </w:r>
      <w:r>
        <w:rPr>
          <w:rFonts w:hint="eastAsia" w:ascii="宋体" w:hAnsi="宋体"/>
          <w:color w:val="auto"/>
          <w:szCs w:val="21"/>
        </w:rPr>
        <w:t>5</w:t>
      </w:r>
      <w:r>
        <w:rPr>
          <w:rFonts w:ascii="宋体" w:hAnsi="宋体"/>
          <w:color w:val="auto"/>
          <w:szCs w:val="21"/>
        </w:rPr>
        <w:t>.1 在发布</w:t>
      </w:r>
      <w:r>
        <w:rPr>
          <w:rFonts w:hint="eastAsia" w:ascii="宋体" w:hAnsi="宋体"/>
          <w:color w:val="auto"/>
          <w:szCs w:val="21"/>
        </w:rPr>
        <w:t>成交</w:t>
      </w:r>
      <w:r>
        <w:rPr>
          <w:rFonts w:ascii="宋体" w:hAnsi="宋体"/>
          <w:color w:val="auto"/>
          <w:szCs w:val="21"/>
        </w:rPr>
        <w:t>公告的同时，向</w:t>
      </w:r>
      <w:r>
        <w:rPr>
          <w:rFonts w:hint="eastAsia" w:ascii="宋体" w:hAnsi="宋体"/>
          <w:color w:val="auto"/>
          <w:szCs w:val="21"/>
        </w:rPr>
        <w:t>成交</w:t>
      </w:r>
      <w:r>
        <w:rPr>
          <w:rFonts w:ascii="宋体" w:hAnsi="宋体"/>
          <w:color w:val="auto"/>
          <w:szCs w:val="21"/>
        </w:rPr>
        <w:t>单位发出书面成交通知书。</w:t>
      </w:r>
    </w:p>
    <w:p w14:paraId="14701AF5">
      <w:pPr>
        <w:spacing w:line="460" w:lineRule="exact"/>
        <w:ind w:firstLine="420" w:firstLineChars="200"/>
        <w:rPr>
          <w:rFonts w:ascii="宋体" w:hAnsi="宋体"/>
          <w:color w:val="auto"/>
          <w:szCs w:val="21"/>
        </w:rPr>
      </w:pPr>
      <w:r>
        <w:rPr>
          <w:rFonts w:ascii="宋体" w:hAnsi="宋体"/>
          <w:color w:val="auto"/>
          <w:szCs w:val="21"/>
        </w:rPr>
        <w:t>2</w:t>
      </w:r>
      <w:r>
        <w:rPr>
          <w:rFonts w:hint="eastAsia" w:ascii="宋体" w:hAnsi="宋体"/>
          <w:color w:val="auto"/>
          <w:szCs w:val="21"/>
        </w:rPr>
        <w:t>5</w:t>
      </w:r>
      <w:r>
        <w:rPr>
          <w:rFonts w:ascii="宋体" w:hAnsi="宋体"/>
          <w:color w:val="auto"/>
          <w:szCs w:val="21"/>
        </w:rPr>
        <w:t xml:space="preserve">.2 </w:t>
      </w:r>
      <w:r>
        <w:rPr>
          <w:rFonts w:hint="eastAsia" w:ascii="宋体" w:hAnsi="宋体"/>
          <w:color w:val="auto"/>
          <w:szCs w:val="21"/>
        </w:rPr>
        <w:t>成交</w:t>
      </w:r>
      <w:r>
        <w:rPr>
          <w:rFonts w:ascii="宋体" w:hAnsi="宋体"/>
          <w:color w:val="auto"/>
          <w:szCs w:val="21"/>
        </w:rPr>
        <w:t>通知书注明成交金额、</w:t>
      </w:r>
      <w:r>
        <w:rPr>
          <w:rFonts w:hint="eastAsia" w:ascii="宋体" w:hAnsi="宋体"/>
          <w:color w:val="auto"/>
          <w:szCs w:val="21"/>
        </w:rPr>
        <w:t>工期</w:t>
      </w:r>
      <w:r>
        <w:rPr>
          <w:rFonts w:ascii="宋体" w:hAnsi="宋体"/>
          <w:color w:val="auto"/>
          <w:szCs w:val="21"/>
        </w:rPr>
        <w:t>、质量及工程保修期等。</w:t>
      </w:r>
    </w:p>
    <w:p w14:paraId="7F982ADC">
      <w:pPr>
        <w:spacing w:line="460" w:lineRule="exact"/>
        <w:ind w:firstLine="420" w:firstLineChars="200"/>
        <w:rPr>
          <w:rFonts w:ascii="宋体" w:hAnsi="宋体"/>
          <w:color w:val="auto"/>
          <w:szCs w:val="21"/>
        </w:rPr>
      </w:pPr>
      <w:r>
        <w:rPr>
          <w:rFonts w:ascii="宋体" w:hAnsi="宋体"/>
          <w:color w:val="auto"/>
          <w:szCs w:val="21"/>
        </w:rPr>
        <w:t>2</w:t>
      </w:r>
      <w:r>
        <w:rPr>
          <w:rFonts w:hint="eastAsia" w:ascii="宋体" w:hAnsi="宋体"/>
          <w:color w:val="auto"/>
          <w:szCs w:val="21"/>
        </w:rPr>
        <w:t>5</w:t>
      </w:r>
      <w:r>
        <w:rPr>
          <w:rFonts w:ascii="宋体" w:hAnsi="宋体"/>
          <w:color w:val="auto"/>
          <w:szCs w:val="21"/>
        </w:rPr>
        <w:t xml:space="preserve">.3 </w:t>
      </w:r>
      <w:r>
        <w:rPr>
          <w:rFonts w:hint="eastAsia" w:ascii="宋体" w:hAnsi="宋体"/>
          <w:color w:val="auto"/>
          <w:szCs w:val="21"/>
        </w:rPr>
        <w:t>成交</w:t>
      </w:r>
      <w:r>
        <w:rPr>
          <w:rFonts w:ascii="宋体" w:hAnsi="宋体"/>
          <w:color w:val="auto"/>
          <w:szCs w:val="21"/>
        </w:rPr>
        <w:t>通知书为合同的组成部分。</w:t>
      </w:r>
    </w:p>
    <w:p w14:paraId="4F202D9E">
      <w:pPr>
        <w:bidi w:val="0"/>
        <w:rPr>
          <w:color w:val="auto"/>
        </w:rPr>
      </w:pPr>
      <w:bookmarkStart w:id="110" w:name="_Toc346264290"/>
      <w:bookmarkStart w:id="111" w:name="_Toc239659117"/>
      <w:bookmarkStart w:id="112" w:name="_Toc80818638"/>
      <w:bookmarkStart w:id="113" w:name="_Toc18682827"/>
      <w:r>
        <w:rPr>
          <w:color w:val="auto"/>
        </w:rPr>
        <w:t>26.合同签订</w:t>
      </w:r>
      <w:bookmarkEnd w:id="110"/>
      <w:bookmarkEnd w:id="111"/>
      <w:bookmarkEnd w:id="112"/>
      <w:bookmarkEnd w:id="113"/>
    </w:p>
    <w:p w14:paraId="7C416CF5">
      <w:pPr>
        <w:spacing w:line="460" w:lineRule="exact"/>
        <w:ind w:left="50" w:leftChars="24" w:firstLine="363" w:firstLineChars="173"/>
        <w:rPr>
          <w:rFonts w:ascii="宋体" w:hAnsi="宋体"/>
          <w:color w:val="auto"/>
          <w:szCs w:val="21"/>
        </w:rPr>
      </w:pPr>
      <w:r>
        <w:rPr>
          <w:rFonts w:ascii="宋体" w:hAnsi="宋体"/>
          <w:color w:val="auto"/>
          <w:szCs w:val="21"/>
        </w:rPr>
        <w:t>2</w:t>
      </w:r>
      <w:r>
        <w:rPr>
          <w:rFonts w:hint="eastAsia" w:ascii="宋体" w:hAnsi="宋体"/>
          <w:color w:val="auto"/>
          <w:szCs w:val="21"/>
        </w:rPr>
        <w:t>6</w:t>
      </w:r>
      <w:r>
        <w:rPr>
          <w:rFonts w:ascii="宋体" w:hAnsi="宋体"/>
          <w:color w:val="auto"/>
          <w:szCs w:val="21"/>
        </w:rPr>
        <w:t xml:space="preserve">.1 </w:t>
      </w:r>
      <w:r>
        <w:rPr>
          <w:rFonts w:hint="eastAsia" w:ascii="宋体" w:hAnsi="宋体"/>
          <w:color w:val="auto"/>
          <w:szCs w:val="21"/>
        </w:rPr>
        <w:t>成交</w:t>
      </w:r>
      <w:r>
        <w:rPr>
          <w:rFonts w:ascii="宋体" w:hAnsi="宋体"/>
          <w:color w:val="auto"/>
          <w:szCs w:val="21"/>
        </w:rPr>
        <w:t>单位应按约定的时间，由法定代表人或授权代表与</w:t>
      </w:r>
      <w:r>
        <w:rPr>
          <w:rFonts w:hint="eastAsia" w:ascii="宋体" w:hAnsi="宋体"/>
          <w:color w:val="auto"/>
          <w:szCs w:val="21"/>
        </w:rPr>
        <w:t>采购人</w:t>
      </w:r>
      <w:r>
        <w:rPr>
          <w:rFonts w:ascii="宋体" w:hAnsi="宋体"/>
          <w:color w:val="auto"/>
          <w:szCs w:val="21"/>
        </w:rPr>
        <w:t>代表签订合同。</w:t>
      </w:r>
      <w:r>
        <w:rPr>
          <w:rFonts w:hint="eastAsia" w:ascii="宋体" w:hAnsi="宋体"/>
          <w:color w:val="auto"/>
          <w:szCs w:val="21"/>
        </w:rPr>
        <w:t>如成交人不按规定签订合同，则采购人可以与排名在成交人之后的成交候选人依次递补签订合同或重新组织采购。拒绝签订政府采购合同的成交供应商不得参加对该项目重新开展的采购活动。</w:t>
      </w:r>
    </w:p>
    <w:p w14:paraId="03A10B97">
      <w:pPr>
        <w:spacing w:line="460" w:lineRule="exact"/>
        <w:ind w:firstLine="420" w:firstLineChars="200"/>
        <w:rPr>
          <w:rFonts w:ascii="宋体" w:hAnsi="宋体"/>
          <w:color w:val="auto"/>
          <w:szCs w:val="21"/>
        </w:rPr>
      </w:pPr>
      <w:r>
        <w:rPr>
          <w:rFonts w:ascii="宋体" w:hAnsi="宋体"/>
          <w:color w:val="auto"/>
          <w:szCs w:val="21"/>
        </w:rPr>
        <w:t>2</w:t>
      </w:r>
      <w:r>
        <w:rPr>
          <w:rFonts w:hint="eastAsia" w:ascii="宋体" w:hAnsi="宋体"/>
          <w:color w:val="auto"/>
          <w:szCs w:val="21"/>
        </w:rPr>
        <w:t>6</w:t>
      </w:r>
      <w:r>
        <w:rPr>
          <w:rFonts w:ascii="宋体" w:hAnsi="宋体"/>
          <w:color w:val="auto"/>
          <w:szCs w:val="21"/>
        </w:rPr>
        <w:t>.</w:t>
      </w:r>
      <w:r>
        <w:rPr>
          <w:rFonts w:hint="eastAsia" w:ascii="宋体" w:hAnsi="宋体"/>
          <w:color w:val="auto"/>
          <w:szCs w:val="21"/>
        </w:rPr>
        <w:t>2合同签订必须符合</w:t>
      </w:r>
      <w:r>
        <w:rPr>
          <w:rFonts w:hint="eastAsia" w:ascii="宋体" w:hAnsi="宋体" w:cs="宋体"/>
          <w:color w:val="auto"/>
          <w:szCs w:val="21"/>
        </w:rPr>
        <w:t>《中华人民共和国政府采购法》、</w:t>
      </w:r>
      <w:r>
        <w:rPr>
          <w:rFonts w:hint="eastAsia" w:ascii="宋体" w:hAnsi="宋体" w:cs="Arial"/>
          <w:color w:val="auto"/>
          <w:szCs w:val="21"/>
        </w:rPr>
        <w:t>《中华人民共和国政府采购法实施条例》、</w:t>
      </w:r>
      <w:r>
        <w:rPr>
          <w:rFonts w:hint="eastAsia" w:ascii="宋体" w:hAnsi="宋体"/>
          <w:color w:val="auto"/>
          <w:szCs w:val="21"/>
        </w:rPr>
        <w:t>《政府采购竞争性磋商采购方式管理暂行办法》及《中华人民共和国民法典》的规定，否则由此造成的后果由采购人负责。</w:t>
      </w:r>
    </w:p>
    <w:p w14:paraId="1A959D23">
      <w:pPr>
        <w:spacing w:line="460" w:lineRule="exact"/>
        <w:ind w:firstLine="420" w:firstLineChars="200"/>
        <w:rPr>
          <w:rFonts w:ascii="宋体" w:hAnsi="宋体"/>
          <w:color w:val="auto"/>
          <w:szCs w:val="21"/>
        </w:rPr>
      </w:pPr>
      <w:r>
        <w:rPr>
          <w:rFonts w:hint="eastAsia" w:ascii="宋体" w:hAnsi="宋体"/>
          <w:color w:val="auto"/>
          <w:szCs w:val="21"/>
        </w:rPr>
        <w:t>26.3财政部门根据已备案的政府采购合同办理合同款项的支付，对未正式备案的政府采购合同，将不予办理合同价款的支付。</w:t>
      </w:r>
    </w:p>
    <w:p w14:paraId="5CEA31D0">
      <w:pPr>
        <w:spacing w:line="460" w:lineRule="exact"/>
        <w:ind w:firstLine="420" w:firstLineChars="200"/>
        <w:rPr>
          <w:rFonts w:ascii="宋体" w:hAnsi="宋体"/>
          <w:color w:val="auto"/>
          <w:szCs w:val="21"/>
        </w:rPr>
      </w:pPr>
      <w:r>
        <w:rPr>
          <w:rFonts w:hint="eastAsia" w:ascii="宋体" w:hAnsi="宋体"/>
          <w:color w:val="auto"/>
          <w:szCs w:val="21"/>
        </w:rPr>
        <w:t>26.4</w:t>
      </w:r>
      <w:r>
        <w:rPr>
          <w:rFonts w:ascii="宋体" w:hAnsi="宋体"/>
          <w:color w:val="auto"/>
          <w:szCs w:val="21"/>
        </w:rPr>
        <w:t>如果</w:t>
      </w:r>
      <w:r>
        <w:rPr>
          <w:rFonts w:hint="eastAsia" w:ascii="宋体" w:hAnsi="宋体"/>
          <w:color w:val="auto"/>
          <w:szCs w:val="21"/>
        </w:rPr>
        <w:t>供应商</w:t>
      </w:r>
      <w:r>
        <w:rPr>
          <w:rFonts w:ascii="宋体" w:hAnsi="宋体"/>
          <w:color w:val="auto"/>
          <w:szCs w:val="21"/>
        </w:rPr>
        <w:t>不按本须知第2</w:t>
      </w:r>
      <w:r>
        <w:rPr>
          <w:rFonts w:hint="eastAsia" w:ascii="宋体" w:hAnsi="宋体"/>
          <w:color w:val="auto"/>
          <w:szCs w:val="21"/>
        </w:rPr>
        <w:t>6</w:t>
      </w:r>
      <w:r>
        <w:rPr>
          <w:rFonts w:ascii="宋体" w:hAnsi="宋体"/>
          <w:color w:val="auto"/>
          <w:szCs w:val="21"/>
        </w:rPr>
        <w:t>.1条的规定执行，采购人将有充分的理由废除授标。</w:t>
      </w:r>
    </w:p>
    <w:p w14:paraId="2BE503E2">
      <w:pPr>
        <w:bidi w:val="0"/>
        <w:rPr>
          <w:color w:val="auto"/>
        </w:rPr>
      </w:pPr>
      <w:bookmarkStart w:id="114" w:name="_Toc239659118"/>
      <w:bookmarkStart w:id="115" w:name="_Toc346264291"/>
      <w:bookmarkStart w:id="116" w:name="_Toc18682828"/>
      <w:bookmarkStart w:id="117" w:name="_Toc80818639"/>
      <w:r>
        <w:rPr>
          <w:color w:val="auto"/>
        </w:rPr>
        <w:t>2</w:t>
      </w:r>
      <w:bookmarkEnd w:id="114"/>
      <w:r>
        <w:rPr>
          <w:rFonts w:hint="eastAsia"/>
          <w:color w:val="auto"/>
        </w:rPr>
        <w:t>7</w:t>
      </w:r>
      <w:r>
        <w:rPr>
          <w:color w:val="auto"/>
        </w:rPr>
        <w:t>.履约保证金</w:t>
      </w:r>
      <w:bookmarkEnd w:id="115"/>
      <w:bookmarkEnd w:id="116"/>
      <w:bookmarkEnd w:id="117"/>
    </w:p>
    <w:p w14:paraId="6D0D0CF9">
      <w:pPr>
        <w:spacing w:line="460" w:lineRule="exact"/>
        <w:ind w:firstLine="420" w:firstLineChars="200"/>
        <w:jc w:val="left"/>
        <w:rPr>
          <w:rFonts w:ascii="宋体" w:hAnsi="宋体"/>
          <w:color w:val="auto"/>
          <w:szCs w:val="21"/>
        </w:rPr>
      </w:pPr>
      <w:bookmarkStart w:id="118" w:name="_Toc239659119"/>
      <w:r>
        <w:rPr>
          <w:rFonts w:hint="eastAsia" w:ascii="宋体" w:hAnsi="宋体"/>
          <w:color w:val="auto"/>
          <w:szCs w:val="21"/>
        </w:rPr>
        <w:t>27.1履约保证金按须知前附表的要求提交。如要求提交的，履约保证金如以</w:t>
      </w:r>
      <w:r>
        <w:rPr>
          <w:rFonts w:hint="eastAsia" w:ascii="宋体" w:hAnsi="宋体"/>
          <w:bCs/>
          <w:color w:val="auto"/>
          <w:szCs w:val="21"/>
        </w:rPr>
        <w:t>支票、汇票、本票、银行转帐、银行出具的保函或保险机构出具的保函、保险单、履约保证保险合同等非现金</w:t>
      </w:r>
      <w:r>
        <w:rPr>
          <w:rFonts w:hint="eastAsia" w:ascii="宋体" w:hAnsi="宋体"/>
          <w:color w:val="auto"/>
          <w:szCs w:val="21"/>
        </w:rPr>
        <w:t>方式提交，并在签订成交合同前一次性缴纳。如成交人未按规定缴纳履约保证金的，采购人有权取消其成交资格。</w:t>
      </w:r>
    </w:p>
    <w:p w14:paraId="5FD23F7F">
      <w:pPr>
        <w:spacing w:line="460" w:lineRule="exact"/>
        <w:ind w:firstLine="420" w:firstLineChars="200"/>
        <w:rPr>
          <w:rFonts w:ascii="宋体" w:hAnsi="宋体"/>
          <w:color w:val="auto"/>
          <w:szCs w:val="21"/>
        </w:rPr>
      </w:pPr>
      <w:r>
        <w:rPr>
          <w:rFonts w:hint="eastAsia" w:ascii="宋体" w:hAnsi="宋体"/>
          <w:color w:val="auto"/>
          <w:szCs w:val="21"/>
        </w:rPr>
        <w:t>27.2 成交人如不按本章第27.1条要求提交履约保证金的，采购人有充分理由取消其成交资格。</w:t>
      </w:r>
    </w:p>
    <w:p w14:paraId="56F30AAB">
      <w:pPr>
        <w:spacing w:line="460" w:lineRule="exact"/>
        <w:ind w:firstLine="420" w:firstLineChars="200"/>
        <w:rPr>
          <w:rFonts w:ascii="宋体" w:hAnsi="宋体" w:cs="Courier New"/>
          <w:color w:val="auto"/>
          <w:spacing w:val="2"/>
          <w:szCs w:val="21"/>
        </w:rPr>
      </w:pPr>
      <w:r>
        <w:rPr>
          <w:rFonts w:hint="eastAsia" w:ascii="宋体" w:hAnsi="宋体"/>
          <w:color w:val="auto"/>
          <w:szCs w:val="21"/>
        </w:rPr>
        <w:t>27.3 工程竣工验收合格后，成交人按合同履约的，由成交人向采购人提交履约保证金退还申请，经采购人确认审批后履约保证金如数退还（不计利息）。如成交人不按双方签订的合同履约，则对其全部履约保证金不予退还，履</w:t>
      </w:r>
      <w:r>
        <w:rPr>
          <w:rFonts w:hint="eastAsia" w:ascii="宋体" w:hAnsi="宋体" w:cs="Courier New"/>
          <w:color w:val="auto"/>
          <w:spacing w:val="2"/>
          <w:szCs w:val="21"/>
        </w:rPr>
        <w:t>约保证金不足以赔偿的，按实际损失赔偿。</w:t>
      </w:r>
    </w:p>
    <w:p w14:paraId="570FC52B">
      <w:pPr>
        <w:spacing w:line="460" w:lineRule="exact"/>
        <w:ind w:firstLine="428" w:firstLineChars="200"/>
        <w:rPr>
          <w:rFonts w:ascii="宋体" w:hAnsi="宋体"/>
          <w:color w:val="auto"/>
          <w:szCs w:val="21"/>
        </w:rPr>
      </w:pPr>
      <w:r>
        <w:rPr>
          <w:rFonts w:hint="eastAsia" w:ascii="宋体" w:hAnsi="宋体" w:cs="Courier New"/>
          <w:color w:val="auto"/>
          <w:spacing w:val="2"/>
          <w:szCs w:val="21"/>
        </w:rPr>
        <w:t>27.4 在履约保证金到期退还前，若成交人的开户名称、开户行、账号有更改的，请以书面形式通知</w:t>
      </w:r>
      <w:r>
        <w:rPr>
          <w:rFonts w:hint="eastAsia" w:ascii="宋体" w:hAnsi="宋体"/>
          <w:color w:val="auto"/>
          <w:szCs w:val="21"/>
        </w:rPr>
        <w:t>采购人</w:t>
      </w:r>
      <w:r>
        <w:rPr>
          <w:rFonts w:hint="eastAsia" w:ascii="宋体" w:hAnsi="宋体" w:cs="Courier New"/>
          <w:color w:val="auto"/>
          <w:spacing w:val="2"/>
          <w:szCs w:val="21"/>
        </w:rPr>
        <w:t>，否则由此产生的后果由成交人自行负责。</w:t>
      </w:r>
    </w:p>
    <w:p w14:paraId="22588F43">
      <w:pPr>
        <w:spacing w:line="460" w:lineRule="exact"/>
        <w:ind w:firstLine="420" w:firstLineChars="200"/>
        <w:rPr>
          <w:rFonts w:ascii="宋体" w:hAnsi="宋体"/>
          <w:color w:val="auto"/>
          <w:szCs w:val="21"/>
        </w:rPr>
      </w:pPr>
      <w:bookmarkStart w:id="119" w:name="_Toc346264292"/>
      <w:r>
        <w:rPr>
          <w:rFonts w:ascii="宋体" w:hAnsi="宋体"/>
          <w:color w:val="auto"/>
          <w:szCs w:val="21"/>
        </w:rPr>
        <w:t>2</w:t>
      </w:r>
      <w:r>
        <w:rPr>
          <w:rFonts w:hint="eastAsia" w:ascii="宋体" w:hAnsi="宋体"/>
          <w:color w:val="auto"/>
          <w:szCs w:val="21"/>
        </w:rPr>
        <w:t>8</w:t>
      </w:r>
      <w:r>
        <w:rPr>
          <w:rFonts w:ascii="宋体" w:hAnsi="宋体"/>
          <w:color w:val="auto"/>
          <w:szCs w:val="21"/>
        </w:rPr>
        <w:t>.解释权</w:t>
      </w:r>
      <w:bookmarkEnd w:id="118"/>
      <w:bookmarkEnd w:id="119"/>
    </w:p>
    <w:p w14:paraId="5D6F9C08">
      <w:pPr>
        <w:spacing w:line="460" w:lineRule="exact"/>
        <w:ind w:firstLine="420" w:firstLineChars="200"/>
        <w:rPr>
          <w:rFonts w:ascii="宋体" w:hAnsi="宋体"/>
          <w:color w:val="auto"/>
          <w:szCs w:val="21"/>
        </w:rPr>
      </w:pPr>
      <w:r>
        <w:rPr>
          <w:rFonts w:hint="eastAsia" w:ascii="宋体" w:hAnsi="宋体"/>
          <w:color w:val="auto"/>
          <w:szCs w:val="21"/>
        </w:rPr>
        <w:t xml:space="preserve">本磋商文件是根据《中华人民共和国政府采购法》、《中华人民共和国政府采购法实施条例》、《政府采购竞争性磋商采购方式管理暂行办法》及相关法律法规编制，解释权属代理公司 </w:t>
      </w:r>
      <w:r>
        <w:rPr>
          <w:rFonts w:ascii="宋体" w:hAnsi="宋体"/>
          <w:color w:val="auto"/>
          <w:szCs w:val="21"/>
        </w:rPr>
        <w:t>。</w:t>
      </w:r>
    </w:p>
    <w:p w14:paraId="44E4ADFB">
      <w:pPr>
        <w:pStyle w:val="24"/>
        <w:jc w:val="center"/>
        <w:rPr>
          <w:color w:val="auto"/>
          <w:szCs w:val="21"/>
        </w:rPr>
      </w:pPr>
      <w:bookmarkStart w:id="120" w:name="_Toc13050"/>
      <w:bookmarkStart w:id="121" w:name="_Toc144974826"/>
      <w:bookmarkStart w:id="122" w:name="_Toc337567543"/>
      <w:bookmarkStart w:id="123" w:name="_Toc229305402"/>
      <w:bookmarkStart w:id="124" w:name="_Toc168476286"/>
      <w:bookmarkStart w:id="125" w:name="_Toc168475883"/>
      <w:r>
        <w:rPr>
          <w:rFonts w:ascii="宋体" w:hAnsi="宋体" w:cs="宋体"/>
          <w:color w:val="auto"/>
        </w:rPr>
        <w:br w:type="page"/>
      </w:r>
      <w:bookmarkStart w:id="126" w:name="_Toc1817"/>
      <w:r>
        <w:rPr>
          <w:rStyle w:val="272"/>
          <w:rFonts w:hint="eastAsia"/>
          <w:color w:val="auto"/>
        </w:rPr>
        <w:t>第三章评标办法</w:t>
      </w:r>
      <w:bookmarkEnd w:id="126"/>
    </w:p>
    <w:p w14:paraId="058D102D">
      <w:pPr>
        <w:spacing w:line="360" w:lineRule="auto"/>
        <w:ind w:firstLine="435"/>
        <w:rPr>
          <w:b/>
          <w:bCs/>
          <w:color w:val="auto"/>
          <w:szCs w:val="21"/>
        </w:rPr>
      </w:pPr>
      <w:r>
        <w:rPr>
          <w:rFonts w:hint="eastAsia"/>
          <w:b/>
          <w:bCs/>
          <w:color w:val="auto"/>
          <w:szCs w:val="21"/>
        </w:rPr>
        <w:t>一、评标原则</w:t>
      </w:r>
    </w:p>
    <w:p w14:paraId="3675E619">
      <w:pPr>
        <w:spacing w:line="420" w:lineRule="exact"/>
        <w:ind w:firstLine="435"/>
        <w:rPr>
          <w:color w:val="auto"/>
          <w:szCs w:val="21"/>
        </w:rPr>
      </w:pPr>
      <w:r>
        <w:rPr>
          <w:rFonts w:hint="eastAsia"/>
          <w:color w:val="auto"/>
          <w:szCs w:val="21"/>
        </w:rPr>
        <w:t>磋商小组构成：本采购项目的磋商小组由评审专家三人以上（含3人）的单数组成，其中专家人数不得少于成员总数的三分之二。</w:t>
      </w:r>
    </w:p>
    <w:p w14:paraId="48EDB2CB">
      <w:pPr>
        <w:spacing w:line="420" w:lineRule="exact"/>
        <w:ind w:firstLine="435"/>
        <w:rPr>
          <w:color w:val="auto"/>
          <w:szCs w:val="21"/>
        </w:rPr>
      </w:pPr>
      <w:r>
        <w:rPr>
          <w:rFonts w:hint="eastAsia"/>
          <w:color w:val="auto"/>
          <w:szCs w:val="21"/>
        </w:rPr>
        <w:t>评标依据：采购文件和磋商响应文件为评定依据。</w:t>
      </w:r>
    </w:p>
    <w:p w14:paraId="04442490">
      <w:pPr>
        <w:spacing w:line="420" w:lineRule="exact"/>
        <w:ind w:firstLine="435"/>
        <w:rPr>
          <w:color w:val="auto"/>
          <w:szCs w:val="21"/>
        </w:rPr>
      </w:pPr>
      <w:r>
        <w:rPr>
          <w:rFonts w:hint="eastAsia"/>
          <w:color w:val="auto"/>
          <w:szCs w:val="21"/>
        </w:rPr>
        <w:t>评标办法：</w:t>
      </w:r>
      <w:r>
        <w:rPr>
          <w:rFonts w:hint="eastAsia" w:ascii="宋体" w:hAnsi="宋体" w:cs="Courier New"/>
          <w:color w:val="auto"/>
          <w:szCs w:val="21"/>
          <w:shd w:val="clear" w:color="auto" w:fill="FFFFFF"/>
        </w:rPr>
        <w:t>采用综合评分法</w:t>
      </w:r>
      <w:r>
        <w:rPr>
          <w:rFonts w:hint="eastAsia"/>
          <w:color w:val="auto"/>
          <w:szCs w:val="21"/>
        </w:rPr>
        <w:t>。</w:t>
      </w:r>
    </w:p>
    <w:p w14:paraId="67D7110E">
      <w:pPr>
        <w:numPr>
          <w:ilvl w:val="0"/>
          <w:numId w:val="2"/>
        </w:numPr>
        <w:spacing w:line="420" w:lineRule="exact"/>
        <w:ind w:firstLine="435"/>
        <w:rPr>
          <w:color w:val="auto"/>
          <w:szCs w:val="21"/>
        </w:rPr>
      </w:pPr>
      <w:r>
        <w:rPr>
          <w:rFonts w:hint="eastAsia"/>
          <w:b/>
          <w:bCs/>
          <w:color w:val="auto"/>
          <w:szCs w:val="21"/>
        </w:rPr>
        <w:t>评定方法：</w:t>
      </w:r>
      <w:r>
        <w:rPr>
          <w:rFonts w:hint="eastAsia"/>
          <w:color w:val="auto"/>
          <w:szCs w:val="21"/>
        </w:rPr>
        <w:t>对资格性和符合性检查合格的磋商响应文件，采用</w:t>
      </w:r>
      <w:r>
        <w:rPr>
          <w:rFonts w:hint="eastAsia" w:ascii="宋体" w:hAnsi="宋体" w:cs="Courier New"/>
          <w:color w:val="auto"/>
          <w:szCs w:val="21"/>
          <w:shd w:val="clear" w:color="auto" w:fill="FFFFFF"/>
        </w:rPr>
        <w:t>综合评分法</w:t>
      </w:r>
      <w:r>
        <w:rPr>
          <w:rFonts w:hint="eastAsia"/>
          <w:color w:val="auto"/>
          <w:szCs w:val="21"/>
        </w:rPr>
        <w:t>进行评审。只有通过了资格审查和符合性评审的供应商，才能进入详细评审程序。</w:t>
      </w:r>
    </w:p>
    <w:tbl>
      <w:tblPr>
        <w:tblStyle w:val="45"/>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3"/>
        <w:gridCol w:w="1276"/>
        <w:gridCol w:w="1559"/>
        <w:gridCol w:w="6078"/>
      </w:tblGrid>
      <w:tr w14:paraId="1264D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693" w:type="dxa"/>
            <w:tcBorders>
              <w:right w:val="single" w:color="auto" w:sz="4" w:space="0"/>
            </w:tcBorders>
            <w:vAlign w:val="center"/>
          </w:tcPr>
          <w:p w14:paraId="081B4936">
            <w:pPr>
              <w:widowControl/>
              <w:spacing w:line="400" w:lineRule="exact"/>
              <w:jc w:val="center"/>
              <w:rPr>
                <w:rFonts w:ascii="宋体" w:hAnsi="宋体" w:cs="宋体"/>
                <w:b/>
                <w:bCs/>
                <w:color w:val="auto"/>
                <w:kern w:val="0"/>
                <w:szCs w:val="21"/>
              </w:rPr>
            </w:pPr>
            <w:r>
              <w:rPr>
                <w:rFonts w:hint="eastAsia" w:ascii="宋体" w:hAnsi="宋体" w:cs="宋体"/>
                <w:b/>
                <w:bCs/>
                <w:color w:val="auto"/>
                <w:kern w:val="0"/>
                <w:szCs w:val="21"/>
              </w:rPr>
              <w:t>序号</w:t>
            </w:r>
          </w:p>
        </w:tc>
        <w:tc>
          <w:tcPr>
            <w:tcW w:w="1276" w:type="dxa"/>
            <w:tcBorders>
              <w:top w:val="single" w:color="auto" w:sz="4" w:space="0"/>
              <w:left w:val="single" w:color="auto" w:sz="4" w:space="0"/>
              <w:bottom w:val="single" w:color="auto" w:sz="4" w:space="0"/>
              <w:right w:val="single" w:color="auto" w:sz="4" w:space="0"/>
            </w:tcBorders>
            <w:vAlign w:val="center"/>
          </w:tcPr>
          <w:p w14:paraId="0D70617A">
            <w:pPr>
              <w:widowControl/>
              <w:spacing w:line="400" w:lineRule="exact"/>
              <w:jc w:val="center"/>
              <w:rPr>
                <w:rFonts w:ascii="宋体" w:hAnsi="宋体" w:cs="宋体"/>
                <w:b/>
                <w:bCs/>
                <w:color w:val="auto"/>
                <w:kern w:val="0"/>
                <w:szCs w:val="21"/>
              </w:rPr>
            </w:pPr>
            <w:r>
              <w:rPr>
                <w:rFonts w:hint="eastAsia" w:ascii="宋体" w:hAnsi="宋体" w:cs="宋体"/>
                <w:b/>
                <w:bCs/>
                <w:color w:val="auto"/>
                <w:kern w:val="0"/>
                <w:szCs w:val="21"/>
              </w:rPr>
              <w:t>评审因素</w:t>
            </w:r>
          </w:p>
        </w:tc>
        <w:tc>
          <w:tcPr>
            <w:tcW w:w="7637" w:type="dxa"/>
            <w:gridSpan w:val="2"/>
            <w:tcBorders>
              <w:left w:val="single" w:color="auto" w:sz="4" w:space="0"/>
            </w:tcBorders>
            <w:vAlign w:val="center"/>
          </w:tcPr>
          <w:p w14:paraId="41D1321C">
            <w:pPr>
              <w:widowControl/>
              <w:spacing w:line="400" w:lineRule="exact"/>
              <w:jc w:val="center"/>
              <w:rPr>
                <w:rFonts w:ascii="宋体" w:hAnsi="宋体" w:cs="宋体"/>
                <w:b/>
                <w:bCs/>
                <w:color w:val="auto"/>
                <w:kern w:val="0"/>
                <w:szCs w:val="21"/>
              </w:rPr>
            </w:pPr>
            <w:r>
              <w:rPr>
                <w:rFonts w:hint="eastAsia" w:ascii="宋体" w:hAnsi="宋体" w:cs="宋体"/>
                <w:b/>
                <w:bCs/>
                <w:color w:val="auto"/>
                <w:kern w:val="0"/>
                <w:szCs w:val="21"/>
              </w:rPr>
              <w:t>评审因素具体内容</w:t>
            </w:r>
          </w:p>
        </w:tc>
      </w:tr>
      <w:tr w14:paraId="61B69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93" w:type="dxa"/>
            <w:tcBorders>
              <w:right w:val="single" w:color="auto" w:sz="4" w:space="0"/>
            </w:tcBorders>
            <w:vAlign w:val="center"/>
          </w:tcPr>
          <w:p w14:paraId="30E7ECEA">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1</w:t>
            </w:r>
          </w:p>
        </w:tc>
        <w:tc>
          <w:tcPr>
            <w:tcW w:w="1276" w:type="dxa"/>
            <w:tcBorders>
              <w:top w:val="single" w:color="auto" w:sz="4" w:space="0"/>
              <w:left w:val="single" w:color="auto" w:sz="4" w:space="0"/>
              <w:bottom w:val="single" w:color="auto" w:sz="4" w:space="0"/>
              <w:right w:val="single" w:color="auto" w:sz="4" w:space="0"/>
            </w:tcBorders>
            <w:vAlign w:val="center"/>
          </w:tcPr>
          <w:p w14:paraId="0B8BD60E">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价格分</w:t>
            </w:r>
          </w:p>
          <w:p w14:paraId="59CF388F">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（30分）</w:t>
            </w:r>
          </w:p>
        </w:tc>
        <w:tc>
          <w:tcPr>
            <w:tcW w:w="7637" w:type="dxa"/>
            <w:gridSpan w:val="2"/>
            <w:tcBorders>
              <w:left w:val="single" w:color="auto" w:sz="4" w:space="0"/>
            </w:tcBorders>
          </w:tcPr>
          <w:p w14:paraId="01F6EF6F">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本项目专门面向</w:t>
            </w:r>
            <w:r>
              <w:rPr>
                <w:rFonts w:hint="eastAsia" w:ascii="宋体" w:hAnsi="宋体" w:cs="宋体"/>
                <w:color w:val="auto"/>
                <w:sz w:val="21"/>
                <w:szCs w:val="21"/>
                <w:highlight w:val="none"/>
                <w:lang w:val="en-US" w:eastAsia="zh-CN"/>
              </w:rPr>
              <w:t>中小微</w:t>
            </w:r>
            <w:r>
              <w:rPr>
                <w:rFonts w:hint="eastAsia" w:ascii="宋体" w:hAnsi="宋体" w:eastAsia="宋体" w:cs="宋体"/>
                <w:color w:val="auto"/>
                <w:sz w:val="21"/>
                <w:szCs w:val="21"/>
                <w:highlight w:val="none"/>
                <w:lang w:val="en-US" w:eastAsia="zh-CN"/>
              </w:rPr>
              <w:t>企业采购，价格不再进行</w:t>
            </w:r>
            <w:r>
              <w:rPr>
                <w:rFonts w:hint="eastAsia" w:ascii="宋体" w:hAnsi="宋体" w:eastAsia="宋体" w:cs="宋体"/>
                <w:color w:val="auto"/>
                <w:sz w:val="21"/>
                <w:szCs w:val="21"/>
                <w:highlight w:val="none"/>
              </w:rPr>
              <w:t>政策性扣除</w:t>
            </w:r>
          </w:p>
          <w:p w14:paraId="22BFAE5D">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评审价＝最后报价。</w:t>
            </w:r>
          </w:p>
          <w:p w14:paraId="354AE4AB">
            <w:pPr>
              <w:pStyle w:val="24"/>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3.以进入比较与评价环节的最低的评审价为基准价，基准价得分为30分。</w:t>
            </w:r>
          </w:p>
          <w:p w14:paraId="7D2B1935">
            <w:pPr>
              <w:pStyle w:val="24"/>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4.价格分计算公式：</w:t>
            </w:r>
          </w:p>
          <w:p w14:paraId="4FBF8796">
            <w:pPr>
              <w:pStyle w:val="24"/>
              <w:spacing w:line="360" w:lineRule="auto"/>
              <w:ind w:firstLine="420" w:firstLineChars="200"/>
              <w:jc w:val="left"/>
              <w:rPr>
                <w:rFonts w:ascii="宋体" w:hAnsi="宋体" w:cs="宋体"/>
                <w:bCs/>
                <w:color w:val="auto"/>
                <w:szCs w:val="21"/>
              </w:rPr>
            </w:pPr>
            <w:r>
              <w:rPr>
                <w:rFonts w:hint="eastAsia" w:ascii="宋体" w:hAnsi="宋体" w:eastAsia="宋体" w:cs="宋体"/>
                <w:color w:val="auto"/>
                <w:sz w:val="21"/>
                <w:szCs w:val="21"/>
                <w:highlight w:val="none"/>
                <w:lang w:val="en-US" w:eastAsia="zh-CN"/>
              </w:rPr>
              <w:t>报价得分=（基准价/评审价）×30分</w:t>
            </w:r>
          </w:p>
        </w:tc>
      </w:tr>
      <w:tr w14:paraId="7D7F2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8" w:hRule="atLeast"/>
          <w:jc w:val="center"/>
        </w:trPr>
        <w:tc>
          <w:tcPr>
            <w:tcW w:w="693" w:type="dxa"/>
            <w:vMerge w:val="restart"/>
            <w:tcBorders>
              <w:right w:val="single" w:color="auto" w:sz="4" w:space="0"/>
            </w:tcBorders>
            <w:vAlign w:val="center"/>
          </w:tcPr>
          <w:p w14:paraId="4B1D7B21">
            <w:pPr>
              <w:autoSpaceDE w:val="0"/>
              <w:autoSpaceDN w:val="0"/>
              <w:spacing w:line="400" w:lineRule="exact"/>
              <w:jc w:val="left"/>
              <w:rPr>
                <w:rFonts w:ascii="宋体" w:hAnsi="宋体"/>
                <w:color w:val="auto"/>
                <w:kern w:val="0"/>
                <w:szCs w:val="21"/>
                <w:lang w:val="ru-RU"/>
              </w:rPr>
            </w:pPr>
            <w:r>
              <w:rPr>
                <w:rFonts w:hint="eastAsia" w:ascii="宋体" w:hAnsi="宋体" w:cs="宋体"/>
                <w:color w:val="auto"/>
                <w:kern w:val="0"/>
                <w:szCs w:val="21"/>
              </w:rPr>
              <w:t>2、</w:t>
            </w:r>
            <w:r>
              <w:rPr>
                <w:rFonts w:hint="eastAsia" w:ascii="宋体" w:hAnsi="宋体" w:cs="宋体"/>
                <w:color w:val="auto"/>
                <w:kern w:val="0"/>
                <w:szCs w:val="21"/>
                <w:lang w:val="ru-RU"/>
              </w:rPr>
              <w:t>技术部分（</w:t>
            </w:r>
            <w:r>
              <w:rPr>
                <w:rFonts w:hint="eastAsia" w:ascii="宋体" w:hAnsi="宋体" w:cs="宋体"/>
                <w:color w:val="auto"/>
                <w:spacing w:val="2"/>
                <w:kern w:val="0"/>
                <w:szCs w:val="21"/>
                <w:lang w:val="ru-RU"/>
              </w:rPr>
              <w:t>满分</w:t>
            </w:r>
            <w:r>
              <w:rPr>
                <w:rFonts w:hint="eastAsia"/>
                <w:color w:val="auto"/>
                <w:spacing w:val="1"/>
                <w:kern w:val="0"/>
                <w:szCs w:val="21"/>
              </w:rPr>
              <w:t>70</w:t>
            </w:r>
            <w:r>
              <w:rPr>
                <w:rFonts w:hint="eastAsia" w:ascii="宋体" w:hAnsi="宋体" w:cs="宋体"/>
                <w:color w:val="auto"/>
                <w:kern w:val="0"/>
                <w:szCs w:val="21"/>
                <w:lang w:val="ru-RU"/>
              </w:rPr>
              <w:t>分）</w:t>
            </w:r>
          </w:p>
        </w:tc>
        <w:tc>
          <w:tcPr>
            <w:tcW w:w="1276" w:type="dxa"/>
            <w:vMerge w:val="restart"/>
            <w:tcBorders>
              <w:top w:val="single" w:color="auto" w:sz="4" w:space="0"/>
              <w:left w:val="single" w:color="auto" w:sz="4" w:space="0"/>
              <w:right w:val="single" w:color="auto" w:sz="4" w:space="0"/>
            </w:tcBorders>
            <w:vAlign w:val="center"/>
          </w:tcPr>
          <w:p w14:paraId="28B5E190">
            <w:pPr>
              <w:autoSpaceDE w:val="0"/>
              <w:autoSpaceDN w:val="0"/>
              <w:spacing w:line="400" w:lineRule="exact"/>
              <w:jc w:val="left"/>
              <w:rPr>
                <w:rFonts w:ascii="宋体" w:hAnsi="宋体"/>
                <w:color w:val="auto"/>
                <w:kern w:val="0"/>
                <w:szCs w:val="21"/>
                <w:lang w:val="ru-RU"/>
              </w:rPr>
            </w:pPr>
            <w:r>
              <w:rPr>
                <w:rFonts w:hint="eastAsia" w:ascii="宋体" w:hAnsi="宋体" w:cs="宋体"/>
                <w:color w:val="auto"/>
                <w:spacing w:val="1"/>
                <w:kern w:val="0"/>
                <w:szCs w:val="21"/>
                <w:lang w:val="ru-RU"/>
              </w:rPr>
              <w:t>项目管理机构</w:t>
            </w:r>
            <w:r>
              <w:rPr>
                <w:rFonts w:hint="eastAsia" w:ascii="宋体" w:hAnsi="宋体" w:cs="宋体"/>
                <w:color w:val="auto"/>
                <w:spacing w:val="2"/>
                <w:kern w:val="0"/>
                <w:szCs w:val="21"/>
                <w:lang w:val="ru-RU"/>
              </w:rPr>
              <w:t>（满分</w:t>
            </w:r>
            <w:r>
              <w:rPr>
                <w:rFonts w:hint="eastAsia"/>
                <w:color w:val="auto"/>
                <w:kern w:val="0"/>
                <w:szCs w:val="21"/>
              </w:rPr>
              <w:t>2</w:t>
            </w:r>
            <w:r>
              <w:rPr>
                <w:color w:val="auto"/>
                <w:kern w:val="0"/>
                <w:szCs w:val="21"/>
                <w:lang w:val="ru-RU"/>
              </w:rPr>
              <w:t>0</w:t>
            </w:r>
            <w:r>
              <w:rPr>
                <w:rFonts w:hint="eastAsia" w:ascii="宋体" w:hAnsi="宋体" w:cs="宋体"/>
                <w:color w:val="auto"/>
                <w:kern w:val="0"/>
                <w:szCs w:val="21"/>
                <w:lang w:val="ru-RU"/>
              </w:rPr>
              <w:t>分）</w:t>
            </w:r>
          </w:p>
          <w:p w14:paraId="75094AC0">
            <w:pPr>
              <w:spacing w:line="400" w:lineRule="exact"/>
              <w:rPr>
                <w:rFonts w:ascii="宋体" w:hAnsi="宋体"/>
                <w:color w:val="auto"/>
                <w:szCs w:val="21"/>
                <w:lang w:val="ru-RU"/>
              </w:rPr>
            </w:pPr>
          </w:p>
        </w:tc>
        <w:tc>
          <w:tcPr>
            <w:tcW w:w="1559" w:type="dxa"/>
            <w:tcBorders>
              <w:left w:val="single" w:color="auto" w:sz="4" w:space="0"/>
            </w:tcBorders>
            <w:vAlign w:val="center"/>
          </w:tcPr>
          <w:p w14:paraId="476F87D7">
            <w:pPr>
              <w:spacing w:line="400" w:lineRule="exact"/>
              <w:rPr>
                <w:rFonts w:ascii="宋体" w:hAnsi="宋体"/>
                <w:color w:val="auto"/>
                <w:szCs w:val="21"/>
              </w:rPr>
            </w:pPr>
            <w:r>
              <w:rPr>
                <w:rFonts w:hint="eastAsia" w:ascii="宋体" w:hAnsi="宋体"/>
                <w:color w:val="auto"/>
                <w:szCs w:val="21"/>
              </w:rPr>
              <w:t>项目经理</w:t>
            </w:r>
            <w:r>
              <w:rPr>
                <w:rFonts w:hint="eastAsia" w:ascii="宋体" w:hAnsi="宋体"/>
                <w:color w:val="auto"/>
                <w:szCs w:val="21"/>
                <w:lang w:eastAsia="zh-CN"/>
              </w:rPr>
              <w:t>、技术负责人</w:t>
            </w:r>
            <w:r>
              <w:rPr>
                <w:rFonts w:hint="eastAsia" w:ascii="宋体" w:hAnsi="宋体"/>
                <w:color w:val="auto"/>
                <w:szCs w:val="21"/>
              </w:rPr>
              <w:t>任职资格与业绩、工作经历等（</w:t>
            </w:r>
            <w:r>
              <w:rPr>
                <w:rFonts w:hint="eastAsia" w:ascii="宋体" w:hAnsi="宋体" w:cs="宋体"/>
                <w:color w:val="auto"/>
                <w:spacing w:val="2"/>
                <w:szCs w:val="21"/>
              </w:rPr>
              <w:t>满分</w:t>
            </w:r>
            <w:r>
              <w:rPr>
                <w:rFonts w:hint="eastAsia" w:ascii="宋体" w:hAnsi="宋体"/>
                <w:color w:val="auto"/>
                <w:szCs w:val="21"/>
              </w:rPr>
              <w:t>10分）</w:t>
            </w:r>
          </w:p>
        </w:tc>
        <w:tc>
          <w:tcPr>
            <w:tcW w:w="6078" w:type="dxa"/>
            <w:vAlign w:val="center"/>
          </w:tcPr>
          <w:p w14:paraId="78D13F16">
            <w:pPr>
              <w:numPr>
                <w:ilvl w:val="0"/>
                <w:numId w:val="3"/>
              </w:numPr>
              <w:spacing w:line="400" w:lineRule="exact"/>
              <w:rPr>
                <w:rFonts w:ascii="宋体" w:hAnsi="宋体" w:cs="微软雅黑"/>
                <w:color w:val="auto"/>
                <w:kern w:val="0"/>
                <w:szCs w:val="21"/>
              </w:rPr>
            </w:pPr>
            <w:r>
              <w:rPr>
                <w:rFonts w:hint="eastAsia" w:ascii="宋体" w:hAnsi="宋体" w:cs="微软雅黑"/>
                <w:color w:val="auto"/>
                <w:kern w:val="0"/>
                <w:szCs w:val="21"/>
              </w:rPr>
              <w:t xml:space="preserve">项目经理资质：项目经理满足采购文件资格要求的得 </w:t>
            </w:r>
            <w:r>
              <w:rPr>
                <w:rFonts w:ascii="宋体" w:hAnsi="宋体" w:cs="微软雅黑"/>
                <w:color w:val="auto"/>
                <w:kern w:val="0"/>
                <w:szCs w:val="21"/>
              </w:rPr>
              <w:t>4</w:t>
            </w:r>
            <w:r>
              <w:rPr>
                <w:rFonts w:hint="eastAsia" w:ascii="宋体" w:hAnsi="宋体" w:cs="微软雅黑"/>
                <w:color w:val="auto"/>
                <w:kern w:val="0"/>
                <w:szCs w:val="21"/>
              </w:rPr>
              <w:t>分。（2）项目经理职称：具备初级或以上工程师职称的、或者具有大学专科或以上学历得3分。</w:t>
            </w:r>
          </w:p>
          <w:p w14:paraId="3FCFBC91">
            <w:pPr>
              <w:spacing w:line="400" w:lineRule="exact"/>
              <w:rPr>
                <w:rFonts w:ascii="宋体" w:hAnsi="宋体"/>
                <w:color w:val="auto"/>
                <w:szCs w:val="21"/>
              </w:rPr>
            </w:pPr>
            <w:r>
              <w:rPr>
                <w:rFonts w:hint="eastAsia" w:ascii="宋体" w:hAnsi="宋体"/>
                <w:color w:val="auto"/>
                <w:szCs w:val="21"/>
              </w:rPr>
              <w:t>（3）拟派任技术负责人具备中级及以上职称的得3 分。</w:t>
            </w:r>
          </w:p>
        </w:tc>
      </w:tr>
      <w:tr w14:paraId="5694E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693" w:type="dxa"/>
            <w:vMerge w:val="continue"/>
            <w:tcBorders>
              <w:right w:val="single" w:color="auto" w:sz="4" w:space="0"/>
            </w:tcBorders>
            <w:vAlign w:val="center"/>
          </w:tcPr>
          <w:p w14:paraId="6CFC3CD7">
            <w:pPr>
              <w:autoSpaceDE w:val="0"/>
              <w:autoSpaceDN w:val="0"/>
              <w:spacing w:line="400" w:lineRule="exact"/>
              <w:jc w:val="left"/>
              <w:rPr>
                <w:rFonts w:ascii="宋体" w:hAnsi="宋体" w:cs="宋体"/>
                <w:color w:val="auto"/>
                <w:kern w:val="0"/>
                <w:szCs w:val="21"/>
                <w:lang w:val="ru-RU"/>
              </w:rPr>
            </w:pPr>
          </w:p>
        </w:tc>
        <w:tc>
          <w:tcPr>
            <w:tcW w:w="1276" w:type="dxa"/>
            <w:vMerge w:val="continue"/>
            <w:tcBorders>
              <w:left w:val="single" w:color="auto" w:sz="4" w:space="0"/>
              <w:right w:val="single" w:color="auto" w:sz="4" w:space="0"/>
            </w:tcBorders>
            <w:vAlign w:val="center"/>
          </w:tcPr>
          <w:p w14:paraId="37D5E39F">
            <w:pPr>
              <w:spacing w:line="400" w:lineRule="exact"/>
              <w:rPr>
                <w:rFonts w:ascii="宋体" w:hAnsi="宋体"/>
                <w:color w:val="auto"/>
                <w:szCs w:val="21"/>
              </w:rPr>
            </w:pPr>
          </w:p>
        </w:tc>
        <w:tc>
          <w:tcPr>
            <w:tcW w:w="1559" w:type="dxa"/>
            <w:tcBorders>
              <w:left w:val="single" w:color="auto" w:sz="4" w:space="0"/>
            </w:tcBorders>
            <w:vAlign w:val="center"/>
          </w:tcPr>
          <w:p w14:paraId="69947121">
            <w:pPr>
              <w:autoSpaceDE w:val="0"/>
              <w:autoSpaceDN w:val="0"/>
              <w:spacing w:line="400" w:lineRule="exact"/>
              <w:jc w:val="left"/>
              <w:rPr>
                <w:rFonts w:ascii="宋体" w:hAnsi="宋体" w:cs="宋体"/>
                <w:color w:val="auto"/>
                <w:spacing w:val="-21"/>
                <w:kern w:val="0"/>
                <w:szCs w:val="21"/>
                <w:lang w:val="ru-RU"/>
              </w:rPr>
            </w:pPr>
            <w:r>
              <w:rPr>
                <w:rFonts w:hint="eastAsia" w:ascii="宋体" w:hAnsi="宋体" w:cs="宋体"/>
                <w:color w:val="auto"/>
                <w:kern w:val="0"/>
                <w:szCs w:val="21"/>
                <w:lang w:val="ru-RU"/>
              </w:rPr>
              <w:t>其他主要</w:t>
            </w:r>
            <w:r>
              <w:rPr>
                <w:rFonts w:hint="eastAsia" w:ascii="宋体" w:hAnsi="宋体" w:cs="宋体"/>
                <w:color w:val="auto"/>
                <w:spacing w:val="-21"/>
                <w:kern w:val="0"/>
                <w:szCs w:val="21"/>
                <w:lang w:val="ru-RU"/>
              </w:rPr>
              <w:t>人员</w:t>
            </w:r>
          </w:p>
          <w:p w14:paraId="5ED2AC77">
            <w:pPr>
              <w:autoSpaceDE w:val="0"/>
              <w:autoSpaceDN w:val="0"/>
              <w:spacing w:line="400" w:lineRule="exact"/>
              <w:jc w:val="left"/>
              <w:rPr>
                <w:rFonts w:ascii="宋体" w:hAnsi="宋体"/>
                <w:color w:val="auto"/>
                <w:kern w:val="0"/>
                <w:szCs w:val="21"/>
                <w:lang w:val="ru-RU"/>
              </w:rPr>
            </w:pPr>
            <w:r>
              <w:rPr>
                <w:rFonts w:hint="eastAsia" w:ascii="宋体" w:hAnsi="宋体" w:cs="宋体"/>
                <w:color w:val="auto"/>
                <w:spacing w:val="-21"/>
                <w:kern w:val="0"/>
                <w:szCs w:val="21"/>
                <w:lang w:val="ru-RU"/>
              </w:rPr>
              <w:t>（</w:t>
            </w:r>
            <w:r>
              <w:rPr>
                <w:rFonts w:hint="eastAsia" w:ascii="宋体" w:hAnsi="宋体" w:cs="宋体"/>
                <w:color w:val="auto"/>
                <w:spacing w:val="2"/>
                <w:kern w:val="0"/>
                <w:szCs w:val="21"/>
                <w:lang w:val="ru-RU"/>
              </w:rPr>
              <w:t>满分</w:t>
            </w:r>
            <w:r>
              <w:rPr>
                <w:rFonts w:hint="eastAsia"/>
                <w:color w:val="auto"/>
                <w:kern w:val="0"/>
                <w:szCs w:val="21"/>
              </w:rPr>
              <w:t>10</w:t>
            </w:r>
            <w:r>
              <w:rPr>
                <w:rFonts w:hint="eastAsia" w:ascii="宋体" w:hAnsi="宋体" w:cs="宋体"/>
                <w:color w:val="auto"/>
                <w:spacing w:val="1"/>
                <w:kern w:val="0"/>
                <w:szCs w:val="21"/>
                <w:lang w:val="ru-RU"/>
              </w:rPr>
              <w:t>分）</w:t>
            </w:r>
          </w:p>
        </w:tc>
        <w:tc>
          <w:tcPr>
            <w:tcW w:w="6078" w:type="dxa"/>
            <w:vAlign w:val="center"/>
          </w:tcPr>
          <w:p w14:paraId="4DAD12FA">
            <w:pPr>
              <w:spacing w:line="360" w:lineRule="auto"/>
              <w:rPr>
                <w:color w:val="auto"/>
                <w:szCs w:val="21"/>
              </w:rPr>
            </w:pPr>
            <w:r>
              <w:rPr>
                <w:rFonts w:hint="eastAsia"/>
                <w:color w:val="auto"/>
                <w:szCs w:val="21"/>
              </w:rPr>
              <w:t>基本要求：</w:t>
            </w:r>
            <w:r>
              <w:rPr>
                <w:color w:val="auto"/>
                <w:szCs w:val="21"/>
              </w:rPr>
              <w:t>人员齐备、专业配套</w:t>
            </w:r>
            <w:r>
              <w:rPr>
                <w:rFonts w:hint="eastAsia"/>
                <w:color w:val="auto"/>
                <w:szCs w:val="21"/>
              </w:rPr>
              <w:t>应</w:t>
            </w:r>
            <w:r>
              <w:rPr>
                <w:rFonts w:hint="eastAsia" w:cs="宋体"/>
                <w:color w:val="auto"/>
                <w:szCs w:val="21"/>
              </w:rPr>
              <w:t>具备相关施工现场专业人员职业培训合格证书（拟派驻本项目的技术负责人应具有初级及以上职称证件，安全员、施工员、质量员、材料员应具有相应施工现场专业人员职业培训合格证书，且拟投入的项目管理人员符合国家及广西壮族自治区的规定）</w:t>
            </w:r>
          </w:p>
          <w:p w14:paraId="7349F6E2">
            <w:pPr>
              <w:spacing w:line="360" w:lineRule="auto"/>
              <w:rPr>
                <w:color w:val="auto"/>
                <w:szCs w:val="21"/>
              </w:rPr>
            </w:pPr>
            <w:r>
              <w:rPr>
                <w:rFonts w:hint="eastAsia"/>
                <w:color w:val="auto"/>
                <w:szCs w:val="21"/>
              </w:rPr>
              <w:t>评分内容：</w:t>
            </w:r>
          </w:p>
          <w:p w14:paraId="53B59B21">
            <w:pPr>
              <w:spacing w:line="360" w:lineRule="auto"/>
              <w:rPr>
                <w:color w:val="auto"/>
                <w:szCs w:val="21"/>
              </w:rPr>
            </w:pPr>
            <w:r>
              <w:rPr>
                <w:rFonts w:hint="eastAsia"/>
                <w:color w:val="auto"/>
                <w:szCs w:val="21"/>
              </w:rPr>
              <w:t>优（10.0分）：完全满足施工需要，管理人员配备齐全且经验及综合素质优秀。</w:t>
            </w:r>
          </w:p>
          <w:p w14:paraId="3DAC3013">
            <w:pPr>
              <w:spacing w:line="360" w:lineRule="auto"/>
              <w:rPr>
                <w:color w:val="auto"/>
                <w:szCs w:val="21"/>
              </w:rPr>
            </w:pPr>
            <w:r>
              <w:rPr>
                <w:rFonts w:hint="eastAsia"/>
                <w:color w:val="auto"/>
                <w:szCs w:val="21"/>
              </w:rPr>
              <w:t>良（6.0分）：基本满足施工需要，管理人员配备齐全。</w:t>
            </w:r>
          </w:p>
          <w:p w14:paraId="139BBD8F">
            <w:pPr>
              <w:spacing w:line="400" w:lineRule="exact"/>
              <w:rPr>
                <w:rFonts w:ascii="宋体" w:hAnsi="宋体"/>
                <w:color w:val="auto"/>
                <w:szCs w:val="21"/>
              </w:rPr>
            </w:pPr>
            <w:r>
              <w:rPr>
                <w:rFonts w:hint="eastAsia"/>
                <w:color w:val="auto"/>
                <w:szCs w:val="21"/>
              </w:rPr>
              <w:t> 差（3.0分）:不满足施工需要，管理人员配备不齐全。</w:t>
            </w:r>
          </w:p>
        </w:tc>
      </w:tr>
      <w:tr w14:paraId="5D391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6" w:hRule="atLeast"/>
          <w:jc w:val="center"/>
        </w:trPr>
        <w:tc>
          <w:tcPr>
            <w:tcW w:w="693" w:type="dxa"/>
            <w:vMerge w:val="continue"/>
            <w:tcBorders>
              <w:right w:val="single" w:color="auto" w:sz="4" w:space="0"/>
            </w:tcBorders>
            <w:vAlign w:val="center"/>
          </w:tcPr>
          <w:p w14:paraId="29938914">
            <w:pPr>
              <w:spacing w:line="400" w:lineRule="exact"/>
              <w:rPr>
                <w:rFonts w:ascii="宋体" w:hAnsi="宋体"/>
                <w:color w:val="auto"/>
                <w:szCs w:val="21"/>
              </w:rPr>
            </w:pPr>
          </w:p>
        </w:tc>
        <w:tc>
          <w:tcPr>
            <w:tcW w:w="1276" w:type="dxa"/>
            <w:vMerge w:val="restart"/>
            <w:tcBorders>
              <w:left w:val="single" w:color="auto" w:sz="4" w:space="0"/>
            </w:tcBorders>
            <w:vAlign w:val="center"/>
          </w:tcPr>
          <w:p w14:paraId="7DAB08DE">
            <w:pPr>
              <w:autoSpaceDE w:val="0"/>
              <w:autoSpaceDN w:val="0"/>
              <w:spacing w:line="400" w:lineRule="exact"/>
              <w:jc w:val="left"/>
              <w:rPr>
                <w:rFonts w:ascii="宋体" w:hAnsi="宋体"/>
                <w:color w:val="auto"/>
                <w:kern w:val="0"/>
                <w:szCs w:val="21"/>
                <w:lang w:val="ru-RU"/>
              </w:rPr>
            </w:pPr>
            <w:r>
              <w:rPr>
                <w:rFonts w:hint="eastAsia" w:ascii="宋体" w:hAnsi="宋体" w:cs="宋体"/>
                <w:color w:val="auto"/>
                <w:spacing w:val="1"/>
                <w:kern w:val="0"/>
                <w:szCs w:val="21"/>
                <w:lang w:val="ru-RU"/>
              </w:rPr>
              <w:t>施工组织设计</w:t>
            </w:r>
            <w:r>
              <w:rPr>
                <w:rFonts w:hint="eastAsia" w:ascii="宋体" w:hAnsi="宋体" w:cs="宋体"/>
                <w:color w:val="auto"/>
                <w:kern w:val="0"/>
                <w:szCs w:val="21"/>
                <w:lang w:val="ru-RU"/>
              </w:rPr>
              <w:t>（</w:t>
            </w:r>
            <w:r>
              <w:rPr>
                <w:rFonts w:hint="eastAsia" w:ascii="宋体" w:hAnsi="宋体" w:cs="宋体"/>
                <w:color w:val="auto"/>
                <w:spacing w:val="2"/>
                <w:kern w:val="0"/>
                <w:szCs w:val="21"/>
                <w:lang w:val="ru-RU"/>
              </w:rPr>
              <w:t>满分</w:t>
            </w:r>
            <w:r>
              <w:rPr>
                <w:color w:val="auto"/>
                <w:spacing w:val="-1"/>
                <w:kern w:val="0"/>
                <w:szCs w:val="21"/>
                <w:lang w:val="ru-RU"/>
              </w:rPr>
              <w:t>50</w:t>
            </w:r>
            <w:r>
              <w:rPr>
                <w:rFonts w:hint="eastAsia" w:ascii="宋体" w:hAnsi="宋体"/>
                <w:color w:val="auto"/>
                <w:spacing w:val="-1"/>
                <w:kern w:val="0"/>
                <w:szCs w:val="21"/>
                <w:lang w:val="ru-RU"/>
              </w:rPr>
              <w:t>分</w:t>
            </w:r>
            <w:r>
              <w:rPr>
                <w:rFonts w:hint="eastAsia" w:ascii="宋体" w:hAnsi="宋体" w:cs="宋体"/>
                <w:color w:val="auto"/>
                <w:kern w:val="0"/>
                <w:szCs w:val="21"/>
                <w:lang w:val="ru-RU"/>
              </w:rPr>
              <w:t>）</w:t>
            </w:r>
          </w:p>
          <w:p w14:paraId="52E18F72">
            <w:pPr>
              <w:spacing w:line="400" w:lineRule="exact"/>
              <w:rPr>
                <w:rFonts w:ascii="宋体" w:hAnsi="宋体"/>
                <w:color w:val="auto"/>
                <w:szCs w:val="21"/>
              </w:rPr>
            </w:pPr>
          </w:p>
        </w:tc>
        <w:tc>
          <w:tcPr>
            <w:tcW w:w="1559" w:type="dxa"/>
            <w:vAlign w:val="center"/>
          </w:tcPr>
          <w:p w14:paraId="3399A76F">
            <w:pPr>
              <w:spacing w:line="400" w:lineRule="exact"/>
              <w:rPr>
                <w:rFonts w:ascii="宋体" w:hAnsi="宋体" w:cs="微软雅黑"/>
                <w:color w:val="auto"/>
                <w:kern w:val="0"/>
                <w:szCs w:val="21"/>
              </w:rPr>
            </w:pPr>
            <w:r>
              <w:rPr>
                <w:rFonts w:hint="eastAsia" w:ascii="宋体" w:hAnsi="宋体" w:cs="微软雅黑"/>
                <w:color w:val="auto"/>
                <w:kern w:val="0"/>
                <w:szCs w:val="21"/>
              </w:rPr>
              <w:t>主要施工方法</w:t>
            </w:r>
          </w:p>
          <w:p w14:paraId="0A628CD6">
            <w:pPr>
              <w:spacing w:line="400" w:lineRule="exact"/>
              <w:rPr>
                <w:rFonts w:ascii="宋体" w:hAnsi="宋体" w:cs="微软雅黑"/>
                <w:color w:val="auto"/>
                <w:kern w:val="0"/>
                <w:szCs w:val="21"/>
              </w:rPr>
            </w:pPr>
            <w:r>
              <w:rPr>
                <w:rFonts w:hint="eastAsia" w:ascii="宋体" w:hAnsi="宋体" w:cs="微软雅黑"/>
                <w:color w:val="auto"/>
                <w:kern w:val="0"/>
                <w:szCs w:val="21"/>
              </w:rPr>
              <w:t>（满分</w:t>
            </w:r>
            <w:r>
              <w:rPr>
                <w:rFonts w:hint="eastAsia" w:ascii="宋体" w:hAnsi="宋体" w:cs="微软雅黑"/>
                <w:color w:val="auto"/>
                <w:kern w:val="0"/>
                <w:szCs w:val="21"/>
                <w:lang w:val="en-US" w:eastAsia="zh-CN"/>
              </w:rPr>
              <w:t>10</w:t>
            </w:r>
            <w:r>
              <w:rPr>
                <w:rFonts w:hint="eastAsia" w:ascii="宋体" w:hAnsi="宋体" w:cs="微软雅黑"/>
                <w:color w:val="auto"/>
                <w:kern w:val="0"/>
                <w:szCs w:val="21"/>
              </w:rPr>
              <w:t>分）</w:t>
            </w:r>
          </w:p>
          <w:p w14:paraId="64322A02">
            <w:pPr>
              <w:spacing w:line="400" w:lineRule="exact"/>
              <w:rPr>
                <w:rFonts w:ascii="宋体" w:hAnsi="宋体" w:cs="微软雅黑"/>
                <w:color w:val="auto"/>
                <w:kern w:val="0"/>
                <w:szCs w:val="21"/>
              </w:rPr>
            </w:pPr>
          </w:p>
        </w:tc>
        <w:tc>
          <w:tcPr>
            <w:tcW w:w="6078" w:type="dxa"/>
            <w:vAlign w:val="center"/>
          </w:tcPr>
          <w:p w14:paraId="21F2F298">
            <w:pPr>
              <w:spacing w:line="400" w:lineRule="exact"/>
              <w:rPr>
                <w:color w:val="auto"/>
                <w:szCs w:val="21"/>
              </w:rPr>
            </w:pPr>
            <w:r>
              <w:rPr>
                <w:rFonts w:hint="eastAsia" w:ascii="宋体" w:hAnsi="宋体" w:cs="微软雅黑"/>
                <w:color w:val="auto"/>
                <w:kern w:val="0"/>
                <w:szCs w:val="21"/>
              </w:rPr>
              <w:t>四档（</w:t>
            </w:r>
            <w:r>
              <w:rPr>
                <w:rFonts w:hint="eastAsia" w:ascii="宋体" w:hAnsi="宋体" w:cs="微软雅黑"/>
                <w:color w:val="auto"/>
                <w:kern w:val="0"/>
                <w:szCs w:val="21"/>
                <w:lang w:val="en-US" w:eastAsia="zh-CN"/>
              </w:rPr>
              <w:t>10</w:t>
            </w:r>
            <w:r>
              <w:rPr>
                <w:rFonts w:hint="eastAsia" w:ascii="宋体" w:hAnsi="宋体" w:cs="微软雅黑"/>
                <w:color w:val="auto"/>
                <w:kern w:val="0"/>
                <w:szCs w:val="21"/>
              </w:rPr>
              <w:t>分）</w:t>
            </w:r>
            <w:r>
              <w:rPr>
                <w:color w:val="auto"/>
                <w:szCs w:val="21"/>
              </w:rPr>
              <w:t>各主要分部施工方法针对性强，施工技术方案详尽周密，工艺先进、方法科学、可行，能很好的指导具体施工并确保安全。</w:t>
            </w:r>
          </w:p>
          <w:p w14:paraId="08D2D6EC">
            <w:pPr>
              <w:spacing w:line="400" w:lineRule="exact"/>
              <w:rPr>
                <w:rFonts w:ascii="宋体" w:hAnsi="宋体" w:cs="微软雅黑"/>
                <w:color w:val="auto"/>
                <w:kern w:val="0"/>
                <w:szCs w:val="21"/>
              </w:rPr>
            </w:pPr>
            <w:r>
              <w:rPr>
                <w:rFonts w:hint="eastAsia" w:ascii="宋体" w:hAnsi="宋体" w:cs="微软雅黑"/>
                <w:color w:val="auto"/>
                <w:kern w:val="0"/>
                <w:szCs w:val="21"/>
              </w:rPr>
              <w:t>三档（</w:t>
            </w:r>
            <w:r>
              <w:rPr>
                <w:rFonts w:hint="eastAsia" w:ascii="宋体" w:hAnsi="宋体" w:cs="微软雅黑"/>
                <w:color w:val="auto"/>
                <w:kern w:val="0"/>
                <w:szCs w:val="21"/>
                <w:lang w:val="en-US" w:eastAsia="zh-CN"/>
              </w:rPr>
              <w:t>7</w:t>
            </w:r>
            <w:r>
              <w:rPr>
                <w:rFonts w:hint="eastAsia" w:ascii="宋体" w:hAnsi="宋体" w:cs="微软雅黑"/>
                <w:color w:val="auto"/>
                <w:kern w:val="0"/>
                <w:szCs w:val="21"/>
              </w:rPr>
              <w:t>分）</w:t>
            </w:r>
            <w:r>
              <w:rPr>
                <w:color w:val="auto"/>
                <w:szCs w:val="21"/>
              </w:rPr>
              <w:t>各主要分部施工方法符合项目实际，施工技术方案齐全，工艺成熟、方法合理、可行，能指导具体施工并确保安全。</w:t>
            </w:r>
            <w:r>
              <w:rPr>
                <w:rFonts w:hint="eastAsia" w:ascii="宋体" w:hAnsi="宋体" w:cs="微软雅黑"/>
                <w:color w:val="auto"/>
                <w:kern w:val="0"/>
                <w:szCs w:val="21"/>
              </w:rPr>
              <w:t>。</w:t>
            </w:r>
          </w:p>
          <w:p w14:paraId="09F60D9D">
            <w:pPr>
              <w:spacing w:line="400" w:lineRule="exact"/>
              <w:rPr>
                <w:rFonts w:ascii="宋体" w:hAnsi="宋体" w:cs="微软雅黑"/>
                <w:color w:val="auto"/>
                <w:kern w:val="0"/>
                <w:szCs w:val="21"/>
              </w:rPr>
            </w:pPr>
            <w:r>
              <w:rPr>
                <w:rFonts w:hint="eastAsia" w:ascii="宋体" w:hAnsi="宋体" w:cs="微软雅黑"/>
                <w:color w:val="auto"/>
                <w:kern w:val="0"/>
                <w:szCs w:val="21"/>
              </w:rPr>
              <w:t>二档（</w:t>
            </w:r>
            <w:r>
              <w:rPr>
                <w:rFonts w:hint="eastAsia" w:ascii="宋体" w:hAnsi="宋体" w:cs="微软雅黑"/>
                <w:color w:val="auto"/>
                <w:kern w:val="0"/>
                <w:szCs w:val="21"/>
                <w:lang w:val="en-US" w:eastAsia="zh-CN"/>
              </w:rPr>
              <w:t>4</w:t>
            </w:r>
            <w:r>
              <w:rPr>
                <w:rFonts w:hint="eastAsia" w:ascii="宋体" w:hAnsi="宋体" w:cs="微软雅黑"/>
                <w:color w:val="auto"/>
                <w:kern w:val="0"/>
                <w:szCs w:val="21"/>
              </w:rPr>
              <w:t xml:space="preserve"> 分）</w:t>
            </w:r>
            <w:r>
              <w:rPr>
                <w:color w:val="auto"/>
                <w:szCs w:val="21"/>
              </w:rPr>
              <w:t>各主要分部施工方法基本符合项目实际，施工技术方案基本齐全，方法基本合理、基本可行，基本能指导具体施工并确保安全</w:t>
            </w:r>
            <w:r>
              <w:rPr>
                <w:rFonts w:hint="eastAsia" w:ascii="宋体" w:hAnsi="宋体" w:cs="微软雅黑"/>
                <w:color w:val="auto"/>
                <w:kern w:val="0"/>
                <w:szCs w:val="21"/>
              </w:rPr>
              <w:t>。</w:t>
            </w:r>
          </w:p>
          <w:p w14:paraId="074F5770">
            <w:pPr>
              <w:spacing w:line="400" w:lineRule="exact"/>
              <w:rPr>
                <w:rFonts w:ascii="宋体" w:hAnsi="宋体" w:cs="微软雅黑"/>
                <w:color w:val="auto"/>
                <w:kern w:val="0"/>
                <w:szCs w:val="21"/>
              </w:rPr>
            </w:pPr>
            <w:r>
              <w:rPr>
                <w:rFonts w:hint="eastAsia" w:ascii="宋体" w:hAnsi="宋体" w:cs="微软雅黑"/>
                <w:color w:val="auto"/>
                <w:kern w:val="0"/>
                <w:szCs w:val="21"/>
              </w:rPr>
              <w:t>一档（1 分）各主要分部施工方法不符合项目实际，有施工技术方案，工艺一般，不能指导具体施工并确保安全。</w:t>
            </w:r>
          </w:p>
        </w:tc>
      </w:tr>
      <w:tr w14:paraId="5DAD6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693" w:type="dxa"/>
            <w:vMerge w:val="continue"/>
            <w:tcBorders>
              <w:right w:val="single" w:color="auto" w:sz="4" w:space="0"/>
            </w:tcBorders>
            <w:vAlign w:val="center"/>
          </w:tcPr>
          <w:p w14:paraId="23E8DD16">
            <w:pPr>
              <w:spacing w:line="400" w:lineRule="exact"/>
              <w:rPr>
                <w:rFonts w:ascii="宋体" w:hAnsi="宋体"/>
                <w:color w:val="auto"/>
                <w:szCs w:val="21"/>
              </w:rPr>
            </w:pPr>
          </w:p>
        </w:tc>
        <w:tc>
          <w:tcPr>
            <w:tcW w:w="1276" w:type="dxa"/>
            <w:vMerge w:val="continue"/>
            <w:tcBorders>
              <w:left w:val="single" w:color="auto" w:sz="4" w:space="0"/>
            </w:tcBorders>
            <w:vAlign w:val="center"/>
          </w:tcPr>
          <w:p w14:paraId="2375CC1B">
            <w:pPr>
              <w:spacing w:line="400" w:lineRule="exact"/>
              <w:rPr>
                <w:rFonts w:ascii="宋体" w:hAnsi="宋体"/>
                <w:color w:val="auto"/>
                <w:szCs w:val="21"/>
              </w:rPr>
            </w:pPr>
          </w:p>
        </w:tc>
        <w:tc>
          <w:tcPr>
            <w:tcW w:w="1559" w:type="dxa"/>
            <w:vAlign w:val="center"/>
          </w:tcPr>
          <w:p w14:paraId="2F193543">
            <w:pPr>
              <w:spacing w:line="400" w:lineRule="exact"/>
              <w:rPr>
                <w:rFonts w:ascii="宋体" w:hAnsi="宋体" w:cs="微软雅黑"/>
                <w:color w:val="auto"/>
                <w:kern w:val="0"/>
                <w:szCs w:val="21"/>
              </w:rPr>
            </w:pPr>
            <w:r>
              <w:rPr>
                <w:rFonts w:hint="eastAsia" w:ascii="宋体" w:hAnsi="宋体" w:cs="微软雅黑"/>
                <w:color w:val="auto"/>
                <w:kern w:val="0"/>
                <w:szCs w:val="21"/>
              </w:rPr>
              <w:t>拟投入的主要物资计划</w:t>
            </w:r>
          </w:p>
          <w:p w14:paraId="422BB3E3">
            <w:pPr>
              <w:spacing w:line="400" w:lineRule="exact"/>
              <w:rPr>
                <w:rFonts w:ascii="宋体" w:hAnsi="宋体" w:cs="微软雅黑"/>
                <w:color w:val="auto"/>
                <w:kern w:val="0"/>
                <w:szCs w:val="21"/>
              </w:rPr>
            </w:pPr>
            <w:r>
              <w:rPr>
                <w:rFonts w:hint="eastAsia" w:ascii="宋体" w:hAnsi="宋体" w:cs="微软雅黑"/>
                <w:color w:val="auto"/>
                <w:kern w:val="0"/>
                <w:szCs w:val="21"/>
              </w:rPr>
              <w:t>（满分6分）</w:t>
            </w:r>
          </w:p>
        </w:tc>
        <w:tc>
          <w:tcPr>
            <w:tcW w:w="6078" w:type="dxa"/>
            <w:vAlign w:val="center"/>
          </w:tcPr>
          <w:p w14:paraId="21E8679C">
            <w:pPr>
              <w:spacing w:line="400" w:lineRule="exact"/>
              <w:rPr>
                <w:rFonts w:ascii="宋体" w:hAnsi="宋体" w:cs="微软雅黑"/>
                <w:color w:val="auto"/>
                <w:kern w:val="0"/>
                <w:szCs w:val="21"/>
              </w:rPr>
            </w:pPr>
            <w:r>
              <w:rPr>
                <w:rFonts w:hint="eastAsia" w:ascii="宋体" w:hAnsi="宋体" w:cs="微软雅黑"/>
                <w:color w:val="auto"/>
                <w:kern w:val="0"/>
                <w:szCs w:val="21"/>
              </w:rPr>
              <w:t>四档（6分）投入的施工材料有详细的组织计划且计划周密，数量、选型配置、进场时间安排合理，满足施工需要。</w:t>
            </w:r>
          </w:p>
          <w:p w14:paraId="3B955BD5">
            <w:pPr>
              <w:spacing w:line="400" w:lineRule="exact"/>
              <w:rPr>
                <w:rFonts w:ascii="宋体" w:hAnsi="宋体" w:cs="微软雅黑"/>
                <w:color w:val="auto"/>
                <w:kern w:val="0"/>
                <w:szCs w:val="21"/>
              </w:rPr>
            </w:pPr>
            <w:r>
              <w:rPr>
                <w:rFonts w:hint="eastAsia" w:ascii="宋体" w:hAnsi="宋体" w:cs="微软雅黑"/>
                <w:color w:val="auto"/>
                <w:kern w:val="0"/>
                <w:szCs w:val="21"/>
              </w:rPr>
              <w:t>三档（4分）投入的施工材料有详细的组织计划但计划一般，数量、选型配置、进场时间安排合理，满足施工需要。</w:t>
            </w:r>
          </w:p>
          <w:p w14:paraId="6F4EA3AC">
            <w:pPr>
              <w:spacing w:line="400" w:lineRule="exact"/>
              <w:rPr>
                <w:rFonts w:ascii="宋体" w:hAnsi="宋体" w:cs="微软雅黑"/>
                <w:color w:val="auto"/>
                <w:kern w:val="0"/>
                <w:szCs w:val="21"/>
              </w:rPr>
            </w:pPr>
            <w:r>
              <w:rPr>
                <w:rFonts w:hint="eastAsia" w:ascii="宋体" w:hAnsi="宋体" w:cs="微软雅黑"/>
                <w:color w:val="auto"/>
                <w:kern w:val="0"/>
                <w:szCs w:val="21"/>
              </w:rPr>
              <w:t>二档（2 分）投入的施工材料有组织计划但计划一般，数量、选型配置、进场时间安排合理，基本满足施工需要。</w:t>
            </w:r>
          </w:p>
          <w:p w14:paraId="368A8F11">
            <w:pPr>
              <w:spacing w:line="400" w:lineRule="exact"/>
              <w:rPr>
                <w:rFonts w:ascii="宋体" w:hAnsi="宋体" w:cs="微软雅黑"/>
                <w:color w:val="auto"/>
                <w:kern w:val="0"/>
                <w:szCs w:val="21"/>
              </w:rPr>
            </w:pPr>
            <w:r>
              <w:rPr>
                <w:rFonts w:hint="eastAsia" w:ascii="宋体" w:hAnsi="宋体" w:cs="微软雅黑"/>
                <w:color w:val="auto"/>
                <w:kern w:val="0"/>
                <w:szCs w:val="21"/>
              </w:rPr>
              <w:t>一档（1 分）投入的施工材料无组织计划，数量、选型配置、进场时间安排不合理，不满足施工需要。</w:t>
            </w:r>
          </w:p>
        </w:tc>
      </w:tr>
      <w:tr w14:paraId="5AA16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693" w:type="dxa"/>
            <w:vMerge w:val="continue"/>
            <w:tcBorders>
              <w:right w:val="single" w:color="auto" w:sz="4" w:space="0"/>
            </w:tcBorders>
            <w:vAlign w:val="center"/>
          </w:tcPr>
          <w:p w14:paraId="22BD7AF2">
            <w:pPr>
              <w:spacing w:line="400" w:lineRule="exact"/>
              <w:rPr>
                <w:rFonts w:ascii="宋体" w:hAnsi="宋体"/>
                <w:color w:val="auto"/>
                <w:szCs w:val="21"/>
              </w:rPr>
            </w:pPr>
          </w:p>
        </w:tc>
        <w:tc>
          <w:tcPr>
            <w:tcW w:w="1276" w:type="dxa"/>
            <w:vMerge w:val="continue"/>
            <w:tcBorders>
              <w:left w:val="single" w:color="auto" w:sz="4" w:space="0"/>
            </w:tcBorders>
            <w:vAlign w:val="center"/>
          </w:tcPr>
          <w:p w14:paraId="6595AC85">
            <w:pPr>
              <w:spacing w:line="400" w:lineRule="exact"/>
              <w:rPr>
                <w:rFonts w:ascii="宋体" w:hAnsi="宋体"/>
                <w:color w:val="auto"/>
                <w:szCs w:val="21"/>
              </w:rPr>
            </w:pPr>
          </w:p>
        </w:tc>
        <w:tc>
          <w:tcPr>
            <w:tcW w:w="1559" w:type="dxa"/>
            <w:vAlign w:val="center"/>
          </w:tcPr>
          <w:p w14:paraId="6DA12606">
            <w:pPr>
              <w:spacing w:line="400" w:lineRule="exact"/>
              <w:rPr>
                <w:rFonts w:ascii="宋体" w:hAnsi="宋体" w:cs="微软雅黑"/>
                <w:color w:val="auto"/>
                <w:kern w:val="0"/>
                <w:szCs w:val="21"/>
              </w:rPr>
            </w:pPr>
            <w:r>
              <w:rPr>
                <w:rFonts w:hint="eastAsia" w:ascii="宋体" w:hAnsi="宋体" w:cs="微软雅黑"/>
                <w:color w:val="auto"/>
                <w:kern w:val="0"/>
                <w:szCs w:val="21"/>
              </w:rPr>
              <w:t>拟投入的主要施工机械、设备计划</w:t>
            </w:r>
          </w:p>
          <w:p w14:paraId="64718994">
            <w:pPr>
              <w:spacing w:line="400" w:lineRule="exact"/>
              <w:rPr>
                <w:rFonts w:ascii="宋体" w:hAnsi="宋体" w:cs="微软雅黑"/>
                <w:color w:val="auto"/>
                <w:kern w:val="0"/>
                <w:szCs w:val="21"/>
              </w:rPr>
            </w:pPr>
            <w:r>
              <w:rPr>
                <w:rFonts w:hint="eastAsia" w:ascii="宋体" w:hAnsi="宋体" w:cs="微软雅黑"/>
                <w:color w:val="auto"/>
                <w:kern w:val="0"/>
                <w:szCs w:val="21"/>
              </w:rPr>
              <w:t>（满分</w:t>
            </w:r>
            <w:r>
              <w:rPr>
                <w:rFonts w:ascii="宋体" w:hAnsi="宋体" w:cs="微软雅黑"/>
                <w:color w:val="auto"/>
                <w:kern w:val="0"/>
                <w:szCs w:val="21"/>
              </w:rPr>
              <w:t>6</w:t>
            </w:r>
            <w:r>
              <w:rPr>
                <w:rFonts w:hint="eastAsia" w:ascii="宋体" w:hAnsi="宋体" w:cs="微软雅黑"/>
                <w:color w:val="auto"/>
                <w:kern w:val="0"/>
                <w:szCs w:val="21"/>
              </w:rPr>
              <w:t>分）</w:t>
            </w:r>
          </w:p>
          <w:p w14:paraId="0AEC59DD">
            <w:pPr>
              <w:spacing w:line="400" w:lineRule="exact"/>
              <w:rPr>
                <w:rFonts w:ascii="宋体" w:hAnsi="宋体" w:cs="微软雅黑"/>
                <w:color w:val="auto"/>
                <w:kern w:val="0"/>
                <w:szCs w:val="21"/>
              </w:rPr>
            </w:pPr>
          </w:p>
        </w:tc>
        <w:tc>
          <w:tcPr>
            <w:tcW w:w="6078" w:type="dxa"/>
            <w:vAlign w:val="center"/>
          </w:tcPr>
          <w:p w14:paraId="66FF0021">
            <w:pPr>
              <w:spacing w:line="400" w:lineRule="exact"/>
              <w:rPr>
                <w:rFonts w:ascii="宋体" w:hAnsi="宋体" w:cs="微软雅黑"/>
                <w:color w:val="auto"/>
                <w:kern w:val="0"/>
                <w:szCs w:val="21"/>
              </w:rPr>
            </w:pPr>
            <w:r>
              <w:rPr>
                <w:rFonts w:hint="eastAsia" w:ascii="宋体" w:hAnsi="宋体" w:cs="微软雅黑"/>
                <w:color w:val="auto"/>
                <w:kern w:val="0"/>
                <w:szCs w:val="21"/>
              </w:rPr>
              <w:t>四档（</w:t>
            </w:r>
            <w:r>
              <w:rPr>
                <w:rFonts w:ascii="宋体" w:hAnsi="宋体" w:cs="微软雅黑"/>
                <w:color w:val="auto"/>
                <w:kern w:val="0"/>
                <w:szCs w:val="21"/>
              </w:rPr>
              <w:t>6</w:t>
            </w:r>
            <w:r>
              <w:rPr>
                <w:rFonts w:hint="eastAsia" w:ascii="宋体" w:hAnsi="宋体" w:cs="微软雅黑"/>
                <w:color w:val="auto"/>
                <w:kern w:val="0"/>
                <w:szCs w:val="21"/>
              </w:rPr>
              <w:t>分）投入的施工机械、设备、机具有详细的组织计划且计划周密，设备数量、选型配置、进场时间安排合理，满足施工需要。</w:t>
            </w:r>
          </w:p>
          <w:p w14:paraId="0C6A5C85">
            <w:pPr>
              <w:spacing w:line="400" w:lineRule="exact"/>
              <w:rPr>
                <w:rFonts w:ascii="宋体" w:hAnsi="宋体" w:cs="微软雅黑"/>
                <w:color w:val="auto"/>
                <w:kern w:val="0"/>
                <w:szCs w:val="21"/>
              </w:rPr>
            </w:pPr>
            <w:r>
              <w:rPr>
                <w:rFonts w:hint="eastAsia" w:ascii="宋体" w:hAnsi="宋体" w:cs="微软雅黑"/>
                <w:color w:val="auto"/>
                <w:kern w:val="0"/>
                <w:szCs w:val="21"/>
              </w:rPr>
              <w:t>三档（4 分）投入的施工机械、设备、机具有详细的组织计划但计划一般，设备数量、选型配置、进场时间安排合理，满足施工需要。</w:t>
            </w:r>
          </w:p>
          <w:p w14:paraId="7A202865">
            <w:pPr>
              <w:spacing w:line="400" w:lineRule="exact"/>
              <w:rPr>
                <w:rFonts w:ascii="宋体" w:hAnsi="宋体" w:cs="微软雅黑"/>
                <w:color w:val="auto"/>
                <w:kern w:val="0"/>
                <w:szCs w:val="21"/>
              </w:rPr>
            </w:pPr>
            <w:r>
              <w:rPr>
                <w:rFonts w:hint="eastAsia" w:ascii="宋体" w:hAnsi="宋体" w:cs="微软雅黑"/>
                <w:color w:val="auto"/>
                <w:kern w:val="0"/>
                <w:szCs w:val="21"/>
              </w:rPr>
              <w:t>二档（2 分）投入的施工机械、设备、机具有组织计划但计划一般，设备数量、选型配置、进场时间安排合理，基本满足施工需要。</w:t>
            </w:r>
          </w:p>
          <w:p w14:paraId="4F3979FE">
            <w:pPr>
              <w:spacing w:line="400" w:lineRule="exact"/>
              <w:rPr>
                <w:rFonts w:ascii="宋体" w:hAnsi="宋体" w:cs="微软雅黑"/>
                <w:color w:val="auto"/>
                <w:kern w:val="0"/>
                <w:szCs w:val="21"/>
              </w:rPr>
            </w:pPr>
            <w:r>
              <w:rPr>
                <w:rFonts w:hint="eastAsia" w:ascii="宋体" w:hAnsi="宋体" w:cs="微软雅黑"/>
                <w:color w:val="auto"/>
                <w:kern w:val="0"/>
                <w:szCs w:val="21"/>
              </w:rPr>
              <w:t>一档（1 分）投入的施工机械、设备、机具无组织计划，设备数量、选型配置、进场时间安排不合理，不满足施工需要。</w:t>
            </w:r>
          </w:p>
        </w:tc>
      </w:tr>
      <w:tr w14:paraId="72727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693" w:type="dxa"/>
            <w:vMerge w:val="continue"/>
            <w:tcBorders>
              <w:right w:val="single" w:color="auto" w:sz="4" w:space="0"/>
            </w:tcBorders>
            <w:vAlign w:val="center"/>
          </w:tcPr>
          <w:p w14:paraId="4FF4425A">
            <w:pPr>
              <w:spacing w:line="400" w:lineRule="exact"/>
              <w:rPr>
                <w:rFonts w:ascii="宋体" w:hAnsi="宋体"/>
                <w:color w:val="auto"/>
                <w:szCs w:val="21"/>
              </w:rPr>
            </w:pPr>
          </w:p>
        </w:tc>
        <w:tc>
          <w:tcPr>
            <w:tcW w:w="1276" w:type="dxa"/>
            <w:vMerge w:val="continue"/>
            <w:tcBorders>
              <w:left w:val="single" w:color="auto" w:sz="4" w:space="0"/>
            </w:tcBorders>
            <w:vAlign w:val="center"/>
          </w:tcPr>
          <w:p w14:paraId="2E67AA4F">
            <w:pPr>
              <w:spacing w:line="400" w:lineRule="exact"/>
              <w:rPr>
                <w:rFonts w:ascii="宋体" w:hAnsi="宋体"/>
                <w:color w:val="auto"/>
                <w:szCs w:val="21"/>
              </w:rPr>
            </w:pPr>
          </w:p>
        </w:tc>
        <w:tc>
          <w:tcPr>
            <w:tcW w:w="1559" w:type="dxa"/>
            <w:vAlign w:val="center"/>
          </w:tcPr>
          <w:p w14:paraId="64A0E139">
            <w:pPr>
              <w:spacing w:line="400" w:lineRule="exact"/>
              <w:rPr>
                <w:rFonts w:ascii="宋体" w:hAnsi="宋体" w:cs="微软雅黑"/>
                <w:color w:val="auto"/>
                <w:kern w:val="0"/>
                <w:szCs w:val="21"/>
              </w:rPr>
            </w:pPr>
            <w:r>
              <w:rPr>
                <w:rFonts w:hint="eastAsia" w:ascii="宋体" w:hAnsi="宋体" w:cs="微软雅黑"/>
                <w:color w:val="auto"/>
                <w:kern w:val="0"/>
                <w:szCs w:val="21"/>
              </w:rPr>
              <w:t>劳动力安排计划（满分6分）</w:t>
            </w:r>
          </w:p>
        </w:tc>
        <w:tc>
          <w:tcPr>
            <w:tcW w:w="6078" w:type="dxa"/>
            <w:vAlign w:val="center"/>
          </w:tcPr>
          <w:p w14:paraId="218C7687">
            <w:pPr>
              <w:spacing w:line="400" w:lineRule="exact"/>
              <w:rPr>
                <w:rFonts w:ascii="宋体" w:hAnsi="宋体" w:cs="微软雅黑"/>
                <w:color w:val="auto"/>
                <w:kern w:val="0"/>
                <w:szCs w:val="21"/>
              </w:rPr>
            </w:pPr>
            <w:r>
              <w:rPr>
                <w:rFonts w:hint="eastAsia" w:ascii="宋体" w:hAnsi="宋体" w:cs="微软雅黑"/>
                <w:color w:val="auto"/>
                <w:kern w:val="0"/>
                <w:szCs w:val="21"/>
              </w:rPr>
              <w:t>四档（6分）各主要施工工序有详细周密的劳动力安排计划，有各工种劳动力安排计划，劳动力投入合理，满足施工需要。</w:t>
            </w:r>
          </w:p>
          <w:p w14:paraId="24C49690">
            <w:pPr>
              <w:spacing w:line="400" w:lineRule="exact"/>
              <w:rPr>
                <w:rFonts w:ascii="宋体" w:hAnsi="宋体" w:cs="微软雅黑"/>
                <w:color w:val="auto"/>
                <w:kern w:val="0"/>
                <w:szCs w:val="21"/>
              </w:rPr>
            </w:pPr>
            <w:r>
              <w:rPr>
                <w:rFonts w:hint="eastAsia" w:ascii="宋体" w:hAnsi="宋体" w:cs="微软雅黑"/>
                <w:color w:val="auto"/>
                <w:kern w:val="0"/>
                <w:szCs w:val="21"/>
              </w:rPr>
              <w:t>三档（4分）各主要施工工序有劳动力安排计划，有各工种劳动力安排计划，劳动力投入合理，满足施工需要。</w:t>
            </w:r>
          </w:p>
          <w:p w14:paraId="7F8A5538">
            <w:pPr>
              <w:spacing w:line="400" w:lineRule="exact"/>
              <w:rPr>
                <w:rFonts w:ascii="宋体" w:hAnsi="宋体" w:cs="微软雅黑"/>
                <w:color w:val="auto"/>
                <w:kern w:val="0"/>
                <w:szCs w:val="21"/>
              </w:rPr>
            </w:pPr>
            <w:r>
              <w:rPr>
                <w:rFonts w:hint="eastAsia" w:ascii="宋体" w:hAnsi="宋体" w:cs="微软雅黑"/>
                <w:color w:val="auto"/>
                <w:kern w:val="0"/>
                <w:szCs w:val="21"/>
              </w:rPr>
              <w:t>二档（</w:t>
            </w:r>
            <w:r>
              <w:rPr>
                <w:rFonts w:ascii="宋体" w:hAnsi="宋体" w:cs="微软雅黑"/>
                <w:color w:val="auto"/>
                <w:kern w:val="0"/>
                <w:szCs w:val="21"/>
              </w:rPr>
              <w:t>2</w:t>
            </w:r>
            <w:r>
              <w:rPr>
                <w:rFonts w:hint="eastAsia" w:ascii="宋体" w:hAnsi="宋体" w:cs="微软雅黑"/>
                <w:color w:val="auto"/>
                <w:kern w:val="0"/>
                <w:szCs w:val="21"/>
              </w:rPr>
              <w:t>分）各主要施工工序只有劳动力安排计划，无各工种劳动力安排计划，劳动力投入合理，基本满足施工需要。</w:t>
            </w:r>
          </w:p>
          <w:p w14:paraId="387B97BA">
            <w:pPr>
              <w:spacing w:line="400" w:lineRule="exact"/>
              <w:rPr>
                <w:rFonts w:ascii="宋体" w:hAnsi="宋体" w:cs="微软雅黑"/>
                <w:color w:val="auto"/>
                <w:kern w:val="0"/>
                <w:szCs w:val="21"/>
              </w:rPr>
            </w:pPr>
            <w:r>
              <w:rPr>
                <w:rFonts w:hint="eastAsia" w:ascii="宋体" w:hAnsi="宋体" w:cs="微软雅黑"/>
                <w:color w:val="auto"/>
                <w:kern w:val="0"/>
                <w:szCs w:val="21"/>
              </w:rPr>
              <w:t>一档（</w:t>
            </w:r>
            <w:r>
              <w:rPr>
                <w:rFonts w:ascii="宋体" w:hAnsi="宋体" w:cs="微软雅黑"/>
                <w:color w:val="auto"/>
                <w:kern w:val="0"/>
                <w:szCs w:val="21"/>
              </w:rPr>
              <w:t>1</w:t>
            </w:r>
            <w:r>
              <w:rPr>
                <w:rFonts w:hint="eastAsia" w:ascii="宋体" w:hAnsi="宋体" w:cs="微软雅黑"/>
                <w:color w:val="auto"/>
                <w:kern w:val="0"/>
                <w:szCs w:val="21"/>
              </w:rPr>
              <w:t>分）各主要施工工序无劳动力安排计划，劳动力投入不合理，不满足施工需要。</w:t>
            </w:r>
          </w:p>
        </w:tc>
      </w:tr>
      <w:tr w14:paraId="4435B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3" w:hRule="atLeast"/>
          <w:jc w:val="center"/>
        </w:trPr>
        <w:tc>
          <w:tcPr>
            <w:tcW w:w="693" w:type="dxa"/>
            <w:vMerge w:val="continue"/>
            <w:tcBorders>
              <w:right w:val="single" w:color="auto" w:sz="4" w:space="0"/>
            </w:tcBorders>
            <w:vAlign w:val="center"/>
          </w:tcPr>
          <w:p w14:paraId="23B312BE">
            <w:pPr>
              <w:spacing w:line="400" w:lineRule="exact"/>
              <w:rPr>
                <w:rFonts w:ascii="宋体" w:hAnsi="宋体"/>
                <w:color w:val="auto"/>
                <w:szCs w:val="21"/>
              </w:rPr>
            </w:pPr>
          </w:p>
        </w:tc>
        <w:tc>
          <w:tcPr>
            <w:tcW w:w="1276" w:type="dxa"/>
            <w:vMerge w:val="continue"/>
            <w:tcBorders>
              <w:left w:val="single" w:color="auto" w:sz="4" w:space="0"/>
            </w:tcBorders>
            <w:vAlign w:val="center"/>
          </w:tcPr>
          <w:p w14:paraId="68FA2EB6">
            <w:pPr>
              <w:spacing w:line="400" w:lineRule="exact"/>
              <w:rPr>
                <w:rFonts w:ascii="宋体" w:hAnsi="宋体"/>
                <w:color w:val="auto"/>
                <w:szCs w:val="21"/>
              </w:rPr>
            </w:pPr>
          </w:p>
        </w:tc>
        <w:tc>
          <w:tcPr>
            <w:tcW w:w="1559" w:type="dxa"/>
            <w:vAlign w:val="center"/>
          </w:tcPr>
          <w:p w14:paraId="72398F1A">
            <w:pPr>
              <w:spacing w:line="400" w:lineRule="exact"/>
              <w:rPr>
                <w:rFonts w:ascii="宋体" w:hAnsi="宋体" w:cs="微软雅黑"/>
                <w:color w:val="auto"/>
                <w:kern w:val="0"/>
                <w:szCs w:val="21"/>
              </w:rPr>
            </w:pPr>
            <w:r>
              <w:rPr>
                <w:rFonts w:hint="eastAsia" w:ascii="宋体" w:hAnsi="宋体" w:cs="微软雅黑"/>
                <w:color w:val="auto"/>
                <w:kern w:val="0"/>
                <w:szCs w:val="21"/>
              </w:rPr>
              <w:t>确保工程质量的技术组织措施（满分7分）</w:t>
            </w:r>
          </w:p>
          <w:p w14:paraId="5D97E5AD">
            <w:pPr>
              <w:spacing w:line="400" w:lineRule="exact"/>
              <w:rPr>
                <w:rFonts w:ascii="宋体" w:hAnsi="宋体" w:cs="微软雅黑"/>
                <w:color w:val="auto"/>
                <w:kern w:val="0"/>
                <w:szCs w:val="21"/>
              </w:rPr>
            </w:pPr>
          </w:p>
        </w:tc>
        <w:tc>
          <w:tcPr>
            <w:tcW w:w="6078" w:type="dxa"/>
            <w:vAlign w:val="center"/>
          </w:tcPr>
          <w:p w14:paraId="664EC523">
            <w:pPr>
              <w:spacing w:line="400" w:lineRule="exact"/>
              <w:rPr>
                <w:rFonts w:ascii="宋体" w:hAnsi="宋体" w:cs="微软雅黑"/>
                <w:color w:val="auto"/>
                <w:kern w:val="0"/>
                <w:szCs w:val="21"/>
              </w:rPr>
            </w:pPr>
            <w:r>
              <w:rPr>
                <w:rFonts w:hint="eastAsia" w:ascii="宋体" w:hAnsi="宋体" w:cs="微软雅黑"/>
                <w:color w:val="auto"/>
                <w:kern w:val="0"/>
                <w:szCs w:val="21"/>
              </w:rPr>
              <w:t>四档（7分）有专门的质量技术管理班子和制度，且人员配备合理，制度健全。主要工序有质量技术保证措施和手段，自控体系完整，能有效保证技术质量，达到承诺的质量标准。</w:t>
            </w:r>
          </w:p>
          <w:p w14:paraId="4315D41B">
            <w:pPr>
              <w:spacing w:line="400" w:lineRule="exact"/>
              <w:rPr>
                <w:rFonts w:ascii="宋体" w:hAnsi="宋体" w:cs="微软雅黑"/>
                <w:color w:val="auto"/>
                <w:kern w:val="0"/>
                <w:szCs w:val="21"/>
              </w:rPr>
            </w:pPr>
            <w:r>
              <w:rPr>
                <w:rFonts w:hint="eastAsia" w:ascii="宋体" w:hAnsi="宋体" w:cs="微软雅黑"/>
                <w:color w:val="auto"/>
                <w:kern w:val="0"/>
                <w:szCs w:val="21"/>
              </w:rPr>
              <w:t>三档（5分）有质量技术管理班子和制度，且人员配备合理，制度健全。主要工序有质量技术保证措施和手段，自控体系完整，能有效保证技术质量，达到承诺的质量标准。</w:t>
            </w:r>
          </w:p>
          <w:p w14:paraId="397BA6B8">
            <w:pPr>
              <w:spacing w:line="400" w:lineRule="exact"/>
              <w:rPr>
                <w:rFonts w:ascii="宋体" w:hAnsi="宋体" w:cs="微软雅黑"/>
                <w:color w:val="auto"/>
                <w:kern w:val="0"/>
                <w:szCs w:val="21"/>
              </w:rPr>
            </w:pPr>
            <w:r>
              <w:rPr>
                <w:rFonts w:hint="eastAsia" w:ascii="宋体" w:hAnsi="宋体" w:cs="微软雅黑"/>
                <w:color w:val="auto"/>
                <w:kern w:val="0"/>
                <w:szCs w:val="21"/>
              </w:rPr>
              <w:t>二档（3 分）有质量技术管理班子和制度。主要工序有质量技术保证措施和手段，自控体系一般，基本能保证技术质量，达到承诺的质量标准。</w:t>
            </w:r>
          </w:p>
          <w:p w14:paraId="04402A9B">
            <w:pPr>
              <w:spacing w:line="400" w:lineRule="exact"/>
              <w:rPr>
                <w:rFonts w:ascii="宋体" w:hAnsi="宋体" w:cs="微软雅黑"/>
                <w:color w:val="auto"/>
                <w:kern w:val="0"/>
                <w:szCs w:val="21"/>
              </w:rPr>
            </w:pPr>
            <w:r>
              <w:rPr>
                <w:rFonts w:hint="eastAsia" w:ascii="宋体" w:hAnsi="宋体" w:cs="微软雅黑"/>
                <w:color w:val="auto"/>
                <w:kern w:val="0"/>
                <w:szCs w:val="21"/>
              </w:rPr>
              <w:t>一档（</w:t>
            </w:r>
            <w:r>
              <w:rPr>
                <w:rFonts w:ascii="宋体" w:hAnsi="宋体" w:cs="微软雅黑"/>
                <w:color w:val="auto"/>
                <w:kern w:val="0"/>
                <w:szCs w:val="21"/>
              </w:rPr>
              <w:t xml:space="preserve">1 </w:t>
            </w:r>
            <w:r>
              <w:rPr>
                <w:rFonts w:hint="eastAsia" w:ascii="宋体" w:hAnsi="宋体" w:cs="微软雅黑"/>
                <w:color w:val="auto"/>
                <w:kern w:val="0"/>
                <w:szCs w:val="21"/>
              </w:rPr>
              <w:t>分）有质量技术管理班子和制度。主要工序无质量技术保证措施和手段，自控体系一般，不能有效保证技术质量。</w:t>
            </w:r>
          </w:p>
        </w:tc>
      </w:tr>
      <w:tr w14:paraId="169A1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693" w:type="dxa"/>
            <w:vMerge w:val="continue"/>
            <w:tcBorders>
              <w:right w:val="single" w:color="auto" w:sz="4" w:space="0"/>
            </w:tcBorders>
            <w:vAlign w:val="center"/>
          </w:tcPr>
          <w:p w14:paraId="4C7306D6">
            <w:pPr>
              <w:spacing w:line="400" w:lineRule="exact"/>
              <w:rPr>
                <w:rFonts w:ascii="宋体" w:hAnsi="宋体"/>
                <w:color w:val="auto"/>
                <w:szCs w:val="21"/>
              </w:rPr>
            </w:pPr>
          </w:p>
        </w:tc>
        <w:tc>
          <w:tcPr>
            <w:tcW w:w="1276" w:type="dxa"/>
            <w:vMerge w:val="continue"/>
            <w:tcBorders>
              <w:left w:val="single" w:color="auto" w:sz="4" w:space="0"/>
            </w:tcBorders>
            <w:vAlign w:val="center"/>
          </w:tcPr>
          <w:p w14:paraId="5F61E397">
            <w:pPr>
              <w:spacing w:line="400" w:lineRule="exact"/>
              <w:rPr>
                <w:rFonts w:ascii="宋体" w:hAnsi="宋体"/>
                <w:color w:val="auto"/>
                <w:szCs w:val="21"/>
              </w:rPr>
            </w:pPr>
          </w:p>
        </w:tc>
        <w:tc>
          <w:tcPr>
            <w:tcW w:w="1559" w:type="dxa"/>
            <w:vAlign w:val="center"/>
          </w:tcPr>
          <w:p w14:paraId="4F5473F3">
            <w:pPr>
              <w:spacing w:line="400" w:lineRule="exact"/>
              <w:rPr>
                <w:rFonts w:ascii="宋体" w:hAnsi="宋体" w:cs="微软雅黑"/>
                <w:color w:val="auto"/>
                <w:kern w:val="0"/>
                <w:szCs w:val="21"/>
              </w:rPr>
            </w:pPr>
            <w:r>
              <w:rPr>
                <w:rFonts w:hint="eastAsia" w:ascii="宋体" w:hAnsi="宋体" w:cs="微软雅黑"/>
                <w:color w:val="auto"/>
                <w:kern w:val="0"/>
                <w:szCs w:val="21"/>
              </w:rPr>
              <w:t>确保安全生产的技术组织措施（满分</w:t>
            </w:r>
            <w:r>
              <w:rPr>
                <w:rFonts w:ascii="宋体" w:hAnsi="宋体" w:cs="微软雅黑"/>
                <w:color w:val="auto"/>
                <w:kern w:val="0"/>
                <w:szCs w:val="21"/>
              </w:rPr>
              <w:t>6</w:t>
            </w:r>
            <w:r>
              <w:rPr>
                <w:rFonts w:hint="eastAsia" w:ascii="宋体" w:hAnsi="宋体" w:cs="微软雅黑"/>
                <w:color w:val="auto"/>
                <w:kern w:val="0"/>
                <w:szCs w:val="21"/>
              </w:rPr>
              <w:t>分）</w:t>
            </w:r>
          </w:p>
          <w:p w14:paraId="64ED1692">
            <w:pPr>
              <w:spacing w:line="400" w:lineRule="exact"/>
              <w:rPr>
                <w:rFonts w:ascii="宋体" w:hAnsi="宋体" w:cs="微软雅黑"/>
                <w:color w:val="auto"/>
                <w:kern w:val="0"/>
                <w:szCs w:val="21"/>
              </w:rPr>
            </w:pPr>
          </w:p>
        </w:tc>
        <w:tc>
          <w:tcPr>
            <w:tcW w:w="6078" w:type="dxa"/>
            <w:vAlign w:val="center"/>
          </w:tcPr>
          <w:p w14:paraId="7AC830F5">
            <w:pPr>
              <w:spacing w:line="400" w:lineRule="exact"/>
              <w:rPr>
                <w:rFonts w:ascii="宋体" w:hAnsi="宋体" w:cs="微软雅黑"/>
                <w:color w:val="auto"/>
                <w:kern w:val="0"/>
                <w:szCs w:val="21"/>
              </w:rPr>
            </w:pPr>
            <w:r>
              <w:rPr>
                <w:rFonts w:hint="eastAsia" w:ascii="宋体" w:hAnsi="宋体" w:cs="微软雅黑"/>
                <w:color w:val="auto"/>
                <w:kern w:val="0"/>
                <w:szCs w:val="21"/>
              </w:rPr>
              <w:t>四档（</w:t>
            </w:r>
            <w:r>
              <w:rPr>
                <w:rFonts w:ascii="宋体" w:hAnsi="宋体" w:cs="微软雅黑"/>
                <w:color w:val="auto"/>
                <w:kern w:val="0"/>
                <w:szCs w:val="21"/>
              </w:rPr>
              <w:t xml:space="preserve">6 </w:t>
            </w:r>
            <w:r>
              <w:rPr>
                <w:rFonts w:hint="eastAsia" w:ascii="宋体" w:hAnsi="宋体" w:cs="微软雅黑"/>
                <w:color w:val="auto"/>
                <w:kern w:val="0"/>
                <w:szCs w:val="21"/>
              </w:rPr>
              <w:t>分）有专门的安全管理人员和制度，且人员配备合理，制度健全，各道工序安全技术措施针对性强，符合实际且满足有关安全技术标准要求。现场防火、应急救援、社会治安安全措施得力。</w:t>
            </w:r>
          </w:p>
          <w:p w14:paraId="450C7139">
            <w:pPr>
              <w:spacing w:line="400" w:lineRule="exact"/>
              <w:rPr>
                <w:rFonts w:ascii="宋体" w:hAnsi="宋体" w:cs="微软雅黑"/>
                <w:color w:val="auto"/>
                <w:kern w:val="0"/>
                <w:szCs w:val="21"/>
              </w:rPr>
            </w:pPr>
            <w:r>
              <w:rPr>
                <w:rFonts w:hint="eastAsia" w:ascii="宋体" w:hAnsi="宋体" w:cs="微软雅黑"/>
                <w:color w:val="auto"/>
                <w:kern w:val="0"/>
                <w:szCs w:val="21"/>
              </w:rPr>
              <w:t>三档（</w:t>
            </w:r>
            <w:r>
              <w:rPr>
                <w:rFonts w:ascii="宋体" w:hAnsi="宋体" w:cs="微软雅黑"/>
                <w:color w:val="auto"/>
                <w:kern w:val="0"/>
                <w:szCs w:val="21"/>
              </w:rPr>
              <w:t xml:space="preserve">4 </w:t>
            </w:r>
            <w:r>
              <w:rPr>
                <w:rFonts w:hint="eastAsia" w:ascii="宋体" w:hAnsi="宋体" w:cs="微软雅黑"/>
                <w:color w:val="auto"/>
                <w:kern w:val="0"/>
                <w:szCs w:val="21"/>
              </w:rPr>
              <w:t>分）有安全管理人员和制度，且人员配备合理，制度健全，各道工序安全技术措施有针对性，符合实际且满足有关安全技术标准要求。现场防火、应急救援、社会治安安全措施满足施工需求。</w:t>
            </w:r>
          </w:p>
          <w:p w14:paraId="39BE7898">
            <w:pPr>
              <w:spacing w:line="400" w:lineRule="exact"/>
              <w:rPr>
                <w:rFonts w:ascii="宋体" w:hAnsi="宋体" w:cs="微软雅黑"/>
                <w:color w:val="auto"/>
                <w:kern w:val="0"/>
                <w:szCs w:val="21"/>
              </w:rPr>
            </w:pPr>
            <w:r>
              <w:rPr>
                <w:rFonts w:hint="eastAsia" w:ascii="宋体" w:hAnsi="宋体" w:cs="微软雅黑"/>
                <w:color w:val="auto"/>
                <w:kern w:val="0"/>
                <w:szCs w:val="21"/>
              </w:rPr>
              <w:t>二档（2分）有安全管理人员和制度，人员配备一般，制度健全一般，各道工序安全技术措施针对性一般，基本满足有关安全技术标准要求。现场防火、应急救援、社会治安安全措施基本满足施工需求。</w:t>
            </w:r>
          </w:p>
          <w:p w14:paraId="7B112A2D">
            <w:pPr>
              <w:spacing w:line="400" w:lineRule="exact"/>
              <w:rPr>
                <w:rFonts w:ascii="宋体" w:hAnsi="宋体" w:cs="微软雅黑"/>
                <w:color w:val="auto"/>
                <w:kern w:val="0"/>
                <w:szCs w:val="21"/>
              </w:rPr>
            </w:pPr>
            <w:r>
              <w:rPr>
                <w:rFonts w:hint="eastAsia" w:ascii="宋体" w:hAnsi="宋体" w:cs="微软雅黑"/>
                <w:color w:val="auto"/>
                <w:kern w:val="0"/>
                <w:szCs w:val="21"/>
              </w:rPr>
              <w:t>一档（</w:t>
            </w:r>
            <w:r>
              <w:rPr>
                <w:rFonts w:ascii="宋体" w:hAnsi="宋体" w:cs="微软雅黑"/>
                <w:color w:val="auto"/>
                <w:kern w:val="0"/>
                <w:szCs w:val="21"/>
              </w:rPr>
              <w:t xml:space="preserve">1 </w:t>
            </w:r>
            <w:r>
              <w:rPr>
                <w:rFonts w:hint="eastAsia" w:ascii="宋体" w:hAnsi="宋体" w:cs="微软雅黑"/>
                <w:color w:val="auto"/>
                <w:kern w:val="0"/>
                <w:szCs w:val="21"/>
              </w:rPr>
              <w:t>分）有安全管理人员和制度，各道工序安全技术措施无针对性，满足有关安全技术标准要求。现场防火、应急救援、社会治安安全措施差。</w:t>
            </w:r>
          </w:p>
        </w:tc>
      </w:tr>
      <w:tr w14:paraId="596A1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693" w:type="dxa"/>
            <w:vMerge w:val="continue"/>
            <w:tcBorders>
              <w:right w:val="single" w:color="auto" w:sz="4" w:space="0"/>
            </w:tcBorders>
            <w:vAlign w:val="center"/>
          </w:tcPr>
          <w:p w14:paraId="40D1AFAA">
            <w:pPr>
              <w:spacing w:line="400" w:lineRule="exact"/>
              <w:rPr>
                <w:rFonts w:ascii="宋体" w:hAnsi="宋体"/>
                <w:color w:val="auto"/>
                <w:szCs w:val="21"/>
              </w:rPr>
            </w:pPr>
          </w:p>
        </w:tc>
        <w:tc>
          <w:tcPr>
            <w:tcW w:w="1276" w:type="dxa"/>
            <w:vMerge w:val="continue"/>
            <w:tcBorders>
              <w:left w:val="single" w:color="auto" w:sz="4" w:space="0"/>
            </w:tcBorders>
            <w:vAlign w:val="center"/>
          </w:tcPr>
          <w:p w14:paraId="0BB60166">
            <w:pPr>
              <w:spacing w:line="400" w:lineRule="exact"/>
              <w:rPr>
                <w:rFonts w:ascii="宋体" w:hAnsi="宋体"/>
                <w:color w:val="auto"/>
                <w:szCs w:val="21"/>
              </w:rPr>
            </w:pPr>
          </w:p>
        </w:tc>
        <w:tc>
          <w:tcPr>
            <w:tcW w:w="1559" w:type="dxa"/>
            <w:vAlign w:val="center"/>
          </w:tcPr>
          <w:p w14:paraId="5BC8EA8E">
            <w:pPr>
              <w:spacing w:line="400" w:lineRule="exact"/>
              <w:rPr>
                <w:rFonts w:ascii="宋体" w:hAnsi="宋体" w:cs="微软雅黑"/>
                <w:color w:val="auto"/>
                <w:kern w:val="0"/>
                <w:szCs w:val="21"/>
              </w:rPr>
            </w:pPr>
            <w:r>
              <w:rPr>
                <w:rFonts w:hint="eastAsia" w:ascii="宋体" w:hAnsi="宋体" w:cs="微软雅黑"/>
                <w:color w:val="auto"/>
                <w:kern w:val="0"/>
                <w:szCs w:val="21"/>
              </w:rPr>
              <w:t>工程施工的重点和难点（满分</w:t>
            </w:r>
            <w:r>
              <w:rPr>
                <w:rFonts w:hint="eastAsia" w:ascii="宋体" w:hAnsi="宋体" w:cs="微软雅黑"/>
                <w:color w:val="auto"/>
                <w:kern w:val="0"/>
                <w:szCs w:val="21"/>
                <w:lang w:val="en-US" w:eastAsia="zh-CN"/>
              </w:rPr>
              <w:t>9</w:t>
            </w:r>
            <w:r>
              <w:rPr>
                <w:rFonts w:hint="eastAsia" w:ascii="宋体" w:hAnsi="宋体" w:cs="微软雅黑"/>
                <w:color w:val="auto"/>
                <w:kern w:val="0"/>
                <w:szCs w:val="21"/>
              </w:rPr>
              <w:t>分）</w:t>
            </w:r>
          </w:p>
        </w:tc>
        <w:tc>
          <w:tcPr>
            <w:tcW w:w="6078" w:type="dxa"/>
            <w:vAlign w:val="center"/>
          </w:tcPr>
          <w:p w14:paraId="2BFD61BA">
            <w:pPr>
              <w:spacing w:line="400" w:lineRule="exact"/>
              <w:ind w:left="315" w:hanging="315" w:hangingChars="150"/>
              <w:rPr>
                <w:rFonts w:ascii="宋体" w:hAnsi="宋体" w:cs="微软雅黑"/>
                <w:color w:val="auto"/>
                <w:kern w:val="0"/>
                <w:szCs w:val="21"/>
              </w:rPr>
            </w:pPr>
            <w:r>
              <w:rPr>
                <w:rFonts w:hint="eastAsia" w:ascii="宋体" w:hAnsi="宋体" w:cs="微软雅黑"/>
                <w:color w:val="auto"/>
                <w:kern w:val="0"/>
                <w:szCs w:val="21"/>
              </w:rPr>
              <w:t>四档（</w:t>
            </w:r>
            <w:r>
              <w:rPr>
                <w:rFonts w:hint="eastAsia" w:ascii="宋体" w:hAnsi="宋体" w:cs="微软雅黑"/>
                <w:color w:val="auto"/>
                <w:kern w:val="0"/>
                <w:szCs w:val="21"/>
                <w:lang w:val="en-US" w:eastAsia="zh-CN"/>
              </w:rPr>
              <w:t>9</w:t>
            </w:r>
            <w:r>
              <w:rPr>
                <w:rFonts w:hint="eastAsia" w:ascii="宋体" w:hAnsi="宋体" w:cs="微软雅黑"/>
                <w:color w:val="auto"/>
                <w:kern w:val="0"/>
                <w:szCs w:val="21"/>
              </w:rPr>
              <w:t>分）针对本工程的特点，详细阐述了本工程的重点和难点，解决重点和难点问题的方法合理、可行。</w:t>
            </w:r>
          </w:p>
          <w:p w14:paraId="3C3F6FC9">
            <w:pPr>
              <w:spacing w:line="400" w:lineRule="exact"/>
              <w:ind w:left="315" w:hanging="315" w:hangingChars="150"/>
              <w:rPr>
                <w:rFonts w:ascii="宋体" w:hAnsi="宋体" w:cs="微软雅黑"/>
                <w:color w:val="auto"/>
                <w:kern w:val="0"/>
                <w:szCs w:val="21"/>
              </w:rPr>
            </w:pPr>
            <w:r>
              <w:rPr>
                <w:rFonts w:hint="eastAsia" w:ascii="宋体" w:hAnsi="宋体" w:cs="微软雅黑"/>
                <w:color w:val="auto"/>
                <w:kern w:val="0"/>
                <w:szCs w:val="21"/>
              </w:rPr>
              <w:t>三档（</w:t>
            </w:r>
            <w:r>
              <w:rPr>
                <w:rFonts w:hint="eastAsia" w:ascii="宋体" w:hAnsi="宋体" w:cs="微软雅黑"/>
                <w:color w:val="auto"/>
                <w:kern w:val="0"/>
                <w:szCs w:val="21"/>
                <w:lang w:val="en-US" w:eastAsia="zh-CN"/>
              </w:rPr>
              <w:t>6</w:t>
            </w:r>
            <w:r>
              <w:rPr>
                <w:rFonts w:hint="eastAsia" w:ascii="宋体" w:hAnsi="宋体" w:cs="微软雅黑"/>
                <w:color w:val="auto"/>
                <w:kern w:val="0"/>
                <w:szCs w:val="21"/>
              </w:rPr>
              <w:t>分）针对本工程的特点，阐述了本工程的重点和难点，解决重点和难点问题的方法合理。</w:t>
            </w:r>
          </w:p>
          <w:p w14:paraId="010DF51E">
            <w:pPr>
              <w:spacing w:line="400" w:lineRule="exact"/>
              <w:ind w:left="315" w:hanging="315" w:hangingChars="150"/>
              <w:rPr>
                <w:rFonts w:ascii="宋体" w:hAnsi="宋体" w:cs="微软雅黑"/>
                <w:color w:val="auto"/>
                <w:kern w:val="0"/>
                <w:szCs w:val="21"/>
              </w:rPr>
            </w:pPr>
            <w:r>
              <w:rPr>
                <w:rFonts w:hint="eastAsia" w:ascii="宋体" w:hAnsi="宋体" w:cs="微软雅黑"/>
                <w:color w:val="auto"/>
                <w:kern w:val="0"/>
                <w:szCs w:val="21"/>
              </w:rPr>
              <w:t>二档（</w:t>
            </w:r>
            <w:r>
              <w:rPr>
                <w:rFonts w:hint="eastAsia" w:ascii="宋体" w:hAnsi="宋体" w:cs="微软雅黑"/>
                <w:color w:val="auto"/>
                <w:kern w:val="0"/>
                <w:szCs w:val="21"/>
                <w:lang w:val="en-US" w:eastAsia="zh-CN"/>
              </w:rPr>
              <w:t>3</w:t>
            </w:r>
            <w:r>
              <w:rPr>
                <w:rFonts w:hint="eastAsia" w:ascii="宋体" w:hAnsi="宋体" w:cs="微软雅黑"/>
                <w:color w:val="auto"/>
                <w:kern w:val="0"/>
                <w:szCs w:val="21"/>
              </w:rPr>
              <w:t>分）简单阐述了本工程的重点和难点，解决重点和难点问题的方法一般。</w:t>
            </w:r>
          </w:p>
          <w:p w14:paraId="61D8F64E">
            <w:pPr>
              <w:spacing w:line="400" w:lineRule="exact"/>
              <w:ind w:left="210" w:hanging="210" w:hangingChars="100"/>
              <w:rPr>
                <w:rFonts w:ascii="宋体" w:hAnsi="宋体" w:cs="微软雅黑"/>
                <w:color w:val="auto"/>
                <w:kern w:val="0"/>
                <w:szCs w:val="21"/>
              </w:rPr>
            </w:pPr>
            <w:r>
              <w:rPr>
                <w:rFonts w:hint="eastAsia" w:ascii="宋体" w:hAnsi="宋体" w:cs="微软雅黑"/>
                <w:color w:val="auto"/>
                <w:kern w:val="0"/>
                <w:szCs w:val="21"/>
              </w:rPr>
              <w:t>一档（</w:t>
            </w:r>
            <w:r>
              <w:rPr>
                <w:rFonts w:ascii="宋体" w:hAnsi="宋体" w:cs="微软雅黑"/>
                <w:color w:val="auto"/>
                <w:kern w:val="0"/>
                <w:szCs w:val="21"/>
              </w:rPr>
              <w:t xml:space="preserve">1 </w:t>
            </w:r>
            <w:r>
              <w:rPr>
                <w:rFonts w:hint="eastAsia" w:ascii="宋体" w:hAnsi="宋体" w:cs="微软雅黑"/>
                <w:color w:val="auto"/>
                <w:kern w:val="0"/>
                <w:szCs w:val="21"/>
              </w:rPr>
              <w:t>分）未阐述本工程的重点和难点，无解决及保证措施重点和难点问题的方法。</w:t>
            </w:r>
          </w:p>
        </w:tc>
      </w:tr>
      <w:tr w14:paraId="1650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606" w:type="dxa"/>
            <w:gridSpan w:val="4"/>
          </w:tcPr>
          <w:p w14:paraId="7C44C31B">
            <w:pPr>
              <w:widowControl/>
              <w:spacing w:line="400" w:lineRule="exact"/>
              <w:jc w:val="left"/>
              <w:rPr>
                <w:rFonts w:ascii="宋体" w:hAnsi="宋体" w:cs="宋体"/>
                <w:color w:val="auto"/>
                <w:kern w:val="0"/>
                <w:szCs w:val="21"/>
              </w:rPr>
            </w:pPr>
            <w:r>
              <w:rPr>
                <w:rFonts w:hint="eastAsia" w:hAnsi="宋体" w:cs="宋体"/>
                <w:bCs/>
                <w:color w:val="auto"/>
                <w:szCs w:val="21"/>
              </w:rPr>
              <w:t>总得分＝</w:t>
            </w:r>
            <w:r>
              <w:rPr>
                <w:rFonts w:hint="eastAsia"/>
                <w:color w:val="auto"/>
                <w:szCs w:val="21"/>
              </w:rPr>
              <w:t>价格</w:t>
            </w:r>
            <w:r>
              <w:rPr>
                <w:color w:val="auto"/>
                <w:szCs w:val="21"/>
              </w:rPr>
              <w:t>分</w:t>
            </w:r>
            <w:r>
              <w:rPr>
                <w:rFonts w:eastAsia="Times New Roman"/>
                <w:color w:val="auto"/>
                <w:szCs w:val="21"/>
              </w:rPr>
              <w:t>+</w:t>
            </w:r>
            <w:r>
              <w:rPr>
                <w:rFonts w:hint="eastAsia"/>
                <w:color w:val="auto"/>
                <w:szCs w:val="21"/>
              </w:rPr>
              <w:t>技术</w:t>
            </w:r>
            <w:r>
              <w:rPr>
                <w:color w:val="auto"/>
                <w:szCs w:val="21"/>
              </w:rPr>
              <w:t>分</w:t>
            </w:r>
          </w:p>
        </w:tc>
      </w:tr>
    </w:tbl>
    <w:p w14:paraId="05B17DF5">
      <w:pPr>
        <w:keepNext w:val="0"/>
        <w:keepLines w:val="0"/>
        <w:pageBreakBefore w:val="0"/>
        <w:widowControl w:val="0"/>
        <w:kinsoku/>
        <w:wordWrap/>
        <w:overflowPunct/>
        <w:topLinePunct w:val="0"/>
        <w:autoSpaceDE/>
        <w:autoSpaceDN/>
        <w:bidi w:val="0"/>
        <w:adjustRightInd/>
        <w:snapToGrid/>
        <w:spacing w:line="520" w:lineRule="exact"/>
        <w:ind w:firstLine="413" w:firstLineChars="196"/>
        <w:textAlignment w:val="auto"/>
        <w:rPr>
          <w:b/>
          <w:bCs/>
          <w:color w:val="auto"/>
          <w:szCs w:val="21"/>
        </w:rPr>
      </w:pPr>
      <w:r>
        <w:rPr>
          <w:rFonts w:hint="eastAsia"/>
          <w:b/>
          <w:bCs/>
          <w:color w:val="auto"/>
          <w:szCs w:val="21"/>
        </w:rPr>
        <w:t>三、总分（100分）</w:t>
      </w:r>
    </w:p>
    <w:p w14:paraId="5C8D6F40">
      <w:pPr>
        <w:keepNext w:val="0"/>
        <w:keepLines w:val="0"/>
        <w:pageBreakBefore w:val="0"/>
        <w:widowControl w:val="0"/>
        <w:kinsoku/>
        <w:wordWrap/>
        <w:overflowPunct/>
        <w:topLinePunct w:val="0"/>
        <w:autoSpaceDE/>
        <w:autoSpaceDN/>
        <w:bidi w:val="0"/>
        <w:adjustRightInd/>
        <w:snapToGrid/>
        <w:spacing w:line="520" w:lineRule="exact"/>
        <w:ind w:firstLine="411" w:firstLineChars="196"/>
        <w:textAlignment w:val="auto"/>
        <w:rPr>
          <w:rFonts w:hint="default" w:ascii="宋体" w:hAnsi="宋体" w:eastAsia="宋体" w:cs="宋体"/>
          <w:color w:val="auto"/>
          <w:szCs w:val="21"/>
          <w:lang w:val="en-US" w:eastAsia="zh-CN"/>
        </w:rPr>
      </w:pPr>
      <w:r>
        <w:rPr>
          <w:rFonts w:hint="eastAsia" w:ascii="宋体" w:hAnsi="宋体" w:cs="宋体"/>
          <w:color w:val="auto"/>
          <w:szCs w:val="21"/>
        </w:rPr>
        <w:t>计算公式：总分＝价格分+技术分</w:t>
      </w:r>
    </w:p>
    <w:p w14:paraId="3C44437F">
      <w:pPr>
        <w:keepNext w:val="0"/>
        <w:keepLines w:val="0"/>
        <w:pageBreakBefore w:val="0"/>
        <w:widowControl w:val="0"/>
        <w:kinsoku/>
        <w:wordWrap/>
        <w:overflowPunct/>
        <w:topLinePunct w:val="0"/>
        <w:autoSpaceDE/>
        <w:autoSpaceDN/>
        <w:bidi w:val="0"/>
        <w:adjustRightInd/>
        <w:snapToGrid/>
        <w:spacing w:line="520" w:lineRule="exact"/>
        <w:ind w:firstLine="411" w:firstLineChars="196"/>
        <w:textAlignment w:val="auto"/>
        <w:rPr>
          <w:rFonts w:ascii="宋体" w:hAnsi="宋体" w:cs="宋体"/>
          <w:color w:val="auto"/>
          <w:szCs w:val="21"/>
        </w:rPr>
      </w:pPr>
      <w:r>
        <w:rPr>
          <w:rFonts w:hint="eastAsia" w:ascii="宋体" w:hAnsi="宋体" w:cs="宋体"/>
          <w:color w:val="auto"/>
          <w:szCs w:val="21"/>
        </w:rPr>
        <w:t>备注：各项指标的分数计算四舍五入，取小数点后两位。</w:t>
      </w:r>
    </w:p>
    <w:p w14:paraId="32EE0889">
      <w:pPr>
        <w:keepNext w:val="0"/>
        <w:keepLines w:val="0"/>
        <w:pageBreakBefore w:val="0"/>
        <w:widowControl w:val="0"/>
        <w:kinsoku/>
        <w:wordWrap/>
        <w:overflowPunct/>
        <w:topLinePunct w:val="0"/>
        <w:autoSpaceDE/>
        <w:autoSpaceDN/>
        <w:bidi w:val="0"/>
        <w:adjustRightInd/>
        <w:snapToGrid/>
        <w:spacing w:line="520" w:lineRule="exact"/>
        <w:ind w:firstLine="413" w:firstLineChars="196"/>
        <w:textAlignment w:val="auto"/>
        <w:rPr>
          <w:b/>
          <w:bCs/>
          <w:color w:val="auto"/>
          <w:szCs w:val="21"/>
        </w:rPr>
      </w:pPr>
      <w:r>
        <w:rPr>
          <w:rFonts w:hint="eastAsia"/>
          <w:b/>
          <w:bCs/>
          <w:color w:val="auto"/>
          <w:szCs w:val="21"/>
        </w:rPr>
        <w:t>四、</w:t>
      </w:r>
      <w:r>
        <w:rPr>
          <w:rFonts w:hint="eastAsia" w:ascii="宋体" w:hAnsi="宋体" w:cs="宋体"/>
          <w:b/>
          <w:color w:val="auto"/>
          <w:szCs w:val="21"/>
        </w:rPr>
        <w:t>成交候选供应商推荐原则</w:t>
      </w:r>
    </w:p>
    <w:p w14:paraId="7BFFA6C5">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宋体" w:hAnsi="宋体" w:cs="宋体"/>
          <w:color w:val="auto"/>
          <w:szCs w:val="21"/>
        </w:rPr>
      </w:pPr>
      <w:r>
        <w:rPr>
          <w:rFonts w:ascii="宋体" w:hAnsi="宋体" w:cs="宋体"/>
          <w:color w:val="auto"/>
          <w:szCs w:val="21"/>
        </w:rPr>
        <w:t>磋商小组应当根据综合评分情况，按照评审得分由高到低顺序推荐3名以上成交候选供应商，并编写评审报告。评审得分相同的，按照最后报价由低到高的顺序推荐。评审得分且最后报价相同的，按照</w:t>
      </w:r>
      <w:r>
        <w:rPr>
          <w:rFonts w:hint="eastAsia" w:ascii="宋体" w:hAnsi="宋体" w:cs="宋体"/>
          <w:color w:val="auto"/>
          <w:szCs w:val="21"/>
        </w:rPr>
        <w:t>技术部分得分从高到低</w:t>
      </w:r>
      <w:r>
        <w:rPr>
          <w:rFonts w:ascii="宋体" w:hAnsi="宋体" w:cs="宋体"/>
          <w:color w:val="auto"/>
          <w:szCs w:val="21"/>
        </w:rPr>
        <w:t>顺序推荐。</w:t>
      </w:r>
    </w:p>
    <w:p w14:paraId="1C6B2267">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cs="宋体"/>
          <w:color w:val="auto"/>
          <w:szCs w:val="21"/>
        </w:rPr>
      </w:pPr>
      <w:r>
        <w:rPr>
          <w:rFonts w:ascii="宋体" w:hAnsi="宋体" w:cs="宋体"/>
          <w:color w:val="auto"/>
          <w:szCs w:val="21"/>
        </w:rPr>
        <w:t>采购人应当在收到评审报告后</w:t>
      </w:r>
      <w:r>
        <w:rPr>
          <w:rFonts w:hint="eastAsia" w:ascii="宋体" w:hAnsi="宋体" w:cs="宋体"/>
          <w:color w:val="auto"/>
          <w:szCs w:val="21"/>
        </w:rPr>
        <w:t>2</w:t>
      </w:r>
      <w:r>
        <w:rPr>
          <w:rFonts w:ascii="宋体" w:hAnsi="宋体" w:cs="宋体"/>
          <w:color w:val="auto"/>
          <w:szCs w:val="21"/>
        </w:rPr>
        <w:t>个工作日内，</w:t>
      </w:r>
      <w:r>
        <w:rPr>
          <w:rFonts w:hint="eastAsia" w:ascii="宋体" w:hAnsi="宋体" w:cs="宋体"/>
          <w:color w:val="auto"/>
          <w:szCs w:val="21"/>
        </w:rPr>
        <w:t>根据</w:t>
      </w:r>
      <w:r>
        <w:rPr>
          <w:rFonts w:ascii="宋体" w:hAnsi="宋体" w:cs="宋体"/>
          <w:color w:val="auto"/>
          <w:szCs w:val="21"/>
        </w:rPr>
        <w:t>评审报告按照</w:t>
      </w:r>
      <w:r>
        <w:rPr>
          <w:rFonts w:hint="eastAsia" w:ascii="宋体" w:hAnsi="宋体" w:cs="宋体"/>
          <w:color w:val="auto"/>
          <w:szCs w:val="21"/>
        </w:rPr>
        <w:t>评审总得分</w:t>
      </w:r>
      <w:r>
        <w:rPr>
          <w:rFonts w:ascii="宋体" w:hAnsi="宋体" w:cs="宋体"/>
          <w:color w:val="auto"/>
          <w:szCs w:val="21"/>
        </w:rPr>
        <w:t>排序由高到低的原则确定成交供应商。</w:t>
      </w:r>
      <w:r>
        <w:rPr>
          <w:rFonts w:hint="eastAsia" w:ascii="宋体" w:hAnsi="宋体" w:cs="宋体"/>
          <w:color w:val="auto"/>
          <w:szCs w:val="21"/>
        </w:rPr>
        <w:t>采购人逾期未确定成交供应商且不提出异议的，视为确定评审报告提出的排序第一的供应商为成交供应商。</w:t>
      </w:r>
    </w:p>
    <w:p w14:paraId="7EFD6840">
      <w:pPr>
        <w:bidi w:val="0"/>
        <w:rPr>
          <w:rFonts w:hint="eastAsia"/>
          <w:color w:val="auto"/>
          <w:lang w:val="en-US" w:eastAsia="zh-CN"/>
        </w:rPr>
      </w:pPr>
    </w:p>
    <w:p w14:paraId="28247F47">
      <w:pPr>
        <w:bidi w:val="0"/>
        <w:rPr>
          <w:rFonts w:hint="eastAsia"/>
          <w:color w:val="auto"/>
          <w:lang w:val="en-US" w:eastAsia="zh-CN"/>
        </w:rPr>
      </w:pPr>
    </w:p>
    <w:p w14:paraId="32876561">
      <w:pPr>
        <w:pStyle w:val="58"/>
        <w:rPr>
          <w:rFonts w:hint="eastAsia"/>
          <w:color w:val="auto"/>
          <w:lang w:val="en-US" w:eastAsia="zh-CN"/>
        </w:rPr>
      </w:pPr>
    </w:p>
    <w:p w14:paraId="1C3D382F">
      <w:pPr>
        <w:pStyle w:val="58"/>
        <w:rPr>
          <w:rFonts w:hint="eastAsia"/>
          <w:color w:val="auto"/>
          <w:lang w:val="en-US" w:eastAsia="zh-CN"/>
        </w:rPr>
      </w:pPr>
    </w:p>
    <w:p w14:paraId="2325F27B">
      <w:pPr>
        <w:pStyle w:val="58"/>
        <w:rPr>
          <w:rFonts w:hint="eastAsia"/>
          <w:color w:val="auto"/>
          <w:lang w:val="en-US" w:eastAsia="zh-CN"/>
        </w:rPr>
      </w:pPr>
    </w:p>
    <w:p w14:paraId="00C7121B">
      <w:pPr>
        <w:pStyle w:val="58"/>
        <w:rPr>
          <w:rFonts w:hint="eastAsia"/>
          <w:color w:val="auto"/>
          <w:lang w:val="en-US" w:eastAsia="zh-CN"/>
        </w:rPr>
      </w:pPr>
    </w:p>
    <w:p w14:paraId="67FFE092">
      <w:pPr>
        <w:pStyle w:val="58"/>
        <w:rPr>
          <w:rFonts w:hint="eastAsia"/>
          <w:color w:val="auto"/>
          <w:lang w:val="en-US" w:eastAsia="zh-CN"/>
        </w:rPr>
      </w:pPr>
    </w:p>
    <w:p w14:paraId="0A332815">
      <w:pPr>
        <w:rPr>
          <w:rFonts w:hint="eastAsia"/>
          <w:color w:val="auto"/>
          <w:lang w:val="en-US" w:eastAsia="zh-CN"/>
        </w:rPr>
      </w:pPr>
      <w:bookmarkStart w:id="127" w:name="_Toc18266"/>
      <w:r>
        <w:rPr>
          <w:rFonts w:hint="eastAsia"/>
          <w:color w:val="auto"/>
          <w:lang w:val="en-US" w:eastAsia="zh-CN"/>
        </w:rPr>
        <w:br w:type="page"/>
      </w:r>
    </w:p>
    <w:p w14:paraId="0E3851EB">
      <w:pPr>
        <w:pStyle w:val="3"/>
        <w:keepNext/>
        <w:keepLines/>
        <w:pageBreakBefore w:val="0"/>
        <w:widowControl w:val="0"/>
        <w:kinsoku/>
        <w:wordWrap/>
        <w:overflowPunct/>
        <w:topLinePunct w:val="0"/>
        <w:autoSpaceDE/>
        <w:autoSpaceDN/>
        <w:bidi w:val="0"/>
        <w:adjustRightInd/>
        <w:snapToGrid/>
        <w:spacing w:before="0" w:after="0" w:line="520" w:lineRule="exact"/>
        <w:ind w:firstLine="1767" w:firstLineChars="400"/>
        <w:textAlignment w:val="auto"/>
        <w:rPr>
          <w:color w:val="auto"/>
        </w:rPr>
      </w:pPr>
      <w:r>
        <w:rPr>
          <w:rFonts w:hint="eastAsia"/>
          <w:color w:val="auto"/>
          <w:lang w:val="en-US" w:eastAsia="zh-CN"/>
        </w:rPr>
        <w:t>第四章</w:t>
      </w:r>
      <w:r>
        <w:rPr>
          <w:rFonts w:hint="eastAsia"/>
          <w:color w:val="auto"/>
        </w:rPr>
        <w:t>合同条款及格式</w:t>
      </w:r>
      <w:bookmarkEnd w:id="120"/>
      <w:bookmarkEnd w:id="127"/>
    </w:p>
    <w:bookmarkEnd w:id="121"/>
    <w:bookmarkEnd w:id="122"/>
    <w:bookmarkEnd w:id="123"/>
    <w:bookmarkEnd w:id="124"/>
    <w:bookmarkEnd w:id="125"/>
    <w:p w14:paraId="7C8C9C4C">
      <w:pPr>
        <w:rPr>
          <w:color w:val="auto"/>
        </w:rPr>
      </w:pPr>
      <w:bookmarkStart w:id="128" w:name="_Toc346264358"/>
    </w:p>
    <w:p w14:paraId="73789085">
      <w:pPr>
        <w:rPr>
          <w:color w:val="auto"/>
        </w:rPr>
      </w:pPr>
    </w:p>
    <w:p w14:paraId="48185057">
      <w:pPr>
        <w:widowControl/>
        <w:jc w:val="center"/>
        <w:rPr>
          <w:color w:val="auto"/>
        </w:rPr>
      </w:pPr>
      <w:r>
        <w:rPr>
          <w:rFonts w:hint="eastAsia" w:ascii="宋体" w:hAnsi="宋体" w:cs="宋体"/>
          <w:b/>
          <w:color w:val="auto"/>
          <w:kern w:val="0"/>
          <w:sz w:val="44"/>
          <w:szCs w:val="44"/>
        </w:rPr>
        <w:t>__________________工程施工合同</w:t>
      </w:r>
    </w:p>
    <w:p w14:paraId="04DEDD3D">
      <w:pPr>
        <w:widowControl/>
        <w:jc w:val="left"/>
        <w:rPr>
          <w:rFonts w:ascii="宋体" w:hAnsi="宋体" w:cs="宋体"/>
          <w:color w:val="auto"/>
          <w:kern w:val="0"/>
          <w:sz w:val="30"/>
          <w:szCs w:val="30"/>
        </w:rPr>
      </w:pPr>
    </w:p>
    <w:p w14:paraId="204F6D0A">
      <w:pPr>
        <w:widowControl/>
        <w:jc w:val="left"/>
        <w:rPr>
          <w:rFonts w:ascii="宋体" w:hAnsi="宋体" w:cs="宋体"/>
          <w:color w:val="auto"/>
          <w:kern w:val="0"/>
          <w:sz w:val="30"/>
          <w:szCs w:val="30"/>
        </w:rPr>
      </w:pPr>
    </w:p>
    <w:p w14:paraId="2A15B9F5">
      <w:pPr>
        <w:widowControl/>
        <w:jc w:val="left"/>
        <w:rPr>
          <w:rFonts w:ascii="宋体" w:hAnsi="宋体" w:cs="宋体"/>
          <w:color w:val="auto"/>
          <w:kern w:val="0"/>
          <w:sz w:val="30"/>
          <w:szCs w:val="30"/>
        </w:rPr>
      </w:pPr>
    </w:p>
    <w:p w14:paraId="1CAF539D">
      <w:pPr>
        <w:widowControl/>
        <w:jc w:val="left"/>
        <w:rPr>
          <w:rFonts w:ascii="宋体" w:hAnsi="宋体" w:cs="宋体"/>
          <w:color w:val="auto"/>
          <w:kern w:val="0"/>
          <w:sz w:val="30"/>
          <w:szCs w:val="30"/>
        </w:rPr>
      </w:pPr>
    </w:p>
    <w:p w14:paraId="109D05DE">
      <w:pPr>
        <w:widowControl/>
        <w:jc w:val="left"/>
        <w:rPr>
          <w:rFonts w:ascii="宋体" w:hAnsi="宋体" w:cs="宋体"/>
          <w:color w:val="auto"/>
          <w:kern w:val="0"/>
          <w:sz w:val="30"/>
          <w:szCs w:val="30"/>
        </w:rPr>
      </w:pPr>
    </w:p>
    <w:p w14:paraId="31BFF6F7">
      <w:pPr>
        <w:widowControl/>
        <w:spacing w:line="720" w:lineRule="auto"/>
        <w:jc w:val="left"/>
        <w:rPr>
          <w:color w:val="auto"/>
        </w:rPr>
      </w:pPr>
      <w:r>
        <w:rPr>
          <w:rFonts w:hint="eastAsia" w:ascii="宋体" w:hAnsi="宋体" w:cs="宋体"/>
          <w:color w:val="auto"/>
          <w:kern w:val="0"/>
          <w:sz w:val="30"/>
          <w:szCs w:val="30"/>
        </w:rPr>
        <w:t>发包方：</w:t>
      </w:r>
      <w:r>
        <w:rPr>
          <w:rFonts w:hint="eastAsia" w:ascii="宋体" w:hAnsi="宋体" w:cs="宋体"/>
          <w:b/>
          <w:color w:val="auto"/>
          <w:kern w:val="0"/>
          <w:sz w:val="44"/>
          <w:szCs w:val="44"/>
        </w:rPr>
        <w:t>__________________</w:t>
      </w:r>
    </w:p>
    <w:p w14:paraId="5E181B7D">
      <w:pPr>
        <w:widowControl/>
        <w:spacing w:line="720" w:lineRule="auto"/>
        <w:jc w:val="left"/>
        <w:rPr>
          <w:color w:val="auto"/>
        </w:rPr>
      </w:pPr>
      <w:r>
        <w:rPr>
          <w:rFonts w:hint="eastAsia" w:ascii="宋体" w:hAnsi="宋体" w:cs="宋体"/>
          <w:color w:val="auto"/>
          <w:kern w:val="0"/>
          <w:sz w:val="30"/>
          <w:szCs w:val="30"/>
        </w:rPr>
        <w:t>承包方：</w:t>
      </w:r>
      <w:r>
        <w:rPr>
          <w:rFonts w:hint="eastAsia" w:ascii="宋体" w:hAnsi="宋体" w:cs="宋体"/>
          <w:b/>
          <w:color w:val="auto"/>
          <w:kern w:val="0"/>
          <w:sz w:val="44"/>
          <w:szCs w:val="44"/>
        </w:rPr>
        <w:t>__________________</w:t>
      </w:r>
    </w:p>
    <w:p w14:paraId="34703812">
      <w:pPr>
        <w:widowControl/>
        <w:spacing w:line="720" w:lineRule="auto"/>
        <w:jc w:val="left"/>
        <w:rPr>
          <w:color w:val="auto"/>
        </w:rPr>
      </w:pPr>
      <w:r>
        <w:rPr>
          <w:rFonts w:hint="eastAsia" w:ascii="宋体" w:hAnsi="宋体" w:cs="宋体"/>
          <w:color w:val="auto"/>
          <w:kern w:val="0"/>
          <w:sz w:val="30"/>
          <w:szCs w:val="30"/>
        </w:rPr>
        <w:t>工程地点：</w:t>
      </w:r>
      <w:r>
        <w:rPr>
          <w:rFonts w:hint="eastAsia" w:ascii="宋体" w:hAnsi="宋体" w:cs="宋体"/>
          <w:b/>
          <w:color w:val="auto"/>
          <w:kern w:val="0"/>
          <w:sz w:val="44"/>
          <w:szCs w:val="44"/>
        </w:rPr>
        <w:t>__________________</w:t>
      </w:r>
    </w:p>
    <w:p w14:paraId="413F7F9C">
      <w:pPr>
        <w:widowControl/>
        <w:spacing w:line="720" w:lineRule="auto"/>
        <w:jc w:val="left"/>
        <w:rPr>
          <w:rFonts w:ascii="宋体" w:hAnsi="宋体" w:cs="宋体"/>
          <w:b/>
          <w:color w:val="auto"/>
          <w:kern w:val="0"/>
          <w:sz w:val="32"/>
          <w:szCs w:val="32"/>
        </w:rPr>
        <w:sectPr>
          <w:footerReference r:id="rId3" w:type="default"/>
          <w:pgSz w:w="11906" w:h="16838"/>
          <w:pgMar w:top="1304" w:right="1344" w:bottom="1134" w:left="1304" w:header="851" w:footer="992" w:gutter="0"/>
          <w:pgNumType w:start="1"/>
          <w:cols w:space="720" w:num="1"/>
          <w:docGrid w:linePitch="312" w:charSpace="0"/>
        </w:sectPr>
      </w:pPr>
      <w:r>
        <w:rPr>
          <w:rFonts w:hint="eastAsia" w:ascii="宋体" w:hAnsi="宋体" w:cs="宋体"/>
          <w:color w:val="auto"/>
          <w:kern w:val="0"/>
          <w:sz w:val="30"/>
          <w:szCs w:val="30"/>
        </w:rPr>
        <w:t>签订日期：年月日</w:t>
      </w:r>
    </w:p>
    <w:p w14:paraId="23098BA4">
      <w:pPr>
        <w:rPr>
          <w:color w:val="auto"/>
        </w:rPr>
      </w:pPr>
    </w:p>
    <w:p w14:paraId="456E68A1">
      <w:pPr>
        <w:bidi w:val="0"/>
        <w:jc w:val="center"/>
        <w:rPr>
          <w:color w:val="auto"/>
          <w:sz w:val="32"/>
          <w:szCs w:val="32"/>
        </w:rPr>
      </w:pPr>
      <w:r>
        <w:rPr>
          <w:color w:val="auto"/>
          <w:sz w:val="32"/>
          <w:szCs w:val="32"/>
        </w:rPr>
        <w:t>合同主要条款</w:t>
      </w:r>
    </w:p>
    <w:p w14:paraId="3F2D5B22">
      <w:pPr>
        <w:bidi w:val="0"/>
        <w:jc w:val="center"/>
        <w:rPr>
          <w:color w:val="auto"/>
          <w:sz w:val="32"/>
          <w:szCs w:val="32"/>
        </w:rPr>
      </w:pPr>
      <w:bookmarkStart w:id="129" w:name="第一部分_合同协议书"/>
      <w:bookmarkEnd w:id="129"/>
      <w:r>
        <w:rPr>
          <w:color w:val="auto"/>
          <w:sz w:val="32"/>
          <w:szCs w:val="32"/>
        </w:rPr>
        <w:t>第一部分合同协议书</w:t>
      </w:r>
    </w:p>
    <w:p w14:paraId="012D6CEA">
      <w:pPr>
        <w:spacing w:line="420" w:lineRule="exact"/>
        <w:jc w:val="center"/>
        <w:rPr>
          <w:color w:val="auto"/>
          <w:sz w:val="32"/>
          <w:szCs w:val="32"/>
        </w:rPr>
      </w:pPr>
      <w:bookmarkStart w:id="130" w:name="_Toc184635071"/>
    </w:p>
    <w:bookmarkEnd w:id="130"/>
    <w:p w14:paraId="53AD7286">
      <w:pPr>
        <w:spacing w:line="360" w:lineRule="auto"/>
        <w:rPr>
          <w:color w:val="auto"/>
          <w:szCs w:val="21"/>
          <w:u w:val="single"/>
        </w:rPr>
      </w:pPr>
      <w:r>
        <w:rPr>
          <w:color w:val="auto"/>
          <w:szCs w:val="21"/>
        </w:rPr>
        <w:t>发包人（全称）：</w:t>
      </w:r>
      <w:r>
        <w:rPr>
          <w:rFonts w:hint="eastAsia"/>
          <w:color w:val="auto"/>
          <w:szCs w:val="21"/>
          <w:u w:val="single"/>
          <w:lang w:eastAsia="zh-CN"/>
        </w:rPr>
        <w:t>龙州县教育局</w:t>
      </w:r>
      <w:r>
        <w:rPr>
          <w:rFonts w:hint="eastAsia"/>
          <w:color w:val="auto"/>
          <w:szCs w:val="21"/>
          <w:u w:val="single"/>
          <w:lang w:val="en-US" w:eastAsia="zh-CN"/>
        </w:rPr>
        <w:t xml:space="preserve">     </w:t>
      </w:r>
      <w:r>
        <w:rPr>
          <w:rFonts w:hint="eastAsia"/>
          <w:color w:val="auto"/>
          <w:szCs w:val="21"/>
          <w:u w:val="none"/>
          <w:lang w:val="en-US" w:eastAsia="zh-CN"/>
        </w:rPr>
        <w:t xml:space="preserve">                   </w:t>
      </w:r>
      <w:r>
        <w:rPr>
          <w:color w:val="auto"/>
          <w:szCs w:val="21"/>
        </w:rPr>
        <w:t>承包人（全称）：</w:t>
      </w:r>
      <w:r>
        <w:rPr>
          <w:color w:val="auto"/>
          <w:szCs w:val="21"/>
          <w:u w:val="single"/>
        </w:rPr>
        <w:t></w:t>
      </w:r>
    </w:p>
    <w:p w14:paraId="3AF80C51">
      <w:pPr>
        <w:pStyle w:val="249"/>
        <w:spacing w:line="360" w:lineRule="auto"/>
        <w:ind w:firstLine="525" w:firstLineChars="250"/>
        <w:rPr>
          <w:color w:val="auto"/>
        </w:rPr>
      </w:pPr>
      <w:r>
        <w:rPr>
          <w:color w:val="auto"/>
        </w:rPr>
        <w:t>根据《中华人民共和国合同法》、《中华人民共和国建筑法》及有关法律规定，遵循平等、自愿、公平和诚实信用的原则，双方就</w:t>
      </w:r>
      <w:r>
        <w:rPr>
          <w:rFonts w:hint="eastAsia"/>
          <w:color w:val="auto"/>
          <w:u w:val="single"/>
          <w:lang w:val="en-US" w:eastAsia="zh-CN"/>
        </w:rPr>
        <w:t xml:space="preserve">  本项目</w:t>
      </w:r>
      <w:r>
        <w:rPr>
          <w:rFonts w:hint="eastAsia"/>
          <w:color w:val="auto"/>
          <w:u w:val="single"/>
        </w:rPr>
        <w:t>工程</w:t>
      </w:r>
      <w:r>
        <w:rPr>
          <w:rFonts w:hint="eastAsia"/>
          <w:color w:val="auto"/>
          <w:u w:val="single"/>
          <w:lang w:val="en-US" w:eastAsia="zh-CN"/>
        </w:rPr>
        <w:t xml:space="preserve"> </w:t>
      </w:r>
      <w:r>
        <w:rPr>
          <w:color w:val="auto"/>
        </w:rPr>
        <w:t>施工及有关事项协商一致，共同达成如下协议：</w:t>
      </w:r>
      <w:bookmarkStart w:id="131" w:name="_Toc351203481"/>
    </w:p>
    <w:p w14:paraId="0D8192BB">
      <w:pPr>
        <w:pStyle w:val="249"/>
        <w:spacing w:line="360" w:lineRule="auto"/>
        <w:ind w:firstLine="525" w:firstLineChars="250"/>
        <w:rPr>
          <w:color w:val="auto"/>
        </w:rPr>
      </w:pPr>
      <w:r>
        <w:rPr>
          <w:color w:val="auto"/>
        </w:rPr>
        <w:t>一、工程概况</w:t>
      </w:r>
      <w:bookmarkEnd w:id="131"/>
      <w:r>
        <w:rPr>
          <w:rFonts w:hint="eastAsia"/>
          <w:color w:val="auto"/>
          <w:u w:val="single"/>
        </w:rPr>
        <w:t xml:space="preserve">                       。</w:t>
      </w:r>
    </w:p>
    <w:p w14:paraId="0F518DF0">
      <w:pPr>
        <w:pStyle w:val="249"/>
        <w:spacing w:line="360" w:lineRule="auto"/>
        <w:ind w:firstLine="525" w:firstLineChars="250"/>
        <w:rPr>
          <w:color w:val="auto"/>
        </w:rPr>
      </w:pPr>
      <w:r>
        <w:rPr>
          <w:color w:val="auto"/>
        </w:rPr>
        <w:t>1. 工程名称：。</w:t>
      </w:r>
    </w:p>
    <w:p w14:paraId="0DBE63AC">
      <w:pPr>
        <w:pStyle w:val="249"/>
        <w:spacing w:line="360" w:lineRule="auto"/>
        <w:ind w:firstLine="525" w:firstLineChars="250"/>
        <w:rPr>
          <w:color w:val="auto"/>
        </w:rPr>
      </w:pPr>
      <w:r>
        <w:rPr>
          <w:color w:val="auto"/>
        </w:rPr>
        <w:t>2. 工程地点</w:t>
      </w:r>
      <w:r>
        <w:rPr>
          <w:color w:val="auto"/>
          <w:u w:val="none"/>
        </w:rPr>
        <w:t>：。</w:t>
      </w:r>
    </w:p>
    <w:p w14:paraId="717BB38D">
      <w:pPr>
        <w:spacing w:line="360" w:lineRule="auto"/>
        <w:ind w:firstLine="411" w:firstLineChars="196"/>
        <w:rPr>
          <w:bCs/>
          <w:color w:val="auto"/>
          <w:szCs w:val="21"/>
        </w:rPr>
      </w:pPr>
      <w:r>
        <w:rPr>
          <w:bCs/>
          <w:color w:val="auto"/>
          <w:szCs w:val="21"/>
        </w:rPr>
        <w:t>3. 工程立项批准文号：</w:t>
      </w:r>
      <w:r>
        <w:rPr>
          <w:color w:val="auto"/>
          <w:szCs w:val="21"/>
          <w:u w:val="single"/>
        </w:rPr>
        <w:t xml:space="preserve">              </w:t>
      </w:r>
      <w:r>
        <w:rPr>
          <w:bCs/>
          <w:color w:val="auto"/>
          <w:szCs w:val="21"/>
        </w:rPr>
        <w:t>。</w:t>
      </w:r>
    </w:p>
    <w:p w14:paraId="6AAE77E2">
      <w:pPr>
        <w:spacing w:line="360" w:lineRule="auto"/>
        <w:ind w:firstLine="411" w:firstLineChars="196"/>
        <w:rPr>
          <w:bCs/>
          <w:color w:val="auto"/>
          <w:szCs w:val="21"/>
        </w:rPr>
      </w:pPr>
      <w:r>
        <w:rPr>
          <w:bCs/>
          <w:color w:val="auto"/>
          <w:szCs w:val="21"/>
        </w:rPr>
        <w:t>4. 资金来源：</w:t>
      </w:r>
      <w:r>
        <w:rPr>
          <w:rFonts w:hint="eastAsia"/>
          <w:bCs/>
          <w:color w:val="auto"/>
          <w:szCs w:val="21"/>
        </w:rPr>
        <w:t xml:space="preserve"> 财政资金</w:t>
      </w:r>
      <w:r>
        <w:rPr>
          <w:bCs/>
          <w:color w:val="auto"/>
          <w:szCs w:val="21"/>
        </w:rPr>
        <w:t>。</w:t>
      </w:r>
    </w:p>
    <w:p w14:paraId="4EF24625">
      <w:pPr>
        <w:wordWrap w:val="0"/>
        <w:spacing w:line="360" w:lineRule="auto"/>
        <w:ind w:firstLine="420" w:firstLineChars="200"/>
        <w:rPr>
          <w:bCs/>
          <w:color w:val="auto"/>
          <w:szCs w:val="21"/>
        </w:rPr>
      </w:pPr>
      <w:r>
        <w:rPr>
          <w:bCs/>
          <w:color w:val="auto"/>
          <w:szCs w:val="21"/>
        </w:rPr>
        <w:t>5. 工程内容</w:t>
      </w:r>
      <w:r>
        <w:rPr>
          <w:bCs/>
          <w:color w:val="auto"/>
          <w:szCs w:val="21"/>
          <w:u w:val="single"/>
        </w:rPr>
        <w:t>：</w:t>
      </w:r>
      <w:r>
        <w:rPr>
          <w:rFonts w:hint="eastAsia"/>
          <w:bCs/>
          <w:color w:val="auto"/>
          <w:szCs w:val="21"/>
          <w:u w:val="single"/>
        </w:rPr>
        <w:t xml:space="preserve"> 详见前附表内容</w:t>
      </w:r>
      <w:r>
        <w:rPr>
          <w:bCs/>
          <w:color w:val="auto"/>
          <w:szCs w:val="21"/>
        </w:rPr>
        <w:t>。</w:t>
      </w:r>
    </w:p>
    <w:p w14:paraId="7708E9A6">
      <w:pPr>
        <w:spacing w:line="360" w:lineRule="auto"/>
        <w:ind w:firstLine="411" w:firstLineChars="196"/>
        <w:rPr>
          <w:bCs/>
          <w:color w:val="auto"/>
          <w:szCs w:val="21"/>
        </w:rPr>
      </w:pPr>
      <w:r>
        <w:rPr>
          <w:color w:val="auto"/>
          <w:szCs w:val="21"/>
        </w:rPr>
        <w:t>群体工程应附《承包人承揽工程项目一览表》（附件1）。</w:t>
      </w:r>
    </w:p>
    <w:p w14:paraId="427A3406">
      <w:pPr>
        <w:spacing w:line="360" w:lineRule="auto"/>
        <w:rPr>
          <w:bCs/>
          <w:color w:val="auto"/>
          <w:szCs w:val="21"/>
        </w:rPr>
      </w:pPr>
      <w:r>
        <w:rPr>
          <w:bCs/>
          <w:color w:val="auto"/>
          <w:szCs w:val="21"/>
        </w:rPr>
        <w:t>6. 工程承包范围</w:t>
      </w:r>
      <w:r>
        <w:rPr>
          <w:bCs/>
          <w:color w:val="auto"/>
          <w:szCs w:val="21"/>
          <w:u w:val="single"/>
        </w:rPr>
        <w:t>：</w:t>
      </w:r>
    </w:p>
    <w:p w14:paraId="694EB224">
      <w:pPr>
        <w:spacing w:line="360" w:lineRule="auto"/>
        <w:ind w:firstLine="407" w:firstLineChars="193"/>
        <w:rPr>
          <w:b/>
          <w:bCs/>
          <w:color w:val="auto"/>
          <w:szCs w:val="21"/>
        </w:rPr>
      </w:pPr>
      <w:bookmarkStart w:id="132" w:name="_Toc351203482"/>
      <w:r>
        <w:rPr>
          <w:b/>
          <w:bCs/>
          <w:color w:val="auto"/>
          <w:szCs w:val="21"/>
        </w:rPr>
        <w:t>二、合同工期</w:t>
      </w:r>
      <w:bookmarkEnd w:id="132"/>
    </w:p>
    <w:p w14:paraId="2F92AE37">
      <w:pPr>
        <w:spacing w:line="360" w:lineRule="auto"/>
        <w:ind w:firstLine="459"/>
        <w:rPr>
          <w:color w:val="auto"/>
          <w:szCs w:val="21"/>
        </w:rPr>
      </w:pPr>
      <w:r>
        <w:rPr>
          <w:color w:val="auto"/>
          <w:szCs w:val="21"/>
        </w:rPr>
        <w:t>开工日期：</w:t>
      </w:r>
      <w:r>
        <w:rPr>
          <w:color w:val="auto"/>
        </w:rPr>
        <w:t>年月日</w:t>
      </w:r>
      <w:r>
        <w:rPr>
          <w:color w:val="auto"/>
          <w:szCs w:val="21"/>
        </w:rPr>
        <w:t>。（具体以发包人书面通知为准）</w:t>
      </w:r>
    </w:p>
    <w:p w14:paraId="65833372">
      <w:pPr>
        <w:spacing w:line="360" w:lineRule="auto"/>
        <w:ind w:firstLine="525" w:firstLineChars="250"/>
        <w:rPr>
          <w:color w:val="auto"/>
        </w:rPr>
      </w:pPr>
      <w:r>
        <w:rPr>
          <w:color w:val="auto"/>
          <w:szCs w:val="21"/>
        </w:rPr>
        <w:t>竣工日期：</w:t>
      </w:r>
      <w:r>
        <w:rPr>
          <w:color w:val="auto"/>
        </w:rPr>
        <w:t>年月日</w:t>
      </w:r>
      <w:r>
        <w:rPr>
          <w:color w:val="auto"/>
          <w:szCs w:val="21"/>
        </w:rPr>
        <w:t>。</w:t>
      </w:r>
    </w:p>
    <w:p w14:paraId="5E426887">
      <w:pPr>
        <w:spacing w:line="360" w:lineRule="auto"/>
        <w:ind w:firstLine="459"/>
        <w:rPr>
          <w:color w:val="auto"/>
          <w:szCs w:val="21"/>
        </w:rPr>
      </w:pPr>
      <w:r>
        <w:rPr>
          <w:color w:val="auto"/>
          <w:szCs w:val="21"/>
        </w:rPr>
        <w:t>工期总日历天数：</w:t>
      </w:r>
      <w:r>
        <w:rPr>
          <w:color w:val="auto"/>
          <w:szCs w:val="21"/>
          <w:u w:val="single"/>
        </w:rPr>
        <w:t></w:t>
      </w:r>
      <w:r>
        <w:rPr>
          <w:rFonts w:hint="eastAsia"/>
          <w:color w:val="auto"/>
          <w:szCs w:val="21"/>
          <w:u w:val="single"/>
        </w:rPr>
        <w:t>工期</w:t>
      </w:r>
      <w:r>
        <w:rPr>
          <w:rFonts w:hint="eastAsia"/>
          <w:color w:val="auto"/>
          <w:szCs w:val="21"/>
          <w:u w:val="single"/>
          <w:lang w:val="en-US" w:eastAsia="zh-CN"/>
        </w:rPr>
        <w:t>90</w:t>
      </w:r>
      <w:r>
        <w:rPr>
          <w:rFonts w:hint="eastAsia"/>
          <w:color w:val="auto"/>
          <w:szCs w:val="21"/>
          <w:u w:val="single"/>
        </w:rPr>
        <w:t>日历</w:t>
      </w:r>
      <w:r>
        <w:rPr>
          <w:color w:val="auto"/>
          <w:szCs w:val="21"/>
        </w:rPr>
        <w:t>天。工期总日历天数与根据前述计划开竣工日期计算的工期天数不一致的，以工期总日历天数为准。</w:t>
      </w:r>
    </w:p>
    <w:p w14:paraId="5A86F674">
      <w:pPr>
        <w:spacing w:line="360" w:lineRule="auto"/>
        <w:ind w:firstLine="459"/>
        <w:rPr>
          <w:b/>
          <w:bCs/>
          <w:color w:val="auto"/>
          <w:szCs w:val="21"/>
        </w:rPr>
      </w:pPr>
      <w:bookmarkStart w:id="133" w:name="_Toc351203483"/>
      <w:r>
        <w:rPr>
          <w:b/>
          <w:bCs/>
          <w:color w:val="auto"/>
          <w:szCs w:val="21"/>
        </w:rPr>
        <w:t>三、质量标准</w:t>
      </w:r>
      <w:bookmarkEnd w:id="133"/>
    </w:p>
    <w:p w14:paraId="3B757132">
      <w:pPr>
        <w:spacing w:line="360" w:lineRule="auto"/>
        <w:ind w:firstLine="459"/>
        <w:rPr>
          <w:color w:val="auto"/>
          <w:szCs w:val="21"/>
        </w:rPr>
      </w:pPr>
      <w:r>
        <w:rPr>
          <w:color w:val="auto"/>
          <w:szCs w:val="21"/>
        </w:rPr>
        <w:t>工程质量符合</w:t>
      </w:r>
      <w:r>
        <w:rPr>
          <w:color w:val="auto"/>
          <w:szCs w:val="21"/>
          <w:u w:val="single"/>
        </w:rPr>
        <w:t></w:t>
      </w:r>
      <w:r>
        <w:rPr>
          <w:rFonts w:hint="eastAsia"/>
          <w:color w:val="auto"/>
          <w:szCs w:val="21"/>
          <w:u w:val="single"/>
        </w:rPr>
        <w:t>合格</w:t>
      </w:r>
      <w:r>
        <w:rPr>
          <w:color w:val="auto"/>
          <w:szCs w:val="21"/>
          <w:u w:val="single"/>
        </w:rPr>
        <w:t></w:t>
      </w:r>
      <w:r>
        <w:rPr>
          <w:color w:val="auto"/>
          <w:szCs w:val="21"/>
        </w:rPr>
        <w:t>标准。</w:t>
      </w:r>
    </w:p>
    <w:p w14:paraId="3700C3AC">
      <w:pPr>
        <w:spacing w:line="360" w:lineRule="auto"/>
        <w:ind w:firstLine="459"/>
        <w:rPr>
          <w:b/>
          <w:bCs/>
          <w:color w:val="auto"/>
          <w:szCs w:val="21"/>
        </w:rPr>
      </w:pPr>
      <w:bookmarkStart w:id="134" w:name="_Toc351203484"/>
      <w:r>
        <w:rPr>
          <w:b/>
          <w:bCs/>
          <w:color w:val="auto"/>
          <w:szCs w:val="21"/>
        </w:rPr>
        <w:t>四、签约合同价与合同价格形式</w:t>
      </w:r>
      <w:bookmarkEnd w:id="134"/>
    </w:p>
    <w:p w14:paraId="36C8D816">
      <w:pPr>
        <w:spacing w:line="360" w:lineRule="auto"/>
        <w:ind w:firstLine="459"/>
        <w:rPr>
          <w:color w:val="auto"/>
          <w:szCs w:val="21"/>
        </w:rPr>
      </w:pPr>
      <w:r>
        <w:rPr>
          <w:color w:val="auto"/>
          <w:szCs w:val="21"/>
        </w:rPr>
        <w:t>1. 签约合同价为</w:t>
      </w:r>
      <w:r>
        <w:rPr>
          <w:rFonts w:hint="eastAsia"/>
          <w:color w:val="auto"/>
          <w:szCs w:val="21"/>
        </w:rPr>
        <w:t>总价格包干</w:t>
      </w:r>
      <w:r>
        <w:rPr>
          <w:color w:val="auto"/>
          <w:szCs w:val="21"/>
        </w:rPr>
        <w:t>：</w:t>
      </w:r>
    </w:p>
    <w:p w14:paraId="76F4154A">
      <w:pPr>
        <w:spacing w:line="360" w:lineRule="auto"/>
        <w:ind w:firstLine="525" w:firstLineChars="250"/>
        <w:rPr>
          <w:color w:val="auto"/>
          <w:szCs w:val="21"/>
        </w:rPr>
      </w:pPr>
      <w:r>
        <w:rPr>
          <w:color w:val="auto"/>
          <w:szCs w:val="21"/>
        </w:rPr>
        <w:t>人民币（大写）（¥元）；</w:t>
      </w:r>
    </w:p>
    <w:p w14:paraId="670594BC">
      <w:pPr>
        <w:spacing w:line="360" w:lineRule="auto"/>
        <w:ind w:firstLine="420" w:firstLineChars="200"/>
        <w:rPr>
          <w:color w:val="auto"/>
          <w:szCs w:val="21"/>
        </w:rPr>
      </w:pPr>
      <w:r>
        <w:rPr>
          <w:color w:val="auto"/>
          <w:szCs w:val="21"/>
        </w:rPr>
        <w:t>2. 合同价格形式：</w:t>
      </w:r>
      <w:r>
        <w:rPr>
          <w:color w:val="auto"/>
          <w:szCs w:val="21"/>
          <w:u w:val="single"/>
        </w:rPr>
        <w:t xml:space="preserve">固定综合单价，包工包料 </w:t>
      </w:r>
      <w:r>
        <w:rPr>
          <w:color w:val="auto"/>
          <w:szCs w:val="21"/>
        </w:rPr>
        <w:t>。</w:t>
      </w:r>
    </w:p>
    <w:p w14:paraId="1E302003">
      <w:pPr>
        <w:spacing w:line="360" w:lineRule="auto"/>
        <w:ind w:firstLine="422" w:firstLineChars="200"/>
        <w:rPr>
          <w:b/>
          <w:bCs/>
          <w:color w:val="auto"/>
          <w:szCs w:val="21"/>
        </w:rPr>
      </w:pPr>
      <w:bookmarkStart w:id="135" w:name="_Toc351203485"/>
      <w:r>
        <w:rPr>
          <w:b/>
          <w:bCs/>
          <w:color w:val="auto"/>
          <w:szCs w:val="21"/>
        </w:rPr>
        <w:t>五、</w:t>
      </w:r>
      <w:bookmarkEnd w:id="135"/>
      <w:r>
        <w:rPr>
          <w:b/>
          <w:bCs/>
          <w:color w:val="auto"/>
          <w:szCs w:val="21"/>
        </w:rPr>
        <w:t>项目经理</w:t>
      </w:r>
    </w:p>
    <w:p w14:paraId="66E5F715">
      <w:pPr>
        <w:spacing w:line="360" w:lineRule="auto"/>
        <w:ind w:firstLine="420" w:firstLineChars="200"/>
        <w:rPr>
          <w:color w:val="auto"/>
          <w:szCs w:val="21"/>
        </w:rPr>
      </w:pPr>
      <w:r>
        <w:rPr>
          <w:color w:val="auto"/>
          <w:szCs w:val="21"/>
        </w:rPr>
        <w:t>承包人项目经理：</w:t>
      </w:r>
      <w:r>
        <w:rPr>
          <w:color w:val="auto"/>
          <w:szCs w:val="21"/>
          <w:u w:val="single"/>
        </w:rPr>
        <w:t></w:t>
      </w:r>
      <w:r>
        <w:rPr>
          <w:color w:val="auto"/>
          <w:szCs w:val="21"/>
        </w:rPr>
        <w:t>。</w:t>
      </w:r>
    </w:p>
    <w:p w14:paraId="2849D146">
      <w:pPr>
        <w:spacing w:line="360" w:lineRule="auto"/>
        <w:ind w:firstLine="422" w:firstLineChars="200"/>
        <w:rPr>
          <w:b/>
          <w:bCs/>
          <w:color w:val="auto"/>
          <w:szCs w:val="21"/>
        </w:rPr>
      </w:pPr>
      <w:bookmarkStart w:id="136" w:name="_Toc351203486"/>
      <w:r>
        <w:rPr>
          <w:b/>
          <w:bCs/>
          <w:color w:val="auto"/>
          <w:szCs w:val="21"/>
        </w:rPr>
        <w:t>六、合同文件构成</w:t>
      </w:r>
      <w:bookmarkEnd w:id="136"/>
    </w:p>
    <w:p w14:paraId="31E93EE3">
      <w:pPr>
        <w:spacing w:line="360" w:lineRule="auto"/>
        <w:ind w:firstLine="420" w:firstLineChars="200"/>
        <w:rPr>
          <w:bCs/>
          <w:color w:val="auto"/>
          <w:szCs w:val="21"/>
        </w:rPr>
      </w:pPr>
      <w:r>
        <w:rPr>
          <w:bCs/>
          <w:color w:val="auto"/>
          <w:szCs w:val="21"/>
        </w:rPr>
        <w:t>本协议书与下列文件一起构成合同文件：</w:t>
      </w:r>
    </w:p>
    <w:p w14:paraId="7171BF67">
      <w:pPr>
        <w:adjustRightInd w:val="0"/>
        <w:spacing w:line="360" w:lineRule="auto"/>
        <w:ind w:firstLine="420" w:firstLineChars="200"/>
        <w:rPr>
          <w:color w:val="auto"/>
          <w:szCs w:val="21"/>
        </w:rPr>
      </w:pPr>
      <w:r>
        <w:rPr>
          <w:color w:val="auto"/>
          <w:szCs w:val="21"/>
        </w:rPr>
        <w:t>（1）中标通知书（如有）；</w:t>
      </w:r>
    </w:p>
    <w:p w14:paraId="21801B8E">
      <w:pPr>
        <w:adjustRightInd w:val="0"/>
        <w:spacing w:line="360" w:lineRule="auto"/>
        <w:ind w:firstLine="420" w:firstLineChars="200"/>
        <w:rPr>
          <w:color w:val="auto"/>
          <w:szCs w:val="21"/>
        </w:rPr>
      </w:pPr>
      <w:r>
        <w:rPr>
          <w:color w:val="auto"/>
          <w:szCs w:val="21"/>
        </w:rPr>
        <w:t xml:space="preserve">（2）投标函及其附录（如有）； </w:t>
      </w:r>
    </w:p>
    <w:p w14:paraId="24069F30">
      <w:pPr>
        <w:adjustRightInd w:val="0"/>
        <w:spacing w:line="360" w:lineRule="auto"/>
        <w:ind w:firstLine="420" w:firstLineChars="200"/>
        <w:rPr>
          <w:color w:val="auto"/>
          <w:szCs w:val="21"/>
        </w:rPr>
      </w:pPr>
      <w:r>
        <w:rPr>
          <w:color w:val="auto"/>
          <w:szCs w:val="21"/>
        </w:rPr>
        <w:t>（3）专用合同条款及其附件；</w:t>
      </w:r>
    </w:p>
    <w:p w14:paraId="681E043E">
      <w:pPr>
        <w:adjustRightInd w:val="0"/>
        <w:spacing w:line="360" w:lineRule="auto"/>
        <w:ind w:firstLine="420" w:firstLineChars="200"/>
        <w:rPr>
          <w:color w:val="auto"/>
          <w:szCs w:val="21"/>
        </w:rPr>
      </w:pPr>
      <w:r>
        <w:rPr>
          <w:color w:val="auto"/>
          <w:szCs w:val="21"/>
        </w:rPr>
        <w:t xml:space="preserve">（4）已标价工程量清单或预算书； </w:t>
      </w:r>
    </w:p>
    <w:p w14:paraId="1A16958D">
      <w:pPr>
        <w:adjustRightInd w:val="0"/>
        <w:spacing w:line="360" w:lineRule="auto"/>
        <w:ind w:firstLine="420" w:firstLineChars="200"/>
        <w:rPr>
          <w:color w:val="auto"/>
          <w:szCs w:val="21"/>
        </w:rPr>
      </w:pPr>
      <w:r>
        <w:rPr>
          <w:color w:val="auto"/>
          <w:szCs w:val="21"/>
        </w:rPr>
        <w:t>在合同订立及履行过程中形成的与合同有关的文件均构成合同文件组成部分。</w:t>
      </w:r>
    </w:p>
    <w:p w14:paraId="371F12D2">
      <w:pPr>
        <w:adjustRightInd w:val="0"/>
        <w:spacing w:line="360" w:lineRule="auto"/>
        <w:ind w:firstLine="420" w:firstLineChars="200"/>
        <w:rPr>
          <w:color w:val="auto"/>
          <w:szCs w:val="21"/>
        </w:rPr>
      </w:pPr>
      <w:r>
        <w:rPr>
          <w:color w:val="auto"/>
          <w:szCs w:val="21"/>
        </w:rPr>
        <w:t>上述各项合同文件包括合同当事人就该项合同文件所作出的补充和修改，属于同一类内容的文件，应以最新签署的为准。专用合同条款及其附件须经合同当事人签字或盖章。</w:t>
      </w:r>
    </w:p>
    <w:p w14:paraId="0E2E0D0F">
      <w:pPr>
        <w:adjustRightInd w:val="0"/>
        <w:spacing w:line="360" w:lineRule="auto"/>
        <w:ind w:firstLine="422" w:firstLineChars="200"/>
        <w:rPr>
          <w:b/>
          <w:bCs/>
          <w:color w:val="auto"/>
          <w:szCs w:val="21"/>
        </w:rPr>
      </w:pPr>
      <w:bookmarkStart w:id="137" w:name="_Toc351203487"/>
      <w:r>
        <w:rPr>
          <w:b/>
          <w:bCs/>
          <w:color w:val="auto"/>
          <w:szCs w:val="21"/>
        </w:rPr>
        <w:t>七、承诺</w:t>
      </w:r>
      <w:bookmarkEnd w:id="137"/>
    </w:p>
    <w:p w14:paraId="2612744C">
      <w:pPr>
        <w:spacing w:line="360" w:lineRule="auto"/>
        <w:ind w:firstLine="420" w:firstLineChars="200"/>
        <w:rPr>
          <w:bCs/>
          <w:color w:val="auto"/>
          <w:szCs w:val="21"/>
        </w:rPr>
      </w:pPr>
      <w:r>
        <w:rPr>
          <w:bCs/>
          <w:color w:val="auto"/>
          <w:szCs w:val="21"/>
        </w:rPr>
        <w:t>1. 发包人承诺按照法律规定履行项目审批手续、筹集工程建设资金并按照合同约定的期限和方式支付合同价款。</w:t>
      </w:r>
    </w:p>
    <w:p w14:paraId="63F18857">
      <w:pPr>
        <w:spacing w:line="360" w:lineRule="auto"/>
        <w:ind w:firstLine="420" w:firstLineChars="200"/>
        <w:rPr>
          <w:bCs/>
          <w:color w:val="auto"/>
          <w:szCs w:val="21"/>
        </w:rPr>
      </w:pPr>
      <w:r>
        <w:rPr>
          <w:bCs/>
          <w:color w:val="auto"/>
          <w:szCs w:val="21"/>
        </w:rPr>
        <w:t>2. 承包人承诺按照法律规定及合同约定组织完成工程施工，确保工程质量和安全，不进行转包及违法分包，并在缺陷责任期及保修期内承担相应的工程维修责任。</w:t>
      </w:r>
    </w:p>
    <w:p w14:paraId="40C1AAAC">
      <w:pPr>
        <w:spacing w:line="360" w:lineRule="auto"/>
        <w:ind w:firstLine="420" w:firstLineChars="200"/>
        <w:rPr>
          <w:bCs/>
          <w:color w:val="auto"/>
          <w:szCs w:val="21"/>
        </w:rPr>
      </w:pPr>
      <w:r>
        <w:rPr>
          <w:bCs/>
          <w:color w:val="auto"/>
          <w:szCs w:val="21"/>
        </w:rPr>
        <w:t>3. 发包人和承包人通过招投标形式签订合同的，双方理解并承诺不再就同一工程另行签订与合同实质性内容相背离的协议。</w:t>
      </w:r>
      <w:bookmarkStart w:id="138" w:name="_Toc351203488"/>
    </w:p>
    <w:p w14:paraId="31077731">
      <w:pPr>
        <w:spacing w:line="360" w:lineRule="auto"/>
        <w:ind w:firstLine="422" w:firstLineChars="200"/>
        <w:rPr>
          <w:b/>
          <w:bCs/>
          <w:color w:val="auto"/>
          <w:szCs w:val="21"/>
        </w:rPr>
      </w:pPr>
      <w:r>
        <w:rPr>
          <w:b/>
          <w:bCs/>
          <w:color w:val="auto"/>
          <w:szCs w:val="21"/>
        </w:rPr>
        <w:t>八、词语含义</w:t>
      </w:r>
      <w:bookmarkEnd w:id="138"/>
    </w:p>
    <w:p w14:paraId="7309065D">
      <w:pPr>
        <w:spacing w:line="360" w:lineRule="auto"/>
        <w:ind w:firstLine="420" w:firstLineChars="200"/>
        <w:rPr>
          <w:bCs/>
          <w:color w:val="auto"/>
          <w:szCs w:val="21"/>
        </w:rPr>
      </w:pPr>
      <w:r>
        <w:rPr>
          <w:bCs/>
          <w:color w:val="auto"/>
          <w:szCs w:val="21"/>
        </w:rPr>
        <w:t>本协议书中词语含义与第二部分通用合同条款中赋予的含义相同。</w:t>
      </w:r>
    </w:p>
    <w:p w14:paraId="385D00FD">
      <w:pPr>
        <w:spacing w:line="360" w:lineRule="auto"/>
        <w:ind w:firstLine="422" w:firstLineChars="200"/>
        <w:rPr>
          <w:b/>
          <w:bCs/>
          <w:color w:val="auto"/>
          <w:szCs w:val="21"/>
        </w:rPr>
      </w:pPr>
      <w:bookmarkStart w:id="139" w:name="_Toc351203489"/>
      <w:r>
        <w:rPr>
          <w:b/>
          <w:bCs/>
          <w:color w:val="auto"/>
          <w:szCs w:val="21"/>
        </w:rPr>
        <w:t>九、签订时间</w:t>
      </w:r>
      <w:bookmarkEnd w:id="139"/>
    </w:p>
    <w:p w14:paraId="079C8214">
      <w:pPr>
        <w:spacing w:line="360" w:lineRule="auto"/>
        <w:ind w:firstLine="420" w:firstLineChars="200"/>
        <w:rPr>
          <w:bCs/>
          <w:color w:val="auto"/>
          <w:szCs w:val="21"/>
        </w:rPr>
      </w:pPr>
      <w:r>
        <w:rPr>
          <w:bCs/>
          <w:color w:val="auto"/>
          <w:szCs w:val="21"/>
        </w:rPr>
        <w:t>本合同于</w:t>
      </w:r>
      <w:r>
        <w:rPr>
          <w:bCs/>
          <w:color w:val="auto"/>
          <w:szCs w:val="21"/>
          <w:u w:val="single"/>
        </w:rPr>
        <w:t xml:space="preserve"> 20</w:t>
      </w:r>
      <w:r>
        <w:rPr>
          <w:rFonts w:hint="eastAsia"/>
          <w:bCs/>
          <w:color w:val="auto"/>
          <w:szCs w:val="21"/>
          <w:u w:val="single"/>
        </w:rPr>
        <w:t>2</w:t>
      </w:r>
      <w:r>
        <w:rPr>
          <w:rFonts w:hint="eastAsia"/>
          <w:bCs/>
          <w:color w:val="auto"/>
          <w:szCs w:val="21"/>
          <w:u w:val="single"/>
          <w:lang w:val="en-US" w:eastAsia="zh-CN"/>
        </w:rPr>
        <w:t>6</w:t>
      </w:r>
      <w:r>
        <w:rPr>
          <w:bCs/>
          <w:color w:val="auto"/>
          <w:szCs w:val="21"/>
        </w:rPr>
        <w:t>年</w:t>
      </w:r>
      <w:r>
        <w:rPr>
          <w:rFonts w:hint="eastAsia"/>
          <w:bCs/>
          <w:color w:val="auto"/>
          <w:szCs w:val="21"/>
          <w:lang w:val="en-US" w:eastAsia="zh-CN"/>
        </w:rPr>
        <w:t xml:space="preserve"> </w:t>
      </w:r>
      <w:r>
        <w:rPr>
          <w:bCs/>
          <w:color w:val="auto"/>
          <w:szCs w:val="21"/>
        </w:rPr>
        <w:t>月</w:t>
      </w:r>
      <w:r>
        <w:rPr>
          <w:rFonts w:hint="eastAsia"/>
          <w:bCs/>
          <w:color w:val="auto"/>
          <w:szCs w:val="21"/>
          <w:lang w:val="en-US" w:eastAsia="zh-CN"/>
        </w:rPr>
        <w:t xml:space="preserve">   </w:t>
      </w:r>
      <w:r>
        <w:rPr>
          <w:bCs/>
          <w:color w:val="auto"/>
          <w:szCs w:val="21"/>
        </w:rPr>
        <w:t>日签订。</w:t>
      </w:r>
    </w:p>
    <w:p w14:paraId="1D3B1F94">
      <w:pPr>
        <w:spacing w:line="360" w:lineRule="auto"/>
        <w:ind w:firstLine="422" w:firstLineChars="200"/>
        <w:rPr>
          <w:b/>
          <w:bCs/>
          <w:color w:val="auto"/>
          <w:szCs w:val="21"/>
        </w:rPr>
      </w:pPr>
      <w:bookmarkStart w:id="140" w:name="_Toc351203490"/>
      <w:r>
        <w:rPr>
          <w:b/>
          <w:bCs/>
          <w:color w:val="auto"/>
          <w:szCs w:val="21"/>
        </w:rPr>
        <w:t>十、签订地点</w:t>
      </w:r>
      <w:bookmarkEnd w:id="140"/>
    </w:p>
    <w:p w14:paraId="74FC267F">
      <w:pPr>
        <w:spacing w:line="360" w:lineRule="auto"/>
        <w:ind w:firstLine="420" w:firstLineChars="200"/>
        <w:rPr>
          <w:bCs/>
          <w:color w:val="auto"/>
          <w:szCs w:val="21"/>
        </w:rPr>
      </w:pPr>
      <w:r>
        <w:rPr>
          <w:bCs/>
          <w:color w:val="auto"/>
          <w:szCs w:val="21"/>
        </w:rPr>
        <w:t>本合同在</w:t>
      </w:r>
      <w:r>
        <w:rPr>
          <w:rFonts w:hint="eastAsia"/>
          <w:color w:val="auto"/>
          <w:szCs w:val="21"/>
          <w:u w:val="single"/>
          <w:lang w:eastAsia="zh-CN"/>
        </w:rPr>
        <w:t>龙州县教育局</w:t>
      </w:r>
      <w:r>
        <w:rPr>
          <w:bCs/>
          <w:color w:val="auto"/>
          <w:szCs w:val="21"/>
        </w:rPr>
        <w:t>签订。</w:t>
      </w:r>
    </w:p>
    <w:p w14:paraId="40BF99AC">
      <w:pPr>
        <w:spacing w:line="360" w:lineRule="auto"/>
        <w:ind w:firstLine="422" w:firstLineChars="200"/>
        <w:rPr>
          <w:b/>
          <w:bCs/>
          <w:color w:val="auto"/>
          <w:szCs w:val="21"/>
        </w:rPr>
      </w:pPr>
      <w:bookmarkStart w:id="141" w:name="_Toc351203491"/>
      <w:r>
        <w:rPr>
          <w:b/>
          <w:bCs/>
          <w:color w:val="auto"/>
          <w:szCs w:val="21"/>
        </w:rPr>
        <w:t>十一、补充协议</w:t>
      </w:r>
      <w:bookmarkEnd w:id="141"/>
    </w:p>
    <w:p w14:paraId="339D459A">
      <w:pPr>
        <w:spacing w:line="360" w:lineRule="auto"/>
        <w:ind w:firstLine="420" w:firstLineChars="200"/>
        <w:rPr>
          <w:bCs/>
          <w:color w:val="auto"/>
          <w:szCs w:val="21"/>
        </w:rPr>
      </w:pPr>
      <w:r>
        <w:rPr>
          <w:bCs/>
          <w:color w:val="auto"/>
          <w:szCs w:val="21"/>
        </w:rPr>
        <w:t>合同未尽事宜，合同当事人另行签订补充协议，补充协议是合同的组成部分。</w:t>
      </w:r>
    </w:p>
    <w:p w14:paraId="08D1A5F7">
      <w:pPr>
        <w:spacing w:line="360" w:lineRule="auto"/>
        <w:ind w:firstLine="422" w:firstLineChars="200"/>
        <w:rPr>
          <w:b/>
          <w:bCs/>
          <w:color w:val="auto"/>
          <w:szCs w:val="21"/>
        </w:rPr>
      </w:pPr>
      <w:bookmarkStart w:id="142" w:name="_Toc351203492"/>
      <w:r>
        <w:rPr>
          <w:b/>
          <w:bCs/>
          <w:color w:val="auto"/>
          <w:szCs w:val="21"/>
        </w:rPr>
        <w:t>十二、合同生效</w:t>
      </w:r>
      <w:bookmarkEnd w:id="142"/>
    </w:p>
    <w:p w14:paraId="4C3B9B89">
      <w:pPr>
        <w:spacing w:line="360" w:lineRule="auto"/>
        <w:ind w:firstLine="420" w:firstLineChars="200"/>
        <w:rPr>
          <w:bCs/>
          <w:color w:val="auto"/>
          <w:szCs w:val="21"/>
        </w:rPr>
      </w:pPr>
      <w:r>
        <w:rPr>
          <w:bCs/>
          <w:color w:val="auto"/>
          <w:szCs w:val="21"/>
        </w:rPr>
        <w:t>本合同自</w:t>
      </w:r>
      <w:r>
        <w:rPr>
          <w:b/>
          <w:color w:val="auto"/>
          <w:kern w:val="1"/>
          <w:szCs w:val="21"/>
          <w:u w:val="single"/>
        </w:rPr>
        <w:t>双方法定代表人或授权委托人签字并加盖单位公章</w:t>
      </w:r>
      <w:r>
        <w:rPr>
          <w:bCs/>
          <w:color w:val="auto"/>
          <w:szCs w:val="21"/>
        </w:rPr>
        <w:t>生效。</w:t>
      </w:r>
    </w:p>
    <w:p w14:paraId="4171D447">
      <w:pPr>
        <w:spacing w:line="360" w:lineRule="auto"/>
        <w:ind w:firstLine="422" w:firstLineChars="200"/>
        <w:rPr>
          <w:b/>
          <w:bCs/>
          <w:color w:val="auto"/>
          <w:szCs w:val="21"/>
        </w:rPr>
      </w:pPr>
      <w:bookmarkStart w:id="143" w:name="_Toc351203493"/>
      <w:r>
        <w:rPr>
          <w:b/>
          <w:bCs/>
          <w:color w:val="auto"/>
          <w:szCs w:val="21"/>
        </w:rPr>
        <w:t>十三、合同份数</w:t>
      </w:r>
      <w:bookmarkEnd w:id="143"/>
    </w:p>
    <w:p w14:paraId="4B90B3D5">
      <w:pPr>
        <w:spacing w:line="360" w:lineRule="auto"/>
        <w:ind w:firstLine="420" w:firstLineChars="200"/>
        <w:rPr>
          <w:color w:val="auto"/>
        </w:rPr>
      </w:pPr>
      <w:r>
        <w:rPr>
          <w:bCs/>
          <w:color w:val="auto"/>
          <w:szCs w:val="21"/>
        </w:rPr>
        <w:t>本合同一式</w:t>
      </w:r>
      <w:r>
        <w:rPr>
          <w:rFonts w:hint="eastAsia"/>
          <w:bCs/>
          <w:color w:val="auto"/>
          <w:szCs w:val="21"/>
          <w:u w:val="single"/>
        </w:rPr>
        <w:t>伍</w:t>
      </w:r>
      <w:r>
        <w:rPr>
          <w:bCs/>
          <w:color w:val="auto"/>
          <w:szCs w:val="21"/>
        </w:rPr>
        <w:t>份，均具有同等法律效力，发包人执</w:t>
      </w:r>
      <w:r>
        <w:rPr>
          <w:rFonts w:hint="eastAsia"/>
          <w:bCs/>
          <w:color w:val="auto"/>
          <w:szCs w:val="21"/>
          <w:u w:val="single"/>
        </w:rPr>
        <w:t>俩</w:t>
      </w:r>
      <w:r>
        <w:rPr>
          <w:bCs/>
          <w:color w:val="auto"/>
          <w:szCs w:val="21"/>
        </w:rPr>
        <w:t>份，承包人执</w:t>
      </w:r>
      <w:r>
        <w:rPr>
          <w:rFonts w:hint="eastAsia"/>
          <w:bCs/>
          <w:color w:val="auto"/>
          <w:szCs w:val="21"/>
          <w:u w:val="single"/>
        </w:rPr>
        <w:t>俩</w:t>
      </w:r>
      <w:r>
        <w:rPr>
          <w:bCs/>
          <w:color w:val="auto"/>
          <w:szCs w:val="21"/>
        </w:rPr>
        <w:t>份</w:t>
      </w:r>
      <w:r>
        <w:rPr>
          <w:rFonts w:hint="eastAsia"/>
          <w:bCs/>
          <w:color w:val="auto"/>
          <w:szCs w:val="21"/>
        </w:rPr>
        <w:t>、代理机构壹份</w:t>
      </w:r>
      <w:r>
        <w:rPr>
          <w:bCs/>
          <w:color w:val="auto"/>
          <w:szCs w:val="21"/>
        </w:rPr>
        <w:t>。</w:t>
      </w:r>
    </w:p>
    <w:tbl>
      <w:tblPr>
        <w:tblStyle w:val="45"/>
        <w:tblW w:w="90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5A04C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4516" w:type="dxa"/>
            <w:vAlign w:val="center"/>
          </w:tcPr>
          <w:p w14:paraId="50744FE0">
            <w:pPr>
              <w:snapToGrid w:val="0"/>
              <w:spacing w:line="400" w:lineRule="exact"/>
              <w:rPr>
                <w:color w:val="auto"/>
                <w:szCs w:val="21"/>
              </w:rPr>
            </w:pPr>
            <w:r>
              <w:rPr>
                <w:color w:val="auto"/>
                <w:szCs w:val="21"/>
              </w:rPr>
              <w:t xml:space="preserve">甲方（章）           </w:t>
            </w:r>
          </w:p>
          <w:p w14:paraId="021612D0">
            <w:pPr>
              <w:snapToGrid w:val="0"/>
              <w:spacing w:line="400" w:lineRule="exact"/>
              <w:rPr>
                <w:color w:val="auto"/>
                <w:szCs w:val="21"/>
              </w:rPr>
            </w:pPr>
          </w:p>
          <w:p w14:paraId="4D00F038">
            <w:pPr>
              <w:snapToGrid w:val="0"/>
              <w:spacing w:line="400" w:lineRule="exact"/>
              <w:ind w:firstLine="945" w:firstLineChars="450"/>
              <w:jc w:val="right"/>
              <w:rPr>
                <w:color w:val="auto"/>
                <w:szCs w:val="21"/>
              </w:rPr>
            </w:pPr>
            <w:r>
              <w:rPr>
                <w:color w:val="auto"/>
                <w:szCs w:val="21"/>
              </w:rPr>
              <w:t>年  月  日</w:t>
            </w:r>
          </w:p>
        </w:tc>
        <w:tc>
          <w:tcPr>
            <w:tcW w:w="4517" w:type="dxa"/>
            <w:vAlign w:val="center"/>
          </w:tcPr>
          <w:p w14:paraId="006CF57D">
            <w:pPr>
              <w:snapToGrid w:val="0"/>
              <w:spacing w:line="400" w:lineRule="exact"/>
              <w:rPr>
                <w:color w:val="auto"/>
                <w:szCs w:val="21"/>
              </w:rPr>
            </w:pPr>
            <w:r>
              <w:rPr>
                <w:color w:val="auto"/>
                <w:szCs w:val="21"/>
              </w:rPr>
              <w:t xml:space="preserve">乙方（章）              </w:t>
            </w:r>
          </w:p>
          <w:p w14:paraId="1C9EAA57">
            <w:pPr>
              <w:snapToGrid w:val="0"/>
              <w:spacing w:line="400" w:lineRule="exact"/>
              <w:rPr>
                <w:color w:val="auto"/>
                <w:szCs w:val="21"/>
              </w:rPr>
            </w:pPr>
          </w:p>
          <w:p w14:paraId="08D494CC">
            <w:pPr>
              <w:snapToGrid w:val="0"/>
              <w:spacing w:line="400" w:lineRule="exact"/>
              <w:jc w:val="right"/>
              <w:rPr>
                <w:color w:val="auto"/>
                <w:szCs w:val="21"/>
              </w:rPr>
            </w:pPr>
            <w:r>
              <w:rPr>
                <w:color w:val="auto"/>
                <w:szCs w:val="21"/>
              </w:rPr>
              <w:t>年  月  日</w:t>
            </w:r>
          </w:p>
        </w:tc>
      </w:tr>
      <w:tr w14:paraId="5E73F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4516" w:type="dxa"/>
            <w:vAlign w:val="center"/>
          </w:tcPr>
          <w:p w14:paraId="54D2B89E">
            <w:pPr>
              <w:snapToGrid w:val="0"/>
              <w:spacing w:line="400" w:lineRule="exact"/>
              <w:rPr>
                <w:color w:val="auto"/>
                <w:szCs w:val="21"/>
              </w:rPr>
            </w:pPr>
            <w:r>
              <w:rPr>
                <w:color w:val="auto"/>
                <w:szCs w:val="21"/>
              </w:rPr>
              <w:t xml:space="preserve">单位地址： </w:t>
            </w:r>
          </w:p>
        </w:tc>
        <w:tc>
          <w:tcPr>
            <w:tcW w:w="4517" w:type="dxa"/>
            <w:vAlign w:val="center"/>
          </w:tcPr>
          <w:p w14:paraId="19F46747">
            <w:pPr>
              <w:snapToGrid w:val="0"/>
              <w:spacing w:line="400" w:lineRule="exact"/>
              <w:rPr>
                <w:color w:val="auto"/>
                <w:szCs w:val="21"/>
              </w:rPr>
            </w:pPr>
            <w:r>
              <w:rPr>
                <w:color w:val="auto"/>
                <w:szCs w:val="21"/>
              </w:rPr>
              <w:t>单位地址：</w:t>
            </w:r>
          </w:p>
        </w:tc>
      </w:tr>
      <w:tr w14:paraId="15B09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4516" w:type="dxa"/>
            <w:vAlign w:val="center"/>
          </w:tcPr>
          <w:p w14:paraId="2E15B60F">
            <w:pPr>
              <w:snapToGrid w:val="0"/>
              <w:spacing w:line="400" w:lineRule="exact"/>
              <w:rPr>
                <w:color w:val="auto"/>
                <w:szCs w:val="21"/>
              </w:rPr>
            </w:pPr>
            <w:r>
              <w:rPr>
                <w:color w:val="auto"/>
                <w:szCs w:val="21"/>
              </w:rPr>
              <w:t>法定代表人：</w:t>
            </w:r>
          </w:p>
        </w:tc>
        <w:tc>
          <w:tcPr>
            <w:tcW w:w="4517" w:type="dxa"/>
            <w:vAlign w:val="center"/>
          </w:tcPr>
          <w:p w14:paraId="2BEF9C99">
            <w:pPr>
              <w:snapToGrid w:val="0"/>
              <w:spacing w:line="400" w:lineRule="exact"/>
              <w:rPr>
                <w:color w:val="auto"/>
                <w:szCs w:val="21"/>
              </w:rPr>
            </w:pPr>
            <w:r>
              <w:rPr>
                <w:color w:val="auto"/>
                <w:szCs w:val="21"/>
              </w:rPr>
              <w:t>法定代表人：</w:t>
            </w:r>
          </w:p>
        </w:tc>
      </w:tr>
      <w:tr w14:paraId="6B20F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4516" w:type="dxa"/>
            <w:vAlign w:val="center"/>
          </w:tcPr>
          <w:p w14:paraId="3A58D868">
            <w:pPr>
              <w:snapToGrid w:val="0"/>
              <w:spacing w:line="400" w:lineRule="exact"/>
              <w:rPr>
                <w:color w:val="auto"/>
                <w:szCs w:val="21"/>
              </w:rPr>
            </w:pPr>
            <w:r>
              <w:rPr>
                <w:color w:val="auto"/>
                <w:szCs w:val="21"/>
              </w:rPr>
              <w:t>委托代理人：</w:t>
            </w:r>
          </w:p>
        </w:tc>
        <w:tc>
          <w:tcPr>
            <w:tcW w:w="4517" w:type="dxa"/>
            <w:vAlign w:val="center"/>
          </w:tcPr>
          <w:p w14:paraId="01F3C92E">
            <w:pPr>
              <w:snapToGrid w:val="0"/>
              <w:spacing w:line="400" w:lineRule="exact"/>
              <w:rPr>
                <w:color w:val="auto"/>
                <w:szCs w:val="21"/>
              </w:rPr>
            </w:pPr>
            <w:r>
              <w:rPr>
                <w:color w:val="auto"/>
                <w:szCs w:val="21"/>
              </w:rPr>
              <w:t>委托代理人</w:t>
            </w:r>
          </w:p>
        </w:tc>
      </w:tr>
      <w:tr w14:paraId="77411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 w:hRule="atLeast"/>
          <w:jc w:val="center"/>
        </w:trPr>
        <w:tc>
          <w:tcPr>
            <w:tcW w:w="4516" w:type="dxa"/>
            <w:vAlign w:val="center"/>
          </w:tcPr>
          <w:p w14:paraId="38D081FC">
            <w:pPr>
              <w:snapToGrid w:val="0"/>
              <w:spacing w:line="400" w:lineRule="exact"/>
              <w:rPr>
                <w:color w:val="auto"/>
                <w:szCs w:val="21"/>
              </w:rPr>
            </w:pPr>
            <w:r>
              <w:rPr>
                <w:color w:val="auto"/>
                <w:szCs w:val="21"/>
              </w:rPr>
              <w:t xml:space="preserve">电话： </w:t>
            </w:r>
          </w:p>
        </w:tc>
        <w:tc>
          <w:tcPr>
            <w:tcW w:w="4517" w:type="dxa"/>
            <w:vAlign w:val="center"/>
          </w:tcPr>
          <w:p w14:paraId="6E2BB336">
            <w:pPr>
              <w:snapToGrid w:val="0"/>
              <w:spacing w:line="400" w:lineRule="exact"/>
              <w:rPr>
                <w:color w:val="auto"/>
                <w:szCs w:val="21"/>
              </w:rPr>
            </w:pPr>
            <w:r>
              <w:rPr>
                <w:color w:val="auto"/>
                <w:szCs w:val="21"/>
              </w:rPr>
              <w:t>电话：</w:t>
            </w:r>
          </w:p>
        </w:tc>
      </w:tr>
      <w:tr w14:paraId="75879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4516" w:type="dxa"/>
            <w:vAlign w:val="center"/>
          </w:tcPr>
          <w:p w14:paraId="71D16BB3">
            <w:pPr>
              <w:snapToGrid w:val="0"/>
              <w:spacing w:line="400" w:lineRule="exact"/>
              <w:rPr>
                <w:color w:val="auto"/>
                <w:szCs w:val="21"/>
              </w:rPr>
            </w:pPr>
            <w:r>
              <w:rPr>
                <w:color w:val="auto"/>
                <w:szCs w:val="21"/>
              </w:rPr>
              <w:t>电子邮箱：</w:t>
            </w:r>
          </w:p>
        </w:tc>
        <w:tc>
          <w:tcPr>
            <w:tcW w:w="4517" w:type="dxa"/>
            <w:vAlign w:val="center"/>
          </w:tcPr>
          <w:p w14:paraId="27DE1B5F">
            <w:pPr>
              <w:snapToGrid w:val="0"/>
              <w:spacing w:line="400" w:lineRule="exact"/>
              <w:rPr>
                <w:color w:val="auto"/>
                <w:szCs w:val="21"/>
              </w:rPr>
            </w:pPr>
            <w:r>
              <w:rPr>
                <w:color w:val="auto"/>
                <w:szCs w:val="21"/>
              </w:rPr>
              <w:t>电子邮箱：</w:t>
            </w:r>
          </w:p>
        </w:tc>
      </w:tr>
      <w:tr w14:paraId="3A363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4516" w:type="dxa"/>
            <w:vAlign w:val="center"/>
          </w:tcPr>
          <w:p w14:paraId="4FFC14E1">
            <w:pPr>
              <w:snapToGrid w:val="0"/>
              <w:spacing w:line="400" w:lineRule="exact"/>
              <w:rPr>
                <w:color w:val="auto"/>
                <w:szCs w:val="21"/>
              </w:rPr>
            </w:pPr>
            <w:r>
              <w:rPr>
                <w:color w:val="auto"/>
                <w:szCs w:val="21"/>
              </w:rPr>
              <w:t xml:space="preserve">开户银行： </w:t>
            </w:r>
          </w:p>
        </w:tc>
        <w:tc>
          <w:tcPr>
            <w:tcW w:w="4517" w:type="dxa"/>
            <w:vAlign w:val="center"/>
          </w:tcPr>
          <w:p w14:paraId="085BF47D">
            <w:pPr>
              <w:snapToGrid w:val="0"/>
              <w:spacing w:line="400" w:lineRule="exact"/>
              <w:rPr>
                <w:color w:val="auto"/>
                <w:szCs w:val="21"/>
              </w:rPr>
            </w:pPr>
            <w:r>
              <w:rPr>
                <w:color w:val="auto"/>
                <w:szCs w:val="21"/>
              </w:rPr>
              <w:t>开户银行：</w:t>
            </w:r>
          </w:p>
        </w:tc>
      </w:tr>
      <w:tr w14:paraId="56626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4516" w:type="dxa"/>
            <w:vAlign w:val="center"/>
          </w:tcPr>
          <w:p w14:paraId="3AB289C3">
            <w:pPr>
              <w:snapToGrid w:val="0"/>
              <w:spacing w:line="400" w:lineRule="exact"/>
              <w:rPr>
                <w:color w:val="auto"/>
                <w:szCs w:val="21"/>
              </w:rPr>
            </w:pPr>
            <w:r>
              <w:rPr>
                <w:color w:val="auto"/>
                <w:szCs w:val="21"/>
              </w:rPr>
              <w:t xml:space="preserve">税号： </w:t>
            </w:r>
          </w:p>
        </w:tc>
        <w:tc>
          <w:tcPr>
            <w:tcW w:w="4517" w:type="dxa"/>
            <w:vAlign w:val="center"/>
          </w:tcPr>
          <w:p w14:paraId="272864FB">
            <w:pPr>
              <w:snapToGrid w:val="0"/>
              <w:spacing w:line="400" w:lineRule="exact"/>
              <w:rPr>
                <w:color w:val="auto"/>
                <w:szCs w:val="21"/>
              </w:rPr>
            </w:pPr>
            <w:r>
              <w:rPr>
                <w:color w:val="auto"/>
                <w:szCs w:val="21"/>
              </w:rPr>
              <w:t>税号：</w:t>
            </w:r>
          </w:p>
        </w:tc>
      </w:tr>
      <w:tr w14:paraId="57F6E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16" w:type="dxa"/>
            <w:vAlign w:val="center"/>
          </w:tcPr>
          <w:p w14:paraId="34DF838D">
            <w:pPr>
              <w:snapToGrid w:val="0"/>
              <w:spacing w:line="400" w:lineRule="exact"/>
              <w:rPr>
                <w:color w:val="auto"/>
                <w:szCs w:val="21"/>
              </w:rPr>
            </w:pPr>
            <w:r>
              <w:rPr>
                <w:color w:val="auto"/>
                <w:szCs w:val="21"/>
              </w:rPr>
              <w:t xml:space="preserve">账号： </w:t>
            </w:r>
          </w:p>
        </w:tc>
        <w:tc>
          <w:tcPr>
            <w:tcW w:w="4517" w:type="dxa"/>
            <w:vAlign w:val="center"/>
          </w:tcPr>
          <w:p w14:paraId="1557C29A">
            <w:pPr>
              <w:snapToGrid w:val="0"/>
              <w:spacing w:line="400" w:lineRule="exact"/>
              <w:rPr>
                <w:color w:val="auto"/>
                <w:szCs w:val="21"/>
              </w:rPr>
            </w:pPr>
            <w:r>
              <w:rPr>
                <w:color w:val="auto"/>
                <w:szCs w:val="21"/>
              </w:rPr>
              <w:t>账号：</w:t>
            </w:r>
          </w:p>
        </w:tc>
      </w:tr>
      <w:tr w14:paraId="2D8B7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516" w:type="dxa"/>
            <w:vAlign w:val="center"/>
          </w:tcPr>
          <w:p w14:paraId="46575C28">
            <w:pPr>
              <w:snapToGrid w:val="0"/>
              <w:spacing w:line="400" w:lineRule="exact"/>
              <w:rPr>
                <w:color w:val="auto"/>
                <w:szCs w:val="21"/>
              </w:rPr>
            </w:pPr>
            <w:r>
              <w:rPr>
                <w:color w:val="auto"/>
                <w:szCs w:val="21"/>
              </w:rPr>
              <w:t xml:space="preserve">邮政编码： </w:t>
            </w:r>
          </w:p>
        </w:tc>
        <w:tc>
          <w:tcPr>
            <w:tcW w:w="4517" w:type="dxa"/>
            <w:vAlign w:val="center"/>
          </w:tcPr>
          <w:p w14:paraId="2557BDFF">
            <w:pPr>
              <w:snapToGrid w:val="0"/>
              <w:spacing w:line="400" w:lineRule="exact"/>
              <w:rPr>
                <w:color w:val="auto"/>
                <w:szCs w:val="21"/>
              </w:rPr>
            </w:pPr>
            <w:r>
              <w:rPr>
                <w:color w:val="auto"/>
                <w:szCs w:val="21"/>
              </w:rPr>
              <w:t>邮政编码：</w:t>
            </w:r>
          </w:p>
        </w:tc>
      </w:tr>
    </w:tbl>
    <w:p w14:paraId="299D252F">
      <w:pPr>
        <w:rPr>
          <w:color w:val="auto"/>
          <w:szCs w:val="21"/>
          <w:u w:val="single"/>
        </w:rPr>
      </w:pPr>
    </w:p>
    <w:p w14:paraId="66053CD5">
      <w:pPr>
        <w:rPr>
          <w:color w:val="auto"/>
        </w:rPr>
      </w:pPr>
      <w:r>
        <w:rPr>
          <w:color w:val="auto"/>
          <w:szCs w:val="21"/>
        </w:rPr>
        <w:br w:type="page"/>
      </w:r>
    </w:p>
    <w:p w14:paraId="07A9BDB6">
      <w:pPr>
        <w:bidi w:val="0"/>
        <w:jc w:val="center"/>
        <w:rPr>
          <w:b/>
          <w:bCs/>
          <w:color w:val="auto"/>
          <w:sz w:val="28"/>
          <w:szCs w:val="28"/>
        </w:rPr>
      </w:pPr>
      <w:bookmarkStart w:id="144" w:name="_Toc351203494"/>
      <w:bookmarkStart w:id="145" w:name="_Toc533611448"/>
      <w:r>
        <w:rPr>
          <w:rFonts w:hint="eastAsia"/>
          <w:b/>
          <w:bCs/>
          <w:color w:val="auto"/>
          <w:sz w:val="28"/>
          <w:szCs w:val="28"/>
        </w:rPr>
        <w:t>第二部分 通用合同条款</w:t>
      </w:r>
      <w:bookmarkEnd w:id="144"/>
      <w:bookmarkEnd w:id="145"/>
      <w:bookmarkStart w:id="146" w:name="_Toc337558727"/>
    </w:p>
    <w:bookmarkEnd w:id="146"/>
    <w:p w14:paraId="7329452C">
      <w:pPr>
        <w:spacing w:line="360" w:lineRule="auto"/>
        <w:ind w:firstLine="420" w:firstLineChars="200"/>
        <w:rPr>
          <w:rFonts w:ascii="仿宋_GB2312" w:eastAsia="仿宋_GB2312"/>
          <w:color w:val="auto"/>
          <w:szCs w:val="21"/>
        </w:rPr>
      </w:pPr>
    </w:p>
    <w:p w14:paraId="31601A19">
      <w:pPr>
        <w:spacing w:line="360" w:lineRule="auto"/>
        <w:ind w:firstLine="482" w:firstLineChars="200"/>
        <w:rPr>
          <w:rFonts w:ascii="仿宋_GB2312" w:eastAsia="仿宋_GB2312"/>
          <w:b/>
          <w:color w:val="auto"/>
          <w:sz w:val="24"/>
        </w:rPr>
      </w:pPr>
      <w:r>
        <w:rPr>
          <w:rFonts w:ascii="仿宋_GB2312" w:eastAsia="仿宋_GB2312"/>
          <w:b/>
          <w:color w:val="auto"/>
          <w:sz w:val="24"/>
        </w:rPr>
        <w:t>采用《建设工程施工合同（示范文本）》（GF—2013—0201）。</w:t>
      </w:r>
    </w:p>
    <w:p w14:paraId="1FE8D893">
      <w:pPr>
        <w:rPr>
          <w:color w:val="auto"/>
        </w:rPr>
      </w:pPr>
    </w:p>
    <w:p w14:paraId="48136008">
      <w:pPr>
        <w:rPr>
          <w:b/>
          <w:bCs/>
          <w:color w:val="auto"/>
          <w:sz w:val="28"/>
          <w:szCs w:val="28"/>
        </w:rPr>
      </w:pPr>
    </w:p>
    <w:p w14:paraId="2A584F3C">
      <w:pPr>
        <w:bidi w:val="0"/>
        <w:jc w:val="center"/>
        <w:rPr>
          <w:b/>
          <w:bCs/>
          <w:color w:val="auto"/>
          <w:sz w:val="28"/>
          <w:szCs w:val="28"/>
        </w:rPr>
      </w:pPr>
      <w:bookmarkStart w:id="147" w:name="_Toc389065257"/>
      <w:bookmarkStart w:id="148" w:name="_Toc487632690"/>
      <w:bookmarkStart w:id="149" w:name="_Toc533611449"/>
      <w:bookmarkStart w:id="150" w:name="_Toc407135193"/>
      <w:r>
        <w:rPr>
          <w:rFonts w:hint="eastAsia"/>
          <w:b/>
          <w:bCs/>
          <w:color w:val="auto"/>
          <w:sz w:val="28"/>
          <w:szCs w:val="28"/>
        </w:rPr>
        <w:t>第三部分专用合同条款</w:t>
      </w:r>
      <w:bookmarkEnd w:id="147"/>
      <w:bookmarkEnd w:id="148"/>
      <w:bookmarkEnd w:id="149"/>
      <w:bookmarkEnd w:id="150"/>
    </w:p>
    <w:p w14:paraId="5AAE6BD1">
      <w:pPr>
        <w:pStyle w:val="4"/>
        <w:rPr>
          <w:rFonts w:hint="eastAsia" w:ascii="宋体" w:hAnsi="宋体" w:eastAsia="宋体" w:cs="宋体"/>
          <w:color w:val="auto"/>
          <w:sz w:val="21"/>
          <w:szCs w:val="21"/>
        </w:rPr>
      </w:pPr>
      <w:bookmarkStart w:id="151" w:name="_Toc2377"/>
      <w:bookmarkStart w:id="152" w:name="_Toc19141"/>
      <w:bookmarkStart w:id="153" w:name="_Toc533611450"/>
      <w:bookmarkStart w:id="154" w:name="_Toc373227692"/>
      <w:bookmarkStart w:id="155" w:name="_Toc373478339"/>
      <w:bookmarkStart w:id="156" w:name="_Toc389065258"/>
      <w:bookmarkStart w:id="157" w:name="_Toc395382494"/>
      <w:r>
        <w:rPr>
          <w:rFonts w:hint="eastAsia" w:ascii="宋体" w:hAnsi="宋体" w:eastAsia="宋体" w:cs="宋体"/>
          <w:color w:val="auto"/>
          <w:sz w:val="21"/>
          <w:szCs w:val="21"/>
        </w:rPr>
        <w:t>1. 一般约定</w:t>
      </w:r>
      <w:bookmarkEnd w:id="151"/>
    </w:p>
    <w:p w14:paraId="6816FC48">
      <w:pPr>
        <w:pStyle w:val="5"/>
        <w:rPr>
          <w:rFonts w:hint="eastAsia" w:ascii="宋体" w:hAnsi="宋体" w:eastAsia="宋体" w:cs="宋体"/>
          <w:color w:val="auto"/>
          <w:sz w:val="21"/>
          <w:szCs w:val="21"/>
        </w:rPr>
      </w:pPr>
      <w:bookmarkStart w:id="158" w:name="_Toc19604"/>
      <w:r>
        <w:rPr>
          <w:rFonts w:hint="eastAsia" w:ascii="宋体" w:hAnsi="宋体" w:eastAsia="宋体" w:cs="宋体"/>
          <w:color w:val="auto"/>
          <w:sz w:val="21"/>
          <w:szCs w:val="21"/>
        </w:rPr>
        <w:t>1.1 词语定义</w:t>
      </w:r>
      <w:bookmarkEnd w:id="158"/>
    </w:p>
    <w:p w14:paraId="25B6B5D6">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1.1.1 合同</w:t>
      </w:r>
    </w:p>
    <w:p w14:paraId="2431DA7A">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1.1.1.10 其他合同文件包括：</w:t>
      </w:r>
      <w:r>
        <w:rPr>
          <w:rFonts w:hint="eastAsia" w:ascii="宋体" w:hAnsi="宋体" w:eastAsia="宋体" w:cs="宋体"/>
          <w:color w:val="auto"/>
          <w:sz w:val="21"/>
          <w:szCs w:val="21"/>
          <w:u w:val="single"/>
        </w:rPr>
        <w:t xml:space="preserve"> 施工组织设计、专项方案、图纸会审记录、会议纪要、工程联系单、签证单、双方有关工程的洽商、变更、补充协议等双方约定的与工程施工有关的具有合同约束力的文件或书面协议</w:t>
      </w:r>
      <w:r>
        <w:rPr>
          <w:rFonts w:hint="eastAsia" w:ascii="宋体" w:hAnsi="宋体" w:eastAsia="宋体" w:cs="宋体"/>
          <w:color w:val="auto"/>
          <w:sz w:val="21"/>
          <w:szCs w:val="21"/>
        </w:rPr>
        <w:t>。</w:t>
      </w:r>
    </w:p>
    <w:p w14:paraId="4EBFCC62">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1.1.2 合同当事人及其他相关方</w:t>
      </w:r>
    </w:p>
    <w:p w14:paraId="19174423">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1.1.2.4 监理人：</w:t>
      </w:r>
    </w:p>
    <w:p w14:paraId="2B042153">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总监理工程师：</w:t>
      </w:r>
    </w:p>
    <w:p w14:paraId="4CDE04CC">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姓    名：</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14:paraId="02B58A38">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职    务：</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14:paraId="5F432016">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监理工程师执业资格证书号：</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14:paraId="6B9916F2">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联系电话：</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14:paraId="29F195DC">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电子信箱：</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14:paraId="495AD437">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通信地址：；</w:t>
      </w:r>
    </w:p>
    <w:p w14:paraId="38211A95">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1.1.3 工程和设备</w:t>
      </w:r>
    </w:p>
    <w:p w14:paraId="0389A36A">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1.1.3.7 作为施工现场组成部分的其他场所包括： </w:t>
      </w:r>
      <w:r>
        <w:rPr>
          <w:rFonts w:hint="eastAsia" w:ascii="宋体" w:hAnsi="宋体" w:eastAsia="宋体" w:cs="宋体"/>
          <w:color w:val="auto"/>
          <w:sz w:val="21"/>
          <w:szCs w:val="21"/>
          <w:u w:val="single"/>
        </w:rPr>
        <w:t xml:space="preserve"> 按本合同《通用条款》</w:t>
      </w:r>
      <w:r>
        <w:rPr>
          <w:rFonts w:hint="eastAsia" w:ascii="宋体" w:hAnsi="宋体" w:eastAsia="宋体" w:cs="宋体"/>
          <w:color w:val="auto"/>
          <w:sz w:val="21"/>
          <w:szCs w:val="21"/>
        </w:rPr>
        <w:t xml:space="preserve"> 。</w:t>
      </w:r>
    </w:p>
    <w:p w14:paraId="6B35E58E">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1.1.3.9 永久占地包括：</w:t>
      </w:r>
      <w:r>
        <w:rPr>
          <w:rFonts w:hint="eastAsia" w:ascii="宋体" w:hAnsi="宋体" w:eastAsia="宋体" w:cs="宋体"/>
          <w:color w:val="auto"/>
          <w:sz w:val="21"/>
          <w:szCs w:val="21"/>
          <w:u w:val="single"/>
        </w:rPr>
        <w:t>具体内容见双方确认的本工程规划红线图为准</w:t>
      </w:r>
      <w:r>
        <w:rPr>
          <w:rFonts w:hint="eastAsia" w:ascii="宋体" w:hAnsi="宋体" w:eastAsia="宋体" w:cs="宋体"/>
          <w:color w:val="auto"/>
          <w:sz w:val="21"/>
          <w:szCs w:val="21"/>
        </w:rPr>
        <w:t>。</w:t>
      </w:r>
    </w:p>
    <w:p w14:paraId="24121EC9">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1.1.3.10 临时占地包括：</w:t>
      </w:r>
      <w:r>
        <w:rPr>
          <w:rFonts w:hint="eastAsia" w:ascii="宋体" w:hAnsi="宋体" w:eastAsia="宋体" w:cs="宋体"/>
          <w:color w:val="auto"/>
          <w:sz w:val="21"/>
          <w:szCs w:val="21"/>
          <w:u w:val="single"/>
        </w:rPr>
        <w:t>发包人用地范围或发包人指定场地。</w:t>
      </w:r>
    </w:p>
    <w:p w14:paraId="35F69A19">
      <w:pPr>
        <w:pStyle w:val="5"/>
        <w:rPr>
          <w:rFonts w:hint="eastAsia" w:ascii="宋体" w:hAnsi="宋体" w:eastAsia="宋体" w:cs="宋体"/>
          <w:color w:val="auto"/>
          <w:sz w:val="21"/>
          <w:szCs w:val="21"/>
        </w:rPr>
      </w:pPr>
      <w:bookmarkStart w:id="159" w:name="_Toc29660"/>
      <w:r>
        <w:rPr>
          <w:rFonts w:hint="eastAsia" w:ascii="宋体" w:hAnsi="宋体" w:eastAsia="宋体" w:cs="宋体"/>
          <w:color w:val="auto"/>
          <w:sz w:val="21"/>
          <w:szCs w:val="21"/>
        </w:rPr>
        <w:t>1.3 法律</w:t>
      </w:r>
      <w:bookmarkEnd w:id="159"/>
    </w:p>
    <w:p w14:paraId="72772084">
      <w:pPr>
        <w:adjustRightIn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适用于合同的其他规范性文件：</w:t>
      </w:r>
      <w:r>
        <w:rPr>
          <w:rFonts w:hint="eastAsia" w:ascii="宋体" w:hAnsi="宋体" w:eastAsia="宋体" w:cs="宋体"/>
          <w:color w:val="auto"/>
          <w:sz w:val="21"/>
          <w:szCs w:val="21"/>
          <w:u w:val="single"/>
        </w:rPr>
        <w:t xml:space="preserve">   执行通用条款    </w:t>
      </w:r>
      <w:r>
        <w:rPr>
          <w:rFonts w:hint="eastAsia" w:ascii="宋体" w:hAnsi="宋体" w:eastAsia="宋体" w:cs="宋体"/>
          <w:color w:val="auto"/>
          <w:sz w:val="21"/>
          <w:szCs w:val="21"/>
        </w:rPr>
        <w:t>。</w:t>
      </w:r>
    </w:p>
    <w:p w14:paraId="1A0B8133">
      <w:pPr>
        <w:pStyle w:val="5"/>
        <w:rPr>
          <w:rFonts w:hint="eastAsia" w:ascii="宋体" w:hAnsi="宋体" w:eastAsia="宋体" w:cs="宋体"/>
          <w:color w:val="auto"/>
          <w:sz w:val="21"/>
          <w:szCs w:val="21"/>
        </w:rPr>
      </w:pPr>
      <w:bookmarkStart w:id="160" w:name="_Toc17728"/>
      <w:r>
        <w:rPr>
          <w:rFonts w:hint="eastAsia" w:ascii="宋体" w:hAnsi="宋体" w:eastAsia="宋体" w:cs="宋体"/>
          <w:color w:val="auto"/>
          <w:sz w:val="21"/>
          <w:szCs w:val="21"/>
        </w:rPr>
        <w:t>1.4 标准和规范</w:t>
      </w:r>
      <w:bookmarkEnd w:id="160"/>
    </w:p>
    <w:p w14:paraId="7ACFC33D">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1.4.1 适用于工程的标准规范包括：</w:t>
      </w:r>
      <w:r>
        <w:rPr>
          <w:rFonts w:hint="eastAsia" w:ascii="宋体" w:hAnsi="宋体" w:eastAsia="宋体" w:cs="宋体"/>
          <w:color w:val="auto"/>
          <w:sz w:val="21"/>
          <w:szCs w:val="21"/>
          <w:u w:val="single"/>
        </w:rPr>
        <w:t xml:space="preserve">   国家和地方现行的施工规范及技术标准   </w:t>
      </w:r>
      <w:r>
        <w:rPr>
          <w:rFonts w:hint="eastAsia" w:ascii="宋体" w:hAnsi="宋体" w:eastAsia="宋体" w:cs="宋体"/>
          <w:color w:val="auto"/>
          <w:sz w:val="21"/>
          <w:szCs w:val="21"/>
        </w:rPr>
        <w:t>。</w:t>
      </w:r>
    </w:p>
    <w:p w14:paraId="47196215">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1.4.2 发包人提供国外标准、规范的名称：</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14:paraId="2091D33D">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发包人提供国外标准、规范的份数：</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14:paraId="784977FB">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发包人提供国外标准、规范的名称：</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14:paraId="57B27E91">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1.4.3 发包人对工程的技术标准和功能要求的特殊要求：</w:t>
      </w:r>
      <w:r>
        <w:rPr>
          <w:rFonts w:hint="eastAsia" w:ascii="宋体" w:hAnsi="宋体" w:eastAsia="宋体" w:cs="宋体"/>
          <w:color w:val="auto"/>
          <w:sz w:val="21"/>
          <w:szCs w:val="21"/>
          <w:u w:val="single"/>
        </w:rPr>
        <w:t>如有，双方另行协商</w:t>
      </w:r>
      <w:r>
        <w:rPr>
          <w:rFonts w:hint="eastAsia" w:ascii="宋体" w:hAnsi="宋体" w:eastAsia="宋体" w:cs="宋体"/>
          <w:color w:val="auto"/>
          <w:sz w:val="21"/>
          <w:szCs w:val="21"/>
        </w:rPr>
        <w:t>。</w:t>
      </w:r>
    </w:p>
    <w:p w14:paraId="7D2D7EF4">
      <w:pPr>
        <w:pStyle w:val="5"/>
        <w:rPr>
          <w:rFonts w:hint="eastAsia" w:ascii="宋体" w:hAnsi="宋体" w:eastAsia="宋体" w:cs="宋体"/>
          <w:color w:val="auto"/>
          <w:sz w:val="21"/>
          <w:szCs w:val="21"/>
        </w:rPr>
      </w:pPr>
      <w:bookmarkStart w:id="161" w:name="_Toc27474"/>
      <w:r>
        <w:rPr>
          <w:rFonts w:hint="eastAsia" w:ascii="宋体" w:hAnsi="宋体" w:eastAsia="宋体" w:cs="宋体"/>
          <w:color w:val="auto"/>
          <w:sz w:val="21"/>
          <w:szCs w:val="21"/>
        </w:rPr>
        <w:t>1.5 合同文件的优先顺序</w:t>
      </w:r>
      <w:bookmarkEnd w:id="161"/>
    </w:p>
    <w:p w14:paraId="724C8614">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合同文件组成及优先顺序为：</w:t>
      </w:r>
    </w:p>
    <w:p w14:paraId="3C9B8775">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（1）中标通知书（如果有）；</w:t>
      </w:r>
    </w:p>
    <w:p w14:paraId="070D1BFB">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（2）投标函及其附录（如果有）；</w:t>
      </w:r>
    </w:p>
    <w:p w14:paraId="0C8EB657">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（3）专用合同条款及其附件；</w:t>
      </w:r>
    </w:p>
    <w:p w14:paraId="60837F67">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（4）通用合同条款；</w:t>
      </w:r>
    </w:p>
    <w:p w14:paraId="40108C03">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w:t>
      </w:r>
      <w:r>
        <w:rPr>
          <w:rFonts w:hint="eastAsia" w:ascii="宋体" w:hAnsi="宋体" w:eastAsia="宋体" w:cs="宋体"/>
          <w:color w:val="auto"/>
          <w:sz w:val="21"/>
          <w:szCs w:val="21"/>
          <w:u w:val="single"/>
        </w:rPr>
        <w:t xml:space="preserve">    技术标准和要求     </w:t>
      </w:r>
      <w:r>
        <w:rPr>
          <w:rFonts w:hint="eastAsia" w:ascii="宋体" w:hAnsi="宋体" w:eastAsia="宋体" w:cs="宋体"/>
          <w:color w:val="auto"/>
          <w:sz w:val="21"/>
          <w:szCs w:val="21"/>
        </w:rPr>
        <w:t>；</w:t>
      </w:r>
    </w:p>
    <w:p w14:paraId="06D24613">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w:t>
      </w:r>
      <w:r>
        <w:rPr>
          <w:rFonts w:hint="eastAsia" w:ascii="宋体" w:hAnsi="宋体" w:eastAsia="宋体" w:cs="宋体"/>
          <w:color w:val="auto"/>
          <w:sz w:val="21"/>
          <w:szCs w:val="21"/>
          <w:u w:val="single"/>
        </w:rPr>
        <w:t xml:space="preserve">    图纸  </w:t>
      </w:r>
      <w:r>
        <w:rPr>
          <w:rFonts w:hint="eastAsia" w:ascii="宋体" w:hAnsi="宋体" w:eastAsia="宋体" w:cs="宋体"/>
          <w:color w:val="auto"/>
          <w:sz w:val="21"/>
          <w:szCs w:val="21"/>
        </w:rPr>
        <w:t>；</w:t>
      </w:r>
    </w:p>
    <w:p w14:paraId="5B4D399A">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（7）</w:t>
      </w:r>
      <w:r>
        <w:rPr>
          <w:rFonts w:hint="eastAsia" w:ascii="宋体" w:hAnsi="宋体" w:eastAsia="宋体" w:cs="宋体"/>
          <w:color w:val="auto"/>
          <w:sz w:val="21"/>
          <w:szCs w:val="21"/>
          <w:u w:val="single"/>
        </w:rPr>
        <w:t xml:space="preserve">    已标价工程量清单或预算书    </w:t>
      </w:r>
      <w:r>
        <w:rPr>
          <w:rFonts w:hint="eastAsia" w:ascii="宋体" w:hAnsi="宋体" w:eastAsia="宋体" w:cs="宋体"/>
          <w:color w:val="auto"/>
          <w:sz w:val="21"/>
          <w:szCs w:val="21"/>
        </w:rPr>
        <w:t>；</w:t>
      </w:r>
    </w:p>
    <w:p w14:paraId="49BF3B5C">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（8）</w:t>
      </w:r>
      <w:r>
        <w:rPr>
          <w:rFonts w:hint="eastAsia" w:ascii="宋体" w:hAnsi="宋体" w:eastAsia="宋体" w:cs="宋体"/>
          <w:color w:val="auto"/>
          <w:sz w:val="21"/>
          <w:szCs w:val="21"/>
          <w:u w:val="single"/>
        </w:rPr>
        <w:t xml:space="preserve">    其他合同文件     </w:t>
      </w:r>
      <w:r>
        <w:rPr>
          <w:rFonts w:hint="eastAsia" w:ascii="宋体" w:hAnsi="宋体" w:eastAsia="宋体" w:cs="宋体"/>
          <w:color w:val="auto"/>
          <w:sz w:val="21"/>
          <w:szCs w:val="21"/>
        </w:rPr>
        <w:t>。</w:t>
      </w:r>
    </w:p>
    <w:p w14:paraId="00FB0A5B">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（9）《建设工程工程量清单计价规范（GB5050-2013）》及其广西实施细则、《建设工程工程量清单计算规范（GB5854~50862-2013）》及其广西实施细则。</w:t>
      </w:r>
    </w:p>
    <w:p w14:paraId="4418E3D7">
      <w:pPr>
        <w:pStyle w:val="5"/>
        <w:rPr>
          <w:rFonts w:hint="eastAsia" w:ascii="宋体" w:hAnsi="宋体" w:eastAsia="宋体" w:cs="宋体"/>
          <w:color w:val="auto"/>
          <w:sz w:val="21"/>
          <w:szCs w:val="21"/>
        </w:rPr>
      </w:pPr>
      <w:bookmarkStart w:id="162" w:name="_Toc6800"/>
      <w:r>
        <w:rPr>
          <w:rFonts w:hint="eastAsia" w:ascii="宋体" w:hAnsi="宋体" w:eastAsia="宋体" w:cs="宋体"/>
          <w:color w:val="auto"/>
          <w:sz w:val="21"/>
          <w:szCs w:val="21"/>
        </w:rPr>
        <w:t>1.6 图纸和承包人文件</w:t>
      </w:r>
      <w:bookmarkEnd w:id="162"/>
      <w:r>
        <w:rPr>
          <w:rFonts w:hint="eastAsia" w:ascii="宋体" w:hAnsi="宋体" w:eastAsia="宋体" w:cs="宋体"/>
          <w:color w:val="auto"/>
          <w:sz w:val="21"/>
          <w:szCs w:val="21"/>
        </w:rPr>
        <w:tab/>
      </w:r>
    </w:p>
    <w:p w14:paraId="1C8B13E5">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1.6.1 图纸的提供</w:t>
      </w:r>
    </w:p>
    <w:p w14:paraId="48AD8008">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发包人向承包人提供图纸的期限：</w:t>
      </w:r>
      <w:r>
        <w:rPr>
          <w:rFonts w:hint="eastAsia" w:ascii="宋体" w:hAnsi="宋体" w:eastAsia="宋体" w:cs="宋体"/>
          <w:bCs/>
          <w:color w:val="auto"/>
          <w:sz w:val="21"/>
          <w:szCs w:val="21"/>
          <w:u w:val="single"/>
        </w:rPr>
        <w:t>合同生效后7天内</w:t>
      </w:r>
      <w:r>
        <w:rPr>
          <w:rFonts w:hint="eastAsia" w:ascii="宋体" w:hAnsi="宋体" w:eastAsia="宋体" w:cs="宋体"/>
          <w:color w:val="auto"/>
          <w:sz w:val="21"/>
          <w:szCs w:val="21"/>
        </w:rPr>
        <w:t>；</w:t>
      </w:r>
    </w:p>
    <w:p w14:paraId="3BB1D746">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发包人向承包人提供图纸的数量</w:t>
      </w:r>
      <w:r>
        <w:rPr>
          <w:rFonts w:hint="eastAsia" w:ascii="宋体" w:hAnsi="宋体" w:eastAsia="宋体" w:cs="宋体"/>
          <w:b/>
          <w:color w:val="auto"/>
          <w:sz w:val="21"/>
          <w:szCs w:val="21"/>
        </w:rPr>
        <w:t>：</w:t>
      </w:r>
      <w:r>
        <w:rPr>
          <w:rFonts w:hint="eastAsia" w:ascii="宋体" w:hAnsi="宋体" w:eastAsia="宋体" w:cs="宋体"/>
          <w:b/>
          <w:color w:val="auto"/>
          <w:sz w:val="21"/>
          <w:szCs w:val="21"/>
          <w:u w:val="single"/>
        </w:rPr>
        <w:t>贰套，</w:t>
      </w:r>
      <w:r>
        <w:rPr>
          <w:rFonts w:hint="eastAsia" w:ascii="宋体" w:hAnsi="宋体" w:eastAsia="宋体" w:cs="宋体"/>
          <w:color w:val="auto"/>
          <w:sz w:val="21"/>
          <w:szCs w:val="21"/>
          <w:u w:val="single"/>
        </w:rPr>
        <w:t>承包人需要增加图纸套数的，发包人应代为复制，复制费用由承包人承担</w:t>
      </w:r>
      <w:r>
        <w:rPr>
          <w:rFonts w:hint="eastAsia" w:ascii="宋体" w:hAnsi="宋体" w:eastAsia="宋体" w:cs="宋体"/>
          <w:color w:val="auto"/>
          <w:sz w:val="21"/>
          <w:szCs w:val="21"/>
        </w:rPr>
        <w:t>；</w:t>
      </w:r>
    </w:p>
    <w:p w14:paraId="30559A6A">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发包人向承包人提供图纸的内容：</w:t>
      </w:r>
      <w:r>
        <w:rPr>
          <w:rFonts w:hint="eastAsia" w:ascii="宋体" w:hAnsi="宋体" w:eastAsia="宋体" w:cs="宋体"/>
          <w:color w:val="auto"/>
          <w:sz w:val="21"/>
          <w:szCs w:val="21"/>
          <w:u w:val="single"/>
        </w:rPr>
        <w:t xml:space="preserve">    全套完整施工图     </w:t>
      </w:r>
      <w:r>
        <w:rPr>
          <w:rFonts w:hint="eastAsia" w:ascii="宋体" w:hAnsi="宋体" w:eastAsia="宋体" w:cs="宋体"/>
          <w:color w:val="auto"/>
          <w:sz w:val="21"/>
          <w:szCs w:val="21"/>
        </w:rPr>
        <w:t>。</w:t>
      </w:r>
    </w:p>
    <w:p w14:paraId="009AEAC1">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1.6.4 承包人文件</w:t>
      </w:r>
    </w:p>
    <w:p w14:paraId="53CDFC3F">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需要由承包人提供的文件，包括：</w:t>
      </w:r>
      <w:r>
        <w:rPr>
          <w:rFonts w:hint="eastAsia" w:ascii="宋体" w:hAnsi="宋体" w:eastAsia="宋体" w:cs="宋体"/>
          <w:color w:val="auto"/>
          <w:sz w:val="21"/>
          <w:szCs w:val="21"/>
          <w:u w:val="single"/>
        </w:rPr>
        <w:t>提供项目部组成人员名单及身份证明、项目部用章授权书、项目经理亲笔签字及盖执业印章图样（施工过程中来往文件均需项目经理签字和盖章）</w:t>
      </w:r>
      <w:r>
        <w:rPr>
          <w:rFonts w:hint="eastAsia" w:ascii="宋体" w:hAnsi="宋体" w:eastAsia="宋体" w:cs="宋体"/>
          <w:color w:val="auto"/>
          <w:sz w:val="21"/>
          <w:szCs w:val="21"/>
        </w:rPr>
        <w:t>；</w:t>
      </w:r>
    </w:p>
    <w:p w14:paraId="65D8711F">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承包人提供的文件的期限为：</w:t>
      </w:r>
      <w:r>
        <w:rPr>
          <w:rFonts w:hint="eastAsia" w:ascii="宋体" w:hAnsi="宋体" w:eastAsia="宋体" w:cs="宋体"/>
          <w:bCs/>
          <w:color w:val="auto"/>
          <w:sz w:val="21"/>
          <w:szCs w:val="21"/>
          <w:u w:val="single"/>
        </w:rPr>
        <w:t>合同生效后7天内</w:t>
      </w:r>
      <w:r>
        <w:rPr>
          <w:rFonts w:hint="eastAsia" w:ascii="宋体" w:hAnsi="宋体" w:eastAsia="宋体" w:cs="宋体"/>
          <w:color w:val="auto"/>
          <w:sz w:val="21"/>
          <w:szCs w:val="21"/>
        </w:rPr>
        <w:t>；</w:t>
      </w:r>
    </w:p>
    <w:p w14:paraId="17F80C99">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承包人提供的文件的数量为：</w:t>
      </w:r>
      <w:r>
        <w:rPr>
          <w:rFonts w:hint="eastAsia" w:ascii="宋体" w:hAnsi="宋体" w:eastAsia="宋体" w:cs="宋体"/>
          <w:color w:val="auto"/>
          <w:sz w:val="21"/>
          <w:szCs w:val="21"/>
          <w:u w:val="single"/>
        </w:rPr>
        <w:t xml:space="preserve">  　    　</w:t>
      </w:r>
      <w:r>
        <w:rPr>
          <w:rFonts w:hint="eastAsia" w:ascii="宋体" w:hAnsi="宋体" w:eastAsia="宋体" w:cs="宋体"/>
          <w:b/>
          <w:color w:val="auto"/>
          <w:sz w:val="21"/>
          <w:szCs w:val="21"/>
          <w:u w:val="single"/>
        </w:rPr>
        <w:t>肆套</w:t>
      </w:r>
      <w:r>
        <w:rPr>
          <w:rFonts w:hint="eastAsia" w:ascii="宋体" w:hAnsi="宋体" w:eastAsia="宋体" w:cs="宋体"/>
          <w:color w:val="auto"/>
          <w:sz w:val="21"/>
          <w:szCs w:val="21"/>
        </w:rPr>
        <w:t>；</w:t>
      </w:r>
    </w:p>
    <w:p w14:paraId="6364040A">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承包人提供的文件的形式为：</w:t>
      </w:r>
      <w:r>
        <w:rPr>
          <w:rFonts w:hint="eastAsia" w:ascii="宋体" w:hAnsi="宋体" w:eastAsia="宋体" w:cs="宋体"/>
          <w:color w:val="auto"/>
          <w:sz w:val="21"/>
          <w:szCs w:val="21"/>
          <w:u w:val="single"/>
        </w:rPr>
        <w:t xml:space="preserve">        文本和电子版                  </w:t>
      </w:r>
      <w:r>
        <w:rPr>
          <w:rFonts w:hint="eastAsia" w:ascii="宋体" w:hAnsi="宋体" w:eastAsia="宋体" w:cs="宋体"/>
          <w:color w:val="auto"/>
          <w:sz w:val="21"/>
          <w:szCs w:val="21"/>
        </w:rPr>
        <w:t>；</w:t>
      </w:r>
    </w:p>
    <w:p w14:paraId="7AECEDDD">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发包人审批承包人文件的期限：</w:t>
      </w:r>
      <w:r>
        <w:rPr>
          <w:rFonts w:hint="eastAsia" w:ascii="宋体" w:hAnsi="宋体" w:eastAsia="宋体" w:cs="宋体"/>
          <w:color w:val="auto"/>
          <w:sz w:val="21"/>
          <w:szCs w:val="21"/>
          <w:u w:val="single"/>
        </w:rPr>
        <w:t xml:space="preserve">   收到之日起7日内　              </w:t>
      </w:r>
      <w:r>
        <w:rPr>
          <w:rFonts w:hint="eastAsia" w:ascii="宋体" w:hAnsi="宋体" w:eastAsia="宋体" w:cs="宋体"/>
          <w:color w:val="auto"/>
          <w:sz w:val="21"/>
          <w:szCs w:val="21"/>
        </w:rPr>
        <w:t>。</w:t>
      </w:r>
    </w:p>
    <w:p w14:paraId="0BA25A74">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1.6.5 现场图纸准备</w:t>
      </w:r>
    </w:p>
    <w:p w14:paraId="4F73A92D">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关于现场图纸准备的约定：</w:t>
      </w:r>
      <w:r>
        <w:rPr>
          <w:rFonts w:hint="eastAsia" w:ascii="宋体" w:hAnsi="宋体" w:eastAsia="宋体" w:cs="宋体"/>
          <w:color w:val="auto"/>
          <w:sz w:val="21"/>
          <w:szCs w:val="21"/>
          <w:u w:val="single"/>
        </w:rPr>
        <w:t>按《通用条款》执行</w:t>
      </w:r>
      <w:r>
        <w:rPr>
          <w:rFonts w:hint="eastAsia" w:ascii="宋体" w:hAnsi="宋体" w:eastAsia="宋体" w:cs="宋体"/>
          <w:color w:val="auto"/>
          <w:sz w:val="21"/>
          <w:szCs w:val="21"/>
        </w:rPr>
        <w:t>。</w:t>
      </w:r>
    </w:p>
    <w:p w14:paraId="5AFBC2E8">
      <w:pPr>
        <w:pStyle w:val="5"/>
        <w:rPr>
          <w:rFonts w:hint="eastAsia" w:ascii="宋体" w:hAnsi="宋体" w:eastAsia="宋体" w:cs="宋体"/>
          <w:color w:val="auto"/>
          <w:sz w:val="21"/>
          <w:szCs w:val="21"/>
        </w:rPr>
      </w:pPr>
      <w:bookmarkStart w:id="163" w:name="_Toc6118"/>
      <w:r>
        <w:rPr>
          <w:rFonts w:hint="eastAsia" w:ascii="宋体" w:hAnsi="宋体" w:eastAsia="宋体" w:cs="宋体"/>
          <w:color w:val="auto"/>
          <w:sz w:val="21"/>
          <w:szCs w:val="21"/>
        </w:rPr>
        <w:t>1.7 联络</w:t>
      </w:r>
      <w:bookmarkEnd w:id="163"/>
    </w:p>
    <w:p w14:paraId="533A8FEA">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1.7.1发包人和承包人应当在</w:t>
      </w:r>
      <w:r>
        <w:rPr>
          <w:rFonts w:hint="eastAsia" w:ascii="宋体" w:hAnsi="宋体" w:eastAsia="宋体" w:cs="宋体"/>
          <w:color w:val="auto"/>
          <w:sz w:val="21"/>
          <w:szCs w:val="21"/>
          <w:u w:val="single"/>
        </w:rPr>
        <w:t xml:space="preserve">   7   </w:t>
      </w:r>
      <w:r>
        <w:rPr>
          <w:rFonts w:hint="eastAsia" w:ascii="宋体" w:hAnsi="宋体" w:eastAsia="宋体" w:cs="宋体"/>
          <w:color w:val="auto"/>
          <w:sz w:val="21"/>
          <w:szCs w:val="21"/>
        </w:rPr>
        <w:t>天内将与合同有关的通知、批准、证明、证书、指示、指令、要求、请求、同意、意见、确定和决定等书面函件送达对方当事人。</w:t>
      </w:r>
    </w:p>
    <w:p w14:paraId="3B6600D3">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1.7.2 发包人接收文件的地点：</w:t>
      </w:r>
      <w:r>
        <w:rPr>
          <w:rFonts w:hint="eastAsia" w:ascii="宋体" w:hAnsi="宋体" w:eastAsia="宋体" w:cs="宋体"/>
          <w:color w:val="auto"/>
          <w:sz w:val="21"/>
          <w:szCs w:val="21"/>
          <w:u w:val="single"/>
        </w:rPr>
        <w:t>发包人单位办公所在地</w:t>
      </w:r>
      <w:r>
        <w:rPr>
          <w:rFonts w:hint="eastAsia" w:ascii="宋体" w:hAnsi="宋体" w:eastAsia="宋体" w:cs="宋体"/>
          <w:color w:val="auto"/>
          <w:sz w:val="21"/>
          <w:szCs w:val="21"/>
        </w:rPr>
        <w:t>；</w:t>
      </w:r>
    </w:p>
    <w:p w14:paraId="572AF27F">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发包人指定的接收人为：</w:t>
      </w:r>
      <w:r>
        <w:rPr>
          <w:rFonts w:hint="eastAsia" w:ascii="宋体" w:hAnsi="宋体" w:eastAsia="宋体" w:cs="宋体"/>
          <w:color w:val="auto"/>
          <w:sz w:val="21"/>
          <w:szCs w:val="21"/>
          <w:u w:val="single"/>
        </w:rPr>
        <w:t>发包人派驻现场代表</w:t>
      </w:r>
      <w:r>
        <w:rPr>
          <w:rFonts w:hint="eastAsia" w:ascii="宋体" w:hAnsi="宋体" w:eastAsia="宋体" w:cs="宋体"/>
          <w:color w:val="auto"/>
          <w:sz w:val="21"/>
          <w:szCs w:val="21"/>
        </w:rPr>
        <w:t xml:space="preserve">  。</w:t>
      </w:r>
    </w:p>
    <w:p w14:paraId="74EB1716">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承包人接收文件的地点： </w:t>
      </w:r>
      <w:r>
        <w:rPr>
          <w:rFonts w:hint="eastAsia" w:ascii="宋体" w:hAnsi="宋体" w:eastAsia="宋体" w:cs="宋体"/>
          <w:color w:val="auto"/>
          <w:sz w:val="21"/>
          <w:szCs w:val="21"/>
          <w:u w:val="single"/>
        </w:rPr>
        <w:t xml:space="preserve">施工现场项目部 </w:t>
      </w:r>
      <w:r>
        <w:rPr>
          <w:rFonts w:hint="eastAsia" w:ascii="宋体" w:hAnsi="宋体" w:eastAsia="宋体" w:cs="宋体"/>
          <w:color w:val="auto"/>
          <w:sz w:val="21"/>
          <w:szCs w:val="21"/>
        </w:rPr>
        <w:t xml:space="preserve">  ；</w:t>
      </w:r>
    </w:p>
    <w:p w14:paraId="5699FC2B">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承包人指定的接收人为：</w:t>
      </w:r>
      <w:r>
        <w:rPr>
          <w:rFonts w:hint="eastAsia" w:ascii="宋体" w:hAnsi="宋体" w:eastAsia="宋体" w:cs="宋体"/>
          <w:color w:val="auto"/>
          <w:sz w:val="21"/>
          <w:szCs w:val="21"/>
          <w:u w:val="single"/>
        </w:rPr>
        <w:t xml:space="preserve">承包人现场管理人员  </w:t>
      </w:r>
      <w:r>
        <w:rPr>
          <w:rFonts w:hint="eastAsia" w:ascii="宋体" w:hAnsi="宋体" w:eastAsia="宋体" w:cs="宋体"/>
          <w:color w:val="auto"/>
          <w:sz w:val="21"/>
          <w:szCs w:val="21"/>
        </w:rPr>
        <w:t>。</w:t>
      </w:r>
    </w:p>
    <w:p w14:paraId="6A606FAE">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监理人接收文件的地点：</w:t>
      </w:r>
      <w:r>
        <w:rPr>
          <w:rFonts w:hint="eastAsia" w:ascii="宋体" w:hAnsi="宋体" w:eastAsia="宋体" w:cs="宋体"/>
          <w:color w:val="auto"/>
          <w:sz w:val="21"/>
          <w:szCs w:val="21"/>
          <w:u w:val="single"/>
        </w:rPr>
        <w:t xml:space="preserve">施工现场项目监理部  </w:t>
      </w:r>
      <w:r>
        <w:rPr>
          <w:rFonts w:hint="eastAsia" w:ascii="宋体" w:hAnsi="宋体" w:eastAsia="宋体" w:cs="宋体"/>
          <w:color w:val="auto"/>
          <w:sz w:val="21"/>
          <w:szCs w:val="21"/>
        </w:rPr>
        <w:t>；</w:t>
      </w:r>
    </w:p>
    <w:p w14:paraId="60F3C7E9">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监理人指定的接收人为：</w:t>
      </w:r>
      <w:r>
        <w:rPr>
          <w:rFonts w:hint="eastAsia" w:ascii="宋体" w:hAnsi="宋体" w:eastAsia="宋体" w:cs="宋体"/>
          <w:color w:val="auto"/>
          <w:sz w:val="21"/>
          <w:szCs w:val="21"/>
          <w:u w:val="single"/>
        </w:rPr>
        <w:t>总监或总监代表   。</w:t>
      </w:r>
    </w:p>
    <w:p w14:paraId="157B60AD">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1.10 交通运输</w:t>
      </w:r>
    </w:p>
    <w:p w14:paraId="6F6B3DC6">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1.10.1 出入现场的权利</w:t>
      </w:r>
    </w:p>
    <w:p w14:paraId="32CFFA35">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关于出入现场的权利的约定：</w:t>
      </w:r>
      <w:r>
        <w:rPr>
          <w:rFonts w:hint="eastAsia" w:ascii="宋体" w:hAnsi="宋体" w:eastAsia="宋体" w:cs="宋体"/>
          <w:color w:val="auto"/>
          <w:sz w:val="21"/>
          <w:szCs w:val="21"/>
          <w:u w:val="single"/>
        </w:rPr>
        <w:t>开工前七天，发包人只需要负责办理完临时用地</w:t>
      </w:r>
      <w:r>
        <w:rPr>
          <w:rFonts w:hint="eastAsia" w:ascii="宋体" w:hAnsi="宋体" w:eastAsia="宋体" w:cs="宋体"/>
          <w:bCs/>
          <w:color w:val="auto"/>
          <w:sz w:val="21"/>
          <w:szCs w:val="21"/>
          <w:u w:val="single"/>
        </w:rPr>
        <w:t>申请批准手续即可</w:t>
      </w:r>
      <w:r>
        <w:rPr>
          <w:rFonts w:hint="eastAsia" w:ascii="宋体" w:hAnsi="宋体" w:eastAsia="宋体" w:cs="宋体"/>
          <w:color w:val="auto"/>
          <w:sz w:val="21"/>
          <w:szCs w:val="21"/>
        </w:rPr>
        <w:t>。</w:t>
      </w:r>
    </w:p>
    <w:p w14:paraId="714ABDAE">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1.10.3 场内交通</w:t>
      </w:r>
    </w:p>
    <w:p w14:paraId="4EE4C8C4">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关于场外交通和场内交通的边界的约定：以双方确认的建筑红线为边界，公共道路的通道为现有道路施工条件，如果无现有的公用道路的，另外做好施工道路作为本次招标工程的施工道路。</w:t>
      </w:r>
    </w:p>
    <w:p w14:paraId="27F882E5">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关于发包人向承包人免费提供满足工程施工需要的场内道路和交通设施的约定：开工前7天，公共道路的通道开通至施工场地外边缘即可，其余由承包人负责修建及保养等   。</w:t>
      </w:r>
    </w:p>
    <w:p w14:paraId="53A34B6B">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1.10.4 超大件和超重件的运输</w:t>
      </w:r>
    </w:p>
    <w:p w14:paraId="29471F6F">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运输超大件或超重件所需的道路和桥梁临时加固改造费用和其他有关费用由</w:t>
      </w:r>
      <w:r>
        <w:rPr>
          <w:rFonts w:hint="eastAsia" w:ascii="宋体" w:hAnsi="宋体" w:eastAsia="宋体" w:cs="宋体"/>
          <w:color w:val="auto"/>
          <w:sz w:val="21"/>
          <w:szCs w:val="21"/>
          <w:u w:val="single"/>
        </w:rPr>
        <w:t xml:space="preserve">   承包人   </w:t>
      </w:r>
      <w:r>
        <w:rPr>
          <w:rFonts w:hint="eastAsia" w:ascii="宋体" w:hAnsi="宋体" w:eastAsia="宋体" w:cs="宋体"/>
          <w:color w:val="auto"/>
          <w:sz w:val="21"/>
          <w:szCs w:val="21"/>
        </w:rPr>
        <w:t>承担。</w:t>
      </w:r>
    </w:p>
    <w:p w14:paraId="2A2CDAF1">
      <w:pPr>
        <w:pStyle w:val="5"/>
        <w:rPr>
          <w:rFonts w:hint="eastAsia" w:ascii="宋体" w:hAnsi="宋体" w:eastAsia="宋体" w:cs="宋体"/>
          <w:color w:val="auto"/>
          <w:sz w:val="21"/>
          <w:szCs w:val="21"/>
        </w:rPr>
      </w:pPr>
      <w:bookmarkStart w:id="164" w:name="_Toc28771"/>
      <w:r>
        <w:rPr>
          <w:rFonts w:hint="eastAsia" w:ascii="宋体" w:hAnsi="宋体" w:eastAsia="宋体" w:cs="宋体"/>
          <w:color w:val="auto"/>
          <w:sz w:val="21"/>
          <w:szCs w:val="21"/>
        </w:rPr>
        <w:t>1.11 知识产权</w:t>
      </w:r>
      <w:bookmarkEnd w:id="164"/>
    </w:p>
    <w:p w14:paraId="794AD41F">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1.11.1 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1"/>
          <w:szCs w:val="21"/>
          <w:u w:val="single"/>
        </w:rPr>
        <w:t>属于发包人</w:t>
      </w:r>
      <w:r>
        <w:rPr>
          <w:rFonts w:hint="eastAsia" w:ascii="宋体" w:hAnsi="宋体" w:eastAsia="宋体" w:cs="宋体"/>
          <w:color w:val="auto"/>
          <w:sz w:val="21"/>
          <w:szCs w:val="21"/>
        </w:rPr>
        <w:t>。</w:t>
      </w:r>
    </w:p>
    <w:p w14:paraId="0E65AB88">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关于发包人提供的上述文件的使用限制的要求：</w:t>
      </w:r>
      <w:r>
        <w:rPr>
          <w:rFonts w:hint="eastAsia" w:ascii="宋体" w:hAnsi="宋体" w:eastAsia="宋体" w:cs="宋体"/>
          <w:color w:val="auto"/>
          <w:sz w:val="21"/>
          <w:szCs w:val="21"/>
          <w:u w:val="single"/>
        </w:rPr>
        <w:t>未经发包人同意，不得提供给任何第三方</w:t>
      </w:r>
      <w:r>
        <w:rPr>
          <w:rFonts w:hint="eastAsia" w:ascii="宋体" w:hAnsi="宋体" w:eastAsia="宋体" w:cs="宋体"/>
          <w:color w:val="auto"/>
          <w:sz w:val="21"/>
          <w:szCs w:val="21"/>
        </w:rPr>
        <w:t>。</w:t>
      </w:r>
    </w:p>
    <w:p w14:paraId="6FF91F66">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1.11.2 关于承包人为实施工程所编制文件的著作权的归属：</w:t>
      </w:r>
      <w:r>
        <w:rPr>
          <w:rFonts w:hint="eastAsia" w:ascii="宋体" w:hAnsi="宋体" w:eastAsia="宋体" w:cs="宋体"/>
          <w:color w:val="auto"/>
          <w:sz w:val="21"/>
          <w:szCs w:val="21"/>
          <w:u w:val="single"/>
        </w:rPr>
        <w:t xml:space="preserve">  属于发包人    </w:t>
      </w:r>
      <w:r>
        <w:rPr>
          <w:rFonts w:hint="eastAsia" w:ascii="宋体" w:hAnsi="宋体" w:eastAsia="宋体" w:cs="宋体"/>
          <w:color w:val="auto"/>
          <w:sz w:val="21"/>
          <w:szCs w:val="21"/>
        </w:rPr>
        <w:t>。</w:t>
      </w:r>
    </w:p>
    <w:p w14:paraId="5EA8CC29">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关于承包人提供的上述文件的使用限制的要求：</w:t>
      </w:r>
      <w:r>
        <w:rPr>
          <w:rFonts w:hint="eastAsia" w:ascii="宋体" w:hAnsi="宋体" w:eastAsia="宋体" w:cs="宋体"/>
          <w:color w:val="auto"/>
          <w:sz w:val="21"/>
          <w:szCs w:val="21"/>
          <w:u w:val="single"/>
        </w:rPr>
        <w:t>未经发包人同意，不得提供给任何第三方</w:t>
      </w:r>
      <w:r>
        <w:rPr>
          <w:rFonts w:hint="eastAsia" w:ascii="宋体" w:hAnsi="宋体" w:eastAsia="宋体" w:cs="宋体"/>
          <w:color w:val="auto"/>
          <w:sz w:val="21"/>
          <w:szCs w:val="21"/>
        </w:rPr>
        <w:t>。</w:t>
      </w:r>
    </w:p>
    <w:p w14:paraId="7015206E">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1.11.4 承包人在施工过程中所采用的专利、专有技术、技术秘密的使用费的承担方式：</w:t>
      </w:r>
      <w:r>
        <w:rPr>
          <w:rFonts w:hint="eastAsia" w:ascii="宋体" w:hAnsi="宋体" w:eastAsia="宋体" w:cs="宋体"/>
          <w:color w:val="auto"/>
          <w:sz w:val="21"/>
          <w:szCs w:val="21"/>
          <w:u w:val="single"/>
        </w:rPr>
        <w:t xml:space="preserve">                      由承包人承担  </w:t>
      </w:r>
      <w:r>
        <w:rPr>
          <w:rFonts w:hint="eastAsia" w:ascii="宋体" w:hAnsi="宋体" w:eastAsia="宋体" w:cs="宋体"/>
          <w:color w:val="auto"/>
          <w:sz w:val="21"/>
          <w:szCs w:val="21"/>
        </w:rPr>
        <w:t>。</w:t>
      </w:r>
    </w:p>
    <w:p w14:paraId="5C7088F9">
      <w:pPr>
        <w:pStyle w:val="5"/>
        <w:rPr>
          <w:rFonts w:hint="eastAsia" w:ascii="宋体" w:hAnsi="宋体" w:eastAsia="宋体" w:cs="宋体"/>
          <w:color w:val="auto"/>
          <w:sz w:val="21"/>
          <w:szCs w:val="21"/>
        </w:rPr>
      </w:pPr>
      <w:bookmarkStart w:id="165" w:name="_Toc24674"/>
      <w:r>
        <w:rPr>
          <w:rFonts w:hint="eastAsia" w:ascii="宋体" w:hAnsi="宋体" w:eastAsia="宋体" w:cs="宋体"/>
          <w:color w:val="auto"/>
          <w:sz w:val="21"/>
          <w:szCs w:val="21"/>
        </w:rPr>
        <w:t>1.13工程量清单错误的修正</w:t>
      </w:r>
      <w:bookmarkEnd w:id="165"/>
    </w:p>
    <w:p w14:paraId="18C512D1">
      <w:pPr>
        <w:pStyle w:val="18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出现工程量清单工程量偏差时，是否调整合同价格：</w:t>
      </w:r>
      <w:r>
        <w:rPr>
          <w:rFonts w:hint="eastAsia" w:ascii="宋体" w:hAnsi="宋体" w:eastAsia="宋体" w:cs="宋体"/>
          <w:color w:val="auto"/>
          <w:sz w:val="21"/>
          <w:szCs w:val="21"/>
          <w:u w:val="single"/>
        </w:rPr>
        <w:t xml:space="preserve">合同履行期间，由于招标工程量清单缺项、漏项，新增分部分项工程清单项目的，按照以下规定确定单价，并调整合同价格：（1）合同中已有适用的综合单价，按合同中已有的综合单价确定；（2）合同中有类似的综合单价，参照类似的综合单价确定；（3）合同中没有适用或类似的综合单价，由承包人提出综合单价，经发包人确认。由于招标工程量清单项目多列或重复列项的，按照投标人投标综合单价确定单价，并调整合同价格。除以上情况之外出现工程量清单错误的，不调整合同价格 </w:t>
      </w:r>
      <w:r>
        <w:rPr>
          <w:rFonts w:hint="eastAsia" w:ascii="宋体" w:hAnsi="宋体" w:eastAsia="宋体" w:cs="宋体"/>
          <w:color w:val="auto"/>
          <w:kern w:val="0"/>
          <w:sz w:val="21"/>
          <w:szCs w:val="21"/>
        </w:rPr>
        <w:t>。</w:t>
      </w:r>
    </w:p>
    <w:p w14:paraId="0343C55C">
      <w:pPr>
        <w:pStyle w:val="18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允许调整合同价格的工程量偏差范围及其调整办法：</w:t>
      </w:r>
    </w:p>
    <w:p w14:paraId="7DD25739">
      <w:pPr>
        <w:pStyle w:val="18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u w:val="single"/>
        </w:rPr>
        <w:t>工程量按实调整，综合单价不变</w:t>
      </w:r>
      <w:r>
        <w:rPr>
          <w:rFonts w:hint="eastAsia" w:ascii="宋体" w:hAnsi="宋体" w:eastAsia="宋体" w:cs="宋体"/>
          <w:color w:val="auto"/>
          <w:kern w:val="0"/>
          <w:sz w:val="21"/>
          <w:szCs w:val="21"/>
        </w:rPr>
        <w:t>。</w:t>
      </w:r>
    </w:p>
    <w:p w14:paraId="5C0CFE1A">
      <w:pPr>
        <w:rPr>
          <w:rFonts w:hint="eastAsia" w:ascii="宋体" w:hAnsi="宋体" w:eastAsia="宋体" w:cs="宋体"/>
          <w:color w:val="auto"/>
          <w:sz w:val="21"/>
          <w:szCs w:val="21"/>
        </w:rPr>
      </w:pPr>
    </w:p>
    <w:p w14:paraId="7F00F41D">
      <w:pPr>
        <w:rPr>
          <w:rFonts w:hint="eastAsia" w:ascii="宋体" w:hAnsi="宋体" w:eastAsia="宋体" w:cs="宋体"/>
          <w:color w:val="auto"/>
          <w:sz w:val="21"/>
          <w:szCs w:val="21"/>
        </w:rPr>
      </w:pPr>
    </w:p>
    <w:p w14:paraId="2B9E9330">
      <w:pPr>
        <w:pStyle w:val="4"/>
        <w:rPr>
          <w:rFonts w:hint="eastAsia" w:ascii="宋体" w:hAnsi="宋体" w:eastAsia="宋体" w:cs="宋体"/>
          <w:color w:val="auto"/>
          <w:sz w:val="21"/>
          <w:szCs w:val="21"/>
        </w:rPr>
      </w:pPr>
      <w:bookmarkStart w:id="166" w:name="_Toc9010"/>
      <w:r>
        <w:rPr>
          <w:rFonts w:hint="eastAsia" w:ascii="宋体" w:hAnsi="宋体" w:eastAsia="宋体" w:cs="宋体"/>
          <w:color w:val="auto"/>
          <w:sz w:val="21"/>
          <w:szCs w:val="21"/>
        </w:rPr>
        <w:t>2. 发包人</w:t>
      </w:r>
      <w:bookmarkEnd w:id="166"/>
    </w:p>
    <w:p w14:paraId="1BC5607B">
      <w:pPr>
        <w:pStyle w:val="5"/>
        <w:rPr>
          <w:rFonts w:hint="eastAsia" w:ascii="宋体" w:hAnsi="宋体" w:eastAsia="宋体" w:cs="宋体"/>
          <w:color w:val="auto"/>
          <w:sz w:val="21"/>
          <w:szCs w:val="21"/>
        </w:rPr>
      </w:pPr>
      <w:bookmarkStart w:id="167" w:name="_Toc25800"/>
      <w:r>
        <w:rPr>
          <w:rFonts w:hint="eastAsia" w:ascii="宋体" w:hAnsi="宋体" w:eastAsia="宋体" w:cs="宋体"/>
          <w:color w:val="auto"/>
          <w:sz w:val="21"/>
          <w:szCs w:val="21"/>
        </w:rPr>
        <w:t>2.2 发包人代表</w:t>
      </w:r>
      <w:bookmarkEnd w:id="167"/>
    </w:p>
    <w:p w14:paraId="6A0C1446">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发包人代表：</w:t>
      </w:r>
    </w:p>
    <w:p w14:paraId="4E5DE9E9">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姓    名：；</w:t>
      </w:r>
    </w:p>
    <w:p w14:paraId="4BE16932">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职    务：；</w:t>
      </w:r>
    </w:p>
    <w:p w14:paraId="26A8234C">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联系电话：；</w:t>
      </w:r>
    </w:p>
    <w:p w14:paraId="06FBE784">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电子信箱：；</w:t>
      </w:r>
    </w:p>
    <w:p w14:paraId="21B8E661">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通信地址：</w:t>
      </w:r>
      <w:r>
        <w:rPr>
          <w:rFonts w:hint="eastAsia" w:ascii="宋体" w:hAnsi="宋体" w:eastAsia="宋体" w:cs="宋体"/>
          <w:color w:val="auto"/>
          <w:sz w:val="21"/>
          <w:szCs w:val="21"/>
          <w:u w:val="single"/>
        </w:rPr>
        <w:t xml:space="preserve"> </w:t>
      </w:r>
      <w:r>
        <w:rPr>
          <w:rFonts w:hint="eastAsia" w:ascii="宋体" w:hAnsi="宋体" w:cs="宋体"/>
          <w:color w:val="auto"/>
          <w:sz w:val="21"/>
          <w:szCs w:val="21"/>
          <w:u w:val="single"/>
          <w:lang w:eastAsia="zh-CN"/>
        </w:rPr>
        <w:t>龙州县教育局</w:t>
      </w:r>
      <w:r>
        <w:rPr>
          <w:rFonts w:hint="eastAsia" w:ascii="宋体" w:hAnsi="宋体" w:eastAsia="宋体" w:cs="宋体"/>
          <w:color w:val="auto"/>
          <w:sz w:val="21"/>
          <w:szCs w:val="21"/>
        </w:rPr>
        <w:t>。</w:t>
      </w:r>
    </w:p>
    <w:p w14:paraId="2EA81D14">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发包人对发包人代表的授权范围如下：</w:t>
      </w:r>
      <w:r>
        <w:rPr>
          <w:rFonts w:hint="eastAsia" w:ascii="宋体" w:hAnsi="宋体" w:eastAsia="宋体" w:cs="宋体"/>
          <w:color w:val="auto"/>
          <w:sz w:val="21"/>
          <w:szCs w:val="21"/>
          <w:u w:val="single"/>
        </w:rPr>
        <w:t xml:space="preserve">    对工程建设进行全过程管理    </w:t>
      </w:r>
      <w:r>
        <w:rPr>
          <w:rFonts w:hint="eastAsia" w:ascii="宋体" w:hAnsi="宋体" w:eastAsia="宋体" w:cs="宋体"/>
          <w:color w:val="auto"/>
          <w:sz w:val="21"/>
          <w:szCs w:val="21"/>
        </w:rPr>
        <w:t>。</w:t>
      </w:r>
    </w:p>
    <w:p w14:paraId="184DBAD7">
      <w:pPr>
        <w:pStyle w:val="5"/>
        <w:rPr>
          <w:rFonts w:hint="eastAsia" w:ascii="宋体" w:hAnsi="宋体" w:eastAsia="宋体" w:cs="宋体"/>
          <w:color w:val="auto"/>
          <w:sz w:val="21"/>
          <w:szCs w:val="21"/>
        </w:rPr>
      </w:pPr>
      <w:bookmarkStart w:id="168" w:name="_Toc31395"/>
      <w:r>
        <w:rPr>
          <w:rFonts w:hint="eastAsia" w:ascii="宋体" w:hAnsi="宋体" w:eastAsia="宋体" w:cs="宋体"/>
          <w:color w:val="auto"/>
          <w:sz w:val="21"/>
          <w:szCs w:val="21"/>
        </w:rPr>
        <w:t>2.4 施工现场、施工条件和基础资料的提供</w:t>
      </w:r>
      <w:bookmarkEnd w:id="168"/>
    </w:p>
    <w:p w14:paraId="79208F55">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2.4.1 提供施工现场</w:t>
      </w:r>
    </w:p>
    <w:p w14:paraId="46A40D9E">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关于发包人移交施工现场的期限要求：</w:t>
      </w:r>
      <w:r>
        <w:rPr>
          <w:rFonts w:hint="eastAsia" w:ascii="宋体" w:hAnsi="宋体" w:eastAsia="宋体" w:cs="宋体"/>
          <w:color w:val="auto"/>
          <w:sz w:val="21"/>
          <w:szCs w:val="21"/>
          <w:u w:val="single"/>
        </w:rPr>
        <w:t xml:space="preserve">   　　承包人进场前7日        </w:t>
      </w:r>
      <w:r>
        <w:rPr>
          <w:rFonts w:hint="eastAsia" w:ascii="宋体" w:hAnsi="宋体" w:eastAsia="宋体" w:cs="宋体"/>
          <w:color w:val="auto"/>
          <w:sz w:val="21"/>
          <w:szCs w:val="21"/>
        </w:rPr>
        <w:t>。</w:t>
      </w:r>
    </w:p>
    <w:p w14:paraId="69803021">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2.4.2 提供施工条件</w:t>
      </w:r>
    </w:p>
    <w:p w14:paraId="67EAD27F">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关于发包人应负责提供施工所需要的条件，包括：</w:t>
      </w:r>
    </w:p>
    <w:p w14:paraId="76502D2D">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（1）将施工所需的水、电、接至施工场地的时间、地点和供应要求：</w:t>
      </w:r>
      <w:r>
        <w:rPr>
          <w:rFonts w:hint="eastAsia" w:ascii="宋体" w:hAnsi="宋体" w:eastAsia="宋体" w:cs="宋体"/>
          <w:color w:val="auto"/>
          <w:sz w:val="21"/>
          <w:szCs w:val="21"/>
          <w:u w:val="single"/>
        </w:rPr>
        <w:t xml:space="preserve"> 发包人仅提供水电接口，费用承包人自理。   </w:t>
      </w:r>
    </w:p>
    <w:p w14:paraId="6E78AFAC">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（2）施工场地与公共道路的通道开通时间和要求：</w:t>
      </w:r>
      <w:r>
        <w:rPr>
          <w:rFonts w:hint="eastAsia" w:ascii="宋体" w:hAnsi="宋体" w:eastAsia="宋体" w:cs="宋体"/>
          <w:color w:val="auto"/>
          <w:sz w:val="21"/>
          <w:szCs w:val="21"/>
          <w:u w:val="single"/>
        </w:rPr>
        <w:t xml:space="preserve">  施工场地与公共道路的通道由承包人自行解决，费用承包人自理。 </w:t>
      </w:r>
    </w:p>
    <w:p w14:paraId="23BD7F15">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（3）工程地质和地下管线资料的提供时间：</w:t>
      </w:r>
      <w:r>
        <w:rPr>
          <w:rFonts w:hint="eastAsia" w:ascii="宋体" w:hAnsi="宋体" w:eastAsia="宋体" w:cs="宋体"/>
          <w:color w:val="auto"/>
          <w:sz w:val="21"/>
          <w:szCs w:val="21"/>
          <w:u w:val="single"/>
        </w:rPr>
        <w:t xml:space="preserve">  进场后三天内。已交底的场地内地下管线由承包人负责保护 。   </w:t>
      </w:r>
    </w:p>
    <w:p w14:paraId="0DE43CA1">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（4）由发包人办理的施工所需证件、批件的名称和完成时间：</w:t>
      </w:r>
      <w:r>
        <w:rPr>
          <w:rFonts w:hint="eastAsia" w:ascii="宋体" w:hAnsi="宋体" w:eastAsia="宋体" w:cs="宋体"/>
          <w:color w:val="auto"/>
          <w:sz w:val="21"/>
          <w:szCs w:val="21"/>
          <w:u w:val="single"/>
        </w:rPr>
        <w:t xml:space="preserve"> 有关批件由发包人按规定完成。   </w:t>
      </w:r>
    </w:p>
    <w:p w14:paraId="35EBC67D">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（5）水准点与座标控制点交验要求：</w:t>
      </w:r>
      <w:r>
        <w:rPr>
          <w:rFonts w:hint="eastAsia" w:ascii="宋体" w:hAnsi="宋体" w:eastAsia="宋体" w:cs="宋体"/>
          <w:color w:val="auto"/>
          <w:sz w:val="21"/>
          <w:szCs w:val="21"/>
          <w:u w:val="single"/>
        </w:rPr>
        <w:t xml:space="preserve"> 承包人进入工地后进行现场、书面交桩，承包人负责复核，承包人并对水准点和坐标控制点加以保护。 </w:t>
      </w:r>
    </w:p>
    <w:p w14:paraId="6430362A">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（6）图纸会审和设计交底时间：</w:t>
      </w:r>
      <w:r>
        <w:rPr>
          <w:rFonts w:hint="eastAsia" w:ascii="宋体" w:hAnsi="宋体" w:eastAsia="宋体" w:cs="宋体"/>
          <w:color w:val="auto"/>
          <w:sz w:val="21"/>
          <w:szCs w:val="21"/>
          <w:u w:val="single"/>
        </w:rPr>
        <w:t xml:space="preserve"> 图纸发出7天内，发包人负责组织设计单位、监理工程师向承包人进行技术交底。  </w:t>
      </w:r>
    </w:p>
    <w:p w14:paraId="0E8F0D47">
      <w:pPr>
        <w:spacing w:line="360" w:lineRule="exact"/>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（7）协调处理施工场地周围地下管线和邻近建筑物、构筑物（含文物保护建筑）、古树名木的保护工作：</w:t>
      </w:r>
      <w:r>
        <w:rPr>
          <w:rFonts w:hint="eastAsia" w:ascii="宋体" w:hAnsi="宋体" w:eastAsia="宋体" w:cs="宋体"/>
          <w:color w:val="auto"/>
          <w:sz w:val="21"/>
          <w:szCs w:val="21"/>
          <w:u w:val="single"/>
        </w:rPr>
        <w:t xml:space="preserve">   由发包人负责按实际需要协调。 </w:t>
      </w:r>
    </w:p>
    <w:p w14:paraId="3C4E20EB">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（8）双方约定发包人应做的其他工作：</w:t>
      </w:r>
      <w:r>
        <w:rPr>
          <w:rFonts w:hint="eastAsia" w:ascii="宋体" w:hAnsi="宋体" w:eastAsia="宋体" w:cs="宋体"/>
          <w:color w:val="auto"/>
          <w:sz w:val="21"/>
          <w:szCs w:val="21"/>
          <w:u w:val="single"/>
        </w:rPr>
        <w:t xml:space="preserve">在开工前向承包人提供壹份监理合同。 </w:t>
      </w:r>
    </w:p>
    <w:p w14:paraId="3194EB80">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（9）发包人委托承包人办理的工作：</w:t>
      </w:r>
      <w:r>
        <w:rPr>
          <w:rFonts w:hint="eastAsia" w:ascii="宋体" w:hAnsi="宋体" w:eastAsia="宋体" w:cs="宋体"/>
          <w:color w:val="auto"/>
          <w:sz w:val="21"/>
          <w:szCs w:val="21"/>
          <w:u w:val="single"/>
        </w:rPr>
        <w:t xml:space="preserve">    双方另行协商。    </w:t>
      </w:r>
    </w:p>
    <w:p w14:paraId="6B90FFB9">
      <w:pPr>
        <w:rPr>
          <w:rFonts w:hint="eastAsia" w:ascii="宋体" w:hAnsi="宋体" w:eastAsia="宋体" w:cs="宋体"/>
          <w:color w:val="auto"/>
          <w:sz w:val="21"/>
          <w:szCs w:val="21"/>
        </w:rPr>
      </w:pPr>
    </w:p>
    <w:p w14:paraId="2BF5BA5A">
      <w:pPr>
        <w:pStyle w:val="4"/>
        <w:rPr>
          <w:rFonts w:hint="eastAsia" w:ascii="宋体" w:hAnsi="宋体" w:eastAsia="宋体" w:cs="宋体"/>
          <w:color w:val="auto"/>
          <w:sz w:val="21"/>
          <w:szCs w:val="21"/>
        </w:rPr>
      </w:pPr>
      <w:bookmarkStart w:id="169" w:name="_Toc32558"/>
      <w:r>
        <w:rPr>
          <w:rFonts w:hint="eastAsia" w:ascii="宋体" w:hAnsi="宋体" w:eastAsia="宋体" w:cs="宋体"/>
          <w:color w:val="auto"/>
          <w:sz w:val="21"/>
          <w:szCs w:val="21"/>
        </w:rPr>
        <w:t>3. 承包人</w:t>
      </w:r>
      <w:bookmarkEnd w:id="169"/>
    </w:p>
    <w:p w14:paraId="390CC052">
      <w:pPr>
        <w:pStyle w:val="5"/>
        <w:rPr>
          <w:rFonts w:hint="eastAsia" w:ascii="宋体" w:hAnsi="宋体" w:eastAsia="宋体" w:cs="宋体"/>
          <w:color w:val="auto"/>
          <w:sz w:val="21"/>
          <w:szCs w:val="21"/>
        </w:rPr>
      </w:pPr>
      <w:bookmarkStart w:id="170" w:name="_Toc23919"/>
      <w:r>
        <w:rPr>
          <w:rFonts w:hint="eastAsia" w:ascii="宋体" w:hAnsi="宋体" w:eastAsia="宋体" w:cs="宋体"/>
          <w:color w:val="auto"/>
          <w:sz w:val="21"/>
          <w:szCs w:val="21"/>
        </w:rPr>
        <w:t>3.1 承包人的一般义务</w:t>
      </w:r>
      <w:bookmarkEnd w:id="170"/>
    </w:p>
    <w:p w14:paraId="39FD44D4">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3.1.1承包人提交的竣工资料的内容：</w:t>
      </w:r>
    </w:p>
    <w:p w14:paraId="314A47FD">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 xml:space="preserve">包括工程质量保证资料、验收备案资料、竣工图等完整的竣工档案资料         </w:t>
      </w:r>
      <w:r>
        <w:rPr>
          <w:rFonts w:hint="eastAsia" w:ascii="宋体" w:hAnsi="宋体" w:eastAsia="宋体" w:cs="宋体"/>
          <w:color w:val="auto"/>
          <w:sz w:val="21"/>
          <w:szCs w:val="21"/>
        </w:rPr>
        <w:t>。</w:t>
      </w:r>
    </w:p>
    <w:p w14:paraId="532EA17A">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承包人需要提交的竣工资料套数：</w:t>
      </w:r>
      <w:r>
        <w:rPr>
          <w:rFonts w:hint="eastAsia" w:ascii="宋体" w:hAnsi="宋体" w:eastAsia="宋体" w:cs="宋体"/>
          <w:color w:val="auto"/>
          <w:sz w:val="21"/>
          <w:szCs w:val="21"/>
          <w:u w:val="single"/>
        </w:rPr>
        <w:t xml:space="preserve">伍套（施工、监理、建设、接收单位、档案馆各一套）   </w:t>
      </w:r>
      <w:r>
        <w:rPr>
          <w:rFonts w:hint="eastAsia" w:ascii="宋体" w:hAnsi="宋体" w:eastAsia="宋体" w:cs="宋体"/>
          <w:color w:val="auto"/>
          <w:sz w:val="21"/>
          <w:szCs w:val="21"/>
        </w:rPr>
        <w:t>。</w:t>
      </w:r>
    </w:p>
    <w:p w14:paraId="03968CC4">
      <w:pPr>
        <w:spacing w:line="360" w:lineRule="auto"/>
        <w:ind w:left="424" w:leftChars="202"/>
        <w:rPr>
          <w:rFonts w:hint="eastAsia" w:ascii="宋体" w:hAnsi="宋体" w:eastAsia="宋体" w:cs="宋体"/>
          <w:color w:val="auto"/>
          <w:sz w:val="21"/>
          <w:szCs w:val="21"/>
        </w:rPr>
      </w:pPr>
      <w:r>
        <w:rPr>
          <w:rFonts w:hint="eastAsia" w:ascii="宋体" w:hAnsi="宋体" w:eastAsia="宋体" w:cs="宋体"/>
          <w:color w:val="auto"/>
          <w:sz w:val="21"/>
          <w:szCs w:val="21"/>
        </w:rPr>
        <w:t>承包人提交的竣工资料的费用承担：</w:t>
      </w:r>
      <w:r>
        <w:rPr>
          <w:rFonts w:hint="eastAsia" w:ascii="宋体" w:hAnsi="宋体" w:eastAsia="宋体" w:cs="宋体"/>
          <w:color w:val="auto"/>
          <w:sz w:val="21"/>
          <w:szCs w:val="21"/>
          <w:u w:val="single"/>
        </w:rPr>
        <w:t xml:space="preserve">     全部承担        </w:t>
      </w:r>
      <w:r>
        <w:rPr>
          <w:rFonts w:hint="eastAsia" w:ascii="宋体" w:hAnsi="宋体" w:eastAsia="宋体" w:cs="宋体"/>
          <w:color w:val="auto"/>
          <w:sz w:val="21"/>
          <w:szCs w:val="21"/>
        </w:rPr>
        <w:t>。</w:t>
      </w:r>
    </w:p>
    <w:p w14:paraId="018FF146">
      <w:pPr>
        <w:spacing w:line="360" w:lineRule="auto"/>
        <w:ind w:left="424" w:leftChars="202"/>
        <w:rPr>
          <w:rFonts w:hint="eastAsia" w:ascii="宋体" w:hAnsi="宋体" w:eastAsia="宋体" w:cs="宋体"/>
          <w:color w:val="auto"/>
          <w:sz w:val="21"/>
          <w:szCs w:val="21"/>
        </w:rPr>
      </w:pPr>
      <w:r>
        <w:rPr>
          <w:rFonts w:hint="eastAsia" w:ascii="宋体" w:hAnsi="宋体" w:eastAsia="宋体" w:cs="宋体"/>
          <w:color w:val="auto"/>
          <w:sz w:val="21"/>
          <w:szCs w:val="21"/>
        </w:rPr>
        <w:t>承包人提交的竣工资料移交时间：</w:t>
      </w:r>
      <w:r>
        <w:rPr>
          <w:rFonts w:hint="eastAsia" w:ascii="宋体" w:hAnsi="宋体" w:eastAsia="宋体" w:cs="宋体"/>
          <w:color w:val="auto"/>
          <w:sz w:val="21"/>
          <w:szCs w:val="21"/>
          <w:u w:val="single"/>
        </w:rPr>
        <w:t xml:space="preserve">  竣工验收合格后28天内  </w:t>
      </w:r>
      <w:r>
        <w:rPr>
          <w:rFonts w:hint="eastAsia" w:ascii="宋体" w:hAnsi="宋体" w:eastAsia="宋体" w:cs="宋体"/>
          <w:color w:val="auto"/>
          <w:sz w:val="21"/>
          <w:szCs w:val="21"/>
        </w:rPr>
        <w:t>。</w:t>
      </w:r>
    </w:p>
    <w:p w14:paraId="1E01DEDF">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承包人提交的竣工资料形式要求：</w:t>
      </w:r>
      <w:r>
        <w:rPr>
          <w:rFonts w:hint="eastAsia" w:ascii="宋体" w:hAnsi="宋体" w:eastAsia="宋体" w:cs="宋体"/>
          <w:color w:val="auto"/>
          <w:sz w:val="21"/>
          <w:szCs w:val="21"/>
          <w:u w:val="single"/>
        </w:rPr>
        <w:t xml:space="preserve">           文本            </w:t>
      </w:r>
      <w:r>
        <w:rPr>
          <w:rFonts w:hint="eastAsia" w:ascii="宋体" w:hAnsi="宋体" w:eastAsia="宋体" w:cs="宋体"/>
          <w:color w:val="auto"/>
          <w:sz w:val="21"/>
          <w:szCs w:val="21"/>
        </w:rPr>
        <w:t>。</w:t>
      </w:r>
    </w:p>
    <w:p w14:paraId="6F318DCF">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3.1.2承包人应履行的其他义务：</w:t>
      </w:r>
    </w:p>
    <w:p w14:paraId="1EEA17E4">
      <w:pPr>
        <w:spacing w:line="360" w:lineRule="auto"/>
        <w:ind w:firstLine="420" w:firstLineChars="200"/>
        <w:rPr>
          <w:rFonts w:hint="eastAsia" w:ascii="宋体" w:hAnsi="宋体" w:eastAsia="宋体" w:cs="宋体"/>
          <w:bCs/>
          <w:color w:val="auto"/>
          <w:sz w:val="21"/>
          <w:szCs w:val="21"/>
          <w:u w:val="single"/>
        </w:rPr>
      </w:pPr>
      <w:r>
        <w:rPr>
          <w:rFonts w:hint="eastAsia" w:ascii="宋体" w:hAnsi="宋体" w:eastAsia="宋体" w:cs="宋体"/>
          <w:bCs/>
          <w:color w:val="auto"/>
          <w:sz w:val="21"/>
          <w:szCs w:val="21"/>
        </w:rPr>
        <w:t>（1）施工场地周围地下管线和邻近建筑物、构筑物（含文物保护建筑）、古树名木的保护要求及费用承担：</w:t>
      </w:r>
      <w:r>
        <w:rPr>
          <w:rFonts w:hint="eastAsia" w:ascii="宋体" w:hAnsi="宋体" w:eastAsia="宋体" w:cs="宋体"/>
          <w:bCs/>
          <w:color w:val="auto"/>
          <w:sz w:val="21"/>
          <w:szCs w:val="21"/>
          <w:u w:val="single"/>
        </w:rPr>
        <w:t>承包人施工时应探明并负责保护且承包费用，施工时如损坏地下管线、邻近建筑物、构筑物，所发生费用由承包人承担。</w:t>
      </w:r>
    </w:p>
    <w:p w14:paraId="1BEF7CA3">
      <w:pPr>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（2）</w:t>
      </w:r>
      <w:r>
        <w:rPr>
          <w:rFonts w:hint="eastAsia" w:ascii="宋体" w:hAnsi="宋体" w:eastAsia="宋体" w:cs="宋体"/>
          <w:bCs/>
          <w:color w:val="auto"/>
          <w:sz w:val="21"/>
          <w:szCs w:val="21"/>
          <w:u w:val="single"/>
        </w:rPr>
        <w:t>取土场及弃土场由承包人自行解决，但不得违反相关管理规定，并承担相关费用。</w:t>
      </w:r>
    </w:p>
    <w:p w14:paraId="35B5B557">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3.1.3承包人应按约定时间和要求，完成以下工作：</w:t>
      </w:r>
    </w:p>
    <w:p w14:paraId="698D5058">
      <w:pPr>
        <w:pStyle w:val="250"/>
        <w:snapToGrid w:val="0"/>
        <w:spacing w:before="0" w:after="0" w:line="360" w:lineRule="auto"/>
        <w:ind w:left="0" w:right="30" w:firstLine="502"/>
        <w:rPr>
          <w:rFonts w:hint="eastAsia" w:ascii="宋体" w:hAnsi="宋体" w:eastAsia="宋体" w:cs="宋体"/>
          <w:color w:val="auto"/>
          <w:sz w:val="21"/>
          <w:szCs w:val="21"/>
        </w:rPr>
      </w:pPr>
      <w:r>
        <w:rPr>
          <w:rFonts w:hint="eastAsia" w:ascii="宋体" w:hAnsi="宋体" w:eastAsia="宋体" w:cs="宋体"/>
          <w:color w:val="auto"/>
          <w:sz w:val="21"/>
          <w:szCs w:val="21"/>
        </w:rPr>
        <w:t>（1）需由设计资质等级和业务范围允许的承包人完成的设计文件提交时间：</w:t>
      </w:r>
      <w:r>
        <w:rPr>
          <w:rFonts w:hint="eastAsia" w:ascii="宋体" w:hAnsi="宋体" w:eastAsia="宋体" w:cs="宋体"/>
          <w:color w:val="auto"/>
          <w:sz w:val="21"/>
          <w:szCs w:val="21"/>
          <w:u w:val="single"/>
        </w:rPr>
        <w:t xml:space="preserve"> 无        </w:t>
      </w:r>
    </w:p>
    <w:p w14:paraId="43C50040">
      <w:pPr>
        <w:pStyle w:val="24"/>
        <w:adjustRightInd w:val="0"/>
        <w:snapToGrid w:val="0"/>
        <w:spacing w:line="360" w:lineRule="auto"/>
        <w:ind w:firstLine="502"/>
        <w:rPr>
          <w:rFonts w:hint="eastAsia" w:ascii="宋体" w:hAnsi="宋体" w:eastAsia="宋体" w:cs="宋体"/>
          <w:color w:val="auto"/>
          <w:sz w:val="21"/>
          <w:szCs w:val="21"/>
        </w:rPr>
      </w:pPr>
      <w:r>
        <w:rPr>
          <w:rFonts w:hint="eastAsia" w:ascii="宋体" w:hAnsi="宋体" w:eastAsia="宋体" w:cs="宋体"/>
          <w:color w:val="auto"/>
          <w:sz w:val="21"/>
          <w:szCs w:val="21"/>
        </w:rPr>
        <w:t>（2）应提供计划、报表的名称及完成时间：</w:t>
      </w:r>
      <w:r>
        <w:rPr>
          <w:rFonts w:hint="eastAsia" w:ascii="宋体" w:hAnsi="宋体" w:eastAsia="宋体" w:cs="宋体"/>
          <w:color w:val="auto"/>
          <w:sz w:val="21"/>
          <w:szCs w:val="21"/>
          <w:u w:val="single"/>
        </w:rPr>
        <w:t xml:space="preserve"> 合同签订后7天内向监理工程师和发包人提交符合合同工期要求的1、施工组织设计，2、工程进度计划3、管理人员名单、职称、职务、上岗证等（注：领取中标通知书前提交建设管理部门），4、安全文明施工措施，5、质量保证体系。每月25日提供当月完成工程量报表、次月计划完成工程量报表各两份。 </w:t>
      </w:r>
    </w:p>
    <w:p w14:paraId="7D792A57">
      <w:pPr>
        <w:pStyle w:val="24"/>
        <w:adjustRightInd w:val="0"/>
        <w:snapToGrid w:val="0"/>
        <w:spacing w:line="360" w:lineRule="auto"/>
        <w:ind w:firstLine="480"/>
        <w:rPr>
          <w:rFonts w:hint="eastAsia" w:ascii="宋体" w:hAnsi="宋体" w:eastAsia="宋体" w:cs="宋体"/>
          <w:color w:val="auto"/>
          <w:sz w:val="21"/>
          <w:szCs w:val="21"/>
          <w:u w:val="single"/>
        </w:rPr>
      </w:pPr>
      <w:r>
        <w:rPr>
          <w:rFonts w:hint="eastAsia" w:ascii="宋体" w:hAnsi="宋体" w:eastAsia="宋体" w:cs="宋体"/>
          <w:color w:val="auto"/>
          <w:sz w:val="21"/>
          <w:szCs w:val="21"/>
        </w:rPr>
        <w:t>（3）承担施工安全保卫工作及非夜间施工照明的责任和要求：</w:t>
      </w:r>
      <w:r>
        <w:rPr>
          <w:rFonts w:hint="eastAsia" w:ascii="宋体" w:hAnsi="宋体" w:eastAsia="宋体" w:cs="宋体"/>
          <w:color w:val="auto"/>
          <w:sz w:val="21"/>
          <w:szCs w:val="21"/>
          <w:u w:val="single"/>
        </w:rPr>
        <w:t xml:space="preserve">  提供和维修非夜间施工使用的照明、安全标识、围栏等设施，保证过往车辆、行人安全，并负责施工现场安全保卫，费用由承包人承担。按国家及地方对施工防护的有关规定及通用条款9.1（3）条内容。</w:t>
      </w:r>
    </w:p>
    <w:p w14:paraId="686904EB">
      <w:pPr>
        <w:pStyle w:val="24"/>
        <w:adjustRightInd w:val="0"/>
        <w:snapToGrid w:val="0"/>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（4）向发包人提供的办公和生活房屋及设施的要求：</w:t>
      </w:r>
      <w:r>
        <w:rPr>
          <w:rFonts w:hint="eastAsia" w:ascii="宋体" w:hAnsi="宋体" w:eastAsia="宋体" w:cs="宋体"/>
          <w:color w:val="auto"/>
          <w:sz w:val="21"/>
          <w:szCs w:val="21"/>
          <w:u w:val="single"/>
        </w:rPr>
        <w:t>由承包人提供1间施工现场办公室及生活宿舍 。</w:t>
      </w:r>
    </w:p>
    <w:p w14:paraId="186F6D3C">
      <w:pPr>
        <w:pStyle w:val="24"/>
        <w:adjustRightInd w:val="0"/>
        <w:snapToGrid w:val="0"/>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（5）需承包人办理的有关施工场地交通、环卫和施工噪音管理等手续：</w:t>
      </w:r>
      <w:r>
        <w:rPr>
          <w:rFonts w:hint="eastAsia" w:ascii="宋体" w:hAnsi="宋体" w:eastAsia="宋体" w:cs="宋体"/>
          <w:color w:val="auto"/>
          <w:sz w:val="21"/>
          <w:szCs w:val="21"/>
          <w:u w:val="single"/>
        </w:rPr>
        <w:t xml:space="preserve"> 1、通行证，2、环卫部门规定的施工场地卫生手续，3、城管部门手续，4、建设行政部门手续，5、施工噪音超标手续，6、项目临时工会手续。并承担相关费用。</w:t>
      </w:r>
    </w:p>
    <w:p w14:paraId="30950139">
      <w:pPr>
        <w:pStyle w:val="24"/>
        <w:adjustRightInd w:val="0"/>
        <w:snapToGrid w:val="0"/>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（6）已完工程成品保护的特殊要求及费用承担：</w:t>
      </w:r>
      <w:r>
        <w:rPr>
          <w:rFonts w:hint="eastAsia" w:ascii="宋体" w:hAnsi="宋体" w:eastAsia="宋体" w:cs="宋体"/>
          <w:color w:val="auto"/>
          <w:sz w:val="21"/>
          <w:szCs w:val="21"/>
          <w:u w:val="single"/>
        </w:rPr>
        <w:t xml:space="preserve"> 从开工之日起，承包人应全面负责照管本合同工程及将用于和安装在本合同工程中的材料、设备直到本合同工程竣工并达到约定的质量标准，验收移交招标人管理部门之日为止，并承担相关费用。  </w:t>
      </w:r>
    </w:p>
    <w:p w14:paraId="7F78D6E6">
      <w:pPr>
        <w:pStyle w:val="24"/>
        <w:adjustRightInd w:val="0"/>
        <w:snapToGrid w:val="0"/>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（7）施工场地周围地下管线和邻近建筑物、构筑物（含文物保护建筑）、古树名木的保护要求及费用承担：</w:t>
      </w:r>
      <w:r>
        <w:rPr>
          <w:rFonts w:hint="eastAsia" w:ascii="宋体" w:hAnsi="宋体" w:eastAsia="宋体" w:cs="宋体"/>
          <w:color w:val="auto"/>
          <w:sz w:val="21"/>
          <w:szCs w:val="21"/>
          <w:u w:val="single"/>
        </w:rPr>
        <w:t xml:space="preserve">由承包人保护，费用按通用条款8.1.（8）执行。施工时如损坏地下管线、邻近建筑物、构筑物，所发生的费用由承包人承担。 </w:t>
      </w:r>
    </w:p>
    <w:p w14:paraId="27C10F01">
      <w:pPr>
        <w:pStyle w:val="24"/>
        <w:adjustRightInd w:val="0"/>
        <w:snapToGrid w:val="0"/>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（8）施工场地清洁卫生的要求：</w:t>
      </w:r>
      <w:r>
        <w:rPr>
          <w:rFonts w:hint="eastAsia" w:ascii="宋体" w:hAnsi="宋体" w:eastAsia="宋体" w:cs="宋体"/>
          <w:color w:val="auto"/>
          <w:sz w:val="21"/>
          <w:szCs w:val="21"/>
          <w:u w:val="single"/>
        </w:rPr>
        <w:t xml:space="preserve"> 在施工期间对环境主要影响是机械声和废水、废渣、尘埃，对此承包人应采取相应的防治措施和严格管理，严格控制污染物排放，污染物排放前必须处理，达到排污标准后再排放。控制标准：《地面环境质量标准》GB3838-88Ⅱ。施工完毕后，承包人应及时将被破坏的场地，遵照监理工程师的指示进行清理、修正，并根据实际情况将场地恢复到原有状态。     </w:t>
      </w:r>
    </w:p>
    <w:p w14:paraId="6374AF6B">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（9）双方约定承包人应做的其他工作：</w:t>
      </w:r>
      <w:r>
        <w:rPr>
          <w:rFonts w:hint="eastAsia" w:ascii="宋体" w:hAnsi="宋体" w:eastAsia="宋体" w:cs="宋体"/>
          <w:color w:val="auto"/>
          <w:sz w:val="21"/>
          <w:szCs w:val="21"/>
          <w:u w:val="single"/>
        </w:rPr>
        <w:t xml:space="preserve"> 承包人在中标通知书发出之后三日内须提供相关证件（除中标通知书发放前已提交的除外），由发包人办理报建手续。否则发包人视为承包人自动放弃合同。 </w:t>
      </w:r>
    </w:p>
    <w:p w14:paraId="6DDAF4FA">
      <w:pPr>
        <w:spacing w:line="400" w:lineRule="exact"/>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（10）</w:t>
      </w:r>
      <w:r>
        <w:rPr>
          <w:rFonts w:hint="eastAsia" w:ascii="宋体" w:hAnsi="宋体" w:eastAsia="宋体" w:cs="宋体"/>
          <w:bCs/>
          <w:color w:val="auto"/>
          <w:sz w:val="21"/>
          <w:szCs w:val="21"/>
          <w:u w:val="single"/>
        </w:rPr>
        <w:t>因施工问题涉及交通、公路等部门的，承包人有义务与发包人一起协调。</w:t>
      </w:r>
    </w:p>
    <w:p w14:paraId="57F9B10D">
      <w:pPr>
        <w:spacing w:line="400" w:lineRule="exact"/>
        <w:ind w:firstLine="420" w:firstLineChars="200"/>
        <w:rPr>
          <w:rFonts w:hint="eastAsia" w:ascii="宋体" w:hAnsi="宋体" w:eastAsia="宋体" w:cs="宋体"/>
          <w:bCs/>
          <w:color w:val="auto"/>
          <w:sz w:val="21"/>
          <w:szCs w:val="21"/>
          <w:u w:val="single"/>
        </w:rPr>
      </w:pPr>
      <w:r>
        <w:rPr>
          <w:rFonts w:hint="eastAsia" w:ascii="宋体" w:hAnsi="宋体" w:eastAsia="宋体" w:cs="宋体"/>
          <w:bCs/>
          <w:color w:val="auto"/>
          <w:sz w:val="21"/>
          <w:szCs w:val="21"/>
        </w:rPr>
        <w:t>（11）</w:t>
      </w:r>
      <w:r>
        <w:rPr>
          <w:rFonts w:hint="eastAsia" w:ascii="宋体" w:hAnsi="宋体" w:eastAsia="宋体" w:cs="宋体"/>
          <w:bCs/>
          <w:color w:val="auto"/>
          <w:sz w:val="21"/>
          <w:szCs w:val="21"/>
          <w:u w:val="single"/>
        </w:rPr>
        <w:t>合同当事人对文明施工的要求：安全防护、文明施工设施须按有关标准及制度执行。</w:t>
      </w:r>
    </w:p>
    <w:p w14:paraId="2C9297D3">
      <w:pPr>
        <w:pStyle w:val="5"/>
        <w:rPr>
          <w:rFonts w:hint="eastAsia" w:ascii="宋体" w:hAnsi="宋体" w:eastAsia="宋体" w:cs="宋体"/>
          <w:color w:val="auto"/>
          <w:sz w:val="21"/>
          <w:szCs w:val="21"/>
        </w:rPr>
      </w:pPr>
      <w:bookmarkStart w:id="171" w:name="_Toc1138"/>
      <w:r>
        <w:rPr>
          <w:rFonts w:hint="eastAsia" w:ascii="宋体" w:hAnsi="宋体" w:eastAsia="宋体" w:cs="宋体"/>
          <w:color w:val="auto"/>
          <w:sz w:val="21"/>
          <w:szCs w:val="21"/>
        </w:rPr>
        <w:t>3.2 项目经理</w:t>
      </w:r>
      <w:bookmarkEnd w:id="171"/>
    </w:p>
    <w:p w14:paraId="6D0ADEE2">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3.2.1 项目经理：</w:t>
      </w:r>
    </w:p>
    <w:p w14:paraId="173D6440">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姓    名：</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1AFEAE1D">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身份证号：</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14:paraId="4923D516">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建造师执业资格等级：</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14:paraId="2E92FA84">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建造师注册证书号：；</w:t>
      </w:r>
    </w:p>
    <w:p w14:paraId="30FF5400">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建造师执业印章号：</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14:paraId="0F048D8E">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安全生产考核合格证书号：</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14:paraId="7B8908B1">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联系电话：</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14:paraId="66346346">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电子信箱：</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14:paraId="034E6154">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通信地址：</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14:paraId="00015D19">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承包人对项目经理的授权范围如下：  </w:t>
      </w:r>
      <w:r>
        <w:rPr>
          <w:rFonts w:hint="eastAsia" w:ascii="宋体" w:hAnsi="宋体" w:eastAsia="宋体" w:cs="宋体"/>
          <w:color w:val="auto"/>
          <w:sz w:val="21"/>
          <w:szCs w:val="21"/>
          <w:u w:val="single"/>
        </w:rPr>
        <w:t xml:space="preserve">　项目经理仅限于对本工程的施工现场全面管理，包括质量、技术、安全、进度管理，与发包人、监理工程师有关工程联系单、函件往来的签收，但未经承包人盖章同意授权下不得以承包人名义向外采购材料设备、租用建筑周转材料、雇佣劳动力、签订分包合同等从事一切为承包人设立义务或责任的行为　　 </w:t>
      </w:r>
      <w:r>
        <w:rPr>
          <w:rFonts w:hint="eastAsia" w:ascii="宋体" w:hAnsi="宋体" w:eastAsia="宋体" w:cs="宋体"/>
          <w:color w:val="auto"/>
          <w:sz w:val="21"/>
          <w:szCs w:val="21"/>
        </w:rPr>
        <w:t>。</w:t>
      </w:r>
    </w:p>
    <w:p w14:paraId="74409578">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关于项目经理每月在施工现场的时间要求：</w:t>
      </w:r>
      <w:r>
        <w:rPr>
          <w:rFonts w:hint="eastAsia" w:ascii="宋体" w:hAnsi="宋体" w:eastAsia="宋体" w:cs="宋体"/>
          <w:color w:val="auto"/>
          <w:sz w:val="21"/>
          <w:szCs w:val="21"/>
          <w:u w:val="single"/>
        </w:rPr>
        <w:t xml:space="preserve">   　双方另行确定          　</w:t>
      </w:r>
      <w:r>
        <w:rPr>
          <w:rFonts w:hint="eastAsia" w:ascii="宋体" w:hAnsi="宋体" w:eastAsia="宋体" w:cs="宋体"/>
          <w:color w:val="auto"/>
          <w:sz w:val="21"/>
          <w:szCs w:val="21"/>
        </w:rPr>
        <w:t>。</w:t>
      </w:r>
    </w:p>
    <w:p w14:paraId="648C7AF5">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承包人未提交劳动合同，以及没有为项目经理缴纳社会保险证明的违约责任：</w:t>
      </w:r>
      <w:r>
        <w:rPr>
          <w:rFonts w:hint="eastAsia" w:ascii="宋体" w:hAnsi="宋体" w:eastAsia="宋体" w:cs="宋体"/>
          <w:color w:val="auto"/>
          <w:sz w:val="21"/>
          <w:szCs w:val="21"/>
          <w:u w:val="single"/>
        </w:rPr>
        <w:t xml:space="preserve">项目经理无权履行职责，发包人有权要求更换项目经理，由此增加的费用和（或）延误的工期由承包人承担，并按3.2.3条款处罚   </w:t>
      </w:r>
      <w:r>
        <w:rPr>
          <w:rFonts w:hint="eastAsia" w:ascii="宋体" w:hAnsi="宋体" w:eastAsia="宋体" w:cs="宋体"/>
          <w:color w:val="auto"/>
          <w:sz w:val="21"/>
          <w:szCs w:val="21"/>
        </w:rPr>
        <w:t>。</w:t>
      </w:r>
    </w:p>
    <w:p w14:paraId="4BA28BA8">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项目经理和安全员未经批准，擅自离开施工现场的违约责任：项目经理和安全员每月在岗带班时间不得少于22个工作日，并做好考勤记录，随时接受发包人的不定期检查。如发现项目经理和安全员违约或不在岗，发包人有权处违约金 3000元/日（人民币） ，从当月（季）进度款中扣除 。</w:t>
      </w:r>
      <w:r>
        <w:rPr>
          <w:rFonts w:hint="eastAsia" w:ascii="宋体" w:hAnsi="宋体" w:eastAsia="宋体" w:cs="宋体"/>
          <w:color w:val="auto"/>
          <w:sz w:val="21"/>
          <w:szCs w:val="21"/>
        </w:rPr>
        <w:t>。</w:t>
      </w:r>
    </w:p>
    <w:p w14:paraId="1D74212B">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3.2.3 承包人擅自更换项目经理的违约责任：</w:t>
      </w:r>
      <w:r>
        <w:rPr>
          <w:rFonts w:hint="eastAsia" w:ascii="宋体" w:hAnsi="宋体" w:eastAsia="宋体" w:cs="宋体"/>
          <w:color w:val="auto"/>
          <w:sz w:val="21"/>
          <w:szCs w:val="21"/>
          <w:u w:val="single"/>
        </w:rPr>
        <w:t>承包人项目经理必须与承包人投标时所承诺的人员一致，并在  （开工日期）  前到任。在监理人向承包人颁发（竣工证明材料名称）前，项目经理不得同时兼任其他任何项目的项目经理（符合桂建管﹝2013﹞17号和桂建管﹝2014﹞25号文除外）。未经发包人书面同意，承包人擅自更换项目经理的视为违约，违约金处 10万元/人•次（人民币）</w:t>
      </w:r>
      <w:r>
        <w:rPr>
          <w:rFonts w:hint="eastAsia" w:ascii="宋体" w:hAnsi="宋体" w:eastAsia="宋体" w:cs="宋体"/>
          <w:color w:val="auto"/>
          <w:sz w:val="21"/>
          <w:szCs w:val="21"/>
        </w:rPr>
        <w:t>。</w:t>
      </w:r>
    </w:p>
    <w:p w14:paraId="7C1D7BD2">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3.2.4 承包人无正当理由拒绝更换项目经理的违约责任：</w:t>
      </w:r>
      <w:r>
        <w:rPr>
          <w:rFonts w:hint="eastAsia" w:ascii="宋体" w:hAnsi="宋体" w:eastAsia="宋体" w:cs="宋体"/>
          <w:color w:val="auto"/>
          <w:sz w:val="21"/>
          <w:szCs w:val="21"/>
          <w:u w:val="single"/>
        </w:rPr>
        <w:t>因承包人项目经理不称职，发包人要求调换而未及时调换的，视为承包人违约，必须向发包人交纳处罚金 10万元/人•次（人民币）</w:t>
      </w:r>
      <w:r>
        <w:rPr>
          <w:rFonts w:hint="eastAsia" w:ascii="宋体" w:hAnsi="宋体" w:eastAsia="宋体" w:cs="宋体"/>
          <w:color w:val="auto"/>
          <w:sz w:val="21"/>
          <w:szCs w:val="21"/>
        </w:rPr>
        <w:t>。</w:t>
      </w:r>
    </w:p>
    <w:p w14:paraId="0ED95E66">
      <w:pPr>
        <w:pStyle w:val="5"/>
        <w:rPr>
          <w:rFonts w:hint="eastAsia" w:ascii="宋体" w:hAnsi="宋体" w:eastAsia="宋体" w:cs="宋体"/>
          <w:color w:val="auto"/>
          <w:sz w:val="21"/>
          <w:szCs w:val="21"/>
        </w:rPr>
      </w:pPr>
      <w:bookmarkStart w:id="172" w:name="_Toc31168"/>
      <w:r>
        <w:rPr>
          <w:rFonts w:hint="eastAsia" w:ascii="宋体" w:hAnsi="宋体" w:eastAsia="宋体" w:cs="宋体"/>
          <w:color w:val="auto"/>
          <w:sz w:val="21"/>
          <w:szCs w:val="21"/>
        </w:rPr>
        <w:t>3.3 承包人人员</w:t>
      </w:r>
      <w:bookmarkEnd w:id="172"/>
    </w:p>
    <w:p w14:paraId="2D2ABEF0">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3.3.1 承包人提交项目管理机构及施工现场管理人员安排报告（格式见合同附件3）的期限：</w:t>
      </w:r>
      <w:r>
        <w:rPr>
          <w:rFonts w:hint="eastAsia" w:ascii="宋体" w:hAnsi="宋体" w:eastAsia="宋体" w:cs="宋体"/>
          <w:color w:val="auto"/>
          <w:sz w:val="21"/>
          <w:szCs w:val="21"/>
          <w:u w:val="single"/>
        </w:rPr>
        <w:t xml:space="preserve">   在中标通知书发出之后三日 </w:t>
      </w:r>
      <w:r>
        <w:rPr>
          <w:rFonts w:hint="eastAsia" w:ascii="宋体" w:hAnsi="宋体" w:eastAsia="宋体" w:cs="宋体"/>
          <w:color w:val="auto"/>
          <w:sz w:val="21"/>
          <w:szCs w:val="21"/>
        </w:rPr>
        <w:t>。</w:t>
      </w:r>
    </w:p>
    <w:p w14:paraId="65F89878">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3.3.3 承包人无正当理由拒绝撤换主要施工管理人员的违约责任：</w:t>
      </w:r>
      <w:r>
        <w:rPr>
          <w:rFonts w:hint="eastAsia" w:ascii="宋体" w:hAnsi="宋体" w:eastAsia="宋体" w:cs="宋体"/>
          <w:color w:val="auto"/>
          <w:sz w:val="21"/>
          <w:szCs w:val="21"/>
          <w:u w:val="single"/>
        </w:rPr>
        <w:t>因承包人主要施工管理人员不称职，发包人要求调换而无正当理由拒绝撤换或未及时调换的，视为承包人违约，必须向发包人交纳处罚金，处罚标准：技术负责人 8万 元/人•次（人民币）；专业工程师 5万元/人•次（人民币）</w:t>
      </w:r>
      <w:r>
        <w:rPr>
          <w:rFonts w:hint="eastAsia" w:ascii="宋体" w:hAnsi="宋体" w:eastAsia="宋体" w:cs="宋体"/>
          <w:color w:val="auto"/>
          <w:sz w:val="21"/>
          <w:szCs w:val="21"/>
        </w:rPr>
        <w:t>。</w:t>
      </w:r>
    </w:p>
    <w:p w14:paraId="05D8B5CC">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3.3.4 承包人主要施工管理人员离开施工现场的批准要求：</w:t>
      </w:r>
      <w:r>
        <w:rPr>
          <w:rFonts w:hint="eastAsia" w:ascii="宋体" w:hAnsi="宋体" w:eastAsia="宋体" w:cs="宋体"/>
          <w:color w:val="auto"/>
          <w:sz w:val="21"/>
          <w:szCs w:val="21"/>
          <w:u w:val="single"/>
        </w:rPr>
        <w:t xml:space="preserve">   经业主代表批准   </w:t>
      </w:r>
      <w:r>
        <w:rPr>
          <w:rFonts w:hint="eastAsia" w:ascii="宋体" w:hAnsi="宋体" w:eastAsia="宋体" w:cs="宋体"/>
          <w:color w:val="auto"/>
          <w:sz w:val="21"/>
          <w:szCs w:val="21"/>
        </w:rPr>
        <w:t>。</w:t>
      </w:r>
    </w:p>
    <w:p w14:paraId="7A5F9001">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3.3.5 承包人擅自更换主要施工管理人员的违约责任：</w:t>
      </w:r>
      <w:r>
        <w:rPr>
          <w:rFonts w:hint="eastAsia" w:ascii="宋体" w:hAnsi="宋体" w:eastAsia="宋体" w:cs="宋体"/>
          <w:color w:val="auto"/>
          <w:sz w:val="21"/>
          <w:szCs w:val="21"/>
          <w:u w:val="single"/>
        </w:rPr>
        <w:t>项目技术负责人、专职安全员及其承诺的其它在场管理人员未经发包人书面同意不准擅自更换，擅自更换项目技术负责人处 8万元/人•次（人民币）违约金；擅自更换专职安全员处 5万元/人•次（人民币）违约金；擅自更换其它在场管理人员处 3万元/人•次（人民币）违约金</w:t>
      </w:r>
      <w:r>
        <w:rPr>
          <w:rFonts w:hint="eastAsia" w:ascii="宋体" w:hAnsi="宋体" w:eastAsia="宋体" w:cs="宋体"/>
          <w:color w:val="auto"/>
          <w:sz w:val="21"/>
          <w:szCs w:val="21"/>
        </w:rPr>
        <w:t>。</w:t>
      </w:r>
    </w:p>
    <w:p w14:paraId="19FB1539">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承包人主要施工管理人员擅自离开施工现场的违约责任：</w:t>
      </w:r>
      <w:r>
        <w:rPr>
          <w:rFonts w:hint="eastAsia" w:ascii="宋体" w:hAnsi="宋体" w:eastAsia="宋体" w:cs="宋体"/>
          <w:color w:val="auto"/>
          <w:sz w:val="21"/>
          <w:szCs w:val="21"/>
          <w:u w:val="single"/>
        </w:rPr>
        <w:t>未经发包人同意，项目技术负责人擅自离岗的，视为承包人违约，发包人有权处违约金 2000元/人•次（人民币）；未经发包人同意，专职安全员擅自离岗的，视为承包人违约，发包人有权处违约金 1000元/人•次（人民币）；其它在场管理人员擅自离岗的，视为承包人违约，发包人有权处违约金 800元/人•次（人民币）</w:t>
      </w:r>
      <w:r>
        <w:rPr>
          <w:rFonts w:hint="eastAsia" w:ascii="宋体" w:hAnsi="宋体" w:eastAsia="宋体" w:cs="宋体"/>
          <w:color w:val="auto"/>
          <w:sz w:val="21"/>
          <w:szCs w:val="21"/>
        </w:rPr>
        <w:t>。</w:t>
      </w:r>
    </w:p>
    <w:p w14:paraId="1810843F">
      <w:pPr>
        <w:pStyle w:val="5"/>
        <w:rPr>
          <w:rFonts w:hint="eastAsia" w:ascii="宋体" w:hAnsi="宋体" w:eastAsia="宋体" w:cs="宋体"/>
          <w:color w:val="auto"/>
          <w:sz w:val="21"/>
          <w:szCs w:val="21"/>
        </w:rPr>
      </w:pPr>
      <w:bookmarkStart w:id="173" w:name="_Toc3009"/>
      <w:r>
        <w:rPr>
          <w:rFonts w:hint="eastAsia" w:ascii="宋体" w:hAnsi="宋体" w:eastAsia="宋体" w:cs="宋体"/>
          <w:color w:val="auto"/>
          <w:sz w:val="21"/>
          <w:szCs w:val="21"/>
        </w:rPr>
        <w:t>3.5 分包</w:t>
      </w:r>
      <w:bookmarkEnd w:id="173"/>
    </w:p>
    <w:p w14:paraId="4A4A2250">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本项目不允许分包</w:t>
      </w:r>
    </w:p>
    <w:p w14:paraId="0559561E">
      <w:pPr>
        <w:pStyle w:val="5"/>
        <w:rPr>
          <w:rFonts w:hint="eastAsia" w:ascii="宋体" w:hAnsi="宋体" w:eastAsia="宋体" w:cs="宋体"/>
          <w:color w:val="auto"/>
          <w:sz w:val="21"/>
          <w:szCs w:val="21"/>
        </w:rPr>
      </w:pPr>
      <w:bookmarkStart w:id="174" w:name="_Toc11569"/>
      <w:r>
        <w:rPr>
          <w:rFonts w:hint="eastAsia" w:ascii="宋体" w:hAnsi="宋体" w:eastAsia="宋体" w:cs="宋体"/>
          <w:color w:val="auto"/>
          <w:sz w:val="21"/>
          <w:szCs w:val="21"/>
        </w:rPr>
        <w:t>3.6 工程照管与成品、半成品保护</w:t>
      </w:r>
      <w:bookmarkEnd w:id="174"/>
    </w:p>
    <w:p w14:paraId="4D2A1251">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承包人负责照管工程及工程相关的材料、工程设备的起始时间：</w:t>
      </w:r>
      <w:r>
        <w:rPr>
          <w:rFonts w:hint="eastAsia" w:ascii="宋体" w:hAnsi="宋体" w:eastAsia="宋体" w:cs="宋体"/>
          <w:color w:val="auto"/>
          <w:sz w:val="21"/>
          <w:szCs w:val="21"/>
          <w:u w:val="single"/>
        </w:rPr>
        <w:t xml:space="preserve"> 从开工之日起，承包人应全面负责照管本合同工程及将用于和安装在本合同工程中的材料、设备直到本合同工程竣工并达到约定的质量标准，验收移交招标人管理部门之日为止，并承担相关费用。  </w:t>
      </w:r>
      <w:r>
        <w:rPr>
          <w:rFonts w:hint="eastAsia" w:ascii="宋体" w:hAnsi="宋体" w:eastAsia="宋体" w:cs="宋体"/>
          <w:color w:val="auto"/>
          <w:sz w:val="21"/>
          <w:szCs w:val="21"/>
        </w:rPr>
        <w:t>。</w:t>
      </w:r>
    </w:p>
    <w:p w14:paraId="008CCABB">
      <w:pPr>
        <w:pStyle w:val="251"/>
        <w:spacing w:before="139"/>
        <w:rPr>
          <w:rFonts w:hint="eastAsia" w:ascii="宋体" w:hAnsi="宋体" w:eastAsia="宋体" w:cs="宋体"/>
          <w:color w:val="auto"/>
          <w:sz w:val="21"/>
          <w:szCs w:val="21"/>
        </w:rPr>
      </w:pPr>
      <w:r>
        <w:rPr>
          <w:rFonts w:hint="eastAsia" w:ascii="宋体" w:hAnsi="宋体" w:eastAsia="宋体" w:cs="宋体"/>
          <w:color w:val="auto"/>
          <w:sz w:val="21"/>
          <w:szCs w:val="21"/>
        </w:rPr>
        <w:t>3.7承包人提供履约担保的形式、金额及期限的：</w:t>
      </w:r>
      <w:r>
        <w:rPr>
          <w:rFonts w:hint="eastAsia" w:ascii="宋体" w:hAnsi="宋体" w:eastAsia="宋体" w:cs="宋体"/>
          <w:color w:val="auto"/>
          <w:sz w:val="21"/>
          <w:szCs w:val="21"/>
          <w:u w:val="single"/>
          <w:lang w:eastAsia="zh-CN"/>
        </w:rPr>
        <w:t>不收取</w:t>
      </w:r>
      <w:r>
        <w:rPr>
          <w:rFonts w:hint="eastAsia" w:ascii="宋体" w:hAnsi="宋体" w:eastAsia="宋体" w:cs="宋体"/>
          <w:color w:val="auto"/>
          <w:sz w:val="21"/>
          <w:szCs w:val="21"/>
          <w:u w:val="single"/>
        </w:rPr>
        <w:t>履约保证金；（注：免收中型、小型、微型企业履约保证金，同时不收取没有法律依据的质量保证金）履约担保的有效期应当自本合同生效之日起至发包人签认并由监理人向承包人出具 《建设工程质量竣工验收意见书》之日止。如果承包人无法获得一份不带具体截止日期的担保，履约担保中应当有“变更工程竣工日期的，保证期间按照变更后的竣工日期做相应调整”或类似约定的条款。</w:t>
      </w:r>
    </w:p>
    <w:p w14:paraId="1FD950DE">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工程竣工验收合格无异议并完成竣工资料移交手续后，承包人可向发包人申请退还履约保证金，发包人应在收到申请之日起28个日历天内,将履约金退还给承包人（无息）。如果中标人仍欠有农民工工资和材料款并由此造成怠工、停工等影响工程进度的，则发包人有权用履约金支付。</w:t>
      </w:r>
    </w:p>
    <w:p w14:paraId="25166363">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承包人在中标后7个工作日内，按</w:t>
      </w:r>
      <w:r>
        <w:rPr>
          <w:rFonts w:hint="eastAsia" w:ascii="宋体" w:hAnsi="宋体" w:cs="宋体"/>
          <w:color w:val="auto"/>
          <w:sz w:val="21"/>
          <w:szCs w:val="21"/>
          <w:u w:val="single"/>
          <w:lang w:val="en-US" w:eastAsia="zh-CN"/>
        </w:rPr>
        <w:t>龙州</w:t>
      </w:r>
      <w:r>
        <w:rPr>
          <w:rFonts w:hint="eastAsia" w:ascii="宋体" w:hAnsi="宋体" w:eastAsia="宋体" w:cs="宋体"/>
          <w:color w:val="auto"/>
          <w:sz w:val="21"/>
          <w:szCs w:val="21"/>
          <w:u w:val="single"/>
        </w:rPr>
        <w:t>县住房城乡建设行政主管部门规定将农民工工资保障金存入帐户。工程竣工验收结算经审定后，按照规定程序，将农民工工资保障金没有使用或剩余的金额退还给承包人。</w:t>
      </w:r>
    </w:p>
    <w:p w14:paraId="35767E41">
      <w:pPr>
        <w:pStyle w:val="18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承包人提供履约担保的形式、金额及期限的：</w:t>
      </w:r>
      <w:r>
        <w:rPr>
          <w:rFonts w:hint="eastAsia" w:ascii="宋体" w:hAnsi="宋体" w:eastAsia="宋体" w:cs="宋体"/>
          <w:color w:val="auto"/>
          <w:sz w:val="21"/>
          <w:szCs w:val="21"/>
          <w:u w:val="single"/>
        </w:rPr>
        <w:t>承包人在收到中标通知书后，须在30日内向发包人提交合同价款扣除建安劳保费、发包人材料价款、暂估专业工程、暂列金额后的</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的履约担保（格式见合同附件5）。</w:t>
      </w:r>
    </w:p>
    <w:p w14:paraId="11BAA03E">
      <w:pPr>
        <w:pStyle w:val="180"/>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工程主体验收合格并对验收发现的问题完成整改后的7个日历天内，发包人支付履约保证金的50%；工程竣工验收合格并对验收发现的问题完成整改后的7个日历天内，可向发包人申请退还剩余履约保证金，发包人应在收到申请之日起28个日历天内扣减承包人赔偿金和其他应从承包人扣回的款项后，将履约保证金的余额退还给承包人（无息）。</w:t>
      </w:r>
    </w:p>
    <w:p w14:paraId="4B6AADD7">
      <w:pPr>
        <w:pStyle w:val="180"/>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承包人在中标后7个工作日内，按</w:t>
      </w:r>
      <w:r>
        <w:rPr>
          <w:rFonts w:hint="eastAsia" w:ascii="宋体" w:hAnsi="宋体" w:cs="宋体"/>
          <w:color w:val="auto"/>
          <w:sz w:val="21"/>
          <w:szCs w:val="21"/>
          <w:u w:val="single"/>
          <w:lang w:val="en-US" w:eastAsia="zh-CN"/>
        </w:rPr>
        <w:t>龙州</w:t>
      </w:r>
      <w:r>
        <w:rPr>
          <w:rFonts w:hint="eastAsia" w:ascii="宋体" w:hAnsi="宋体" w:eastAsia="宋体" w:cs="宋体"/>
          <w:color w:val="auto"/>
          <w:sz w:val="21"/>
          <w:szCs w:val="21"/>
          <w:u w:val="single"/>
        </w:rPr>
        <w:t>县（各市住房城乡建设行政主管部门规定）规定将农民工工资保障金存入指定银行帐户。工程竣工验收结算经审定后，按照规定程序，将农民工工资保障金没有使用或剩余的金额退还给承包人。</w:t>
      </w:r>
    </w:p>
    <w:p w14:paraId="65023FF2">
      <w:pPr>
        <w:pStyle w:val="180"/>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低价风险保证金在工程竣工验收合格之日起7个日历天内，发包人一次性退还给承包人（无息）。</w:t>
      </w:r>
    </w:p>
    <w:p w14:paraId="34A75B2A">
      <w:pPr>
        <w:spacing w:line="360" w:lineRule="auto"/>
        <w:ind w:firstLine="420" w:firstLineChars="200"/>
        <w:rPr>
          <w:rFonts w:hint="eastAsia" w:ascii="宋体" w:hAnsi="宋体" w:eastAsia="宋体" w:cs="宋体"/>
          <w:color w:val="auto"/>
          <w:sz w:val="21"/>
          <w:szCs w:val="21"/>
          <w:u w:val="single"/>
        </w:rPr>
      </w:pPr>
    </w:p>
    <w:p w14:paraId="2D1789DC">
      <w:pPr>
        <w:pStyle w:val="4"/>
        <w:rPr>
          <w:rFonts w:hint="eastAsia" w:ascii="宋体" w:hAnsi="宋体" w:eastAsia="宋体" w:cs="宋体"/>
          <w:color w:val="auto"/>
          <w:sz w:val="21"/>
          <w:szCs w:val="21"/>
        </w:rPr>
      </w:pPr>
      <w:bookmarkStart w:id="175" w:name="_Toc31479"/>
      <w:r>
        <w:rPr>
          <w:rFonts w:hint="eastAsia" w:ascii="宋体" w:hAnsi="宋体" w:eastAsia="宋体" w:cs="宋体"/>
          <w:color w:val="auto"/>
          <w:sz w:val="21"/>
          <w:szCs w:val="21"/>
        </w:rPr>
        <w:t>4. 监理人</w:t>
      </w:r>
      <w:bookmarkEnd w:id="175"/>
    </w:p>
    <w:p w14:paraId="2C11D563">
      <w:pPr>
        <w:pStyle w:val="5"/>
        <w:rPr>
          <w:rFonts w:hint="eastAsia" w:ascii="宋体" w:hAnsi="宋体" w:eastAsia="宋体" w:cs="宋体"/>
          <w:color w:val="auto"/>
          <w:sz w:val="21"/>
          <w:szCs w:val="21"/>
        </w:rPr>
      </w:pPr>
      <w:bookmarkStart w:id="176" w:name="_Toc4626"/>
      <w:r>
        <w:rPr>
          <w:rFonts w:hint="eastAsia" w:ascii="宋体" w:hAnsi="宋体" w:eastAsia="宋体" w:cs="宋体"/>
          <w:color w:val="auto"/>
          <w:sz w:val="21"/>
          <w:szCs w:val="21"/>
        </w:rPr>
        <w:t>4.1 监理人的一般规定</w:t>
      </w:r>
      <w:bookmarkEnd w:id="176"/>
    </w:p>
    <w:p w14:paraId="210B52C0">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关于监理人的监理内容：</w:t>
      </w:r>
      <w:r>
        <w:rPr>
          <w:rFonts w:hint="eastAsia" w:ascii="宋体" w:hAnsi="宋体" w:eastAsia="宋体" w:cs="宋体"/>
          <w:color w:val="auto"/>
          <w:sz w:val="21"/>
          <w:szCs w:val="21"/>
          <w:u w:val="single"/>
        </w:rPr>
        <w:t xml:space="preserve"> 质量、进度、投资三控制、合同、信息两管理、安全文明施工管理、工程建设各相关方的关系协调 </w:t>
      </w:r>
      <w:r>
        <w:rPr>
          <w:rFonts w:hint="eastAsia" w:ascii="宋体" w:hAnsi="宋体" w:eastAsia="宋体" w:cs="宋体"/>
          <w:color w:val="auto"/>
          <w:sz w:val="21"/>
          <w:szCs w:val="21"/>
        </w:rPr>
        <w:t>。</w:t>
      </w:r>
    </w:p>
    <w:p w14:paraId="63390793">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关于监理人的监理权限：</w:t>
      </w:r>
      <w:r>
        <w:rPr>
          <w:rFonts w:hint="eastAsia" w:ascii="宋体" w:hAnsi="宋体" w:eastAsia="宋体" w:cs="宋体"/>
          <w:color w:val="auto"/>
          <w:sz w:val="21"/>
          <w:szCs w:val="21"/>
          <w:u w:val="single"/>
        </w:rPr>
        <w:t xml:space="preserve"> 1、在发出有关能引起工程费用实际增加（减少）或延长工期的指令前，应得到发包人的书面批准。2、监理工程师在向承包人发出有关技术规范的重大变更或有关变更合同条款的任何指令前均应获得发包人书面批准。3、工程实际竣工日期提前或超过工程承包合同规定的竣工期限的签认之前应得到发包人的书面批准。4、工程内容和材料变更签证单监理只有证明权，无确认权  </w:t>
      </w:r>
      <w:r>
        <w:rPr>
          <w:rFonts w:hint="eastAsia" w:ascii="宋体" w:hAnsi="宋体" w:eastAsia="宋体" w:cs="宋体"/>
          <w:color w:val="auto"/>
          <w:sz w:val="21"/>
          <w:szCs w:val="21"/>
        </w:rPr>
        <w:t xml:space="preserve">。 </w:t>
      </w:r>
    </w:p>
    <w:p w14:paraId="24237B83">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关于监理人在施工现场的办公场所、生活场所的提供和费用承担的约定：</w:t>
      </w:r>
    </w:p>
    <w:p w14:paraId="7268125D">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u w:val="single"/>
        </w:rPr>
        <w:t xml:space="preserve">       由承包人提供，监理人无偿使用         </w:t>
      </w:r>
      <w:r>
        <w:rPr>
          <w:rFonts w:hint="eastAsia" w:ascii="宋体" w:hAnsi="宋体" w:eastAsia="宋体" w:cs="宋体"/>
          <w:color w:val="auto"/>
          <w:sz w:val="21"/>
          <w:szCs w:val="21"/>
        </w:rPr>
        <w:t>。</w:t>
      </w:r>
    </w:p>
    <w:p w14:paraId="16D8FA7B">
      <w:pPr>
        <w:pStyle w:val="5"/>
        <w:rPr>
          <w:rFonts w:hint="eastAsia" w:ascii="宋体" w:hAnsi="宋体" w:eastAsia="宋体" w:cs="宋体"/>
          <w:color w:val="auto"/>
          <w:sz w:val="21"/>
          <w:szCs w:val="21"/>
        </w:rPr>
      </w:pPr>
      <w:bookmarkStart w:id="177" w:name="_Toc18279"/>
      <w:r>
        <w:rPr>
          <w:rFonts w:hint="eastAsia" w:ascii="宋体" w:hAnsi="宋体" w:eastAsia="宋体" w:cs="宋体"/>
          <w:color w:val="auto"/>
          <w:sz w:val="21"/>
          <w:szCs w:val="21"/>
        </w:rPr>
        <w:t>4.2 监理人员</w:t>
      </w:r>
      <w:bookmarkEnd w:id="177"/>
    </w:p>
    <w:p w14:paraId="063365B0">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总监理工程师：</w:t>
      </w:r>
    </w:p>
    <w:p w14:paraId="6D55C26B">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姓    名：</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14:paraId="6D1EBB95">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职    务：</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14:paraId="0FD34050">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监理工程师执业资格证书号：</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14:paraId="1FD7C533">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广西建筑市场诚信卡卡号：；</w:t>
      </w:r>
    </w:p>
    <w:p w14:paraId="055AB7AF">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联系电话：</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14:paraId="28445094">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电子信箱：</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14:paraId="2BB39ED1">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通信地址：；</w:t>
      </w:r>
    </w:p>
    <w:p w14:paraId="537460F4">
      <w:pPr>
        <w:pStyle w:val="5"/>
        <w:rPr>
          <w:rFonts w:hint="eastAsia" w:ascii="宋体" w:hAnsi="宋体" w:eastAsia="宋体" w:cs="宋体"/>
          <w:color w:val="auto"/>
          <w:sz w:val="21"/>
          <w:szCs w:val="21"/>
        </w:rPr>
      </w:pPr>
      <w:bookmarkStart w:id="178" w:name="_Toc937"/>
      <w:r>
        <w:rPr>
          <w:rFonts w:hint="eastAsia" w:ascii="宋体" w:hAnsi="宋体" w:eastAsia="宋体" w:cs="宋体"/>
          <w:color w:val="auto"/>
          <w:sz w:val="21"/>
          <w:szCs w:val="21"/>
        </w:rPr>
        <w:t>4.4 商定或确定</w:t>
      </w:r>
      <w:bookmarkEnd w:id="178"/>
    </w:p>
    <w:p w14:paraId="6D5DEF72">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在发包人和承包人不能通过协商达成一致意见时，发包人授权监理人对以下事项进行确定：</w:t>
      </w:r>
    </w:p>
    <w:p w14:paraId="42427C6D">
      <w:pPr>
        <w:adjustRightIn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14:paraId="7D790719">
      <w:pPr>
        <w:adjustRightIn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14:paraId="75ADA571">
      <w:pPr>
        <w:adjustRightIn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14:paraId="45EF47C7">
      <w:pPr>
        <w:pStyle w:val="4"/>
        <w:rPr>
          <w:rFonts w:hint="eastAsia" w:ascii="宋体" w:hAnsi="宋体" w:eastAsia="宋体" w:cs="宋体"/>
          <w:color w:val="auto"/>
          <w:sz w:val="21"/>
          <w:szCs w:val="21"/>
        </w:rPr>
      </w:pPr>
      <w:bookmarkStart w:id="179" w:name="_Toc5521"/>
      <w:r>
        <w:rPr>
          <w:rFonts w:hint="eastAsia" w:ascii="宋体" w:hAnsi="宋体" w:eastAsia="宋体" w:cs="宋体"/>
          <w:color w:val="auto"/>
          <w:sz w:val="21"/>
          <w:szCs w:val="21"/>
        </w:rPr>
        <w:t>5. 工程质量</w:t>
      </w:r>
      <w:bookmarkEnd w:id="179"/>
    </w:p>
    <w:p w14:paraId="7FA6F9FF">
      <w:pPr>
        <w:pStyle w:val="5"/>
        <w:rPr>
          <w:rFonts w:hint="eastAsia" w:ascii="宋体" w:hAnsi="宋体" w:eastAsia="宋体" w:cs="宋体"/>
          <w:color w:val="auto"/>
          <w:sz w:val="21"/>
          <w:szCs w:val="21"/>
        </w:rPr>
      </w:pPr>
      <w:bookmarkStart w:id="180" w:name="_Toc14715"/>
      <w:r>
        <w:rPr>
          <w:rFonts w:hint="eastAsia" w:ascii="宋体" w:hAnsi="宋体" w:eastAsia="宋体" w:cs="宋体"/>
          <w:color w:val="auto"/>
          <w:sz w:val="21"/>
          <w:szCs w:val="21"/>
        </w:rPr>
        <w:t>5.1 质量要求</w:t>
      </w:r>
      <w:bookmarkEnd w:id="180"/>
    </w:p>
    <w:p w14:paraId="121831D1">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5.1.1 特殊质量标准和要求：</w:t>
      </w:r>
      <w:r>
        <w:rPr>
          <w:rFonts w:hint="eastAsia" w:ascii="宋体" w:hAnsi="宋体" w:eastAsia="宋体" w:cs="宋体"/>
          <w:color w:val="auto"/>
          <w:sz w:val="21"/>
          <w:szCs w:val="21"/>
          <w:u w:val="single"/>
        </w:rPr>
        <w:t>按本合同《通用条款》相关条款规定执行</w:t>
      </w:r>
      <w:r>
        <w:rPr>
          <w:rFonts w:hint="eastAsia" w:ascii="宋体" w:hAnsi="宋体" w:eastAsia="宋体" w:cs="宋体"/>
          <w:color w:val="auto"/>
          <w:sz w:val="21"/>
          <w:szCs w:val="21"/>
        </w:rPr>
        <w:t>。</w:t>
      </w:r>
    </w:p>
    <w:p w14:paraId="733F7A10">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关于工程奖项的约定：</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14:paraId="12C975B0">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5.3 隐蔽工程检查</w:t>
      </w:r>
    </w:p>
    <w:p w14:paraId="18891EC0">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5.3.2承包人提前通知监理人隐蔽工程检查的期限的约定：</w:t>
      </w:r>
      <w:r>
        <w:rPr>
          <w:rFonts w:hint="eastAsia" w:ascii="宋体" w:hAnsi="宋体" w:eastAsia="宋体" w:cs="宋体"/>
          <w:bCs/>
          <w:color w:val="auto"/>
          <w:sz w:val="21"/>
          <w:szCs w:val="21"/>
        </w:rPr>
        <w:t>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50146E0E">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监理人不能按时进行检查时，应提前</w:t>
      </w:r>
      <w:r>
        <w:rPr>
          <w:rFonts w:hint="eastAsia" w:ascii="宋体" w:hAnsi="宋体" w:eastAsia="宋体" w:cs="宋体"/>
          <w:color w:val="auto"/>
          <w:sz w:val="21"/>
          <w:szCs w:val="21"/>
          <w:u w:val="single"/>
        </w:rPr>
        <w:t xml:space="preserve">    6   </w:t>
      </w:r>
      <w:r>
        <w:rPr>
          <w:rFonts w:hint="eastAsia" w:ascii="宋体" w:hAnsi="宋体" w:eastAsia="宋体" w:cs="宋体"/>
          <w:color w:val="auto"/>
          <w:sz w:val="21"/>
          <w:szCs w:val="21"/>
        </w:rPr>
        <w:t>小时提交书面延期要求。</w:t>
      </w:r>
    </w:p>
    <w:p w14:paraId="0F19242F">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关于延期最长不得超过：</w:t>
      </w:r>
      <w:r>
        <w:rPr>
          <w:rFonts w:hint="eastAsia" w:ascii="宋体" w:hAnsi="宋体" w:eastAsia="宋体" w:cs="宋体"/>
          <w:color w:val="auto"/>
          <w:sz w:val="21"/>
          <w:szCs w:val="21"/>
          <w:u w:val="single"/>
        </w:rPr>
        <w:t xml:space="preserve">    12     </w:t>
      </w:r>
      <w:r>
        <w:rPr>
          <w:rFonts w:hint="eastAsia" w:ascii="宋体" w:hAnsi="宋体" w:eastAsia="宋体" w:cs="宋体"/>
          <w:color w:val="auto"/>
          <w:sz w:val="21"/>
          <w:szCs w:val="21"/>
        </w:rPr>
        <w:t>小时。</w:t>
      </w:r>
    </w:p>
    <w:p w14:paraId="70BC6A6D">
      <w:pPr>
        <w:pStyle w:val="4"/>
        <w:rPr>
          <w:rFonts w:hint="eastAsia" w:ascii="宋体" w:hAnsi="宋体" w:eastAsia="宋体" w:cs="宋体"/>
          <w:color w:val="auto"/>
          <w:sz w:val="21"/>
          <w:szCs w:val="21"/>
        </w:rPr>
      </w:pPr>
      <w:bookmarkStart w:id="181" w:name="_Toc30666"/>
      <w:r>
        <w:rPr>
          <w:rFonts w:hint="eastAsia" w:ascii="宋体" w:hAnsi="宋体" w:eastAsia="宋体" w:cs="宋体"/>
          <w:color w:val="auto"/>
          <w:sz w:val="21"/>
          <w:szCs w:val="21"/>
        </w:rPr>
        <w:t>6. 安全文明施工与环境保护</w:t>
      </w:r>
      <w:bookmarkEnd w:id="181"/>
    </w:p>
    <w:p w14:paraId="2349E7BB">
      <w:pPr>
        <w:pStyle w:val="5"/>
        <w:rPr>
          <w:rFonts w:hint="eastAsia" w:ascii="宋体" w:hAnsi="宋体" w:eastAsia="宋体" w:cs="宋体"/>
          <w:color w:val="auto"/>
          <w:sz w:val="21"/>
          <w:szCs w:val="21"/>
        </w:rPr>
      </w:pPr>
      <w:bookmarkStart w:id="182" w:name="_Toc23015"/>
      <w:r>
        <w:rPr>
          <w:rFonts w:hint="eastAsia" w:ascii="宋体" w:hAnsi="宋体" w:eastAsia="宋体" w:cs="宋体"/>
          <w:color w:val="auto"/>
          <w:sz w:val="21"/>
          <w:szCs w:val="21"/>
        </w:rPr>
        <w:t>6.1 安全文明施工</w:t>
      </w:r>
      <w:bookmarkEnd w:id="182"/>
    </w:p>
    <w:p w14:paraId="3ADA6E52">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6.1.1 项目安全生产的达标目标及相应事项的约定：</w:t>
      </w:r>
      <w:r>
        <w:rPr>
          <w:rFonts w:hint="eastAsia" w:ascii="宋体" w:hAnsi="宋体" w:eastAsia="宋体" w:cs="宋体"/>
          <w:color w:val="auto"/>
          <w:sz w:val="21"/>
          <w:szCs w:val="21"/>
          <w:u w:val="single"/>
        </w:rPr>
        <w:t xml:space="preserve">  要求达到《建筑施工安全检查标准》（JGJ59-2011）的标准和符合《广西壮族自治区建筑工程安全防护、文明施工措施费及使用管理细则》（桂建质〔2015〕16号文）的要求</w:t>
      </w:r>
      <w:r>
        <w:rPr>
          <w:rFonts w:hint="eastAsia" w:ascii="宋体" w:hAnsi="宋体" w:eastAsia="宋体" w:cs="宋体"/>
          <w:color w:val="auto"/>
          <w:sz w:val="21"/>
          <w:szCs w:val="21"/>
        </w:rPr>
        <w:t>。</w:t>
      </w:r>
    </w:p>
    <w:p w14:paraId="1FEA339E">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关于安全文明施工奖项的约定：</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14:paraId="4CA63D8C">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6.1.4 关于治安保卫的特别约定：</w:t>
      </w:r>
      <w:r>
        <w:rPr>
          <w:rFonts w:hint="eastAsia" w:ascii="宋体" w:hAnsi="宋体" w:eastAsia="宋体" w:cs="宋体"/>
          <w:color w:val="auto"/>
          <w:sz w:val="21"/>
          <w:szCs w:val="21"/>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0D537E78">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关于编制施工场地治安管理计划的约定：</w:t>
      </w:r>
      <w:r>
        <w:rPr>
          <w:rFonts w:hint="eastAsia" w:ascii="宋体" w:hAnsi="宋体" w:eastAsia="宋体" w:cs="宋体"/>
          <w:color w:val="auto"/>
          <w:sz w:val="21"/>
          <w:szCs w:val="21"/>
          <w:u w:val="single"/>
        </w:rPr>
        <w:t>承包人开工前三天提供施工场地治安管理计划</w:t>
      </w:r>
      <w:r>
        <w:rPr>
          <w:rFonts w:hint="eastAsia" w:ascii="宋体" w:hAnsi="宋体" w:eastAsia="宋体" w:cs="宋体"/>
          <w:color w:val="auto"/>
          <w:sz w:val="21"/>
          <w:szCs w:val="21"/>
        </w:rPr>
        <w:t>。</w:t>
      </w:r>
    </w:p>
    <w:p w14:paraId="79EB5500">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6.1.5 文明施工</w:t>
      </w:r>
    </w:p>
    <w:p w14:paraId="2B9C03B3">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合同当事人对文明施工的要求：</w:t>
      </w:r>
      <w:r>
        <w:rPr>
          <w:rFonts w:hint="eastAsia" w:ascii="宋体" w:hAnsi="宋体" w:eastAsia="宋体" w:cs="宋体"/>
          <w:bCs/>
          <w:color w:val="auto"/>
          <w:sz w:val="21"/>
          <w:szCs w:val="21"/>
          <w:u w:val="single"/>
        </w:rPr>
        <w:t>安全防护、文明施工设施须按有关标准及制度执行。</w:t>
      </w:r>
      <w:r>
        <w:rPr>
          <w:rFonts w:hint="eastAsia" w:ascii="宋体" w:hAnsi="宋体" w:eastAsia="宋体" w:cs="宋体"/>
          <w:color w:val="auto"/>
          <w:sz w:val="21"/>
          <w:szCs w:val="21"/>
        </w:rPr>
        <w:t>。</w:t>
      </w:r>
    </w:p>
    <w:p w14:paraId="7CA187F5">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6.1.6 关于安全文明施工费支付比例和支付期限的约定：</w:t>
      </w:r>
    </w:p>
    <w:p w14:paraId="260F3D1E">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6.1.6</w:t>
      </w:r>
      <w:r>
        <w:rPr>
          <w:rFonts w:hint="eastAsia" w:ascii="宋体" w:hAnsi="宋体" w:eastAsia="宋体" w:cs="宋体"/>
          <w:color w:val="auto"/>
          <w:kern w:val="0"/>
          <w:sz w:val="21"/>
          <w:szCs w:val="21"/>
        </w:rPr>
        <w:t>关于安全生产费总额、支付比例、支付期限、转入和结余收回的约定：</w:t>
      </w:r>
    </w:p>
    <w:p w14:paraId="114951DE">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（1）本合同价款已包含安全文明施工费</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元。</w:t>
      </w:r>
    </w:p>
    <w:p w14:paraId="379667B2">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（2）使用要求：专款专用。具体按</w:t>
      </w:r>
      <w:r>
        <w:rPr>
          <w:rFonts w:hint="eastAsia" w:ascii="宋体" w:hAnsi="宋体" w:eastAsia="宋体" w:cs="宋体"/>
          <w:color w:val="auto"/>
          <w:kern w:val="0"/>
          <w:sz w:val="21"/>
          <w:szCs w:val="21"/>
          <w:u w:val="single"/>
        </w:rPr>
        <w:t>《广西壮族自治区建设工程安全文明施工费使用管理细则》（桂建质〔2015〕16号）</w:t>
      </w:r>
      <w:r>
        <w:rPr>
          <w:rFonts w:hint="eastAsia" w:ascii="宋体" w:hAnsi="宋体" w:eastAsia="宋体" w:cs="宋体"/>
          <w:color w:val="auto"/>
          <w:kern w:val="0"/>
          <w:sz w:val="21"/>
          <w:szCs w:val="21"/>
        </w:rPr>
        <w:t>和</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市相关规定执行。</w:t>
      </w:r>
    </w:p>
    <w:p w14:paraId="670FF143">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（3）支付约定：在本合同签订后    个工作日内，预付安全文明施工费总额的   %，其余部分与进度款同期支付，安全文明施工费预付款在工程进度款累计金额超过合同价的   %时开始起扣，每月从支付给承包商的工程款内按安全文明预付款占合同总价的同一百分比扣回。</w:t>
      </w:r>
    </w:p>
    <w:p w14:paraId="5BEF18A8">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（4）建设单位按规定将安全生产费用转入施工单位设立的安全生产费用专户。</w:t>
      </w:r>
    </w:p>
    <w:p w14:paraId="21C01933">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（5）工程施工完成后安全生产费用尚有结余的，结余部分由建设单位收回。</w:t>
      </w:r>
    </w:p>
    <w:p w14:paraId="3BCED52E">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（6）施工单位将安全生产费用使用情况定期报告建设单位和监理单位，并提供相应的材料接受建设行政主管部门对此事项监管。</w:t>
      </w:r>
    </w:p>
    <w:p w14:paraId="765F7C91">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（7）安全生产费用专户：××××公司安全生产费用专户。账号： </w:t>
      </w:r>
    </w:p>
    <w:p w14:paraId="581F50F4">
      <w:pPr>
        <w:adjustRightInd w:val="0"/>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（1）本合同价款已包含安全文明施工费元。</w:t>
      </w:r>
    </w:p>
    <w:p w14:paraId="18206873">
      <w:pPr>
        <w:adjustRightIn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（2）使用要求：专款专用。具体按《广西壮族自治区建筑工程安全防护、文明施工措施费及管理细则》（桂建质〔2015〕16号）和</w:t>
      </w:r>
      <w:r>
        <w:rPr>
          <w:rFonts w:hint="eastAsia" w:ascii="宋体" w:hAnsi="宋体" w:cs="宋体"/>
          <w:color w:val="auto"/>
          <w:sz w:val="21"/>
          <w:szCs w:val="21"/>
          <w:u w:val="single"/>
          <w:lang w:val="en-US" w:eastAsia="zh-CN"/>
        </w:rPr>
        <w:t>龙州</w:t>
      </w:r>
      <w:r>
        <w:rPr>
          <w:rFonts w:hint="eastAsia" w:ascii="宋体" w:hAnsi="宋体" w:eastAsia="宋体" w:cs="宋体"/>
          <w:color w:val="auto"/>
          <w:sz w:val="21"/>
          <w:szCs w:val="21"/>
          <w:u w:val="single"/>
        </w:rPr>
        <w:t>县</w:t>
      </w:r>
      <w:r>
        <w:rPr>
          <w:rFonts w:hint="eastAsia" w:ascii="宋体" w:hAnsi="宋体" w:eastAsia="宋体" w:cs="宋体"/>
          <w:color w:val="auto"/>
          <w:sz w:val="21"/>
          <w:szCs w:val="21"/>
        </w:rPr>
        <w:t>相关规定执行。</w:t>
      </w:r>
    </w:p>
    <w:p w14:paraId="588DA6FA">
      <w:pPr>
        <w:adjustRightIn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（3）支付约定</w:t>
      </w:r>
      <w:r>
        <w:rPr>
          <w:rFonts w:hint="eastAsia" w:ascii="宋体" w:hAnsi="宋体" w:eastAsia="宋体" w:cs="宋体"/>
          <w:color w:val="auto"/>
          <w:sz w:val="21"/>
          <w:szCs w:val="21"/>
          <w:u w:val="single"/>
        </w:rPr>
        <w:t>：</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w:t>
      </w:r>
    </w:p>
    <w:p w14:paraId="59C949D6">
      <w:pPr>
        <w:pStyle w:val="5"/>
        <w:rPr>
          <w:rFonts w:hint="eastAsia" w:ascii="宋体" w:hAnsi="宋体" w:eastAsia="宋体" w:cs="宋体"/>
          <w:color w:val="auto"/>
          <w:sz w:val="21"/>
          <w:szCs w:val="21"/>
        </w:rPr>
      </w:pPr>
      <w:bookmarkStart w:id="183" w:name="_Toc19173"/>
      <w:r>
        <w:rPr>
          <w:rFonts w:hint="eastAsia" w:ascii="宋体" w:hAnsi="宋体" w:eastAsia="宋体" w:cs="宋体"/>
          <w:color w:val="auto"/>
          <w:sz w:val="21"/>
          <w:szCs w:val="21"/>
        </w:rPr>
        <w:t>6.3 环境保护</w:t>
      </w:r>
      <w:bookmarkEnd w:id="183"/>
    </w:p>
    <w:p w14:paraId="3E25DF87">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因施工需要，经发包人批准，由承包人办理有关施工场地交通、环卫和施工噪音管理等手续，费用由承包人负责。</w:t>
      </w:r>
    </w:p>
    <w:p w14:paraId="24E0489C">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经过城市道路的施工车辆，必须按交警、城管、运输等部门相关规定执行。由于施工车辆造成的道路、环境等污染，其责任和费用均由承包人承担。</w:t>
      </w:r>
    </w:p>
    <w:p w14:paraId="6DA4519C">
      <w:pPr>
        <w:pStyle w:val="4"/>
        <w:rPr>
          <w:rFonts w:hint="eastAsia" w:ascii="宋体" w:hAnsi="宋体" w:eastAsia="宋体" w:cs="宋体"/>
          <w:color w:val="auto"/>
          <w:sz w:val="21"/>
          <w:szCs w:val="21"/>
        </w:rPr>
      </w:pPr>
      <w:bookmarkStart w:id="184" w:name="_Toc9883"/>
      <w:r>
        <w:rPr>
          <w:rFonts w:hint="eastAsia" w:ascii="宋体" w:hAnsi="宋体" w:eastAsia="宋体" w:cs="宋体"/>
          <w:color w:val="auto"/>
          <w:sz w:val="21"/>
          <w:szCs w:val="21"/>
        </w:rPr>
        <w:t>7. 工期和进度</w:t>
      </w:r>
      <w:bookmarkEnd w:id="184"/>
    </w:p>
    <w:p w14:paraId="60624EA2">
      <w:pPr>
        <w:pStyle w:val="5"/>
        <w:rPr>
          <w:rFonts w:hint="eastAsia" w:ascii="宋体" w:hAnsi="宋体" w:eastAsia="宋体" w:cs="宋体"/>
          <w:color w:val="auto"/>
          <w:sz w:val="21"/>
          <w:szCs w:val="21"/>
        </w:rPr>
      </w:pPr>
      <w:bookmarkStart w:id="185" w:name="_Toc26971"/>
      <w:r>
        <w:rPr>
          <w:rFonts w:hint="eastAsia" w:ascii="宋体" w:hAnsi="宋体" w:eastAsia="宋体" w:cs="宋体"/>
          <w:color w:val="auto"/>
          <w:sz w:val="21"/>
          <w:szCs w:val="21"/>
        </w:rPr>
        <w:t>7.1 施工组织设计</w:t>
      </w:r>
      <w:bookmarkEnd w:id="185"/>
    </w:p>
    <w:p w14:paraId="3EFDE40B">
      <w:pPr>
        <w:adjustRightInd w:val="0"/>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7.1.1 合同当事人约定的施工组织设计应包括的其他内容：</w:t>
      </w:r>
      <w:r>
        <w:rPr>
          <w:rFonts w:hint="eastAsia" w:ascii="宋体" w:hAnsi="宋体" w:eastAsia="宋体" w:cs="宋体"/>
          <w:color w:val="auto"/>
          <w:sz w:val="21"/>
          <w:szCs w:val="21"/>
          <w:u w:val="single"/>
        </w:rPr>
        <w:t>按本合同《通用条款》相关规定执行</w:t>
      </w:r>
      <w:r>
        <w:rPr>
          <w:rFonts w:hint="eastAsia" w:ascii="宋体" w:hAnsi="宋体" w:eastAsia="宋体" w:cs="宋体"/>
          <w:color w:val="auto"/>
          <w:sz w:val="21"/>
          <w:szCs w:val="21"/>
        </w:rPr>
        <w:t>。</w:t>
      </w:r>
    </w:p>
    <w:p w14:paraId="76A9DB0C">
      <w:pPr>
        <w:adjustRightIn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7.1.2 施工组织设计的提交和修改</w:t>
      </w:r>
    </w:p>
    <w:p w14:paraId="5B63423D">
      <w:pPr>
        <w:adjustRightInd w:val="0"/>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承包人提交详细施工组织设计的期限的约定：</w:t>
      </w:r>
      <w:r>
        <w:rPr>
          <w:rFonts w:hint="eastAsia" w:ascii="宋体" w:hAnsi="宋体" w:eastAsia="宋体" w:cs="宋体"/>
          <w:color w:val="auto"/>
          <w:sz w:val="21"/>
          <w:szCs w:val="21"/>
          <w:u w:val="single"/>
        </w:rPr>
        <w:t xml:space="preserve">  承包人在收到中标通知书与发包人签订合同后 7 天内提交详细的施工组织设计和进度计划  </w:t>
      </w:r>
      <w:r>
        <w:rPr>
          <w:rFonts w:hint="eastAsia" w:ascii="宋体" w:hAnsi="宋体" w:eastAsia="宋体" w:cs="宋体"/>
          <w:color w:val="auto"/>
          <w:sz w:val="21"/>
          <w:szCs w:val="21"/>
        </w:rPr>
        <w:t>。</w:t>
      </w:r>
    </w:p>
    <w:p w14:paraId="6F9F0225">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发包人和监理人在收到详细的施工组织设计后确认或提出修改意见的期限：</w:t>
      </w:r>
      <w:r>
        <w:rPr>
          <w:rFonts w:hint="eastAsia" w:ascii="宋体" w:hAnsi="宋体" w:eastAsia="宋体" w:cs="宋体"/>
          <w:color w:val="auto"/>
          <w:sz w:val="21"/>
          <w:szCs w:val="21"/>
          <w:u w:val="single"/>
        </w:rPr>
        <w:t xml:space="preserve"> 如有重大异议则应在3日内以书面形式送达承包人。监理工程师和发包人如在7日内未提供出异议的，自第8日开始视为同意 </w:t>
      </w:r>
      <w:r>
        <w:rPr>
          <w:rFonts w:hint="eastAsia" w:ascii="宋体" w:hAnsi="宋体" w:eastAsia="宋体" w:cs="宋体"/>
          <w:color w:val="auto"/>
          <w:sz w:val="21"/>
          <w:szCs w:val="21"/>
        </w:rPr>
        <w:t>。</w:t>
      </w:r>
    </w:p>
    <w:p w14:paraId="0A9EB7E5">
      <w:pPr>
        <w:pStyle w:val="5"/>
        <w:rPr>
          <w:rFonts w:hint="eastAsia" w:ascii="宋体" w:hAnsi="宋体" w:eastAsia="宋体" w:cs="宋体"/>
          <w:color w:val="auto"/>
          <w:sz w:val="21"/>
          <w:szCs w:val="21"/>
        </w:rPr>
      </w:pPr>
      <w:bookmarkStart w:id="186" w:name="_Toc14760"/>
      <w:r>
        <w:rPr>
          <w:rFonts w:hint="eastAsia" w:ascii="宋体" w:hAnsi="宋体" w:eastAsia="宋体" w:cs="宋体"/>
          <w:color w:val="auto"/>
          <w:sz w:val="21"/>
          <w:szCs w:val="21"/>
        </w:rPr>
        <w:t>7.2 施工进度计划</w:t>
      </w:r>
      <w:bookmarkEnd w:id="186"/>
    </w:p>
    <w:p w14:paraId="2771C0E1">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7.2.2 施工进度计划的修订</w:t>
      </w:r>
    </w:p>
    <w:p w14:paraId="637DC072">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发包人和监理人在收到修订的施工进度计划后确认或提出修改意见的期限：</w:t>
      </w:r>
      <w:r>
        <w:rPr>
          <w:rFonts w:hint="eastAsia" w:ascii="宋体" w:hAnsi="宋体" w:eastAsia="宋体" w:cs="宋体"/>
          <w:color w:val="auto"/>
          <w:sz w:val="21"/>
          <w:szCs w:val="21"/>
          <w:u w:val="single"/>
        </w:rPr>
        <w:t xml:space="preserve"> 如有重大异议则应在3日内以书面形式送达承包人。监理工程师和发包人如在7日内未提供出异议的，自第8日开始视为同意 </w:t>
      </w:r>
      <w:r>
        <w:rPr>
          <w:rFonts w:hint="eastAsia" w:ascii="宋体" w:hAnsi="宋体" w:eastAsia="宋体" w:cs="宋体"/>
          <w:color w:val="auto"/>
          <w:sz w:val="21"/>
          <w:szCs w:val="21"/>
        </w:rPr>
        <w:t>。</w:t>
      </w:r>
    </w:p>
    <w:p w14:paraId="6658F9D6">
      <w:pPr>
        <w:pStyle w:val="5"/>
        <w:rPr>
          <w:rFonts w:hint="eastAsia" w:ascii="宋体" w:hAnsi="宋体" w:eastAsia="宋体" w:cs="宋体"/>
          <w:color w:val="auto"/>
          <w:sz w:val="21"/>
          <w:szCs w:val="21"/>
        </w:rPr>
      </w:pPr>
      <w:bookmarkStart w:id="187" w:name="_Toc28808"/>
      <w:r>
        <w:rPr>
          <w:rFonts w:hint="eastAsia" w:ascii="宋体" w:hAnsi="宋体" w:eastAsia="宋体" w:cs="宋体"/>
          <w:color w:val="auto"/>
          <w:sz w:val="21"/>
          <w:szCs w:val="21"/>
        </w:rPr>
        <w:t>7.3 开工</w:t>
      </w:r>
      <w:bookmarkEnd w:id="187"/>
    </w:p>
    <w:p w14:paraId="3424AC51">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7.3.1 开工准备</w:t>
      </w:r>
    </w:p>
    <w:p w14:paraId="6F541C81">
      <w:pPr>
        <w:spacing w:line="360" w:lineRule="auto"/>
        <w:ind w:firstLine="426"/>
        <w:rPr>
          <w:rFonts w:hint="eastAsia" w:ascii="宋体" w:hAnsi="宋体" w:eastAsia="宋体" w:cs="宋体"/>
          <w:color w:val="auto"/>
          <w:sz w:val="21"/>
          <w:szCs w:val="21"/>
          <w:u w:val="single"/>
        </w:rPr>
      </w:pPr>
      <w:r>
        <w:rPr>
          <w:rFonts w:hint="eastAsia" w:ascii="宋体" w:hAnsi="宋体" w:eastAsia="宋体" w:cs="宋体"/>
          <w:color w:val="auto"/>
          <w:sz w:val="21"/>
          <w:szCs w:val="21"/>
        </w:rPr>
        <w:t>关于承包人提交工程开工报审表的期限：</w:t>
      </w:r>
      <w:r>
        <w:rPr>
          <w:rFonts w:hint="eastAsia" w:ascii="宋体" w:hAnsi="宋体" w:eastAsia="宋体" w:cs="宋体"/>
          <w:color w:val="auto"/>
          <w:sz w:val="21"/>
          <w:szCs w:val="21"/>
          <w:u w:val="single"/>
        </w:rPr>
        <w:t xml:space="preserve">   开工前14天内  </w:t>
      </w:r>
      <w:r>
        <w:rPr>
          <w:rFonts w:hint="eastAsia" w:ascii="宋体" w:hAnsi="宋体" w:eastAsia="宋体" w:cs="宋体"/>
          <w:color w:val="auto"/>
          <w:sz w:val="21"/>
          <w:szCs w:val="21"/>
        </w:rPr>
        <w:t>。</w:t>
      </w:r>
    </w:p>
    <w:p w14:paraId="5A6308CA">
      <w:pPr>
        <w:spacing w:line="360" w:lineRule="auto"/>
        <w:ind w:firstLine="426"/>
        <w:rPr>
          <w:rFonts w:hint="eastAsia" w:ascii="宋体" w:hAnsi="宋体" w:eastAsia="宋体" w:cs="宋体"/>
          <w:color w:val="auto"/>
          <w:sz w:val="21"/>
          <w:szCs w:val="21"/>
          <w:u w:val="single"/>
        </w:rPr>
      </w:pPr>
      <w:r>
        <w:rPr>
          <w:rFonts w:hint="eastAsia" w:ascii="宋体" w:hAnsi="宋体" w:eastAsia="宋体" w:cs="宋体"/>
          <w:color w:val="auto"/>
          <w:sz w:val="21"/>
          <w:szCs w:val="21"/>
        </w:rPr>
        <w:t>关于发包人应完成的其他开工准备工作及期限：</w:t>
      </w:r>
      <w:r>
        <w:rPr>
          <w:rFonts w:hint="eastAsia" w:ascii="宋体" w:hAnsi="宋体" w:eastAsia="宋体" w:cs="宋体"/>
          <w:color w:val="auto"/>
          <w:sz w:val="21"/>
          <w:szCs w:val="21"/>
          <w:u w:val="single"/>
        </w:rPr>
        <w:t xml:space="preserve">  开工前7天内 </w:t>
      </w:r>
      <w:r>
        <w:rPr>
          <w:rFonts w:hint="eastAsia" w:ascii="宋体" w:hAnsi="宋体" w:eastAsia="宋体" w:cs="宋体"/>
          <w:color w:val="auto"/>
          <w:sz w:val="21"/>
          <w:szCs w:val="21"/>
        </w:rPr>
        <w:t>。</w:t>
      </w:r>
    </w:p>
    <w:p w14:paraId="7D260975">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关于承包人应完成的其他开工准备工作及期限：</w:t>
      </w:r>
      <w:r>
        <w:rPr>
          <w:rFonts w:hint="eastAsia" w:ascii="宋体" w:hAnsi="宋体" w:eastAsia="宋体" w:cs="宋体"/>
          <w:color w:val="auto"/>
          <w:sz w:val="21"/>
          <w:szCs w:val="21"/>
          <w:u w:val="single"/>
        </w:rPr>
        <w:t xml:space="preserve"> 开工前7天内 </w:t>
      </w:r>
      <w:r>
        <w:rPr>
          <w:rFonts w:hint="eastAsia" w:ascii="宋体" w:hAnsi="宋体" w:eastAsia="宋体" w:cs="宋体"/>
          <w:color w:val="auto"/>
          <w:sz w:val="21"/>
          <w:szCs w:val="21"/>
        </w:rPr>
        <w:t>。</w:t>
      </w:r>
    </w:p>
    <w:p w14:paraId="01DB8E14">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7.3.2 开工通知</w:t>
      </w:r>
    </w:p>
    <w:p w14:paraId="4F07B5F7">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因发包人原因造成监理人未能在计划开工日期之日起</w:t>
      </w:r>
      <w:r>
        <w:rPr>
          <w:rFonts w:hint="eastAsia" w:ascii="宋体" w:hAnsi="宋体" w:eastAsia="宋体" w:cs="宋体"/>
          <w:color w:val="auto"/>
          <w:sz w:val="21"/>
          <w:szCs w:val="21"/>
          <w:u w:val="single"/>
        </w:rPr>
        <w:t xml:space="preserve"> 90 </w:t>
      </w:r>
      <w:r>
        <w:rPr>
          <w:rFonts w:hint="eastAsia" w:ascii="宋体" w:hAnsi="宋体" w:eastAsia="宋体" w:cs="宋体"/>
          <w:color w:val="auto"/>
          <w:sz w:val="21"/>
          <w:szCs w:val="21"/>
        </w:rPr>
        <w:t>天内发出开工通知的，承包人有权提出价格调整要求，或者解除合同。</w:t>
      </w:r>
    </w:p>
    <w:p w14:paraId="5F7D58AC">
      <w:pPr>
        <w:pStyle w:val="5"/>
        <w:rPr>
          <w:rFonts w:hint="eastAsia" w:ascii="宋体" w:hAnsi="宋体" w:eastAsia="宋体" w:cs="宋体"/>
          <w:color w:val="auto"/>
          <w:sz w:val="21"/>
          <w:szCs w:val="21"/>
        </w:rPr>
      </w:pPr>
      <w:bookmarkStart w:id="188" w:name="_Toc16450"/>
      <w:r>
        <w:rPr>
          <w:rFonts w:hint="eastAsia" w:ascii="宋体" w:hAnsi="宋体" w:eastAsia="宋体" w:cs="宋体"/>
          <w:color w:val="auto"/>
          <w:sz w:val="21"/>
          <w:szCs w:val="21"/>
        </w:rPr>
        <w:t>7.4 测量放线</w:t>
      </w:r>
      <w:bookmarkEnd w:id="188"/>
    </w:p>
    <w:p w14:paraId="4BA9F330">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7.4.1发包人通过监理人向承包人提供测量基准点、基准线和水准点及其书面资料的期限：</w:t>
      </w:r>
    </w:p>
    <w:p w14:paraId="6961DB1D">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 xml:space="preserve">承包人进入工地后进行现场、书面交桩，承包人负责复核，承包人并对水准点和坐标控制点加以保护  </w:t>
      </w:r>
      <w:r>
        <w:rPr>
          <w:rFonts w:hint="eastAsia" w:ascii="宋体" w:hAnsi="宋体" w:eastAsia="宋体" w:cs="宋体"/>
          <w:color w:val="auto"/>
          <w:sz w:val="21"/>
          <w:szCs w:val="21"/>
        </w:rPr>
        <w:t>。</w:t>
      </w:r>
    </w:p>
    <w:p w14:paraId="3567A5D1">
      <w:pPr>
        <w:pStyle w:val="5"/>
        <w:rPr>
          <w:rFonts w:hint="eastAsia" w:ascii="宋体" w:hAnsi="宋体" w:eastAsia="宋体" w:cs="宋体"/>
          <w:color w:val="auto"/>
          <w:sz w:val="21"/>
          <w:szCs w:val="21"/>
        </w:rPr>
      </w:pPr>
      <w:bookmarkStart w:id="189" w:name="_Toc28915"/>
      <w:r>
        <w:rPr>
          <w:rFonts w:hint="eastAsia" w:ascii="宋体" w:hAnsi="宋体" w:eastAsia="宋体" w:cs="宋体"/>
          <w:color w:val="auto"/>
          <w:sz w:val="21"/>
          <w:szCs w:val="21"/>
        </w:rPr>
        <w:t>7.5 工期延误</w:t>
      </w:r>
      <w:bookmarkEnd w:id="189"/>
    </w:p>
    <w:p w14:paraId="3D7F03DC">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7.5.1 因发包人原因导致工期延误</w:t>
      </w:r>
    </w:p>
    <w:p w14:paraId="3D058A4D">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（7）因发包人原因导致工期延误的其他情形：</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14:paraId="6A20B13B">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7.5.2 因承包人原因导致工期延误</w:t>
      </w:r>
    </w:p>
    <w:p w14:paraId="4AD9A428">
      <w:pPr>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双方约定经监理工程师确认，工期相应顺延的情况：</w:t>
      </w:r>
    </w:p>
    <w:p w14:paraId="6D89182F">
      <w:pPr>
        <w:spacing w:line="360" w:lineRule="auto"/>
        <w:ind w:firstLine="42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 xml:space="preserve">  （1）每日白天（8：00—18：00）非承包人原因停水停电连续超过6个小时，经双方签字确认后，工期相应顺延。</w:t>
      </w:r>
    </w:p>
    <w:p w14:paraId="2CC22711">
      <w:pPr>
        <w:numPr>
          <w:ilvl w:val="0"/>
          <w:numId w:val="4"/>
        </w:numPr>
        <w:spacing w:line="360" w:lineRule="auto"/>
        <w:ind w:firstLine="42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因政府行为连续停工一天以上的，工期可顺延。</w:t>
      </w:r>
    </w:p>
    <w:p w14:paraId="05414200">
      <w:pPr>
        <w:numPr>
          <w:ilvl w:val="0"/>
          <w:numId w:val="4"/>
        </w:numPr>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u w:val="single"/>
        </w:rPr>
        <w:t>通用条款7.5款约定的情况。</w:t>
      </w:r>
    </w:p>
    <w:p w14:paraId="79AD3481">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因承包人原因造成工期延误，逾期竣工违约金的计算方法为：</w:t>
      </w:r>
      <w:r>
        <w:rPr>
          <w:rFonts w:hint="eastAsia" w:ascii="宋体" w:hAnsi="宋体" w:eastAsia="宋体" w:cs="宋体"/>
          <w:color w:val="auto"/>
          <w:sz w:val="21"/>
          <w:szCs w:val="21"/>
          <w:u w:val="single"/>
        </w:rPr>
        <w:t xml:space="preserve">非上述原因，承包人不能按合同约定的时间竣工，承包人应承担违约责任。应向发包人支付误期赔偿费（每天赔偿金额为壹万元整 ），误期时间从规定竣工日期起直到全部工程或相应部分工程竣工验收各方签章日期之间的天数。发包人可从应向承包人支付的任何金额中扣除此项赔款费或其他方式收回此款，此赔偿款的支付并不能解除承包人应完成工程的责任或合同规定的其他责任。 </w:t>
      </w:r>
    </w:p>
    <w:p w14:paraId="72A655C1">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因承包人原因造成工期延误，逾期竣工违约金的上限：</w:t>
      </w:r>
      <w:r>
        <w:rPr>
          <w:rFonts w:hint="eastAsia" w:ascii="宋体" w:hAnsi="宋体" w:eastAsia="宋体" w:cs="宋体"/>
          <w:color w:val="auto"/>
          <w:sz w:val="21"/>
          <w:szCs w:val="21"/>
          <w:u w:val="single"/>
        </w:rPr>
        <w:t>合同价款的10 %</w:t>
      </w:r>
      <w:r>
        <w:rPr>
          <w:rFonts w:hint="eastAsia" w:ascii="宋体" w:hAnsi="宋体" w:eastAsia="宋体" w:cs="宋体"/>
          <w:color w:val="auto"/>
          <w:sz w:val="21"/>
          <w:szCs w:val="21"/>
        </w:rPr>
        <w:t>。</w:t>
      </w:r>
    </w:p>
    <w:p w14:paraId="0D1275E2">
      <w:pPr>
        <w:pStyle w:val="5"/>
        <w:rPr>
          <w:rFonts w:hint="eastAsia" w:ascii="宋体" w:hAnsi="宋体" w:eastAsia="宋体" w:cs="宋体"/>
          <w:color w:val="auto"/>
          <w:sz w:val="21"/>
          <w:szCs w:val="21"/>
        </w:rPr>
      </w:pPr>
      <w:bookmarkStart w:id="190" w:name="_Toc18543"/>
      <w:r>
        <w:rPr>
          <w:rFonts w:hint="eastAsia" w:ascii="宋体" w:hAnsi="宋体" w:eastAsia="宋体" w:cs="宋体"/>
          <w:color w:val="auto"/>
          <w:sz w:val="21"/>
          <w:szCs w:val="21"/>
        </w:rPr>
        <w:t>7.6 不利物质条件</w:t>
      </w:r>
      <w:bookmarkEnd w:id="190"/>
    </w:p>
    <w:p w14:paraId="6439807E">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不利物质条件的其他情形和有关约定：</w:t>
      </w:r>
      <w:r>
        <w:rPr>
          <w:rFonts w:hint="eastAsia" w:ascii="宋体" w:hAnsi="宋体" w:eastAsia="宋体" w:cs="宋体"/>
          <w:color w:val="auto"/>
          <w:sz w:val="21"/>
          <w:szCs w:val="21"/>
          <w:u w:val="single"/>
        </w:rPr>
        <w:t>按本合同《通用条款》相关规定执行</w:t>
      </w:r>
      <w:r>
        <w:rPr>
          <w:rFonts w:hint="eastAsia" w:ascii="宋体" w:hAnsi="宋体" w:eastAsia="宋体" w:cs="宋体"/>
          <w:color w:val="auto"/>
          <w:sz w:val="21"/>
          <w:szCs w:val="21"/>
        </w:rPr>
        <w:t>。</w:t>
      </w:r>
    </w:p>
    <w:p w14:paraId="6BD236CA">
      <w:pPr>
        <w:pStyle w:val="5"/>
        <w:rPr>
          <w:rFonts w:hint="eastAsia" w:ascii="宋体" w:hAnsi="宋体" w:eastAsia="宋体" w:cs="宋体"/>
          <w:color w:val="auto"/>
          <w:sz w:val="21"/>
          <w:szCs w:val="21"/>
        </w:rPr>
      </w:pPr>
      <w:bookmarkStart w:id="191" w:name="_Toc27073"/>
      <w:r>
        <w:rPr>
          <w:rFonts w:hint="eastAsia" w:ascii="宋体" w:hAnsi="宋体" w:eastAsia="宋体" w:cs="宋体"/>
          <w:color w:val="auto"/>
          <w:sz w:val="21"/>
          <w:szCs w:val="21"/>
        </w:rPr>
        <w:t>7.7 异常恶劣的气候条件</w:t>
      </w:r>
      <w:bookmarkEnd w:id="191"/>
    </w:p>
    <w:p w14:paraId="33504975">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发包人和承包人同意以下情形视为异常恶劣的气候条件：</w:t>
      </w:r>
    </w:p>
    <w:p w14:paraId="4622421C">
      <w:pPr>
        <w:spacing w:line="360" w:lineRule="exact"/>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（1）中雨及以上的雨水</w:t>
      </w:r>
    </w:p>
    <w:p w14:paraId="13474D1B">
      <w:pPr>
        <w:spacing w:line="360" w:lineRule="exact"/>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（2）6级及以上的大风（以气象部门鉴定为准）</w:t>
      </w:r>
    </w:p>
    <w:p w14:paraId="1D2AE39D">
      <w:pPr>
        <w:spacing w:line="360" w:lineRule="exact"/>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（3）日气温超过38 ℃的高温大于 2 天；</w:t>
      </w:r>
    </w:p>
    <w:p w14:paraId="0F4DFC24">
      <w:pPr>
        <w:spacing w:line="360" w:lineRule="exact"/>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（4）日气温低于 -10℃的严寒大于 2 天。</w:t>
      </w:r>
    </w:p>
    <w:p w14:paraId="65A89A47">
      <w:pPr>
        <w:spacing w:line="360" w:lineRule="exact"/>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（5）造成工程损坏的冰雹和大雪灾害；</w:t>
      </w:r>
    </w:p>
    <w:p w14:paraId="1F224CC3">
      <w:pPr>
        <w:spacing w:line="360" w:lineRule="exact"/>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（6）6 级及以上的地震；</w:t>
      </w:r>
    </w:p>
    <w:p w14:paraId="1D44A2EC">
      <w:pPr>
        <w:spacing w:line="360" w:lineRule="exact"/>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（7）20年一遇及以上的洪水；</w:t>
      </w:r>
    </w:p>
    <w:p w14:paraId="18BDFEE9">
      <w:pPr>
        <w:spacing w:line="360" w:lineRule="exact"/>
        <w:ind w:firstLine="422" w:firstLineChars="200"/>
        <w:rPr>
          <w:rFonts w:hint="eastAsia" w:ascii="宋体" w:hAnsi="宋体" w:eastAsia="宋体" w:cs="宋体"/>
          <w:b/>
          <w:bCs/>
          <w:color w:val="auto"/>
          <w:sz w:val="21"/>
          <w:szCs w:val="21"/>
          <w:u w:val="single"/>
        </w:rPr>
      </w:pPr>
      <w:r>
        <w:rPr>
          <w:rFonts w:hint="eastAsia" w:ascii="宋体" w:hAnsi="宋体" w:eastAsia="宋体" w:cs="宋体"/>
          <w:b/>
          <w:bCs/>
          <w:color w:val="auto"/>
          <w:sz w:val="21"/>
          <w:szCs w:val="21"/>
          <w:u w:val="single"/>
        </w:rPr>
        <w:t>以有关部门发布的文件为准</w:t>
      </w:r>
      <w:r>
        <w:rPr>
          <w:rFonts w:hint="eastAsia" w:ascii="宋体" w:hAnsi="宋体" w:eastAsia="宋体" w:cs="宋体"/>
          <w:b/>
          <w:bCs/>
          <w:color w:val="auto"/>
          <w:sz w:val="21"/>
          <w:szCs w:val="21"/>
        </w:rPr>
        <w:t>。</w:t>
      </w:r>
    </w:p>
    <w:p w14:paraId="4B481A6B">
      <w:pPr>
        <w:pStyle w:val="5"/>
        <w:rPr>
          <w:rFonts w:hint="eastAsia" w:ascii="宋体" w:hAnsi="宋体" w:eastAsia="宋体" w:cs="宋体"/>
          <w:color w:val="auto"/>
          <w:sz w:val="21"/>
          <w:szCs w:val="21"/>
        </w:rPr>
      </w:pPr>
      <w:bookmarkStart w:id="192" w:name="_Toc8491"/>
      <w:r>
        <w:rPr>
          <w:rFonts w:hint="eastAsia" w:ascii="宋体" w:hAnsi="宋体" w:eastAsia="宋体" w:cs="宋体"/>
          <w:color w:val="auto"/>
          <w:sz w:val="21"/>
          <w:szCs w:val="21"/>
        </w:rPr>
        <w:t>7.9 提前竣工</w:t>
      </w:r>
      <w:bookmarkEnd w:id="192"/>
    </w:p>
    <w:p w14:paraId="49B4AD30">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7.9.2提前竣工（赶工）增加费的计算方法：</w:t>
      </w:r>
      <w:r>
        <w:rPr>
          <w:rFonts w:hint="eastAsia" w:ascii="宋体" w:hAnsi="宋体" w:eastAsia="宋体" w:cs="宋体"/>
          <w:color w:val="auto"/>
          <w:sz w:val="21"/>
          <w:szCs w:val="21"/>
          <w:u w:val="single"/>
        </w:rPr>
        <w:t xml:space="preserve">               无             </w:t>
      </w:r>
      <w:r>
        <w:rPr>
          <w:rFonts w:hint="eastAsia" w:ascii="宋体" w:hAnsi="宋体" w:eastAsia="宋体" w:cs="宋体"/>
          <w:color w:val="auto"/>
          <w:sz w:val="21"/>
          <w:szCs w:val="21"/>
        </w:rPr>
        <w:t>。</w:t>
      </w:r>
    </w:p>
    <w:p w14:paraId="546C2EE6">
      <w:pPr>
        <w:pStyle w:val="4"/>
        <w:rPr>
          <w:rFonts w:hint="eastAsia" w:ascii="宋体" w:hAnsi="宋体" w:eastAsia="宋体" w:cs="宋体"/>
          <w:color w:val="auto"/>
          <w:sz w:val="21"/>
          <w:szCs w:val="21"/>
        </w:rPr>
      </w:pPr>
      <w:bookmarkStart w:id="193" w:name="_Toc12474"/>
      <w:r>
        <w:rPr>
          <w:rFonts w:hint="eastAsia" w:ascii="宋体" w:hAnsi="宋体" w:eastAsia="宋体" w:cs="宋体"/>
          <w:color w:val="auto"/>
          <w:sz w:val="21"/>
          <w:szCs w:val="21"/>
        </w:rPr>
        <w:t>8. 材料与设备</w:t>
      </w:r>
      <w:bookmarkEnd w:id="193"/>
    </w:p>
    <w:p w14:paraId="10C99CDC">
      <w:pPr>
        <w:pStyle w:val="5"/>
        <w:rPr>
          <w:rFonts w:hint="eastAsia" w:ascii="宋体" w:hAnsi="宋体" w:eastAsia="宋体" w:cs="宋体"/>
          <w:color w:val="auto"/>
          <w:sz w:val="21"/>
          <w:szCs w:val="21"/>
        </w:rPr>
      </w:pPr>
      <w:bookmarkStart w:id="194" w:name="_Toc2263"/>
      <w:r>
        <w:rPr>
          <w:rFonts w:hint="eastAsia" w:ascii="宋体" w:hAnsi="宋体" w:eastAsia="宋体" w:cs="宋体"/>
          <w:color w:val="auto"/>
          <w:sz w:val="21"/>
          <w:szCs w:val="21"/>
        </w:rPr>
        <w:t>8.2 承包人采购材料与工程设备</w:t>
      </w:r>
      <w:bookmarkEnd w:id="194"/>
    </w:p>
    <w:p w14:paraId="67312866">
      <w:pPr>
        <w:adjustRightIn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除已标价工程量清单《发包人提供主要材料和工程设备一览表》（表-21）中明确的材料、工程设备外，由承包人负责材料和工程设备的采购、运输和保管。《承包人提供主要材料和工程设备一览表》（表-22）见已标价工程量清单。</w:t>
      </w:r>
    </w:p>
    <w:p w14:paraId="0C630DB6">
      <w:pPr>
        <w:pStyle w:val="5"/>
        <w:rPr>
          <w:rFonts w:hint="eastAsia" w:ascii="宋体" w:hAnsi="宋体" w:eastAsia="宋体" w:cs="宋体"/>
          <w:color w:val="auto"/>
          <w:sz w:val="21"/>
          <w:szCs w:val="21"/>
        </w:rPr>
      </w:pPr>
      <w:bookmarkStart w:id="195" w:name="_Toc13201"/>
      <w:r>
        <w:rPr>
          <w:rFonts w:hint="eastAsia" w:ascii="宋体" w:hAnsi="宋体" w:eastAsia="宋体" w:cs="宋体"/>
          <w:color w:val="auto"/>
          <w:sz w:val="21"/>
          <w:szCs w:val="21"/>
        </w:rPr>
        <w:t>8.4 材料与工程设备的保管与使用</w:t>
      </w:r>
      <w:bookmarkEnd w:id="195"/>
    </w:p>
    <w:p w14:paraId="2A6D768D">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8.4.1发包人供应的材料设备的保管费用的承担：</w:t>
      </w:r>
      <w:r>
        <w:rPr>
          <w:rFonts w:hint="eastAsia" w:ascii="宋体" w:hAnsi="宋体" w:eastAsia="宋体" w:cs="宋体"/>
          <w:color w:val="auto"/>
          <w:sz w:val="21"/>
          <w:szCs w:val="21"/>
          <w:u w:val="single"/>
        </w:rPr>
        <w:t xml:space="preserve">   由承包人承担  </w:t>
      </w:r>
      <w:r>
        <w:rPr>
          <w:rFonts w:hint="eastAsia" w:ascii="宋体" w:hAnsi="宋体" w:eastAsia="宋体" w:cs="宋体"/>
          <w:color w:val="auto"/>
          <w:sz w:val="21"/>
          <w:szCs w:val="21"/>
        </w:rPr>
        <w:t>。</w:t>
      </w:r>
    </w:p>
    <w:p w14:paraId="70600D4B">
      <w:pPr>
        <w:pStyle w:val="5"/>
        <w:rPr>
          <w:rFonts w:hint="eastAsia" w:ascii="宋体" w:hAnsi="宋体" w:eastAsia="宋体" w:cs="宋体"/>
          <w:color w:val="auto"/>
          <w:sz w:val="21"/>
          <w:szCs w:val="21"/>
        </w:rPr>
      </w:pPr>
      <w:bookmarkStart w:id="196" w:name="_Toc999"/>
      <w:r>
        <w:rPr>
          <w:rFonts w:hint="eastAsia" w:ascii="宋体" w:hAnsi="宋体" w:eastAsia="宋体" w:cs="宋体"/>
          <w:color w:val="auto"/>
          <w:sz w:val="21"/>
          <w:szCs w:val="21"/>
        </w:rPr>
        <w:t>8.6 样品</w:t>
      </w:r>
      <w:bookmarkEnd w:id="196"/>
    </w:p>
    <w:p w14:paraId="7D9CFB45">
      <w:pPr>
        <w:adjustRightIn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8.6.1 样品的报送与封存</w:t>
      </w:r>
    </w:p>
    <w:p w14:paraId="359ED267">
      <w:pPr>
        <w:adjustRightInd w:val="0"/>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需要承包人报送样品的材料或工程设备，样品的种类、名称、规格、数量要求：</w:t>
      </w:r>
      <w:r>
        <w:rPr>
          <w:rFonts w:hint="eastAsia" w:ascii="宋体" w:hAnsi="宋体" w:eastAsia="宋体" w:cs="宋体"/>
          <w:color w:val="auto"/>
          <w:sz w:val="21"/>
          <w:szCs w:val="21"/>
          <w:u w:val="single"/>
        </w:rPr>
        <w:t>主要材料涉及品种、款式、颜色等方面内容的，承包人应提交准备合格的材料样品送发包人选定。</w:t>
      </w:r>
    </w:p>
    <w:p w14:paraId="6EF7A983">
      <w:pPr>
        <w:pStyle w:val="5"/>
        <w:rPr>
          <w:rFonts w:hint="eastAsia" w:ascii="宋体" w:hAnsi="宋体" w:eastAsia="宋体" w:cs="宋体"/>
          <w:color w:val="auto"/>
          <w:sz w:val="21"/>
          <w:szCs w:val="21"/>
        </w:rPr>
      </w:pPr>
      <w:bookmarkStart w:id="197" w:name="_Toc9289"/>
      <w:r>
        <w:rPr>
          <w:rFonts w:hint="eastAsia" w:ascii="宋体" w:hAnsi="宋体" w:eastAsia="宋体" w:cs="宋体"/>
          <w:color w:val="auto"/>
          <w:sz w:val="21"/>
          <w:szCs w:val="21"/>
        </w:rPr>
        <w:t>8.8 施工设备和临时设施</w:t>
      </w:r>
      <w:bookmarkEnd w:id="197"/>
    </w:p>
    <w:p w14:paraId="128FEF16">
      <w:pPr>
        <w:adjustRightIn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8.8.1 承包人提供的施工设备和临时设施</w:t>
      </w:r>
    </w:p>
    <w:p w14:paraId="5F7BEA97">
      <w:pPr>
        <w:adjustRightIn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6。</w:t>
      </w:r>
    </w:p>
    <w:p w14:paraId="16362259">
      <w:pPr>
        <w:adjustRightIn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关于修建临时设施费用承担的约定：</w:t>
      </w:r>
    </w:p>
    <w:p w14:paraId="23E9A404">
      <w:pPr>
        <w:adjustRightInd w:val="0"/>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①承包人的临时用地（含项目部驻地等）租用费（含拆迁补偿）、临时用地的环保、恢复、临时用地的青苗补偿及地面附着物拆除等费用均由承包人负责，以上费用在投标报价中综合考虑。</w:t>
      </w:r>
    </w:p>
    <w:p w14:paraId="111AFA73">
      <w:pPr>
        <w:adjustRightInd w:val="0"/>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②承包人负责合同实施期间其合同段内临时交通道路（含场内外连接公共交通道路）和交通设施的修建、维修、养护和交通管理工作，并承担一切费用。</w:t>
      </w:r>
    </w:p>
    <w:p w14:paraId="13F345BB">
      <w:pPr>
        <w:adjustRightInd w:val="0"/>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49C0D2B6">
      <w:pPr>
        <w:adjustRightIn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8.8.2 发包人提供的施工设备和临时设施</w:t>
      </w:r>
    </w:p>
    <w:p w14:paraId="768BA410">
      <w:pPr>
        <w:adjustRightIn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发包人提供的施工设备和临时设施：</w:t>
      </w:r>
      <w:r>
        <w:rPr>
          <w:rFonts w:hint="eastAsia" w:ascii="宋体" w:hAnsi="宋体" w:eastAsia="宋体" w:cs="宋体"/>
          <w:color w:val="auto"/>
          <w:sz w:val="21"/>
          <w:szCs w:val="21"/>
          <w:u w:val="single"/>
        </w:rPr>
        <w:t xml:space="preserve"> （1）发包人按承包人的施工现场总平面布置图的要求于开工前7天将水、电接至施工现场围墙内。若发包人未将以上管线外端接口接至承包人指定的位置，则由承包人将水、电、电讯线路延长接至施工现场，费用由发包人承担。（2）开工前5天将施工场地公共道路的通道通至施工场地，保证施工期间的畅通，并满足施工运输的需要 </w:t>
      </w:r>
      <w:r>
        <w:rPr>
          <w:rFonts w:hint="eastAsia" w:ascii="宋体" w:hAnsi="宋体" w:eastAsia="宋体" w:cs="宋体"/>
          <w:color w:val="auto"/>
          <w:sz w:val="21"/>
          <w:szCs w:val="21"/>
        </w:rPr>
        <w:t>。</w:t>
      </w:r>
    </w:p>
    <w:p w14:paraId="0920AEFD">
      <w:pPr>
        <w:adjustRightIn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发包人提供的施工设备和临时设施的运行、维护、拆除、清运费用的承担人：</w:t>
      </w:r>
      <w:r>
        <w:rPr>
          <w:rFonts w:hint="eastAsia" w:ascii="宋体" w:hAnsi="宋体" w:eastAsia="宋体" w:cs="宋体"/>
          <w:color w:val="auto"/>
          <w:sz w:val="21"/>
          <w:szCs w:val="21"/>
          <w:u w:val="single"/>
        </w:rPr>
        <w:t xml:space="preserve"> 发包人  </w:t>
      </w:r>
      <w:r>
        <w:rPr>
          <w:rFonts w:hint="eastAsia" w:ascii="宋体" w:hAnsi="宋体" w:eastAsia="宋体" w:cs="宋体"/>
          <w:color w:val="auto"/>
          <w:sz w:val="21"/>
          <w:szCs w:val="21"/>
        </w:rPr>
        <w:t>。</w:t>
      </w:r>
    </w:p>
    <w:p w14:paraId="29EEE6D0">
      <w:pPr>
        <w:pStyle w:val="4"/>
        <w:rPr>
          <w:rFonts w:hint="eastAsia" w:ascii="宋体" w:hAnsi="宋体" w:eastAsia="宋体" w:cs="宋体"/>
          <w:color w:val="auto"/>
          <w:sz w:val="21"/>
          <w:szCs w:val="21"/>
        </w:rPr>
      </w:pPr>
      <w:bookmarkStart w:id="198" w:name="_Toc17959"/>
      <w:r>
        <w:rPr>
          <w:rFonts w:hint="eastAsia" w:ascii="宋体" w:hAnsi="宋体" w:eastAsia="宋体" w:cs="宋体"/>
          <w:color w:val="auto"/>
          <w:sz w:val="21"/>
          <w:szCs w:val="21"/>
        </w:rPr>
        <w:t>9. 试验与检验</w:t>
      </w:r>
      <w:bookmarkEnd w:id="198"/>
    </w:p>
    <w:p w14:paraId="38025ECD">
      <w:pPr>
        <w:pStyle w:val="5"/>
        <w:rPr>
          <w:rFonts w:hint="eastAsia" w:ascii="宋体" w:hAnsi="宋体" w:eastAsia="宋体" w:cs="宋体"/>
          <w:color w:val="auto"/>
          <w:sz w:val="21"/>
          <w:szCs w:val="21"/>
        </w:rPr>
      </w:pPr>
      <w:bookmarkStart w:id="199" w:name="_Toc29168"/>
      <w:r>
        <w:rPr>
          <w:rFonts w:hint="eastAsia" w:ascii="宋体" w:hAnsi="宋体" w:eastAsia="宋体" w:cs="宋体"/>
          <w:color w:val="auto"/>
          <w:sz w:val="21"/>
          <w:szCs w:val="21"/>
        </w:rPr>
        <w:t>9.1 试验设备与试验人员</w:t>
      </w:r>
      <w:bookmarkEnd w:id="199"/>
    </w:p>
    <w:p w14:paraId="2B758DF0">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9.1.2 试验设备</w:t>
      </w:r>
    </w:p>
    <w:p w14:paraId="6B28F2DC">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施工现场需要配置的试验场所：</w:t>
      </w:r>
      <w:r>
        <w:rPr>
          <w:rFonts w:hint="eastAsia" w:ascii="宋体" w:hAnsi="宋体" w:eastAsia="宋体" w:cs="宋体"/>
          <w:color w:val="auto"/>
          <w:sz w:val="21"/>
          <w:szCs w:val="21"/>
          <w:u w:val="single"/>
        </w:rPr>
        <w:t xml:space="preserve">   由承包人提供   </w:t>
      </w:r>
      <w:r>
        <w:rPr>
          <w:rFonts w:hint="eastAsia" w:ascii="宋体" w:hAnsi="宋体" w:eastAsia="宋体" w:cs="宋体"/>
          <w:color w:val="auto"/>
          <w:sz w:val="21"/>
          <w:szCs w:val="21"/>
        </w:rPr>
        <w:t>。</w:t>
      </w:r>
    </w:p>
    <w:p w14:paraId="0F34417F">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施工现场需要配备的试验设备：</w:t>
      </w:r>
      <w:r>
        <w:rPr>
          <w:rFonts w:hint="eastAsia" w:ascii="宋体" w:hAnsi="宋体" w:eastAsia="宋体" w:cs="宋体"/>
          <w:color w:val="auto"/>
          <w:sz w:val="21"/>
          <w:szCs w:val="21"/>
          <w:u w:val="single"/>
        </w:rPr>
        <w:t xml:space="preserve">    由承包人提供   </w:t>
      </w:r>
      <w:r>
        <w:rPr>
          <w:rFonts w:hint="eastAsia" w:ascii="宋体" w:hAnsi="宋体" w:eastAsia="宋体" w:cs="宋体"/>
          <w:color w:val="auto"/>
          <w:sz w:val="21"/>
          <w:szCs w:val="21"/>
        </w:rPr>
        <w:t>。</w:t>
      </w:r>
    </w:p>
    <w:p w14:paraId="103C0B53">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施工现场需要具备的其他试验条件：</w:t>
      </w:r>
      <w:r>
        <w:rPr>
          <w:rFonts w:hint="eastAsia" w:ascii="宋体" w:hAnsi="宋体" w:eastAsia="宋体" w:cs="宋体"/>
          <w:color w:val="auto"/>
          <w:sz w:val="21"/>
          <w:szCs w:val="21"/>
          <w:u w:val="single"/>
        </w:rPr>
        <w:t xml:space="preserve">  由承包人提供    </w:t>
      </w:r>
      <w:r>
        <w:rPr>
          <w:rFonts w:hint="eastAsia" w:ascii="宋体" w:hAnsi="宋体" w:eastAsia="宋体" w:cs="宋体"/>
          <w:color w:val="auto"/>
          <w:sz w:val="21"/>
          <w:szCs w:val="21"/>
        </w:rPr>
        <w:t>。</w:t>
      </w:r>
    </w:p>
    <w:p w14:paraId="2A7D0E42">
      <w:pPr>
        <w:pStyle w:val="5"/>
        <w:rPr>
          <w:rFonts w:hint="eastAsia" w:ascii="宋体" w:hAnsi="宋体" w:eastAsia="宋体" w:cs="宋体"/>
          <w:color w:val="auto"/>
          <w:sz w:val="21"/>
          <w:szCs w:val="21"/>
        </w:rPr>
      </w:pPr>
      <w:bookmarkStart w:id="200" w:name="_Toc11031"/>
      <w:r>
        <w:rPr>
          <w:rFonts w:hint="eastAsia" w:ascii="宋体" w:hAnsi="宋体" w:eastAsia="宋体" w:cs="宋体"/>
          <w:color w:val="auto"/>
          <w:sz w:val="21"/>
          <w:szCs w:val="21"/>
        </w:rPr>
        <w:t>9.4 现场工艺试验</w:t>
      </w:r>
      <w:bookmarkEnd w:id="200"/>
    </w:p>
    <w:p w14:paraId="2E22E296">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现场工艺试验的有关约定：</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14:paraId="514FAFD1">
      <w:pPr>
        <w:pStyle w:val="5"/>
        <w:rPr>
          <w:rFonts w:hint="eastAsia" w:ascii="宋体" w:hAnsi="宋体" w:eastAsia="宋体" w:cs="宋体"/>
          <w:color w:val="auto"/>
          <w:sz w:val="21"/>
          <w:szCs w:val="21"/>
        </w:rPr>
      </w:pPr>
      <w:bookmarkStart w:id="201" w:name="_Toc14347"/>
      <w:r>
        <w:rPr>
          <w:rFonts w:hint="eastAsia" w:ascii="宋体" w:hAnsi="宋体" w:eastAsia="宋体" w:cs="宋体"/>
          <w:color w:val="auto"/>
          <w:sz w:val="21"/>
          <w:szCs w:val="21"/>
        </w:rPr>
        <w:t>9.5 检验费用</w:t>
      </w:r>
      <w:bookmarkEnd w:id="201"/>
    </w:p>
    <w:p w14:paraId="77697EB9">
      <w:pPr>
        <w:spacing w:line="360" w:lineRule="auto"/>
        <w:ind w:firstLine="411" w:firstLineChars="196"/>
        <w:rPr>
          <w:rFonts w:hint="eastAsia" w:ascii="宋体" w:hAnsi="宋体" w:eastAsia="宋体" w:cs="宋体"/>
          <w:color w:val="auto"/>
          <w:sz w:val="21"/>
          <w:szCs w:val="21"/>
        </w:rPr>
      </w:pPr>
      <w:r>
        <w:rPr>
          <w:rFonts w:hint="eastAsia" w:ascii="宋体" w:hAnsi="宋体" w:eastAsia="宋体" w:cs="宋体"/>
          <w:color w:val="auto"/>
          <w:sz w:val="21"/>
          <w:szCs w:val="21"/>
        </w:rPr>
        <w:t>根据《建设工程质量检测管理办法》（建设部令第141号）以及《广西壮族自治区建设工程质量检测管理规定》（桂建管〔2013〕11号）规定，工程质量检测业务由招标人委托有相应资质的检测机构检测。费用从招标人的项目建设经费中支出并直接支付给检测机构，不计入合同价款内。</w:t>
      </w:r>
    </w:p>
    <w:p w14:paraId="2EB1707F">
      <w:pPr>
        <w:pStyle w:val="4"/>
        <w:rPr>
          <w:rFonts w:hint="eastAsia" w:ascii="宋体" w:hAnsi="宋体" w:eastAsia="宋体" w:cs="宋体"/>
          <w:color w:val="auto"/>
          <w:sz w:val="21"/>
          <w:szCs w:val="21"/>
        </w:rPr>
      </w:pPr>
      <w:bookmarkStart w:id="202" w:name="_Toc24103"/>
      <w:r>
        <w:rPr>
          <w:rFonts w:hint="eastAsia" w:ascii="宋体" w:hAnsi="宋体" w:eastAsia="宋体" w:cs="宋体"/>
          <w:color w:val="auto"/>
          <w:sz w:val="21"/>
          <w:szCs w:val="21"/>
        </w:rPr>
        <w:t>10. 变更</w:t>
      </w:r>
      <w:bookmarkEnd w:id="202"/>
    </w:p>
    <w:p w14:paraId="5B17DF57">
      <w:pPr>
        <w:pStyle w:val="5"/>
        <w:rPr>
          <w:rFonts w:hint="eastAsia" w:ascii="宋体" w:hAnsi="宋体" w:eastAsia="宋体" w:cs="宋体"/>
          <w:color w:val="auto"/>
          <w:sz w:val="21"/>
          <w:szCs w:val="21"/>
        </w:rPr>
      </w:pPr>
      <w:bookmarkStart w:id="203" w:name="_Toc25178"/>
      <w:r>
        <w:rPr>
          <w:rFonts w:hint="eastAsia" w:ascii="宋体" w:hAnsi="宋体" w:eastAsia="宋体" w:cs="宋体"/>
          <w:color w:val="auto"/>
          <w:sz w:val="21"/>
          <w:szCs w:val="21"/>
        </w:rPr>
        <w:t>10.1 变更的范围</w:t>
      </w:r>
      <w:bookmarkEnd w:id="203"/>
    </w:p>
    <w:p w14:paraId="754CAF06">
      <w:pPr>
        <w:spacing w:line="360" w:lineRule="auto"/>
        <w:ind w:firstLine="426"/>
        <w:rPr>
          <w:rFonts w:hint="eastAsia" w:ascii="宋体" w:hAnsi="宋体" w:eastAsia="宋体" w:cs="宋体"/>
          <w:color w:val="auto"/>
          <w:sz w:val="21"/>
          <w:szCs w:val="21"/>
        </w:rPr>
      </w:pPr>
      <w:r>
        <w:rPr>
          <w:rFonts w:hint="eastAsia" w:ascii="宋体" w:hAnsi="宋体" w:eastAsia="宋体" w:cs="宋体"/>
          <w:color w:val="auto"/>
          <w:sz w:val="21"/>
          <w:szCs w:val="21"/>
        </w:rPr>
        <w:t>关于变更的范围的约定：</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14:paraId="60CE0EBF">
      <w:pPr>
        <w:pStyle w:val="5"/>
        <w:rPr>
          <w:rFonts w:hint="eastAsia" w:ascii="宋体" w:hAnsi="宋体" w:eastAsia="宋体" w:cs="宋体"/>
          <w:color w:val="auto"/>
          <w:sz w:val="21"/>
          <w:szCs w:val="21"/>
        </w:rPr>
      </w:pPr>
      <w:bookmarkStart w:id="204" w:name="_Toc6622"/>
      <w:r>
        <w:rPr>
          <w:rFonts w:hint="eastAsia" w:ascii="宋体" w:hAnsi="宋体" w:eastAsia="宋体" w:cs="宋体"/>
          <w:color w:val="auto"/>
          <w:sz w:val="21"/>
          <w:szCs w:val="21"/>
        </w:rPr>
        <w:t>10.3 变更程序</w:t>
      </w:r>
      <w:bookmarkEnd w:id="204"/>
    </w:p>
    <w:p w14:paraId="5F61BF62">
      <w:pPr>
        <w:pStyle w:val="24"/>
        <w:spacing w:line="360" w:lineRule="auto"/>
        <w:ind w:firstLine="441" w:firstLineChars="210"/>
        <w:rPr>
          <w:rFonts w:hint="eastAsia" w:ascii="宋体" w:hAnsi="宋体" w:eastAsia="宋体" w:cs="宋体"/>
          <w:bCs/>
          <w:color w:val="auto"/>
          <w:sz w:val="21"/>
          <w:szCs w:val="21"/>
        </w:rPr>
      </w:pPr>
      <w:r>
        <w:rPr>
          <w:rFonts w:hint="eastAsia" w:ascii="宋体" w:hAnsi="宋体" w:eastAsia="宋体" w:cs="宋体"/>
          <w:bCs/>
          <w:color w:val="auto"/>
          <w:sz w:val="21"/>
          <w:szCs w:val="21"/>
        </w:rPr>
        <w:t>10.3.1 国有投资项目：</w:t>
      </w:r>
    </w:p>
    <w:p w14:paraId="12CD3741">
      <w:pPr>
        <w:spacing w:line="440" w:lineRule="exact"/>
        <w:ind w:firstLine="440"/>
        <w:rPr>
          <w:rFonts w:hint="eastAsia" w:ascii="宋体" w:hAnsi="宋体" w:eastAsia="宋体" w:cs="宋体"/>
          <w:color w:val="auto"/>
          <w:sz w:val="21"/>
          <w:szCs w:val="21"/>
        </w:rPr>
      </w:pPr>
      <w:r>
        <w:rPr>
          <w:rFonts w:hint="eastAsia" w:ascii="宋体" w:hAnsi="宋体" w:eastAsia="宋体" w:cs="宋体"/>
          <w:color w:val="auto"/>
          <w:sz w:val="21"/>
          <w:szCs w:val="21"/>
        </w:rPr>
        <w:t>⑴属重大变更的须经发包方、承包方、设计方、监理方、建设主管部门等各方进行论证后，并按崇政办发〔2017〕54号相关规定程序报批后方可施工；属一般性变更的由施工方负责人起草，交发包方代表及发包方负责领导审批，变更的工程量须有施工、监理、业主、财务总监、评审人员进行现场按项实测实量签署意见。超标准后达到重大变更，按崇政办发〔2017〕54号相关规定程序报批后方可施工。</w:t>
      </w:r>
    </w:p>
    <w:p w14:paraId="3F29FE0E">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⑵ 工程设计变更和签证工程发生后10个工作日内，由建设单位将有关变更文件、签证单审批件、工程联系单、预算书等工程资料送市财政局备案，并作为进度款支付、事后抽查和工程结算的主要依据。</w:t>
      </w:r>
    </w:p>
    <w:p w14:paraId="21264D6D">
      <w:pPr>
        <w:pStyle w:val="24"/>
        <w:spacing w:line="360" w:lineRule="auto"/>
        <w:ind w:firstLine="441" w:firstLineChars="210"/>
        <w:rPr>
          <w:rFonts w:hint="eastAsia" w:ascii="宋体" w:hAnsi="宋体" w:eastAsia="宋体" w:cs="宋体"/>
          <w:color w:val="auto"/>
          <w:sz w:val="21"/>
          <w:szCs w:val="21"/>
        </w:rPr>
      </w:pPr>
      <w:r>
        <w:rPr>
          <w:rFonts w:hint="eastAsia" w:ascii="宋体" w:hAnsi="宋体" w:eastAsia="宋体" w:cs="宋体"/>
          <w:color w:val="auto"/>
          <w:sz w:val="21"/>
          <w:szCs w:val="21"/>
        </w:rPr>
        <w:t>⑶ 建设单位在实施项目过程中，若发生单价变动，由建设单位、监理单位、市财政投资评审中心与施工单位共同商定并签字确认。</w:t>
      </w:r>
    </w:p>
    <w:p w14:paraId="202086B0">
      <w:pPr>
        <w:pStyle w:val="24"/>
        <w:spacing w:line="360" w:lineRule="auto"/>
        <w:ind w:firstLine="441" w:firstLineChars="210"/>
        <w:rPr>
          <w:rFonts w:hint="eastAsia" w:ascii="宋体" w:hAnsi="宋体" w:eastAsia="宋体" w:cs="宋体"/>
          <w:color w:val="auto"/>
          <w:sz w:val="21"/>
          <w:szCs w:val="21"/>
        </w:rPr>
      </w:pPr>
      <w:r>
        <w:rPr>
          <w:rFonts w:hint="eastAsia" w:ascii="宋体" w:hAnsi="宋体" w:eastAsia="宋体" w:cs="宋体"/>
          <w:color w:val="auto"/>
          <w:sz w:val="21"/>
          <w:szCs w:val="21"/>
        </w:rPr>
        <w:t xml:space="preserve"> ⑷承包人应当在合同规定的调整情况发生后14天内，将调整原因，金额以书面形式通知发包人，发包人按第⑴、⑵、⑶、⑷、⑸条款的要求初步确认调整金额后将其作为追加合同价款，按不高于60%的比例与工程进度款同期支付，调整金额待工程单项结算或结算时，由</w:t>
      </w:r>
      <w:r>
        <w:rPr>
          <w:rFonts w:hint="eastAsia" w:hAnsi="宋体" w:cs="宋体"/>
          <w:b/>
          <w:bCs/>
          <w:color w:val="auto"/>
          <w:sz w:val="21"/>
          <w:szCs w:val="21"/>
          <w:lang w:val="en-US" w:eastAsia="zh-CN"/>
        </w:rPr>
        <w:t>龙州</w:t>
      </w:r>
      <w:r>
        <w:rPr>
          <w:rFonts w:hint="eastAsia" w:ascii="宋体" w:hAnsi="宋体" w:eastAsia="宋体" w:cs="宋体"/>
          <w:b/>
          <w:bCs/>
          <w:color w:val="auto"/>
          <w:sz w:val="21"/>
          <w:szCs w:val="21"/>
        </w:rPr>
        <w:t>县评审中心或</w:t>
      </w:r>
      <w:r>
        <w:rPr>
          <w:rFonts w:hint="eastAsia" w:hAnsi="宋体" w:cs="宋体"/>
          <w:b/>
          <w:bCs/>
          <w:color w:val="auto"/>
          <w:sz w:val="21"/>
          <w:szCs w:val="21"/>
          <w:lang w:val="en-US" w:eastAsia="zh-CN"/>
        </w:rPr>
        <w:t>龙州</w:t>
      </w:r>
      <w:r>
        <w:rPr>
          <w:rFonts w:hint="eastAsia" w:ascii="宋体" w:hAnsi="宋体" w:eastAsia="宋体" w:cs="宋体"/>
          <w:b/>
          <w:bCs/>
          <w:color w:val="auto"/>
          <w:sz w:val="21"/>
          <w:szCs w:val="21"/>
        </w:rPr>
        <w:t>县审计局最终审定。</w:t>
      </w:r>
    </w:p>
    <w:p w14:paraId="502F5070">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⑸当合同规定的调整合同价款的调整情况发生后，承包人未在规定时间内通知发包人，或者未在规定时间内提出调整报告，发包人可以根据有关资料，决定是否调整和调整的金额，并书面通知承包人。</w:t>
      </w:r>
    </w:p>
    <w:p w14:paraId="302A2A14">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bCs/>
          <w:color w:val="auto"/>
          <w:sz w:val="21"/>
          <w:szCs w:val="21"/>
        </w:rPr>
        <w:t>10.3.2</w:t>
      </w:r>
      <w:r>
        <w:rPr>
          <w:rFonts w:hint="eastAsia" w:ascii="宋体" w:hAnsi="宋体" w:eastAsia="宋体" w:cs="宋体"/>
          <w:color w:val="auto"/>
          <w:sz w:val="21"/>
          <w:szCs w:val="21"/>
        </w:rPr>
        <w:t>明确施工单位编制工程预算书的责任</w:t>
      </w:r>
    </w:p>
    <w:p w14:paraId="09F3E840">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建设单位与施工单位签订的施工合同应约定以下内容：审定工程结算造价核减超过8%的，超</w:t>
      </w:r>
    </w:p>
    <w:p w14:paraId="3697EE35">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过部分的审核效益费由施工单位向工程造价咨询机构支付，正式审核报告出具前，施工单位</w:t>
      </w:r>
    </w:p>
    <w:p w14:paraId="34C96AA2">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应支付完此项费用。</w:t>
      </w:r>
    </w:p>
    <w:p w14:paraId="53079658">
      <w:pPr>
        <w:pStyle w:val="13"/>
        <w:rPr>
          <w:rFonts w:hint="eastAsia" w:ascii="宋体" w:hAnsi="宋体" w:eastAsia="宋体" w:cs="宋体"/>
          <w:color w:val="auto"/>
          <w:sz w:val="21"/>
          <w:szCs w:val="21"/>
        </w:rPr>
      </w:pPr>
    </w:p>
    <w:p w14:paraId="5F074AF4">
      <w:pPr>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10.3.3 非国有投资项目： </w:t>
      </w:r>
      <w:r>
        <w:rPr>
          <w:rFonts w:hint="eastAsia" w:ascii="宋体" w:hAnsi="宋体" w:eastAsia="宋体" w:cs="宋体"/>
          <w:bCs/>
          <w:color w:val="auto"/>
          <w:sz w:val="21"/>
          <w:szCs w:val="21"/>
          <w:u w:val="single"/>
        </w:rPr>
        <w:t xml:space="preserve">            /                         </w:t>
      </w:r>
      <w:r>
        <w:rPr>
          <w:rFonts w:hint="eastAsia" w:ascii="宋体" w:hAnsi="宋体" w:eastAsia="宋体" w:cs="宋体"/>
          <w:bCs/>
          <w:color w:val="auto"/>
          <w:sz w:val="21"/>
          <w:szCs w:val="21"/>
        </w:rPr>
        <w:t>。</w:t>
      </w:r>
    </w:p>
    <w:p w14:paraId="2CC6B11F">
      <w:pPr>
        <w:pStyle w:val="5"/>
        <w:rPr>
          <w:rFonts w:hint="eastAsia" w:ascii="宋体" w:hAnsi="宋体" w:eastAsia="宋体" w:cs="宋体"/>
          <w:color w:val="auto"/>
          <w:sz w:val="21"/>
          <w:szCs w:val="21"/>
        </w:rPr>
      </w:pPr>
      <w:bookmarkStart w:id="205" w:name="_Toc28649"/>
      <w:r>
        <w:rPr>
          <w:rFonts w:hint="eastAsia" w:ascii="宋体" w:hAnsi="宋体" w:eastAsia="宋体" w:cs="宋体"/>
          <w:color w:val="auto"/>
          <w:sz w:val="21"/>
          <w:szCs w:val="21"/>
        </w:rPr>
        <w:t>10.4 变更估价</w:t>
      </w:r>
      <w:bookmarkEnd w:id="205"/>
    </w:p>
    <w:p w14:paraId="50BC9F62">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10.4.1 变更估价原则</w:t>
      </w:r>
    </w:p>
    <w:p w14:paraId="69F8A98D">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 xml:space="preserve">关于变更估价的约定: </w:t>
      </w:r>
      <w:r>
        <w:rPr>
          <w:rFonts w:hint="eastAsia" w:ascii="宋体" w:hAnsi="宋体" w:eastAsia="宋体" w:cs="宋体"/>
          <w:bCs/>
          <w:color w:val="auto"/>
          <w:sz w:val="21"/>
          <w:szCs w:val="21"/>
          <w:u w:val="single"/>
        </w:rPr>
        <w:t>因设计变更、相关签证引起工程项目、工程量任何变化的，变更合同价款按下列方法进行：（1）合同中已有相同清单项目的，按合同该清单项目价格进行计算；（2）合同中只有类似清单项目的，参照该类似清单项目价格进行计算；（3）合同中没有适用或类似清单项目的价格计算方法：有定额的套定额，并乘以下浮系数（中标价/工程招标控制价） %，计算，其中材料价格按施工期间的《 崇左市建设工程造价信息》相应价格信息进行计算；《 崇左县建设工程造价信息》没有相应价格信息的按市场价计算；无定额可套的，根据市场价格协商确定综合价格；对于国有资产投资的项目，新增项目的单价必须经县财政评审中心审定</w:t>
      </w:r>
      <w:r>
        <w:rPr>
          <w:rFonts w:hint="eastAsia" w:ascii="宋体" w:hAnsi="宋体" w:eastAsia="宋体" w:cs="宋体"/>
          <w:bCs/>
          <w:color w:val="auto"/>
          <w:sz w:val="21"/>
          <w:szCs w:val="21"/>
        </w:rPr>
        <w:t>。</w:t>
      </w:r>
    </w:p>
    <w:p w14:paraId="4E729B13">
      <w:pPr>
        <w:pStyle w:val="5"/>
        <w:rPr>
          <w:rFonts w:hint="eastAsia" w:ascii="宋体" w:hAnsi="宋体" w:eastAsia="宋体" w:cs="宋体"/>
          <w:color w:val="auto"/>
          <w:sz w:val="21"/>
          <w:szCs w:val="21"/>
        </w:rPr>
      </w:pPr>
      <w:bookmarkStart w:id="206" w:name="_Toc23858"/>
      <w:r>
        <w:rPr>
          <w:rFonts w:hint="eastAsia" w:ascii="宋体" w:hAnsi="宋体" w:eastAsia="宋体" w:cs="宋体"/>
          <w:color w:val="auto"/>
          <w:sz w:val="21"/>
          <w:szCs w:val="21"/>
        </w:rPr>
        <w:t>10.5 承包人的合理化建议</w:t>
      </w:r>
      <w:bookmarkEnd w:id="206"/>
    </w:p>
    <w:p w14:paraId="6D971D0B">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监理人审查承包人合理化建议的期限：</w:t>
      </w:r>
      <w:r>
        <w:rPr>
          <w:rFonts w:hint="eastAsia" w:ascii="宋体" w:hAnsi="宋体" w:eastAsia="宋体" w:cs="宋体"/>
          <w:color w:val="auto"/>
          <w:sz w:val="21"/>
          <w:szCs w:val="21"/>
          <w:u w:val="single"/>
        </w:rPr>
        <w:t xml:space="preserve">   收到承包人提交的建议后7天内  </w:t>
      </w:r>
      <w:r>
        <w:rPr>
          <w:rFonts w:hint="eastAsia" w:ascii="宋体" w:hAnsi="宋体" w:eastAsia="宋体" w:cs="宋体"/>
          <w:color w:val="auto"/>
          <w:sz w:val="21"/>
          <w:szCs w:val="21"/>
        </w:rPr>
        <w:t>。</w:t>
      </w:r>
    </w:p>
    <w:p w14:paraId="54439C4C">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发包人审批承包人合理化建议的期限：</w:t>
      </w:r>
      <w:r>
        <w:rPr>
          <w:rFonts w:hint="eastAsia" w:ascii="宋体" w:hAnsi="宋体" w:eastAsia="宋体" w:cs="宋体"/>
          <w:color w:val="auto"/>
          <w:sz w:val="21"/>
          <w:szCs w:val="21"/>
          <w:u w:val="single"/>
        </w:rPr>
        <w:t xml:space="preserve">  收到监理人报送的建议后7天内 </w:t>
      </w:r>
      <w:r>
        <w:rPr>
          <w:rFonts w:hint="eastAsia" w:ascii="宋体" w:hAnsi="宋体" w:eastAsia="宋体" w:cs="宋体"/>
          <w:color w:val="auto"/>
          <w:sz w:val="21"/>
          <w:szCs w:val="21"/>
        </w:rPr>
        <w:t>。</w:t>
      </w:r>
    </w:p>
    <w:p w14:paraId="3E19DFF4">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承包人提出的合理化建议降低了合同价格或者提高了工程经济效益的奖励的方法和金额为：</w:t>
      </w:r>
      <w:r>
        <w:rPr>
          <w:rFonts w:hint="eastAsia" w:ascii="宋体" w:hAnsi="宋体" w:eastAsia="宋体" w:cs="宋体"/>
          <w:color w:val="auto"/>
          <w:sz w:val="21"/>
          <w:szCs w:val="21"/>
          <w:u w:val="single"/>
        </w:rPr>
        <w:t xml:space="preserve">                      另行商定                             </w:t>
      </w:r>
      <w:r>
        <w:rPr>
          <w:rFonts w:hint="eastAsia" w:ascii="宋体" w:hAnsi="宋体" w:eastAsia="宋体" w:cs="宋体"/>
          <w:color w:val="auto"/>
          <w:sz w:val="21"/>
          <w:szCs w:val="21"/>
        </w:rPr>
        <w:t>。</w:t>
      </w:r>
    </w:p>
    <w:p w14:paraId="7BEA29A1">
      <w:pPr>
        <w:pStyle w:val="5"/>
        <w:rPr>
          <w:rFonts w:hint="eastAsia" w:ascii="宋体" w:hAnsi="宋体" w:eastAsia="宋体" w:cs="宋体"/>
          <w:color w:val="auto"/>
          <w:sz w:val="21"/>
          <w:szCs w:val="21"/>
        </w:rPr>
      </w:pPr>
      <w:bookmarkStart w:id="207" w:name="_Toc12438"/>
      <w:r>
        <w:rPr>
          <w:rFonts w:hint="eastAsia" w:ascii="宋体" w:hAnsi="宋体" w:eastAsia="宋体" w:cs="宋体"/>
          <w:color w:val="auto"/>
          <w:sz w:val="21"/>
          <w:szCs w:val="21"/>
        </w:rPr>
        <w:t>10.7 暂估价</w:t>
      </w:r>
      <w:bookmarkEnd w:id="207"/>
    </w:p>
    <w:p w14:paraId="38D303C8">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暂估价材料和工程设备的明细详见已标价工程量清单《材料（工程设备）暂估价格及调整表》（表12-2）和《专业工程暂估价表》（表12-3）。</w:t>
      </w:r>
    </w:p>
    <w:p w14:paraId="5B392CF4">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10.7.1 依法必须招标的暂估价项目</w:t>
      </w:r>
    </w:p>
    <w:p w14:paraId="18435371">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对于依法必须招标的暂估价项目的确认和批准采取第</w:t>
      </w:r>
      <w:r>
        <w:rPr>
          <w:rFonts w:hint="eastAsia" w:ascii="宋体" w:hAnsi="宋体" w:eastAsia="宋体" w:cs="宋体"/>
          <w:color w:val="auto"/>
          <w:sz w:val="21"/>
          <w:szCs w:val="21"/>
          <w:u w:val="single"/>
        </w:rPr>
        <w:t xml:space="preserve">  2  </w:t>
      </w:r>
      <w:r>
        <w:rPr>
          <w:rFonts w:hint="eastAsia" w:ascii="宋体" w:hAnsi="宋体" w:eastAsia="宋体" w:cs="宋体"/>
          <w:color w:val="auto"/>
          <w:sz w:val="21"/>
          <w:szCs w:val="21"/>
        </w:rPr>
        <w:t>种方式确定。</w:t>
      </w:r>
    </w:p>
    <w:p w14:paraId="76AB1B33">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10.7.2 不属于依法必须招标的暂估价项目</w:t>
      </w:r>
    </w:p>
    <w:p w14:paraId="51C1702C">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对于不属于依法必须招标的暂估价项目的确认和批准采取第</w:t>
      </w:r>
      <w:r>
        <w:rPr>
          <w:rFonts w:hint="eastAsia" w:ascii="宋体" w:hAnsi="宋体" w:eastAsia="宋体" w:cs="宋体"/>
          <w:color w:val="auto"/>
          <w:sz w:val="21"/>
          <w:szCs w:val="21"/>
          <w:u w:val="single"/>
        </w:rPr>
        <w:t xml:space="preserve">  1 </w:t>
      </w:r>
      <w:r>
        <w:rPr>
          <w:rFonts w:hint="eastAsia" w:ascii="宋体" w:hAnsi="宋体" w:eastAsia="宋体" w:cs="宋体"/>
          <w:color w:val="auto"/>
          <w:sz w:val="21"/>
          <w:szCs w:val="21"/>
        </w:rPr>
        <w:t xml:space="preserve"> 种方式确定。</w:t>
      </w:r>
    </w:p>
    <w:p w14:paraId="2C6B08E0">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第3种方式：承包人直接实施的暂估价项目</w:t>
      </w:r>
    </w:p>
    <w:p w14:paraId="2A984D8C">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承包人直接实施的暂估价项目的约定：</w:t>
      </w:r>
      <w:r>
        <w:rPr>
          <w:rFonts w:hint="eastAsia" w:ascii="宋体" w:hAnsi="宋体" w:eastAsia="宋体" w:cs="宋体"/>
          <w:color w:val="auto"/>
          <w:sz w:val="21"/>
          <w:szCs w:val="21"/>
          <w:u w:val="single"/>
        </w:rPr>
        <w:t xml:space="preserve">   双方另行协商   </w:t>
      </w:r>
      <w:r>
        <w:rPr>
          <w:rFonts w:hint="eastAsia" w:ascii="宋体" w:hAnsi="宋体" w:eastAsia="宋体" w:cs="宋体"/>
          <w:color w:val="auto"/>
          <w:sz w:val="21"/>
          <w:szCs w:val="21"/>
        </w:rPr>
        <w:t>。</w:t>
      </w:r>
    </w:p>
    <w:p w14:paraId="369DD7D9">
      <w:pPr>
        <w:pStyle w:val="5"/>
        <w:rPr>
          <w:rFonts w:hint="eastAsia" w:ascii="宋体" w:hAnsi="宋体" w:eastAsia="宋体" w:cs="宋体"/>
          <w:color w:val="auto"/>
          <w:sz w:val="21"/>
          <w:szCs w:val="21"/>
        </w:rPr>
      </w:pPr>
      <w:bookmarkStart w:id="208" w:name="_Toc24870"/>
      <w:r>
        <w:rPr>
          <w:rFonts w:hint="eastAsia" w:ascii="宋体" w:hAnsi="宋体" w:eastAsia="宋体" w:cs="宋体"/>
          <w:color w:val="auto"/>
          <w:sz w:val="21"/>
          <w:szCs w:val="21"/>
        </w:rPr>
        <w:t>10.8 暂列金额</w:t>
      </w:r>
      <w:bookmarkEnd w:id="208"/>
    </w:p>
    <w:p w14:paraId="42431333">
      <w:pPr>
        <w:adjustRightInd w:val="0"/>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合同当事人关于暂列金额使用的约定：</w:t>
      </w:r>
      <w:r>
        <w:rPr>
          <w:rFonts w:hint="eastAsia" w:ascii="宋体" w:hAnsi="宋体" w:eastAsia="宋体" w:cs="宋体"/>
          <w:color w:val="auto"/>
          <w:sz w:val="21"/>
          <w:szCs w:val="21"/>
          <w:u w:val="single"/>
        </w:rPr>
        <w:t xml:space="preserve">   由发包人支配使用，工程结算后，如有余额归发包人   </w:t>
      </w:r>
      <w:r>
        <w:rPr>
          <w:rFonts w:hint="eastAsia" w:ascii="宋体" w:hAnsi="宋体" w:eastAsia="宋体" w:cs="宋体"/>
          <w:color w:val="auto"/>
          <w:sz w:val="21"/>
          <w:szCs w:val="21"/>
        </w:rPr>
        <w:t>。</w:t>
      </w:r>
    </w:p>
    <w:p w14:paraId="353AF6C4">
      <w:pPr>
        <w:pStyle w:val="4"/>
        <w:rPr>
          <w:rFonts w:hint="eastAsia" w:ascii="宋体" w:hAnsi="宋体" w:eastAsia="宋体" w:cs="宋体"/>
          <w:color w:val="auto"/>
          <w:sz w:val="21"/>
          <w:szCs w:val="21"/>
        </w:rPr>
      </w:pPr>
      <w:bookmarkStart w:id="209" w:name="_Toc8333"/>
      <w:r>
        <w:rPr>
          <w:rFonts w:hint="eastAsia" w:ascii="宋体" w:hAnsi="宋体" w:eastAsia="宋体" w:cs="宋体"/>
          <w:color w:val="auto"/>
          <w:sz w:val="21"/>
          <w:szCs w:val="21"/>
        </w:rPr>
        <w:t>11. 价格调整</w:t>
      </w:r>
      <w:bookmarkEnd w:id="209"/>
    </w:p>
    <w:p w14:paraId="558E6617">
      <w:pPr>
        <w:pStyle w:val="5"/>
        <w:rPr>
          <w:rFonts w:hint="eastAsia" w:ascii="宋体" w:hAnsi="宋体" w:eastAsia="宋体" w:cs="宋体"/>
          <w:color w:val="auto"/>
          <w:sz w:val="21"/>
          <w:szCs w:val="21"/>
        </w:rPr>
      </w:pPr>
      <w:bookmarkStart w:id="210" w:name="_Toc8838"/>
      <w:r>
        <w:rPr>
          <w:rFonts w:hint="eastAsia" w:ascii="宋体" w:hAnsi="宋体" w:eastAsia="宋体" w:cs="宋体"/>
          <w:color w:val="auto"/>
          <w:sz w:val="21"/>
          <w:szCs w:val="21"/>
        </w:rPr>
        <w:t>11.1 市场价格波动引起的调整</w:t>
      </w:r>
      <w:bookmarkEnd w:id="210"/>
    </w:p>
    <w:p w14:paraId="60726C77">
      <w:pPr>
        <w:spacing w:line="360" w:lineRule="auto"/>
        <w:ind w:firstLine="422" w:firstLineChars="200"/>
        <w:rPr>
          <w:rFonts w:hint="eastAsia" w:ascii="宋体" w:hAnsi="宋体" w:eastAsia="宋体" w:cs="宋体"/>
          <w:color w:val="auto"/>
          <w:sz w:val="21"/>
          <w:szCs w:val="21"/>
        </w:rPr>
      </w:pPr>
      <w:r>
        <w:rPr>
          <w:rFonts w:hint="eastAsia" w:ascii="宋体" w:hAnsi="宋体" w:eastAsia="宋体" w:cs="宋体"/>
          <w:b/>
          <w:bCs/>
          <w:color w:val="auto"/>
          <w:sz w:val="21"/>
          <w:szCs w:val="21"/>
        </w:rPr>
        <w:t>1</w:t>
      </w:r>
      <w:r>
        <w:rPr>
          <w:rFonts w:hint="eastAsia" w:ascii="宋体" w:hAnsi="宋体" w:eastAsia="宋体" w:cs="宋体"/>
          <w:color w:val="auto"/>
          <w:sz w:val="21"/>
          <w:szCs w:val="21"/>
        </w:rPr>
        <w:t>1．1本合同价款采用</w:t>
      </w:r>
      <w:r>
        <w:rPr>
          <w:rFonts w:hint="eastAsia" w:ascii="宋体" w:hAnsi="宋体" w:eastAsia="宋体" w:cs="宋体"/>
          <w:color w:val="auto"/>
          <w:sz w:val="21"/>
          <w:szCs w:val="21"/>
          <w:u w:val="single"/>
        </w:rPr>
        <w:t xml:space="preserve">  固定综合单价承包  </w:t>
      </w:r>
      <w:r>
        <w:rPr>
          <w:rFonts w:hint="eastAsia" w:ascii="宋体" w:hAnsi="宋体" w:eastAsia="宋体" w:cs="宋体"/>
          <w:color w:val="auto"/>
          <w:sz w:val="21"/>
          <w:szCs w:val="21"/>
        </w:rPr>
        <w:t>方式确定，工程量按实际结算，投标人工程量清单中原有项目的工程量无论增减多少，均按原单价结算。</w:t>
      </w:r>
    </w:p>
    <w:p w14:paraId="139E987A">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 11．2采用固定综合单价合同，综合单价中包括的风险范围： 除工程变更、本工程约定的材料（指钢材、砂、石、墙体砖、商品混凝土）价格风险和政策性调整以外的其他风险。</w:t>
      </w:r>
    </w:p>
    <w:p w14:paraId="74CC7B13">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投标人所填报的各项综合单价，主要材料（指钢材、砂、石、墙体砖、商品混凝土，其他材料不予认可）涨跌幅度超过5%以上部分予以调整。投标人所填报的单价及综合单价在合同实施期间不再作调整(除政策性调整、主要材料涨跌幅度超过5%以上除外)，投标人在报综合单价时应考虑各种风险因素和自己的承受能力。</w:t>
      </w:r>
    </w:p>
    <w:p w14:paraId="3CBF55A0">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风险范围以外合同价款调整方法： </w:t>
      </w:r>
    </w:p>
    <w:p w14:paraId="781A6B3B">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本合同实施期间因分部分项工程量清单漏项、工程变更及相关签证等引起工程项目工程量变化的，其工程量按实际发生并经监理工程师及发包人签证认可，变更合同价款按下列方法进行:工程量清单中有相同细目的按承包人投标时的中标单价进行结算，有类似细目的参考类似中标单价结算；新增项目的单价没有适用于变更工程的单价，则有定额的套定额计算，执行本工程计价参考依据投标计算依据并乘以中标下浮系数（中标价/工程招标控制价），其中材料价格有信息价的按相应项目施工期间信息价的平均价计算，无信息价的按市场价格协商确定；新增项目无定额可套的，由发包人、承包人及监理根据市场价格协商确定；新增项目结算单价=综合单价×（中标价/工程招标控制价）。</w:t>
      </w:r>
    </w:p>
    <w:p w14:paraId="61A40424">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（二）国家和自治区政策性调整有关费用标准的，按文件规定执行。  </w:t>
      </w:r>
    </w:p>
    <w:p w14:paraId="7448D9C9">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  本工程最终结算价须经财政审计部门审核通过为准。</w:t>
      </w:r>
    </w:p>
    <w:p w14:paraId="2EEFD27B">
      <w:pPr>
        <w:pStyle w:val="4"/>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1"/>
          <w:szCs w:val="21"/>
        </w:rPr>
      </w:pPr>
      <w:bookmarkStart w:id="211" w:name="_Toc450"/>
      <w:r>
        <w:rPr>
          <w:rFonts w:hint="eastAsia" w:ascii="宋体" w:hAnsi="宋体" w:eastAsia="宋体" w:cs="宋体"/>
          <w:color w:val="auto"/>
          <w:sz w:val="21"/>
          <w:szCs w:val="21"/>
        </w:rPr>
        <w:t>12. 合同价格、计量与支付</w:t>
      </w:r>
      <w:bookmarkEnd w:id="211"/>
    </w:p>
    <w:p w14:paraId="113507FF">
      <w:pPr>
        <w:pStyle w:val="18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（1）单价合同。</w:t>
      </w:r>
    </w:p>
    <w:p w14:paraId="65135512">
      <w:pPr>
        <w:pStyle w:val="18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本合同价款采用固定综合单价方式确定。</w:t>
      </w:r>
    </w:p>
    <w:p w14:paraId="2E78CD35">
      <w:pPr>
        <w:pStyle w:val="18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综合单价包含的风险范围：</w:t>
      </w:r>
      <w:r>
        <w:rPr>
          <w:rFonts w:hint="eastAsia" w:ascii="宋体" w:hAnsi="宋体" w:eastAsia="宋体" w:cs="宋体"/>
          <w:color w:val="auto"/>
          <w:sz w:val="21"/>
          <w:szCs w:val="21"/>
          <w:u w:val="single"/>
        </w:rPr>
        <w:t>除工程变更、政策性调整、《承包人提供主要材料一览表》约定的材料价格变动风险以外因素。</w:t>
      </w:r>
    </w:p>
    <w:p w14:paraId="065E071E">
      <w:pPr>
        <w:pStyle w:val="252"/>
        <w:pageBreakBefore w:val="0"/>
        <w:widowControl w:val="0"/>
        <w:kinsoku/>
        <w:wordWrap/>
        <w:overflowPunct/>
        <w:topLinePunct w:val="0"/>
        <w:autoSpaceDE/>
        <w:autoSpaceDN/>
        <w:bidi w:val="0"/>
        <w:adjustRightInd/>
        <w:snapToGrid/>
        <w:spacing w:line="400" w:lineRule="exact"/>
        <w:ind w:firstLine="441" w:firstLineChars="21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风险范围以外合同价格的调整方法：</w:t>
      </w:r>
    </w:p>
    <w:p w14:paraId="75B4BEF3">
      <w:pPr>
        <w:pStyle w:val="252"/>
        <w:pageBreakBefore w:val="0"/>
        <w:widowControl w:val="0"/>
        <w:kinsoku/>
        <w:wordWrap/>
        <w:overflowPunct/>
        <w:topLinePunct w:val="0"/>
        <w:autoSpaceDE/>
        <w:autoSpaceDN/>
        <w:bidi w:val="0"/>
        <w:adjustRightInd/>
        <w:snapToGrid/>
        <w:spacing w:line="400" w:lineRule="exact"/>
        <w:ind w:firstLine="441" w:firstLineChars="21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①工程变更：按10.4.1变更估价原则的约定调整。</w:t>
      </w:r>
    </w:p>
    <w:p w14:paraId="69B33E75">
      <w:pPr>
        <w:pStyle w:val="252"/>
        <w:pageBreakBefore w:val="0"/>
        <w:widowControl w:val="0"/>
        <w:kinsoku/>
        <w:wordWrap/>
        <w:overflowPunct/>
        <w:topLinePunct w:val="0"/>
        <w:autoSpaceDE/>
        <w:autoSpaceDN/>
        <w:bidi w:val="0"/>
        <w:adjustRightInd/>
        <w:snapToGrid/>
        <w:spacing w:line="400" w:lineRule="exact"/>
        <w:ind w:firstLine="441" w:firstLineChars="21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②政策性调整：按自治区建设行政主管部门颁布的文件执行。</w:t>
      </w:r>
    </w:p>
    <w:p w14:paraId="4C9888CC">
      <w:pPr>
        <w:pStyle w:val="252"/>
        <w:pageBreakBefore w:val="0"/>
        <w:widowControl w:val="0"/>
        <w:kinsoku/>
        <w:wordWrap/>
        <w:overflowPunct/>
        <w:topLinePunct w:val="0"/>
        <w:autoSpaceDE/>
        <w:autoSpaceDN/>
        <w:bidi w:val="0"/>
        <w:adjustRightInd/>
        <w:snapToGrid/>
        <w:spacing w:line="400" w:lineRule="exact"/>
        <w:ind w:firstLine="441" w:firstLineChars="21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③材料价格风险：按11.1的约定调整。</w:t>
      </w:r>
    </w:p>
    <w:p w14:paraId="0ECB9CE5">
      <w:pPr>
        <w:pStyle w:val="18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④其它：</w:t>
      </w:r>
      <w:r>
        <w:rPr>
          <w:rFonts w:hint="eastAsia" w:ascii="宋体" w:hAnsi="宋体" w:eastAsia="宋体" w:cs="宋体"/>
          <w:color w:val="auto"/>
          <w:sz w:val="21"/>
          <w:szCs w:val="21"/>
          <w:u w:val="single"/>
        </w:rPr>
        <w:t>双方另行约定</w:t>
      </w:r>
      <w:r>
        <w:rPr>
          <w:rFonts w:hint="eastAsia" w:ascii="宋体" w:hAnsi="宋体" w:eastAsia="宋体" w:cs="宋体"/>
          <w:color w:val="auto"/>
          <w:sz w:val="21"/>
          <w:szCs w:val="21"/>
        </w:rPr>
        <w:t>。</w:t>
      </w:r>
    </w:p>
    <w:p w14:paraId="67456044">
      <w:pPr>
        <w:pStyle w:val="18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（2）总价合同。</w:t>
      </w:r>
    </w:p>
    <w:p w14:paraId="67E0B7EA">
      <w:pPr>
        <w:pStyle w:val="18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总价包含的风险范围：</w:t>
      </w:r>
      <w:r>
        <w:rPr>
          <w:rFonts w:hint="eastAsia" w:ascii="宋体" w:hAnsi="宋体" w:eastAsia="宋体" w:cs="宋体"/>
          <w:color w:val="auto"/>
          <w:sz w:val="21"/>
          <w:szCs w:val="21"/>
          <w:u w:val="single"/>
        </w:rPr>
        <w:t>无</w:t>
      </w:r>
      <w:r>
        <w:rPr>
          <w:rFonts w:hint="eastAsia" w:ascii="宋体" w:hAnsi="宋体" w:eastAsia="宋体" w:cs="宋体"/>
          <w:color w:val="auto"/>
          <w:sz w:val="21"/>
          <w:szCs w:val="21"/>
        </w:rPr>
        <w:t>。</w:t>
      </w:r>
    </w:p>
    <w:p w14:paraId="2421C962">
      <w:pPr>
        <w:pStyle w:val="18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风险范围以外合同价格的调整方法：</w:t>
      </w:r>
      <w:r>
        <w:rPr>
          <w:rFonts w:hint="eastAsia" w:ascii="宋体" w:hAnsi="宋体" w:eastAsia="宋体" w:cs="宋体"/>
          <w:color w:val="auto"/>
          <w:sz w:val="21"/>
          <w:szCs w:val="21"/>
          <w:u w:val="single"/>
        </w:rPr>
        <w:t>无</w:t>
      </w:r>
      <w:r>
        <w:rPr>
          <w:rFonts w:hint="eastAsia" w:ascii="宋体" w:hAnsi="宋体" w:eastAsia="宋体" w:cs="宋体"/>
          <w:color w:val="auto"/>
          <w:sz w:val="21"/>
          <w:szCs w:val="21"/>
        </w:rPr>
        <w:t>。</w:t>
      </w:r>
    </w:p>
    <w:p w14:paraId="433156A2">
      <w:pPr>
        <w:pStyle w:val="18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（3）其他价格方式：</w:t>
      </w:r>
      <w:r>
        <w:rPr>
          <w:rFonts w:hint="eastAsia" w:ascii="宋体" w:hAnsi="宋体" w:eastAsia="宋体" w:cs="宋体"/>
          <w:color w:val="auto"/>
          <w:sz w:val="21"/>
          <w:szCs w:val="21"/>
          <w:u w:val="single"/>
        </w:rPr>
        <w:t>无</w:t>
      </w:r>
      <w:r>
        <w:rPr>
          <w:rFonts w:hint="eastAsia" w:ascii="宋体" w:hAnsi="宋体" w:eastAsia="宋体" w:cs="宋体"/>
          <w:color w:val="auto"/>
          <w:sz w:val="21"/>
          <w:szCs w:val="21"/>
        </w:rPr>
        <w:t>。</w:t>
      </w:r>
      <w:bookmarkStart w:id="212" w:name="_Toc903"/>
    </w:p>
    <w:p w14:paraId="6560A43D">
      <w:pPr>
        <w:pStyle w:val="5"/>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rPr>
        <w:t>12</w:t>
      </w:r>
      <w:r>
        <w:rPr>
          <w:rFonts w:hint="eastAsia" w:ascii="宋体" w:hAnsi="宋体" w:eastAsia="宋体" w:cs="宋体"/>
          <w:b w:val="0"/>
          <w:bCs w:val="0"/>
          <w:color w:val="auto"/>
          <w:sz w:val="21"/>
          <w:szCs w:val="21"/>
          <w:highlight w:val="none"/>
        </w:rPr>
        <w:t>.2 预付款</w:t>
      </w:r>
      <w:bookmarkEnd w:id="212"/>
    </w:p>
    <w:p w14:paraId="70EEC1E5">
      <w:pPr>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w:t>预付款支付比例或金额：</w:t>
      </w:r>
      <w:r>
        <w:rPr>
          <w:rFonts w:hint="eastAsia" w:ascii="宋体" w:hAnsi="宋体" w:eastAsia="宋体" w:cs="宋体"/>
          <w:b w:val="0"/>
          <w:bCs w:val="0"/>
          <w:color w:val="auto"/>
          <w:sz w:val="21"/>
          <w:szCs w:val="21"/>
          <w:highlight w:val="none"/>
          <w:u w:val="single"/>
        </w:rPr>
        <w:t xml:space="preserve"> 合同总价（扣除暂列金额）的30%     </w:t>
      </w:r>
      <w:r>
        <w:rPr>
          <w:rFonts w:hint="eastAsia" w:ascii="宋体" w:hAnsi="宋体" w:eastAsia="宋体" w:cs="宋体"/>
          <w:b w:val="0"/>
          <w:bCs w:val="0"/>
          <w:color w:val="auto"/>
          <w:sz w:val="21"/>
          <w:szCs w:val="21"/>
          <w:highlight w:val="none"/>
        </w:rPr>
        <w:t>【备注：政府投资项目应严格执行工程预付款制度，工程预付款应不低于合同总价（扣除暂列金额）的10%（最高不超过30%，并与工程进度款分期按约定比</w:t>
      </w:r>
      <w:r>
        <w:rPr>
          <w:rFonts w:hint="eastAsia" w:ascii="宋体" w:hAnsi="宋体" w:eastAsia="宋体" w:cs="宋体"/>
          <w:b w:val="0"/>
          <w:bCs w:val="0"/>
          <w:color w:val="auto"/>
          <w:sz w:val="21"/>
          <w:szCs w:val="21"/>
          <w:highlight w:val="none"/>
          <w:u w:val="single"/>
        </w:rPr>
        <w:t xml:space="preserve">  10% </w:t>
      </w:r>
      <w:r>
        <w:rPr>
          <w:rFonts w:hint="eastAsia" w:ascii="宋体" w:hAnsi="宋体" w:eastAsia="宋体" w:cs="宋体"/>
          <w:b w:val="0"/>
          <w:bCs w:val="0"/>
          <w:color w:val="auto"/>
          <w:sz w:val="21"/>
          <w:szCs w:val="21"/>
          <w:highlight w:val="none"/>
        </w:rPr>
        <w:t>例抵扣）】</w:t>
      </w:r>
    </w:p>
    <w:p w14:paraId="42AAB816">
      <w:pPr>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进度款支付方式：合同内按工程计量周期内完成工程量的</w:t>
      </w:r>
      <w:r>
        <w:rPr>
          <w:rFonts w:hint="eastAsia" w:ascii="宋体" w:hAnsi="宋体" w:eastAsia="宋体" w:cs="宋体"/>
          <w:b w:val="0"/>
          <w:bCs w:val="0"/>
          <w:color w:val="auto"/>
          <w:sz w:val="21"/>
          <w:szCs w:val="21"/>
          <w:highlight w:val="none"/>
          <w:u w:val="single"/>
        </w:rPr>
        <w:t xml:space="preserve">      80%      </w:t>
      </w:r>
      <w:r>
        <w:rPr>
          <w:rFonts w:hint="eastAsia" w:ascii="宋体" w:hAnsi="宋体" w:eastAsia="宋体" w:cs="宋体"/>
          <w:b w:val="0"/>
          <w:bCs w:val="0"/>
          <w:color w:val="auto"/>
          <w:sz w:val="21"/>
          <w:szCs w:val="21"/>
          <w:highlight w:val="none"/>
        </w:rPr>
        <w:t>，合同外按工程计量周期完成工程量的</w:t>
      </w:r>
      <w:r>
        <w:rPr>
          <w:rFonts w:hint="eastAsia" w:ascii="宋体" w:hAnsi="宋体" w:eastAsia="宋体" w:cs="宋体"/>
          <w:b w:val="0"/>
          <w:bCs w:val="0"/>
          <w:color w:val="auto"/>
          <w:sz w:val="21"/>
          <w:szCs w:val="21"/>
          <w:highlight w:val="none"/>
          <w:u w:val="single"/>
        </w:rPr>
        <w:t xml:space="preserve">    </w:t>
      </w:r>
      <w:r>
        <w:rPr>
          <w:rFonts w:hint="eastAsia" w:ascii="宋体" w:hAnsi="宋体" w:cs="宋体"/>
          <w:b w:val="0"/>
          <w:bCs w:val="0"/>
          <w:color w:val="auto"/>
          <w:sz w:val="21"/>
          <w:szCs w:val="21"/>
          <w:highlight w:val="none"/>
          <w:u w:val="single"/>
          <w:lang w:val="en-US" w:eastAsia="zh-CN"/>
        </w:rPr>
        <w:t>75</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。【鼓励提高工程进度款支付比例至已完工程价款的80%~90%，含尚未抵扣的工程预付款。】</w:t>
      </w:r>
    </w:p>
    <w:p w14:paraId="3BE62190">
      <w:pPr>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rPr>
      </w:pPr>
      <w:r>
        <w:rPr>
          <w:rStyle w:val="47"/>
          <w:rFonts w:hint="eastAsia" w:ascii="宋体" w:hAnsi="宋体" w:eastAsia="宋体" w:cs="宋体"/>
          <w:b w:val="0"/>
          <w:bCs w:val="0"/>
          <w:color w:val="auto"/>
          <w:highlight w:val="none"/>
        </w:rPr>
        <w:t>预付款扣回的方式：</w:t>
      </w:r>
      <w:r>
        <w:rPr>
          <w:rStyle w:val="47"/>
          <w:rFonts w:hint="eastAsia" w:ascii="宋体" w:hAnsi="宋体" w:eastAsia="宋体" w:cs="宋体"/>
          <w:b w:val="0"/>
          <w:bCs w:val="0"/>
          <w:color w:val="auto"/>
          <w:sz w:val="21"/>
          <w:szCs w:val="21"/>
          <w:highlight w:val="none"/>
          <w:u w:val="single"/>
        </w:rPr>
        <w:t>进度款达到50%作为预付款起扣点，从此之后的每个月进度款中按预付款支付比例扣回</w:t>
      </w:r>
      <w:r>
        <w:rPr>
          <w:rStyle w:val="47"/>
          <w:rFonts w:hint="eastAsia" w:ascii="宋体" w:hAnsi="宋体" w:eastAsia="宋体" w:cs="宋体"/>
          <w:b w:val="0"/>
          <w:bCs w:val="0"/>
          <w:color w:val="auto"/>
          <w:highlight w:val="none"/>
        </w:rPr>
        <w:t>。</w:t>
      </w:r>
    </w:p>
    <w:p w14:paraId="11D580B7">
      <w:pPr>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rPr>
      </w:pPr>
    </w:p>
    <w:p w14:paraId="6471A239">
      <w:pPr>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rPr>
      </w:pPr>
    </w:p>
    <w:p w14:paraId="4B7EA2C7">
      <w:pPr>
        <w:pStyle w:val="5"/>
        <w:pageBreakBefore w:val="0"/>
        <w:widowControl w:val="0"/>
        <w:kinsoku/>
        <w:overflowPunct/>
        <w:topLinePunct w:val="0"/>
        <w:autoSpaceDE/>
        <w:autoSpaceDN/>
        <w:bidi w:val="0"/>
        <w:adjustRightInd/>
        <w:snapToGrid/>
        <w:spacing w:before="0" w:after="0" w:line="400" w:lineRule="exact"/>
        <w:textAlignment w:val="auto"/>
        <w:rPr>
          <w:rFonts w:hint="eastAsia" w:ascii="宋体" w:hAnsi="宋体" w:eastAsia="宋体" w:cs="宋体"/>
          <w:b w:val="0"/>
          <w:bCs w:val="0"/>
          <w:color w:val="auto"/>
          <w:sz w:val="21"/>
          <w:szCs w:val="21"/>
          <w:highlight w:val="none"/>
        </w:rPr>
      </w:pPr>
      <w:bookmarkStart w:id="213" w:name="_Toc29431"/>
      <w:r>
        <w:rPr>
          <w:rFonts w:hint="eastAsia" w:ascii="宋体" w:hAnsi="宋体" w:eastAsia="宋体" w:cs="宋体"/>
          <w:b w:val="0"/>
          <w:bCs w:val="0"/>
          <w:color w:val="auto"/>
          <w:sz w:val="21"/>
          <w:szCs w:val="21"/>
          <w:highlight w:val="none"/>
        </w:rPr>
        <w:t>12.3 计量</w:t>
      </w:r>
      <w:bookmarkEnd w:id="213"/>
    </w:p>
    <w:p w14:paraId="7F079DDD">
      <w:pPr>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12.3.1 计量原则</w:t>
      </w:r>
    </w:p>
    <w:p w14:paraId="2220DACE">
      <w:pPr>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工程量计算规则：</w:t>
      </w:r>
      <w:r>
        <w:rPr>
          <w:rFonts w:hint="eastAsia" w:ascii="宋体" w:hAnsi="宋体" w:eastAsia="宋体" w:cs="宋体"/>
          <w:b w:val="0"/>
          <w:bCs w:val="0"/>
          <w:color w:val="auto"/>
          <w:sz w:val="21"/>
          <w:szCs w:val="21"/>
          <w:highlight w:val="none"/>
          <w:u w:val="single"/>
        </w:rPr>
        <w:t>工程的计量均以《建设工程工程量清单计价规范》（GB50500－2013）和及其广西壮族自治区实施细则、《建设工程工程量清单计算规范》（GB50854~50862－2013）及其广西实施细则、本工程补充项目清单为准。</w:t>
      </w:r>
    </w:p>
    <w:p w14:paraId="5C376B3B">
      <w:pP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12.3.2 计量周期</w:t>
      </w:r>
    </w:p>
    <w:p w14:paraId="7EE7AE82">
      <w:pPr>
        <w:pStyle w:val="24"/>
        <w:adjustRightInd w:val="0"/>
        <w:snapToGrid w:val="0"/>
        <w:spacing w:line="300" w:lineRule="auto"/>
        <w:ind w:firstLine="502"/>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关于计量周期的约定：</w:t>
      </w:r>
      <w:r>
        <w:rPr>
          <w:rFonts w:hint="eastAsia" w:ascii="宋体" w:hAnsi="宋体" w:eastAsia="宋体" w:cs="宋体"/>
          <w:b w:val="0"/>
          <w:bCs w:val="0"/>
          <w:color w:val="auto"/>
          <w:sz w:val="21"/>
          <w:szCs w:val="21"/>
          <w:highlight w:val="none"/>
          <w:u w:val="single"/>
        </w:rPr>
        <w:t>开工之后每月25日前，按进度向监理工程师提出当月已完工程量报告一式六份。监理工程师应于收到承包人提交的已完工程报告之日起8个工作日内进行计量和确认</w:t>
      </w:r>
      <w:r>
        <w:rPr>
          <w:rFonts w:hint="eastAsia" w:ascii="宋体" w:hAnsi="宋体" w:eastAsia="宋体" w:cs="宋体"/>
          <w:b w:val="0"/>
          <w:bCs w:val="0"/>
          <w:color w:val="auto"/>
          <w:sz w:val="21"/>
          <w:szCs w:val="21"/>
          <w:highlight w:val="none"/>
        </w:rPr>
        <w:t>。</w:t>
      </w:r>
    </w:p>
    <w:p w14:paraId="40A145AE">
      <w:pPr>
        <w:spacing w:line="360" w:lineRule="auto"/>
        <w:ind w:firstLine="420" w:firstLineChars="200"/>
        <w:rPr>
          <w:rFonts w:hint="eastAsia" w:ascii="宋体" w:hAnsi="宋体" w:eastAsia="宋体" w:cs="宋体"/>
          <w:b w:val="0"/>
          <w:bCs w:val="0"/>
          <w:color w:val="auto"/>
          <w:sz w:val="21"/>
          <w:szCs w:val="21"/>
          <w:highlight w:val="none"/>
        </w:rPr>
      </w:pPr>
    </w:p>
    <w:p w14:paraId="3F06852E">
      <w:pPr>
        <w:pStyle w:val="5"/>
        <w:rPr>
          <w:rFonts w:hint="eastAsia" w:ascii="宋体" w:hAnsi="宋体" w:eastAsia="宋体" w:cs="宋体"/>
          <w:b w:val="0"/>
          <w:bCs w:val="0"/>
          <w:color w:val="auto"/>
          <w:sz w:val="21"/>
          <w:szCs w:val="21"/>
          <w:highlight w:val="none"/>
        </w:rPr>
      </w:pPr>
      <w:bookmarkStart w:id="214" w:name="_Toc3291"/>
      <w:r>
        <w:rPr>
          <w:rFonts w:hint="eastAsia" w:ascii="宋体" w:hAnsi="宋体" w:eastAsia="宋体" w:cs="宋体"/>
          <w:b w:val="0"/>
          <w:bCs w:val="0"/>
          <w:color w:val="auto"/>
          <w:sz w:val="21"/>
          <w:szCs w:val="21"/>
          <w:highlight w:val="none"/>
        </w:rPr>
        <w:t>12.4 工程进度款支付</w:t>
      </w:r>
      <w:bookmarkEnd w:id="214"/>
    </w:p>
    <w:p w14:paraId="785472D8">
      <w:pP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12.4.1 付款周期</w:t>
      </w:r>
    </w:p>
    <w:p w14:paraId="1C9B750B">
      <w:pPr>
        <w:wordWrap w:val="0"/>
        <w:spacing w:line="360" w:lineRule="auto"/>
        <w:ind w:firstLine="420" w:firstLineChars="20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u w:val="single"/>
        </w:rPr>
        <w:t>双方约定的工程款（进度款）的支付方式和时间：</w:t>
      </w:r>
      <w:r>
        <w:rPr>
          <w:rFonts w:hint="eastAsia"/>
          <w:b w:val="0"/>
          <w:bCs w:val="0"/>
          <w:color w:val="auto"/>
          <w:highlight w:val="none"/>
          <w:u w:val="single"/>
        </w:rPr>
        <w:t>工程款按月支付，合同内进度款支付限额为经业主及监理工程师审定的已完成工程量价款的80%，合同外工程进度款支付限额为经业主及监理工程师审定的已完成工程量价款的75%。工程竣工验收合格，工程款支付到合同款的90%，合同外追加工程待竣工验收合格后拨付至工程价款的90%，工程竣工验收合格，竣工结算经财政或审计部门审定并经发包人确认后，工程款支付至结算总价的97%（含已支付的），发包人按工程价款结算总额的3%，待约定的工程质量保修期满后14天内支付（无息）。</w:t>
      </w:r>
    </w:p>
    <w:p w14:paraId="47B0B9B6">
      <w:pPr>
        <w:pStyle w:val="24"/>
        <w:adjustRightInd w:val="0"/>
        <w:snapToGrid w:val="0"/>
        <w:spacing w:line="300" w:lineRule="auto"/>
        <w:ind w:firstLine="502"/>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u w:val="single"/>
        </w:rPr>
        <w:t>承包人必须按时支付农民工工资，发包人支付到合同价款的80％时，承包人必须全部支付完农民工工资及材料款，如有农民工或材料供应商到发包人单位及上级部门反映索要工资、货款现象视为违约，每发生一次扣最终结算价的1％，发包人可从应向承包人支付的款项中扣除。</w:t>
      </w:r>
    </w:p>
    <w:p w14:paraId="4E401CD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12.4.2 进度付款申请单的编制</w:t>
      </w:r>
    </w:p>
    <w:p w14:paraId="4B1ECC01">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关于进度付款申请单编制的约定：</w:t>
      </w:r>
      <w:r>
        <w:rPr>
          <w:rFonts w:hint="eastAsia" w:ascii="宋体" w:hAnsi="宋体" w:eastAsia="宋体" w:cs="宋体"/>
          <w:b/>
          <w:bCs/>
          <w:color w:val="auto"/>
          <w:sz w:val="21"/>
          <w:szCs w:val="21"/>
          <w:highlight w:val="none"/>
          <w:u w:val="single"/>
        </w:rPr>
        <w:t xml:space="preserve"> 按发包人合同部的要求格式，一式六份 </w:t>
      </w:r>
      <w:r>
        <w:rPr>
          <w:rFonts w:hint="eastAsia" w:ascii="宋体" w:hAnsi="宋体" w:eastAsia="宋体" w:cs="宋体"/>
          <w:color w:val="auto"/>
          <w:sz w:val="21"/>
          <w:szCs w:val="21"/>
          <w:highlight w:val="none"/>
        </w:rPr>
        <w:t>。</w:t>
      </w:r>
    </w:p>
    <w:p w14:paraId="4053E8E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12.4.3 进度付款申请单的提交</w:t>
      </w:r>
    </w:p>
    <w:p w14:paraId="671CEDE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（2）进度付款申请单提交的约定：</w:t>
      </w:r>
      <w:r>
        <w:rPr>
          <w:rFonts w:hint="eastAsia" w:ascii="宋体" w:hAnsi="宋体" w:eastAsia="宋体" w:cs="宋体"/>
          <w:color w:val="auto"/>
          <w:sz w:val="21"/>
          <w:szCs w:val="21"/>
          <w:highlight w:val="none"/>
          <w:u w:val="single"/>
        </w:rPr>
        <w:t xml:space="preserve">  发包人向财政部门申请工程进度款时，承包人应配合发包人提供以下资料：①《工程用款支付证书》；②《财政性资金投资项目用款核定通知书》；③工程量计量报表（格式按财政局业务科室具体要求）；④其他需要补充说明的材料 </w:t>
      </w:r>
      <w:r>
        <w:rPr>
          <w:rFonts w:hint="eastAsia" w:ascii="宋体" w:hAnsi="宋体" w:eastAsia="宋体" w:cs="宋体"/>
          <w:color w:val="auto"/>
          <w:sz w:val="21"/>
          <w:szCs w:val="21"/>
          <w:highlight w:val="none"/>
        </w:rPr>
        <w:t>。</w:t>
      </w:r>
    </w:p>
    <w:p w14:paraId="0DA09D7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12.4.4 进度款审核和支付</w:t>
      </w:r>
    </w:p>
    <w:p w14:paraId="56E57B78">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（1）监理人审查并报送发包人的期限： </w:t>
      </w:r>
      <w:r>
        <w:rPr>
          <w:rFonts w:hint="eastAsia" w:ascii="宋体" w:hAnsi="宋体" w:eastAsia="宋体" w:cs="宋体"/>
          <w:color w:val="auto"/>
          <w:sz w:val="21"/>
          <w:szCs w:val="21"/>
          <w:highlight w:val="none"/>
          <w:u w:val="single"/>
        </w:rPr>
        <w:t xml:space="preserve"> 收到承包人提交的已完工程报告之日起7个工作日内进行计量和确认  </w:t>
      </w:r>
      <w:r>
        <w:rPr>
          <w:rFonts w:hint="eastAsia" w:ascii="宋体" w:hAnsi="宋体" w:eastAsia="宋体" w:cs="宋体"/>
          <w:color w:val="auto"/>
          <w:sz w:val="21"/>
          <w:szCs w:val="21"/>
          <w:highlight w:val="none"/>
        </w:rPr>
        <w:t>。</w:t>
      </w:r>
    </w:p>
    <w:p w14:paraId="3726064F">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发包人完成审批并签发进度款支付证书的期限：</w:t>
      </w:r>
      <w:r>
        <w:rPr>
          <w:rFonts w:hint="eastAsia" w:ascii="宋体" w:hAnsi="宋体" w:eastAsia="宋体" w:cs="宋体"/>
          <w:color w:val="auto"/>
          <w:sz w:val="21"/>
          <w:szCs w:val="21"/>
          <w:highlight w:val="none"/>
          <w:u w:val="single"/>
        </w:rPr>
        <w:t xml:space="preserve">    收到资料后14天内    </w:t>
      </w:r>
      <w:r>
        <w:rPr>
          <w:rFonts w:hint="eastAsia" w:ascii="宋体" w:hAnsi="宋体" w:eastAsia="宋体" w:cs="宋体"/>
          <w:color w:val="auto"/>
          <w:sz w:val="21"/>
          <w:szCs w:val="21"/>
          <w:highlight w:val="none"/>
        </w:rPr>
        <w:t>。</w:t>
      </w:r>
    </w:p>
    <w:p w14:paraId="4339D5F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（2）发包人支付进度款的期限：</w:t>
      </w:r>
      <w:r>
        <w:rPr>
          <w:rFonts w:hint="eastAsia" w:ascii="宋体" w:hAnsi="宋体" w:eastAsia="宋体" w:cs="宋体"/>
          <w:color w:val="auto"/>
          <w:sz w:val="21"/>
          <w:szCs w:val="21"/>
          <w:highlight w:val="none"/>
          <w:u w:val="single"/>
        </w:rPr>
        <w:t xml:space="preserve">   支付证书签发、县财政拨款后划拨</w:t>
      </w:r>
      <w:r>
        <w:rPr>
          <w:rFonts w:hint="eastAsia" w:ascii="宋体" w:hAnsi="宋体" w:eastAsia="宋体" w:cs="宋体"/>
          <w:color w:val="auto"/>
          <w:sz w:val="21"/>
          <w:szCs w:val="21"/>
          <w:highlight w:val="none"/>
        </w:rPr>
        <w:t>。</w:t>
      </w:r>
    </w:p>
    <w:p w14:paraId="362E457F">
      <w:pP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发包人逾期支付进度款的违约金的计算方式：</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03384BD1">
      <w:pP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进度款支付方式：</w:t>
      </w:r>
      <w:r>
        <w:rPr>
          <w:rFonts w:hint="eastAsia" w:ascii="宋体" w:hAnsi="宋体" w:eastAsia="宋体" w:cs="宋体"/>
          <w:color w:val="auto"/>
          <w:sz w:val="21"/>
          <w:szCs w:val="21"/>
          <w:highlight w:val="none"/>
          <w:u w:val="single"/>
        </w:rPr>
        <w:t>银行转账</w:t>
      </w:r>
      <w:r>
        <w:rPr>
          <w:rFonts w:hint="eastAsia" w:ascii="宋体" w:hAnsi="宋体" w:eastAsia="宋体" w:cs="宋体"/>
          <w:color w:val="auto"/>
          <w:sz w:val="21"/>
          <w:szCs w:val="21"/>
          <w:highlight w:val="none"/>
        </w:rPr>
        <w:t>。</w:t>
      </w:r>
    </w:p>
    <w:p w14:paraId="49AD9AEB">
      <w:pP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12.4.6 支付分解表的编制</w:t>
      </w:r>
    </w:p>
    <w:p w14:paraId="11C4DF70">
      <w:pPr>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 总价合同支付分解表的编制与审批：</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7747FAFA">
      <w:pP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单价合同的总价项目支付分解表的编制与审批：总价项目不采用支付分解表的方式计算，而按《建设工程工程量清单计价规范（GB50500-2013）广西壮族自治区实施细则》的规定执行。</w:t>
      </w:r>
    </w:p>
    <w:p w14:paraId="1B09F2D1">
      <w:pPr>
        <w:pStyle w:val="4"/>
        <w:rPr>
          <w:rFonts w:hint="eastAsia" w:ascii="宋体" w:hAnsi="宋体" w:eastAsia="宋体" w:cs="宋体"/>
          <w:color w:val="auto"/>
          <w:sz w:val="21"/>
          <w:szCs w:val="21"/>
          <w:highlight w:val="none"/>
        </w:rPr>
      </w:pPr>
      <w:bookmarkStart w:id="215" w:name="_Toc29508"/>
      <w:r>
        <w:rPr>
          <w:rFonts w:hint="eastAsia" w:ascii="宋体" w:hAnsi="宋体" w:eastAsia="宋体" w:cs="宋体"/>
          <w:color w:val="auto"/>
          <w:sz w:val="21"/>
          <w:szCs w:val="21"/>
          <w:highlight w:val="none"/>
        </w:rPr>
        <w:t>13. 验收和工程试车</w:t>
      </w:r>
      <w:bookmarkEnd w:id="215"/>
    </w:p>
    <w:p w14:paraId="1A26E7E9">
      <w:pPr>
        <w:pStyle w:val="5"/>
        <w:rPr>
          <w:rFonts w:hint="eastAsia" w:ascii="宋体" w:hAnsi="宋体" w:eastAsia="宋体" w:cs="宋体"/>
          <w:color w:val="auto"/>
          <w:sz w:val="21"/>
          <w:szCs w:val="21"/>
          <w:highlight w:val="none"/>
        </w:rPr>
      </w:pPr>
      <w:bookmarkStart w:id="216" w:name="_Toc7608"/>
      <w:r>
        <w:rPr>
          <w:rFonts w:hint="eastAsia" w:ascii="宋体" w:hAnsi="宋体" w:eastAsia="宋体" w:cs="宋体"/>
          <w:color w:val="auto"/>
          <w:sz w:val="21"/>
          <w:szCs w:val="21"/>
          <w:highlight w:val="none"/>
        </w:rPr>
        <w:t>13.1 分部分项工程验收</w:t>
      </w:r>
      <w:bookmarkEnd w:id="216"/>
    </w:p>
    <w:p w14:paraId="74BCDB0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13.1.2监理人不能按时进行验收时，应提前</w:t>
      </w:r>
      <w:r>
        <w:rPr>
          <w:rFonts w:hint="eastAsia" w:ascii="宋体" w:hAnsi="宋体" w:eastAsia="宋体" w:cs="宋体"/>
          <w:color w:val="auto"/>
          <w:sz w:val="21"/>
          <w:szCs w:val="21"/>
          <w:highlight w:val="none"/>
          <w:u w:val="single"/>
        </w:rPr>
        <w:t xml:space="preserve">   6    </w:t>
      </w:r>
      <w:r>
        <w:rPr>
          <w:rFonts w:hint="eastAsia" w:ascii="宋体" w:hAnsi="宋体" w:eastAsia="宋体" w:cs="宋体"/>
          <w:color w:val="auto"/>
          <w:sz w:val="21"/>
          <w:szCs w:val="21"/>
          <w:highlight w:val="none"/>
        </w:rPr>
        <w:t>小时提交书面延期要求。</w:t>
      </w:r>
    </w:p>
    <w:p w14:paraId="0AFA1F57">
      <w:pPr>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关于延期最长不得超过：</w:t>
      </w:r>
      <w:r>
        <w:rPr>
          <w:rFonts w:hint="eastAsia" w:ascii="宋体" w:hAnsi="宋体" w:eastAsia="宋体" w:cs="宋体"/>
          <w:color w:val="auto"/>
          <w:sz w:val="21"/>
          <w:szCs w:val="21"/>
          <w:highlight w:val="none"/>
          <w:u w:val="single"/>
        </w:rPr>
        <w:t xml:space="preserve">    12     </w:t>
      </w:r>
      <w:r>
        <w:rPr>
          <w:rFonts w:hint="eastAsia" w:ascii="宋体" w:hAnsi="宋体" w:eastAsia="宋体" w:cs="宋体"/>
          <w:color w:val="auto"/>
          <w:sz w:val="21"/>
          <w:szCs w:val="21"/>
          <w:highlight w:val="none"/>
        </w:rPr>
        <w:t>小时。</w:t>
      </w:r>
    </w:p>
    <w:p w14:paraId="553983B0">
      <w:pPr>
        <w:pStyle w:val="5"/>
        <w:rPr>
          <w:rFonts w:hint="eastAsia" w:ascii="宋体" w:hAnsi="宋体" w:eastAsia="宋体" w:cs="宋体"/>
          <w:color w:val="auto"/>
          <w:sz w:val="21"/>
          <w:szCs w:val="21"/>
          <w:highlight w:val="none"/>
        </w:rPr>
      </w:pPr>
      <w:bookmarkStart w:id="217" w:name="_Toc22401"/>
      <w:r>
        <w:rPr>
          <w:rFonts w:hint="eastAsia" w:ascii="宋体" w:hAnsi="宋体" w:eastAsia="宋体" w:cs="宋体"/>
          <w:color w:val="auto"/>
          <w:sz w:val="21"/>
          <w:szCs w:val="21"/>
          <w:highlight w:val="none"/>
        </w:rPr>
        <w:t>13.2 竣工验收</w:t>
      </w:r>
      <w:bookmarkEnd w:id="217"/>
    </w:p>
    <w:p w14:paraId="5AAEAB9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13.2.1竣工验收条件</w:t>
      </w:r>
    </w:p>
    <w:p w14:paraId="7D3E2B2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（3）承包人负责整理和提交的竣工验收资料应当符合工程所在地建设行政主管部门和(或)城市建设档案管理机构有关施工资料的要求，具体内容包括：</w:t>
      </w:r>
      <w:r>
        <w:rPr>
          <w:rFonts w:hint="eastAsia" w:ascii="宋体" w:hAnsi="宋体" w:eastAsia="宋体" w:cs="宋体"/>
          <w:color w:val="auto"/>
          <w:sz w:val="21"/>
          <w:szCs w:val="21"/>
          <w:highlight w:val="none"/>
          <w:u w:val="single"/>
        </w:rPr>
        <w:t xml:space="preserve">  质量保证资料、验收备案资料、竣工图等完整的竣工档案资料  </w:t>
      </w:r>
      <w:r>
        <w:rPr>
          <w:rFonts w:hint="eastAsia" w:ascii="宋体" w:hAnsi="宋体" w:eastAsia="宋体" w:cs="宋体"/>
          <w:color w:val="auto"/>
          <w:sz w:val="21"/>
          <w:szCs w:val="21"/>
          <w:highlight w:val="none"/>
        </w:rPr>
        <w:t>。</w:t>
      </w:r>
    </w:p>
    <w:p w14:paraId="5D60DA1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竣工验收资料的份数：</w:t>
      </w:r>
      <w:r>
        <w:rPr>
          <w:rFonts w:hint="eastAsia" w:ascii="宋体" w:hAnsi="宋体" w:eastAsia="宋体" w:cs="宋体"/>
          <w:color w:val="auto"/>
          <w:sz w:val="21"/>
          <w:szCs w:val="21"/>
          <w:highlight w:val="none"/>
          <w:u w:val="single"/>
        </w:rPr>
        <w:t xml:space="preserve">    伍份    </w:t>
      </w:r>
      <w:r>
        <w:rPr>
          <w:rFonts w:hint="eastAsia" w:ascii="宋体" w:hAnsi="宋体" w:eastAsia="宋体" w:cs="宋体"/>
          <w:color w:val="auto"/>
          <w:sz w:val="21"/>
          <w:szCs w:val="21"/>
          <w:highlight w:val="none"/>
        </w:rPr>
        <w:t>。</w:t>
      </w:r>
    </w:p>
    <w:p w14:paraId="2ACE1C9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承包人提供竣工图的约定：</w:t>
      </w:r>
      <w:r>
        <w:rPr>
          <w:rFonts w:hint="eastAsia" w:ascii="宋体" w:hAnsi="宋体" w:eastAsia="宋体" w:cs="宋体"/>
          <w:b/>
          <w:color w:val="auto"/>
          <w:sz w:val="21"/>
          <w:szCs w:val="21"/>
          <w:highlight w:val="none"/>
          <w:u w:val="single"/>
        </w:rPr>
        <w:t>竣工验收正式通过后5天（工程造价在500万元以下含500万元）、10天（工程造价在500万元至1000万元之间含1000万元）、15天（工程造价在1000万元以上），提供竣工图的数量分别为5套。</w:t>
      </w:r>
    </w:p>
    <w:p w14:paraId="545F9DD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13.2.2竣工验收程序</w:t>
      </w:r>
    </w:p>
    <w:p w14:paraId="22820D15">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关于竣工验收程序的约定：</w:t>
      </w:r>
      <w:r>
        <w:rPr>
          <w:rFonts w:hint="eastAsia" w:ascii="宋体" w:hAnsi="宋体" w:eastAsia="宋体" w:cs="宋体"/>
          <w:color w:val="auto"/>
          <w:sz w:val="21"/>
          <w:szCs w:val="21"/>
          <w:highlight w:val="none"/>
          <w:u w:val="single"/>
        </w:rPr>
        <w:t xml:space="preserve">按崇政办发【2017】54号文   </w:t>
      </w:r>
      <w:r>
        <w:rPr>
          <w:rFonts w:hint="eastAsia" w:ascii="宋体" w:hAnsi="宋体" w:eastAsia="宋体" w:cs="宋体"/>
          <w:color w:val="auto"/>
          <w:sz w:val="21"/>
          <w:szCs w:val="21"/>
          <w:highlight w:val="none"/>
        </w:rPr>
        <w:t>。</w:t>
      </w:r>
    </w:p>
    <w:p w14:paraId="0F1E698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发包人不按照本项约定组织竣工验收、颁发工程接收证书的违约金的计算方法：</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257AA4E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13.2.5移交、接收全部与部分工程</w:t>
      </w:r>
    </w:p>
    <w:p w14:paraId="598B753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承包人向发包人移交工程的期限：</w:t>
      </w:r>
      <w:r>
        <w:rPr>
          <w:rFonts w:hint="eastAsia" w:ascii="宋体" w:hAnsi="宋体" w:eastAsia="宋体" w:cs="宋体"/>
          <w:color w:val="auto"/>
          <w:sz w:val="21"/>
          <w:szCs w:val="21"/>
          <w:highlight w:val="none"/>
          <w:u w:val="single"/>
        </w:rPr>
        <w:t xml:space="preserve">  工程竣工验收合格后7天内  </w:t>
      </w:r>
      <w:r>
        <w:rPr>
          <w:rFonts w:hint="eastAsia" w:ascii="宋体" w:hAnsi="宋体" w:eastAsia="宋体" w:cs="宋体"/>
          <w:color w:val="auto"/>
          <w:sz w:val="21"/>
          <w:szCs w:val="21"/>
          <w:highlight w:val="none"/>
        </w:rPr>
        <w:t>。</w:t>
      </w:r>
    </w:p>
    <w:p w14:paraId="01A9818A">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发包人未按本合同约定接收全部或部分工程的，违约金的计算方法为：</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1F82ABDA">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承包人未按时移交工程的，违约金的计算方法为：</w:t>
      </w:r>
      <w:r>
        <w:rPr>
          <w:rFonts w:hint="eastAsia" w:ascii="宋体" w:hAnsi="宋体" w:eastAsia="宋体" w:cs="宋体"/>
          <w:color w:val="auto"/>
          <w:sz w:val="21"/>
          <w:szCs w:val="21"/>
          <w:highlight w:val="none"/>
          <w:u w:val="single"/>
        </w:rPr>
        <w:t xml:space="preserve">   向发包人支付合同价款的万分之四的违约金  </w:t>
      </w:r>
      <w:r>
        <w:rPr>
          <w:rFonts w:hint="eastAsia" w:ascii="宋体" w:hAnsi="宋体" w:eastAsia="宋体" w:cs="宋体"/>
          <w:color w:val="auto"/>
          <w:sz w:val="21"/>
          <w:szCs w:val="21"/>
          <w:highlight w:val="none"/>
        </w:rPr>
        <w:t>。</w:t>
      </w:r>
    </w:p>
    <w:p w14:paraId="6ABF8CB2">
      <w:pPr>
        <w:pStyle w:val="5"/>
        <w:rPr>
          <w:rFonts w:hint="eastAsia" w:ascii="宋体" w:hAnsi="宋体" w:eastAsia="宋体" w:cs="宋体"/>
          <w:color w:val="auto"/>
          <w:sz w:val="21"/>
          <w:szCs w:val="21"/>
          <w:highlight w:val="none"/>
        </w:rPr>
      </w:pPr>
      <w:bookmarkStart w:id="218" w:name="_Toc18474"/>
      <w:r>
        <w:rPr>
          <w:rFonts w:hint="eastAsia" w:ascii="宋体" w:hAnsi="宋体" w:eastAsia="宋体" w:cs="宋体"/>
          <w:color w:val="auto"/>
          <w:sz w:val="21"/>
          <w:szCs w:val="21"/>
          <w:highlight w:val="none"/>
        </w:rPr>
        <w:t>13.3 工程试车</w:t>
      </w:r>
      <w:bookmarkEnd w:id="218"/>
    </w:p>
    <w:p w14:paraId="158C822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13.3.1 试车程序</w:t>
      </w:r>
    </w:p>
    <w:p w14:paraId="30F02ECF">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工程试车内容：</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30D1ED2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（1）单机无负荷试车费用由</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承担；</w:t>
      </w:r>
    </w:p>
    <w:p w14:paraId="3AAF0BF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（2）无负荷联动试车费用由</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承担。</w:t>
      </w:r>
    </w:p>
    <w:p w14:paraId="4512C0A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13.3.3 投料试车</w:t>
      </w:r>
    </w:p>
    <w:p w14:paraId="484F647F">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关于投料试车相关事项的约定：</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47822F2D">
      <w:pPr>
        <w:pStyle w:val="5"/>
        <w:rPr>
          <w:rFonts w:hint="eastAsia" w:ascii="宋体" w:hAnsi="宋体" w:eastAsia="宋体" w:cs="宋体"/>
          <w:color w:val="auto"/>
          <w:sz w:val="21"/>
          <w:szCs w:val="21"/>
          <w:highlight w:val="none"/>
        </w:rPr>
      </w:pPr>
      <w:bookmarkStart w:id="219" w:name="_Toc32721"/>
      <w:r>
        <w:rPr>
          <w:rFonts w:hint="eastAsia" w:ascii="宋体" w:hAnsi="宋体" w:eastAsia="宋体" w:cs="宋体"/>
          <w:color w:val="auto"/>
          <w:sz w:val="21"/>
          <w:szCs w:val="21"/>
          <w:highlight w:val="none"/>
        </w:rPr>
        <w:t>13.6 竣工退场</w:t>
      </w:r>
      <w:bookmarkEnd w:id="219"/>
    </w:p>
    <w:p w14:paraId="591211E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13.6.1 竣工退场</w:t>
      </w:r>
    </w:p>
    <w:p w14:paraId="636A23F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承包人完成竣工退场的期限：</w:t>
      </w:r>
      <w:r>
        <w:rPr>
          <w:rFonts w:hint="eastAsia" w:ascii="宋体" w:hAnsi="宋体" w:eastAsia="宋体" w:cs="宋体"/>
          <w:color w:val="auto"/>
          <w:sz w:val="21"/>
          <w:szCs w:val="21"/>
          <w:highlight w:val="none"/>
          <w:u w:val="single"/>
        </w:rPr>
        <w:t xml:space="preserve">  竣工验收合格并移交后21天内  </w:t>
      </w:r>
      <w:r>
        <w:rPr>
          <w:rFonts w:hint="eastAsia" w:ascii="宋体" w:hAnsi="宋体" w:eastAsia="宋体" w:cs="宋体"/>
          <w:color w:val="auto"/>
          <w:sz w:val="21"/>
          <w:szCs w:val="21"/>
          <w:highlight w:val="none"/>
        </w:rPr>
        <w:t>。</w:t>
      </w:r>
    </w:p>
    <w:p w14:paraId="130153E5">
      <w:pPr>
        <w:pStyle w:val="4"/>
        <w:rPr>
          <w:rFonts w:hint="eastAsia" w:ascii="宋体" w:hAnsi="宋体" w:eastAsia="宋体" w:cs="宋体"/>
          <w:color w:val="auto"/>
          <w:sz w:val="21"/>
          <w:szCs w:val="21"/>
          <w:highlight w:val="none"/>
        </w:rPr>
      </w:pPr>
      <w:bookmarkStart w:id="220" w:name="_Toc20715"/>
      <w:r>
        <w:rPr>
          <w:rFonts w:hint="eastAsia" w:ascii="宋体" w:hAnsi="宋体" w:eastAsia="宋体" w:cs="宋体"/>
          <w:color w:val="auto"/>
          <w:sz w:val="21"/>
          <w:szCs w:val="21"/>
          <w:highlight w:val="none"/>
        </w:rPr>
        <w:t>14. 竣工结算</w:t>
      </w:r>
      <w:bookmarkEnd w:id="220"/>
    </w:p>
    <w:p w14:paraId="1690B9D5">
      <w:pPr>
        <w:pStyle w:val="5"/>
        <w:rPr>
          <w:rFonts w:hint="eastAsia" w:ascii="宋体" w:hAnsi="宋体" w:eastAsia="宋体" w:cs="宋体"/>
          <w:color w:val="auto"/>
          <w:sz w:val="21"/>
          <w:szCs w:val="21"/>
          <w:highlight w:val="none"/>
        </w:rPr>
      </w:pPr>
      <w:bookmarkStart w:id="221" w:name="_Toc30368"/>
      <w:r>
        <w:rPr>
          <w:rFonts w:hint="eastAsia" w:ascii="宋体" w:hAnsi="宋体" w:eastAsia="宋体" w:cs="宋体"/>
          <w:color w:val="auto"/>
          <w:sz w:val="21"/>
          <w:szCs w:val="21"/>
          <w:highlight w:val="none"/>
        </w:rPr>
        <w:t>14.1 竣工付款申请</w:t>
      </w:r>
      <w:bookmarkEnd w:id="221"/>
    </w:p>
    <w:p w14:paraId="5B087A81">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承包人提交竣工付款申请单的期限：</w:t>
      </w:r>
      <w:r>
        <w:rPr>
          <w:rFonts w:hint="eastAsia" w:ascii="宋体" w:hAnsi="宋体" w:eastAsia="宋体" w:cs="宋体"/>
          <w:color w:val="auto"/>
          <w:sz w:val="21"/>
          <w:szCs w:val="21"/>
          <w:u w:val="single"/>
        </w:rPr>
        <w:t xml:space="preserve">  竣工验收合格后28天内 </w:t>
      </w:r>
      <w:r>
        <w:rPr>
          <w:rFonts w:hint="eastAsia" w:ascii="宋体" w:hAnsi="宋体" w:eastAsia="宋体" w:cs="宋体"/>
          <w:color w:val="auto"/>
          <w:sz w:val="21"/>
          <w:szCs w:val="21"/>
        </w:rPr>
        <w:t>。</w:t>
      </w:r>
    </w:p>
    <w:p w14:paraId="678C8738">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竣工付款申请单应包括的内容：</w:t>
      </w:r>
      <w:r>
        <w:rPr>
          <w:rFonts w:hint="eastAsia" w:ascii="宋体" w:hAnsi="宋体" w:eastAsia="宋体" w:cs="宋体"/>
          <w:color w:val="auto"/>
          <w:sz w:val="21"/>
          <w:szCs w:val="21"/>
          <w:u w:val="single"/>
        </w:rPr>
        <w:t>本合同《通用条款》相关规定执行</w:t>
      </w:r>
      <w:r>
        <w:rPr>
          <w:rFonts w:hint="eastAsia" w:ascii="宋体" w:hAnsi="宋体" w:eastAsia="宋体" w:cs="宋体"/>
          <w:color w:val="auto"/>
          <w:sz w:val="21"/>
          <w:szCs w:val="21"/>
        </w:rPr>
        <w:t>。</w:t>
      </w:r>
    </w:p>
    <w:p w14:paraId="43435BDB">
      <w:pPr>
        <w:pStyle w:val="5"/>
        <w:rPr>
          <w:rFonts w:hint="eastAsia" w:ascii="宋体" w:hAnsi="宋体" w:eastAsia="宋体" w:cs="宋体"/>
          <w:color w:val="auto"/>
          <w:sz w:val="21"/>
          <w:szCs w:val="21"/>
        </w:rPr>
      </w:pPr>
      <w:bookmarkStart w:id="222" w:name="_Toc30435"/>
      <w:r>
        <w:rPr>
          <w:rFonts w:hint="eastAsia" w:ascii="宋体" w:hAnsi="宋体" w:eastAsia="宋体" w:cs="宋体"/>
          <w:color w:val="auto"/>
          <w:sz w:val="21"/>
          <w:szCs w:val="21"/>
        </w:rPr>
        <w:t>14.2 竣工结算审核</w:t>
      </w:r>
      <w:bookmarkEnd w:id="222"/>
    </w:p>
    <w:p w14:paraId="48FFB9F9">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发包人审批竣工付款申请单的期限：</w:t>
      </w:r>
    </w:p>
    <w:tbl>
      <w:tblPr>
        <w:tblStyle w:val="45"/>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7EC31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2C8111DC">
            <w:pPr>
              <w:spacing w:line="360" w:lineRule="auto"/>
              <w:rPr>
                <w:rFonts w:hint="eastAsia" w:ascii="宋体" w:hAnsi="宋体" w:eastAsia="宋体" w:cs="宋体"/>
                <w:bCs/>
                <w:color w:val="auto"/>
                <w:sz w:val="21"/>
                <w:szCs w:val="21"/>
              </w:rPr>
            </w:pPr>
          </w:p>
        </w:tc>
        <w:tc>
          <w:tcPr>
            <w:tcW w:w="2466" w:type="dxa"/>
            <w:vAlign w:val="center"/>
          </w:tcPr>
          <w:p w14:paraId="0091732D">
            <w:pPr>
              <w:spacing w:line="360" w:lineRule="auto"/>
              <w:ind w:firstLine="27" w:firstLineChars="13"/>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工程竣工结算报告金额</w:t>
            </w:r>
          </w:p>
        </w:tc>
        <w:tc>
          <w:tcPr>
            <w:tcW w:w="5967" w:type="dxa"/>
            <w:vAlign w:val="center"/>
          </w:tcPr>
          <w:p w14:paraId="19D8D7DF">
            <w:pPr>
              <w:spacing w:line="360" w:lineRule="auto"/>
              <w:ind w:firstLine="441" w:firstLineChars="21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发包人审查时间</w:t>
            </w:r>
          </w:p>
        </w:tc>
      </w:tr>
      <w:tr w14:paraId="70398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738E37BF">
            <w:pPr>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w:t>
            </w:r>
          </w:p>
        </w:tc>
        <w:tc>
          <w:tcPr>
            <w:tcW w:w="2466" w:type="dxa"/>
            <w:vAlign w:val="center"/>
          </w:tcPr>
          <w:p w14:paraId="2C392F3E">
            <w:pPr>
              <w:spacing w:line="360" w:lineRule="auto"/>
              <w:ind w:firstLine="27" w:firstLineChars="13"/>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500万元以下</w:t>
            </w:r>
          </w:p>
        </w:tc>
        <w:tc>
          <w:tcPr>
            <w:tcW w:w="5967" w:type="dxa"/>
            <w:vAlign w:val="center"/>
          </w:tcPr>
          <w:p w14:paraId="5B04B6C9">
            <w:pPr>
              <w:spacing w:line="360" w:lineRule="auto"/>
              <w:ind w:firstLine="441" w:firstLineChars="21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从接到竣工结算报告和完整的竣工结算资料之日起20天</w:t>
            </w:r>
          </w:p>
        </w:tc>
      </w:tr>
      <w:tr w14:paraId="52169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53DC6746">
            <w:pPr>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2</w:t>
            </w:r>
          </w:p>
        </w:tc>
        <w:tc>
          <w:tcPr>
            <w:tcW w:w="2466" w:type="dxa"/>
            <w:vAlign w:val="center"/>
          </w:tcPr>
          <w:p w14:paraId="203D7899">
            <w:pPr>
              <w:spacing w:line="360" w:lineRule="auto"/>
              <w:ind w:firstLine="27" w:firstLineChars="13"/>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500万元-2000万元</w:t>
            </w:r>
          </w:p>
        </w:tc>
        <w:tc>
          <w:tcPr>
            <w:tcW w:w="5967" w:type="dxa"/>
            <w:vAlign w:val="center"/>
          </w:tcPr>
          <w:p w14:paraId="50DF6F46">
            <w:pPr>
              <w:spacing w:line="360" w:lineRule="auto"/>
              <w:ind w:firstLine="441" w:firstLineChars="21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从接到竣工结算报告和完整的竣工结算资料之日起30天</w:t>
            </w:r>
          </w:p>
        </w:tc>
      </w:tr>
      <w:tr w14:paraId="4C289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1A38BD69">
            <w:pPr>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3</w:t>
            </w:r>
          </w:p>
        </w:tc>
        <w:tc>
          <w:tcPr>
            <w:tcW w:w="2466" w:type="dxa"/>
            <w:vAlign w:val="center"/>
          </w:tcPr>
          <w:p w14:paraId="349EB3FF">
            <w:pPr>
              <w:spacing w:line="360" w:lineRule="auto"/>
              <w:ind w:firstLine="27" w:firstLineChars="13"/>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2000万元-5000万元</w:t>
            </w:r>
          </w:p>
        </w:tc>
        <w:tc>
          <w:tcPr>
            <w:tcW w:w="5967" w:type="dxa"/>
            <w:vAlign w:val="center"/>
          </w:tcPr>
          <w:p w14:paraId="06EA8D59">
            <w:pPr>
              <w:spacing w:line="360" w:lineRule="auto"/>
              <w:ind w:firstLine="441" w:firstLineChars="21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从接到竣工结算报告和完整的竣工结算资料之日起45天</w:t>
            </w:r>
          </w:p>
        </w:tc>
      </w:tr>
      <w:tr w14:paraId="64D63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71548E44">
            <w:pPr>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4</w:t>
            </w:r>
          </w:p>
        </w:tc>
        <w:tc>
          <w:tcPr>
            <w:tcW w:w="2466" w:type="dxa"/>
            <w:vAlign w:val="center"/>
          </w:tcPr>
          <w:p w14:paraId="61A86CF7">
            <w:pPr>
              <w:spacing w:line="360" w:lineRule="auto"/>
              <w:ind w:firstLine="27" w:firstLineChars="13"/>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5000万元以上</w:t>
            </w:r>
          </w:p>
        </w:tc>
        <w:tc>
          <w:tcPr>
            <w:tcW w:w="5967" w:type="dxa"/>
            <w:vAlign w:val="center"/>
          </w:tcPr>
          <w:p w14:paraId="25A67611">
            <w:pPr>
              <w:spacing w:line="360" w:lineRule="auto"/>
              <w:ind w:firstLine="441" w:firstLineChars="21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从接到竣工结算报告和完整的竣工结算资料之日起60天</w:t>
            </w:r>
          </w:p>
        </w:tc>
      </w:tr>
    </w:tbl>
    <w:p w14:paraId="3881003D">
      <w:pPr>
        <w:snapToGrid w:val="0"/>
        <w:spacing w:line="444" w:lineRule="exact"/>
        <w:ind w:right="424" w:rightChars="202" w:firstLine="420" w:firstLineChars="200"/>
        <w:rPr>
          <w:rFonts w:hint="eastAsia" w:ascii="宋体" w:hAnsi="宋体" w:eastAsia="宋体" w:cs="宋体"/>
          <w:color w:val="auto"/>
          <w:sz w:val="21"/>
          <w:szCs w:val="21"/>
        </w:rPr>
      </w:pPr>
      <w:r>
        <w:rPr>
          <w:rFonts w:hint="eastAsia" w:ascii="宋体" w:hAnsi="宋体" w:eastAsia="宋体" w:cs="宋体"/>
          <w:bCs/>
          <w:color w:val="auto"/>
          <w:sz w:val="21"/>
          <w:szCs w:val="21"/>
        </w:rPr>
        <w:t>因承包人提供的结算资料不完整而需要补充或承包人不按时对账耽误时间时，审查时间应相应顺延</w:t>
      </w:r>
      <w:r>
        <w:rPr>
          <w:rFonts w:hint="eastAsia" w:ascii="宋体" w:hAnsi="宋体" w:eastAsia="宋体" w:cs="宋体"/>
          <w:color w:val="auto"/>
          <w:sz w:val="21"/>
          <w:szCs w:val="21"/>
        </w:rPr>
        <w:t>。</w:t>
      </w:r>
    </w:p>
    <w:p w14:paraId="211D9CBC">
      <w:pPr>
        <w:snapToGrid w:val="0"/>
        <w:spacing w:line="444" w:lineRule="exact"/>
        <w:ind w:right="424" w:rightChars="202"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竣工结算价最终由财政、审计部门或建设单位（发包人）委托的造价咨询公司进行审核确定。为降低结算造价编制的差错率，确保送审工程结算造价的真实性和完整性，避免出现不负责任的高估虚报行为，工程开工前与施工单位约定，并在施工合同中明确：（1）基建工程结算审减率≤6%、结算审核费由建设单位全额承担；6%＜基建工程结算审减率＜10%时，结算审核费由建设单位、施工单位各承担50%；基建工程结算审减率≥10%、结算审核费由施工单位全额承担。施工单位承担的结算审核费在工程结算款中直接扣除。应扣除的结算审核费＝基本费（送审造价×2‰）+效益费（核减造价×5%），其中：核减造价=送审造价-审定造价，审减率=核减造价/送审造价×100%。（2）合同外工程量及进度款需审核的，因非最终结算审核，所产生的审核费均由施工单位全额承担，同时在送审前进行合同约定。</w:t>
      </w:r>
    </w:p>
    <w:p w14:paraId="490AA809">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发包人完成竣工付款的期限：</w:t>
      </w:r>
      <w:r>
        <w:rPr>
          <w:rFonts w:hint="eastAsia" w:ascii="宋体" w:hAnsi="宋体" w:eastAsia="宋体" w:cs="宋体"/>
          <w:color w:val="auto"/>
          <w:sz w:val="21"/>
          <w:szCs w:val="21"/>
          <w:u w:val="single"/>
        </w:rPr>
        <w:t xml:space="preserve">  发竣工付款证书、县财政拨款后划拨</w:t>
      </w:r>
      <w:r>
        <w:rPr>
          <w:rFonts w:hint="eastAsia" w:ascii="宋体" w:hAnsi="宋体" w:eastAsia="宋体" w:cs="宋体"/>
          <w:color w:val="auto"/>
          <w:sz w:val="21"/>
          <w:szCs w:val="21"/>
        </w:rPr>
        <w:t>。</w:t>
      </w:r>
    </w:p>
    <w:p w14:paraId="584F1BCF">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关于竣工付款证书异议部分复核的方式和程序：</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14:paraId="31F6F2A0">
      <w:pPr>
        <w:pStyle w:val="5"/>
        <w:rPr>
          <w:rFonts w:hint="eastAsia" w:ascii="宋体" w:hAnsi="宋体" w:eastAsia="宋体" w:cs="宋体"/>
          <w:color w:val="auto"/>
          <w:sz w:val="21"/>
          <w:szCs w:val="21"/>
        </w:rPr>
      </w:pPr>
      <w:bookmarkStart w:id="223" w:name="_Toc11425"/>
      <w:r>
        <w:rPr>
          <w:rFonts w:hint="eastAsia" w:ascii="宋体" w:hAnsi="宋体" w:eastAsia="宋体" w:cs="宋体"/>
          <w:color w:val="auto"/>
          <w:sz w:val="21"/>
          <w:szCs w:val="21"/>
        </w:rPr>
        <w:t>14.4 最终结清</w:t>
      </w:r>
      <w:bookmarkEnd w:id="223"/>
    </w:p>
    <w:p w14:paraId="74ADD5B9">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14.4.1 最终结清申请单</w:t>
      </w:r>
    </w:p>
    <w:p w14:paraId="32ED3704">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承包人提交最终结清申请单的份数：</w:t>
      </w:r>
      <w:r>
        <w:rPr>
          <w:rFonts w:hint="eastAsia" w:ascii="宋体" w:hAnsi="宋体" w:eastAsia="宋体" w:cs="宋体"/>
          <w:color w:val="auto"/>
          <w:sz w:val="21"/>
          <w:szCs w:val="21"/>
          <w:u w:val="single"/>
        </w:rPr>
        <w:t xml:space="preserve">  一式两份  </w:t>
      </w:r>
      <w:r>
        <w:rPr>
          <w:rFonts w:hint="eastAsia" w:ascii="宋体" w:hAnsi="宋体" w:eastAsia="宋体" w:cs="宋体"/>
          <w:color w:val="auto"/>
          <w:sz w:val="21"/>
          <w:szCs w:val="21"/>
        </w:rPr>
        <w:t>。</w:t>
      </w:r>
    </w:p>
    <w:p w14:paraId="0288187B">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承包人提交最终结算申请单的期限：</w:t>
      </w:r>
      <w:r>
        <w:rPr>
          <w:rFonts w:hint="eastAsia" w:ascii="宋体" w:hAnsi="宋体" w:eastAsia="宋体" w:cs="宋体"/>
          <w:color w:val="auto"/>
          <w:sz w:val="21"/>
          <w:szCs w:val="21"/>
          <w:u w:val="single"/>
        </w:rPr>
        <w:t xml:space="preserve">缺陷责任期终止证书颁发后7天内 </w:t>
      </w:r>
      <w:r>
        <w:rPr>
          <w:rFonts w:hint="eastAsia" w:ascii="宋体" w:hAnsi="宋体" w:eastAsia="宋体" w:cs="宋体"/>
          <w:color w:val="auto"/>
          <w:sz w:val="21"/>
          <w:szCs w:val="21"/>
        </w:rPr>
        <w:t xml:space="preserve">。 </w:t>
      </w:r>
    </w:p>
    <w:p w14:paraId="2D604295">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14.4.2 最终结清证书和支付</w:t>
      </w:r>
    </w:p>
    <w:p w14:paraId="6C4543E8">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（1）发包人完成最终结清申请单的审批并颁发最终结清证书的期限：</w:t>
      </w:r>
      <w:r>
        <w:rPr>
          <w:rFonts w:hint="eastAsia" w:ascii="宋体" w:hAnsi="宋体" w:eastAsia="宋体" w:cs="宋体"/>
          <w:color w:val="auto"/>
          <w:sz w:val="21"/>
          <w:szCs w:val="21"/>
          <w:u w:val="single"/>
        </w:rPr>
        <w:t xml:space="preserve">收到申请单后14天内 </w:t>
      </w:r>
      <w:r>
        <w:rPr>
          <w:rFonts w:hint="eastAsia" w:ascii="宋体" w:hAnsi="宋体" w:eastAsia="宋体" w:cs="宋体"/>
          <w:color w:val="auto"/>
          <w:sz w:val="21"/>
          <w:szCs w:val="21"/>
        </w:rPr>
        <w:t>。</w:t>
      </w:r>
    </w:p>
    <w:p w14:paraId="4AA71CC5">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（2）发包人完成支付的期限：</w:t>
      </w:r>
      <w:r>
        <w:rPr>
          <w:rFonts w:hint="eastAsia" w:ascii="宋体" w:hAnsi="宋体" w:eastAsia="宋体" w:cs="宋体"/>
          <w:color w:val="auto"/>
          <w:sz w:val="21"/>
          <w:szCs w:val="21"/>
          <w:u w:val="single"/>
        </w:rPr>
        <w:t xml:space="preserve">  颁发最终结清证书后14天内  </w:t>
      </w:r>
      <w:r>
        <w:rPr>
          <w:rFonts w:hint="eastAsia" w:ascii="宋体" w:hAnsi="宋体" w:eastAsia="宋体" w:cs="宋体"/>
          <w:color w:val="auto"/>
          <w:sz w:val="21"/>
          <w:szCs w:val="21"/>
        </w:rPr>
        <w:t>。</w:t>
      </w:r>
    </w:p>
    <w:p w14:paraId="1EE86B93">
      <w:pPr>
        <w:pStyle w:val="4"/>
        <w:rPr>
          <w:rFonts w:hint="eastAsia" w:ascii="宋体" w:hAnsi="宋体" w:eastAsia="宋体" w:cs="宋体"/>
          <w:color w:val="auto"/>
          <w:sz w:val="21"/>
          <w:szCs w:val="21"/>
        </w:rPr>
      </w:pPr>
      <w:bookmarkStart w:id="224" w:name="_Toc1986"/>
      <w:r>
        <w:rPr>
          <w:rFonts w:hint="eastAsia" w:ascii="宋体" w:hAnsi="宋体" w:eastAsia="宋体" w:cs="宋体"/>
          <w:color w:val="auto"/>
          <w:sz w:val="21"/>
          <w:szCs w:val="21"/>
        </w:rPr>
        <w:t>15. 缺陷责任期与保修</w:t>
      </w:r>
      <w:bookmarkEnd w:id="224"/>
    </w:p>
    <w:p w14:paraId="1B10D1B4">
      <w:pPr>
        <w:pStyle w:val="5"/>
        <w:rPr>
          <w:rFonts w:hint="eastAsia" w:ascii="宋体" w:hAnsi="宋体" w:eastAsia="宋体" w:cs="宋体"/>
          <w:color w:val="auto"/>
          <w:sz w:val="21"/>
          <w:szCs w:val="21"/>
        </w:rPr>
      </w:pPr>
      <w:bookmarkStart w:id="225" w:name="_Toc24961"/>
      <w:r>
        <w:rPr>
          <w:rFonts w:hint="eastAsia" w:ascii="宋体" w:hAnsi="宋体" w:eastAsia="宋体" w:cs="宋体"/>
          <w:color w:val="auto"/>
          <w:sz w:val="21"/>
          <w:szCs w:val="21"/>
        </w:rPr>
        <w:t>15.2 缺陷责任期</w:t>
      </w:r>
      <w:bookmarkEnd w:id="225"/>
    </w:p>
    <w:p w14:paraId="69C44573">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缺陷责任期的具体期限：</w:t>
      </w:r>
      <w:r>
        <w:rPr>
          <w:rFonts w:hint="eastAsia" w:ascii="宋体" w:hAnsi="宋体" w:eastAsia="宋体" w:cs="宋体"/>
          <w:color w:val="auto"/>
          <w:sz w:val="21"/>
          <w:szCs w:val="21"/>
          <w:u w:val="single"/>
        </w:rPr>
        <w:t>按本合同《通用条款》相关规定执行</w:t>
      </w:r>
      <w:r>
        <w:rPr>
          <w:rFonts w:hint="eastAsia" w:ascii="宋体" w:hAnsi="宋体" w:eastAsia="宋体" w:cs="宋体"/>
          <w:color w:val="auto"/>
          <w:sz w:val="21"/>
          <w:szCs w:val="21"/>
        </w:rPr>
        <w:t>。</w:t>
      </w:r>
    </w:p>
    <w:p w14:paraId="28BAA77F">
      <w:pPr>
        <w:pStyle w:val="5"/>
        <w:rPr>
          <w:rFonts w:hint="eastAsia" w:ascii="宋体" w:hAnsi="宋体" w:eastAsia="宋体" w:cs="宋体"/>
          <w:color w:val="auto"/>
          <w:sz w:val="21"/>
          <w:szCs w:val="21"/>
        </w:rPr>
      </w:pPr>
      <w:bookmarkStart w:id="226" w:name="_Toc12881"/>
      <w:r>
        <w:rPr>
          <w:rFonts w:hint="eastAsia" w:ascii="宋体" w:hAnsi="宋体" w:eastAsia="宋体" w:cs="宋体"/>
          <w:color w:val="auto"/>
          <w:sz w:val="21"/>
          <w:szCs w:val="21"/>
        </w:rPr>
        <w:t>15.3 质量保证金</w:t>
      </w:r>
      <w:bookmarkEnd w:id="226"/>
    </w:p>
    <w:p w14:paraId="2DBE79C2">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关于是否扣留质量保证金的约定：</w:t>
      </w:r>
      <w:r>
        <w:rPr>
          <w:rFonts w:hint="eastAsia" w:ascii="宋体" w:hAnsi="宋体" w:eastAsia="宋体" w:cs="宋体"/>
          <w:color w:val="auto"/>
          <w:sz w:val="21"/>
          <w:szCs w:val="21"/>
          <w:u w:val="single"/>
        </w:rPr>
        <w:t>无</w:t>
      </w:r>
      <w:r>
        <w:rPr>
          <w:rFonts w:hint="eastAsia" w:ascii="宋体" w:hAnsi="宋体" w:eastAsia="宋体" w:cs="宋体"/>
          <w:color w:val="auto"/>
          <w:sz w:val="21"/>
          <w:szCs w:val="21"/>
        </w:rPr>
        <w:t>。</w:t>
      </w:r>
    </w:p>
    <w:p w14:paraId="0F351289">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15.3.1 承包人提供质量保证金的方式</w:t>
      </w:r>
    </w:p>
    <w:p w14:paraId="754A845E">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质量保证金采用以下第种方式：</w:t>
      </w:r>
    </w:p>
    <w:p w14:paraId="76330471">
      <w:pPr>
        <w:adjustRightIn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（1）质量保证金保函，保证金额为：</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14:paraId="64A9FE39">
      <w:pPr>
        <w:adjustRightIn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bCs/>
          <w:color w:val="auto"/>
          <w:sz w:val="21"/>
          <w:szCs w:val="21"/>
        </w:rPr>
        <w:t>发包人按工程价款结算总额的</w:t>
      </w:r>
      <w:r>
        <w:rPr>
          <w:rFonts w:hint="eastAsia" w:ascii="宋体" w:hAnsi="宋体" w:eastAsia="宋体" w:cs="宋体"/>
          <w:bCs/>
          <w:color w:val="auto"/>
          <w:sz w:val="21"/>
          <w:szCs w:val="21"/>
          <w:u w:val="single"/>
        </w:rPr>
        <w:t xml:space="preserve">无 </w:t>
      </w:r>
      <w:r>
        <w:rPr>
          <w:rFonts w:hint="eastAsia" w:ascii="宋体" w:hAnsi="宋体" w:eastAsia="宋体" w:cs="宋体"/>
          <w:bCs/>
          <w:color w:val="auto"/>
          <w:sz w:val="21"/>
          <w:szCs w:val="21"/>
        </w:rPr>
        <w:t>预留工程质量保修金，待缺陷责任期满后返还</w:t>
      </w:r>
      <w:r>
        <w:rPr>
          <w:rFonts w:hint="eastAsia" w:ascii="宋体" w:hAnsi="宋体" w:eastAsia="宋体" w:cs="宋体"/>
          <w:color w:val="auto"/>
          <w:sz w:val="21"/>
          <w:szCs w:val="21"/>
        </w:rPr>
        <w:t>；</w:t>
      </w:r>
    </w:p>
    <w:p w14:paraId="21AF8608">
      <w:pPr>
        <w:adjustRightIn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（3）其他方式：</w:t>
      </w:r>
      <w:r>
        <w:rPr>
          <w:rFonts w:hint="eastAsia" w:ascii="宋体" w:hAnsi="宋体" w:eastAsia="宋体" w:cs="宋体"/>
          <w:bCs/>
          <w:color w:val="auto"/>
          <w:sz w:val="21"/>
          <w:szCs w:val="21"/>
          <w:u w:val="single"/>
        </w:rPr>
        <w:t xml:space="preserve">         /                              </w:t>
      </w:r>
      <w:r>
        <w:rPr>
          <w:rFonts w:hint="eastAsia" w:ascii="宋体" w:hAnsi="宋体" w:eastAsia="宋体" w:cs="宋体"/>
          <w:bCs/>
          <w:color w:val="auto"/>
          <w:sz w:val="21"/>
          <w:szCs w:val="21"/>
        </w:rPr>
        <w:t>。</w:t>
      </w:r>
    </w:p>
    <w:p w14:paraId="0E9D54DE">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15.3.2 质量保证金的扣留</w:t>
      </w:r>
    </w:p>
    <w:p w14:paraId="714E5102">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质量保证金的扣留采取以下第种方式：</w:t>
      </w:r>
    </w:p>
    <w:p w14:paraId="7D68FA25">
      <w:pPr>
        <w:adjustRightIn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（1）在支付工程进度款时逐次扣留，在此情形下，质量保证金的计算基数不包括预付款的支付、扣回以及价格调整的金额；</w:t>
      </w:r>
    </w:p>
    <w:p w14:paraId="52CDFD9E">
      <w:pPr>
        <w:adjustRightIn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（2）工程竣工结算时一次性扣留质量保证金；</w:t>
      </w:r>
    </w:p>
    <w:p w14:paraId="48C0F4CA">
      <w:pPr>
        <w:adjustRightIn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（3）其他扣留方式:</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14:paraId="060E41B6">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关于质量保证金的补充约定：</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14:paraId="005A97E4">
      <w:pPr>
        <w:pStyle w:val="5"/>
        <w:rPr>
          <w:rFonts w:hint="eastAsia" w:ascii="宋体" w:hAnsi="宋体" w:eastAsia="宋体" w:cs="宋体"/>
          <w:color w:val="auto"/>
          <w:sz w:val="21"/>
          <w:szCs w:val="21"/>
        </w:rPr>
      </w:pPr>
      <w:bookmarkStart w:id="227" w:name="_Toc1899"/>
      <w:r>
        <w:rPr>
          <w:rFonts w:hint="eastAsia" w:ascii="宋体" w:hAnsi="宋体" w:eastAsia="宋体" w:cs="宋体"/>
          <w:color w:val="auto"/>
          <w:sz w:val="21"/>
          <w:szCs w:val="21"/>
        </w:rPr>
        <w:t>15.4 保修</w:t>
      </w:r>
      <w:bookmarkEnd w:id="227"/>
    </w:p>
    <w:p w14:paraId="47D3956B">
      <w:pPr>
        <w:spacing w:line="360" w:lineRule="auto"/>
        <w:ind w:firstLine="409" w:firstLineChars="195"/>
        <w:rPr>
          <w:rFonts w:hint="eastAsia" w:ascii="宋体" w:hAnsi="宋体" w:eastAsia="宋体" w:cs="宋体"/>
          <w:color w:val="auto"/>
          <w:sz w:val="21"/>
          <w:szCs w:val="21"/>
        </w:rPr>
      </w:pPr>
      <w:r>
        <w:rPr>
          <w:rFonts w:hint="eastAsia" w:ascii="宋体" w:hAnsi="宋体" w:eastAsia="宋体" w:cs="宋体"/>
          <w:color w:val="auto"/>
          <w:sz w:val="21"/>
          <w:szCs w:val="21"/>
        </w:rPr>
        <w:t>15.4.1 保修责任</w:t>
      </w:r>
    </w:p>
    <w:p w14:paraId="6EE4073D">
      <w:pPr>
        <w:spacing w:line="360" w:lineRule="auto"/>
        <w:ind w:firstLine="409" w:firstLineChars="195"/>
        <w:rPr>
          <w:rFonts w:hint="eastAsia" w:ascii="宋体" w:hAnsi="宋体" w:eastAsia="宋体" w:cs="宋体"/>
          <w:color w:val="auto"/>
          <w:sz w:val="21"/>
          <w:szCs w:val="21"/>
        </w:rPr>
      </w:pPr>
      <w:r>
        <w:rPr>
          <w:rFonts w:hint="eastAsia" w:ascii="宋体" w:hAnsi="宋体" w:eastAsia="宋体" w:cs="宋体"/>
          <w:color w:val="auto"/>
          <w:sz w:val="21"/>
          <w:szCs w:val="21"/>
        </w:rPr>
        <w:t>工程保修期为：</w:t>
      </w:r>
      <w:r>
        <w:rPr>
          <w:rFonts w:hint="eastAsia" w:ascii="宋体" w:hAnsi="宋体" w:eastAsia="宋体" w:cs="宋体"/>
          <w:color w:val="auto"/>
          <w:sz w:val="21"/>
          <w:szCs w:val="21"/>
          <w:u w:val="single"/>
        </w:rPr>
        <w:t xml:space="preserve">      详见工程质量保修书                      </w:t>
      </w:r>
      <w:r>
        <w:rPr>
          <w:rFonts w:hint="eastAsia" w:ascii="宋体" w:hAnsi="宋体" w:eastAsia="宋体" w:cs="宋体"/>
          <w:color w:val="auto"/>
          <w:sz w:val="21"/>
          <w:szCs w:val="21"/>
        </w:rPr>
        <w:t>。</w:t>
      </w:r>
    </w:p>
    <w:p w14:paraId="01A24689">
      <w:pPr>
        <w:spacing w:line="360" w:lineRule="auto"/>
        <w:ind w:firstLine="409" w:firstLineChars="195"/>
        <w:rPr>
          <w:rFonts w:hint="eastAsia" w:ascii="宋体" w:hAnsi="宋体" w:eastAsia="宋体" w:cs="宋体"/>
          <w:color w:val="auto"/>
          <w:sz w:val="21"/>
          <w:szCs w:val="21"/>
          <w:u w:val="single"/>
        </w:rPr>
      </w:pPr>
      <w:r>
        <w:rPr>
          <w:rFonts w:hint="eastAsia" w:ascii="宋体" w:hAnsi="宋体" w:eastAsia="宋体" w:cs="宋体"/>
          <w:color w:val="auto"/>
          <w:sz w:val="21"/>
          <w:szCs w:val="21"/>
        </w:rPr>
        <w:t>工程保修书具体内容见合同附件8。</w:t>
      </w:r>
    </w:p>
    <w:p w14:paraId="6EA94235">
      <w:pPr>
        <w:spacing w:line="360" w:lineRule="auto"/>
        <w:ind w:firstLine="409" w:firstLineChars="195"/>
        <w:rPr>
          <w:rFonts w:hint="eastAsia" w:ascii="宋体" w:hAnsi="宋体" w:eastAsia="宋体" w:cs="宋体"/>
          <w:color w:val="auto"/>
          <w:sz w:val="21"/>
          <w:szCs w:val="21"/>
        </w:rPr>
      </w:pPr>
      <w:r>
        <w:rPr>
          <w:rFonts w:hint="eastAsia" w:ascii="宋体" w:hAnsi="宋体" w:eastAsia="宋体" w:cs="宋体"/>
          <w:color w:val="auto"/>
          <w:sz w:val="21"/>
          <w:szCs w:val="21"/>
        </w:rPr>
        <w:t>15.4.3 修复通知</w:t>
      </w:r>
    </w:p>
    <w:p w14:paraId="1CE9090A">
      <w:pPr>
        <w:spacing w:line="360" w:lineRule="auto"/>
        <w:ind w:firstLine="409" w:firstLineChars="195"/>
        <w:rPr>
          <w:rFonts w:hint="eastAsia" w:ascii="宋体" w:hAnsi="宋体" w:eastAsia="宋体" w:cs="宋体"/>
          <w:color w:val="auto"/>
          <w:sz w:val="21"/>
          <w:szCs w:val="21"/>
        </w:rPr>
      </w:pPr>
      <w:r>
        <w:rPr>
          <w:rFonts w:hint="eastAsia" w:ascii="宋体" w:hAnsi="宋体" w:eastAsia="宋体" w:cs="宋体"/>
          <w:color w:val="auto"/>
          <w:sz w:val="21"/>
          <w:szCs w:val="21"/>
        </w:rPr>
        <w:t>承包人收到保修通知并到达工程现场的合理时间：</w:t>
      </w:r>
      <w:r>
        <w:rPr>
          <w:rFonts w:hint="eastAsia" w:ascii="宋体" w:hAnsi="宋体" w:eastAsia="宋体" w:cs="宋体"/>
          <w:color w:val="auto"/>
          <w:sz w:val="21"/>
          <w:szCs w:val="21"/>
          <w:u w:val="single"/>
        </w:rPr>
        <w:t xml:space="preserve">    24小时      </w:t>
      </w:r>
      <w:r>
        <w:rPr>
          <w:rFonts w:hint="eastAsia" w:ascii="宋体" w:hAnsi="宋体" w:eastAsia="宋体" w:cs="宋体"/>
          <w:color w:val="auto"/>
          <w:sz w:val="21"/>
          <w:szCs w:val="21"/>
        </w:rPr>
        <w:t>。</w:t>
      </w:r>
    </w:p>
    <w:p w14:paraId="02A6EBD0">
      <w:pPr>
        <w:pStyle w:val="4"/>
        <w:rPr>
          <w:rFonts w:hint="eastAsia" w:ascii="宋体" w:hAnsi="宋体" w:eastAsia="宋体" w:cs="宋体"/>
          <w:color w:val="auto"/>
          <w:sz w:val="21"/>
          <w:szCs w:val="21"/>
        </w:rPr>
      </w:pPr>
      <w:bookmarkStart w:id="228" w:name="_Toc19567"/>
      <w:r>
        <w:rPr>
          <w:rFonts w:hint="eastAsia" w:ascii="宋体" w:hAnsi="宋体" w:eastAsia="宋体" w:cs="宋体"/>
          <w:color w:val="auto"/>
          <w:sz w:val="21"/>
          <w:szCs w:val="21"/>
        </w:rPr>
        <w:t>16. 违约</w:t>
      </w:r>
      <w:bookmarkEnd w:id="228"/>
    </w:p>
    <w:p w14:paraId="39B8A342">
      <w:pPr>
        <w:pStyle w:val="5"/>
        <w:rPr>
          <w:rFonts w:hint="eastAsia" w:ascii="宋体" w:hAnsi="宋体" w:eastAsia="宋体" w:cs="宋体"/>
          <w:color w:val="auto"/>
          <w:sz w:val="21"/>
          <w:szCs w:val="21"/>
        </w:rPr>
      </w:pPr>
      <w:bookmarkStart w:id="229" w:name="_Toc8092"/>
      <w:r>
        <w:rPr>
          <w:rFonts w:hint="eastAsia" w:ascii="宋体" w:hAnsi="宋体" w:eastAsia="宋体" w:cs="宋体"/>
          <w:color w:val="auto"/>
          <w:sz w:val="21"/>
          <w:szCs w:val="21"/>
        </w:rPr>
        <w:t>16.1 发包人违约</w:t>
      </w:r>
      <w:bookmarkEnd w:id="229"/>
    </w:p>
    <w:p w14:paraId="6367EB64">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16.1.1发包人违约的情形</w:t>
      </w:r>
    </w:p>
    <w:p w14:paraId="35A1E303">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发包人违约的其他情形：</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14:paraId="75164F49">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16.1.2 发包人违约的责任</w:t>
      </w:r>
    </w:p>
    <w:p w14:paraId="5EBACE6B">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发包人违约责任的承担方式和计算方法：</w:t>
      </w:r>
    </w:p>
    <w:p w14:paraId="5249B30F">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（1）因发包人原因未能在计划开工日期前7天内下达开工通知的违约责任：</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14:paraId="2B41EE13">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（2）因发包人原因未能按合同约定支付合同价款的违约责任：</w:t>
      </w:r>
      <w:r>
        <w:rPr>
          <w:rFonts w:hint="eastAsia" w:ascii="宋体" w:hAnsi="宋体" w:eastAsia="宋体" w:cs="宋体"/>
          <w:bCs/>
          <w:color w:val="auto"/>
          <w:sz w:val="21"/>
          <w:szCs w:val="21"/>
          <w:u w:val="single"/>
        </w:rPr>
        <w:t>承包人与发包人签订延期付款协议，延期付款协议须经财政部门认可</w:t>
      </w:r>
      <w:r>
        <w:rPr>
          <w:rFonts w:hint="eastAsia" w:ascii="宋体" w:hAnsi="宋体" w:eastAsia="宋体" w:cs="宋体"/>
          <w:color w:val="auto"/>
          <w:sz w:val="21"/>
          <w:szCs w:val="21"/>
        </w:rPr>
        <w:t>。</w:t>
      </w:r>
    </w:p>
    <w:p w14:paraId="5D7AF068">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（3）发包人违反第10.1款〔变更的范围〕第（2）项约定，自行实施被取消的工作或转由他人实施的违约责任：</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14:paraId="500C997C">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14:paraId="4504E54C">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（5）因发包人违反合同约定造成暂停施工的违约责任：</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14:paraId="1D7A6EB8">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（6）发包人无正当理由没有在约定期限内发出复工指示，导致承包人无法复工的违约责任：</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14:paraId="4F025BA4">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（7）其他：</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14:paraId="3E3A60DD">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16.1.3 因发包人违约解除合同</w:t>
      </w:r>
    </w:p>
    <w:p w14:paraId="0DD2EE85">
      <w:pPr>
        <w:adjustRightIn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承包人按16.1.1项〔发包人违约的情形〕约定暂停施工满</w:t>
      </w:r>
      <w:r>
        <w:rPr>
          <w:rFonts w:hint="eastAsia" w:ascii="宋体" w:hAnsi="宋体" w:eastAsia="宋体" w:cs="宋体"/>
          <w:color w:val="auto"/>
          <w:sz w:val="21"/>
          <w:szCs w:val="21"/>
          <w:u w:val="single"/>
        </w:rPr>
        <w:t xml:space="preserve"> 20  </w:t>
      </w:r>
      <w:r>
        <w:rPr>
          <w:rFonts w:hint="eastAsia" w:ascii="宋体" w:hAnsi="宋体" w:eastAsia="宋体" w:cs="宋体"/>
          <w:color w:val="auto"/>
          <w:sz w:val="21"/>
          <w:szCs w:val="21"/>
        </w:rPr>
        <w:t>天后发包人仍不纠正其违约行为并致使合同目的不能实现的，承包人有权解除合同。</w:t>
      </w:r>
    </w:p>
    <w:p w14:paraId="2249946B">
      <w:pPr>
        <w:pStyle w:val="5"/>
        <w:rPr>
          <w:rFonts w:hint="eastAsia" w:ascii="宋体" w:hAnsi="宋体" w:eastAsia="宋体" w:cs="宋体"/>
          <w:color w:val="auto"/>
          <w:sz w:val="21"/>
          <w:szCs w:val="21"/>
        </w:rPr>
      </w:pPr>
      <w:bookmarkStart w:id="230" w:name="_Toc12759"/>
      <w:r>
        <w:rPr>
          <w:rFonts w:hint="eastAsia" w:ascii="宋体" w:hAnsi="宋体" w:eastAsia="宋体" w:cs="宋体"/>
          <w:color w:val="auto"/>
          <w:sz w:val="21"/>
          <w:szCs w:val="21"/>
        </w:rPr>
        <w:t>16.2 承包人违约</w:t>
      </w:r>
      <w:bookmarkEnd w:id="230"/>
    </w:p>
    <w:p w14:paraId="1E18E5FD">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16.2.1 承包人违约的情形</w:t>
      </w:r>
    </w:p>
    <w:p w14:paraId="22B53945">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承包人违约的其他情形：</w:t>
      </w:r>
      <w:r>
        <w:rPr>
          <w:rFonts w:hint="eastAsia" w:ascii="宋体" w:hAnsi="宋体" w:eastAsia="宋体" w:cs="宋体"/>
          <w:bCs/>
          <w:color w:val="auto"/>
          <w:sz w:val="21"/>
          <w:szCs w:val="21"/>
          <w:u w:val="single"/>
        </w:rPr>
        <w:t>承包人有违反《崇左市建设工程造价管理办法》规定的，按规定给予处罚</w:t>
      </w:r>
      <w:r>
        <w:rPr>
          <w:rFonts w:hint="eastAsia" w:ascii="宋体" w:hAnsi="宋体" w:eastAsia="宋体" w:cs="宋体"/>
          <w:color w:val="auto"/>
          <w:sz w:val="21"/>
          <w:szCs w:val="21"/>
        </w:rPr>
        <w:t>。</w:t>
      </w:r>
    </w:p>
    <w:p w14:paraId="35D7D6FF">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16.2.2承包人违约的责任</w:t>
      </w:r>
    </w:p>
    <w:p w14:paraId="10408A02">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承包人违约责任的承担方式和计算方法：</w:t>
      </w:r>
    </w:p>
    <w:p w14:paraId="7019125B">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承包人未按本合同通用条款第16.2.1（2）、（3）条内容完成的，承包人无条件返工处理，修复至工程质量要求并承担相关费用，并在发包人规定的时间内完成返工，否则发包人有权扣罚该分项工程10%的工程款作为处罚。</w:t>
      </w:r>
    </w:p>
    <w:p w14:paraId="67CA75FB">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（2）承包人有本合同通用条款第16.2.1（6）条情形的，或经监理人检验认为修复质量不合格而承包人拒绝再进行修补的，发包人将扣除承包人全部质量保修金。</w:t>
      </w:r>
    </w:p>
    <w:p w14:paraId="0EB482C5">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承包人有本专用合同条款3.2、3.3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p>
    <w:p w14:paraId="01A3A8F2">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16.2.3 因承包人违约解除合同</w:t>
      </w:r>
    </w:p>
    <w:p w14:paraId="78E27778">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关于承包人违约解除合同的特别约定：</w:t>
      </w:r>
      <w:r>
        <w:rPr>
          <w:rFonts w:hint="eastAsia" w:ascii="宋体" w:hAnsi="宋体" w:eastAsia="宋体" w:cs="宋体"/>
          <w:color w:val="auto"/>
          <w:sz w:val="21"/>
          <w:szCs w:val="21"/>
          <w:u w:val="single"/>
        </w:rPr>
        <w:t>承包人有违反以下情况之一的，发包人有权解除合同，并没收其全部履约保证金</w:t>
      </w:r>
      <w:r>
        <w:rPr>
          <w:rFonts w:hint="eastAsia" w:ascii="宋体" w:hAnsi="宋体" w:eastAsia="宋体" w:cs="宋体"/>
          <w:color w:val="auto"/>
          <w:sz w:val="21"/>
          <w:szCs w:val="21"/>
        </w:rPr>
        <w:t>。</w:t>
      </w:r>
    </w:p>
    <w:p w14:paraId="7270919F">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(1)承包人无正当理由不按开工通知的要求及时进场组织施工和不按签订协议书时商定的进度计划有效地开展施工准备，造成工期延误的；</w:t>
      </w:r>
    </w:p>
    <w:p w14:paraId="39FF066C">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(2)承包人违反本合同通用条款第3.5条规定私自将合同或合同的任何部分或任何权利转让给其他人，或私自将工程或工程的一部分分包出去的；</w:t>
      </w:r>
    </w:p>
    <w:p w14:paraId="420CEEE5">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(3)未经监理人批准，承包人私自将已按投标文件承诺进入工地的工程设备、施工设备、临时工程或材料撤离工地的；</w:t>
      </w:r>
    </w:p>
    <w:p w14:paraId="0F0A4C66">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(4)由于承包人原因拒绝按合同进度计划及时完成合同规定的工程，而又未采取有效措施赶上进度，造成工期延误的；</w:t>
      </w:r>
    </w:p>
    <w:p w14:paraId="1525B4AD">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(5)承包人否认合同有效或拒绝履行合同规定的承包人义务，或由于法律、财务等原因导致承包人无法继续履行或实质上已停止履行合同的义务的；</w:t>
      </w:r>
    </w:p>
    <w:p w14:paraId="1CC5B36D">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(6)合同签订之日起十五日内，承包人无法按合同规定及投标文件的承诺进场经监理工程师认可的全部人员和机械的。</w:t>
      </w:r>
    </w:p>
    <w:p w14:paraId="7A736596">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发包人继续使用承包人在施工现场的材料、设备、临时工程、承包人文件和由承包人或以其名义编制的其他文件的费用承担方式：</w:t>
      </w:r>
      <w:r>
        <w:rPr>
          <w:rFonts w:hint="eastAsia" w:ascii="宋体" w:hAnsi="宋体" w:eastAsia="宋体" w:cs="宋体"/>
          <w:color w:val="auto"/>
          <w:sz w:val="21"/>
          <w:szCs w:val="21"/>
          <w:u w:val="single"/>
        </w:rPr>
        <w:t xml:space="preserve"> 另行商定           </w:t>
      </w:r>
      <w:r>
        <w:rPr>
          <w:rFonts w:hint="eastAsia" w:ascii="宋体" w:hAnsi="宋体" w:eastAsia="宋体" w:cs="宋体"/>
          <w:color w:val="auto"/>
          <w:sz w:val="21"/>
          <w:szCs w:val="21"/>
        </w:rPr>
        <w:t>。</w:t>
      </w:r>
    </w:p>
    <w:p w14:paraId="227A4218">
      <w:pPr>
        <w:pStyle w:val="4"/>
        <w:rPr>
          <w:rFonts w:hint="eastAsia" w:ascii="宋体" w:hAnsi="宋体" w:eastAsia="宋体" w:cs="宋体"/>
          <w:color w:val="auto"/>
          <w:sz w:val="21"/>
          <w:szCs w:val="21"/>
        </w:rPr>
      </w:pPr>
      <w:bookmarkStart w:id="231" w:name="_Toc16528"/>
      <w:r>
        <w:rPr>
          <w:rFonts w:hint="eastAsia" w:ascii="宋体" w:hAnsi="宋体" w:eastAsia="宋体" w:cs="宋体"/>
          <w:color w:val="auto"/>
          <w:sz w:val="21"/>
          <w:szCs w:val="21"/>
        </w:rPr>
        <w:t>17. 不可抗力</w:t>
      </w:r>
      <w:bookmarkEnd w:id="231"/>
    </w:p>
    <w:p w14:paraId="3210ECF2">
      <w:pPr>
        <w:pStyle w:val="5"/>
        <w:rPr>
          <w:rFonts w:hint="eastAsia" w:ascii="宋体" w:hAnsi="宋体" w:eastAsia="宋体" w:cs="宋体"/>
          <w:color w:val="auto"/>
          <w:sz w:val="21"/>
          <w:szCs w:val="21"/>
        </w:rPr>
      </w:pPr>
      <w:bookmarkStart w:id="232" w:name="_Toc18970"/>
      <w:r>
        <w:rPr>
          <w:rFonts w:hint="eastAsia" w:ascii="宋体" w:hAnsi="宋体" w:eastAsia="宋体" w:cs="宋体"/>
          <w:color w:val="auto"/>
          <w:sz w:val="21"/>
          <w:szCs w:val="21"/>
        </w:rPr>
        <w:t>17.1 不可抗力的确认</w:t>
      </w:r>
      <w:bookmarkEnd w:id="232"/>
    </w:p>
    <w:p w14:paraId="3935E0C2">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除通用合同条款约定的不可抗力事件之外，视为不可抗力的其他情形：</w:t>
      </w:r>
    </w:p>
    <w:p w14:paraId="0C791D53">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（1）6级以上地震；</w:t>
      </w:r>
    </w:p>
    <w:p w14:paraId="59710902">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（2）10级以上持续1天的大风；</w:t>
      </w:r>
    </w:p>
    <w:p w14:paraId="46CE4F77">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（3）暴雨级以上持续1天的大雨；</w:t>
      </w:r>
    </w:p>
    <w:p w14:paraId="532152BE">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（4）50年以上未发生过，持续2天的高温天气；</w:t>
      </w:r>
    </w:p>
    <w:p w14:paraId="39B120B0">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（5）50年以上未发生过，持续2天的低温天气；</w:t>
      </w:r>
    </w:p>
    <w:p w14:paraId="775FDBE3">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（6）50年以上未发生过 的洪水；</w:t>
      </w:r>
    </w:p>
    <w:p w14:paraId="1FBB9697">
      <w:pPr>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（7）对以上几种形式，应以造成灾害和影响施工为准。</w:t>
      </w:r>
    </w:p>
    <w:p w14:paraId="2137150E">
      <w:pPr>
        <w:pStyle w:val="5"/>
        <w:rPr>
          <w:rFonts w:hint="eastAsia" w:ascii="宋体" w:hAnsi="宋体" w:eastAsia="宋体" w:cs="宋体"/>
          <w:color w:val="auto"/>
          <w:sz w:val="21"/>
          <w:szCs w:val="21"/>
        </w:rPr>
      </w:pPr>
      <w:bookmarkStart w:id="233" w:name="_Toc14988"/>
      <w:r>
        <w:rPr>
          <w:rFonts w:hint="eastAsia" w:ascii="宋体" w:hAnsi="宋体" w:eastAsia="宋体" w:cs="宋体"/>
          <w:color w:val="auto"/>
          <w:sz w:val="21"/>
          <w:szCs w:val="21"/>
        </w:rPr>
        <w:t>17.4 因不可抗力解除合同</w:t>
      </w:r>
      <w:bookmarkEnd w:id="233"/>
    </w:p>
    <w:p w14:paraId="3E966188">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合同解除后，发包人应在商定或确定发包人应支付款项后</w:t>
      </w:r>
      <w:r>
        <w:rPr>
          <w:rFonts w:hint="eastAsia" w:ascii="宋体" w:hAnsi="宋体" w:eastAsia="宋体" w:cs="宋体"/>
          <w:color w:val="auto"/>
          <w:sz w:val="21"/>
          <w:szCs w:val="21"/>
          <w:u w:val="single"/>
        </w:rPr>
        <w:t xml:space="preserve">  28  </w:t>
      </w:r>
      <w:r>
        <w:rPr>
          <w:rFonts w:hint="eastAsia" w:ascii="宋体" w:hAnsi="宋体" w:eastAsia="宋体" w:cs="宋体"/>
          <w:color w:val="auto"/>
          <w:sz w:val="21"/>
          <w:szCs w:val="21"/>
        </w:rPr>
        <w:t>天内完成款项的支付。</w:t>
      </w:r>
    </w:p>
    <w:p w14:paraId="5C300253">
      <w:pPr>
        <w:pStyle w:val="4"/>
        <w:rPr>
          <w:rFonts w:hint="eastAsia" w:ascii="宋体" w:hAnsi="宋体" w:eastAsia="宋体" w:cs="宋体"/>
          <w:color w:val="auto"/>
          <w:sz w:val="21"/>
          <w:szCs w:val="21"/>
        </w:rPr>
      </w:pPr>
      <w:bookmarkStart w:id="234" w:name="_Toc30585"/>
      <w:r>
        <w:rPr>
          <w:rFonts w:hint="eastAsia" w:ascii="宋体" w:hAnsi="宋体" w:eastAsia="宋体" w:cs="宋体"/>
          <w:color w:val="auto"/>
          <w:sz w:val="21"/>
          <w:szCs w:val="21"/>
        </w:rPr>
        <w:t>18. 保险</w:t>
      </w:r>
      <w:bookmarkEnd w:id="234"/>
    </w:p>
    <w:p w14:paraId="0E431C3D">
      <w:pPr>
        <w:pStyle w:val="5"/>
        <w:rPr>
          <w:rFonts w:hint="eastAsia" w:ascii="宋体" w:hAnsi="宋体" w:eastAsia="宋体" w:cs="宋体"/>
          <w:color w:val="auto"/>
          <w:sz w:val="21"/>
          <w:szCs w:val="21"/>
        </w:rPr>
      </w:pPr>
      <w:bookmarkStart w:id="235" w:name="_Toc13719"/>
      <w:r>
        <w:rPr>
          <w:rFonts w:hint="eastAsia" w:ascii="宋体" w:hAnsi="宋体" w:eastAsia="宋体" w:cs="宋体"/>
          <w:color w:val="auto"/>
          <w:sz w:val="21"/>
          <w:szCs w:val="21"/>
        </w:rPr>
        <w:t>18.1 工程保险</w:t>
      </w:r>
      <w:bookmarkEnd w:id="235"/>
    </w:p>
    <w:p w14:paraId="1B166D61">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关于工程保险的特别约定：</w:t>
      </w:r>
      <w:r>
        <w:rPr>
          <w:rFonts w:hint="eastAsia" w:ascii="宋体" w:hAnsi="宋体" w:eastAsia="宋体" w:cs="宋体"/>
          <w:color w:val="auto"/>
          <w:sz w:val="21"/>
          <w:szCs w:val="21"/>
          <w:u w:val="single"/>
        </w:rPr>
        <w:t xml:space="preserve"> 包括建筑工程一切险和安装工程一切险 </w:t>
      </w:r>
      <w:r>
        <w:rPr>
          <w:rFonts w:hint="eastAsia" w:ascii="宋体" w:hAnsi="宋体" w:eastAsia="宋体" w:cs="宋体"/>
          <w:color w:val="auto"/>
          <w:sz w:val="21"/>
          <w:szCs w:val="21"/>
        </w:rPr>
        <w:t>。</w:t>
      </w:r>
    </w:p>
    <w:p w14:paraId="6BD9425F">
      <w:pPr>
        <w:pStyle w:val="5"/>
        <w:pageBreakBefore w:val="0"/>
        <w:widowControl w:val="0"/>
        <w:kinsoku/>
        <w:wordWrap/>
        <w:overflowPunct/>
        <w:topLinePunct w:val="0"/>
        <w:autoSpaceDE/>
        <w:autoSpaceDN/>
        <w:bidi w:val="0"/>
        <w:snapToGrid/>
        <w:spacing w:before="0" w:after="0" w:line="520" w:lineRule="atLeast"/>
        <w:ind w:left="0" w:leftChars="0"/>
        <w:textAlignment w:val="auto"/>
        <w:rPr>
          <w:rFonts w:hint="eastAsia" w:ascii="宋体" w:hAnsi="宋体" w:eastAsia="宋体" w:cs="宋体"/>
          <w:color w:val="auto"/>
          <w:sz w:val="21"/>
          <w:szCs w:val="21"/>
        </w:rPr>
      </w:pPr>
      <w:bookmarkStart w:id="236" w:name="_Toc32130"/>
      <w:r>
        <w:rPr>
          <w:rFonts w:hint="eastAsia" w:ascii="宋体" w:hAnsi="宋体" w:eastAsia="宋体" w:cs="宋体"/>
          <w:color w:val="auto"/>
          <w:sz w:val="21"/>
          <w:szCs w:val="21"/>
        </w:rPr>
        <w:t>18.3 其他保险</w:t>
      </w:r>
      <w:bookmarkEnd w:id="236"/>
    </w:p>
    <w:p w14:paraId="1A61C2C5">
      <w:pPr>
        <w:pageBreakBefore w:val="0"/>
        <w:widowControl w:val="0"/>
        <w:kinsoku/>
        <w:wordWrap/>
        <w:overflowPunct/>
        <w:topLinePunct w:val="0"/>
        <w:autoSpaceDE/>
        <w:autoSpaceDN/>
        <w:bidi w:val="0"/>
        <w:snapToGrid/>
        <w:spacing w:line="520" w:lineRule="atLeas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关于其他保险的约定：</w:t>
      </w:r>
      <w:r>
        <w:rPr>
          <w:rFonts w:hint="eastAsia" w:ascii="宋体" w:hAnsi="宋体" w:eastAsia="宋体" w:cs="宋体"/>
          <w:color w:val="auto"/>
          <w:sz w:val="21"/>
          <w:szCs w:val="21"/>
          <w:u w:val="single"/>
        </w:rPr>
        <w:t>承包人必须为施工现场从事施工的所有作业人员和管理人员办理人身意外伤害保险，并支付保险费</w:t>
      </w:r>
      <w:r>
        <w:rPr>
          <w:rFonts w:hint="eastAsia" w:ascii="宋体" w:hAnsi="宋体" w:eastAsia="宋体" w:cs="宋体"/>
          <w:bCs/>
          <w:color w:val="auto"/>
          <w:sz w:val="21"/>
          <w:szCs w:val="21"/>
        </w:rPr>
        <w:t>。</w:t>
      </w:r>
    </w:p>
    <w:p w14:paraId="0861D868">
      <w:pPr>
        <w:pageBreakBefore w:val="0"/>
        <w:widowControl w:val="0"/>
        <w:kinsoku/>
        <w:wordWrap/>
        <w:overflowPunct/>
        <w:topLinePunct w:val="0"/>
        <w:autoSpaceDE/>
        <w:autoSpaceDN/>
        <w:bidi w:val="0"/>
        <w:snapToGrid/>
        <w:spacing w:line="520" w:lineRule="atLeast"/>
        <w:ind w:left="0" w:leftChars="0" w:firstLine="420" w:firstLineChars="20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承包人是否应为其施工设备等办理财产保险：</w:t>
      </w:r>
      <w:r>
        <w:rPr>
          <w:rFonts w:hint="eastAsia" w:ascii="宋体" w:hAnsi="宋体" w:eastAsia="宋体" w:cs="宋体"/>
          <w:color w:val="auto"/>
          <w:sz w:val="21"/>
          <w:szCs w:val="21"/>
          <w:u w:val="single"/>
        </w:rPr>
        <w:t xml:space="preserve">              是       </w:t>
      </w:r>
      <w:r>
        <w:rPr>
          <w:rFonts w:hint="eastAsia" w:ascii="宋体" w:hAnsi="宋体" w:eastAsia="宋体" w:cs="宋体"/>
          <w:color w:val="auto"/>
          <w:sz w:val="21"/>
          <w:szCs w:val="21"/>
        </w:rPr>
        <w:t>。</w:t>
      </w:r>
    </w:p>
    <w:p w14:paraId="57AE4894">
      <w:pPr>
        <w:pStyle w:val="5"/>
        <w:pageBreakBefore w:val="0"/>
        <w:widowControl w:val="0"/>
        <w:kinsoku/>
        <w:wordWrap/>
        <w:overflowPunct/>
        <w:topLinePunct w:val="0"/>
        <w:autoSpaceDE/>
        <w:autoSpaceDN/>
        <w:bidi w:val="0"/>
        <w:snapToGrid/>
        <w:spacing w:before="0" w:after="0" w:line="520" w:lineRule="atLeast"/>
        <w:ind w:left="0" w:leftChars="0"/>
        <w:textAlignment w:val="auto"/>
        <w:rPr>
          <w:rFonts w:hint="eastAsia" w:ascii="宋体" w:hAnsi="宋体" w:eastAsia="宋体" w:cs="宋体"/>
          <w:color w:val="auto"/>
          <w:sz w:val="21"/>
          <w:szCs w:val="21"/>
        </w:rPr>
      </w:pPr>
      <w:bookmarkStart w:id="237" w:name="_Toc15390"/>
      <w:r>
        <w:rPr>
          <w:rFonts w:hint="eastAsia" w:ascii="宋体" w:hAnsi="宋体" w:eastAsia="宋体" w:cs="宋体"/>
          <w:color w:val="auto"/>
          <w:sz w:val="21"/>
          <w:szCs w:val="21"/>
        </w:rPr>
        <w:t>18.7 通知义务</w:t>
      </w:r>
      <w:bookmarkEnd w:id="237"/>
    </w:p>
    <w:p w14:paraId="165A6CC5">
      <w:pPr>
        <w:pageBreakBefore w:val="0"/>
        <w:widowControl w:val="0"/>
        <w:kinsoku/>
        <w:wordWrap/>
        <w:overflowPunct/>
        <w:topLinePunct w:val="0"/>
        <w:autoSpaceDE/>
        <w:autoSpaceDN/>
        <w:bidi w:val="0"/>
        <w:snapToGrid/>
        <w:spacing w:line="520" w:lineRule="atLeast"/>
        <w:ind w:left="0" w:leftChars="0" w:firstLine="420" w:firstLineChars="20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关于变更保险合同时的通知义务的约定：</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14:paraId="404DBB19">
      <w:pPr>
        <w:pStyle w:val="4"/>
        <w:pageBreakBefore w:val="0"/>
        <w:widowControl w:val="0"/>
        <w:kinsoku/>
        <w:wordWrap/>
        <w:overflowPunct/>
        <w:topLinePunct w:val="0"/>
        <w:autoSpaceDE/>
        <w:autoSpaceDN/>
        <w:bidi w:val="0"/>
        <w:snapToGrid/>
        <w:spacing w:before="0" w:after="0" w:line="520" w:lineRule="atLeast"/>
        <w:ind w:left="0" w:leftChars="0"/>
        <w:textAlignment w:val="auto"/>
        <w:rPr>
          <w:rFonts w:hint="eastAsia" w:ascii="宋体" w:hAnsi="宋体" w:eastAsia="宋体" w:cs="宋体"/>
          <w:color w:val="auto"/>
          <w:sz w:val="21"/>
          <w:szCs w:val="21"/>
        </w:rPr>
      </w:pPr>
      <w:bookmarkStart w:id="238" w:name="_Toc9629"/>
      <w:r>
        <w:rPr>
          <w:rFonts w:hint="eastAsia" w:ascii="宋体" w:hAnsi="宋体" w:eastAsia="宋体" w:cs="宋体"/>
          <w:color w:val="auto"/>
          <w:sz w:val="21"/>
          <w:szCs w:val="21"/>
        </w:rPr>
        <w:t>20. 争议解决</w:t>
      </w:r>
      <w:bookmarkEnd w:id="238"/>
    </w:p>
    <w:p w14:paraId="6B498C22">
      <w:pPr>
        <w:pStyle w:val="5"/>
        <w:pageBreakBefore w:val="0"/>
        <w:widowControl w:val="0"/>
        <w:kinsoku/>
        <w:wordWrap/>
        <w:overflowPunct/>
        <w:topLinePunct w:val="0"/>
        <w:autoSpaceDE/>
        <w:autoSpaceDN/>
        <w:bidi w:val="0"/>
        <w:snapToGrid/>
        <w:spacing w:before="0" w:after="0" w:line="520" w:lineRule="atLeast"/>
        <w:ind w:left="0" w:leftChars="0"/>
        <w:textAlignment w:val="auto"/>
        <w:rPr>
          <w:rFonts w:hint="eastAsia" w:ascii="宋体" w:hAnsi="宋体" w:eastAsia="宋体" w:cs="宋体"/>
          <w:color w:val="auto"/>
          <w:sz w:val="21"/>
          <w:szCs w:val="21"/>
        </w:rPr>
      </w:pPr>
      <w:bookmarkStart w:id="239" w:name="_Toc32729"/>
      <w:r>
        <w:rPr>
          <w:rFonts w:hint="eastAsia" w:ascii="宋体" w:hAnsi="宋体" w:eastAsia="宋体" w:cs="宋体"/>
          <w:color w:val="auto"/>
          <w:sz w:val="21"/>
          <w:szCs w:val="21"/>
        </w:rPr>
        <w:t>20.3 争议评审</w:t>
      </w:r>
      <w:bookmarkEnd w:id="239"/>
    </w:p>
    <w:p w14:paraId="504A6972">
      <w:pPr>
        <w:pageBreakBefore w:val="0"/>
        <w:widowControl w:val="0"/>
        <w:kinsoku/>
        <w:wordWrap/>
        <w:overflowPunct/>
        <w:topLinePunct w:val="0"/>
        <w:autoSpaceDE/>
        <w:autoSpaceDN/>
        <w:bidi w:val="0"/>
        <w:snapToGrid/>
        <w:spacing w:line="520" w:lineRule="atLeast"/>
        <w:ind w:left="0" w:leftChars="0" w:firstLine="315" w:firstLineChars="15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合同当事人是否同意将工程争议提交争议评审小组决定：</w:t>
      </w:r>
      <w:r>
        <w:rPr>
          <w:rFonts w:hint="eastAsia" w:ascii="宋体" w:hAnsi="宋体" w:eastAsia="宋体" w:cs="宋体"/>
          <w:color w:val="auto"/>
          <w:sz w:val="21"/>
          <w:szCs w:val="21"/>
          <w:u w:val="single"/>
        </w:rPr>
        <w:t>否</w:t>
      </w:r>
      <w:r>
        <w:rPr>
          <w:rFonts w:hint="eastAsia" w:ascii="宋体" w:hAnsi="宋体" w:eastAsia="宋体" w:cs="宋体"/>
          <w:color w:val="auto"/>
          <w:sz w:val="21"/>
          <w:szCs w:val="21"/>
        </w:rPr>
        <w:t>。</w:t>
      </w:r>
    </w:p>
    <w:p w14:paraId="0E58A00F">
      <w:pPr>
        <w:pageBreakBefore w:val="0"/>
        <w:widowControl w:val="0"/>
        <w:kinsoku/>
        <w:wordWrap/>
        <w:overflowPunct/>
        <w:topLinePunct w:val="0"/>
        <w:autoSpaceDE/>
        <w:autoSpaceDN/>
        <w:bidi w:val="0"/>
        <w:snapToGrid/>
        <w:spacing w:line="520" w:lineRule="atLeas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20.3.1 争议评审小组的确定</w:t>
      </w:r>
    </w:p>
    <w:p w14:paraId="526EDAED">
      <w:pPr>
        <w:pageBreakBefore w:val="0"/>
        <w:widowControl w:val="0"/>
        <w:kinsoku/>
        <w:wordWrap/>
        <w:overflowPunct/>
        <w:topLinePunct w:val="0"/>
        <w:autoSpaceDE/>
        <w:autoSpaceDN/>
        <w:bidi w:val="0"/>
        <w:snapToGrid/>
        <w:spacing w:line="520" w:lineRule="atLeast"/>
        <w:ind w:left="0" w:leftChars="0" w:firstLine="420" w:firstLineChars="20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争议评审小组成员的确定：</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14:paraId="4B6EB9C1">
      <w:pPr>
        <w:pageBreakBefore w:val="0"/>
        <w:widowControl w:val="0"/>
        <w:kinsoku/>
        <w:wordWrap/>
        <w:overflowPunct/>
        <w:topLinePunct w:val="0"/>
        <w:autoSpaceDE/>
        <w:autoSpaceDN/>
        <w:bidi w:val="0"/>
        <w:snapToGrid/>
        <w:spacing w:line="520" w:lineRule="atLeas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选定争议评审员的期限：</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14:paraId="718CC137">
      <w:pPr>
        <w:pageBreakBefore w:val="0"/>
        <w:widowControl w:val="0"/>
        <w:kinsoku/>
        <w:wordWrap/>
        <w:overflowPunct/>
        <w:topLinePunct w:val="0"/>
        <w:autoSpaceDE/>
        <w:autoSpaceDN/>
        <w:bidi w:val="0"/>
        <w:snapToGrid/>
        <w:spacing w:line="520" w:lineRule="atLeas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争议评审小组成员的报酬承担方式：</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14:paraId="5EB56FF6">
      <w:pPr>
        <w:pageBreakBefore w:val="0"/>
        <w:widowControl w:val="0"/>
        <w:kinsoku/>
        <w:wordWrap/>
        <w:overflowPunct/>
        <w:topLinePunct w:val="0"/>
        <w:autoSpaceDE/>
        <w:autoSpaceDN/>
        <w:bidi w:val="0"/>
        <w:snapToGrid/>
        <w:spacing w:line="520" w:lineRule="atLeas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其他事项的约定：</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14:paraId="5F44009B">
      <w:pPr>
        <w:pageBreakBefore w:val="0"/>
        <w:widowControl w:val="0"/>
        <w:kinsoku/>
        <w:wordWrap/>
        <w:overflowPunct/>
        <w:topLinePunct w:val="0"/>
        <w:autoSpaceDE/>
        <w:autoSpaceDN/>
        <w:bidi w:val="0"/>
        <w:adjustRightInd w:val="0"/>
        <w:snapToGrid/>
        <w:spacing w:line="520" w:lineRule="atLeas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20.3.2 争议评审小组的决定</w:t>
      </w:r>
    </w:p>
    <w:p w14:paraId="43D1F2DD">
      <w:pPr>
        <w:pageBreakBefore w:val="0"/>
        <w:widowControl w:val="0"/>
        <w:kinsoku/>
        <w:wordWrap/>
        <w:overflowPunct/>
        <w:topLinePunct w:val="0"/>
        <w:autoSpaceDE/>
        <w:autoSpaceDN/>
        <w:bidi w:val="0"/>
        <w:snapToGrid/>
        <w:spacing w:line="520" w:lineRule="atLeas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合同当事人关于本项的约定：</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14:paraId="1AF14E50">
      <w:pPr>
        <w:pStyle w:val="5"/>
        <w:pageBreakBefore w:val="0"/>
        <w:widowControl w:val="0"/>
        <w:kinsoku/>
        <w:wordWrap/>
        <w:overflowPunct/>
        <w:topLinePunct w:val="0"/>
        <w:autoSpaceDE/>
        <w:autoSpaceDN/>
        <w:bidi w:val="0"/>
        <w:snapToGrid/>
        <w:spacing w:before="0" w:after="0" w:line="520" w:lineRule="atLeast"/>
        <w:ind w:left="0" w:leftChars="0"/>
        <w:textAlignment w:val="auto"/>
        <w:rPr>
          <w:rFonts w:hint="eastAsia" w:ascii="宋体" w:hAnsi="宋体" w:eastAsia="宋体" w:cs="宋体"/>
          <w:color w:val="auto"/>
          <w:sz w:val="21"/>
          <w:szCs w:val="21"/>
        </w:rPr>
      </w:pPr>
      <w:bookmarkStart w:id="240" w:name="_Toc22760"/>
      <w:r>
        <w:rPr>
          <w:rFonts w:hint="eastAsia" w:ascii="宋体" w:hAnsi="宋体" w:eastAsia="宋体" w:cs="宋体"/>
          <w:color w:val="auto"/>
          <w:sz w:val="21"/>
          <w:szCs w:val="21"/>
        </w:rPr>
        <w:t>20.4 仲裁或诉讼</w:t>
      </w:r>
      <w:bookmarkEnd w:id="240"/>
    </w:p>
    <w:p w14:paraId="0A551F1F">
      <w:pPr>
        <w:pageBreakBefore w:val="0"/>
        <w:widowControl w:val="0"/>
        <w:kinsoku/>
        <w:wordWrap/>
        <w:overflowPunct/>
        <w:topLinePunct w:val="0"/>
        <w:autoSpaceDE/>
        <w:autoSpaceDN/>
        <w:bidi w:val="0"/>
        <w:snapToGrid/>
        <w:spacing w:line="520" w:lineRule="atLeas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因合同及合同有关事项发生的争议，按下列第</w:t>
      </w:r>
      <w:r>
        <w:rPr>
          <w:rFonts w:hint="eastAsia" w:ascii="宋体" w:hAnsi="宋体" w:eastAsia="宋体" w:cs="宋体"/>
          <w:color w:val="auto"/>
          <w:sz w:val="21"/>
          <w:szCs w:val="21"/>
          <w:u w:val="single"/>
        </w:rPr>
        <w:t xml:space="preserve">   1  </w:t>
      </w:r>
      <w:r>
        <w:rPr>
          <w:rFonts w:hint="eastAsia" w:ascii="宋体" w:hAnsi="宋体" w:eastAsia="宋体" w:cs="宋体"/>
          <w:color w:val="auto"/>
          <w:sz w:val="21"/>
          <w:szCs w:val="21"/>
        </w:rPr>
        <w:t>种方式解决：</w:t>
      </w:r>
    </w:p>
    <w:p w14:paraId="501EB941">
      <w:pPr>
        <w:pageBreakBefore w:val="0"/>
        <w:widowControl w:val="0"/>
        <w:kinsoku/>
        <w:wordWrap/>
        <w:overflowPunct/>
        <w:topLinePunct w:val="0"/>
        <w:autoSpaceDE/>
        <w:autoSpaceDN/>
        <w:bidi w:val="0"/>
        <w:snapToGrid/>
        <w:spacing w:line="520" w:lineRule="atLeas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（1）提请</w:t>
      </w:r>
      <w:r>
        <w:rPr>
          <w:rFonts w:hint="eastAsia" w:ascii="宋体" w:hAnsi="宋体" w:cs="宋体"/>
          <w:color w:val="auto"/>
          <w:sz w:val="21"/>
          <w:szCs w:val="21"/>
          <w:u w:val="single"/>
          <w:lang w:val="en-US" w:eastAsia="zh-CN"/>
        </w:rPr>
        <w:t>龙州</w:t>
      </w:r>
      <w:r>
        <w:rPr>
          <w:rFonts w:hint="eastAsia" w:ascii="宋体" w:hAnsi="宋体" w:eastAsia="宋体" w:cs="宋体"/>
          <w:color w:val="auto"/>
          <w:sz w:val="21"/>
          <w:szCs w:val="21"/>
          <w:u w:val="single"/>
        </w:rPr>
        <w:t>县</w:t>
      </w:r>
      <w:r>
        <w:rPr>
          <w:rFonts w:hint="eastAsia" w:ascii="宋体" w:hAnsi="宋体" w:eastAsia="宋体" w:cs="宋体"/>
          <w:color w:val="auto"/>
          <w:sz w:val="21"/>
          <w:szCs w:val="21"/>
        </w:rPr>
        <w:t>仲裁委员会按照该会仲裁规则进行仲裁，仲裁裁决是终局的，对合同双方均有约束力。</w:t>
      </w:r>
    </w:p>
    <w:p w14:paraId="64ACF56F">
      <w:pPr>
        <w:pageBreakBefore w:val="0"/>
        <w:widowControl w:val="0"/>
        <w:kinsoku/>
        <w:wordWrap/>
        <w:overflowPunct/>
        <w:topLinePunct w:val="0"/>
        <w:autoSpaceDE/>
        <w:autoSpaceDN/>
        <w:bidi w:val="0"/>
        <w:snapToGrid/>
        <w:spacing w:line="520" w:lineRule="atLeas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（2）向</w:t>
      </w:r>
      <w:r>
        <w:rPr>
          <w:rFonts w:hint="eastAsia" w:ascii="宋体" w:hAnsi="宋体" w:cs="宋体"/>
          <w:color w:val="auto"/>
          <w:sz w:val="21"/>
          <w:szCs w:val="21"/>
          <w:u w:val="single"/>
          <w:lang w:val="en-US" w:eastAsia="zh-CN"/>
        </w:rPr>
        <w:t>龙州</w:t>
      </w:r>
      <w:r>
        <w:rPr>
          <w:rFonts w:hint="eastAsia" w:ascii="宋体" w:hAnsi="宋体" w:eastAsia="宋体" w:cs="宋体"/>
          <w:color w:val="auto"/>
          <w:sz w:val="21"/>
          <w:szCs w:val="21"/>
          <w:u w:val="single"/>
        </w:rPr>
        <w:t>县</w:t>
      </w:r>
      <w:r>
        <w:rPr>
          <w:rFonts w:hint="eastAsia" w:ascii="宋体" w:hAnsi="宋体" w:eastAsia="宋体" w:cs="宋体"/>
          <w:color w:val="auto"/>
          <w:sz w:val="21"/>
          <w:szCs w:val="21"/>
        </w:rPr>
        <w:t>人民法院起诉。</w:t>
      </w:r>
    </w:p>
    <w:p w14:paraId="1C7AAA03">
      <w:pPr>
        <w:pageBreakBefore w:val="0"/>
        <w:widowControl w:val="0"/>
        <w:kinsoku/>
        <w:wordWrap/>
        <w:overflowPunct/>
        <w:topLinePunct w:val="0"/>
        <w:autoSpaceDE/>
        <w:autoSpaceDN/>
        <w:bidi w:val="0"/>
        <w:snapToGrid/>
        <w:spacing w:line="520" w:lineRule="atLeast"/>
        <w:ind w:left="0" w:leftChars="0" w:firstLine="420" w:firstLineChars="200"/>
        <w:textAlignment w:val="auto"/>
        <w:rPr>
          <w:rFonts w:hint="eastAsia" w:ascii="宋体" w:hAnsi="宋体" w:eastAsia="宋体" w:cs="宋体"/>
          <w:color w:val="auto"/>
          <w:sz w:val="21"/>
          <w:szCs w:val="21"/>
        </w:rPr>
      </w:pPr>
    </w:p>
    <w:bookmarkEnd w:id="152"/>
    <w:bookmarkEnd w:id="153"/>
    <w:bookmarkEnd w:id="154"/>
    <w:bookmarkEnd w:id="155"/>
    <w:bookmarkEnd w:id="156"/>
    <w:bookmarkEnd w:id="157"/>
    <w:p w14:paraId="6BED4893">
      <w:pPr>
        <w:pStyle w:val="180"/>
        <w:spacing w:line="360" w:lineRule="auto"/>
        <w:rPr>
          <w:rFonts w:hint="eastAsia" w:ascii="宋体" w:hAnsi="宋体" w:eastAsia="宋体" w:cs="宋体"/>
          <w:color w:val="auto"/>
          <w:sz w:val="21"/>
          <w:szCs w:val="21"/>
        </w:rPr>
      </w:pPr>
    </w:p>
    <w:p w14:paraId="09F2768D">
      <w:pPr>
        <w:pStyle w:val="242"/>
        <w:spacing w:beforeLines="50" w:afterLines="50"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工程质量保修书（房屋建筑工程）</w:t>
      </w:r>
    </w:p>
    <w:p w14:paraId="187385AA">
      <w:pPr>
        <w:pStyle w:val="242"/>
        <w:spacing w:line="4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发包人（全称）：</w:t>
      </w:r>
    </w:p>
    <w:p w14:paraId="038BEEF6">
      <w:pPr>
        <w:pStyle w:val="242"/>
        <w:spacing w:line="4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承包人（全称）：</w:t>
      </w:r>
    </w:p>
    <w:p w14:paraId="6352775A">
      <w:pPr>
        <w:pStyle w:val="242"/>
        <w:spacing w:line="440" w:lineRule="exact"/>
        <w:rPr>
          <w:rFonts w:hint="eastAsia" w:ascii="宋体" w:hAnsi="宋体" w:eastAsia="宋体" w:cs="宋体"/>
          <w:color w:val="auto"/>
          <w:sz w:val="21"/>
          <w:szCs w:val="21"/>
        </w:rPr>
      </w:pPr>
    </w:p>
    <w:p w14:paraId="1C43CE42">
      <w:pPr>
        <w:pStyle w:val="242"/>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发包人和承包人根据《中华人民共和国建筑法》和《建设工程质量管理条例》，经协商一致就（工程全称）签订工程质量保修书。</w:t>
      </w:r>
    </w:p>
    <w:p w14:paraId="46D21EDF">
      <w:pPr>
        <w:pStyle w:val="242"/>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一、工程质量保修范围和内容</w:t>
      </w:r>
    </w:p>
    <w:p w14:paraId="2D43004A">
      <w:pPr>
        <w:pStyle w:val="242"/>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承包人在质量保修期内，按照有关法律规定和合同约定，承担工程质量保修责任。</w:t>
      </w:r>
    </w:p>
    <w:p w14:paraId="19029364">
      <w:pPr>
        <w:pStyle w:val="242"/>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7145BC48">
      <w:pPr>
        <w:pStyle w:val="242"/>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u w:val="single"/>
        </w:rPr>
        <w:t>在承包人承包范围内，属承包人责任造成的工程质量问题，由承包人承担保修责任</w:t>
      </w:r>
      <w:r>
        <w:rPr>
          <w:rFonts w:hint="eastAsia" w:ascii="宋体" w:hAnsi="宋体" w:eastAsia="宋体" w:cs="宋体"/>
          <w:color w:val="auto"/>
          <w:sz w:val="21"/>
          <w:szCs w:val="21"/>
        </w:rPr>
        <w:t>。</w:t>
      </w:r>
    </w:p>
    <w:p w14:paraId="2525894C">
      <w:pPr>
        <w:pStyle w:val="242"/>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二、质量保修期</w:t>
      </w:r>
    </w:p>
    <w:p w14:paraId="2D109284">
      <w:pPr>
        <w:pStyle w:val="242"/>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根据《建设工程质量管理条例》及有关规定，工程的质量保修期如下：</w:t>
      </w:r>
    </w:p>
    <w:p w14:paraId="72E1EAB5">
      <w:pPr>
        <w:pStyle w:val="242"/>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1．地基基础工程和主体结构工程为设计文件规定的工程合理使用年限；</w:t>
      </w:r>
    </w:p>
    <w:p w14:paraId="3CA05A40">
      <w:pPr>
        <w:pStyle w:val="242"/>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2．屋面防水工程、有防水要求的卫生间、房间和外墙面的防渗为</w:t>
      </w:r>
      <w:r>
        <w:rPr>
          <w:rFonts w:hint="eastAsia" w:ascii="宋体" w:hAnsi="宋体" w:eastAsia="宋体" w:cs="宋体"/>
          <w:color w:val="auto"/>
          <w:sz w:val="21"/>
          <w:szCs w:val="21"/>
          <w:u w:val="single"/>
        </w:rPr>
        <w:t>伍</w:t>
      </w:r>
      <w:r>
        <w:rPr>
          <w:rFonts w:hint="eastAsia" w:ascii="宋体" w:hAnsi="宋体" w:eastAsia="宋体" w:cs="宋体"/>
          <w:color w:val="auto"/>
          <w:sz w:val="21"/>
          <w:szCs w:val="21"/>
        </w:rPr>
        <w:t>年；</w:t>
      </w:r>
    </w:p>
    <w:p w14:paraId="246C00D3">
      <w:pPr>
        <w:pStyle w:val="242"/>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3．建筑、装修工程为</w:t>
      </w:r>
      <w:r>
        <w:rPr>
          <w:rFonts w:hint="eastAsia" w:ascii="宋体" w:hAnsi="宋体" w:eastAsia="宋体" w:cs="宋体"/>
          <w:color w:val="auto"/>
          <w:sz w:val="21"/>
          <w:szCs w:val="21"/>
          <w:u w:val="single"/>
        </w:rPr>
        <w:t>贰</w:t>
      </w:r>
      <w:r>
        <w:rPr>
          <w:rFonts w:hint="eastAsia" w:ascii="宋体" w:hAnsi="宋体" w:eastAsia="宋体" w:cs="宋体"/>
          <w:color w:val="auto"/>
          <w:sz w:val="21"/>
          <w:szCs w:val="21"/>
        </w:rPr>
        <w:t>年；</w:t>
      </w:r>
    </w:p>
    <w:p w14:paraId="237A7953">
      <w:pPr>
        <w:pStyle w:val="242"/>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4．电气管线、给排水管道、设备安装工程为</w:t>
      </w:r>
      <w:r>
        <w:rPr>
          <w:rFonts w:hint="eastAsia" w:ascii="宋体" w:hAnsi="宋体" w:eastAsia="宋体" w:cs="宋体"/>
          <w:color w:val="auto"/>
          <w:sz w:val="21"/>
          <w:szCs w:val="21"/>
          <w:u w:val="single"/>
        </w:rPr>
        <w:t>贰</w:t>
      </w:r>
      <w:r>
        <w:rPr>
          <w:rFonts w:hint="eastAsia" w:ascii="宋体" w:hAnsi="宋体" w:eastAsia="宋体" w:cs="宋体"/>
          <w:color w:val="auto"/>
          <w:sz w:val="21"/>
          <w:szCs w:val="21"/>
        </w:rPr>
        <w:t>年；</w:t>
      </w:r>
    </w:p>
    <w:p w14:paraId="653590EC">
      <w:pPr>
        <w:pStyle w:val="242"/>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5．供热与供冷系统为</w:t>
      </w:r>
      <w:r>
        <w:rPr>
          <w:rFonts w:hint="eastAsia" w:ascii="宋体" w:hAnsi="宋体" w:eastAsia="宋体" w:cs="宋体"/>
          <w:color w:val="auto"/>
          <w:sz w:val="21"/>
          <w:szCs w:val="21"/>
          <w:u w:val="single"/>
        </w:rPr>
        <w:t>贰</w:t>
      </w:r>
      <w:r>
        <w:rPr>
          <w:rFonts w:hint="eastAsia" w:ascii="宋体" w:hAnsi="宋体" w:eastAsia="宋体" w:cs="宋体"/>
          <w:color w:val="auto"/>
          <w:sz w:val="21"/>
          <w:szCs w:val="21"/>
        </w:rPr>
        <w:t>个采暖期、供冷期；</w:t>
      </w:r>
    </w:p>
    <w:p w14:paraId="681FC25A">
      <w:pPr>
        <w:pStyle w:val="242"/>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6．住宅小区内的给排水设施、道路等配套工程为</w:t>
      </w:r>
      <w:r>
        <w:rPr>
          <w:rFonts w:hint="eastAsia" w:ascii="宋体" w:hAnsi="宋体" w:eastAsia="宋体" w:cs="宋体"/>
          <w:color w:val="auto"/>
          <w:sz w:val="21"/>
          <w:szCs w:val="21"/>
          <w:u w:val="single"/>
        </w:rPr>
        <w:t>贰</w:t>
      </w:r>
      <w:r>
        <w:rPr>
          <w:rFonts w:hint="eastAsia" w:ascii="宋体" w:hAnsi="宋体" w:eastAsia="宋体" w:cs="宋体"/>
          <w:color w:val="auto"/>
          <w:sz w:val="21"/>
          <w:szCs w:val="21"/>
        </w:rPr>
        <w:t>年；</w:t>
      </w:r>
    </w:p>
    <w:p w14:paraId="433B1CD0">
      <w:pPr>
        <w:pStyle w:val="242"/>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7．其他项目保修期限约定如下：</w:t>
      </w:r>
      <w:r>
        <w:rPr>
          <w:rFonts w:hint="eastAsia" w:ascii="宋体" w:hAnsi="宋体" w:eastAsia="宋体" w:cs="宋体"/>
          <w:color w:val="auto"/>
          <w:sz w:val="21"/>
          <w:szCs w:val="21"/>
          <w:u w:val="single"/>
        </w:rPr>
        <w:t>壹年</w:t>
      </w:r>
      <w:r>
        <w:rPr>
          <w:rFonts w:hint="eastAsia" w:ascii="宋体" w:hAnsi="宋体" w:eastAsia="宋体" w:cs="宋体"/>
          <w:color w:val="auto"/>
          <w:sz w:val="21"/>
          <w:szCs w:val="21"/>
        </w:rPr>
        <w:t>。</w:t>
      </w:r>
    </w:p>
    <w:p w14:paraId="07C03B8B">
      <w:pPr>
        <w:pStyle w:val="242"/>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质量保修期自工程竣工验收合格之日起计算。</w:t>
      </w:r>
    </w:p>
    <w:p w14:paraId="1D98631F">
      <w:pPr>
        <w:pStyle w:val="242"/>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三、缺陷责任期</w:t>
      </w:r>
    </w:p>
    <w:p w14:paraId="25AEBB43">
      <w:pPr>
        <w:pStyle w:val="242"/>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工程缺陷责任期为</w:t>
      </w:r>
      <w:r>
        <w:rPr>
          <w:rFonts w:hint="eastAsia" w:ascii="宋体" w:hAnsi="宋体" w:eastAsia="宋体" w:cs="宋体"/>
          <w:color w:val="auto"/>
          <w:sz w:val="21"/>
          <w:szCs w:val="21"/>
          <w:u w:val="single"/>
        </w:rPr>
        <w:t>24</w:t>
      </w:r>
      <w:r>
        <w:rPr>
          <w:rFonts w:hint="eastAsia" w:ascii="宋体" w:hAnsi="宋体" w:eastAsia="宋体" w:cs="宋体"/>
          <w:color w:val="auto"/>
          <w:sz w:val="21"/>
          <w:szCs w:val="21"/>
        </w:rPr>
        <w:t>个月（最长不超过24个月），缺陷责任期自工程竣工验收合格之日起计算。单位工程先于全部工程进行验收，单位工程缺陷责任期自单位工程验收合格之日起算。</w:t>
      </w:r>
    </w:p>
    <w:p w14:paraId="174FCDEB">
      <w:pPr>
        <w:pStyle w:val="242"/>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缺陷责任期终止后，发包人应退还剩余的保证金。</w:t>
      </w:r>
    </w:p>
    <w:p w14:paraId="09C1716E">
      <w:pPr>
        <w:pStyle w:val="242"/>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四、质量保修责任</w:t>
      </w:r>
    </w:p>
    <w:p w14:paraId="47079016">
      <w:pPr>
        <w:pStyle w:val="242"/>
        <w:spacing w:line="360" w:lineRule="auto"/>
        <w:ind w:left="105" w:leftChars="50" w:firstLine="430" w:firstLineChars="205"/>
        <w:rPr>
          <w:rFonts w:hint="eastAsia" w:ascii="宋体" w:hAnsi="宋体" w:eastAsia="宋体" w:cs="宋体"/>
          <w:color w:val="auto"/>
          <w:sz w:val="21"/>
          <w:szCs w:val="21"/>
        </w:rPr>
      </w:pPr>
      <w:r>
        <w:rPr>
          <w:rFonts w:hint="eastAsia" w:ascii="宋体" w:hAnsi="宋体" w:eastAsia="宋体" w:cs="宋体"/>
          <w:color w:val="auto"/>
          <w:sz w:val="21"/>
          <w:szCs w:val="21"/>
        </w:rPr>
        <w:t>1．属于保修范围、内容的项目，承包人应当在接到保修通知之日起</w:t>
      </w:r>
      <w:r>
        <w:rPr>
          <w:rFonts w:hint="eastAsia" w:ascii="宋体" w:hAnsi="宋体" w:eastAsia="宋体" w:cs="宋体"/>
          <w:color w:val="auto"/>
          <w:sz w:val="21"/>
          <w:szCs w:val="21"/>
          <w:u w:val="single"/>
        </w:rPr>
        <w:t>5</w:t>
      </w:r>
      <w:r>
        <w:rPr>
          <w:rFonts w:hint="eastAsia" w:ascii="宋体" w:hAnsi="宋体" w:eastAsia="宋体" w:cs="宋体"/>
          <w:color w:val="auto"/>
          <w:sz w:val="21"/>
          <w:szCs w:val="21"/>
        </w:rPr>
        <w:t>天内派人保修。承包人不在约定期限内派人保修的，发包人可以委托他人修理，修理费用从质量保修金内扣除。</w:t>
      </w:r>
    </w:p>
    <w:p w14:paraId="05CF4E31">
      <w:pPr>
        <w:pStyle w:val="242"/>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2．发生紧急事故需抢修的，承包人在接到事故通知后，应当立即到达事故现场抢修。</w:t>
      </w:r>
    </w:p>
    <w:p w14:paraId="706B1423">
      <w:pPr>
        <w:pStyle w:val="242"/>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033794AA">
      <w:pPr>
        <w:pStyle w:val="242"/>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4．质量保修完成后，由发包人组织验收。</w:t>
      </w:r>
    </w:p>
    <w:p w14:paraId="0C86D497">
      <w:pPr>
        <w:pStyle w:val="242"/>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五、保修费用</w:t>
      </w:r>
    </w:p>
    <w:p w14:paraId="1C986A74">
      <w:pPr>
        <w:pStyle w:val="242"/>
        <w:tabs>
          <w:tab w:val="left" w:pos="7380"/>
        </w:tabs>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保修费用由造成质量缺陷的责任方承担。</w:t>
      </w:r>
    </w:p>
    <w:p w14:paraId="5A53CD05">
      <w:pPr>
        <w:pStyle w:val="242"/>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六、双方约定的其他工程质量保修事项：</w:t>
      </w:r>
      <w:r>
        <w:rPr>
          <w:rFonts w:hint="eastAsia" w:ascii="宋体" w:hAnsi="宋体" w:eastAsia="宋体" w:cs="宋体"/>
          <w:color w:val="auto"/>
          <w:sz w:val="21"/>
          <w:szCs w:val="21"/>
          <w:u w:val="single"/>
        </w:rPr>
        <w:t>无</w:t>
      </w:r>
      <w:r>
        <w:rPr>
          <w:rFonts w:hint="eastAsia" w:ascii="宋体" w:hAnsi="宋体" w:eastAsia="宋体" w:cs="宋体"/>
          <w:color w:val="auto"/>
          <w:sz w:val="21"/>
          <w:szCs w:val="21"/>
        </w:rPr>
        <w:t>。</w:t>
      </w:r>
    </w:p>
    <w:p w14:paraId="5CCBA238">
      <w:pPr>
        <w:pStyle w:val="18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工程质量保修书由发包人、承包人在工程竣工验收前共同签署，作为施工合同附件，其有效期限至保修期满。</w:t>
      </w:r>
    </w:p>
    <w:p w14:paraId="40D160EC">
      <w:pPr>
        <w:pStyle w:val="18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14:paraId="3701908C">
      <w:pPr>
        <w:pStyle w:val="180"/>
        <w:spacing w:line="360" w:lineRule="auto"/>
        <w:rPr>
          <w:rFonts w:hint="eastAsia" w:ascii="宋体" w:hAnsi="宋体" w:eastAsia="宋体" w:cs="宋体"/>
          <w:color w:val="auto"/>
          <w:sz w:val="21"/>
          <w:szCs w:val="21"/>
        </w:rPr>
      </w:pPr>
    </w:p>
    <w:tbl>
      <w:tblPr>
        <w:tblStyle w:val="45"/>
        <w:tblW w:w="90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684CC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516" w:type="dxa"/>
            <w:vAlign w:val="center"/>
          </w:tcPr>
          <w:p w14:paraId="57150F89">
            <w:pPr>
              <w:snapToGri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 xml:space="preserve">甲方（章）           </w:t>
            </w:r>
          </w:p>
          <w:p w14:paraId="404E2C42">
            <w:pPr>
              <w:snapToGrid w:val="0"/>
              <w:spacing w:line="400" w:lineRule="exact"/>
              <w:rPr>
                <w:rFonts w:hint="eastAsia" w:ascii="宋体" w:hAnsi="宋体" w:eastAsia="宋体" w:cs="宋体"/>
                <w:color w:val="auto"/>
                <w:sz w:val="21"/>
                <w:szCs w:val="21"/>
              </w:rPr>
            </w:pPr>
          </w:p>
          <w:p w14:paraId="133FFD9C">
            <w:pPr>
              <w:snapToGrid w:val="0"/>
              <w:spacing w:line="400" w:lineRule="exact"/>
              <w:ind w:firstLine="945" w:firstLineChars="450"/>
              <w:jc w:val="right"/>
              <w:rPr>
                <w:rFonts w:hint="eastAsia" w:ascii="宋体" w:hAnsi="宋体" w:eastAsia="宋体" w:cs="宋体"/>
                <w:color w:val="auto"/>
                <w:sz w:val="21"/>
                <w:szCs w:val="21"/>
              </w:rPr>
            </w:pPr>
            <w:r>
              <w:rPr>
                <w:rFonts w:hint="eastAsia" w:ascii="宋体" w:hAnsi="宋体" w:eastAsia="宋体" w:cs="宋体"/>
                <w:color w:val="auto"/>
                <w:sz w:val="21"/>
                <w:szCs w:val="21"/>
              </w:rPr>
              <w:t>年  月  日</w:t>
            </w:r>
          </w:p>
        </w:tc>
        <w:tc>
          <w:tcPr>
            <w:tcW w:w="4517" w:type="dxa"/>
            <w:vAlign w:val="center"/>
          </w:tcPr>
          <w:p w14:paraId="0434FA8A">
            <w:pPr>
              <w:snapToGri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 xml:space="preserve">乙方（章）              </w:t>
            </w:r>
          </w:p>
          <w:p w14:paraId="1F29CCFB">
            <w:pPr>
              <w:snapToGrid w:val="0"/>
              <w:spacing w:line="400" w:lineRule="exact"/>
              <w:rPr>
                <w:rFonts w:hint="eastAsia" w:ascii="宋体" w:hAnsi="宋体" w:eastAsia="宋体" w:cs="宋体"/>
                <w:color w:val="auto"/>
                <w:sz w:val="21"/>
                <w:szCs w:val="21"/>
              </w:rPr>
            </w:pPr>
          </w:p>
          <w:p w14:paraId="1065CE8D">
            <w:pPr>
              <w:snapToGrid w:val="0"/>
              <w:spacing w:line="400" w:lineRule="exact"/>
              <w:jc w:val="right"/>
              <w:rPr>
                <w:rFonts w:hint="eastAsia" w:ascii="宋体" w:hAnsi="宋体" w:eastAsia="宋体" w:cs="宋体"/>
                <w:color w:val="auto"/>
                <w:sz w:val="21"/>
                <w:szCs w:val="21"/>
              </w:rPr>
            </w:pPr>
            <w:r>
              <w:rPr>
                <w:rFonts w:hint="eastAsia" w:ascii="宋体" w:hAnsi="宋体" w:eastAsia="宋体" w:cs="宋体"/>
                <w:color w:val="auto"/>
                <w:sz w:val="21"/>
                <w:szCs w:val="21"/>
              </w:rPr>
              <w:t xml:space="preserve"> 年  月  日</w:t>
            </w:r>
          </w:p>
        </w:tc>
      </w:tr>
      <w:tr w14:paraId="58293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4516" w:type="dxa"/>
            <w:vAlign w:val="center"/>
          </w:tcPr>
          <w:p w14:paraId="4337072C">
            <w:pPr>
              <w:snapToGri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 xml:space="preserve">单位地址： </w:t>
            </w:r>
          </w:p>
        </w:tc>
        <w:tc>
          <w:tcPr>
            <w:tcW w:w="4517" w:type="dxa"/>
            <w:vAlign w:val="center"/>
          </w:tcPr>
          <w:p w14:paraId="0323CED1">
            <w:pPr>
              <w:snapToGri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单位地址：</w:t>
            </w:r>
          </w:p>
        </w:tc>
      </w:tr>
      <w:tr w14:paraId="5D32C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4516" w:type="dxa"/>
            <w:vAlign w:val="center"/>
          </w:tcPr>
          <w:p w14:paraId="0AC39FF6">
            <w:pPr>
              <w:snapToGri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tc>
        <w:tc>
          <w:tcPr>
            <w:tcW w:w="4517" w:type="dxa"/>
            <w:vAlign w:val="center"/>
          </w:tcPr>
          <w:p w14:paraId="479B0E70">
            <w:pPr>
              <w:snapToGri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tc>
      </w:tr>
      <w:tr w14:paraId="22B41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4516" w:type="dxa"/>
            <w:vAlign w:val="center"/>
          </w:tcPr>
          <w:p w14:paraId="0246F49A">
            <w:pPr>
              <w:snapToGri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委托代理人：</w:t>
            </w:r>
          </w:p>
        </w:tc>
        <w:tc>
          <w:tcPr>
            <w:tcW w:w="4517" w:type="dxa"/>
            <w:vAlign w:val="center"/>
          </w:tcPr>
          <w:p w14:paraId="3430C3A7">
            <w:pPr>
              <w:snapToGri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委托代理人</w:t>
            </w:r>
          </w:p>
        </w:tc>
      </w:tr>
      <w:tr w14:paraId="37BBF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516" w:type="dxa"/>
            <w:vAlign w:val="center"/>
          </w:tcPr>
          <w:p w14:paraId="01F2AE22">
            <w:pPr>
              <w:snapToGri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 xml:space="preserve">电话： </w:t>
            </w:r>
          </w:p>
        </w:tc>
        <w:tc>
          <w:tcPr>
            <w:tcW w:w="4517" w:type="dxa"/>
            <w:vAlign w:val="center"/>
          </w:tcPr>
          <w:p w14:paraId="754208DA">
            <w:pPr>
              <w:snapToGri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r>
      <w:tr w14:paraId="248B5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4516" w:type="dxa"/>
            <w:vAlign w:val="center"/>
          </w:tcPr>
          <w:p w14:paraId="07880B2A">
            <w:pPr>
              <w:snapToGri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电子邮箱：</w:t>
            </w:r>
          </w:p>
        </w:tc>
        <w:tc>
          <w:tcPr>
            <w:tcW w:w="4517" w:type="dxa"/>
            <w:vAlign w:val="center"/>
          </w:tcPr>
          <w:p w14:paraId="49D02A87">
            <w:pPr>
              <w:snapToGri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电子邮箱：</w:t>
            </w:r>
          </w:p>
        </w:tc>
      </w:tr>
      <w:tr w14:paraId="71175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16" w:type="dxa"/>
            <w:vAlign w:val="center"/>
          </w:tcPr>
          <w:p w14:paraId="7F9B4B75">
            <w:pPr>
              <w:snapToGri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 xml:space="preserve">开户银行： </w:t>
            </w:r>
          </w:p>
        </w:tc>
        <w:tc>
          <w:tcPr>
            <w:tcW w:w="4517" w:type="dxa"/>
            <w:vAlign w:val="center"/>
          </w:tcPr>
          <w:p w14:paraId="40E9EA2A">
            <w:pPr>
              <w:snapToGri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r>
      <w:tr w14:paraId="20108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4516" w:type="dxa"/>
            <w:vAlign w:val="center"/>
          </w:tcPr>
          <w:p w14:paraId="1185B872">
            <w:pPr>
              <w:snapToGri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 xml:space="preserve">税号： </w:t>
            </w:r>
          </w:p>
        </w:tc>
        <w:tc>
          <w:tcPr>
            <w:tcW w:w="4517" w:type="dxa"/>
            <w:vAlign w:val="center"/>
          </w:tcPr>
          <w:p w14:paraId="36E338E8">
            <w:pPr>
              <w:snapToGri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税号：</w:t>
            </w:r>
          </w:p>
        </w:tc>
      </w:tr>
      <w:tr w14:paraId="7BCF6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16" w:type="dxa"/>
            <w:vAlign w:val="center"/>
          </w:tcPr>
          <w:p w14:paraId="5FABEFDD">
            <w:pPr>
              <w:snapToGri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 xml:space="preserve">账号： </w:t>
            </w:r>
          </w:p>
        </w:tc>
        <w:tc>
          <w:tcPr>
            <w:tcW w:w="4517" w:type="dxa"/>
            <w:vAlign w:val="center"/>
          </w:tcPr>
          <w:p w14:paraId="5D1420D6">
            <w:pPr>
              <w:snapToGri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账号：</w:t>
            </w:r>
          </w:p>
        </w:tc>
      </w:tr>
      <w:tr w14:paraId="37B60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516" w:type="dxa"/>
            <w:vAlign w:val="center"/>
          </w:tcPr>
          <w:p w14:paraId="065E7AFB">
            <w:pPr>
              <w:snapToGri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 xml:space="preserve">邮政编码： </w:t>
            </w:r>
          </w:p>
        </w:tc>
        <w:tc>
          <w:tcPr>
            <w:tcW w:w="4517" w:type="dxa"/>
            <w:vAlign w:val="center"/>
          </w:tcPr>
          <w:p w14:paraId="2BE030F1">
            <w:pPr>
              <w:snapToGri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r>
    </w:tbl>
    <w:p w14:paraId="59A5459D">
      <w:pPr>
        <w:pStyle w:val="242"/>
        <w:spacing w:line="360" w:lineRule="auto"/>
        <w:ind w:firstLine="399" w:firstLineChars="190"/>
        <w:rPr>
          <w:rFonts w:ascii="Times New Roman" w:hAnsi="宋体" w:cs="宋体"/>
          <w:color w:val="auto"/>
          <w:szCs w:val="21"/>
        </w:rPr>
      </w:pPr>
    </w:p>
    <w:p w14:paraId="51648C50">
      <w:pPr>
        <w:pStyle w:val="242"/>
        <w:spacing w:line="360" w:lineRule="auto"/>
        <w:ind w:firstLine="399" w:firstLineChars="190"/>
        <w:rPr>
          <w:rFonts w:ascii="Times New Roman" w:hAnsi="Times New Roman"/>
          <w:color w:val="auto"/>
          <w:szCs w:val="21"/>
        </w:rPr>
      </w:pPr>
    </w:p>
    <w:p w14:paraId="3A2D3C68">
      <w:pPr>
        <w:rPr>
          <w:color w:val="auto"/>
        </w:rPr>
        <w:sectPr>
          <w:headerReference r:id="rId4" w:type="default"/>
          <w:footerReference r:id="rId5" w:type="default"/>
          <w:footerReference r:id="rId6" w:type="even"/>
          <w:pgSz w:w="11906" w:h="16838"/>
          <w:pgMar w:top="1304" w:right="1134" w:bottom="1134" w:left="1304" w:header="851" w:footer="992" w:gutter="0"/>
          <w:cols w:space="720" w:num="1"/>
          <w:docGrid w:linePitch="312" w:charSpace="0"/>
        </w:sectPr>
      </w:pPr>
    </w:p>
    <w:p w14:paraId="1B65C441">
      <w:pPr>
        <w:spacing w:line="360" w:lineRule="auto"/>
        <w:jc w:val="left"/>
        <w:rPr>
          <w:rFonts w:ascii="宋体" w:hAnsi="宋体" w:cs="宋体"/>
          <w:b/>
          <w:color w:val="auto"/>
          <w:szCs w:val="21"/>
        </w:rPr>
      </w:pPr>
      <w:bookmarkStart w:id="241" w:name="_Toc351203652"/>
    </w:p>
    <w:p w14:paraId="3984C3F7">
      <w:pPr>
        <w:spacing w:line="360" w:lineRule="auto"/>
        <w:jc w:val="left"/>
        <w:rPr>
          <w:rFonts w:ascii="宋体" w:hAnsi="宋体" w:cs="宋体"/>
          <w:b/>
          <w:color w:val="auto"/>
          <w:szCs w:val="21"/>
        </w:rPr>
      </w:pPr>
      <w:r>
        <w:rPr>
          <w:rFonts w:hint="eastAsia" w:ascii="宋体" w:hAnsi="宋体" w:cs="宋体"/>
          <w:b/>
          <w:color w:val="auto"/>
          <w:szCs w:val="21"/>
        </w:rPr>
        <w:t>附件</w:t>
      </w:r>
      <w:bookmarkEnd w:id="241"/>
    </w:p>
    <w:p w14:paraId="1459550C">
      <w:pPr>
        <w:spacing w:line="360" w:lineRule="auto"/>
        <w:jc w:val="left"/>
        <w:rPr>
          <w:rFonts w:ascii="宋体" w:hAnsi="宋体" w:cs="宋体"/>
          <w:color w:val="auto"/>
          <w:szCs w:val="21"/>
        </w:rPr>
      </w:pPr>
      <w:r>
        <w:rPr>
          <w:rFonts w:hint="eastAsia" w:ascii="宋体" w:hAnsi="宋体" w:cs="宋体"/>
          <w:color w:val="auto"/>
          <w:szCs w:val="21"/>
        </w:rPr>
        <w:t>附件1：承包人用于本工程施工的机械设备表</w:t>
      </w:r>
    </w:p>
    <w:p w14:paraId="2B814EEB">
      <w:pPr>
        <w:spacing w:line="360" w:lineRule="auto"/>
        <w:jc w:val="left"/>
        <w:rPr>
          <w:rFonts w:ascii="宋体" w:hAnsi="宋体" w:cs="宋体"/>
          <w:color w:val="auto"/>
          <w:szCs w:val="21"/>
        </w:rPr>
      </w:pPr>
      <w:r>
        <w:rPr>
          <w:rFonts w:hint="eastAsia" w:ascii="宋体" w:hAnsi="宋体" w:cs="宋体"/>
          <w:color w:val="auto"/>
          <w:szCs w:val="21"/>
        </w:rPr>
        <w:t>附件2：承包人主要施工管理人员表</w:t>
      </w:r>
    </w:p>
    <w:p w14:paraId="73BF7E74">
      <w:pPr>
        <w:spacing w:line="360" w:lineRule="auto"/>
        <w:jc w:val="left"/>
        <w:rPr>
          <w:rFonts w:ascii="宋体" w:hAnsi="宋体" w:cs="宋体"/>
          <w:color w:val="auto"/>
          <w:szCs w:val="21"/>
        </w:rPr>
      </w:pPr>
      <w:r>
        <w:rPr>
          <w:rFonts w:hint="eastAsia" w:ascii="宋体" w:hAnsi="宋体" w:cs="宋体"/>
          <w:color w:val="auto"/>
          <w:szCs w:val="21"/>
        </w:rPr>
        <w:t>附件3：安全生产承诺书</w:t>
      </w:r>
    </w:p>
    <w:p w14:paraId="26FC8D14">
      <w:pPr>
        <w:spacing w:line="360" w:lineRule="auto"/>
        <w:jc w:val="left"/>
        <w:rPr>
          <w:rFonts w:ascii="宋体" w:hAnsi="宋体" w:cs="宋体"/>
          <w:color w:val="auto"/>
          <w:szCs w:val="21"/>
        </w:rPr>
      </w:pPr>
      <w:r>
        <w:rPr>
          <w:rFonts w:hint="eastAsia" w:ascii="宋体" w:hAnsi="宋体" w:cs="宋体"/>
          <w:color w:val="auto"/>
          <w:szCs w:val="21"/>
        </w:rPr>
        <w:t>附件4：建设工程廉政责任书</w:t>
      </w:r>
    </w:p>
    <w:p w14:paraId="6EEC6DE0">
      <w:pPr>
        <w:spacing w:line="360" w:lineRule="auto"/>
        <w:jc w:val="left"/>
        <w:rPr>
          <w:rFonts w:ascii="宋体" w:hAnsi="宋体" w:cs="宋体"/>
          <w:color w:val="auto"/>
          <w:szCs w:val="21"/>
        </w:rPr>
        <w:sectPr>
          <w:pgSz w:w="11906" w:h="16838"/>
          <w:pgMar w:top="1304" w:right="1134" w:bottom="1134" w:left="1304" w:header="851" w:footer="992" w:gutter="0"/>
          <w:cols w:space="720" w:num="1"/>
          <w:titlePg/>
          <w:docGrid w:linePitch="312" w:charSpace="0"/>
        </w:sectPr>
      </w:pPr>
    </w:p>
    <w:p w14:paraId="569247C1">
      <w:pPr>
        <w:spacing w:line="360" w:lineRule="auto"/>
        <w:rPr>
          <w:rFonts w:ascii="宋体" w:hAnsi="宋体" w:cs="宋体"/>
          <w:b/>
          <w:color w:val="auto"/>
          <w:szCs w:val="21"/>
        </w:rPr>
      </w:pPr>
      <w:r>
        <w:rPr>
          <w:rFonts w:hint="eastAsia" w:ascii="宋体" w:hAnsi="宋体" w:cs="宋体"/>
          <w:b/>
          <w:color w:val="auto"/>
          <w:szCs w:val="21"/>
        </w:rPr>
        <w:t>附件1：</w:t>
      </w:r>
    </w:p>
    <w:p w14:paraId="4EE1CC81">
      <w:pPr>
        <w:spacing w:beforeLines="50" w:afterLines="50" w:line="360" w:lineRule="auto"/>
        <w:jc w:val="center"/>
        <w:rPr>
          <w:rFonts w:ascii="宋体" w:hAnsi="宋体" w:cs="宋体"/>
          <w:color w:val="auto"/>
          <w:sz w:val="32"/>
          <w:szCs w:val="32"/>
        </w:rPr>
      </w:pPr>
      <w:r>
        <w:rPr>
          <w:rFonts w:hint="eastAsia" w:ascii="宋体" w:hAnsi="宋体" w:cs="宋体"/>
          <w:color w:val="auto"/>
          <w:sz w:val="32"/>
          <w:szCs w:val="32"/>
        </w:rPr>
        <w:t>承包人用于本工程施工的机械设备表</w:t>
      </w:r>
    </w:p>
    <w:tbl>
      <w:tblPr>
        <w:tblStyle w:val="4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45"/>
        <w:gridCol w:w="1512"/>
        <w:gridCol w:w="1051"/>
        <w:gridCol w:w="1020"/>
        <w:gridCol w:w="849"/>
        <w:gridCol w:w="1134"/>
        <w:gridCol w:w="1277"/>
        <w:gridCol w:w="1116"/>
        <w:gridCol w:w="756"/>
      </w:tblGrid>
      <w:tr w14:paraId="343A98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5" w:hRule="atLeast"/>
          <w:jc w:val="center"/>
        </w:trPr>
        <w:tc>
          <w:tcPr>
            <w:tcW w:w="745" w:type="dxa"/>
            <w:tcBorders>
              <w:top w:val="single" w:color="auto" w:sz="12" w:space="0"/>
              <w:bottom w:val="double" w:color="auto" w:sz="6" w:space="0"/>
            </w:tcBorders>
            <w:vAlign w:val="center"/>
          </w:tcPr>
          <w:p w14:paraId="563C641F">
            <w:pPr>
              <w:keepNext/>
              <w:spacing w:after="120" w:line="360" w:lineRule="auto"/>
              <w:ind w:left="63" w:right="63"/>
              <w:jc w:val="center"/>
              <w:rPr>
                <w:rFonts w:ascii="宋体" w:hAnsi="宋体" w:cs="宋体"/>
                <w:color w:val="auto"/>
                <w:szCs w:val="21"/>
              </w:rPr>
            </w:pPr>
            <w:r>
              <w:rPr>
                <w:rFonts w:hint="eastAsia" w:ascii="宋体" w:hAnsi="宋体" w:cs="宋体"/>
                <w:color w:val="auto"/>
                <w:szCs w:val="21"/>
              </w:rPr>
              <w:t>序号</w:t>
            </w:r>
          </w:p>
        </w:tc>
        <w:tc>
          <w:tcPr>
            <w:tcW w:w="1512" w:type="dxa"/>
            <w:tcBorders>
              <w:top w:val="single" w:color="auto" w:sz="12" w:space="0"/>
              <w:bottom w:val="double" w:color="auto" w:sz="6" w:space="0"/>
            </w:tcBorders>
            <w:vAlign w:val="center"/>
          </w:tcPr>
          <w:p w14:paraId="56B8EB1B">
            <w:pPr>
              <w:keepNext/>
              <w:spacing w:after="120" w:line="360" w:lineRule="auto"/>
              <w:ind w:left="63" w:right="63"/>
              <w:jc w:val="center"/>
              <w:rPr>
                <w:rFonts w:ascii="宋体" w:hAnsi="宋体" w:cs="宋体"/>
                <w:color w:val="auto"/>
                <w:szCs w:val="21"/>
              </w:rPr>
            </w:pPr>
            <w:r>
              <w:rPr>
                <w:rFonts w:hint="eastAsia" w:ascii="宋体" w:hAnsi="宋体" w:cs="宋体"/>
                <w:color w:val="auto"/>
                <w:szCs w:val="21"/>
              </w:rPr>
              <w:t>机械或     设备名称</w:t>
            </w:r>
          </w:p>
        </w:tc>
        <w:tc>
          <w:tcPr>
            <w:tcW w:w="1051" w:type="dxa"/>
            <w:tcBorders>
              <w:top w:val="single" w:color="auto" w:sz="12" w:space="0"/>
              <w:bottom w:val="double" w:color="auto" w:sz="6" w:space="0"/>
            </w:tcBorders>
            <w:vAlign w:val="center"/>
          </w:tcPr>
          <w:p w14:paraId="56CAD9BE">
            <w:pPr>
              <w:keepNext/>
              <w:spacing w:after="120" w:line="360" w:lineRule="auto"/>
              <w:ind w:left="63" w:right="63"/>
              <w:jc w:val="center"/>
              <w:rPr>
                <w:rFonts w:ascii="宋体" w:hAnsi="宋体" w:cs="宋体"/>
                <w:color w:val="auto"/>
                <w:szCs w:val="21"/>
              </w:rPr>
            </w:pPr>
            <w:r>
              <w:rPr>
                <w:rFonts w:hint="eastAsia" w:ascii="宋体" w:hAnsi="宋体" w:cs="宋体"/>
                <w:color w:val="auto"/>
                <w:szCs w:val="21"/>
              </w:rPr>
              <w:t>规格型号</w:t>
            </w:r>
          </w:p>
        </w:tc>
        <w:tc>
          <w:tcPr>
            <w:tcW w:w="1020" w:type="dxa"/>
            <w:tcBorders>
              <w:top w:val="single" w:color="auto" w:sz="12" w:space="0"/>
              <w:bottom w:val="double" w:color="auto" w:sz="6" w:space="0"/>
            </w:tcBorders>
            <w:vAlign w:val="center"/>
          </w:tcPr>
          <w:p w14:paraId="7803DAEC">
            <w:pPr>
              <w:keepNext/>
              <w:spacing w:after="120" w:line="360" w:lineRule="auto"/>
              <w:ind w:left="63" w:right="63"/>
              <w:jc w:val="center"/>
              <w:rPr>
                <w:rFonts w:ascii="宋体" w:hAnsi="宋体" w:cs="宋体"/>
                <w:color w:val="auto"/>
                <w:szCs w:val="21"/>
              </w:rPr>
            </w:pPr>
            <w:r>
              <w:rPr>
                <w:rFonts w:hint="eastAsia" w:ascii="宋体" w:hAnsi="宋体" w:cs="宋体"/>
                <w:color w:val="auto"/>
                <w:szCs w:val="21"/>
              </w:rPr>
              <w:t>数量</w:t>
            </w:r>
          </w:p>
        </w:tc>
        <w:tc>
          <w:tcPr>
            <w:tcW w:w="849" w:type="dxa"/>
            <w:tcBorders>
              <w:top w:val="single" w:color="auto" w:sz="12" w:space="0"/>
              <w:bottom w:val="double" w:color="auto" w:sz="6" w:space="0"/>
            </w:tcBorders>
            <w:vAlign w:val="center"/>
          </w:tcPr>
          <w:p w14:paraId="1917AB11">
            <w:pPr>
              <w:keepNext/>
              <w:spacing w:after="120" w:line="360" w:lineRule="auto"/>
              <w:ind w:left="63" w:right="63"/>
              <w:jc w:val="center"/>
              <w:rPr>
                <w:rFonts w:ascii="宋体" w:hAnsi="宋体" w:cs="宋体"/>
                <w:color w:val="auto"/>
                <w:szCs w:val="21"/>
              </w:rPr>
            </w:pPr>
            <w:r>
              <w:rPr>
                <w:rFonts w:hint="eastAsia" w:ascii="宋体" w:hAnsi="宋体" w:cs="宋体"/>
                <w:color w:val="auto"/>
                <w:szCs w:val="21"/>
              </w:rPr>
              <w:t>产地</w:t>
            </w:r>
          </w:p>
        </w:tc>
        <w:tc>
          <w:tcPr>
            <w:tcW w:w="1134" w:type="dxa"/>
            <w:tcBorders>
              <w:top w:val="single" w:color="auto" w:sz="12" w:space="0"/>
              <w:bottom w:val="double" w:color="auto" w:sz="6" w:space="0"/>
            </w:tcBorders>
            <w:vAlign w:val="center"/>
          </w:tcPr>
          <w:p w14:paraId="300479AC">
            <w:pPr>
              <w:keepNext/>
              <w:spacing w:after="120" w:line="360" w:lineRule="auto"/>
              <w:ind w:left="63" w:right="63"/>
              <w:jc w:val="center"/>
              <w:rPr>
                <w:rFonts w:ascii="宋体" w:hAnsi="宋体" w:cs="宋体"/>
                <w:color w:val="auto"/>
                <w:szCs w:val="21"/>
              </w:rPr>
            </w:pPr>
            <w:r>
              <w:rPr>
                <w:rFonts w:hint="eastAsia" w:ascii="宋体" w:hAnsi="宋体" w:cs="宋体"/>
                <w:color w:val="auto"/>
                <w:szCs w:val="21"/>
              </w:rPr>
              <w:t>制造年份</w:t>
            </w:r>
          </w:p>
        </w:tc>
        <w:tc>
          <w:tcPr>
            <w:tcW w:w="1277" w:type="dxa"/>
            <w:tcBorders>
              <w:top w:val="single" w:color="auto" w:sz="12" w:space="0"/>
              <w:bottom w:val="double" w:color="auto" w:sz="6" w:space="0"/>
            </w:tcBorders>
            <w:vAlign w:val="center"/>
          </w:tcPr>
          <w:p w14:paraId="7FDF4F20">
            <w:pPr>
              <w:keepNext/>
              <w:spacing w:after="120" w:line="360" w:lineRule="auto"/>
              <w:ind w:left="63" w:right="63"/>
              <w:jc w:val="center"/>
              <w:rPr>
                <w:rFonts w:ascii="宋体" w:hAnsi="宋体" w:cs="宋体"/>
                <w:color w:val="auto"/>
                <w:szCs w:val="21"/>
              </w:rPr>
            </w:pPr>
            <w:r>
              <w:rPr>
                <w:rFonts w:hint="eastAsia" w:ascii="宋体" w:hAnsi="宋体" w:cs="宋体"/>
                <w:color w:val="auto"/>
                <w:szCs w:val="21"/>
              </w:rPr>
              <w:t>额定功率(kW)</w:t>
            </w:r>
          </w:p>
        </w:tc>
        <w:tc>
          <w:tcPr>
            <w:tcW w:w="1116" w:type="dxa"/>
            <w:tcBorders>
              <w:top w:val="single" w:color="auto" w:sz="12" w:space="0"/>
              <w:bottom w:val="double" w:color="auto" w:sz="6" w:space="0"/>
            </w:tcBorders>
            <w:vAlign w:val="center"/>
          </w:tcPr>
          <w:p w14:paraId="542C9E74">
            <w:pPr>
              <w:keepNext/>
              <w:spacing w:after="120" w:line="360" w:lineRule="auto"/>
              <w:ind w:left="63" w:right="63"/>
              <w:jc w:val="center"/>
              <w:rPr>
                <w:rFonts w:ascii="宋体" w:hAnsi="宋体" w:cs="宋体"/>
                <w:color w:val="auto"/>
                <w:szCs w:val="21"/>
              </w:rPr>
            </w:pPr>
            <w:r>
              <w:rPr>
                <w:rFonts w:hint="eastAsia" w:ascii="宋体" w:hAnsi="宋体" w:cs="宋体"/>
                <w:color w:val="auto"/>
                <w:szCs w:val="21"/>
              </w:rPr>
              <w:t>生产能力</w:t>
            </w:r>
          </w:p>
        </w:tc>
        <w:tc>
          <w:tcPr>
            <w:tcW w:w="756" w:type="dxa"/>
            <w:tcBorders>
              <w:top w:val="single" w:color="auto" w:sz="12" w:space="0"/>
              <w:bottom w:val="double" w:color="auto" w:sz="6" w:space="0"/>
            </w:tcBorders>
            <w:vAlign w:val="center"/>
          </w:tcPr>
          <w:p w14:paraId="3B8ECAC3">
            <w:pPr>
              <w:keepNext/>
              <w:spacing w:after="120" w:line="360" w:lineRule="auto"/>
              <w:ind w:left="63" w:right="63"/>
              <w:jc w:val="center"/>
              <w:rPr>
                <w:rFonts w:ascii="宋体" w:hAnsi="宋体" w:cs="宋体"/>
                <w:color w:val="auto"/>
                <w:szCs w:val="21"/>
              </w:rPr>
            </w:pPr>
            <w:r>
              <w:rPr>
                <w:rFonts w:hint="eastAsia" w:ascii="宋体" w:hAnsi="宋体" w:cs="宋体"/>
                <w:color w:val="auto"/>
                <w:szCs w:val="21"/>
              </w:rPr>
              <w:t>备注</w:t>
            </w:r>
          </w:p>
        </w:tc>
      </w:tr>
      <w:tr w14:paraId="2A7335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7" w:hRule="atLeast"/>
          <w:jc w:val="center"/>
        </w:trPr>
        <w:tc>
          <w:tcPr>
            <w:tcW w:w="745" w:type="dxa"/>
            <w:tcBorders>
              <w:top w:val="double" w:color="auto" w:sz="6" w:space="0"/>
              <w:bottom w:val="single" w:color="auto" w:sz="6" w:space="0"/>
            </w:tcBorders>
            <w:vAlign w:val="center"/>
          </w:tcPr>
          <w:p w14:paraId="16DCC9B7">
            <w:pPr>
              <w:spacing w:line="360" w:lineRule="auto"/>
              <w:ind w:leftChars="-35" w:hanging="73" w:hangingChars="35"/>
              <w:jc w:val="center"/>
              <w:rPr>
                <w:rFonts w:ascii="宋体" w:hAnsi="宋体" w:cs="宋体"/>
                <w:color w:val="auto"/>
                <w:szCs w:val="21"/>
              </w:rPr>
            </w:pPr>
          </w:p>
        </w:tc>
        <w:tc>
          <w:tcPr>
            <w:tcW w:w="1512" w:type="dxa"/>
            <w:tcBorders>
              <w:top w:val="double" w:color="auto" w:sz="6" w:space="0"/>
              <w:bottom w:val="single" w:color="auto" w:sz="6" w:space="0"/>
            </w:tcBorders>
            <w:vAlign w:val="center"/>
          </w:tcPr>
          <w:p w14:paraId="5C3E260C">
            <w:pPr>
              <w:spacing w:line="360" w:lineRule="auto"/>
              <w:ind w:leftChars="-35" w:hanging="73" w:hangingChars="35"/>
              <w:jc w:val="center"/>
              <w:rPr>
                <w:rFonts w:ascii="宋体" w:hAnsi="宋体" w:cs="宋体"/>
                <w:color w:val="auto"/>
                <w:szCs w:val="21"/>
              </w:rPr>
            </w:pPr>
          </w:p>
        </w:tc>
        <w:tc>
          <w:tcPr>
            <w:tcW w:w="1051" w:type="dxa"/>
            <w:tcBorders>
              <w:top w:val="double" w:color="auto" w:sz="6" w:space="0"/>
              <w:bottom w:val="single" w:color="auto" w:sz="6" w:space="0"/>
            </w:tcBorders>
            <w:vAlign w:val="center"/>
          </w:tcPr>
          <w:p w14:paraId="1506B4E8">
            <w:pPr>
              <w:spacing w:line="360" w:lineRule="auto"/>
              <w:ind w:leftChars="-35" w:hanging="73" w:hangingChars="35"/>
              <w:jc w:val="center"/>
              <w:rPr>
                <w:rFonts w:ascii="宋体" w:hAnsi="宋体" w:cs="宋体"/>
                <w:color w:val="auto"/>
                <w:szCs w:val="21"/>
              </w:rPr>
            </w:pPr>
          </w:p>
        </w:tc>
        <w:tc>
          <w:tcPr>
            <w:tcW w:w="1020" w:type="dxa"/>
            <w:tcBorders>
              <w:top w:val="double" w:color="auto" w:sz="6" w:space="0"/>
              <w:bottom w:val="single" w:color="auto" w:sz="6" w:space="0"/>
            </w:tcBorders>
            <w:vAlign w:val="center"/>
          </w:tcPr>
          <w:p w14:paraId="3FB4C16F">
            <w:pPr>
              <w:spacing w:line="360" w:lineRule="auto"/>
              <w:ind w:leftChars="-35" w:hanging="73" w:hangingChars="35"/>
              <w:jc w:val="center"/>
              <w:rPr>
                <w:rFonts w:ascii="宋体" w:hAnsi="宋体" w:cs="宋体"/>
                <w:color w:val="auto"/>
                <w:szCs w:val="21"/>
              </w:rPr>
            </w:pPr>
          </w:p>
        </w:tc>
        <w:tc>
          <w:tcPr>
            <w:tcW w:w="849" w:type="dxa"/>
            <w:tcBorders>
              <w:top w:val="double" w:color="auto" w:sz="6" w:space="0"/>
              <w:bottom w:val="single" w:color="auto" w:sz="6" w:space="0"/>
            </w:tcBorders>
            <w:vAlign w:val="center"/>
          </w:tcPr>
          <w:p w14:paraId="420EB2EC">
            <w:pPr>
              <w:spacing w:line="360" w:lineRule="auto"/>
              <w:ind w:leftChars="-35" w:hanging="73" w:hangingChars="35"/>
              <w:jc w:val="center"/>
              <w:rPr>
                <w:rFonts w:ascii="宋体" w:hAnsi="宋体" w:cs="宋体"/>
                <w:color w:val="auto"/>
                <w:szCs w:val="21"/>
              </w:rPr>
            </w:pPr>
          </w:p>
        </w:tc>
        <w:tc>
          <w:tcPr>
            <w:tcW w:w="1134" w:type="dxa"/>
            <w:tcBorders>
              <w:top w:val="double" w:color="auto" w:sz="6" w:space="0"/>
              <w:bottom w:val="single" w:color="auto" w:sz="6" w:space="0"/>
            </w:tcBorders>
            <w:vAlign w:val="center"/>
          </w:tcPr>
          <w:p w14:paraId="47D7157A">
            <w:pPr>
              <w:spacing w:line="360" w:lineRule="auto"/>
              <w:ind w:leftChars="-35" w:hanging="73" w:hangingChars="35"/>
              <w:jc w:val="center"/>
              <w:rPr>
                <w:rFonts w:ascii="宋体" w:hAnsi="宋体" w:cs="宋体"/>
                <w:color w:val="auto"/>
                <w:szCs w:val="21"/>
              </w:rPr>
            </w:pPr>
          </w:p>
        </w:tc>
        <w:tc>
          <w:tcPr>
            <w:tcW w:w="1277" w:type="dxa"/>
            <w:tcBorders>
              <w:top w:val="double" w:color="auto" w:sz="6" w:space="0"/>
              <w:bottom w:val="single" w:color="auto" w:sz="6" w:space="0"/>
            </w:tcBorders>
            <w:vAlign w:val="center"/>
          </w:tcPr>
          <w:p w14:paraId="0D7798AA">
            <w:pPr>
              <w:spacing w:line="360" w:lineRule="auto"/>
              <w:ind w:leftChars="-35" w:hanging="73" w:hangingChars="35"/>
              <w:jc w:val="center"/>
              <w:rPr>
                <w:rFonts w:ascii="宋体" w:hAnsi="宋体" w:cs="宋体"/>
                <w:color w:val="auto"/>
                <w:szCs w:val="21"/>
              </w:rPr>
            </w:pPr>
          </w:p>
        </w:tc>
        <w:tc>
          <w:tcPr>
            <w:tcW w:w="1116" w:type="dxa"/>
            <w:tcBorders>
              <w:top w:val="double" w:color="auto" w:sz="6" w:space="0"/>
              <w:bottom w:val="single" w:color="auto" w:sz="6" w:space="0"/>
            </w:tcBorders>
            <w:vAlign w:val="center"/>
          </w:tcPr>
          <w:p w14:paraId="58F10A86">
            <w:pPr>
              <w:spacing w:line="360" w:lineRule="auto"/>
              <w:ind w:leftChars="-35" w:hanging="73" w:hangingChars="35"/>
              <w:jc w:val="center"/>
              <w:rPr>
                <w:rFonts w:ascii="宋体" w:hAnsi="宋体" w:cs="宋体"/>
                <w:color w:val="auto"/>
                <w:szCs w:val="21"/>
              </w:rPr>
            </w:pPr>
          </w:p>
        </w:tc>
        <w:tc>
          <w:tcPr>
            <w:tcW w:w="756" w:type="dxa"/>
            <w:tcBorders>
              <w:top w:val="double" w:color="auto" w:sz="6" w:space="0"/>
              <w:bottom w:val="single" w:color="auto" w:sz="6" w:space="0"/>
            </w:tcBorders>
            <w:vAlign w:val="center"/>
          </w:tcPr>
          <w:p w14:paraId="373DD4B3">
            <w:pPr>
              <w:spacing w:line="360" w:lineRule="auto"/>
              <w:ind w:leftChars="-35" w:hanging="73" w:hangingChars="35"/>
              <w:jc w:val="center"/>
              <w:rPr>
                <w:rFonts w:ascii="宋体" w:hAnsi="宋体" w:cs="宋体"/>
                <w:color w:val="auto"/>
                <w:szCs w:val="21"/>
              </w:rPr>
            </w:pPr>
          </w:p>
        </w:tc>
      </w:tr>
      <w:tr w14:paraId="186BC2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8" w:hRule="atLeast"/>
          <w:jc w:val="center"/>
        </w:trPr>
        <w:tc>
          <w:tcPr>
            <w:tcW w:w="745" w:type="dxa"/>
            <w:tcBorders>
              <w:top w:val="nil"/>
            </w:tcBorders>
            <w:vAlign w:val="center"/>
          </w:tcPr>
          <w:p w14:paraId="7A71F9A5">
            <w:pPr>
              <w:spacing w:line="360" w:lineRule="auto"/>
              <w:ind w:leftChars="-35" w:hanging="73" w:hangingChars="35"/>
              <w:jc w:val="center"/>
              <w:rPr>
                <w:rFonts w:ascii="宋体" w:hAnsi="宋体" w:cs="宋体"/>
                <w:color w:val="auto"/>
                <w:szCs w:val="21"/>
              </w:rPr>
            </w:pPr>
          </w:p>
        </w:tc>
        <w:tc>
          <w:tcPr>
            <w:tcW w:w="1512" w:type="dxa"/>
            <w:tcBorders>
              <w:top w:val="nil"/>
            </w:tcBorders>
            <w:vAlign w:val="center"/>
          </w:tcPr>
          <w:p w14:paraId="2AA3A8C6">
            <w:pPr>
              <w:spacing w:line="360" w:lineRule="auto"/>
              <w:ind w:leftChars="-35" w:hanging="73" w:hangingChars="35"/>
              <w:jc w:val="center"/>
              <w:rPr>
                <w:rFonts w:ascii="宋体" w:hAnsi="宋体" w:cs="宋体"/>
                <w:color w:val="auto"/>
                <w:szCs w:val="21"/>
              </w:rPr>
            </w:pPr>
          </w:p>
        </w:tc>
        <w:tc>
          <w:tcPr>
            <w:tcW w:w="1051" w:type="dxa"/>
            <w:tcBorders>
              <w:top w:val="nil"/>
            </w:tcBorders>
            <w:vAlign w:val="center"/>
          </w:tcPr>
          <w:p w14:paraId="0514950F">
            <w:pPr>
              <w:spacing w:line="360" w:lineRule="auto"/>
              <w:ind w:leftChars="-35" w:hanging="73" w:hangingChars="35"/>
              <w:jc w:val="center"/>
              <w:rPr>
                <w:rFonts w:ascii="宋体" w:hAnsi="宋体" w:cs="宋体"/>
                <w:color w:val="auto"/>
                <w:szCs w:val="21"/>
              </w:rPr>
            </w:pPr>
          </w:p>
        </w:tc>
        <w:tc>
          <w:tcPr>
            <w:tcW w:w="1020" w:type="dxa"/>
            <w:tcBorders>
              <w:top w:val="nil"/>
            </w:tcBorders>
            <w:vAlign w:val="center"/>
          </w:tcPr>
          <w:p w14:paraId="718E0DC2">
            <w:pPr>
              <w:spacing w:line="360" w:lineRule="auto"/>
              <w:ind w:leftChars="-35" w:hanging="73" w:hangingChars="35"/>
              <w:jc w:val="center"/>
              <w:rPr>
                <w:rFonts w:ascii="宋体" w:hAnsi="宋体" w:cs="宋体"/>
                <w:color w:val="auto"/>
                <w:szCs w:val="21"/>
              </w:rPr>
            </w:pPr>
          </w:p>
        </w:tc>
        <w:tc>
          <w:tcPr>
            <w:tcW w:w="849" w:type="dxa"/>
            <w:tcBorders>
              <w:top w:val="nil"/>
            </w:tcBorders>
            <w:vAlign w:val="center"/>
          </w:tcPr>
          <w:p w14:paraId="036DDA1B">
            <w:pPr>
              <w:spacing w:line="360" w:lineRule="auto"/>
              <w:ind w:leftChars="-35" w:hanging="73" w:hangingChars="35"/>
              <w:jc w:val="center"/>
              <w:rPr>
                <w:rFonts w:ascii="宋体" w:hAnsi="宋体" w:cs="宋体"/>
                <w:color w:val="auto"/>
                <w:szCs w:val="21"/>
              </w:rPr>
            </w:pPr>
          </w:p>
        </w:tc>
        <w:tc>
          <w:tcPr>
            <w:tcW w:w="1134" w:type="dxa"/>
            <w:tcBorders>
              <w:top w:val="nil"/>
            </w:tcBorders>
            <w:vAlign w:val="center"/>
          </w:tcPr>
          <w:p w14:paraId="5FABB31E">
            <w:pPr>
              <w:spacing w:line="360" w:lineRule="auto"/>
              <w:ind w:leftChars="-35" w:hanging="73" w:hangingChars="35"/>
              <w:jc w:val="center"/>
              <w:rPr>
                <w:rFonts w:ascii="宋体" w:hAnsi="宋体" w:cs="宋体"/>
                <w:color w:val="auto"/>
                <w:szCs w:val="21"/>
              </w:rPr>
            </w:pPr>
          </w:p>
        </w:tc>
        <w:tc>
          <w:tcPr>
            <w:tcW w:w="1277" w:type="dxa"/>
            <w:tcBorders>
              <w:top w:val="nil"/>
            </w:tcBorders>
            <w:vAlign w:val="center"/>
          </w:tcPr>
          <w:p w14:paraId="243D4789">
            <w:pPr>
              <w:spacing w:line="360" w:lineRule="auto"/>
              <w:ind w:leftChars="-35" w:hanging="73" w:hangingChars="35"/>
              <w:jc w:val="center"/>
              <w:rPr>
                <w:rFonts w:ascii="宋体" w:hAnsi="宋体" w:cs="宋体"/>
                <w:color w:val="auto"/>
                <w:szCs w:val="21"/>
              </w:rPr>
            </w:pPr>
          </w:p>
        </w:tc>
        <w:tc>
          <w:tcPr>
            <w:tcW w:w="1116" w:type="dxa"/>
            <w:tcBorders>
              <w:top w:val="nil"/>
            </w:tcBorders>
            <w:vAlign w:val="center"/>
          </w:tcPr>
          <w:p w14:paraId="5737CA68">
            <w:pPr>
              <w:spacing w:line="360" w:lineRule="auto"/>
              <w:ind w:leftChars="-35" w:hanging="73" w:hangingChars="35"/>
              <w:jc w:val="center"/>
              <w:rPr>
                <w:rFonts w:ascii="宋体" w:hAnsi="宋体" w:cs="宋体"/>
                <w:color w:val="auto"/>
                <w:szCs w:val="21"/>
              </w:rPr>
            </w:pPr>
          </w:p>
        </w:tc>
        <w:tc>
          <w:tcPr>
            <w:tcW w:w="756" w:type="dxa"/>
            <w:tcBorders>
              <w:top w:val="nil"/>
            </w:tcBorders>
            <w:vAlign w:val="center"/>
          </w:tcPr>
          <w:p w14:paraId="63788E27">
            <w:pPr>
              <w:spacing w:line="360" w:lineRule="auto"/>
              <w:ind w:leftChars="-35" w:hanging="73" w:hangingChars="35"/>
              <w:jc w:val="center"/>
              <w:rPr>
                <w:rFonts w:ascii="宋体" w:hAnsi="宋体" w:cs="宋体"/>
                <w:color w:val="auto"/>
                <w:szCs w:val="21"/>
              </w:rPr>
            </w:pPr>
          </w:p>
        </w:tc>
      </w:tr>
      <w:tr w14:paraId="1B9879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8" w:hRule="atLeast"/>
          <w:jc w:val="center"/>
        </w:trPr>
        <w:tc>
          <w:tcPr>
            <w:tcW w:w="745" w:type="dxa"/>
            <w:vAlign w:val="center"/>
          </w:tcPr>
          <w:p w14:paraId="7DC77DA2">
            <w:pPr>
              <w:spacing w:line="360" w:lineRule="auto"/>
              <w:ind w:leftChars="-35" w:hanging="73" w:hangingChars="35"/>
              <w:jc w:val="center"/>
              <w:rPr>
                <w:rFonts w:ascii="宋体" w:hAnsi="宋体" w:cs="宋体"/>
                <w:color w:val="auto"/>
                <w:szCs w:val="21"/>
              </w:rPr>
            </w:pPr>
          </w:p>
        </w:tc>
        <w:tc>
          <w:tcPr>
            <w:tcW w:w="1512" w:type="dxa"/>
            <w:vAlign w:val="center"/>
          </w:tcPr>
          <w:p w14:paraId="60729716">
            <w:pPr>
              <w:spacing w:line="360" w:lineRule="auto"/>
              <w:ind w:leftChars="-35" w:hanging="73" w:hangingChars="35"/>
              <w:jc w:val="center"/>
              <w:rPr>
                <w:rFonts w:ascii="宋体" w:hAnsi="宋体" w:cs="宋体"/>
                <w:color w:val="auto"/>
                <w:szCs w:val="21"/>
              </w:rPr>
            </w:pPr>
          </w:p>
        </w:tc>
        <w:tc>
          <w:tcPr>
            <w:tcW w:w="1051" w:type="dxa"/>
            <w:vAlign w:val="center"/>
          </w:tcPr>
          <w:p w14:paraId="17294DFF">
            <w:pPr>
              <w:spacing w:line="360" w:lineRule="auto"/>
              <w:ind w:leftChars="-35" w:hanging="73" w:hangingChars="35"/>
              <w:jc w:val="center"/>
              <w:rPr>
                <w:rFonts w:ascii="宋体" w:hAnsi="宋体" w:cs="宋体"/>
                <w:color w:val="auto"/>
                <w:szCs w:val="21"/>
              </w:rPr>
            </w:pPr>
          </w:p>
        </w:tc>
        <w:tc>
          <w:tcPr>
            <w:tcW w:w="1020" w:type="dxa"/>
            <w:vAlign w:val="center"/>
          </w:tcPr>
          <w:p w14:paraId="41B8519B">
            <w:pPr>
              <w:spacing w:line="360" w:lineRule="auto"/>
              <w:ind w:leftChars="-35" w:hanging="73" w:hangingChars="35"/>
              <w:jc w:val="center"/>
              <w:rPr>
                <w:rFonts w:ascii="宋体" w:hAnsi="宋体" w:cs="宋体"/>
                <w:color w:val="auto"/>
                <w:szCs w:val="21"/>
              </w:rPr>
            </w:pPr>
          </w:p>
        </w:tc>
        <w:tc>
          <w:tcPr>
            <w:tcW w:w="849" w:type="dxa"/>
            <w:vAlign w:val="center"/>
          </w:tcPr>
          <w:p w14:paraId="5DA97B83">
            <w:pPr>
              <w:spacing w:line="360" w:lineRule="auto"/>
              <w:ind w:leftChars="-35" w:hanging="73" w:hangingChars="35"/>
              <w:jc w:val="center"/>
              <w:rPr>
                <w:rFonts w:ascii="宋体" w:hAnsi="宋体" w:cs="宋体"/>
                <w:color w:val="auto"/>
                <w:szCs w:val="21"/>
              </w:rPr>
            </w:pPr>
          </w:p>
        </w:tc>
        <w:tc>
          <w:tcPr>
            <w:tcW w:w="1134" w:type="dxa"/>
            <w:vAlign w:val="center"/>
          </w:tcPr>
          <w:p w14:paraId="501F439B">
            <w:pPr>
              <w:spacing w:line="360" w:lineRule="auto"/>
              <w:ind w:leftChars="-35" w:hanging="73" w:hangingChars="35"/>
              <w:jc w:val="center"/>
              <w:rPr>
                <w:rFonts w:ascii="宋体" w:hAnsi="宋体" w:cs="宋体"/>
                <w:color w:val="auto"/>
                <w:szCs w:val="21"/>
              </w:rPr>
            </w:pPr>
          </w:p>
        </w:tc>
        <w:tc>
          <w:tcPr>
            <w:tcW w:w="1277" w:type="dxa"/>
            <w:vAlign w:val="center"/>
          </w:tcPr>
          <w:p w14:paraId="28A39015">
            <w:pPr>
              <w:spacing w:line="360" w:lineRule="auto"/>
              <w:ind w:leftChars="-35" w:hanging="73" w:hangingChars="35"/>
              <w:jc w:val="center"/>
              <w:rPr>
                <w:rFonts w:ascii="宋体" w:hAnsi="宋体" w:cs="宋体"/>
                <w:color w:val="auto"/>
                <w:szCs w:val="21"/>
              </w:rPr>
            </w:pPr>
          </w:p>
        </w:tc>
        <w:tc>
          <w:tcPr>
            <w:tcW w:w="1116" w:type="dxa"/>
            <w:vAlign w:val="center"/>
          </w:tcPr>
          <w:p w14:paraId="01F30169">
            <w:pPr>
              <w:spacing w:line="360" w:lineRule="auto"/>
              <w:ind w:leftChars="-35" w:hanging="73" w:hangingChars="35"/>
              <w:jc w:val="center"/>
              <w:rPr>
                <w:rFonts w:ascii="宋体" w:hAnsi="宋体" w:cs="宋体"/>
                <w:color w:val="auto"/>
                <w:szCs w:val="21"/>
              </w:rPr>
            </w:pPr>
          </w:p>
        </w:tc>
        <w:tc>
          <w:tcPr>
            <w:tcW w:w="756" w:type="dxa"/>
            <w:vAlign w:val="center"/>
          </w:tcPr>
          <w:p w14:paraId="5C7F4138">
            <w:pPr>
              <w:spacing w:line="360" w:lineRule="auto"/>
              <w:ind w:leftChars="-35" w:hanging="73" w:hangingChars="35"/>
              <w:jc w:val="center"/>
              <w:rPr>
                <w:rFonts w:ascii="宋体" w:hAnsi="宋体" w:cs="宋体"/>
                <w:color w:val="auto"/>
                <w:szCs w:val="21"/>
              </w:rPr>
            </w:pPr>
          </w:p>
        </w:tc>
      </w:tr>
      <w:tr w14:paraId="6835B3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8" w:hRule="atLeast"/>
          <w:jc w:val="center"/>
        </w:trPr>
        <w:tc>
          <w:tcPr>
            <w:tcW w:w="745" w:type="dxa"/>
            <w:vAlign w:val="center"/>
          </w:tcPr>
          <w:p w14:paraId="370943EE">
            <w:pPr>
              <w:spacing w:line="360" w:lineRule="auto"/>
              <w:ind w:leftChars="-35" w:hanging="73" w:hangingChars="35"/>
              <w:jc w:val="center"/>
              <w:rPr>
                <w:rFonts w:ascii="宋体" w:hAnsi="宋体" w:cs="宋体"/>
                <w:color w:val="auto"/>
                <w:szCs w:val="21"/>
              </w:rPr>
            </w:pPr>
          </w:p>
        </w:tc>
        <w:tc>
          <w:tcPr>
            <w:tcW w:w="1512" w:type="dxa"/>
            <w:vAlign w:val="center"/>
          </w:tcPr>
          <w:p w14:paraId="5CB34BF2">
            <w:pPr>
              <w:spacing w:line="360" w:lineRule="auto"/>
              <w:ind w:leftChars="-35" w:hanging="73" w:hangingChars="35"/>
              <w:jc w:val="center"/>
              <w:rPr>
                <w:rFonts w:ascii="宋体" w:hAnsi="宋体" w:cs="宋体"/>
                <w:color w:val="auto"/>
                <w:szCs w:val="21"/>
              </w:rPr>
            </w:pPr>
          </w:p>
        </w:tc>
        <w:tc>
          <w:tcPr>
            <w:tcW w:w="1051" w:type="dxa"/>
            <w:vAlign w:val="center"/>
          </w:tcPr>
          <w:p w14:paraId="5F61AF89">
            <w:pPr>
              <w:spacing w:line="360" w:lineRule="auto"/>
              <w:ind w:leftChars="-35" w:hanging="73" w:hangingChars="35"/>
              <w:jc w:val="center"/>
              <w:rPr>
                <w:rFonts w:ascii="宋体" w:hAnsi="宋体" w:cs="宋体"/>
                <w:color w:val="auto"/>
                <w:szCs w:val="21"/>
              </w:rPr>
            </w:pPr>
          </w:p>
        </w:tc>
        <w:tc>
          <w:tcPr>
            <w:tcW w:w="1020" w:type="dxa"/>
            <w:vAlign w:val="center"/>
          </w:tcPr>
          <w:p w14:paraId="0F5189AC">
            <w:pPr>
              <w:spacing w:line="360" w:lineRule="auto"/>
              <w:ind w:leftChars="-35" w:hanging="73" w:hangingChars="35"/>
              <w:jc w:val="center"/>
              <w:rPr>
                <w:rFonts w:ascii="宋体" w:hAnsi="宋体" w:cs="宋体"/>
                <w:color w:val="auto"/>
                <w:szCs w:val="21"/>
              </w:rPr>
            </w:pPr>
          </w:p>
        </w:tc>
        <w:tc>
          <w:tcPr>
            <w:tcW w:w="849" w:type="dxa"/>
            <w:vAlign w:val="center"/>
          </w:tcPr>
          <w:p w14:paraId="056EBD1C">
            <w:pPr>
              <w:spacing w:line="360" w:lineRule="auto"/>
              <w:ind w:leftChars="-35" w:hanging="73" w:hangingChars="35"/>
              <w:jc w:val="center"/>
              <w:rPr>
                <w:rFonts w:ascii="宋体" w:hAnsi="宋体" w:cs="宋体"/>
                <w:color w:val="auto"/>
                <w:szCs w:val="21"/>
              </w:rPr>
            </w:pPr>
          </w:p>
        </w:tc>
        <w:tc>
          <w:tcPr>
            <w:tcW w:w="1134" w:type="dxa"/>
            <w:vAlign w:val="center"/>
          </w:tcPr>
          <w:p w14:paraId="764F854E">
            <w:pPr>
              <w:spacing w:line="360" w:lineRule="auto"/>
              <w:ind w:leftChars="-35" w:hanging="73" w:hangingChars="35"/>
              <w:jc w:val="center"/>
              <w:rPr>
                <w:rFonts w:ascii="宋体" w:hAnsi="宋体" w:cs="宋体"/>
                <w:color w:val="auto"/>
                <w:szCs w:val="21"/>
              </w:rPr>
            </w:pPr>
          </w:p>
        </w:tc>
        <w:tc>
          <w:tcPr>
            <w:tcW w:w="1277" w:type="dxa"/>
            <w:vAlign w:val="center"/>
          </w:tcPr>
          <w:p w14:paraId="734E62B8">
            <w:pPr>
              <w:spacing w:line="360" w:lineRule="auto"/>
              <w:ind w:leftChars="-35" w:hanging="73" w:hangingChars="35"/>
              <w:jc w:val="center"/>
              <w:rPr>
                <w:rFonts w:ascii="宋体" w:hAnsi="宋体" w:cs="宋体"/>
                <w:color w:val="auto"/>
                <w:szCs w:val="21"/>
              </w:rPr>
            </w:pPr>
          </w:p>
        </w:tc>
        <w:tc>
          <w:tcPr>
            <w:tcW w:w="1116" w:type="dxa"/>
            <w:vAlign w:val="center"/>
          </w:tcPr>
          <w:p w14:paraId="6E9FEB6D">
            <w:pPr>
              <w:spacing w:line="360" w:lineRule="auto"/>
              <w:ind w:leftChars="-35" w:hanging="73" w:hangingChars="35"/>
              <w:jc w:val="center"/>
              <w:rPr>
                <w:rFonts w:ascii="宋体" w:hAnsi="宋体" w:cs="宋体"/>
                <w:color w:val="auto"/>
                <w:szCs w:val="21"/>
              </w:rPr>
            </w:pPr>
          </w:p>
        </w:tc>
        <w:tc>
          <w:tcPr>
            <w:tcW w:w="756" w:type="dxa"/>
            <w:vAlign w:val="center"/>
          </w:tcPr>
          <w:p w14:paraId="11743A24">
            <w:pPr>
              <w:spacing w:line="360" w:lineRule="auto"/>
              <w:ind w:leftChars="-35" w:hanging="73" w:hangingChars="35"/>
              <w:jc w:val="center"/>
              <w:rPr>
                <w:rFonts w:ascii="宋体" w:hAnsi="宋体" w:cs="宋体"/>
                <w:color w:val="auto"/>
                <w:szCs w:val="21"/>
              </w:rPr>
            </w:pPr>
          </w:p>
        </w:tc>
      </w:tr>
      <w:tr w14:paraId="400364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8" w:hRule="atLeast"/>
          <w:jc w:val="center"/>
        </w:trPr>
        <w:tc>
          <w:tcPr>
            <w:tcW w:w="745" w:type="dxa"/>
            <w:vAlign w:val="center"/>
          </w:tcPr>
          <w:p w14:paraId="0D8C74B6">
            <w:pPr>
              <w:spacing w:line="360" w:lineRule="auto"/>
              <w:ind w:leftChars="-35" w:hanging="73" w:hangingChars="35"/>
              <w:jc w:val="center"/>
              <w:rPr>
                <w:rFonts w:ascii="宋体" w:hAnsi="宋体" w:cs="宋体"/>
                <w:color w:val="auto"/>
                <w:szCs w:val="21"/>
              </w:rPr>
            </w:pPr>
          </w:p>
        </w:tc>
        <w:tc>
          <w:tcPr>
            <w:tcW w:w="1512" w:type="dxa"/>
            <w:vAlign w:val="center"/>
          </w:tcPr>
          <w:p w14:paraId="2F3D191F">
            <w:pPr>
              <w:spacing w:line="360" w:lineRule="auto"/>
              <w:ind w:leftChars="-35" w:hanging="73" w:hangingChars="35"/>
              <w:jc w:val="center"/>
              <w:rPr>
                <w:rFonts w:ascii="宋体" w:hAnsi="宋体" w:cs="宋体"/>
                <w:color w:val="auto"/>
                <w:szCs w:val="21"/>
              </w:rPr>
            </w:pPr>
          </w:p>
        </w:tc>
        <w:tc>
          <w:tcPr>
            <w:tcW w:w="1051" w:type="dxa"/>
            <w:vAlign w:val="center"/>
          </w:tcPr>
          <w:p w14:paraId="4E2CAB78">
            <w:pPr>
              <w:spacing w:line="360" w:lineRule="auto"/>
              <w:ind w:leftChars="-35" w:hanging="73" w:hangingChars="35"/>
              <w:jc w:val="center"/>
              <w:rPr>
                <w:rFonts w:ascii="宋体" w:hAnsi="宋体" w:cs="宋体"/>
                <w:color w:val="auto"/>
                <w:szCs w:val="21"/>
              </w:rPr>
            </w:pPr>
          </w:p>
        </w:tc>
        <w:tc>
          <w:tcPr>
            <w:tcW w:w="1020" w:type="dxa"/>
            <w:vAlign w:val="center"/>
          </w:tcPr>
          <w:p w14:paraId="7A541747">
            <w:pPr>
              <w:spacing w:line="360" w:lineRule="auto"/>
              <w:ind w:leftChars="-35" w:hanging="73" w:hangingChars="35"/>
              <w:jc w:val="center"/>
              <w:rPr>
                <w:rFonts w:ascii="宋体" w:hAnsi="宋体" w:cs="宋体"/>
                <w:color w:val="auto"/>
                <w:szCs w:val="21"/>
              </w:rPr>
            </w:pPr>
          </w:p>
        </w:tc>
        <w:tc>
          <w:tcPr>
            <w:tcW w:w="849" w:type="dxa"/>
            <w:vAlign w:val="center"/>
          </w:tcPr>
          <w:p w14:paraId="1172AC62">
            <w:pPr>
              <w:spacing w:line="360" w:lineRule="auto"/>
              <w:ind w:leftChars="-35" w:hanging="73" w:hangingChars="35"/>
              <w:jc w:val="center"/>
              <w:rPr>
                <w:rFonts w:ascii="宋体" w:hAnsi="宋体" w:cs="宋体"/>
                <w:color w:val="auto"/>
                <w:szCs w:val="21"/>
              </w:rPr>
            </w:pPr>
          </w:p>
        </w:tc>
        <w:tc>
          <w:tcPr>
            <w:tcW w:w="1134" w:type="dxa"/>
            <w:vAlign w:val="center"/>
          </w:tcPr>
          <w:p w14:paraId="030D86C7">
            <w:pPr>
              <w:spacing w:line="360" w:lineRule="auto"/>
              <w:ind w:leftChars="-35" w:hanging="73" w:hangingChars="35"/>
              <w:jc w:val="center"/>
              <w:rPr>
                <w:rFonts w:ascii="宋体" w:hAnsi="宋体" w:cs="宋体"/>
                <w:color w:val="auto"/>
                <w:szCs w:val="21"/>
              </w:rPr>
            </w:pPr>
          </w:p>
        </w:tc>
        <w:tc>
          <w:tcPr>
            <w:tcW w:w="1277" w:type="dxa"/>
            <w:vAlign w:val="center"/>
          </w:tcPr>
          <w:p w14:paraId="0EF2F274">
            <w:pPr>
              <w:spacing w:line="360" w:lineRule="auto"/>
              <w:ind w:leftChars="-35" w:hanging="73" w:hangingChars="35"/>
              <w:jc w:val="center"/>
              <w:rPr>
                <w:rFonts w:ascii="宋体" w:hAnsi="宋体" w:cs="宋体"/>
                <w:color w:val="auto"/>
                <w:szCs w:val="21"/>
              </w:rPr>
            </w:pPr>
          </w:p>
        </w:tc>
        <w:tc>
          <w:tcPr>
            <w:tcW w:w="1116" w:type="dxa"/>
            <w:vAlign w:val="center"/>
          </w:tcPr>
          <w:p w14:paraId="7CBAC77F">
            <w:pPr>
              <w:spacing w:line="360" w:lineRule="auto"/>
              <w:ind w:leftChars="-35" w:hanging="73" w:hangingChars="35"/>
              <w:jc w:val="center"/>
              <w:rPr>
                <w:rFonts w:ascii="宋体" w:hAnsi="宋体" w:cs="宋体"/>
                <w:color w:val="auto"/>
                <w:szCs w:val="21"/>
              </w:rPr>
            </w:pPr>
          </w:p>
        </w:tc>
        <w:tc>
          <w:tcPr>
            <w:tcW w:w="756" w:type="dxa"/>
            <w:vAlign w:val="center"/>
          </w:tcPr>
          <w:p w14:paraId="64679C59">
            <w:pPr>
              <w:spacing w:line="360" w:lineRule="auto"/>
              <w:ind w:leftChars="-35" w:hanging="73" w:hangingChars="35"/>
              <w:jc w:val="center"/>
              <w:rPr>
                <w:rFonts w:ascii="宋体" w:hAnsi="宋体" w:cs="宋体"/>
                <w:color w:val="auto"/>
                <w:szCs w:val="21"/>
              </w:rPr>
            </w:pPr>
          </w:p>
        </w:tc>
      </w:tr>
      <w:tr w14:paraId="7BE80A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8" w:hRule="atLeast"/>
          <w:jc w:val="center"/>
        </w:trPr>
        <w:tc>
          <w:tcPr>
            <w:tcW w:w="745" w:type="dxa"/>
            <w:vAlign w:val="center"/>
          </w:tcPr>
          <w:p w14:paraId="24202626">
            <w:pPr>
              <w:spacing w:line="360" w:lineRule="auto"/>
              <w:ind w:leftChars="-35" w:hanging="73" w:hangingChars="35"/>
              <w:jc w:val="center"/>
              <w:rPr>
                <w:rFonts w:ascii="宋体" w:hAnsi="宋体" w:cs="宋体"/>
                <w:color w:val="auto"/>
                <w:szCs w:val="21"/>
              </w:rPr>
            </w:pPr>
          </w:p>
        </w:tc>
        <w:tc>
          <w:tcPr>
            <w:tcW w:w="1512" w:type="dxa"/>
            <w:vAlign w:val="center"/>
          </w:tcPr>
          <w:p w14:paraId="318BFB68">
            <w:pPr>
              <w:spacing w:line="360" w:lineRule="auto"/>
              <w:ind w:leftChars="-35" w:hanging="73" w:hangingChars="35"/>
              <w:jc w:val="center"/>
              <w:rPr>
                <w:rFonts w:ascii="宋体" w:hAnsi="宋体" w:cs="宋体"/>
                <w:color w:val="auto"/>
                <w:szCs w:val="21"/>
              </w:rPr>
            </w:pPr>
          </w:p>
        </w:tc>
        <w:tc>
          <w:tcPr>
            <w:tcW w:w="1051" w:type="dxa"/>
            <w:vAlign w:val="center"/>
          </w:tcPr>
          <w:p w14:paraId="33AB2C98">
            <w:pPr>
              <w:spacing w:line="360" w:lineRule="auto"/>
              <w:ind w:leftChars="-35" w:hanging="73" w:hangingChars="35"/>
              <w:jc w:val="center"/>
              <w:rPr>
                <w:rFonts w:ascii="宋体" w:hAnsi="宋体" w:cs="宋体"/>
                <w:color w:val="auto"/>
                <w:szCs w:val="21"/>
              </w:rPr>
            </w:pPr>
          </w:p>
        </w:tc>
        <w:tc>
          <w:tcPr>
            <w:tcW w:w="1020" w:type="dxa"/>
            <w:vAlign w:val="center"/>
          </w:tcPr>
          <w:p w14:paraId="596D93BC">
            <w:pPr>
              <w:spacing w:line="360" w:lineRule="auto"/>
              <w:ind w:leftChars="-35" w:hanging="73" w:hangingChars="35"/>
              <w:jc w:val="center"/>
              <w:rPr>
                <w:rFonts w:ascii="宋体" w:hAnsi="宋体" w:cs="宋体"/>
                <w:color w:val="auto"/>
                <w:szCs w:val="21"/>
              </w:rPr>
            </w:pPr>
          </w:p>
        </w:tc>
        <w:tc>
          <w:tcPr>
            <w:tcW w:w="849" w:type="dxa"/>
            <w:vAlign w:val="center"/>
          </w:tcPr>
          <w:p w14:paraId="7A07E285">
            <w:pPr>
              <w:spacing w:line="360" w:lineRule="auto"/>
              <w:ind w:leftChars="-35" w:hanging="73" w:hangingChars="35"/>
              <w:jc w:val="center"/>
              <w:rPr>
                <w:rFonts w:ascii="宋体" w:hAnsi="宋体" w:cs="宋体"/>
                <w:color w:val="auto"/>
                <w:szCs w:val="21"/>
              </w:rPr>
            </w:pPr>
          </w:p>
        </w:tc>
        <w:tc>
          <w:tcPr>
            <w:tcW w:w="1134" w:type="dxa"/>
            <w:vAlign w:val="center"/>
          </w:tcPr>
          <w:p w14:paraId="4501EDD9">
            <w:pPr>
              <w:spacing w:line="360" w:lineRule="auto"/>
              <w:ind w:leftChars="-35" w:hanging="73" w:hangingChars="35"/>
              <w:jc w:val="center"/>
              <w:rPr>
                <w:rFonts w:ascii="宋体" w:hAnsi="宋体" w:cs="宋体"/>
                <w:color w:val="auto"/>
                <w:szCs w:val="21"/>
              </w:rPr>
            </w:pPr>
          </w:p>
        </w:tc>
        <w:tc>
          <w:tcPr>
            <w:tcW w:w="1277" w:type="dxa"/>
            <w:vAlign w:val="center"/>
          </w:tcPr>
          <w:p w14:paraId="405A1543">
            <w:pPr>
              <w:spacing w:line="360" w:lineRule="auto"/>
              <w:ind w:leftChars="-35" w:hanging="73" w:hangingChars="35"/>
              <w:jc w:val="center"/>
              <w:rPr>
                <w:rFonts w:ascii="宋体" w:hAnsi="宋体" w:cs="宋体"/>
                <w:color w:val="auto"/>
                <w:szCs w:val="21"/>
              </w:rPr>
            </w:pPr>
          </w:p>
        </w:tc>
        <w:tc>
          <w:tcPr>
            <w:tcW w:w="1116" w:type="dxa"/>
            <w:vAlign w:val="center"/>
          </w:tcPr>
          <w:p w14:paraId="49D6DA14">
            <w:pPr>
              <w:spacing w:line="360" w:lineRule="auto"/>
              <w:ind w:leftChars="-35" w:hanging="73" w:hangingChars="35"/>
              <w:jc w:val="center"/>
              <w:rPr>
                <w:rFonts w:ascii="宋体" w:hAnsi="宋体" w:cs="宋体"/>
                <w:color w:val="auto"/>
                <w:szCs w:val="21"/>
              </w:rPr>
            </w:pPr>
          </w:p>
        </w:tc>
        <w:tc>
          <w:tcPr>
            <w:tcW w:w="756" w:type="dxa"/>
            <w:vAlign w:val="center"/>
          </w:tcPr>
          <w:p w14:paraId="52318D39">
            <w:pPr>
              <w:spacing w:line="360" w:lineRule="auto"/>
              <w:ind w:leftChars="-35" w:hanging="73" w:hangingChars="35"/>
              <w:jc w:val="center"/>
              <w:rPr>
                <w:rFonts w:ascii="宋体" w:hAnsi="宋体" w:cs="宋体"/>
                <w:color w:val="auto"/>
                <w:szCs w:val="21"/>
              </w:rPr>
            </w:pPr>
          </w:p>
        </w:tc>
      </w:tr>
      <w:tr w14:paraId="4EEFC2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8" w:hRule="atLeast"/>
          <w:jc w:val="center"/>
        </w:trPr>
        <w:tc>
          <w:tcPr>
            <w:tcW w:w="745" w:type="dxa"/>
            <w:vAlign w:val="center"/>
          </w:tcPr>
          <w:p w14:paraId="334F4A28">
            <w:pPr>
              <w:spacing w:line="360" w:lineRule="auto"/>
              <w:ind w:leftChars="-35" w:hanging="73" w:hangingChars="35"/>
              <w:jc w:val="center"/>
              <w:rPr>
                <w:rFonts w:ascii="宋体" w:hAnsi="宋体" w:cs="宋体"/>
                <w:color w:val="auto"/>
                <w:szCs w:val="21"/>
              </w:rPr>
            </w:pPr>
          </w:p>
        </w:tc>
        <w:tc>
          <w:tcPr>
            <w:tcW w:w="1512" w:type="dxa"/>
            <w:vAlign w:val="center"/>
          </w:tcPr>
          <w:p w14:paraId="6D384C28">
            <w:pPr>
              <w:spacing w:line="360" w:lineRule="auto"/>
              <w:ind w:leftChars="-35" w:hanging="73" w:hangingChars="35"/>
              <w:jc w:val="center"/>
              <w:rPr>
                <w:rFonts w:ascii="宋体" w:hAnsi="宋体" w:cs="宋体"/>
                <w:color w:val="auto"/>
                <w:szCs w:val="21"/>
              </w:rPr>
            </w:pPr>
          </w:p>
        </w:tc>
        <w:tc>
          <w:tcPr>
            <w:tcW w:w="1051" w:type="dxa"/>
            <w:vAlign w:val="center"/>
          </w:tcPr>
          <w:p w14:paraId="07C87935">
            <w:pPr>
              <w:spacing w:line="360" w:lineRule="auto"/>
              <w:ind w:leftChars="-35" w:hanging="73" w:hangingChars="35"/>
              <w:jc w:val="center"/>
              <w:rPr>
                <w:rFonts w:ascii="宋体" w:hAnsi="宋体" w:cs="宋体"/>
                <w:color w:val="auto"/>
                <w:szCs w:val="21"/>
              </w:rPr>
            </w:pPr>
          </w:p>
        </w:tc>
        <w:tc>
          <w:tcPr>
            <w:tcW w:w="1020" w:type="dxa"/>
            <w:vAlign w:val="center"/>
          </w:tcPr>
          <w:p w14:paraId="42CD76E8">
            <w:pPr>
              <w:spacing w:line="360" w:lineRule="auto"/>
              <w:ind w:leftChars="-35" w:hanging="73" w:hangingChars="35"/>
              <w:jc w:val="center"/>
              <w:rPr>
                <w:rFonts w:ascii="宋体" w:hAnsi="宋体" w:cs="宋体"/>
                <w:color w:val="auto"/>
                <w:szCs w:val="21"/>
              </w:rPr>
            </w:pPr>
          </w:p>
        </w:tc>
        <w:tc>
          <w:tcPr>
            <w:tcW w:w="849" w:type="dxa"/>
            <w:vAlign w:val="center"/>
          </w:tcPr>
          <w:p w14:paraId="677B74DE">
            <w:pPr>
              <w:spacing w:line="360" w:lineRule="auto"/>
              <w:ind w:leftChars="-35" w:hanging="73" w:hangingChars="35"/>
              <w:jc w:val="center"/>
              <w:rPr>
                <w:rFonts w:ascii="宋体" w:hAnsi="宋体" w:cs="宋体"/>
                <w:color w:val="auto"/>
                <w:szCs w:val="21"/>
              </w:rPr>
            </w:pPr>
          </w:p>
        </w:tc>
        <w:tc>
          <w:tcPr>
            <w:tcW w:w="1134" w:type="dxa"/>
            <w:vAlign w:val="center"/>
          </w:tcPr>
          <w:p w14:paraId="7A0BA052">
            <w:pPr>
              <w:spacing w:line="360" w:lineRule="auto"/>
              <w:ind w:leftChars="-35" w:hanging="73" w:hangingChars="35"/>
              <w:jc w:val="center"/>
              <w:rPr>
                <w:rFonts w:ascii="宋体" w:hAnsi="宋体" w:cs="宋体"/>
                <w:color w:val="auto"/>
                <w:szCs w:val="21"/>
              </w:rPr>
            </w:pPr>
          </w:p>
        </w:tc>
        <w:tc>
          <w:tcPr>
            <w:tcW w:w="1277" w:type="dxa"/>
            <w:vAlign w:val="center"/>
          </w:tcPr>
          <w:p w14:paraId="0C1E4D50">
            <w:pPr>
              <w:spacing w:line="360" w:lineRule="auto"/>
              <w:ind w:leftChars="-35" w:hanging="73" w:hangingChars="35"/>
              <w:jc w:val="center"/>
              <w:rPr>
                <w:rFonts w:ascii="宋体" w:hAnsi="宋体" w:cs="宋体"/>
                <w:color w:val="auto"/>
                <w:szCs w:val="21"/>
              </w:rPr>
            </w:pPr>
          </w:p>
        </w:tc>
        <w:tc>
          <w:tcPr>
            <w:tcW w:w="1116" w:type="dxa"/>
            <w:vAlign w:val="center"/>
          </w:tcPr>
          <w:p w14:paraId="448E1871">
            <w:pPr>
              <w:spacing w:line="360" w:lineRule="auto"/>
              <w:ind w:leftChars="-35" w:hanging="73" w:hangingChars="35"/>
              <w:jc w:val="center"/>
              <w:rPr>
                <w:rFonts w:ascii="宋体" w:hAnsi="宋体" w:cs="宋体"/>
                <w:color w:val="auto"/>
                <w:szCs w:val="21"/>
              </w:rPr>
            </w:pPr>
          </w:p>
        </w:tc>
        <w:tc>
          <w:tcPr>
            <w:tcW w:w="756" w:type="dxa"/>
            <w:vAlign w:val="center"/>
          </w:tcPr>
          <w:p w14:paraId="395A5890">
            <w:pPr>
              <w:spacing w:line="360" w:lineRule="auto"/>
              <w:ind w:leftChars="-35" w:hanging="73" w:hangingChars="35"/>
              <w:jc w:val="center"/>
              <w:rPr>
                <w:rFonts w:ascii="宋体" w:hAnsi="宋体" w:cs="宋体"/>
                <w:color w:val="auto"/>
                <w:szCs w:val="21"/>
              </w:rPr>
            </w:pPr>
          </w:p>
        </w:tc>
      </w:tr>
      <w:tr w14:paraId="4C08EA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8" w:hRule="atLeast"/>
          <w:jc w:val="center"/>
        </w:trPr>
        <w:tc>
          <w:tcPr>
            <w:tcW w:w="745" w:type="dxa"/>
            <w:vAlign w:val="center"/>
          </w:tcPr>
          <w:p w14:paraId="50B36D2B">
            <w:pPr>
              <w:spacing w:line="360" w:lineRule="auto"/>
              <w:ind w:leftChars="-35" w:hanging="73" w:hangingChars="35"/>
              <w:jc w:val="center"/>
              <w:rPr>
                <w:rFonts w:ascii="宋体" w:hAnsi="宋体" w:cs="宋体"/>
                <w:color w:val="auto"/>
                <w:szCs w:val="21"/>
              </w:rPr>
            </w:pPr>
          </w:p>
        </w:tc>
        <w:tc>
          <w:tcPr>
            <w:tcW w:w="1512" w:type="dxa"/>
            <w:vAlign w:val="center"/>
          </w:tcPr>
          <w:p w14:paraId="43CA068F">
            <w:pPr>
              <w:spacing w:line="360" w:lineRule="auto"/>
              <w:ind w:leftChars="-35" w:hanging="73" w:hangingChars="35"/>
              <w:jc w:val="center"/>
              <w:rPr>
                <w:rFonts w:ascii="宋体" w:hAnsi="宋体" w:cs="宋体"/>
                <w:color w:val="auto"/>
                <w:szCs w:val="21"/>
              </w:rPr>
            </w:pPr>
          </w:p>
        </w:tc>
        <w:tc>
          <w:tcPr>
            <w:tcW w:w="1051" w:type="dxa"/>
            <w:vAlign w:val="center"/>
          </w:tcPr>
          <w:p w14:paraId="5A79677F">
            <w:pPr>
              <w:spacing w:line="360" w:lineRule="auto"/>
              <w:ind w:leftChars="-35" w:hanging="73" w:hangingChars="35"/>
              <w:jc w:val="center"/>
              <w:rPr>
                <w:rFonts w:ascii="宋体" w:hAnsi="宋体" w:cs="宋体"/>
                <w:color w:val="auto"/>
                <w:szCs w:val="21"/>
              </w:rPr>
            </w:pPr>
          </w:p>
        </w:tc>
        <w:tc>
          <w:tcPr>
            <w:tcW w:w="1020" w:type="dxa"/>
            <w:vAlign w:val="center"/>
          </w:tcPr>
          <w:p w14:paraId="3A697DE7">
            <w:pPr>
              <w:spacing w:line="360" w:lineRule="auto"/>
              <w:ind w:leftChars="-35" w:hanging="73" w:hangingChars="35"/>
              <w:jc w:val="center"/>
              <w:rPr>
                <w:rFonts w:ascii="宋体" w:hAnsi="宋体" w:cs="宋体"/>
                <w:color w:val="auto"/>
                <w:szCs w:val="21"/>
              </w:rPr>
            </w:pPr>
          </w:p>
        </w:tc>
        <w:tc>
          <w:tcPr>
            <w:tcW w:w="849" w:type="dxa"/>
            <w:vAlign w:val="center"/>
          </w:tcPr>
          <w:p w14:paraId="088EA6D7">
            <w:pPr>
              <w:spacing w:line="360" w:lineRule="auto"/>
              <w:ind w:leftChars="-35" w:hanging="73" w:hangingChars="35"/>
              <w:jc w:val="center"/>
              <w:rPr>
                <w:rFonts w:ascii="宋体" w:hAnsi="宋体" w:cs="宋体"/>
                <w:color w:val="auto"/>
                <w:szCs w:val="21"/>
              </w:rPr>
            </w:pPr>
          </w:p>
        </w:tc>
        <w:tc>
          <w:tcPr>
            <w:tcW w:w="1134" w:type="dxa"/>
            <w:vAlign w:val="center"/>
          </w:tcPr>
          <w:p w14:paraId="268971B7">
            <w:pPr>
              <w:spacing w:line="360" w:lineRule="auto"/>
              <w:ind w:leftChars="-35" w:hanging="73" w:hangingChars="35"/>
              <w:jc w:val="center"/>
              <w:rPr>
                <w:rFonts w:ascii="宋体" w:hAnsi="宋体" w:cs="宋体"/>
                <w:color w:val="auto"/>
                <w:szCs w:val="21"/>
              </w:rPr>
            </w:pPr>
          </w:p>
        </w:tc>
        <w:tc>
          <w:tcPr>
            <w:tcW w:w="1277" w:type="dxa"/>
            <w:vAlign w:val="center"/>
          </w:tcPr>
          <w:p w14:paraId="1C95E2BA">
            <w:pPr>
              <w:spacing w:line="360" w:lineRule="auto"/>
              <w:ind w:leftChars="-35" w:hanging="73" w:hangingChars="35"/>
              <w:jc w:val="center"/>
              <w:rPr>
                <w:rFonts w:ascii="宋体" w:hAnsi="宋体" w:cs="宋体"/>
                <w:color w:val="auto"/>
                <w:szCs w:val="21"/>
              </w:rPr>
            </w:pPr>
          </w:p>
        </w:tc>
        <w:tc>
          <w:tcPr>
            <w:tcW w:w="1116" w:type="dxa"/>
            <w:vAlign w:val="center"/>
          </w:tcPr>
          <w:p w14:paraId="3F6E5A37">
            <w:pPr>
              <w:spacing w:line="360" w:lineRule="auto"/>
              <w:ind w:leftChars="-35" w:hanging="73" w:hangingChars="35"/>
              <w:jc w:val="center"/>
              <w:rPr>
                <w:rFonts w:ascii="宋体" w:hAnsi="宋体" w:cs="宋体"/>
                <w:color w:val="auto"/>
                <w:szCs w:val="21"/>
              </w:rPr>
            </w:pPr>
          </w:p>
        </w:tc>
        <w:tc>
          <w:tcPr>
            <w:tcW w:w="756" w:type="dxa"/>
            <w:vAlign w:val="center"/>
          </w:tcPr>
          <w:p w14:paraId="49548798">
            <w:pPr>
              <w:spacing w:line="360" w:lineRule="auto"/>
              <w:ind w:leftChars="-35" w:hanging="73" w:hangingChars="35"/>
              <w:jc w:val="center"/>
              <w:rPr>
                <w:rFonts w:ascii="宋体" w:hAnsi="宋体" w:cs="宋体"/>
                <w:color w:val="auto"/>
                <w:szCs w:val="21"/>
              </w:rPr>
            </w:pPr>
          </w:p>
        </w:tc>
      </w:tr>
      <w:tr w14:paraId="22CCD6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8" w:hRule="atLeast"/>
          <w:jc w:val="center"/>
        </w:trPr>
        <w:tc>
          <w:tcPr>
            <w:tcW w:w="745" w:type="dxa"/>
            <w:vAlign w:val="center"/>
          </w:tcPr>
          <w:p w14:paraId="30C6D7D8">
            <w:pPr>
              <w:spacing w:line="360" w:lineRule="auto"/>
              <w:ind w:leftChars="-35" w:hanging="73" w:hangingChars="35"/>
              <w:jc w:val="center"/>
              <w:rPr>
                <w:rFonts w:ascii="宋体" w:hAnsi="宋体" w:cs="宋体"/>
                <w:color w:val="auto"/>
                <w:szCs w:val="21"/>
              </w:rPr>
            </w:pPr>
          </w:p>
        </w:tc>
        <w:tc>
          <w:tcPr>
            <w:tcW w:w="1512" w:type="dxa"/>
            <w:vAlign w:val="center"/>
          </w:tcPr>
          <w:p w14:paraId="57B9285E">
            <w:pPr>
              <w:spacing w:line="360" w:lineRule="auto"/>
              <w:ind w:leftChars="-35" w:hanging="73" w:hangingChars="35"/>
              <w:jc w:val="center"/>
              <w:rPr>
                <w:rFonts w:ascii="宋体" w:hAnsi="宋体" w:cs="宋体"/>
                <w:color w:val="auto"/>
                <w:szCs w:val="21"/>
              </w:rPr>
            </w:pPr>
          </w:p>
        </w:tc>
        <w:tc>
          <w:tcPr>
            <w:tcW w:w="1051" w:type="dxa"/>
            <w:vAlign w:val="center"/>
          </w:tcPr>
          <w:p w14:paraId="5590A3BD">
            <w:pPr>
              <w:spacing w:line="360" w:lineRule="auto"/>
              <w:ind w:leftChars="-35" w:hanging="73" w:hangingChars="35"/>
              <w:jc w:val="center"/>
              <w:rPr>
                <w:rFonts w:ascii="宋体" w:hAnsi="宋体" w:cs="宋体"/>
                <w:color w:val="auto"/>
                <w:szCs w:val="21"/>
              </w:rPr>
            </w:pPr>
          </w:p>
        </w:tc>
        <w:tc>
          <w:tcPr>
            <w:tcW w:w="1020" w:type="dxa"/>
            <w:vAlign w:val="center"/>
          </w:tcPr>
          <w:p w14:paraId="0B72542D">
            <w:pPr>
              <w:spacing w:line="360" w:lineRule="auto"/>
              <w:ind w:leftChars="-35" w:hanging="73" w:hangingChars="35"/>
              <w:jc w:val="center"/>
              <w:rPr>
                <w:rFonts w:ascii="宋体" w:hAnsi="宋体" w:cs="宋体"/>
                <w:color w:val="auto"/>
                <w:szCs w:val="21"/>
              </w:rPr>
            </w:pPr>
          </w:p>
        </w:tc>
        <w:tc>
          <w:tcPr>
            <w:tcW w:w="849" w:type="dxa"/>
            <w:vAlign w:val="center"/>
          </w:tcPr>
          <w:p w14:paraId="57E8644D">
            <w:pPr>
              <w:spacing w:line="360" w:lineRule="auto"/>
              <w:ind w:leftChars="-35" w:hanging="73" w:hangingChars="35"/>
              <w:jc w:val="center"/>
              <w:rPr>
                <w:rFonts w:ascii="宋体" w:hAnsi="宋体" w:cs="宋体"/>
                <w:color w:val="auto"/>
                <w:szCs w:val="21"/>
              </w:rPr>
            </w:pPr>
          </w:p>
        </w:tc>
        <w:tc>
          <w:tcPr>
            <w:tcW w:w="1134" w:type="dxa"/>
            <w:vAlign w:val="center"/>
          </w:tcPr>
          <w:p w14:paraId="5D26593F">
            <w:pPr>
              <w:spacing w:line="360" w:lineRule="auto"/>
              <w:ind w:leftChars="-35" w:hanging="73" w:hangingChars="35"/>
              <w:jc w:val="center"/>
              <w:rPr>
                <w:rFonts w:ascii="宋体" w:hAnsi="宋体" w:cs="宋体"/>
                <w:color w:val="auto"/>
                <w:szCs w:val="21"/>
              </w:rPr>
            </w:pPr>
          </w:p>
        </w:tc>
        <w:tc>
          <w:tcPr>
            <w:tcW w:w="1277" w:type="dxa"/>
            <w:vAlign w:val="center"/>
          </w:tcPr>
          <w:p w14:paraId="53873A9B">
            <w:pPr>
              <w:spacing w:line="360" w:lineRule="auto"/>
              <w:ind w:leftChars="-35" w:hanging="73" w:hangingChars="35"/>
              <w:jc w:val="center"/>
              <w:rPr>
                <w:rFonts w:ascii="宋体" w:hAnsi="宋体" w:cs="宋体"/>
                <w:color w:val="auto"/>
                <w:szCs w:val="21"/>
              </w:rPr>
            </w:pPr>
          </w:p>
        </w:tc>
        <w:tc>
          <w:tcPr>
            <w:tcW w:w="1116" w:type="dxa"/>
            <w:vAlign w:val="center"/>
          </w:tcPr>
          <w:p w14:paraId="25A32FD4">
            <w:pPr>
              <w:spacing w:line="360" w:lineRule="auto"/>
              <w:ind w:leftChars="-35" w:hanging="73" w:hangingChars="35"/>
              <w:jc w:val="center"/>
              <w:rPr>
                <w:rFonts w:ascii="宋体" w:hAnsi="宋体" w:cs="宋体"/>
                <w:color w:val="auto"/>
                <w:szCs w:val="21"/>
              </w:rPr>
            </w:pPr>
          </w:p>
        </w:tc>
        <w:tc>
          <w:tcPr>
            <w:tcW w:w="756" w:type="dxa"/>
            <w:vAlign w:val="center"/>
          </w:tcPr>
          <w:p w14:paraId="188C0D7B">
            <w:pPr>
              <w:spacing w:line="360" w:lineRule="auto"/>
              <w:ind w:leftChars="-35" w:hanging="73" w:hangingChars="35"/>
              <w:jc w:val="center"/>
              <w:rPr>
                <w:rFonts w:ascii="宋体" w:hAnsi="宋体" w:cs="宋体"/>
                <w:color w:val="auto"/>
                <w:szCs w:val="21"/>
              </w:rPr>
            </w:pPr>
          </w:p>
        </w:tc>
      </w:tr>
      <w:tr w14:paraId="16A44D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8" w:hRule="atLeast"/>
          <w:jc w:val="center"/>
        </w:trPr>
        <w:tc>
          <w:tcPr>
            <w:tcW w:w="745" w:type="dxa"/>
            <w:vAlign w:val="center"/>
          </w:tcPr>
          <w:p w14:paraId="7A4997A3">
            <w:pPr>
              <w:spacing w:line="360" w:lineRule="auto"/>
              <w:ind w:leftChars="-35" w:hanging="73" w:hangingChars="35"/>
              <w:jc w:val="center"/>
              <w:rPr>
                <w:rFonts w:ascii="宋体" w:hAnsi="宋体" w:cs="宋体"/>
                <w:color w:val="auto"/>
                <w:szCs w:val="21"/>
              </w:rPr>
            </w:pPr>
          </w:p>
        </w:tc>
        <w:tc>
          <w:tcPr>
            <w:tcW w:w="1512" w:type="dxa"/>
            <w:vAlign w:val="center"/>
          </w:tcPr>
          <w:p w14:paraId="0B218EA9">
            <w:pPr>
              <w:spacing w:line="360" w:lineRule="auto"/>
              <w:ind w:leftChars="-35" w:hanging="73" w:hangingChars="35"/>
              <w:jc w:val="center"/>
              <w:rPr>
                <w:rFonts w:ascii="宋体" w:hAnsi="宋体" w:cs="宋体"/>
                <w:color w:val="auto"/>
                <w:szCs w:val="21"/>
              </w:rPr>
            </w:pPr>
          </w:p>
        </w:tc>
        <w:tc>
          <w:tcPr>
            <w:tcW w:w="1051" w:type="dxa"/>
            <w:vAlign w:val="center"/>
          </w:tcPr>
          <w:p w14:paraId="4FB51483">
            <w:pPr>
              <w:spacing w:line="360" w:lineRule="auto"/>
              <w:ind w:leftChars="-35" w:hanging="73" w:hangingChars="35"/>
              <w:jc w:val="center"/>
              <w:rPr>
                <w:rFonts w:ascii="宋体" w:hAnsi="宋体" w:cs="宋体"/>
                <w:color w:val="auto"/>
                <w:szCs w:val="21"/>
              </w:rPr>
            </w:pPr>
          </w:p>
        </w:tc>
        <w:tc>
          <w:tcPr>
            <w:tcW w:w="1020" w:type="dxa"/>
            <w:vAlign w:val="center"/>
          </w:tcPr>
          <w:p w14:paraId="23F199B7">
            <w:pPr>
              <w:spacing w:line="360" w:lineRule="auto"/>
              <w:ind w:leftChars="-35" w:hanging="73" w:hangingChars="35"/>
              <w:jc w:val="center"/>
              <w:rPr>
                <w:rFonts w:ascii="宋体" w:hAnsi="宋体" w:cs="宋体"/>
                <w:color w:val="auto"/>
                <w:szCs w:val="21"/>
              </w:rPr>
            </w:pPr>
          </w:p>
        </w:tc>
        <w:tc>
          <w:tcPr>
            <w:tcW w:w="849" w:type="dxa"/>
            <w:vAlign w:val="center"/>
          </w:tcPr>
          <w:p w14:paraId="31FE78A3">
            <w:pPr>
              <w:spacing w:line="360" w:lineRule="auto"/>
              <w:ind w:leftChars="-35" w:hanging="73" w:hangingChars="35"/>
              <w:jc w:val="center"/>
              <w:rPr>
                <w:rFonts w:ascii="宋体" w:hAnsi="宋体" w:cs="宋体"/>
                <w:color w:val="auto"/>
                <w:szCs w:val="21"/>
              </w:rPr>
            </w:pPr>
          </w:p>
        </w:tc>
        <w:tc>
          <w:tcPr>
            <w:tcW w:w="1134" w:type="dxa"/>
            <w:vAlign w:val="center"/>
          </w:tcPr>
          <w:p w14:paraId="01B9BB48">
            <w:pPr>
              <w:spacing w:line="360" w:lineRule="auto"/>
              <w:ind w:leftChars="-35" w:hanging="73" w:hangingChars="35"/>
              <w:jc w:val="center"/>
              <w:rPr>
                <w:rFonts w:ascii="宋体" w:hAnsi="宋体" w:cs="宋体"/>
                <w:color w:val="auto"/>
                <w:szCs w:val="21"/>
              </w:rPr>
            </w:pPr>
          </w:p>
        </w:tc>
        <w:tc>
          <w:tcPr>
            <w:tcW w:w="1277" w:type="dxa"/>
            <w:vAlign w:val="center"/>
          </w:tcPr>
          <w:p w14:paraId="7274A971">
            <w:pPr>
              <w:spacing w:line="360" w:lineRule="auto"/>
              <w:ind w:leftChars="-35" w:hanging="73" w:hangingChars="35"/>
              <w:jc w:val="center"/>
              <w:rPr>
                <w:rFonts w:ascii="宋体" w:hAnsi="宋体" w:cs="宋体"/>
                <w:color w:val="auto"/>
                <w:szCs w:val="21"/>
              </w:rPr>
            </w:pPr>
          </w:p>
        </w:tc>
        <w:tc>
          <w:tcPr>
            <w:tcW w:w="1116" w:type="dxa"/>
            <w:vAlign w:val="center"/>
          </w:tcPr>
          <w:p w14:paraId="52DEC8DF">
            <w:pPr>
              <w:spacing w:line="360" w:lineRule="auto"/>
              <w:ind w:leftChars="-35" w:hanging="73" w:hangingChars="35"/>
              <w:jc w:val="center"/>
              <w:rPr>
                <w:rFonts w:ascii="宋体" w:hAnsi="宋体" w:cs="宋体"/>
                <w:color w:val="auto"/>
                <w:szCs w:val="21"/>
              </w:rPr>
            </w:pPr>
          </w:p>
        </w:tc>
        <w:tc>
          <w:tcPr>
            <w:tcW w:w="756" w:type="dxa"/>
            <w:vAlign w:val="center"/>
          </w:tcPr>
          <w:p w14:paraId="530B2E10">
            <w:pPr>
              <w:spacing w:line="360" w:lineRule="auto"/>
              <w:ind w:leftChars="-35" w:hanging="73" w:hangingChars="35"/>
              <w:jc w:val="center"/>
              <w:rPr>
                <w:rFonts w:ascii="宋体" w:hAnsi="宋体" w:cs="宋体"/>
                <w:color w:val="auto"/>
                <w:szCs w:val="21"/>
              </w:rPr>
            </w:pPr>
          </w:p>
        </w:tc>
      </w:tr>
      <w:tr w14:paraId="473B63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8" w:hRule="atLeast"/>
          <w:jc w:val="center"/>
        </w:trPr>
        <w:tc>
          <w:tcPr>
            <w:tcW w:w="745" w:type="dxa"/>
            <w:vAlign w:val="center"/>
          </w:tcPr>
          <w:p w14:paraId="6DA0C00D">
            <w:pPr>
              <w:spacing w:line="360" w:lineRule="auto"/>
              <w:ind w:leftChars="-35" w:hanging="73" w:hangingChars="35"/>
              <w:jc w:val="center"/>
              <w:rPr>
                <w:rFonts w:ascii="宋体" w:hAnsi="宋体" w:cs="宋体"/>
                <w:color w:val="auto"/>
                <w:szCs w:val="21"/>
              </w:rPr>
            </w:pPr>
          </w:p>
        </w:tc>
        <w:tc>
          <w:tcPr>
            <w:tcW w:w="1512" w:type="dxa"/>
            <w:vAlign w:val="center"/>
          </w:tcPr>
          <w:p w14:paraId="2BC783ED">
            <w:pPr>
              <w:spacing w:line="360" w:lineRule="auto"/>
              <w:ind w:leftChars="-35" w:hanging="73" w:hangingChars="35"/>
              <w:jc w:val="center"/>
              <w:rPr>
                <w:rFonts w:ascii="宋体" w:hAnsi="宋体" w:cs="宋体"/>
                <w:color w:val="auto"/>
                <w:szCs w:val="21"/>
              </w:rPr>
            </w:pPr>
          </w:p>
        </w:tc>
        <w:tc>
          <w:tcPr>
            <w:tcW w:w="1051" w:type="dxa"/>
            <w:vAlign w:val="center"/>
          </w:tcPr>
          <w:p w14:paraId="7DC5A9DD">
            <w:pPr>
              <w:spacing w:line="360" w:lineRule="auto"/>
              <w:ind w:leftChars="-35" w:hanging="73" w:hangingChars="35"/>
              <w:jc w:val="center"/>
              <w:rPr>
                <w:rFonts w:ascii="宋体" w:hAnsi="宋体" w:cs="宋体"/>
                <w:color w:val="auto"/>
                <w:szCs w:val="21"/>
              </w:rPr>
            </w:pPr>
          </w:p>
        </w:tc>
        <w:tc>
          <w:tcPr>
            <w:tcW w:w="1020" w:type="dxa"/>
            <w:vAlign w:val="center"/>
          </w:tcPr>
          <w:p w14:paraId="29C6F874">
            <w:pPr>
              <w:spacing w:line="360" w:lineRule="auto"/>
              <w:ind w:leftChars="-35" w:hanging="73" w:hangingChars="35"/>
              <w:jc w:val="center"/>
              <w:rPr>
                <w:rFonts w:ascii="宋体" w:hAnsi="宋体" w:cs="宋体"/>
                <w:color w:val="auto"/>
                <w:szCs w:val="21"/>
              </w:rPr>
            </w:pPr>
          </w:p>
        </w:tc>
        <w:tc>
          <w:tcPr>
            <w:tcW w:w="849" w:type="dxa"/>
            <w:vAlign w:val="center"/>
          </w:tcPr>
          <w:p w14:paraId="479C25DA">
            <w:pPr>
              <w:spacing w:line="360" w:lineRule="auto"/>
              <w:ind w:leftChars="-35" w:hanging="73" w:hangingChars="35"/>
              <w:jc w:val="center"/>
              <w:rPr>
                <w:rFonts w:ascii="宋体" w:hAnsi="宋体" w:cs="宋体"/>
                <w:color w:val="auto"/>
                <w:szCs w:val="21"/>
              </w:rPr>
            </w:pPr>
          </w:p>
        </w:tc>
        <w:tc>
          <w:tcPr>
            <w:tcW w:w="1134" w:type="dxa"/>
            <w:vAlign w:val="center"/>
          </w:tcPr>
          <w:p w14:paraId="542491D1">
            <w:pPr>
              <w:spacing w:line="360" w:lineRule="auto"/>
              <w:ind w:leftChars="-35" w:hanging="73" w:hangingChars="35"/>
              <w:jc w:val="center"/>
              <w:rPr>
                <w:rFonts w:ascii="宋体" w:hAnsi="宋体" w:cs="宋体"/>
                <w:color w:val="auto"/>
                <w:szCs w:val="21"/>
              </w:rPr>
            </w:pPr>
          </w:p>
        </w:tc>
        <w:tc>
          <w:tcPr>
            <w:tcW w:w="1277" w:type="dxa"/>
            <w:vAlign w:val="center"/>
          </w:tcPr>
          <w:p w14:paraId="1402C509">
            <w:pPr>
              <w:spacing w:line="360" w:lineRule="auto"/>
              <w:ind w:leftChars="-35" w:hanging="73" w:hangingChars="35"/>
              <w:jc w:val="center"/>
              <w:rPr>
                <w:rFonts w:ascii="宋体" w:hAnsi="宋体" w:cs="宋体"/>
                <w:color w:val="auto"/>
                <w:szCs w:val="21"/>
              </w:rPr>
            </w:pPr>
          </w:p>
        </w:tc>
        <w:tc>
          <w:tcPr>
            <w:tcW w:w="1116" w:type="dxa"/>
            <w:vAlign w:val="center"/>
          </w:tcPr>
          <w:p w14:paraId="43A641C8">
            <w:pPr>
              <w:spacing w:line="360" w:lineRule="auto"/>
              <w:ind w:leftChars="-35" w:hanging="73" w:hangingChars="35"/>
              <w:jc w:val="center"/>
              <w:rPr>
                <w:rFonts w:ascii="宋体" w:hAnsi="宋体" w:cs="宋体"/>
                <w:color w:val="auto"/>
                <w:szCs w:val="21"/>
              </w:rPr>
            </w:pPr>
          </w:p>
        </w:tc>
        <w:tc>
          <w:tcPr>
            <w:tcW w:w="756" w:type="dxa"/>
            <w:vAlign w:val="center"/>
          </w:tcPr>
          <w:p w14:paraId="7D1F13A4">
            <w:pPr>
              <w:spacing w:line="360" w:lineRule="auto"/>
              <w:ind w:leftChars="-35" w:hanging="73" w:hangingChars="35"/>
              <w:jc w:val="center"/>
              <w:rPr>
                <w:rFonts w:ascii="宋体" w:hAnsi="宋体" w:cs="宋体"/>
                <w:color w:val="auto"/>
                <w:szCs w:val="21"/>
              </w:rPr>
            </w:pPr>
          </w:p>
        </w:tc>
      </w:tr>
      <w:tr w14:paraId="6CDEE4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8" w:hRule="atLeast"/>
          <w:jc w:val="center"/>
        </w:trPr>
        <w:tc>
          <w:tcPr>
            <w:tcW w:w="745" w:type="dxa"/>
            <w:vAlign w:val="center"/>
          </w:tcPr>
          <w:p w14:paraId="49567D10">
            <w:pPr>
              <w:spacing w:line="360" w:lineRule="auto"/>
              <w:ind w:leftChars="-35" w:hanging="73" w:hangingChars="35"/>
              <w:jc w:val="center"/>
              <w:rPr>
                <w:rFonts w:ascii="宋体" w:hAnsi="宋体" w:cs="宋体"/>
                <w:color w:val="auto"/>
                <w:szCs w:val="21"/>
              </w:rPr>
            </w:pPr>
          </w:p>
        </w:tc>
        <w:tc>
          <w:tcPr>
            <w:tcW w:w="1512" w:type="dxa"/>
            <w:vAlign w:val="center"/>
          </w:tcPr>
          <w:p w14:paraId="70072630">
            <w:pPr>
              <w:spacing w:line="360" w:lineRule="auto"/>
              <w:ind w:leftChars="-35" w:hanging="73" w:hangingChars="35"/>
              <w:jc w:val="center"/>
              <w:rPr>
                <w:rFonts w:ascii="宋体" w:hAnsi="宋体" w:cs="宋体"/>
                <w:color w:val="auto"/>
                <w:szCs w:val="21"/>
              </w:rPr>
            </w:pPr>
          </w:p>
        </w:tc>
        <w:tc>
          <w:tcPr>
            <w:tcW w:w="1051" w:type="dxa"/>
            <w:vAlign w:val="center"/>
          </w:tcPr>
          <w:p w14:paraId="4B269C16">
            <w:pPr>
              <w:spacing w:line="360" w:lineRule="auto"/>
              <w:ind w:leftChars="-35" w:hanging="73" w:hangingChars="35"/>
              <w:jc w:val="center"/>
              <w:rPr>
                <w:rFonts w:ascii="宋体" w:hAnsi="宋体" w:cs="宋体"/>
                <w:color w:val="auto"/>
                <w:szCs w:val="21"/>
              </w:rPr>
            </w:pPr>
          </w:p>
        </w:tc>
        <w:tc>
          <w:tcPr>
            <w:tcW w:w="1020" w:type="dxa"/>
            <w:vAlign w:val="center"/>
          </w:tcPr>
          <w:p w14:paraId="67216A85">
            <w:pPr>
              <w:spacing w:line="360" w:lineRule="auto"/>
              <w:ind w:leftChars="-35" w:hanging="73" w:hangingChars="35"/>
              <w:jc w:val="center"/>
              <w:rPr>
                <w:rFonts w:ascii="宋体" w:hAnsi="宋体" w:cs="宋体"/>
                <w:color w:val="auto"/>
                <w:szCs w:val="21"/>
              </w:rPr>
            </w:pPr>
          </w:p>
        </w:tc>
        <w:tc>
          <w:tcPr>
            <w:tcW w:w="849" w:type="dxa"/>
            <w:vAlign w:val="center"/>
          </w:tcPr>
          <w:p w14:paraId="5DC555E7">
            <w:pPr>
              <w:spacing w:line="360" w:lineRule="auto"/>
              <w:ind w:leftChars="-35" w:hanging="73" w:hangingChars="35"/>
              <w:jc w:val="center"/>
              <w:rPr>
                <w:rFonts w:ascii="宋体" w:hAnsi="宋体" w:cs="宋体"/>
                <w:color w:val="auto"/>
                <w:szCs w:val="21"/>
              </w:rPr>
            </w:pPr>
          </w:p>
        </w:tc>
        <w:tc>
          <w:tcPr>
            <w:tcW w:w="1134" w:type="dxa"/>
            <w:vAlign w:val="center"/>
          </w:tcPr>
          <w:p w14:paraId="6EF44D96">
            <w:pPr>
              <w:spacing w:line="360" w:lineRule="auto"/>
              <w:ind w:leftChars="-35" w:hanging="73" w:hangingChars="35"/>
              <w:jc w:val="center"/>
              <w:rPr>
                <w:rFonts w:ascii="宋体" w:hAnsi="宋体" w:cs="宋体"/>
                <w:color w:val="auto"/>
                <w:szCs w:val="21"/>
              </w:rPr>
            </w:pPr>
          </w:p>
        </w:tc>
        <w:tc>
          <w:tcPr>
            <w:tcW w:w="1277" w:type="dxa"/>
            <w:vAlign w:val="center"/>
          </w:tcPr>
          <w:p w14:paraId="3766D26A">
            <w:pPr>
              <w:spacing w:line="360" w:lineRule="auto"/>
              <w:ind w:leftChars="-35" w:hanging="73" w:hangingChars="35"/>
              <w:jc w:val="center"/>
              <w:rPr>
                <w:rFonts w:ascii="宋体" w:hAnsi="宋体" w:cs="宋体"/>
                <w:color w:val="auto"/>
                <w:szCs w:val="21"/>
              </w:rPr>
            </w:pPr>
          </w:p>
        </w:tc>
        <w:tc>
          <w:tcPr>
            <w:tcW w:w="1116" w:type="dxa"/>
            <w:vAlign w:val="center"/>
          </w:tcPr>
          <w:p w14:paraId="0B4F1716">
            <w:pPr>
              <w:spacing w:line="360" w:lineRule="auto"/>
              <w:ind w:leftChars="-35" w:hanging="73" w:hangingChars="35"/>
              <w:jc w:val="center"/>
              <w:rPr>
                <w:rFonts w:ascii="宋体" w:hAnsi="宋体" w:cs="宋体"/>
                <w:color w:val="auto"/>
                <w:szCs w:val="21"/>
              </w:rPr>
            </w:pPr>
          </w:p>
        </w:tc>
        <w:tc>
          <w:tcPr>
            <w:tcW w:w="756" w:type="dxa"/>
            <w:vAlign w:val="center"/>
          </w:tcPr>
          <w:p w14:paraId="4FBAAE87">
            <w:pPr>
              <w:spacing w:line="360" w:lineRule="auto"/>
              <w:ind w:leftChars="-35" w:hanging="73" w:hangingChars="35"/>
              <w:jc w:val="center"/>
              <w:rPr>
                <w:rFonts w:ascii="宋体" w:hAnsi="宋体" w:cs="宋体"/>
                <w:color w:val="auto"/>
                <w:szCs w:val="21"/>
              </w:rPr>
            </w:pPr>
          </w:p>
        </w:tc>
      </w:tr>
      <w:tr w14:paraId="3977D8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8" w:hRule="atLeast"/>
          <w:jc w:val="center"/>
        </w:trPr>
        <w:tc>
          <w:tcPr>
            <w:tcW w:w="745" w:type="dxa"/>
            <w:vAlign w:val="center"/>
          </w:tcPr>
          <w:p w14:paraId="628BA114">
            <w:pPr>
              <w:spacing w:line="360" w:lineRule="auto"/>
              <w:ind w:leftChars="-35" w:hanging="73" w:hangingChars="35"/>
              <w:jc w:val="center"/>
              <w:rPr>
                <w:rFonts w:ascii="宋体" w:hAnsi="宋体" w:cs="宋体"/>
                <w:color w:val="auto"/>
                <w:szCs w:val="21"/>
              </w:rPr>
            </w:pPr>
          </w:p>
        </w:tc>
        <w:tc>
          <w:tcPr>
            <w:tcW w:w="1512" w:type="dxa"/>
            <w:vAlign w:val="center"/>
          </w:tcPr>
          <w:p w14:paraId="68D71F9F">
            <w:pPr>
              <w:spacing w:line="360" w:lineRule="auto"/>
              <w:ind w:leftChars="-35" w:hanging="73" w:hangingChars="35"/>
              <w:jc w:val="center"/>
              <w:rPr>
                <w:rFonts w:ascii="宋体" w:hAnsi="宋体" w:cs="宋体"/>
                <w:color w:val="auto"/>
                <w:szCs w:val="21"/>
              </w:rPr>
            </w:pPr>
          </w:p>
        </w:tc>
        <w:tc>
          <w:tcPr>
            <w:tcW w:w="1051" w:type="dxa"/>
            <w:vAlign w:val="center"/>
          </w:tcPr>
          <w:p w14:paraId="35DE6162">
            <w:pPr>
              <w:spacing w:line="360" w:lineRule="auto"/>
              <w:ind w:leftChars="-35" w:hanging="73" w:hangingChars="35"/>
              <w:jc w:val="center"/>
              <w:rPr>
                <w:rFonts w:ascii="宋体" w:hAnsi="宋体" w:cs="宋体"/>
                <w:color w:val="auto"/>
                <w:szCs w:val="21"/>
              </w:rPr>
            </w:pPr>
          </w:p>
        </w:tc>
        <w:tc>
          <w:tcPr>
            <w:tcW w:w="1020" w:type="dxa"/>
            <w:vAlign w:val="center"/>
          </w:tcPr>
          <w:p w14:paraId="1F6FBA69">
            <w:pPr>
              <w:spacing w:line="360" w:lineRule="auto"/>
              <w:ind w:leftChars="-35" w:hanging="73" w:hangingChars="35"/>
              <w:jc w:val="center"/>
              <w:rPr>
                <w:rFonts w:ascii="宋体" w:hAnsi="宋体" w:cs="宋体"/>
                <w:color w:val="auto"/>
                <w:szCs w:val="21"/>
              </w:rPr>
            </w:pPr>
          </w:p>
        </w:tc>
        <w:tc>
          <w:tcPr>
            <w:tcW w:w="849" w:type="dxa"/>
            <w:vAlign w:val="center"/>
          </w:tcPr>
          <w:p w14:paraId="18E537B7">
            <w:pPr>
              <w:spacing w:line="360" w:lineRule="auto"/>
              <w:ind w:leftChars="-35" w:hanging="73" w:hangingChars="35"/>
              <w:jc w:val="center"/>
              <w:rPr>
                <w:rFonts w:ascii="宋体" w:hAnsi="宋体" w:cs="宋体"/>
                <w:color w:val="auto"/>
                <w:szCs w:val="21"/>
              </w:rPr>
            </w:pPr>
          </w:p>
        </w:tc>
        <w:tc>
          <w:tcPr>
            <w:tcW w:w="1134" w:type="dxa"/>
            <w:vAlign w:val="center"/>
          </w:tcPr>
          <w:p w14:paraId="799F8A21">
            <w:pPr>
              <w:spacing w:line="360" w:lineRule="auto"/>
              <w:ind w:leftChars="-35" w:hanging="73" w:hangingChars="35"/>
              <w:jc w:val="center"/>
              <w:rPr>
                <w:rFonts w:ascii="宋体" w:hAnsi="宋体" w:cs="宋体"/>
                <w:color w:val="auto"/>
                <w:szCs w:val="21"/>
              </w:rPr>
            </w:pPr>
          </w:p>
        </w:tc>
        <w:tc>
          <w:tcPr>
            <w:tcW w:w="1277" w:type="dxa"/>
            <w:vAlign w:val="center"/>
          </w:tcPr>
          <w:p w14:paraId="3B748CD8">
            <w:pPr>
              <w:spacing w:line="360" w:lineRule="auto"/>
              <w:ind w:leftChars="-35" w:hanging="73" w:hangingChars="35"/>
              <w:jc w:val="center"/>
              <w:rPr>
                <w:rFonts w:ascii="宋体" w:hAnsi="宋体" w:cs="宋体"/>
                <w:color w:val="auto"/>
                <w:szCs w:val="21"/>
              </w:rPr>
            </w:pPr>
          </w:p>
        </w:tc>
        <w:tc>
          <w:tcPr>
            <w:tcW w:w="1116" w:type="dxa"/>
            <w:vAlign w:val="center"/>
          </w:tcPr>
          <w:p w14:paraId="66AE8671">
            <w:pPr>
              <w:spacing w:line="360" w:lineRule="auto"/>
              <w:ind w:leftChars="-35" w:hanging="73" w:hangingChars="35"/>
              <w:jc w:val="center"/>
              <w:rPr>
                <w:rFonts w:ascii="宋体" w:hAnsi="宋体" w:cs="宋体"/>
                <w:color w:val="auto"/>
                <w:szCs w:val="21"/>
              </w:rPr>
            </w:pPr>
          </w:p>
        </w:tc>
        <w:tc>
          <w:tcPr>
            <w:tcW w:w="756" w:type="dxa"/>
            <w:vAlign w:val="center"/>
          </w:tcPr>
          <w:p w14:paraId="331C3362">
            <w:pPr>
              <w:spacing w:line="360" w:lineRule="auto"/>
              <w:ind w:leftChars="-35" w:hanging="73" w:hangingChars="35"/>
              <w:jc w:val="center"/>
              <w:rPr>
                <w:rFonts w:ascii="宋体" w:hAnsi="宋体" w:cs="宋体"/>
                <w:color w:val="auto"/>
                <w:szCs w:val="21"/>
              </w:rPr>
            </w:pPr>
          </w:p>
        </w:tc>
      </w:tr>
      <w:tr w14:paraId="70F760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8" w:hRule="atLeast"/>
          <w:jc w:val="center"/>
        </w:trPr>
        <w:tc>
          <w:tcPr>
            <w:tcW w:w="745" w:type="dxa"/>
            <w:vAlign w:val="center"/>
          </w:tcPr>
          <w:p w14:paraId="29E31ED1">
            <w:pPr>
              <w:spacing w:line="360" w:lineRule="auto"/>
              <w:ind w:leftChars="-35" w:hanging="73" w:hangingChars="35"/>
              <w:jc w:val="center"/>
              <w:rPr>
                <w:rFonts w:ascii="宋体" w:hAnsi="宋体" w:cs="宋体"/>
                <w:color w:val="auto"/>
                <w:szCs w:val="21"/>
              </w:rPr>
            </w:pPr>
          </w:p>
        </w:tc>
        <w:tc>
          <w:tcPr>
            <w:tcW w:w="1512" w:type="dxa"/>
            <w:vAlign w:val="center"/>
          </w:tcPr>
          <w:p w14:paraId="592AFC2B">
            <w:pPr>
              <w:spacing w:line="360" w:lineRule="auto"/>
              <w:ind w:leftChars="-35" w:hanging="73" w:hangingChars="35"/>
              <w:jc w:val="center"/>
              <w:rPr>
                <w:rFonts w:ascii="宋体" w:hAnsi="宋体" w:cs="宋体"/>
                <w:color w:val="auto"/>
                <w:szCs w:val="21"/>
              </w:rPr>
            </w:pPr>
          </w:p>
        </w:tc>
        <w:tc>
          <w:tcPr>
            <w:tcW w:w="1051" w:type="dxa"/>
            <w:vAlign w:val="center"/>
          </w:tcPr>
          <w:p w14:paraId="6DAE99B5">
            <w:pPr>
              <w:spacing w:line="360" w:lineRule="auto"/>
              <w:ind w:leftChars="-35" w:hanging="73" w:hangingChars="35"/>
              <w:jc w:val="center"/>
              <w:rPr>
                <w:rFonts w:ascii="宋体" w:hAnsi="宋体" w:cs="宋体"/>
                <w:color w:val="auto"/>
                <w:szCs w:val="21"/>
              </w:rPr>
            </w:pPr>
          </w:p>
        </w:tc>
        <w:tc>
          <w:tcPr>
            <w:tcW w:w="1020" w:type="dxa"/>
            <w:vAlign w:val="center"/>
          </w:tcPr>
          <w:p w14:paraId="59F9D9B2">
            <w:pPr>
              <w:spacing w:line="360" w:lineRule="auto"/>
              <w:ind w:leftChars="-35" w:hanging="73" w:hangingChars="35"/>
              <w:jc w:val="center"/>
              <w:rPr>
                <w:rFonts w:ascii="宋体" w:hAnsi="宋体" w:cs="宋体"/>
                <w:color w:val="auto"/>
                <w:szCs w:val="21"/>
              </w:rPr>
            </w:pPr>
          </w:p>
        </w:tc>
        <w:tc>
          <w:tcPr>
            <w:tcW w:w="849" w:type="dxa"/>
            <w:vAlign w:val="center"/>
          </w:tcPr>
          <w:p w14:paraId="2A2187EC">
            <w:pPr>
              <w:spacing w:line="360" w:lineRule="auto"/>
              <w:ind w:leftChars="-35" w:hanging="73" w:hangingChars="35"/>
              <w:jc w:val="center"/>
              <w:rPr>
                <w:rFonts w:ascii="宋体" w:hAnsi="宋体" w:cs="宋体"/>
                <w:color w:val="auto"/>
                <w:szCs w:val="21"/>
              </w:rPr>
            </w:pPr>
          </w:p>
        </w:tc>
        <w:tc>
          <w:tcPr>
            <w:tcW w:w="1134" w:type="dxa"/>
            <w:vAlign w:val="center"/>
          </w:tcPr>
          <w:p w14:paraId="67056340">
            <w:pPr>
              <w:spacing w:line="360" w:lineRule="auto"/>
              <w:ind w:leftChars="-35" w:hanging="73" w:hangingChars="35"/>
              <w:jc w:val="center"/>
              <w:rPr>
                <w:rFonts w:ascii="宋体" w:hAnsi="宋体" w:cs="宋体"/>
                <w:color w:val="auto"/>
                <w:szCs w:val="21"/>
              </w:rPr>
            </w:pPr>
          </w:p>
        </w:tc>
        <w:tc>
          <w:tcPr>
            <w:tcW w:w="1277" w:type="dxa"/>
            <w:vAlign w:val="center"/>
          </w:tcPr>
          <w:p w14:paraId="1F27F686">
            <w:pPr>
              <w:spacing w:line="360" w:lineRule="auto"/>
              <w:ind w:leftChars="-35" w:hanging="73" w:hangingChars="35"/>
              <w:jc w:val="center"/>
              <w:rPr>
                <w:rFonts w:ascii="宋体" w:hAnsi="宋体" w:cs="宋体"/>
                <w:color w:val="auto"/>
                <w:szCs w:val="21"/>
              </w:rPr>
            </w:pPr>
          </w:p>
        </w:tc>
        <w:tc>
          <w:tcPr>
            <w:tcW w:w="1116" w:type="dxa"/>
            <w:vAlign w:val="center"/>
          </w:tcPr>
          <w:p w14:paraId="4F5F0FAE">
            <w:pPr>
              <w:spacing w:line="360" w:lineRule="auto"/>
              <w:ind w:leftChars="-35" w:hanging="73" w:hangingChars="35"/>
              <w:jc w:val="center"/>
              <w:rPr>
                <w:rFonts w:ascii="宋体" w:hAnsi="宋体" w:cs="宋体"/>
                <w:color w:val="auto"/>
                <w:szCs w:val="21"/>
              </w:rPr>
            </w:pPr>
          </w:p>
        </w:tc>
        <w:tc>
          <w:tcPr>
            <w:tcW w:w="756" w:type="dxa"/>
            <w:vAlign w:val="center"/>
          </w:tcPr>
          <w:p w14:paraId="0BD71497">
            <w:pPr>
              <w:spacing w:line="360" w:lineRule="auto"/>
              <w:ind w:leftChars="-35" w:hanging="73" w:hangingChars="35"/>
              <w:jc w:val="center"/>
              <w:rPr>
                <w:rFonts w:ascii="宋体" w:hAnsi="宋体" w:cs="宋体"/>
                <w:color w:val="auto"/>
                <w:szCs w:val="21"/>
              </w:rPr>
            </w:pPr>
          </w:p>
        </w:tc>
      </w:tr>
      <w:tr w14:paraId="12D86A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8" w:hRule="atLeast"/>
          <w:jc w:val="center"/>
        </w:trPr>
        <w:tc>
          <w:tcPr>
            <w:tcW w:w="745" w:type="dxa"/>
            <w:vAlign w:val="center"/>
          </w:tcPr>
          <w:p w14:paraId="25F11DBA">
            <w:pPr>
              <w:spacing w:line="360" w:lineRule="auto"/>
              <w:ind w:leftChars="-35" w:hanging="73" w:hangingChars="35"/>
              <w:jc w:val="center"/>
              <w:rPr>
                <w:rFonts w:ascii="宋体" w:hAnsi="宋体" w:cs="宋体"/>
                <w:color w:val="auto"/>
                <w:szCs w:val="21"/>
              </w:rPr>
            </w:pPr>
          </w:p>
        </w:tc>
        <w:tc>
          <w:tcPr>
            <w:tcW w:w="1512" w:type="dxa"/>
            <w:vAlign w:val="center"/>
          </w:tcPr>
          <w:p w14:paraId="342FD80A">
            <w:pPr>
              <w:spacing w:line="360" w:lineRule="auto"/>
              <w:ind w:leftChars="-35" w:hanging="73" w:hangingChars="35"/>
              <w:jc w:val="center"/>
              <w:rPr>
                <w:rFonts w:ascii="宋体" w:hAnsi="宋体" w:cs="宋体"/>
                <w:color w:val="auto"/>
                <w:szCs w:val="21"/>
              </w:rPr>
            </w:pPr>
          </w:p>
        </w:tc>
        <w:tc>
          <w:tcPr>
            <w:tcW w:w="1051" w:type="dxa"/>
            <w:vAlign w:val="center"/>
          </w:tcPr>
          <w:p w14:paraId="3668DF98">
            <w:pPr>
              <w:spacing w:line="360" w:lineRule="auto"/>
              <w:ind w:leftChars="-35" w:hanging="73" w:hangingChars="35"/>
              <w:jc w:val="center"/>
              <w:rPr>
                <w:rFonts w:ascii="宋体" w:hAnsi="宋体" w:cs="宋体"/>
                <w:color w:val="auto"/>
                <w:szCs w:val="21"/>
              </w:rPr>
            </w:pPr>
          </w:p>
        </w:tc>
        <w:tc>
          <w:tcPr>
            <w:tcW w:w="1020" w:type="dxa"/>
            <w:vAlign w:val="center"/>
          </w:tcPr>
          <w:p w14:paraId="761A92D7">
            <w:pPr>
              <w:spacing w:line="360" w:lineRule="auto"/>
              <w:ind w:leftChars="-35" w:hanging="73" w:hangingChars="35"/>
              <w:jc w:val="center"/>
              <w:rPr>
                <w:rFonts w:ascii="宋体" w:hAnsi="宋体" w:cs="宋体"/>
                <w:color w:val="auto"/>
                <w:szCs w:val="21"/>
              </w:rPr>
            </w:pPr>
          </w:p>
        </w:tc>
        <w:tc>
          <w:tcPr>
            <w:tcW w:w="849" w:type="dxa"/>
            <w:vAlign w:val="center"/>
          </w:tcPr>
          <w:p w14:paraId="5690A79D">
            <w:pPr>
              <w:spacing w:line="360" w:lineRule="auto"/>
              <w:ind w:leftChars="-35" w:hanging="73" w:hangingChars="35"/>
              <w:jc w:val="center"/>
              <w:rPr>
                <w:rFonts w:ascii="宋体" w:hAnsi="宋体" w:cs="宋体"/>
                <w:color w:val="auto"/>
                <w:szCs w:val="21"/>
              </w:rPr>
            </w:pPr>
          </w:p>
        </w:tc>
        <w:tc>
          <w:tcPr>
            <w:tcW w:w="1134" w:type="dxa"/>
            <w:vAlign w:val="center"/>
          </w:tcPr>
          <w:p w14:paraId="592BC3AD">
            <w:pPr>
              <w:spacing w:line="360" w:lineRule="auto"/>
              <w:ind w:leftChars="-35" w:hanging="73" w:hangingChars="35"/>
              <w:jc w:val="center"/>
              <w:rPr>
                <w:rFonts w:ascii="宋体" w:hAnsi="宋体" w:cs="宋体"/>
                <w:color w:val="auto"/>
                <w:szCs w:val="21"/>
              </w:rPr>
            </w:pPr>
          </w:p>
        </w:tc>
        <w:tc>
          <w:tcPr>
            <w:tcW w:w="1277" w:type="dxa"/>
            <w:vAlign w:val="center"/>
          </w:tcPr>
          <w:p w14:paraId="1E98F2E6">
            <w:pPr>
              <w:spacing w:line="360" w:lineRule="auto"/>
              <w:ind w:leftChars="-35" w:hanging="73" w:hangingChars="35"/>
              <w:jc w:val="center"/>
              <w:rPr>
                <w:rFonts w:ascii="宋体" w:hAnsi="宋体" w:cs="宋体"/>
                <w:color w:val="auto"/>
                <w:szCs w:val="21"/>
              </w:rPr>
            </w:pPr>
          </w:p>
        </w:tc>
        <w:tc>
          <w:tcPr>
            <w:tcW w:w="1116" w:type="dxa"/>
            <w:vAlign w:val="center"/>
          </w:tcPr>
          <w:p w14:paraId="397C9F2F">
            <w:pPr>
              <w:spacing w:line="360" w:lineRule="auto"/>
              <w:ind w:leftChars="-35" w:hanging="73" w:hangingChars="35"/>
              <w:jc w:val="center"/>
              <w:rPr>
                <w:rFonts w:ascii="宋体" w:hAnsi="宋体" w:cs="宋体"/>
                <w:color w:val="auto"/>
                <w:szCs w:val="21"/>
              </w:rPr>
            </w:pPr>
          </w:p>
        </w:tc>
        <w:tc>
          <w:tcPr>
            <w:tcW w:w="756" w:type="dxa"/>
            <w:vAlign w:val="center"/>
          </w:tcPr>
          <w:p w14:paraId="07BC7DE5">
            <w:pPr>
              <w:spacing w:line="360" w:lineRule="auto"/>
              <w:ind w:leftChars="-35" w:hanging="73" w:hangingChars="35"/>
              <w:jc w:val="center"/>
              <w:rPr>
                <w:rFonts w:ascii="宋体" w:hAnsi="宋体" w:cs="宋体"/>
                <w:color w:val="auto"/>
                <w:szCs w:val="21"/>
              </w:rPr>
            </w:pPr>
          </w:p>
        </w:tc>
      </w:tr>
      <w:tr w14:paraId="51F4BA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8" w:hRule="atLeast"/>
          <w:jc w:val="center"/>
        </w:trPr>
        <w:tc>
          <w:tcPr>
            <w:tcW w:w="745" w:type="dxa"/>
            <w:vAlign w:val="center"/>
          </w:tcPr>
          <w:p w14:paraId="3BB3312F">
            <w:pPr>
              <w:spacing w:line="360" w:lineRule="auto"/>
              <w:ind w:leftChars="-35" w:hanging="73" w:hangingChars="35"/>
              <w:jc w:val="center"/>
              <w:rPr>
                <w:rFonts w:ascii="宋体" w:hAnsi="宋体" w:cs="宋体"/>
                <w:color w:val="auto"/>
                <w:szCs w:val="21"/>
              </w:rPr>
            </w:pPr>
          </w:p>
        </w:tc>
        <w:tc>
          <w:tcPr>
            <w:tcW w:w="1512" w:type="dxa"/>
            <w:vAlign w:val="center"/>
          </w:tcPr>
          <w:p w14:paraId="5F780FB0">
            <w:pPr>
              <w:spacing w:line="360" w:lineRule="auto"/>
              <w:ind w:leftChars="-35" w:hanging="73" w:hangingChars="35"/>
              <w:jc w:val="center"/>
              <w:rPr>
                <w:rFonts w:ascii="宋体" w:hAnsi="宋体" w:cs="宋体"/>
                <w:color w:val="auto"/>
                <w:szCs w:val="21"/>
              </w:rPr>
            </w:pPr>
          </w:p>
        </w:tc>
        <w:tc>
          <w:tcPr>
            <w:tcW w:w="1051" w:type="dxa"/>
            <w:vAlign w:val="center"/>
          </w:tcPr>
          <w:p w14:paraId="3105FC16">
            <w:pPr>
              <w:spacing w:line="360" w:lineRule="auto"/>
              <w:ind w:leftChars="-35" w:hanging="73" w:hangingChars="35"/>
              <w:jc w:val="center"/>
              <w:rPr>
                <w:rFonts w:ascii="宋体" w:hAnsi="宋体" w:cs="宋体"/>
                <w:color w:val="auto"/>
                <w:szCs w:val="21"/>
              </w:rPr>
            </w:pPr>
          </w:p>
        </w:tc>
        <w:tc>
          <w:tcPr>
            <w:tcW w:w="1020" w:type="dxa"/>
            <w:vAlign w:val="center"/>
          </w:tcPr>
          <w:p w14:paraId="61FCE66D">
            <w:pPr>
              <w:spacing w:line="360" w:lineRule="auto"/>
              <w:ind w:leftChars="-35" w:hanging="73" w:hangingChars="35"/>
              <w:jc w:val="center"/>
              <w:rPr>
                <w:rFonts w:ascii="宋体" w:hAnsi="宋体" w:cs="宋体"/>
                <w:color w:val="auto"/>
                <w:szCs w:val="21"/>
              </w:rPr>
            </w:pPr>
          </w:p>
        </w:tc>
        <w:tc>
          <w:tcPr>
            <w:tcW w:w="849" w:type="dxa"/>
            <w:vAlign w:val="center"/>
          </w:tcPr>
          <w:p w14:paraId="1DB59A99">
            <w:pPr>
              <w:spacing w:line="360" w:lineRule="auto"/>
              <w:ind w:leftChars="-35" w:hanging="73" w:hangingChars="35"/>
              <w:jc w:val="center"/>
              <w:rPr>
                <w:rFonts w:ascii="宋体" w:hAnsi="宋体" w:cs="宋体"/>
                <w:color w:val="auto"/>
                <w:szCs w:val="21"/>
              </w:rPr>
            </w:pPr>
          </w:p>
        </w:tc>
        <w:tc>
          <w:tcPr>
            <w:tcW w:w="1134" w:type="dxa"/>
            <w:vAlign w:val="center"/>
          </w:tcPr>
          <w:p w14:paraId="53CE112F">
            <w:pPr>
              <w:spacing w:line="360" w:lineRule="auto"/>
              <w:ind w:leftChars="-35" w:hanging="73" w:hangingChars="35"/>
              <w:jc w:val="center"/>
              <w:rPr>
                <w:rFonts w:ascii="宋体" w:hAnsi="宋体" w:cs="宋体"/>
                <w:color w:val="auto"/>
                <w:szCs w:val="21"/>
              </w:rPr>
            </w:pPr>
          </w:p>
        </w:tc>
        <w:tc>
          <w:tcPr>
            <w:tcW w:w="1277" w:type="dxa"/>
            <w:vAlign w:val="center"/>
          </w:tcPr>
          <w:p w14:paraId="575132AB">
            <w:pPr>
              <w:spacing w:line="360" w:lineRule="auto"/>
              <w:ind w:leftChars="-35" w:hanging="73" w:hangingChars="35"/>
              <w:jc w:val="center"/>
              <w:rPr>
                <w:rFonts w:ascii="宋体" w:hAnsi="宋体" w:cs="宋体"/>
                <w:color w:val="auto"/>
                <w:szCs w:val="21"/>
              </w:rPr>
            </w:pPr>
          </w:p>
        </w:tc>
        <w:tc>
          <w:tcPr>
            <w:tcW w:w="1116" w:type="dxa"/>
            <w:vAlign w:val="center"/>
          </w:tcPr>
          <w:p w14:paraId="6F0F464A">
            <w:pPr>
              <w:spacing w:line="360" w:lineRule="auto"/>
              <w:ind w:leftChars="-35" w:hanging="73" w:hangingChars="35"/>
              <w:jc w:val="center"/>
              <w:rPr>
                <w:rFonts w:ascii="宋体" w:hAnsi="宋体" w:cs="宋体"/>
                <w:color w:val="auto"/>
                <w:szCs w:val="21"/>
              </w:rPr>
            </w:pPr>
          </w:p>
        </w:tc>
        <w:tc>
          <w:tcPr>
            <w:tcW w:w="756" w:type="dxa"/>
            <w:vAlign w:val="center"/>
          </w:tcPr>
          <w:p w14:paraId="2DA7C9F5">
            <w:pPr>
              <w:spacing w:line="360" w:lineRule="auto"/>
              <w:ind w:leftChars="-35" w:hanging="73" w:hangingChars="35"/>
              <w:jc w:val="center"/>
              <w:rPr>
                <w:rFonts w:ascii="宋体" w:hAnsi="宋体" w:cs="宋体"/>
                <w:color w:val="auto"/>
                <w:szCs w:val="21"/>
              </w:rPr>
            </w:pPr>
          </w:p>
        </w:tc>
      </w:tr>
      <w:tr w14:paraId="0ECCB1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8" w:hRule="atLeast"/>
          <w:jc w:val="center"/>
        </w:trPr>
        <w:tc>
          <w:tcPr>
            <w:tcW w:w="745" w:type="dxa"/>
            <w:vAlign w:val="center"/>
          </w:tcPr>
          <w:p w14:paraId="06E160F6">
            <w:pPr>
              <w:spacing w:line="360" w:lineRule="auto"/>
              <w:ind w:leftChars="-35" w:hanging="73" w:hangingChars="35"/>
              <w:jc w:val="center"/>
              <w:rPr>
                <w:rFonts w:ascii="宋体" w:hAnsi="宋体" w:cs="宋体"/>
                <w:color w:val="auto"/>
                <w:szCs w:val="21"/>
              </w:rPr>
            </w:pPr>
          </w:p>
        </w:tc>
        <w:tc>
          <w:tcPr>
            <w:tcW w:w="1512" w:type="dxa"/>
            <w:vAlign w:val="center"/>
          </w:tcPr>
          <w:p w14:paraId="0BF76E5F">
            <w:pPr>
              <w:spacing w:line="360" w:lineRule="auto"/>
              <w:ind w:leftChars="-35" w:hanging="73" w:hangingChars="35"/>
              <w:jc w:val="center"/>
              <w:rPr>
                <w:rFonts w:ascii="宋体" w:hAnsi="宋体" w:cs="宋体"/>
                <w:color w:val="auto"/>
                <w:szCs w:val="21"/>
              </w:rPr>
            </w:pPr>
          </w:p>
        </w:tc>
        <w:tc>
          <w:tcPr>
            <w:tcW w:w="1051" w:type="dxa"/>
            <w:vAlign w:val="center"/>
          </w:tcPr>
          <w:p w14:paraId="64B3FC0B">
            <w:pPr>
              <w:spacing w:line="360" w:lineRule="auto"/>
              <w:ind w:leftChars="-35" w:hanging="73" w:hangingChars="35"/>
              <w:jc w:val="center"/>
              <w:rPr>
                <w:rFonts w:ascii="宋体" w:hAnsi="宋体" w:cs="宋体"/>
                <w:color w:val="auto"/>
                <w:szCs w:val="21"/>
              </w:rPr>
            </w:pPr>
          </w:p>
        </w:tc>
        <w:tc>
          <w:tcPr>
            <w:tcW w:w="1020" w:type="dxa"/>
            <w:vAlign w:val="center"/>
          </w:tcPr>
          <w:p w14:paraId="00B1F730">
            <w:pPr>
              <w:spacing w:line="360" w:lineRule="auto"/>
              <w:ind w:leftChars="-35" w:hanging="73" w:hangingChars="35"/>
              <w:jc w:val="center"/>
              <w:rPr>
                <w:rFonts w:ascii="宋体" w:hAnsi="宋体" w:cs="宋体"/>
                <w:color w:val="auto"/>
                <w:szCs w:val="21"/>
              </w:rPr>
            </w:pPr>
          </w:p>
        </w:tc>
        <w:tc>
          <w:tcPr>
            <w:tcW w:w="849" w:type="dxa"/>
            <w:vAlign w:val="center"/>
          </w:tcPr>
          <w:p w14:paraId="79D9FC8A">
            <w:pPr>
              <w:spacing w:line="360" w:lineRule="auto"/>
              <w:ind w:leftChars="-35" w:hanging="73" w:hangingChars="35"/>
              <w:jc w:val="center"/>
              <w:rPr>
                <w:rFonts w:ascii="宋体" w:hAnsi="宋体" w:cs="宋体"/>
                <w:color w:val="auto"/>
                <w:szCs w:val="21"/>
              </w:rPr>
            </w:pPr>
          </w:p>
        </w:tc>
        <w:tc>
          <w:tcPr>
            <w:tcW w:w="1134" w:type="dxa"/>
            <w:vAlign w:val="center"/>
          </w:tcPr>
          <w:p w14:paraId="0F88BB55">
            <w:pPr>
              <w:spacing w:line="360" w:lineRule="auto"/>
              <w:ind w:leftChars="-35" w:hanging="73" w:hangingChars="35"/>
              <w:jc w:val="center"/>
              <w:rPr>
                <w:rFonts w:ascii="宋体" w:hAnsi="宋体" w:cs="宋体"/>
                <w:color w:val="auto"/>
                <w:szCs w:val="21"/>
              </w:rPr>
            </w:pPr>
          </w:p>
        </w:tc>
        <w:tc>
          <w:tcPr>
            <w:tcW w:w="1277" w:type="dxa"/>
            <w:vAlign w:val="center"/>
          </w:tcPr>
          <w:p w14:paraId="64720A07">
            <w:pPr>
              <w:spacing w:line="360" w:lineRule="auto"/>
              <w:ind w:leftChars="-35" w:hanging="73" w:hangingChars="35"/>
              <w:jc w:val="center"/>
              <w:rPr>
                <w:rFonts w:ascii="宋体" w:hAnsi="宋体" w:cs="宋体"/>
                <w:color w:val="auto"/>
                <w:szCs w:val="21"/>
              </w:rPr>
            </w:pPr>
          </w:p>
        </w:tc>
        <w:tc>
          <w:tcPr>
            <w:tcW w:w="1116" w:type="dxa"/>
            <w:vAlign w:val="center"/>
          </w:tcPr>
          <w:p w14:paraId="0D12E816">
            <w:pPr>
              <w:spacing w:line="360" w:lineRule="auto"/>
              <w:ind w:leftChars="-35" w:hanging="73" w:hangingChars="35"/>
              <w:jc w:val="center"/>
              <w:rPr>
                <w:rFonts w:ascii="宋体" w:hAnsi="宋体" w:cs="宋体"/>
                <w:color w:val="auto"/>
                <w:szCs w:val="21"/>
              </w:rPr>
            </w:pPr>
          </w:p>
        </w:tc>
        <w:tc>
          <w:tcPr>
            <w:tcW w:w="756" w:type="dxa"/>
            <w:vAlign w:val="center"/>
          </w:tcPr>
          <w:p w14:paraId="78126C7E">
            <w:pPr>
              <w:spacing w:line="360" w:lineRule="auto"/>
              <w:ind w:leftChars="-35" w:hanging="73" w:hangingChars="35"/>
              <w:jc w:val="center"/>
              <w:rPr>
                <w:rFonts w:ascii="宋体" w:hAnsi="宋体" w:cs="宋体"/>
                <w:color w:val="auto"/>
                <w:szCs w:val="21"/>
              </w:rPr>
            </w:pPr>
          </w:p>
        </w:tc>
      </w:tr>
      <w:tr w14:paraId="17D540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8" w:hRule="atLeast"/>
          <w:jc w:val="center"/>
        </w:trPr>
        <w:tc>
          <w:tcPr>
            <w:tcW w:w="745" w:type="dxa"/>
            <w:vAlign w:val="center"/>
          </w:tcPr>
          <w:p w14:paraId="70ACDF43">
            <w:pPr>
              <w:spacing w:line="360" w:lineRule="auto"/>
              <w:ind w:leftChars="-35" w:hanging="73" w:hangingChars="35"/>
              <w:jc w:val="center"/>
              <w:rPr>
                <w:rFonts w:ascii="宋体" w:hAnsi="宋体" w:cs="宋体"/>
                <w:color w:val="auto"/>
                <w:szCs w:val="21"/>
              </w:rPr>
            </w:pPr>
          </w:p>
        </w:tc>
        <w:tc>
          <w:tcPr>
            <w:tcW w:w="1512" w:type="dxa"/>
            <w:vAlign w:val="center"/>
          </w:tcPr>
          <w:p w14:paraId="3340D24D">
            <w:pPr>
              <w:spacing w:line="360" w:lineRule="auto"/>
              <w:ind w:leftChars="-35" w:hanging="73" w:hangingChars="35"/>
              <w:jc w:val="center"/>
              <w:rPr>
                <w:rFonts w:ascii="宋体" w:hAnsi="宋体" w:cs="宋体"/>
                <w:color w:val="auto"/>
                <w:szCs w:val="21"/>
              </w:rPr>
            </w:pPr>
          </w:p>
        </w:tc>
        <w:tc>
          <w:tcPr>
            <w:tcW w:w="1051" w:type="dxa"/>
            <w:vAlign w:val="center"/>
          </w:tcPr>
          <w:p w14:paraId="615D8424">
            <w:pPr>
              <w:spacing w:line="360" w:lineRule="auto"/>
              <w:ind w:leftChars="-35" w:hanging="73" w:hangingChars="35"/>
              <w:jc w:val="center"/>
              <w:rPr>
                <w:rFonts w:ascii="宋体" w:hAnsi="宋体" w:cs="宋体"/>
                <w:color w:val="auto"/>
                <w:szCs w:val="21"/>
              </w:rPr>
            </w:pPr>
          </w:p>
        </w:tc>
        <w:tc>
          <w:tcPr>
            <w:tcW w:w="1020" w:type="dxa"/>
            <w:vAlign w:val="center"/>
          </w:tcPr>
          <w:p w14:paraId="3CC4E9B4">
            <w:pPr>
              <w:spacing w:line="360" w:lineRule="auto"/>
              <w:ind w:leftChars="-35" w:hanging="73" w:hangingChars="35"/>
              <w:jc w:val="center"/>
              <w:rPr>
                <w:rFonts w:ascii="宋体" w:hAnsi="宋体" w:cs="宋体"/>
                <w:color w:val="auto"/>
                <w:szCs w:val="21"/>
              </w:rPr>
            </w:pPr>
          </w:p>
        </w:tc>
        <w:tc>
          <w:tcPr>
            <w:tcW w:w="849" w:type="dxa"/>
            <w:vAlign w:val="center"/>
          </w:tcPr>
          <w:p w14:paraId="09B3CFF6">
            <w:pPr>
              <w:spacing w:line="360" w:lineRule="auto"/>
              <w:ind w:leftChars="-35" w:hanging="73" w:hangingChars="35"/>
              <w:jc w:val="center"/>
              <w:rPr>
                <w:rFonts w:ascii="宋体" w:hAnsi="宋体" w:cs="宋体"/>
                <w:color w:val="auto"/>
                <w:szCs w:val="21"/>
              </w:rPr>
            </w:pPr>
          </w:p>
        </w:tc>
        <w:tc>
          <w:tcPr>
            <w:tcW w:w="1134" w:type="dxa"/>
            <w:vAlign w:val="center"/>
          </w:tcPr>
          <w:p w14:paraId="03D8C5DD">
            <w:pPr>
              <w:spacing w:line="360" w:lineRule="auto"/>
              <w:ind w:leftChars="-35" w:hanging="73" w:hangingChars="35"/>
              <w:jc w:val="center"/>
              <w:rPr>
                <w:rFonts w:ascii="宋体" w:hAnsi="宋体" w:cs="宋体"/>
                <w:color w:val="auto"/>
                <w:szCs w:val="21"/>
              </w:rPr>
            </w:pPr>
          </w:p>
        </w:tc>
        <w:tc>
          <w:tcPr>
            <w:tcW w:w="1277" w:type="dxa"/>
            <w:vAlign w:val="center"/>
          </w:tcPr>
          <w:p w14:paraId="4070EC7D">
            <w:pPr>
              <w:spacing w:line="360" w:lineRule="auto"/>
              <w:ind w:leftChars="-35" w:hanging="73" w:hangingChars="35"/>
              <w:jc w:val="center"/>
              <w:rPr>
                <w:rFonts w:ascii="宋体" w:hAnsi="宋体" w:cs="宋体"/>
                <w:color w:val="auto"/>
                <w:szCs w:val="21"/>
              </w:rPr>
            </w:pPr>
          </w:p>
        </w:tc>
        <w:tc>
          <w:tcPr>
            <w:tcW w:w="1116" w:type="dxa"/>
            <w:vAlign w:val="center"/>
          </w:tcPr>
          <w:p w14:paraId="5709CCBA">
            <w:pPr>
              <w:spacing w:line="360" w:lineRule="auto"/>
              <w:ind w:leftChars="-35" w:hanging="73" w:hangingChars="35"/>
              <w:jc w:val="center"/>
              <w:rPr>
                <w:rFonts w:ascii="宋体" w:hAnsi="宋体" w:cs="宋体"/>
                <w:color w:val="auto"/>
                <w:szCs w:val="21"/>
              </w:rPr>
            </w:pPr>
          </w:p>
        </w:tc>
        <w:tc>
          <w:tcPr>
            <w:tcW w:w="756" w:type="dxa"/>
            <w:vAlign w:val="center"/>
          </w:tcPr>
          <w:p w14:paraId="2D5C36E0">
            <w:pPr>
              <w:spacing w:line="360" w:lineRule="auto"/>
              <w:ind w:leftChars="-35" w:hanging="73" w:hangingChars="35"/>
              <w:jc w:val="center"/>
              <w:rPr>
                <w:rFonts w:ascii="宋体" w:hAnsi="宋体" w:cs="宋体"/>
                <w:color w:val="auto"/>
                <w:szCs w:val="21"/>
              </w:rPr>
            </w:pPr>
          </w:p>
        </w:tc>
      </w:tr>
      <w:tr w14:paraId="297E82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7" w:hRule="atLeast"/>
          <w:jc w:val="center"/>
        </w:trPr>
        <w:tc>
          <w:tcPr>
            <w:tcW w:w="745" w:type="dxa"/>
            <w:vAlign w:val="center"/>
          </w:tcPr>
          <w:p w14:paraId="6618C953">
            <w:pPr>
              <w:spacing w:line="360" w:lineRule="auto"/>
              <w:ind w:leftChars="-35" w:hanging="73" w:hangingChars="35"/>
              <w:jc w:val="center"/>
              <w:rPr>
                <w:rFonts w:ascii="宋体" w:hAnsi="宋体" w:cs="宋体"/>
                <w:color w:val="auto"/>
                <w:szCs w:val="21"/>
              </w:rPr>
            </w:pPr>
          </w:p>
        </w:tc>
        <w:tc>
          <w:tcPr>
            <w:tcW w:w="1512" w:type="dxa"/>
            <w:vAlign w:val="center"/>
          </w:tcPr>
          <w:p w14:paraId="7C9A7444">
            <w:pPr>
              <w:spacing w:line="360" w:lineRule="auto"/>
              <w:ind w:leftChars="-35" w:hanging="73" w:hangingChars="35"/>
              <w:jc w:val="center"/>
              <w:rPr>
                <w:rFonts w:ascii="宋体" w:hAnsi="宋体" w:cs="宋体"/>
                <w:color w:val="auto"/>
                <w:szCs w:val="21"/>
              </w:rPr>
            </w:pPr>
          </w:p>
        </w:tc>
        <w:tc>
          <w:tcPr>
            <w:tcW w:w="1051" w:type="dxa"/>
            <w:vAlign w:val="center"/>
          </w:tcPr>
          <w:p w14:paraId="16139BD6">
            <w:pPr>
              <w:spacing w:line="360" w:lineRule="auto"/>
              <w:ind w:leftChars="-35" w:hanging="73" w:hangingChars="35"/>
              <w:jc w:val="center"/>
              <w:rPr>
                <w:rFonts w:ascii="宋体" w:hAnsi="宋体" w:cs="宋体"/>
                <w:color w:val="auto"/>
                <w:szCs w:val="21"/>
              </w:rPr>
            </w:pPr>
          </w:p>
        </w:tc>
        <w:tc>
          <w:tcPr>
            <w:tcW w:w="1020" w:type="dxa"/>
            <w:vAlign w:val="center"/>
          </w:tcPr>
          <w:p w14:paraId="1539863A">
            <w:pPr>
              <w:spacing w:line="360" w:lineRule="auto"/>
              <w:ind w:leftChars="-35" w:hanging="73" w:hangingChars="35"/>
              <w:jc w:val="center"/>
              <w:rPr>
                <w:rFonts w:ascii="宋体" w:hAnsi="宋体" w:cs="宋体"/>
                <w:color w:val="auto"/>
                <w:szCs w:val="21"/>
              </w:rPr>
            </w:pPr>
          </w:p>
        </w:tc>
        <w:tc>
          <w:tcPr>
            <w:tcW w:w="849" w:type="dxa"/>
            <w:vAlign w:val="center"/>
          </w:tcPr>
          <w:p w14:paraId="3EBB7BC2">
            <w:pPr>
              <w:spacing w:line="360" w:lineRule="auto"/>
              <w:ind w:leftChars="-35" w:hanging="73" w:hangingChars="35"/>
              <w:jc w:val="center"/>
              <w:rPr>
                <w:rFonts w:ascii="宋体" w:hAnsi="宋体" w:cs="宋体"/>
                <w:color w:val="auto"/>
                <w:szCs w:val="21"/>
              </w:rPr>
            </w:pPr>
          </w:p>
        </w:tc>
        <w:tc>
          <w:tcPr>
            <w:tcW w:w="1134" w:type="dxa"/>
            <w:vAlign w:val="center"/>
          </w:tcPr>
          <w:p w14:paraId="11CDB594">
            <w:pPr>
              <w:spacing w:line="360" w:lineRule="auto"/>
              <w:ind w:leftChars="-35" w:hanging="73" w:hangingChars="35"/>
              <w:jc w:val="center"/>
              <w:rPr>
                <w:rFonts w:ascii="宋体" w:hAnsi="宋体" w:cs="宋体"/>
                <w:color w:val="auto"/>
                <w:szCs w:val="21"/>
              </w:rPr>
            </w:pPr>
          </w:p>
        </w:tc>
        <w:tc>
          <w:tcPr>
            <w:tcW w:w="1277" w:type="dxa"/>
            <w:vAlign w:val="center"/>
          </w:tcPr>
          <w:p w14:paraId="2E771804">
            <w:pPr>
              <w:spacing w:line="360" w:lineRule="auto"/>
              <w:ind w:leftChars="-35" w:hanging="73" w:hangingChars="35"/>
              <w:jc w:val="center"/>
              <w:rPr>
                <w:rFonts w:ascii="宋体" w:hAnsi="宋体" w:cs="宋体"/>
                <w:color w:val="auto"/>
                <w:szCs w:val="21"/>
              </w:rPr>
            </w:pPr>
          </w:p>
        </w:tc>
        <w:tc>
          <w:tcPr>
            <w:tcW w:w="1116" w:type="dxa"/>
            <w:vAlign w:val="center"/>
          </w:tcPr>
          <w:p w14:paraId="113B81E8">
            <w:pPr>
              <w:spacing w:line="360" w:lineRule="auto"/>
              <w:ind w:leftChars="-35" w:hanging="73" w:hangingChars="35"/>
              <w:jc w:val="center"/>
              <w:rPr>
                <w:rFonts w:ascii="宋体" w:hAnsi="宋体" w:cs="宋体"/>
                <w:color w:val="auto"/>
                <w:szCs w:val="21"/>
              </w:rPr>
            </w:pPr>
          </w:p>
        </w:tc>
        <w:tc>
          <w:tcPr>
            <w:tcW w:w="756" w:type="dxa"/>
            <w:vAlign w:val="center"/>
          </w:tcPr>
          <w:p w14:paraId="36CB8A73">
            <w:pPr>
              <w:spacing w:line="360" w:lineRule="auto"/>
              <w:ind w:leftChars="-35" w:hanging="73" w:hangingChars="35"/>
              <w:jc w:val="center"/>
              <w:rPr>
                <w:rFonts w:ascii="宋体" w:hAnsi="宋体" w:cs="宋体"/>
                <w:color w:val="auto"/>
                <w:szCs w:val="21"/>
              </w:rPr>
            </w:pPr>
          </w:p>
        </w:tc>
      </w:tr>
    </w:tbl>
    <w:p w14:paraId="62E5ECA7">
      <w:pPr>
        <w:spacing w:line="360" w:lineRule="auto"/>
        <w:rPr>
          <w:rFonts w:ascii="宋体" w:hAnsi="宋体" w:cs="宋体"/>
          <w:b/>
          <w:color w:val="auto"/>
          <w:szCs w:val="21"/>
        </w:rPr>
        <w:sectPr>
          <w:pgSz w:w="11907" w:h="16840"/>
          <w:pgMar w:top="1304" w:right="1134" w:bottom="1134" w:left="1304" w:header="851" w:footer="851" w:gutter="0"/>
          <w:cols w:space="720" w:num="1"/>
          <w:docGrid w:linePitch="312" w:charSpace="0"/>
        </w:sectPr>
      </w:pPr>
    </w:p>
    <w:p w14:paraId="43C19698">
      <w:pPr>
        <w:jc w:val="left"/>
        <w:rPr>
          <w:bCs/>
          <w:color w:val="auto"/>
          <w:spacing w:val="10"/>
          <w:sz w:val="24"/>
        </w:rPr>
      </w:pPr>
    </w:p>
    <w:p w14:paraId="499455C1">
      <w:pPr>
        <w:spacing w:line="360" w:lineRule="auto"/>
        <w:rPr>
          <w:rFonts w:ascii="宋体" w:hAnsi="宋体" w:cs="宋体"/>
          <w:b/>
          <w:color w:val="auto"/>
          <w:szCs w:val="21"/>
        </w:rPr>
      </w:pPr>
      <w:r>
        <w:rPr>
          <w:rFonts w:hint="eastAsia" w:ascii="宋体" w:hAnsi="宋体" w:cs="宋体"/>
          <w:b/>
          <w:color w:val="auto"/>
          <w:szCs w:val="21"/>
        </w:rPr>
        <w:t>附件2：</w:t>
      </w:r>
    </w:p>
    <w:p w14:paraId="2285DC85">
      <w:pPr>
        <w:spacing w:beforeLines="50" w:afterLines="50" w:line="360" w:lineRule="auto"/>
        <w:jc w:val="center"/>
        <w:rPr>
          <w:rFonts w:ascii="宋体" w:hAnsi="宋体" w:cs="宋体"/>
          <w:color w:val="auto"/>
          <w:sz w:val="32"/>
          <w:szCs w:val="32"/>
        </w:rPr>
      </w:pPr>
      <w:r>
        <w:rPr>
          <w:rFonts w:hint="eastAsia" w:ascii="宋体" w:hAnsi="宋体" w:cs="宋体"/>
          <w:color w:val="auto"/>
          <w:sz w:val="32"/>
          <w:szCs w:val="32"/>
        </w:rPr>
        <w:t>承包人主要施工管理人员表</w:t>
      </w:r>
    </w:p>
    <w:tbl>
      <w:tblPr>
        <w:tblStyle w:val="4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95"/>
        <w:gridCol w:w="1094"/>
        <w:gridCol w:w="1434"/>
        <w:gridCol w:w="1433"/>
        <w:gridCol w:w="3584"/>
      </w:tblGrid>
      <w:tr w14:paraId="292667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05" w:hRule="atLeast"/>
          <w:jc w:val="center"/>
        </w:trPr>
        <w:tc>
          <w:tcPr>
            <w:tcW w:w="1895" w:type="dxa"/>
            <w:tcBorders>
              <w:top w:val="single" w:color="auto" w:sz="12" w:space="0"/>
              <w:bottom w:val="double" w:color="auto" w:sz="6" w:space="0"/>
            </w:tcBorders>
            <w:vAlign w:val="center"/>
          </w:tcPr>
          <w:p w14:paraId="16ECB108">
            <w:pPr>
              <w:keepNext/>
              <w:spacing w:after="120" w:line="360" w:lineRule="auto"/>
              <w:ind w:left="63" w:right="63"/>
              <w:rPr>
                <w:rFonts w:ascii="宋体" w:hAnsi="宋体" w:cs="宋体"/>
                <w:color w:val="auto"/>
                <w:szCs w:val="21"/>
              </w:rPr>
            </w:pPr>
            <w:r>
              <w:rPr>
                <w:rFonts w:hint="eastAsia" w:ascii="宋体" w:hAnsi="宋体" w:cs="宋体"/>
                <w:color w:val="auto"/>
                <w:szCs w:val="21"/>
              </w:rPr>
              <w:t>名    称</w:t>
            </w:r>
          </w:p>
        </w:tc>
        <w:tc>
          <w:tcPr>
            <w:tcW w:w="1094" w:type="dxa"/>
            <w:tcBorders>
              <w:top w:val="single" w:color="auto" w:sz="12" w:space="0"/>
              <w:bottom w:val="double" w:color="auto" w:sz="6" w:space="0"/>
            </w:tcBorders>
            <w:vAlign w:val="center"/>
          </w:tcPr>
          <w:p w14:paraId="5EA20F81">
            <w:pPr>
              <w:keepNext/>
              <w:spacing w:after="120" w:line="360" w:lineRule="auto"/>
              <w:ind w:left="63" w:right="63"/>
              <w:rPr>
                <w:rFonts w:ascii="宋体" w:hAnsi="宋体" w:cs="宋体"/>
                <w:color w:val="auto"/>
                <w:szCs w:val="21"/>
              </w:rPr>
            </w:pPr>
            <w:r>
              <w:rPr>
                <w:rFonts w:hint="eastAsia" w:ascii="宋体" w:hAnsi="宋体" w:cs="宋体"/>
                <w:color w:val="auto"/>
                <w:szCs w:val="21"/>
              </w:rPr>
              <w:t>姓名</w:t>
            </w:r>
          </w:p>
        </w:tc>
        <w:tc>
          <w:tcPr>
            <w:tcW w:w="1434" w:type="dxa"/>
            <w:tcBorders>
              <w:top w:val="single" w:color="auto" w:sz="12" w:space="0"/>
              <w:bottom w:val="double" w:color="auto" w:sz="6" w:space="0"/>
            </w:tcBorders>
            <w:vAlign w:val="center"/>
          </w:tcPr>
          <w:p w14:paraId="2B50603A">
            <w:pPr>
              <w:keepNext/>
              <w:spacing w:after="120" w:line="360" w:lineRule="auto"/>
              <w:ind w:left="63" w:right="63"/>
              <w:rPr>
                <w:rFonts w:ascii="宋体" w:hAnsi="宋体" w:cs="宋体"/>
                <w:color w:val="auto"/>
                <w:szCs w:val="21"/>
              </w:rPr>
            </w:pPr>
            <w:r>
              <w:rPr>
                <w:rFonts w:hint="eastAsia" w:ascii="宋体" w:hAnsi="宋体" w:cs="宋体"/>
                <w:color w:val="auto"/>
                <w:szCs w:val="21"/>
              </w:rPr>
              <w:t>职务</w:t>
            </w:r>
          </w:p>
        </w:tc>
        <w:tc>
          <w:tcPr>
            <w:tcW w:w="1433" w:type="dxa"/>
            <w:tcBorders>
              <w:top w:val="single" w:color="auto" w:sz="12" w:space="0"/>
              <w:bottom w:val="double" w:color="auto" w:sz="6" w:space="0"/>
            </w:tcBorders>
            <w:vAlign w:val="center"/>
          </w:tcPr>
          <w:p w14:paraId="2CD63BEA">
            <w:pPr>
              <w:keepNext/>
              <w:spacing w:after="120" w:line="360" w:lineRule="auto"/>
              <w:ind w:left="63" w:right="63"/>
              <w:rPr>
                <w:rFonts w:ascii="宋体" w:hAnsi="宋体" w:cs="宋体"/>
                <w:color w:val="auto"/>
                <w:szCs w:val="21"/>
              </w:rPr>
            </w:pPr>
            <w:r>
              <w:rPr>
                <w:rFonts w:hint="eastAsia" w:ascii="宋体" w:hAnsi="宋体" w:cs="宋体"/>
                <w:color w:val="auto"/>
                <w:szCs w:val="21"/>
              </w:rPr>
              <w:t>职称</w:t>
            </w:r>
          </w:p>
        </w:tc>
        <w:tc>
          <w:tcPr>
            <w:tcW w:w="3584" w:type="dxa"/>
            <w:tcBorders>
              <w:top w:val="single" w:color="auto" w:sz="12" w:space="0"/>
              <w:bottom w:val="double" w:color="auto" w:sz="6" w:space="0"/>
            </w:tcBorders>
            <w:vAlign w:val="center"/>
          </w:tcPr>
          <w:p w14:paraId="1B8F6855">
            <w:pPr>
              <w:keepNext/>
              <w:spacing w:after="120" w:line="360" w:lineRule="auto"/>
              <w:ind w:left="63" w:right="63"/>
              <w:rPr>
                <w:rFonts w:ascii="宋体" w:hAnsi="宋体" w:cs="宋体"/>
                <w:color w:val="auto"/>
                <w:szCs w:val="21"/>
              </w:rPr>
            </w:pPr>
            <w:r>
              <w:rPr>
                <w:rFonts w:hint="eastAsia" w:ascii="宋体" w:hAnsi="宋体" w:cs="宋体"/>
                <w:color w:val="auto"/>
                <w:szCs w:val="21"/>
              </w:rPr>
              <w:t>主要资历、经验及承担过的项目</w:t>
            </w:r>
          </w:p>
        </w:tc>
      </w:tr>
      <w:tr w14:paraId="70EEC9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7" w:hRule="atLeast"/>
          <w:jc w:val="center"/>
        </w:trPr>
        <w:tc>
          <w:tcPr>
            <w:tcW w:w="9440" w:type="dxa"/>
            <w:gridSpan w:val="5"/>
            <w:tcBorders>
              <w:top w:val="double" w:color="auto" w:sz="6" w:space="0"/>
              <w:bottom w:val="single" w:color="auto" w:sz="6" w:space="0"/>
            </w:tcBorders>
            <w:vAlign w:val="center"/>
          </w:tcPr>
          <w:p w14:paraId="435007DE">
            <w:pPr>
              <w:keepNext/>
              <w:spacing w:after="120" w:line="360" w:lineRule="auto"/>
              <w:ind w:left="63" w:right="63"/>
              <w:rPr>
                <w:rFonts w:ascii="宋体" w:hAnsi="宋体" w:cs="宋体"/>
                <w:color w:val="auto"/>
                <w:szCs w:val="21"/>
              </w:rPr>
            </w:pPr>
            <w:r>
              <w:rPr>
                <w:rFonts w:hint="eastAsia" w:ascii="宋体" w:hAnsi="宋体" w:cs="宋体"/>
                <w:color w:val="auto"/>
                <w:szCs w:val="21"/>
              </w:rPr>
              <w:t>一、总部人员</w:t>
            </w:r>
          </w:p>
        </w:tc>
      </w:tr>
      <w:tr w14:paraId="6C2A9B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5" w:hRule="atLeast"/>
          <w:jc w:val="center"/>
        </w:trPr>
        <w:tc>
          <w:tcPr>
            <w:tcW w:w="1895" w:type="dxa"/>
            <w:tcBorders>
              <w:top w:val="nil"/>
              <w:bottom w:val="nil"/>
            </w:tcBorders>
            <w:vAlign w:val="center"/>
          </w:tcPr>
          <w:p w14:paraId="21B36CAD">
            <w:pPr>
              <w:keepNext/>
              <w:spacing w:after="120" w:line="360" w:lineRule="auto"/>
              <w:ind w:left="63" w:right="63"/>
              <w:rPr>
                <w:rFonts w:ascii="宋体" w:hAnsi="宋体" w:cs="宋体"/>
                <w:color w:val="auto"/>
                <w:szCs w:val="21"/>
              </w:rPr>
            </w:pPr>
            <w:r>
              <w:rPr>
                <w:rFonts w:hint="eastAsia" w:ascii="宋体" w:hAnsi="宋体" w:cs="宋体"/>
                <w:color w:val="auto"/>
                <w:szCs w:val="21"/>
              </w:rPr>
              <w:t>项目主管</w:t>
            </w:r>
          </w:p>
        </w:tc>
        <w:tc>
          <w:tcPr>
            <w:tcW w:w="1094" w:type="dxa"/>
            <w:tcBorders>
              <w:top w:val="nil"/>
            </w:tcBorders>
            <w:vAlign w:val="center"/>
          </w:tcPr>
          <w:p w14:paraId="1389C1B4">
            <w:pPr>
              <w:keepNext/>
              <w:spacing w:after="120" w:line="360" w:lineRule="auto"/>
              <w:ind w:left="63" w:right="63"/>
              <w:rPr>
                <w:rFonts w:ascii="宋体" w:hAnsi="宋体" w:cs="宋体"/>
                <w:color w:val="auto"/>
                <w:szCs w:val="21"/>
              </w:rPr>
            </w:pPr>
          </w:p>
        </w:tc>
        <w:tc>
          <w:tcPr>
            <w:tcW w:w="1434" w:type="dxa"/>
            <w:tcBorders>
              <w:top w:val="nil"/>
            </w:tcBorders>
            <w:vAlign w:val="center"/>
          </w:tcPr>
          <w:p w14:paraId="1E58D6CB">
            <w:pPr>
              <w:keepNext/>
              <w:spacing w:after="120" w:line="360" w:lineRule="auto"/>
              <w:ind w:left="63" w:right="63"/>
              <w:rPr>
                <w:rFonts w:ascii="宋体" w:hAnsi="宋体" w:cs="宋体"/>
                <w:color w:val="auto"/>
                <w:szCs w:val="21"/>
              </w:rPr>
            </w:pPr>
          </w:p>
        </w:tc>
        <w:tc>
          <w:tcPr>
            <w:tcW w:w="1433" w:type="dxa"/>
            <w:tcBorders>
              <w:top w:val="nil"/>
            </w:tcBorders>
            <w:vAlign w:val="center"/>
          </w:tcPr>
          <w:p w14:paraId="3D700CBB">
            <w:pPr>
              <w:keepNext/>
              <w:spacing w:after="120" w:line="360" w:lineRule="auto"/>
              <w:ind w:left="63" w:right="63"/>
              <w:rPr>
                <w:rFonts w:ascii="宋体" w:hAnsi="宋体" w:cs="宋体"/>
                <w:color w:val="auto"/>
                <w:szCs w:val="21"/>
              </w:rPr>
            </w:pPr>
          </w:p>
        </w:tc>
        <w:tc>
          <w:tcPr>
            <w:tcW w:w="3584" w:type="dxa"/>
            <w:tcBorders>
              <w:top w:val="nil"/>
            </w:tcBorders>
            <w:vAlign w:val="center"/>
          </w:tcPr>
          <w:p w14:paraId="62A54200">
            <w:pPr>
              <w:keepNext/>
              <w:spacing w:after="120" w:line="360" w:lineRule="auto"/>
              <w:ind w:left="63" w:right="63"/>
              <w:rPr>
                <w:rFonts w:ascii="宋体" w:hAnsi="宋体" w:cs="宋体"/>
                <w:color w:val="auto"/>
                <w:szCs w:val="21"/>
              </w:rPr>
            </w:pPr>
          </w:p>
        </w:tc>
      </w:tr>
      <w:tr w14:paraId="285C7F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5" w:hRule="atLeast"/>
          <w:jc w:val="center"/>
        </w:trPr>
        <w:tc>
          <w:tcPr>
            <w:tcW w:w="1895" w:type="dxa"/>
            <w:tcBorders>
              <w:top w:val="single" w:color="auto" w:sz="6" w:space="0"/>
              <w:bottom w:val="nil"/>
            </w:tcBorders>
            <w:vAlign w:val="center"/>
          </w:tcPr>
          <w:p w14:paraId="4EF9924A">
            <w:pPr>
              <w:keepNext/>
              <w:spacing w:after="120" w:line="360" w:lineRule="auto"/>
              <w:ind w:left="63" w:right="63"/>
              <w:rPr>
                <w:rFonts w:ascii="宋体" w:hAnsi="宋体" w:cs="宋体"/>
                <w:color w:val="auto"/>
                <w:szCs w:val="21"/>
              </w:rPr>
            </w:pPr>
          </w:p>
        </w:tc>
        <w:tc>
          <w:tcPr>
            <w:tcW w:w="1094" w:type="dxa"/>
            <w:vAlign w:val="center"/>
          </w:tcPr>
          <w:p w14:paraId="207E3971">
            <w:pPr>
              <w:keepNext/>
              <w:spacing w:after="120" w:line="360" w:lineRule="auto"/>
              <w:ind w:left="63" w:right="63"/>
              <w:rPr>
                <w:rFonts w:ascii="宋体" w:hAnsi="宋体" w:cs="宋体"/>
                <w:color w:val="auto"/>
                <w:szCs w:val="21"/>
              </w:rPr>
            </w:pPr>
          </w:p>
        </w:tc>
        <w:tc>
          <w:tcPr>
            <w:tcW w:w="1434" w:type="dxa"/>
            <w:vAlign w:val="center"/>
          </w:tcPr>
          <w:p w14:paraId="6119B10C">
            <w:pPr>
              <w:keepNext/>
              <w:spacing w:after="120" w:line="360" w:lineRule="auto"/>
              <w:ind w:left="63" w:right="63"/>
              <w:rPr>
                <w:rFonts w:ascii="宋体" w:hAnsi="宋体" w:cs="宋体"/>
                <w:color w:val="auto"/>
                <w:szCs w:val="21"/>
              </w:rPr>
            </w:pPr>
          </w:p>
        </w:tc>
        <w:tc>
          <w:tcPr>
            <w:tcW w:w="1433" w:type="dxa"/>
            <w:vAlign w:val="center"/>
          </w:tcPr>
          <w:p w14:paraId="3FD99C88">
            <w:pPr>
              <w:keepNext/>
              <w:spacing w:after="120" w:line="360" w:lineRule="auto"/>
              <w:ind w:left="63" w:right="63"/>
              <w:rPr>
                <w:rFonts w:ascii="宋体" w:hAnsi="宋体" w:cs="宋体"/>
                <w:color w:val="auto"/>
                <w:szCs w:val="21"/>
              </w:rPr>
            </w:pPr>
          </w:p>
        </w:tc>
        <w:tc>
          <w:tcPr>
            <w:tcW w:w="3584" w:type="dxa"/>
            <w:vAlign w:val="center"/>
          </w:tcPr>
          <w:p w14:paraId="7AD89C0B">
            <w:pPr>
              <w:keepNext/>
              <w:spacing w:after="120" w:line="360" w:lineRule="auto"/>
              <w:ind w:left="63" w:right="63"/>
              <w:rPr>
                <w:rFonts w:ascii="宋体" w:hAnsi="宋体" w:cs="宋体"/>
                <w:color w:val="auto"/>
                <w:szCs w:val="21"/>
              </w:rPr>
            </w:pPr>
          </w:p>
        </w:tc>
      </w:tr>
      <w:tr w14:paraId="0E68AF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5" w:hRule="atLeast"/>
          <w:jc w:val="center"/>
        </w:trPr>
        <w:tc>
          <w:tcPr>
            <w:tcW w:w="1895" w:type="dxa"/>
            <w:tcBorders>
              <w:top w:val="nil"/>
              <w:bottom w:val="nil"/>
            </w:tcBorders>
            <w:vAlign w:val="center"/>
          </w:tcPr>
          <w:p w14:paraId="7043F51A">
            <w:pPr>
              <w:keepNext/>
              <w:spacing w:after="120" w:line="360" w:lineRule="auto"/>
              <w:ind w:left="63" w:right="63"/>
              <w:rPr>
                <w:rFonts w:ascii="宋体" w:hAnsi="宋体" w:cs="宋体"/>
                <w:color w:val="auto"/>
                <w:szCs w:val="21"/>
              </w:rPr>
            </w:pPr>
            <w:r>
              <w:rPr>
                <w:rFonts w:hint="eastAsia" w:ascii="宋体" w:hAnsi="宋体" w:cs="宋体"/>
                <w:color w:val="auto"/>
                <w:szCs w:val="21"/>
              </w:rPr>
              <w:t>其他人员</w:t>
            </w:r>
          </w:p>
        </w:tc>
        <w:tc>
          <w:tcPr>
            <w:tcW w:w="1094" w:type="dxa"/>
            <w:vAlign w:val="center"/>
          </w:tcPr>
          <w:p w14:paraId="702927E5">
            <w:pPr>
              <w:keepNext/>
              <w:spacing w:after="120" w:line="360" w:lineRule="auto"/>
              <w:ind w:left="63" w:right="63"/>
              <w:rPr>
                <w:rFonts w:ascii="宋体" w:hAnsi="宋体" w:cs="宋体"/>
                <w:color w:val="auto"/>
                <w:szCs w:val="21"/>
              </w:rPr>
            </w:pPr>
          </w:p>
        </w:tc>
        <w:tc>
          <w:tcPr>
            <w:tcW w:w="1434" w:type="dxa"/>
            <w:vAlign w:val="center"/>
          </w:tcPr>
          <w:p w14:paraId="6B48C04C">
            <w:pPr>
              <w:keepNext/>
              <w:spacing w:after="120" w:line="360" w:lineRule="auto"/>
              <w:ind w:left="63" w:right="63"/>
              <w:rPr>
                <w:rFonts w:ascii="宋体" w:hAnsi="宋体" w:cs="宋体"/>
                <w:color w:val="auto"/>
                <w:szCs w:val="21"/>
              </w:rPr>
            </w:pPr>
          </w:p>
        </w:tc>
        <w:tc>
          <w:tcPr>
            <w:tcW w:w="1433" w:type="dxa"/>
            <w:vAlign w:val="center"/>
          </w:tcPr>
          <w:p w14:paraId="757E61B3">
            <w:pPr>
              <w:keepNext/>
              <w:spacing w:after="120" w:line="360" w:lineRule="auto"/>
              <w:ind w:left="63" w:right="63"/>
              <w:rPr>
                <w:rFonts w:ascii="宋体" w:hAnsi="宋体" w:cs="宋体"/>
                <w:color w:val="auto"/>
                <w:szCs w:val="21"/>
              </w:rPr>
            </w:pPr>
          </w:p>
        </w:tc>
        <w:tc>
          <w:tcPr>
            <w:tcW w:w="3584" w:type="dxa"/>
            <w:vAlign w:val="center"/>
          </w:tcPr>
          <w:p w14:paraId="02B9FD9C">
            <w:pPr>
              <w:keepNext/>
              <w:spacing w:after="120" w:line="360" w:lineRule="auto"/>
              <w:ind w:left="63" w:right="63"/>
              <w:rPr>
                <w:rFonts w:ascii="宋体" w:hAnsi="宋体" w:cs="宋体"/>
                <w:color w:val="auto"/>
                <w:szCs w:val="21"/>
              </w:rPr>
            </w:pPr>
          </w:p>
        </w:tc>
      </w:tr>
      <w:tr w14:paraId="1A7595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5" w:hRule="atLeast"/>
          <w:jc w:val="center"/>
        </w:trPr>
        <w:tc>
          <w:tcPr>
            <w:tcW w:w="1895" w:type="dxa"/>
            <w:tcBorders>
              <w:top w:val="nil"/>
              <w:bottom w:val="nil"/>
            </w:tcBorders>
            <w:vAlign w:val="center"/>
          </w:tcPr>
          <w:p w14:paraId="13F075D5">
            <w:pPr>
              <w:keepNext/>
              <w:spacing w:after="120" w:line="360" w:lineRule="auto"/>
              <w:ind w:left="63" w:right="63"/>
              <w:rPr>
                <w:rFonts w:ascii="宋体" w:hAnsi="宋体" w:cs="宋体"/>
                <w:color w:val="auto"/>
                <w:szCs w:val="21"/>
              </w:rPr>
            </w:pPr>
          </w:p>
        </w:tc>
        <w:tc>
          <w:tcPr>
            <w:tcW w:w="1094" w:type="dxa"/>
            <w:vAlign w:val="center"/>
          </w:tcPr>
          <w:p w14:paraId="6C90F4AE">
            <w:pPr>
              <w:keepNext/>
              <w:spacing w:after="120" w:line="360" w:lineRule="auto"/>
              <w:ind w:left="63" w:right="63"/>
              <w:rPr>
                <w:rFonts w:ascii="宋体" w:hAnsi="宋体" w:cs="宋体"/>
                <w:color w:val="auto"/>
                <w:szCs w:val="21"/>
              </w:rPr>
            </w:pPr>
          </w:p>
        </w:tc>
        <w:tc>
          <w:tcPr>
            <w:tcW w:w="1434" w:type="dxa"/>
            <w:vAlign w:val="center"/>
          </w:tcPr>
          <w:p w14:paraId="336157BC">
            <w:pPr>
              <w:keepNext/>
              <w:spacing w:after="120" w:line="360" w:lineRule="auto"/>
              <w:ind w:left="63" w:right="63"/>
              <w:rPr>
                <w:rFonts w:ascii="宋体" w:hAnsi="宋体" w:cs="宋体"/>
                <w:color w:val="auto"/>
                <w:szCs w:val="21"/>
              </w:rPr>
            </w:pPr>
          </w:p>
        </w:tc>
        <w:tc>
          <w:tcPr>
            <w:tcW w:w="1433" w:type="dxa"/>
            <w:vAlign w:val="center"/>
          </w:tcPr>
          <w:p w14:paraId="133AA055">
            <w:pPr>
              <w:keepNext/>
              <w:spacing w:after="120" w:line="360" w:lineRule="auto"/>
              <w:ind w:left="63" w:right="63"/>
              <w:rPr>
                <w:rFonts w:ascii="宋体" w:hAnsi="宋体" w:cs="宋体"/>
                <w:color w:val="auto"/>
                <w:szCs w:val="21"/>
              </w:rPr>
            </w:pPr>
          </w:p>
        </w:tc>
        <w:tc>
          <w:tcPr>
            <w:tcW w:w="3584" w:type="dxa"/>
            <w:vAlign w:val="center"/>
          </w:tcPr>
          <w:p w14:paraId="38215915">
            <w:pPr>
              <w:keepNext/>
              <w:spacing w:after="120" w:line="360" w:lineRule="auto"/>
              <w:ind w:left="63" w:right="63"/>
              <w:rPr>
                <w:rFonts w:ascii="宋体" w:hAnsi="宋体" w:cs="宋体"/>
                <w:color w:val="auto"/>
                <w:szCs w:val="21"/>
              </w:rPr>
            </w:pPr>
          </w:p>
        </w:tc>
      </w:tr>
      <w:tr w14:paraId="664A77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5" w:hRule="atLeast"/>
          <w:jc w:val="center"/>
        </w:trPr>
        <w:tc>
          <w:tcPr>
            <w:tcW w:w="9440" w:type="dxa"/>
            <w:gridSpan w:val="5"/>
            <w:tcBorders>
              <w:top w:val="single" w:color="auto" w:sz="6" w:space="0"/>
              <w:bottom w:val="single" w:color="auto" w:sz="6" w:space="0"/>
            </w:tcBorders>
            <w:vAlign w:val="center"/>
          </w:tcPr>
          <w:p w14:paraId="33F6C331">
            <w:pPr>
              <w:keepNext/>
              <w:spacing w:after="120" w:line="360" w:lineRule="auto"/>
              <w:ind w:left="63" w:right="63"/>
              <w:rPr>
                <w:rFonts w:ascii="宋体" w:hAnsi="宋体" w:cs="宋体"/>
                <w:color w:val="auto"/>
                <w:szCs w:val="21"/>
              </w:rPr>
            </w:pPr>
            <w:r>
              <w:rPr>
                <w:rFonts w:hint="eastAsia" w:ascii="宋体" w:hAnsi="宋体" w:cs="宋体"/>
                <w:color w:val="auto"/>
                <w:szCs w:val="21"/>
              </w:rPr>
              <w:t>二、现场人员</w:t>
            </w:r>
          </w:p>
        </w:tc>
      </w:tr>
      <w:tr w14:paraId="5DEF07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5" w:hRule="atLeast"/>
          <w:jc w:val="center"/>
        </w:trPr>
        <w:tc>
          <w:tcPr>
            <w:tcW w:w="1895" w:type="dxa"/>
            <w:tcBorders>
              <w:top w:val="single" w:color="auto" w:sz="6" w:space="0"/>
              <w:bottom w:val="single" w:color="auto" w:sz="6" w:space="0"/>
            </w:tcBorders>
            <w:vAlign w:val="center"/>
          </w:tcPr>
          <w:p w14:paraId="5F473FCD">
            <w:pPr>
              <w:keepNext/>
              <w:spacing w:after="120" w:line="360" w:lineRule="auto"/>
              <w:ind w:left="63" w:right="63"/>
              <w:rPr>
                <w:rFonts w:ascii="宋体" w:hAnsi="宋体" w:cs="宋体"/>
                <w:color w:val="auto"/>
                <w:szCs w:val="21"/>
              </w:rPr>
            </w:pPr>
          </w:p>
        </w:tc>
        <w:tc>
          <w:tcPr>
            <w:tcW w:w="1094" w:type="dxa"/>
            <w:vAlign w:val="center"/>
          </w:tcPr>
          <w:p w14:paraId="1F1361BA">
            <w:pPr>
              <w:keepNext/>
              <w:spacing w:after="120" w:line="360" w:lineRule="auto"/>
              <w:ind w:left="63" w:right="63"/>
              <w:rPr>
                <w:rFonts w:ascii="宋体" w:hAnsi="宋体" w:cs="宋体"/>
                <w:color w:val="auto"/>
                <w:szCs w:val="21"/>
              </w:rPr>
            </w:pPr>
          </w:p>
        </w:tc>
        <w:tc>
          <w:tcPr>
            <w:tcW w:w="1434" w:type="dxa"/>
            <w:vAlign w:val="center"/>
          </w:tcPr>
          <w:p w14:paraId="26E1B856">
            <w:pPr>
              <w:keepNext/>
              <w:spacing w:after="120" w:line="360" w:lineRule="auto"/>
              <w:ind w:left="63" w:right="63"/>
              <w:rPr>
                <w:rFonts w:ascii="宋体" w:hAnsi="宋体" w:cs="宋体"/>
                <w:color w:val="auto"/>
                <w:szCs w:val="21"/>
              </w:rPr>
            </w:pPr>
          </w:p>
        </w:tc>
        <w:tc>
          <w:tcPr>
            <w:tcW w:w="1433" w:type="dxa"/>
            <w:vAlign w:val="center"/>
          </w:tcPr>
          <w:p w14:paraId="1BC7670E">
            <w:pPr>
              <w:keepNext/>
              <w:spacing w:after="120" w:line="360" w:lineRule="auto"/>
              <w:ind w:left="63" w:right="63"/>
              <w:rPr>
                <w:rFonts w:ascii="宋体" w:hAnsi="宋体" w:cs="宋体"/>
                <w:color w:val="auto"/>
                <w:szCs w:val="21"/>
              </w:rPr>
            </w:pPr>
          </w:p>
        </w:tc>
        <w:tc>
          <w:tcPr>
            <w:tcW w:w="3584" w:type="dxa"/>
            <w:vAlign w:val="center"/>
          </w:tcPr>
          <w:p w14:paraId="3389971D">
            <w:pPr>
              <w:keepNext/>
              <w:spacing w:after="120" w:line="360" w:lineRule="auto"/>
              <w:ind w:left="63" w:right="63"/>
              <w:rPr>
                <w:rFonts w:ascii="宋体" w:hAnsi="宋体" w:cs="宋体"/>
                <w:color w:val="auto"/>
                <w:szCs w:val="21"/>
              </w:rPr>
            </w:pPr>
          </w:p>
        </w:tc>
      </w:tr>
      <w:tr w14:paraId="650AB0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5" w:hRule="atLeast"/>
          <w:jc w:val="center"/>
        </w:trPr>
        <w:tc>
          <w:tcPr>
            <w:tcW w:w="1895" w:type="dxa"/>
            <w:tcBorders>
              <w:top w:val="single" w:color="auto" w:sz="6" w:space="0"/>
              <w:bottom w:val="single" w:color="auto" w:sz="6" w:space="0"/>
            </w:tcBorders>
            <w:vAlign w:val="center"/>
          </w:tcPr>
          <w:p w14:paraId="78125D43">
            <w:pPr>
              <w:keepNext/>
              <w:spacing w:after="120" w:line="360" w:lineRule="auto"/>
              <w:ind w:left="63" w:right="63"/>
              <w:rPr>
                <w:rFonts w:ascii="宋体" w:hAnsi="宋体" w:cs="宋体"/>
                <w:color w:val="auto"/>
                <w:szCs w:val="21"/>
              </w:rPr>
            </w:pPr>
          </w:p>
        </w:tc>
        <w:tc>
          <w:tcPr>
            <w:tcW w:w="1094" w:type="dxa"/>
            <w:vAlign w:val="center"/>
          </w:tcPr>
          <w:p w14:paraId="7D803DC7">
            <w:pPr>
              <w:keepNext/>
              <w:spacing w:after="120" w:line="360" w:lineRule="auto"/>
              <w:ind w:left="63" w:right="63"/>
              <w:rPr>
                <w:rFonts w:ascii="宋体" w:hAnsi="宋体" w:cs="宋体"/>
                <w:color w:val="auto"/>
                <w:szCs w:val="21"/>
              </w:rPr>
            </w:pPr>
          </w:p>
        </w:tc>
        <w:tc>
          <w:tcPr>
            <w:tcW w:w="1434" w:type="dxa"/>
            <w:vAlign w:val="center"/>
          </w:tcPr>
          <w:p w14:paraId="28DFDF68">
            <w:pPr>
              <w:keepNext/>
              <w:spacing w:after="120" w:line="360" w:lineRule="auto"/>
              <w:ind w:left="63" w:right="63"/>
              <w:rPr>
                <w:rFonts w:ascii="宋体" w:hAnsi="宋体" w:cs="宋体"/>
                <w:color w:val="auto"/>
                <w:szCs w:val="21"/>
              </w:rPr>
            </w:pPr>
          </w:p>
        </w:tc>
        <w:tc>
          <w:tcPr>
            <w:tcW w:w="1433" w:type="dxa"/>
            <w:vAlign w:val="center"/>
          </w:tcPr>
          <w:p w14:paraId="075929CE">
            <w:pPr>
              <w:keepNext/>
              <w:spacing w:after="120" w:line="360" w:lineRule="auto"/>
              <w:ind w:left="63" w:right="63"/>
              <w:rPr>
                <w:rFonts w:ascii="宋体" w:hAnsi="宋体" w:cs="宋体"/>
                <w:color w:val="auto"/>
                <w:szCs w:val="21"/>
              </w:rPr>
            </w:pPr>
          </w:p>
        </w:tc>
        <w:tc>
          <w:tcPr>
            <w:tcW w:w="3584" w:type="dxa"/>
            <w:vAlign w:val="center"/>
          </w:tcPr>
          <w:p w14:paraId="0AF41A6A">
            <w:pPr>
              <w:keepNext/>
              <w:spacing w:after="120" w:line="360" w:lineRule="auto"/>
              <w:ind w:left="63" w:right="63"/>
              <w:rPr>
                <w:rFonts w:ascii="宋体" w:hAnsi="宋体" w:cs="宋体"/>
                <w:color w:val="auto"/>
                <w:szCs w:val="21"/>
              </w:rPr>
            </w:pPr>
          </w:p>
        </w:tc>
      </w:tr>
      <w:tr w14:paraId="37D732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5" w:hRule="atLeast"/>
          <w:jc w:val="center"/>
        </w:trPr>
        <w:tc>
          <w:tcPr>
            <w:tcW w:w="1895" w:type="dxa"/>
            <w:tcBorders>
              <w:top w:val="single" w:color="auto" w:sz="6" w:space="0"/>
              <w:bottom w:val="single" w:color="auto" w:sz="6" w:space="0"/>
            </w:tcBorders>
            <w:vAlign w:val="center"/>
          </w:tcPr>
          <w:p w14:paraId="5198C5F6">
            <w:pPr>
              <w:keepNext/>
              <w:spacing w:after="120" w:line="360" w:lineRule="auto"/>
              <w:ind w:left="63" w:right="63"/>
              <w:rPr>
                <w:rFonts w:ascii="宋体" w:hAnsi="宋体" w:cs="宋体"/>
                <w:color w:val="auto"/>
                <w:szCs w:val="21"/>
              </w:rPr>
            </w:pPr>
          </w:p>
        </w:tc>
        <w:tc>
          <w:tcPr>
            <w:tcW w:w="1094" w:type="dxa"/>
            <w:vAlign w:val="center"/>
          </w:tcPr>
          <w:p w14:paraId="54296BEE">
            <w:pPr>
              <w:keepNext/>
              <w:spacing w:after="120" w:line="360" w:lineRule="auto"/>
              <w:ind w:left="63" w:right="63"/>
              <w:rPr>
                <w:rFonts w:ascii="宋体" w:hAnsi="宋体" w:cs="宋体"/>
                <w:color w:val="auto"/>
                <w:szCs w:val="21"/>
              </w:rPr>
            </w:pPr>
          </w:p>
        </w:tc>
        <w:tc>
          <w:tcPr>
            <w:tcW w:w="1434" w:type="dxa"/>
            <w:vAlign w:val="center"/>
          </w:tcPr>
          <w:p w14:paraId="6695800A">
            <w:pPr>
              <w:keepNext/>
              <w:spacing w:after="120" w:line="360" w:lineRule="auto"/>
              <w:ind w:left="63" w:right="63"/>
              <w:rPr>
                <w:rFonts w:ascii="宋体" w:hAnsi="宋体" w:cs="宋体"/>
                <w:color w:val="auto"/>
                <w:szCs w:val="21"/>
              </w:rPr>
            </w:pPr>
          </w:p>
        </w:tc>
        <w:tc>
          <w:tcPr>
            <w:tcW w:w="1433" w:type="dxa"/>
            <w:vAlign w:val="center"/>
          </w:tcPr>
          <w:p w14:paraId="006149D1">
            <w:pPr>
              <w:keepNext/>
              <w:spacing w:after="120" w:line="360" w:lineRule="auto"/>
              <w:ind w:left="63" w:right="63"/>
              <w:rPr>
                <w:rFonts w:ascii="宋体" w:hAnsi="宋体" w:cs="宋体"/>
                <w:color w:val="auto"/>
                <w:szCs w:val="21"/>
              </w:rPr>
            </w:pPr>
          </w:p>
        </w:tc>
        <w:tc>
          <w:tcPr>
            <w:tcW w:w="3584" w:type="dxa"/>
            <w:vAlign w:val="center"/>
          </w:tcPr>
          <w:p w14:paraId="0E6C217C">
            <w:pPr>
              <w:keepNext/>
              <w:spacing w:after="120" w:line="360" w:lineRule="auto"/>
              <w:ind w:left="63" w:right="63"/>
              <w:rPr>
                <w:rFonts w:ascii="宋体" w:hAnsi="宋体" w:cs="宋体"/>
                <w:color w:val="auto"/>
                <w:szCs w:val="21"/>
              </w:rPr>
            </w:pPr>
          </w:p>
        </w:tc>
      </w:tr>
      <w:tr w14:paraId="4CDB10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5" w:hRule="atLeast"/>
          <w:jc w:val="center"/>
        </w:trPr>
        <w:tc>
          <w:tcPr>
            <w:tcW w:w="1895" w:type="dxa"/>
            <w:tcBorders>
              <w:top w:val="single" w:color="auto" w:sz="6" w:space="0"/>
              <w:bottom w:val="single" w:color="auto" w:sz="6" w:space="0"/>
            </w:tcBorders>
            <w:vAlign w:val="center"/>
          </w:tcPr>
          <w:p w14:paraId="36C2DF7E">
            <w:pPr>
              <w:keepNext/>
              <w:spacing w:after="120" w:line="360" w:lineRule="auto"/>
              <w:ind w:left="63" w:right="63"/>
              <w:rPr>
                <w:rFonts w:ascii="宋体" w:hAnsi="宋体" w:cs="宋体"/>
                <w:color w:val="auto"/>
                <w:szCs w:val="21"/>
              </w:rPr>
            </w:pPr>
          </w:p>
        </w:tc>
        <w:tc>
          <w:tcPr>
            <w:tcW w:w="1094" w:type="dxa"/>
            <w:vAlign w:val="center"/>
          </w:tcPr>
          <w:p w14:paraId="04C82294">
            <w:pPr>
              <w:keepNext/>
              <w:spacing w:after="120" w:line="360" w:lineRule="auto"/>
              <w:ind w:left="63" w:right="63"/>
              <w:rPr>
                <w:rFonts w:ascii="宋体" w:hAnsi="宋体" w:cs="宋体"/>
                <w:color w:val="auto"/>
                <w:szCs w:val="21"/>
              </w:rPr>
            </w:pPr>
          </w:p>
        </w:tc>
        <w:tc>
          <w:tcPr>
            <w:tcW w:w="1434" w:type="dxa"/>
            <w:vAlign w:val="center"/>
          </w:tcPr>
          <w:p w14:paraId="416282F2">
            <w:pPr>
              <w:keepNext/>
              <w:spacing w:after="120" w:line="360" w:lineRule="auto"/>
              <w:ind w:left="63" w:right="63"/>
              <w:rPr>
                <w:rFonts w:ascii="宋体" w:hAnsi="宋体" w:cs="宋体"/>
                <w:color w:val="auto"/>
                <w:szCs w:val="21"/>
              </w:rPr>
            </w:pPr>
          </w:p>
        </w:tc>
        <w:tc>
          <w:tcPr>
            <w:tcW w:w="1433" w:type="dxa"/>
            <w:vAlign w:val="center"/>
          </w:tcPr>
          <w:p w14:paraId="6739D32C">
            <w:pPr>
              <w:keepNext/>
              <w:spacing w:after="120" w:line="360" w:lineRule="auto"/>
              <w:ind w:left="63" w:right="63"/>
              <w:rPr>
                <w:rFonts w:ascii="宋体" w:hAnsi="宋体" w:cs="宋体"/>
                <w:color w:val="auto"/>
                <w:szCs w:val="21"/>
              </w:rPr>
            </w:pPr>
          </w:p>
        </w:tc>
        <w:tc>
          <w:tcPr>
            <w:tcW w:w="3584" w:type="dxa"/>
            <w:vAlign w:val="center"/>
          </w:tcPr>
          <w:p w14:paraId="332514F8">
            <w:pPr>
              <w:keepNext/>
              <w:spacing w:after="120" w:line="360" w:lineRule="auto"/>
              <w:ind w:left="63" w:right="63"/>
              <w:rPr>
                <w:rFonts w:ascii="宋体" w:hAnsi="宋体" w:cs="宋体"/>
                <w:color w:val="auto"/>
                <w:szCs w:val="21"/>
              </w:rPr>
            </w:pPr>
          </w:p>
        </w:tc>
      </w:tr>
      <w:tr w14:paraId="5F6B1A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5" w:hRule="atLeast"/>
          <w:jc w:val="center"/>
        </w:trPr>
        <w:tc>
          <w:tcPr>
            <w:tcW w:w="1895" w:type="dxa"/>
            <w:tcBorders>
              <w:top w:val="single" w:color="auto" w:sz="6" w:space="0"/>
              <w:bottom w:val="single" w:color="auto" w:sz="6" w:space="0"/>
            </w:tcBorders>
            <w:vAlign w:val="center"/>
          </w:tcPr>
          <w:p w14:paraId="09651E41">
            <w:pPr>
              <w:keepNext/>
              <w:spacing w:after="120" w:line="360" w:lineRule="auto"/>
              <w:ind w:left="63" w:right="63"/>
              <w:rPr>
                <w:rFonts w:ascii="宋体" w:hAnsi="宋体" w:cs="宋体"/>
                <w:color w:val="auto"/>
                <w:szCs w:val="21"/>
              </w:rPr>
            </w:pPr>
          </w:p>
        </w:tc>
        <w:tc>
          <w:tcPr>
            <w:tcW w:w="1094" w:type="dxa"/>
            <w:vAlign w:val="center"/>
          </w:tcPr>
          <w:p w14:paraId="6B685CC6">
            <w:pPr>
              <w:keepNext/>
              <w:spacing w:after="120" w:line="360" w:lineRule="auto"/>
              <w:ind w:left="63" w:right="63"/>
              <w:rPr>
                <w:rFonts w:ascii="宋体" w:hAnsi="宋体" w:cs="宋体"/>
                <w:color w:val="auto"/>
                <w:szCs w:val="21"/>
              </w:rPr>
            </w:pPr>
          </w:p>
        </w:tc>
        <w:tc>
          <w:tcPr>
            <w:tcW w:w="1434" w:type="dxa"/>
            <w:vAlign w:val="center"/>
          </w:tcPr>
          <w:p w14:paraId="50DD0646">
            <w:pPr>
              <w:keepNext/>
              <w:spacing w:after="120" w:line="360" w:lineRule="auto"/>
              <w:ind w:left="63" w:right="63"/>
              <w:rPr>
                <w:rFonts w:ascii="宋体" w:hAnsi="宋体" w:cs="宋体"/>
                <w:color w:val="auto"/>
                <w:szCs w:val="21"/>
              </w:rPr>
            </w:pPr>
          </w:p>
        </w:tc>
        <w:tc>
          <w:tcPr>
            <w:tcW w:w="1433" w:type="dxa"/>
            <w:vAlign w:val="center"/>
          </w:tcPr>
          <w:p w14:paraId="30E17E07">
            <w:pPr>
              <w:keepNext/>
              <w:spacing w:after="120" w:line="360" w:lineRule="auto"/>
              <w:ind w:left="63" w:right="63"/>
              <w:rPr>
                <w:rFonts w:ascii="宋体" w:hAnsi="宋体" w:cs="宋体"/>
                <w:color w:val="auto"/>
                <w:szCs w:val="21"/>
              </w:rPr>
            </w:pPr>
          </w:p>
        </w:tc>
        <w:tc>
          <w:tcPr>
            <w:tcW w:w="3584" w:type="dxa"/>
            <w:vAlign w:val="center"/>
          </w:tcPr>
          <w:p w14:paraId="628290AA">
            <w:pPr>
              <w:keepNext/>
              <w:spacing w:after="120" w:line="360" w:lineRule="auto"/>
              <w:ind w:left="63" w:right="63"/>
              <w:rPr>
                <w:rFonts w:ascii="宋体" w:hAnsi="宋体" w:cs="宋体"/>
                <w:color w:val="auto"/>
                <w:szCs w:val="21"/>
              </w:rPr>
            </w:pPr>
          </w:p>
        </w:tc>
      </w:tr>
      <w:tr w14:paraId="3994A9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5" w:hRule="atLeast"/>
          <w:jc w:val="center"/>
        </w:trPr>
        <w:tc>
          <w:tcPr>
            <w:tcW w:w="1895" w:type="dxa"/>
            <w:tcBorders>
              <w:top w:val="single" w:color="auto" w:sz="6" w:space="0"/>
              <w:bottom w:val="single" w:color="auto" w:sz="6" w:space="0"/>
            </w:tcBorders>
            <w:vAlign w:val="center"/>
          </w:tcPr>
          <w:p w14:paraId="7C36021C">
            <w:pPr>
              <w:keepNext/>
              <w:spacing w:after="120" w:line="360" w:lineRule="auto"/>
              <w:ind w:left="63" w:right="63"/>
              <w:rPr>
                <w:rFonts w:ascii="宋体" w:hAnsi="宋体" w:cs="宋体"/>
                <w:color w:val="auto"/>
                <w:szCs w:val="21"/>
              </w:rPr>
            </w:pPr>
          </w:p>
        </w:tc>
        <w:tc>
          <w:tcPr>
            <w:tcW w:w="1094" w:type="dxa"/>
            <w:vAlign w:val="center"/>
          </w:tcPr>
          <w:p w14:paraId="314E1FFD">
            <w:pPr>
              <w:keepNext/>
              <w:spacing w:after="120" w:line="360" w:lineRule="auto"/>
              <w:ind w:left="63" w:right="63"/>
              <w:rPr>
                <w:rFonts w:ascii="宋体" w:hAnsi="宋体" w:cs="宋体"/>
                <w:color w:val="auto"/>
                <w:szCs w:val="21"/>
              </w:rPr>
            </w:pPr>
          </w:p>
        </w:tc>
        <w:tc>
          <w:tcPr>
            <w:tcW w:w="1434" w:type="dxa"/>
            <w:vAlign w:val="center"/>
          </w:tcPr>
          <w:p w14:paraId="3AB09D7E">
            <w:pPr>
              <w:keepNext/>
              <w:spacing w:after="120" w:line="360" w:lineRule="auto"/>
              <w:ind w:left="63" w:right="63"/>
              <w:rPr>
                <w:rFonts w:ascii="宋体" w:hAnsi="宋体" w:cs="宋体"/>
                <w:color w:val="auto"/>
                <w:szCs w:val="21"/>
              </w:rPr>
            </w:pPr>
          </w:p>
        </w:tc>
        <w:tc>
          <w:tcPr>
            <w:tcW w:w="1433" w:type="dxa"/>
            <w:vAlign w:val="center"/>
          </w:tcPr>
          <w:p w14:paraId="3064375B">
            <w:pPr>
              <w:keepNext/>
              <w:spacing w:after="120" w:line="360" w:lineRule="auto"/>
              <w:ind w:left="63" w:right="63"/>
              <w:rPr>
                <w:rFonts w:ascii="宋体" w:hAnsi="宋体" w:cs="宋体"/>
                <w:color w:val="auto"/>
                <w:szCs w:val="21"/>
              </w:rPr>
            </w:pPr>
          </w:p>
        </w:tc>
        <w:tc>
          <w:tcPr>
            <w:tcW w:w="3584" w:type="dxa"/>
            <w:vAlign w:val="center"/>
          </w:tcPr>
          <w:p w14:paraId="40D7FA1C">
            <w:pPr>
              <w:keepNext/>
              <w:spacing w:after="120" w:line="360" w:lineRule="auto"/>
              <w:ind w:left="63" w:right="63"/>
              <w:rPr>
                <w:rFonts w:ascii="宋体" w:hAnsi="宋体" w:cs="宋体"/>
                <w:color w:val="auto"/>
                <w:szCs w:val="21"/>
              </w:rPr>
            </w:pPr>
          </w:p>
        </w:tc>
      </w:tr>
      <w:tr w14:paraId="670E13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5" w:hRule="atLeast"/>
          <w:jc w:val="center"/>
        </w:trPr>
        <w:tc>
          <w:tcPr>
            <w:tcW w:w="1895" w:type="dxa"/>
            <w:tcBorders>
              <w:top w:val="single" w:color="auto" w:sz="6" w:space="0"/>
              <w:bottom w:val="single" w:color="auto" w:sz="6" w:space="0"/>
            </w:tcBorders>
            <w:vAlign w:val="center"/>
          </w:tcPr>
          <w:p w14:paraId="4CA8F6F6">
            <w:pPr>
              <w:keepNext/>
              <w:spacing w:after="120" w:line="360" w:lineRule="auto"/>
              <w:ind w:left="63" w:right="63"/>
              <w:rPr>
                <w:rFonts w:ascii="宋体" w:hAnsi="宋体" w:cs="宋体"/>
                <w:color w:val="auto"/>
                <w:szCs w:val="21"/>
              </w:rPr>
            </w:pPr>
          </w:p>
        </w:tc>
        <w:tc>
          <w:tcPr>
            <w:tcW w:w="1094" w:type="dxa"/>
            <w:vAlign w:val="center"/>
          </w:tcPr>
          <w:p w14:paraId="55A23FA1">
            <w:pPr>
              <w:keepNext/>
              <w:spacing w:after="120" w:line="360" w:lineRule="auto"/>
              <w:ind w:left="63" w:right="63"/>
              <w:rPr>
                <w:rFonts w:ascii="宋体" w:hAnsi="宋体" w:cs="宋体"/>
                <w:color w:val="auto"/>
                <w:szCs w:val="21"/>
              </w:rPr>
            </w:pPr>
          </w:p>
        </w:tc>
        <w:tc>
          <w:tcPr>
            <w:tcW w:w="1434" w:type="dxa"/>
            <w:vAlign w:val="center"/>
          </w:tcPr>
          <w:p w14:paraId="4DF4720A">
            <w:pPr>
              <w:keepNext/>
              <w:spacing w:after="120" w:line="360" w:lineRule="auto"/>
              <w:ind w:left="63" w:right="63"/>
              <w:rPr>
                <w:rFonts w:ascii="宋体" w:hAnsi="宋体" w:cs="宋体"/>
                <w:color w:val="auto"/>
                <w:szCs w:val="21"/>
              </w:rPr>
            </w:pPr>
          </w:p>
        </w:tc>
        <w:tc>
          <w:tcPr>
            <w:tcW w:w="1433" w:type="dxa"/>
            <w:vAlign w:val="center"/>
          </w:tcPr>
          <w:p w14:paraId="66EAF21F">
            <w:pPr>
              <w:keepNext/>
              <w:spacing w:after="120" w:line="360" w:lineRule="auto"/>
              <w:ind w:left="63" w:right="63"/>
              <w:rPr>
                <w:rFonts w:ascii="宋体" w:hAnsi="宋体" w:cs="宋体"/>
                <w:color w:val="auto"/>
                <w:szCs w:val="21"/>
              </w:rPr>
            </w:pPr>
          </w:p>
        </w:tc>
        <w:tc>
          <w:tcPr>
            <w:tcW w:w="3584" w:type="dxa"/>
            <w:vAlign w:val="center"/>
          </w:tcPr>
          <w:p w14:paraId="59B7D780">
            <w:pPr>
              <w:keepNext/>
              <w:spacing w:after="120" w:line="360" w:lineRule="auto"/>
              <w:ind w:left="63" w:right="63"/>
              <w:rPr>
                <w:rFonts w:ascii="宋体" w:hAnsi="宋体" w:cs="宋体"/>
                <w:color w:val="auto"/>
                <w:szCs w:val="21"/>
              </w:rPr>
            </w:pPr>
          </w:p>
        </w:tc>
      </w:tr>
      <w:tr w14:paraId="648023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5" w:hRule="atLeast"/>
          <w:jc w:val="center"/>
        </w:trPr>
        <w:tc>
          <w:tcPr>
            <w:tcW w:w="1895" w:type="dxa"/>
            <w:tcBorders>
              <w:top w:val="single" w:color="auto" w:sz="6" w:space="0"/>
              <w:bottom w:val="single" w:color="auto" w:sz="6" w:space="0"/>
            </w:tcBorders>
            <w:vAlign w:val="center"/>
          </w:tcPr>
          <w:p w14:paraId="17E75D03">
            <w:pPr>
              <w:keepNext/>
              <w:spacing w:after="120" w:line="360" w:lineRule="auto"/>
              <w:ind w:left="63" w:right="63"/>
              <w:rPr>
                <w:rFonts w:ascii="宋体" w:hAnsi="宋体" w:cs="宋体"/>
                <w:color w:val="auto"/>
                <w:szCs w:val="21"/>
              </w:rPr>
            </w:pPr>
          </w:p>
        </w:tc>
        <w:tc>
          <w:tcPr>
            <w:tcW w:w="1094" w:type="dxa"/>
            <w:vAlign w:val="center"/>
          </w:tcPr>
          <w:p w14:paraId="7306C486">
            <w:pPr>
              <w:keepNext/>
              <w:spacing w:after="120" w:line="360" w:lineRule="auto"/>
              <w:ind w:left="63" w:right="63"/>
              <w:rPr>
                <w:rFonts w:ascii="宋体" w:hAnsi="宋体" w:cs="宋体"/>
                <w:color w:val="auto"/>
                <w:szCs w:val="21"/>
              </w:rPr>
            </w:pPr>
          </w:p>
        </w:tc>
        <w:tc>
          <w:tcPr>
            <w:tcW w:w="1434" w:type="dxa"/>
            <w:vAlign w:val="center"/>
          </w:tcPr>
          <w:p w14:paraId="6FA1CD81">
            <w:pPr>
              <w:keepNext/>
              <w:spacing w:after="120" w:line="360" w:lineRule="auto"/>
              <w:ind w:left="63" w:right="63"/>
              <w:rPr>
                <w:rFonts w:ascii="宋体" w:hAnsi="宋体" w:cs="宋体"/>
                <w:color w:val="auto"/>
                <w:szCs w:val="21"/>
              </w:rPr>
            </w:pPr>
          </w:p>
        </w:tc>
        <w:tc>
          <w:tcPr>
            <w:tcW w:w="1433" w:type="dxa"/>
            <w:vAlign w:val="center"/>
          </w:tcPr>
          <w:p w14:paraId="110888FD">
            <w:pPr>
              <w:keepNext/>
              <w:spacing w:after="120" w:line="360" w:lineRule="auto"/>
              <w:ind w:left="63" w:right="63"/>
              <w:rPr>
                <w:rFonts w:ascii="宋体" w:hAnsi="宋体" w:cs="宋体"/>
                <w:color w:val="auto"/>
                <w:szCs w:val="21"/>
              </w:rPr>
            </w:pPr>
          </w:p>
        </w:tc>
        <w:tc>
          <w:tcPr>
            <w:tcW w:w="3584" w:type="dxa"/>
            <w:vAlign w:val="center"/>
          </w:tcPr>
          <w:p w14:paraId="4EF269BA">
            <w:pPr>
              <w:keepNext/>
              <w:spacing w:after="120" w:line="360" w:lineRule="auto"/>
              <w:ind w:left="63" w:right="63"/>
              <w:rPr>
                <w:rFonts w:ascii="宋体" w:hAnsi="宋体" w:cs="宋体"/>
                <w:color w:val="auto"/>
                <w:szCs w:val="21"/>
              </w:rPr>
            </w:pPr>
          </w:p>
        </w:tc>
      </w:tr>
    </w:tbl>
    <w:p w14:paraId="0A52F87F">
      <w:pPr>
        <w:spacing w:line="360" w:lineRule="auto"/>
        <w:rPr>
          <w:rFonts w:ascii="宋体" w:hAnsi="宋体" w:cs="宋体"/>
          <w:color w:val="auto"/>
          <w:szCs w:val="21"/>
        </w:rPr>
      </w:pPr>
    </w:p>
    <w:p w14:paraId="12773B2F">
      <w:pPr>
        <w:spacing w:line="360" w:lineRule="auto"/>
        <w:rPr>
          <w:rFonts w:ascii="宋体" w:hAnsi="宋体" w:cs="宋体"/>
          <w:b/>
          <w:color w:val="auto"/>
          <w:szCs w:val="21"/>
        </w:rPr>
      </w:pPr>
    </w:p>
    <w:p w14:paraId="581C2929">
      <w:pPr>
        <w:spacing w:line="360" w:lineRule="auto"/>
        <w:rPr>
          <w:rFonts w:ascii="宋体" w:hAnsi="宋体" w:cs="宋体"/>
          <w:b/>
          <w:color w:val="auto"/>
          <w:szCs w:val="21"/>
        </w:rPr>
      </w:pPr>
    </w:p>
    <w:p w14:paraId="6BB55374">
      <w:pPr>
        <w:spacing w:line="360" w:lineRule="auto"/>
        <w:rPr>
          <w:rFonts w:ascii="宋体" w:hAnsi="宋体" w:cs="宋体"/>
          <w:b/>
          <w:color w:val="auto"/>
          <w:szCs w:val="21"/>
        </w:rPr>
      </w:pPr>
    </w:p>
    <w:p w14:paraId="317A30BB">
      <w:pPr>
        <w:spacing w:line="360" w:lineRule="auto"/>
        <w:rPr>
          <w:rFonts w:ascii="宋体" w:hAnsi="宋体" w:cs="宋体"/>
          <w:b/>
          <w:color w:val="auto"/>
          <w:szCs w:val="21"/>
        </w:rPr>
        <w:sectPr>
          <w:pgSz w:w="11907" w:h="16840"/>
          <w:pgMar w:top="1304" w:right="1134" w:bottom="1134" w:left="1304" w:header="851" w:footer="851" w:gutter="0"/>
          <w:cols w:space="720" w:num="1"/>
          <w:docGrid w:linePitch="312" w:charSpace="0"/>
        </w:sectPr>
      </w:pPr>
    </w:p>
    <w:p w14:paraId="5EF85D03">
      <w:pPr>
        <w:spacing w:line="360" w:lineRule="auto"/>
        <w:rPr>
          <w:rFonts w:ascii="宋体" w:hAnsi="宋体" w:cs="宋体"/>
          <w:b/>
          <w:color w:val="auto"/>
          <w:szCs w:val="21"/>
        </w:rPr>
      </w:pPr>
    </w:p>
    <w:p w14:paraId="57DA864E">
      <w:pPr>
        <w:spacing w:line="360" w:lineRule="auto"/>
        <w:rPr>
          <w:rFonts w:ascii="宋体" w:hAnsi="宋体" w:cs="宋体"/>
          <w:color w:val="auto"/>
          <w:szCs w:val="21"/>
        </w:rPr>
      </w:pPr>
      <w:r>
        <w:rPr>
          <w:rFonts w:hint="eastAsia" w:ascii="宋体" w:hAnsi="宋体" w:cs="宋体"/>
          <w:b/>
          <w:bCs/>
          <w:color w:val="auto"/>
          <w:szCs w:val="21"/>
        </w:rPr>
        <w:t>附件3：</w:t>
      </w:r>
    </w:p>
    <w:p w14:paraId="7E5D860D">
      <w:pPr>
        <w:spacing w:line="360" w:lineRule="auto"/>
        <w:jc w:val="center"/>
        <w:rPr>
          <w:rFonts w:ascii="宋体" w:hAnsi="宋体" w:cs="宋体"/>
          <w:b/>
          <w:color w:val="auto"/>
          <w:szCs w:val="21"/>
        </w:rPr>
      </w:pPr>
      <w:r>
        <w:rPr>
          <w:rFonts w:hint="eastAsia" w:ascii="宋体" w:hAnsi="宋体" w:cs="宋体"/>
          <w:b/>
          <w:color w:val="auto"/>
          <w:szCs w:val="21"/>
        </w:rPr>
        <w:t>安全生产承诺书</w:t>
      </w:r>
    </w:p>
    <w:p w14:paraId="63FCB7F0">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根据《中华人民共和国安全生产法》、《中华人民共和国建筑法》、《建筑工程安全生产管理条例》和《建筑工程安全生产监督管理工作导则》及与</w:t>
      </w:r>
      <w:r>
        <w:rPr>
          <w:rFonts w:hint="eastAsia" w:ascii="宋体" w:hAnsi="宋体" w:cs="宋体"/>
          <w:color w:val="auto"/>
          <w:szCs w:val="21"/>
          <w:u w:val="single"/>
        </w:rPr>
        <w:t xml:space="preserve">         　</w:t>
      </w:r>
      <w:r>
        <w:rPr>
          <w:rFonts w:hint="eastAsia" w:ascii="宋体" w:hAnsi="宋体" w:cs="宋体"/>
          <w:color w:val="auto"/>
          <w:szCs w:val="21"/>
        </w:rPr>
        <w:t>签订的施工合同的相关约定，我公司将对工程中的安全生产实施全过程全方位的管理，加大检查力度，增加安全投入，消除各类安全隐患，认真履行以下安全生产管理责任：</w:t>
      </w:r>
    </w:p>
    <w:p w14:paraId="2F9F29CF">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1、严格按合同约定（符合国家相关规定）计取安全生产费，并保证此项经费专户核算、按施工进度使用，同时还自愿接受</w:t>
      </w:r>
      <w:r>
        <w:rPr>
          <w:rFonts w:hint="eastAsia" w:ascii="宋体" w:hAnsi="宋体" w:cs="宋体"/>
          <w:color w:val="auto"/>
          <w:szCs w:val="21"/>
          <w:u w:val="single"/>
        </w:rPr>
        <w:t xml:space="preserve">             　</w:t>
      </w:r>
      <w:r>
        <w:rPr>
          <w:rFonts w:hint="eastAsia" w:ascii="宋体" w:hAnsi="宋体" w:cs="宋体"/>
          <w:color w:val="auto"/>
          <w:szCs w:val="21"/>
        </w:rPr>
        <w:t>和监理单位对此项费用的使用进行监督。</w:t>
      </w:r>
    </w:p>
    <w:p w14:paraId="0E9A656C">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2、 建立安全生产责任制度和安全生产教育培训制度，制定安全生产规章制度、安全生产检查制度和操作规程，保证对该工程定期进行专项安全检查，并做好安全检查记录。现委托项目经理（注册证号：）对该工程项目的安全施工负责，落实安全生产责任制度、安全生产规章制度和操作规程，确保安全生产费用的有效使用，并根据工程的特点组织制定安全施工措施。消除安全事故隐患，及时、如实报告生产安全事故，并保证每周在施工现场履职时间按招投标合同中的要求执行。</w:t>
      </w:r>
    </w:p>
    <w:p w14:paraId="4172BBD1">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3、委派同志（证书编号： ）担任该工程的专职安全生产管理人员，负责对安全生产进行现场监督检查。发现安全事故隐患，应当及时向项目经理和安全生产管理机构报告；对违章指挥、违章操作的，应当立即制止，且保证其每周常驻现场不少于6天。电工、电焊工、塔吊司机、垂直运输机械作业人员、安装拆卸工、起重信号工、登高架设作业人员等特种作业人员持有特种作业操作资格证书，方允许其上岗作业。</w:t>
      </w:r>
    </w:p>
    <w:p w14:paraId="1DBD1171">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4、按照建设部“建质[2009]87号”规定，对施工过程中含有危险性较（重）大的分部（分项）工程，必须严格执行专项施工方案的编制、审核、审批程序，在施工时还应做好安全技术交底和检查验收工作。对危险性重大工程（重大危险源工程）的专项施工方案，还应组织不少于5人（本专业工程的高级工程师）的专家组对已编制的方案进行论证审查，且要有专家组作出书面论证的审查报告后，方可进行施工。</w:t>
      </w:r>
    </w:p>
    <w:p w14:paraId="5DF06FC4">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5、该工程施工前，我公司负责项目管理的技术人员对有关安全施工的技术要求向施工作业班组、作业人员作出详细说明，并由双方签字确认。对该工程施工现场的出入口处、施工起重机械、临时用电设施、脚手架、出入通道口、楼梯口、电梯井口、孔洞口、基坑边沿等危险部位，设置安全防护和明显的安全警示标志，安全警示标志的设置必须符合有关标准。</w:t>
      </w:r>
    </w:p>
    <w:p w14:paraId="2191CA5E">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6、施工现场的办公、生活区与作业区做到分开设置，并保持安全距离；办公区、生活区的选址必须符合相关安全性规定要求。职工的伙食、饮水和休息场所应当符合卫生标准。坚决杜绝在尚未竣工的建筑物内设置员工集体宿舍。施工现场临时搭建的建筑物和施工场地、道路及施工围墙的设置必须符合相关安全性规定要求。</w:t>
      </w:r>
    </w:p>
    <w:p w14:paraId="5139B1E4">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7、对因施工可能造成损害的毗邻建筑物、构筑物和地下管线等应当采取专项防护措施，并遵守环境保护有关的法律法规。在施工现场采取措施，防止或者减少粉尘、废气、废水、固体废物、噪声和施工照明对人和环境造成的危害和污染。在施工现场建立消防安全责任制度，确定消防安全责任人，制定用火、用电、使用易燃易爆材料等各项消防安全管理制度和操作规程，设置消防通道、储备消防水源、配备消防设施和器材，并在施工现场作业区设置明显标志。</w:t>
      </w:r>
    </w:p>
    <w:p w14:paraId="4207C707">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8、认真做好“三级”安全教育工作，作业人员进入新的岗位或者新的施工项目开工前，必须接受安全生产教育培训。未经教育培训或者教育培训考核不合格的人员不得上岗作业；同时要向作业人员提供必要的安全生产防护用具和用品，并告知危险岗位的操作规程和违章操作的危害。一旦在施工中发生危及人身安全的紧急情况时，立即停止作业，采取必要的应急措施或撤离危险区域。教育施工作业人员遵守安全施工的强制性标准、规章制度和操作规程，正确使用安全防护用具、机械设备等。在采用新技术、新工艺、新设备、新材料时，也要对作业人员进行相应的安全生产教育培训。</w:t>
      </w:r>
    </w:p>
    <w:p w14:paraId="6855DC75">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9、采购、租赁的安全防护用具、机械设备、施工机具及配件，应具有生产（制造）许可证、产品合格证，并在进入施工现场前进行查验。施工现场的安全防护用具、机械设备、施工机具及配件等由专人管理，定期进行检查、维修和保养，确保其性能指标处于良好的工作状态。</w:t>
      </w:r>
    </w:p>
    <w:p w14:paraId="70249A54">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10、所使用的各种施工起重机械和整体提升（自升式）脚手架、模板等危险性较大工程（设备）在安装、搭设、使用前，应组织有关单位对其安全性能进行验收，或委托具有相应资质的检验检测机构进行验收；使用承租的机械设备和施工机具及配件的，由施工总承包单位、分包单位、出租单位和安装单位共同进行安全性能验收。验收合格后方可使用，并按相关规定做好登记备案工作。</w:t>
      </w:r>
    </w:p>
    <w:p w14:paraId="1880FFD2">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11、认真抓好</w:t>
      </w:r>
      <w:r>
        <w:rPr>
          <w:rFonts w:hint="eastAsia" w:ascii="宋体" w:hAnsi="宋体" w:cs="宋体"/>
          <w:color w:val="auto"/>
          <w:szCs w:val="21"/>
          <w:u w:val="single"/>
        </w:rPr>
        <w:t xml:space="preserve">          　</w:t>
      </w:r>
      <w:r>
        <w:rPr>
          <w:rFonts w:hint="eastAsia" w:ascii="宋体" w:hAnsi="宋体" w:cs="宋体"/>
          <w:color w:val="auto"/>
          <w:szCs w:val="21"/>
        </w:rPr>
        <w:t>安全生产监督部门对该项工程存在事故隐患下达的限期安全整改通知单的整改、复查及回复工作，坚决做到令行禁止，不违法违规施工。</w:t>
      </w:r>
    </w:p>
    <w:p w14:paraId="2B3E8046">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12、扎实做好该项目部所有从业人员的维权工作，保证所有从业人员的工资按合同约定及时、足额发放。</w:t>
      </w:r>
    </w:p>
    <w:p w14:paraId="31F6BD53">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我代表公司承诺：严格执行上述内容及标准抓好该项工程的安全管理，随时接受</w:t>
      </w:r>
      <w:r>
        <w:rPr>
          <w:rFonts w:hint="eastAsia" w:ascii="宋体" w:hAnsi="宋体" w:cs="宋体"/>
          <w:color w:val="auto"/>
          <w:szCs w:val="21"/>
          <w:u w:val="single"/>
        </w:rPr>
        <w:t xml:space="preserve">     　</w:t>
      </w:r>
      <w:r>
        <w:rPr>
          <w:rFonts w:hint="eastAsia" w:ascii="宋体" w:hAnsi="宋体" w:cs="宋体"/>
          <w:color w:val="auto"/>
          <w:szCs w:val="21"/>
        </w:rPr>
        <w:t>安全生产监督部门的监督。如果违反相关法律法规的条款造成不良社会影响或者严重后果的，本公司自愿接受</w:t>
      </w:r>
      <w:r>
        <w:rPr>
          <w:rFonts w:hint="eastAsia" w:ascii="宋体" w:hAnsi="宋体" w:cs="宋体"/>
          <w:color w:val="auto"/>
          <w:szCs w:val="21"/>
          <w:u w:val="single"/>
        </w:rPr>
        <w:t xml:space="preserve">                　</w:t>
      </w:r>
      <w:r>
        <w:rPr>
          <w:rFonts w:hint="eastAsia" w:ascii="宋体" w:hAnsi="宋体" w:cs="宋体"/>
          <w:color w:val="auto"/>
          <w:szCs w:val="21"/>
        </w:rPr>
        <w:t>参照双方签订的施工合同中约定的相关条款实施的各项处罚。</w:t>
      </w:r>
    </w:p>
    <w:p w14:paraId="54AEF9F6">
      <w:pPr>
        <w:adjustRightInd w:val="0"/>
        <w:snapToGrid w:val="0"/>
        <w:spacing w:line="360" w:lineRule="auto"/>
        <w:ind w:firstLine="420" w:firstLineChars="200"/>
        <w:rPr>
          <w:rFonts w:ascii="宋体" w:hAnsi="宋体" w:cs="宋体"/>
          <w:color w:val="auto"/>
          <w:szCs w:val="21"/>
        </w:rPr>
      </w:pPr>
    </w:p>
    <w:p w14:paraId="658509C4">
      <w:pPr>
        <w:adjustRightInd w:val="0"/>
        <w:snapToGrid w:val="0"/>
        <w:spacing w:line="360" w:lineRule="auto"/>
        <w:ind w:firstLine="420" w:firstLineChars="200"/>
        <w:rPr>
          <w:rFonts w:ascii="宋体" w:hAnsi="宋体" w:cs="宋体"/>
          <w:color w:val="auto"/>
          <w:szCs w:val="21"/>
        </w:rPr>
      </w:pPr>
    </w:p>
    <w:p w14:paraId="4C00BE8D">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发包人：（盖章）                     承包人：（盖章）</w:t>
      </w:r>
    </w:p>
    <w:p w14:paraId="5D78790C">
      <w:pPr>
        <w:adjustRightInd w:val="0"/>
        <w:snapToGrid w:val="0"/>
        <w:spacing w:line="360" w:lineRule="auto"/>
        <w:ind w:firstLine="420" w:firstLineChars="200"/>
        <w:rPr>
          <w:rFonts w:ascii="宋体" w:hAnsi="宋体" w:cs="宋体"/>
          <w:color w:val="auto"/>
          <w:szCs w:val="21"/>
        </w:rPr>
      </w:pPr>
    </w:p>
    <w:p w14:paraId="1057A86A">
      <w:pPr>
        <w:adjustRightInd w:val="0"/>
        <w:snapToGrid w:val="0"/>
        <w:spacing w:line="360" w:lineRule="auto"/>
        <w:rPr>
          <w:rFonts w:ascii="宋体" w:hAnsi="宋体" w:cs="宋体"/>
          <w:color w:val="auto"/>
          <w:szCs w:val="21"/>
        </w:rPr>
      </w:pPr>
      <w:r>
        <w:rPr>
          <w:rFonts w:hint="eastAsia" w:ascii="宋体" w:hAnsi="宋体" w:cs="宋体"/>
          <w:color w:val="auto"/>
          <w:szCs w:val="21"/>
        </w:rPr>
        <w:t xml:space="preserve">   年    月      日                     年    月      日  </w:t>
      </w:r>
    </w:p>
    <w:p w14:paraId="7F67C919">
      <w:pPr>
        <w:adjustRightInd w:val="0"/>
        <w:snapToGrid w:val="0"/>
        <w:spacing w:line="360" w:lineRule="auto"/>
        <w:rPr>
          <w:rFonts w:ascii="宋体" w:hAnsi="宋体" w:cs="宋体"/>
          <w:color w:val="auto"/>
          <w:szCs w:val="21"/>
        </w:rPr>
      </w:pPr>
    </w:p>
    <w:p w14:paraId="1F49D917">
      <w:pPr>
        <w:spacing w:line="360" w:lineRule="auto"/>
        <w:rPr>
          <w:rFonts w:ascii="宋体" w:hAnsi="宋体" w:cs="宋体"/>
          <w:b/>
          <w:color w:val="auto"/>
          <w:szCs w:val="21"/>
        </w:rPr>
        <w:sectPr>
          <w:pgSz w:w="11907" w:h="16840"/>
          <w:pgMar w:top="1304" w:right="1134" w:bottom="1134" w:left="1304" w:header="851" w:footer="851" w:gutter="0"/>
          <w:cols w:space="720" w:num="1"/>
          <w:docGrid w:linePitch="312" w:charSpace="0"/>
        </w:sectPr>
      </w:pPr>
    </w:p>
    <w:p w14:paraId="6F504972">
      <w:pPr>
        <w:spacing w:line="360" w:lineRule="auto"/>
        <w:rPr>
          <w:rFonts w:ascii="宋体" w:hAnsi="宋体" w:cs="宋体"/>
          <w:b/>
          <w:color w:val="auto"/>
          <w:szCs w:val="21"/>
        </w:rPr>
      </w:pPr>
    </w:p>
    <w:p w14:paraId="72EB3355">
      <w:pPr>
        <w:spacing w:line="360" w:lineRule="auto"/>
        <w:rPr>
          <w:rFonts w:ascii="宋体" w:hAnsi="宋体" w:cs="宋体"/>
          <w:b/>
          <w:color w:val="auto"/>
          <w:szCs w:val="21"/>
        </w:rPr>
      </w:pPr>
      <w:r>
        <w:rPr>
          <w:rFonts w:hint="eastAsia" w:ascii="宋体" w:hAnsi="宋体" w:cs="宋体"/>
          <w:b/>
          <w:color w:val="auto"/>
          <w:szCs w:val="21"/>
        </w:rPr>
        <w:t>附件4：</w:t>
      </w:r>
    </w:p>
    <w:p w14:paraId="56E71425">
      <w:pPr>
        <w:spacing w:line="360" w:lineRule="auto"/>
        <w:jc w:val="center"/>
        <w:rPr>
          <w:rFonts w:ascii="宋体" w:hAnsi="宋体" w:cs="宋体"/>
          <w:color w:val="auto"/>
          <w:sz w:val="32"/>
          <w:szCs w:val="32"/>
        </w:rPr>
      </w:pPr>
      <w:r>
        <w:rPr>
          <w:rFonts w:hint="eastAsia" w:ascii="宋体" w:hAnsi="宋体" w:cs="宋体"/>
          <w:color w:val="auto"/>
          <w:sz w:val="32"/>
          <w:szCs w:val="32"/>
        </w:rPr>
        <w:t>工程建设项目廉政责任书</w:t>
      </w:r>
    </w:p>
    <w:p w14:paraId="4F24FF44">
      <w:pPr>
        <w:adjustRightInd w:val="0"/>
        <w:snapToGrid w:val="0"/>
        <w:spacing w:line="360" w:lineRule="auto"/>
        <w:rPr>
          <w:rFonts w:ascii="宋体" w:hAnsi="宋体" w:cs="宋体"/>
          <w:color w:val="auto"/>
          <w:szCs w:val="21"/>
        </w:rPr>
      </w:pPr>
      <w:r>
        <w:rPr>
          <w:rFonts w:hint="eastAsia" w:ascii="宋体" w:hAnsi="宋体" w:cs="宋体"/>
          <w:color w:val="auto"/>
          <w:szCs w:val="21"/>
        </w:rPr>
        <w:t>工程项目名称：</w:t>
      </w:r>
    </w:p>
    <w:p w14:paraId="653C9789">
      <w:pPr>
        <w:adjustRightInd w:val="0"/>
        <w:snapToGrid w:val="0"/>
        <w:spacing w:line="360" w:lineRule="auto"/>
        <w:rPr>
          <w:rFonts w:ascii="宋体" w:hAnsi="宋体" w:cs="宋体"/>
          <w:b/>
          <w:color w:val="auto"/>
          <w:szCs w:val="21"/>
        </w:rPr>
      </w:pPr>
      <w:r>
        <w:rPr>
          <w:rFonts w:hint="eastAsia" w:ascii="宋体" w:hAnsi="宋体" w:cs="宋体"/>
          <w:color w:val="auto"/>
          <w:szCs w:val="21"/>
        </w:rPr>
        <w:t>工程项目地址：</w:t>
      </w:r>
    </w:p>
    <w:p w14:paraId="5A74D9F4">
      <w:pPr>
        <w:adjustRightInd w:val="0"/>
        <w:snapToGrid w:val="0"/>
        <w:spacing w:line="360" w:lineRule="auto"/>
        <w:rPr>
          <w:rFonts w:ascii="宋体" w:hAnsi="宋体" w:cs="宋体"/>
          <w:color w:val="auto"/>
          <w:szCs w:val="21"/>
        </w:rPr>
      </w:pPr>
      <w:r>
        <w:rPr>
          <w:rFonts w:hint="eastAsia" w:ascii="宋体" w:hAnsi="宋体" w:cs="宋体"/>
          <w:color w:val="auto"/>
          <w:szCs w:val="21"/>
        </w:rPr>
        <w:t>建设单位（甲方）：</w:t>
      </w:r>
      <w:r>
        <w:rPr>
          <w:rFonts w:hint="eastAsia" w:ascii="宋体" w:hAnsi="宋体" w:cs="宋体"/>
          <w:color w:val="auto"/>
          <w:szCs w:val="21"/>
          <w:u w:val="single"/>
        </w:rPr>
        <w:t xml:space="preserve">                       　</w:t>
      </w:r>
    </w:p>
    <w:p w14:paraId="60302CA7">
      <w:pPr>
        <w:spacing w:line="360" w:lineRule="auto"/>
        <w:rPr>
          <w:rFonts w:ascii="宋体" w:hAnsi="宋体" w:cs="宋体"/>
          <w:color w:val="auto"/>
          <w:szCs w:val="21"/>
        </w:rPr>
      </w:pPr>
      <w:r>
        <w:rPr>
          <w:rFonts w:hint="eastAsia" w:ascii="宋体" w:hAnsi="宋体" w:cs="宋体"/>
          <w:color w:val="auto"/>
          <w:szCs w:val="21"/>
        </w:rPr>
        <w:t>施工单位（乙方）：</w:t>
      </w:r>
    </w:p>
    <w:p w14:paraId="0EA2BEA5">
      <w:pPr>
        <w:adjustRightInd w:val="0"/>
        <w:snapToGrid w:val="0"/>
        <w:spacing w:line="360" w:lineRule="auto"/>
        <w:ind w:firstLine="315" w:firstLineChars="150"/>
        <w:rPr>
          <w:rFonts w:ascii="宋体" w:hAnsi="宋体" w:cs="宋体"/>
          <w:color w:val="auto"/>
          <w:szCs w:val="21"/>
        </w:rPr>
      </w:pPr>
      <w:r>
        <w:rPr>
          <w:rFonts w:hint="eastAsia" w:ascii="宋体" w:hAnsi="宋体" w:cs="宋体"/>
          <w:color w:val="auto"/>
          <w:szCs w:val="21"/>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p>
    <w:p w14:paraId="0F5DAFD7">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第一条  甲乙方双方的责任</w:t>
      </w:r>
    </w:p>
    <w:p w14:paraId="532CF622">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（一）应严格遵守国家关于市场准入、项目招标投标、工程建设、施工安装和市场活动等有关法律、法规、相关政策，以及廉政建设的各项规定。</w:t>
      </w:r>
    </w:p>
    <w:p w14:paraId="30BE4E43">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（二）严格执行建设工程项目承发包合同文件，自觉按合同办事。</w:t>
      </w:r>
    </w:p>
    <w:p w14:paraId="5480BD7A">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（三）业务活动必须坚持公开、公平、公正、诚信、透明的原则（除法律法规另有规定者外），不得为获取不正当的利益，损害国家、集体和对方利益，不得违反工程建设管理、施工安装的规章制度。</w:t>
      </w:r>
    </w:p>
    <w:p w14:paraId="630F0475">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（四）发现对方在业务活动中有违规、违纪、违法行为的，应及时提醒对方，情节严重的，应向其上级主管部门或纪检监察、司法等有关机关举报。</w:t>
      </w:r>
    </w:p>
    <w:p w14:paraId="26A06C2D">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第二条  甲方相关人员的责任</w:t>
      </w:r>
    </w:p>
    <w:p w14:paraId="0B9C35AD">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甲方的领导和从事该建设工程项目的工作人员，在工程建设的事前、事中、事后应遵守以下规定：</w:t>
      </w:r>
    </w:p>
    <w:p w14:paraId="32F85C1F">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（一）不准向乙方和相关单位索要或接受回扣、礼金、有价证券、贵重物品和好处费、感谢费等。</w:t>
      </w:r>
    </w:p>
    <w:p w14:paraId="7F752798">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（二）不准在乙方和相关单位报销任何应由甲方或个人支付的费用。</w:t>
      </w:r>
    </w:p>
    <w:p w14:paraId="35B6F38E">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（三）不准要求、暗示和接受乙方和相关单位为个人装修住房、婚丧嫁娶、配偶子女的工作安排以及出国（境）、旅游等提供方便。</w:t>
      </w:r>
    </w:p>
    <w:p w14:paraId="6C33C49D">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（四）不准参加有可能影响公正执行公务的乙方和相关单位的宴请和健身、娱乐等活动。</w:t>
      </w:r>
    </w:p>
    <w:p w14:paraId="4295E62F">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五）不准向乙方介绍或为配偶、子女、亲属参与同甲方项目工程施工合同有关的设备、材料、工程分包、劳务等经济活动。不得以任何理由向乙方和相关单位推荐分包单位和要求乙方购买项目工程施工合同规定以外的材料、设备等。</w:t>
      </w:r>
    </w:p>
    <w:p w14:paraId="0446B480">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第三条  乙方相关人员的责任</w:t>
      </w:r>
    </w:p>
    <w:p w14:paraId="442993D1">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应与甲方保持正常的业务交往，按照有关法律法规和程序开展业务工作，严格执行工程建设的有关方针、政策，尤其是有关建筑施工安装的强制性标准和规范，并遵守以下规定：</w:t>
      </w:r>
    </w:p>
    <w:p w14:paraId="76BC5E42">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（一）不准以任何理由向甲方、相关单位及其工作人员索要、接受或赠送礼金、有价证券、贵重物品和回扣、好处费、感谢费等。</w:t>
      </w:r>
    </w:p>
    <w:p w14:paraId="3EAA062A">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（二）不准以任何理由为甲方和相关单位报销应由对方或个人支付的费用。</w:t>
      </w:r>
    </w:p>
    <w:p w14:paraId="355FDB18">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（三）不准接受或暗示为甲方、相关单位或个人装修住房、婚丧嫁娶、配偶子女的工作安排以及出国（境）、旅游等提供方便。</w:t>
      </w:r>
    </w:p>
    <w:p w14:paraId="26B76BCB">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（四）不准以任何理由为甲方、相关单位或个人组织有可能影响公正执行公务的宴请和健身、娱乐等活动。</w:t>
      </w:r>
    </w:p>
    <w:p w14:paraId="6AD8BDA5">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第四条  违约责任</w:t>
      </w:r>
    </w:p>
    <w:p w14:paraId="779554A1">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一）甲方工作人员有违反本责任书第一、二条责任行为的，按照管理权限，依据有关法律法规和规定给予党纪、政纪处分或组织处理；涉嫌犯罪的，移交司法机关追究刑事责任；给乙方单位造成经济损失的，应予赔偿。</w:t>
      </w:r>
    </w:p>
    <w:p w14:paraId="477E5519">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二）乙方工作人员有违反本责任书第一、三条责任行为的，按照管理权限，依据有关法律法规和规定给予党纪、政纪处分或组织处理；涉嫌犯罪的，移交司法机关追究刑事责任；给甲方单位造成经济损失的，应予赔偿。</w:t>
      </w:r>
    </w:p>
    <w:p w14:paraId="4C9841AA">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第五条  本责任书为工程施工合同的附件，与工程施工合同具有同等法律效力。经双方签署后立即生效。</w:t>
      </w:r>
    </w:p>
    <w:p w14:paraId="5507C1C8">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第六条  本责任书的有效期为双方签署之日起至该工程项目竣工验收合格时止。</w:t>
      </w:r>
    </w:p>
    <w:p w14:paraId="7B9C84B6">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第七条  本责任书份数与合同协议书一致。</w:t>
      </w:r>
    </w:p>
    <w:p w14:paraId="216AC0D3">
      <w:pPr>
        <w:adjustRightInd w:val="0"/>
        <w:snapToGrid w:val="0"/>
        <w:spacing w:line="360" w:lineRule="auto"/>
        <w:rPr>
          <w:rFonts w:ascii="宋体" w:hAnsi="宋体" w:cs="宋体"/>
          <w:color w:val="auto"/>
          <w:szCs w:val="21"/>
        </w:rPr>
      </w:pPr>
    </w:p>
    <w:tbl>
      <w:tblPr>
        <w:tblStyle w:val="45"/>
        <w:tblpPr w:leftFromText="180" w:rightFromText="180" w:vertAnchor="text" w:horzAnchor="page" w:tblpX="1393" w:tblpY="245"/>
        <w:tblOverlap w:val="never"/>
        <w:tblW w:w="0" w:type="auto"/>
        <w:tblInd w:w="0" w:type="dxa"/>
        <w:tblLayout w:type="fixed"/>
        <w:tblCellMar>
          <w:top w:w="0" w:type="dxa"/>
          <w:left w:w="0" w:type="dxa"/>
          <w:bottom w:w="0" w:type="dxa"/>
          <w:right w:w="0" w:type="dxa"/>
        </w:tblCellMar>
      </w:tblPr>
      <w:tblGrid>
        <w:gridCol w:w="4753"/>
        <w:gridCol w:w="4744"/>
      </w:tblGrid>
      <w:tr w14:paraId="0567A083">
        <w:tblPrEx>
          <w:tblCellMar>
            <w:top w:w="0" w:type="dxa"/>
            <w:left w:w="0" w:type="dxa"/>
            <w:bottom w:w="0" w:type="dxa"/>
            <w:right w:w="0" w:type="dxa"/>
          </w:tblCellMar>
        </w:tblPrEx>
        <w:trPr>
          <w:trHeight w:val="330" w:hRule="atLeast"/>
        </w:trPr>
        <w:tc>
          <w:tcPr>
            <w:tcW w:w="4753" w:type="dxa"/>
          </w:tcPr>
          <w:p w14:paraId="7D8B6E80">
            <w:pPr>
              <w:spacing w:line="360" w:lineRule="auto"/>
              <w:ind w:right="-11" w:firstLine="840" w:firstLineChars="400"/>
              <w:jc w:val="left"/>
              <w:rPr>
                <w:rFonts w:ascii="宋体" w:hAnsi="宋体" w:cs="宋体"/>
                <w:color w:val="auto"/>
                <w:kern w:val="0"/>
              </w:rPr>
            </w:pPr>
            <w:r>
              <w:rPr>
                <w:rFonts w:hint="eastAsia" w:ascii="宋体" w:hAnsi="宋体" w:cs="宋体"/>
                <w:color w:val="auto"/>
                <w:kern w:val="0"/>
              </w:rPr>
              <w:t>发 包 人（盖章）：</w:t>
            </w:r>
          </w:p>
        </w:tc>
        <w:tc>
          <w:tcPr>
            <w:tcW w:w="4744" w:type="dxa"/>
            <w:tcMar>
              <w:right w:w="0" w:type="dxa"/>
            </w:tcMar>
          </w:tcPr>
          <w:p w14:paraId="7C1035C1">
            <w:pPr>
              <w:spacing w:line="360" w:lineRule="auto"/>
              <w:ind w:right="-11"/>
              <w:jc w:val="left"/>
              <w:rPr>
                <w:rFonts w:ascii="宋体" w:hAnsi="宋体" w:cs="宋体"/>
                <w:color w:val="auto"/>
                <w:kern w:val="0"/>
              </w:rPr>
            </w:pPr>
            <w:r>
              <w:rPr>
                <w:rFonts w:hint="eastAsia" w:ascii="宋体" w:hAnsi="宋体" w:cs="宋体"/>
                <w:color w:val="auto"/>
                <w:kern w:val="0"/>
              </w:rPr>
              <w:t xml:space="preserve">   承 包 人（盖章）：</w:t>
            </w:r>
          </w:p>
          <w:p w14:paraId="62FDFBDC">
            <w:pPr>
              <w:spacing w:line="360" w:lineRule="auto"/>
              <w:ind w:right="-11" w:firstLine="1995" w:firstLineChars="950"/>
              <w:jc w:val="left"/>
              <w:rPr>
                <w:rFonts w:ascii="宋体" w:hAnsi="宋体" w:cs="宋体"/>
                <w:color w:val="auto"/>
                <w:kern w:val="0"/>
              </w:rPr>
            </w:pPr>
          </w:p>
        </w:tc>
      </w:tr>
      <w:tr w14:paraId="453C8F5E">
        <w:tblPrEx>
          <w:tblCellMar>
            <w:top w:w="0" w:type="dxa"/>
            <w:left w:w="0" w:type="dxa"/>
            <w:bottom w:w="0" w:type="dxa"/>
            <w:right w:w="0" w:type="dxa"/>
          </w:tblCellMar>
        </w:tblPrEx>
        <w:tc>
          <w:tcPr>
            <w:tcW w:w="4753" w:type="dxa"/>
          </w:tcPr>
          <w:p w14:paraId="3C04C5F3">
            <w:pPr>
              <w:spacing w:line="360" w:lineRule="auto"/>
              <w:ind w:right="-11" w:firstLine="840" w:firstLineChars="400"/>
              <w:jc w:val="left"/>
              <w:rPr>
                <w:rFonts w:ascii="宋体" w:hAnsi="宋体" w:cs="宋体"/>
                <w:color w:val="auto"/>
                <w:kern w:val="0"/>
              </w:rPr>
            </w:pPr>
            <w:r>
              <w:rPr>
                <w:rFonts w:hint="eastAsia" w:ascii="宋体" w:hAnsi="宋体" w:cs="宋体"/>
                <w:color w:val="auto"/>
                <w:kern w:val="0"/>
              </w:rPr>
              <w:t>法定代表人：</w:t>
            </w:r>
          </w:p>
          <w:p w14:paraId="775BAC80">
            <w:pPr>
              <w:spacing w:line="360" w:lineRule="auto"/>
              <w:ind w:right="-11" w:firstLine="735" w:firstLineChars="350"/>
              <w:jc w:val="left"/>
              <w:rPr>
                <w:rFonts w:ascii="宋体" w:hAnsi="宋体" w:cs="宋体"/>
                <w:color w:val="auto"/>
                <w:kern w:val="0"/>
              </w:rPr>
            </w:pPr>
            <w:r>
              <w:rPr>
                <w:rFonts w:hint="eastAsia" w:ascii="宋体" w:hAnsi="宋体" w:cs="宋体"/>
                <w:color w:val="auto"/>
                <w:kern w:val="0"/>
              </w:rPr>
              <w:t>（签字或盖章）</w:t>
            </w:r>
          </w:p>
        </w:tc>
        <w:tc>
          <w:tcPr>
            <w:tcW w:w="4744" w:type="dxa"/>
            <w:tcMar>
              <w:right w:w="0" w:type="dxa"/>
            </w:tcMar>
          </w:tcPr>
          <w:p w14:paraId="6F64F9E3">
            <w:pPr>
              <w:spacing w:line="360" w:lineRule="auto"/>
              <w:ind w:right="-11"/>
              <w:jc w:val="left"/>
              <w:rPr>
                <w:rFonts w:ascii="宋体" w:hAnsi="宋体" w:cs="宋体"/>
                <w:color w:val="auto"/>
                <w:kern w:val="0"/>
              </w:rPr>
            </w:pPr>
            <w:r>
              <w:rPr>
                <w:rFonts w:hint="eastAsia" w:ascii="宋体" w:hAnsi="宋体" w:cs="宋体"/>
                <w:color w:val="auto"/>
                <w:kern w:val="0"/>
              </w:rPr>
              <w:t xml:space="preserve">   法定代表人：</w:t>
            </w:r>
          </w:p>
          <w:p w14:paraId="7B2C5CB5">
            <w:pPr>
              <w:spacing w:line="360" w:lineRule="auto"/>
              <w:ind w:right="-11" w:firstLine="210" w:firstLineChars="100"/>
              <w:jc w:val="left"/>
              <w:rPr>
                <w:rFonts w:ascii="宋体" w:hAnsi="宋体" w:cs="宋体"/>
                <w:color w:val="auto"/>
                <w:kern w:val="0"/>
              </w:rPr>
            </w:pPr>
            <w:r>
              <w:rPr>
                <w:rFonts w:hint="eastAsia" w:ascii="宋体" w:hAnsi="宋体" w:cs="宋体"/>
                <w:color w:val="auto"/>
                <w:kern w:val="0"/>
              </w:rPr>
              <w:t>（签字或盖章）</w:t>
            </w:r>
          </w:p>
          <w:p w14:paraId="22CAEEBD">
            <w:pPr>
              <w:spacing w:line="360" w:lineRule="auto"/>
              <w:ind w:right="-11"/>
              <w:jc w:val="left"/>
              <w:rPr>
                <w:rFonts w:ascii="宋体" w:hAnsi="宋体" w:cs="宋体"/>
                <w:color w:val="auto"/>
                <w:kern w:val="0"/>
              </w:rPr>
            </w:pPr>
          </w:p>
        </w:tc>
      </w:tr>
    </w:tbl>
    <w:p w14:paraId="42BC9E06">
      <w:pPr>
        <w:spacing w:line="360" w:lineRule="auto"/>
        <w:rPr>
          <w:rFonts w:ascii="宋体" w:hAnsi="宋体" w:cs="宋体"/>
          <w:color w:val="auto"/>
          <w:szCs w:val="21"/>
        </w:rPr>
      </w:pPr>
    </w:p>
    <w:p w14:paraId="10C4C554">
      <w:pPr>
        <w:spacing w:line="360" w:lineRule="auto"/>
        <w:rPr>
          <w:rFonts w:ascii="宋体" w:hAnsi="宋体" w:cs="宋体"/>
          <w:color w:val="auto"/>
          <w:szCs w:val="21"/>
        </w:rPr>
      </w:pPr>
    </w:p>
    <w:p w14:paraId="28DDD8CC">
      <w:pPr>
        <w:spacing w:line="360" w:lineRule="auto"/>
        <w:rPr>
          <w:rFonts w:ascii="宋体" w:hAnsi="宋体" w:cs="宋体"/>
          <w:color w:val="auto"/>
          <w:szCs w:val="21"/>
        </w:rPr>
      </w:pPr>
    </w:p>
    <w:p w14:paraId="3A6F3005">
      <w:pPr>
        <w:spacing w:line="360" w:lineRule="auto"/>
        <w:rPr>
          <w:rFonts w:ascii="宋体" w:hAnsi="宋体" w:cs="宋体"/>
          <w:color w:val="auto"/>
          <w:szCs w:val="21"/>
        </w:rPr>
      </w:pPr>
    </w:p>
    <w:p w14:paraId="3F28D198">
      <w:pPr>
        <w:tabs>
          <w:tab w:val="left" w:pos="1080"/>
        </w:tabs>
        <w:spacing w:line="360" w:lineRule="auto"/>
        <w:rPr>
          <w:rFonts w:ascii="宋体" w:hAnsi="宋体"/>
          <w:b/>
          <w:color w:val="auto"/>
          <w:sz w:val="24"/>
        </w:rPr>
      </w:pPr>
    </w:p>
    <w:p w14:paraId="6FBE93C4">
      <w:pPr>
        <w:rPr>
          <w:rFonts w:ascii="宋体" w:hAnsi="宋体"/>
          <w:b/>
          <w:color w:val="auto"/>
          <w:sz w:val="32"/>
          <w:szCs w:val="32"/>
        </w:rPr>
      </w:pPr>
    </w:p>
    <w:p w14:paraId="47E0F459">
      <w:pPr>
        <w:rPr>
          <w:rFonts w:ascii="宋体" w:hAnsi="宋体"/>
          <w:b/>
          <w:color w:val="auto"/>
          <w:sz w:val="32"/>
          <w:szCs w:val="32"/>
        </w:rPr>
      </w:pPr>
      <w:r>
        <w:rPr>
          <w:rFonts w:ascii="宋体" w:hAnsi="宋体"/>
          <w:b/>
          <w:color w:val="auto"/>
          <w:sz w:val="32"/>
          <w:szCs w:val="32"/>
        </w:rPr>
        <w:br w:type="page"/>
      </w:r>
    </w:p>
    <w:p w14:paraId="3A4DCF56">
      <w:pPr>
        <w:pStyle w:val="3"/>
        <w:spacing w:line="500" w:lineRule="exact"/>
        <w:jc w:val="center"/>
        <w:rPr>
          <w:rFonts w:ascii="宋体" w:hAnsi="宋体" w:cs="宋体"/>
          <w:color w:val="auto"/>
          <w:sz w:val="32"/>
        </w:rPr>
      </w:pPr>
      <w:bookmarkStart w:id="242" w:name="_Toc25107"/>
      <w:r>
        <w:rPr>
          <w:rFonts w:hint="eastAsia" w:ascii="宋体" w:hAnsi="宋体" w:cs="宋体"/>
          <w:color w:val="auto"/>
          <w:sz w:val="32"/>
        </w:rPr>
        <w:t>第</w:t>
      </w:r>
      <w:r>
        <w:rPr>
          <w:rFonts w:hint="eastAsia" w:ascii="宋体" w:hAnsi="宋体" w:cs="宋体"/>
          <w:color w:val="auto"/>
          <w:sz w:val="32"/>
          <w:lang w:val="en-US" w:eastAsia="zh-CN"/>
        </w:rPr>
        <w:t>五</w:t>
      </w:r>
      <w:r>
        <w:rPr>
          <w:rFonts w:hint="eastAsia" w:ascii="宋体" w:hAnsi="宋体" w:cs="宋体"/>
          <w:color w:val="auto"/>
          <w:sz w:val="32"/>
        </w:rPr>
        <w:t>章  图纸</w:t>
      </w:r>
      <w:bookmarkEnd w:id="128"/>
      <w:bookmarkEnd w:id="242"/>
    </w:p>
    <w:p w14:paraId="31FACA4B">
      <w:pPr>
        <w:spacing w:line="312" w:lineRule="auto"/>
        <w:ind w:firstLine="3080" w:firstLineChars="1100"/>
        <w:jc w:val="left"/>
        <w:rPr>
          <w:bCs/>
          <w:color w:val="auto"/>
          <w:kern w:val="0"/>
          <w:sz w:val="28"/>
          <w:szCs w:val="28"/>
        </w:rPr>
      </w:pPr>
      <w:r>
        <w:rPr>
          <w:rFonts w:hint="eastAsia"/>
          <w:bCs/>
          <w:color w:val="auto"/>
          <w:kern w:val="0"/>
          <w:sz w:val="28"/>
          <w:szCs w:val="28"/>
        </w:rPr>
        <w:t>图纸详见本采购文件附件。</w:t>
      </w:r>
    </w:p>
    <w:p w14:paraId="6F88E2E1">
      <w:pPr>
        <w:rPr>
          <w:color w:val="auto"/>
        </w:rPr>
      </w:pPr>
    </w:p>
    <w:p w14:paraId="7E21E369">
      <w:pPr>
        <w:rPr>
          <w:color w:val="auto"/>
        </w:rPr>
      </w:pPr>
    </w:p>
    <w:p w14:paraId="0F8E2CD0">
      <w:pPr>
        <w:rPr>
          <w:color w:val="auto"/>
        </w:rPr>
      </w:pPr>
    </w:p>
    <w:p w14:paraId="28949009">
      <w:pPr>
        <w:rPr>
          <w:color w:val="auto"/>
        </w:rPr>
      </w:pPr>
    </w:p>
    <w:p w14:paraId="6EBFD154">
      <w:pPr>
        <w:pStyle w:val="3"/>
        <w:jc w:val="center"/>
        <w:rPr>
          <w:rFonts w:ascii="宋体" w:hAnsi="宋体"/>
          <w:color w:val="auto"/>
          <w:sz w:val="32"/>
          <w:szCs w:val="32"/>
        </w:rPr>
      </w:pPr>
      <w:bookmarkStart w:id="243" w:name="_Toc23421"/>
      <w:r>
        <w:rPr>
          <w:rFonts w:hint="eastAsia" w:ascii="宋体" w:hAnsi="宋体"/>
          <w:color w:val="auto"/>
          <w:sz w:val="32"/>
          <w:szCs w:val="32"/>
        </w:rPr>
        <w:t>第</w:t>
      </w:r>
      <w:r>
        <w:rPr>
          <w:rFonts w:hint="eastAsia" w:ascii="宋体" w:hAnsi="宋体"/>
          <w:color w:val="auto"/>
          <w:sz w:val="32"/>
          <w:szCs w:val="32"/>
          <w:lang w:val="en-US" w:eastAsia="zh-CN"/>
        </w:rPr>
        <w:t>六</w:t>
      </w:r>
      <w:r>
        <w:rPr>
          <w:rFonts w:hint="eastAsia" w:ascii="宋体" w:hAnsi="宋体"/>
          <w:color w:val="auto"/>
          <w:sz w:val="32"/>
          <w:szCs w:val="32"/>
        </w:rPr>
        <w:t>章  技术规范</w:t>
      </w:r>
      <w:bookmarkEnd w:id="243"/>
    </w:p>
    <w:p w14:paraId="1F9DD0EA">
      <w:pPr>
        <w:jc w:val="center"/>
        <w:rPr>
          <w:color w:val="auto"/>
        </w:rPr>
      </w:pPr>
      <w:r>
        <w:rPr>
          <w:rFonts w:hint="eastAsia" w:ascii="宋体" w:hAnsi="宋体" w:cs="宋体"/>
          <w:color w:val="auto"/>
          <w:sz w:val="28"/>
          <w:szCs w:val="28"/>
        </w:rPr>
        <w:t>按国家行业和地方现行标准、规范和规程等要求执行。</w:t>
      </w:r>
    </w:p>
    <w:p w14:paraId="57FAD7EE">
      <w:pPr>
        <w:rPr>
          <w:color w:val="auto"/>
        </w:rPr>
      </w:pPr>
    </w:p>
    <w:p w14:paraId="6D6FF7F7">
      <w:pPr>
        <w:pStyle w:val="3"/>
        <w:spacing w:line="276" w:lineRule="auto"/>
        <w:jc w:val="center"/>
        <w:rPr>
          <w:rFonts w:ascii="宋体" w:hAnsi="宋体"/>
          <w:color w:val="auto"/>
          <w:sz w:val="32"/>
          <w:szCs w:val="32"/>
        </w:rPr>
      </w:pPr>
      <w:bookmarkStart w:id="244" w:name="_Toc24361"/>
      <w:r>
        <w:rPr>
          <w:rFonts w:ascii="宋体" w:hAnsi="宋体"/>
          <w:color w:val="auto"/>
          <w:sz w:val="32"/>
          <w:szCs w:val="32"/>
        </w:rPr>
        <w:t>第</w:t>
      </w:r>
      <w:r>
        <w:rPr>
          <w:rFonts w:hint="eastAsia" w:ascii="宋体" w:hAnsi="宋体"/>
          <w:color w:val="auto"/>
          <w:sz w:val="32"/>
          <w:szCs w:val="32"/>
          <w:lang w:val="en-US" w:eastAsia="zh-CN"/>
        </w:rPr>
        <w:t>七</w:t>
      </w:r>
      <w:r>
        <w:rPr>
          <w:rFonts w:ascii="宋体" w:hAnsi="宋体"/>
          <w:color w:val="auto"/>
          <w:sz w:val="32"/>
          <w:szCs w:val="32"/>
        </w:rPr>
        <w:t>章工程量清单</w:t>
      </w:r>
      <w:bookmarkEnd w:id="244"/>
    </w:p>
    <w:p w14:paraId="342FA596">
      <w:pPr>
        <w:spacing w:line="312" w:lineRule="auto"/>
        <w:ind w:firstLine="562" w:firstLineChars="200"/>
        <w:jc w:val="left"/>
        <w:outlineLvl w:val="1"/>
        <w:rPr>
          <w:rFonts w:ascii="黑体" w:hAnsi="黑体" w:eastAsia="黑体" w:cs="Arial"/>
          <w:b/>
          <w:color w:val="auto"/>
          <w:kern w:val="0"/>
          <w:sz w:val="28"/>
          <w:szCs w:val="28"/>
        </w:rPr>
      </w:pPr>
      <w:r>
        <w:rPr>
          <w:rFonts w:ascii="黑体" w:hAnsi="黑体" w:eastAsia="黑体" w:cs="Arial"/>
          <w:b/>
          <w:color w:val="auto"/>
          <w:kern w:val="0"/>
          <w:sz w:val="28"/>
          <w:szCs w:val="28"/>
        </w:rPr>
        <w:t>工程量清单</w:t>
      </w:r>
    </w:p>
    <w:p w14:paraId="14D9E9BA">
      <w:pPr>
        <w:spacing w:line="312" w:lineRule="auto"/>
        <w:ind w:firstLine="422" w:firstLineChars="200"/>
        <w:jc w:val="left"/>
        <w:rPr>
          <w:b/>
          <w:bCs/>
          <w:color w:val="auto"/>
          <w:kern w:val="0"/>
          <w:szCs w:val="21"/>
        </w:rPr>
      </w:pPr>
      <w:r>
        <w:rPr>
          <w:rFonts w:hint="eastAsia"/>
          <w:b/>
          <w:bCs/>
          <w:color w:val="auto"/>
          <w:kern w:val="0"/>
          <w:szCs w:val="21"/>
        </w:rPr>
        <w:t>1</w:t>
      </w:r>
      <w:r>
        <w:rPr>
          <w:b/>
          <w:bCs/>
          <w:color w:val="auto"/>
          <w:kern w:val="0"/>
          <w:szCs w:val="21"/>
        </w:rPr>
        <w:t>.工程量清单说明</w:t>
      </w:r>
    </w:p>
    <w:p w14:paraId="3F3251BD">
      <w:pPr>
        <w:spacing w:line="360" w:lineRule="auto"/>
        <w:ind w:firstLine="420" w:firstLineChars="200"/>
        <w:rPr>
          <w:color w:val="auto"/>
        </w:rPr>
      </w:pPr>
      <w:r>
        <w:rPr>
          <w:color w:val="auto"/>
        </w:rPr>
        <w:t>1.1</w:t>
      </w:r>
      <w:r>
        <w:rPr>
          <w:rFonts w:hint="eastAsia" w:hAnsi="宋体" w:cs="宋体"/>
          <w:color w:val="auto"/>
        </w:rPr>
        <w:t>本工程量清单依据</w:t>
      </w:r>
      <w:r>
        <w:rPr>
          <w:rFonts w:hint="eastAsia" w:cs="宋体"/>
          <w:color w:val="auto"/>
        </w:rPr>
        <w:t>《建设工程工程量清单计价规范（</w:t>
      </w:r>
      <w:r>
        <w:rPr>
          <w:rFonts w:cs="宋体"/>
          <w:color w:val="auto"/>
        </w:rPr>
        <w:t>GB50500-2013</w:t>
      </w:r>
      <w:r>
        <w:rPr>
          <w:rFonts w:hint="eastAsia" w:cs="宋体"/>
          <w:color w:val="auto"/>
        </w:rPr>
        <w:t>）广西实施细则》（以下简称</w:t>
      </w:r>
      <w:r>
        <w:rPr>
          <w:rFonts w:cs="宋体"/>
          <w:color w:val="auto"/>
        </w:rPr>
        <w:t>“</w:t>
      </w:r>
      <w:r>
        <w:rPr>
          <w:rFonts w:hint="eastAsia" w:cs="宋体"/>
          <w:color w:val="auto"/>
        </w:rPr>
        <w:t>《计价规范》</w:t>
      </w:r>
      <w:r>
        <w:rPr>
          <w:rFonts w:cs="宋体"/>
          <w:color w:val="auto"/>
        </w:rPr>
        <w:t>”</w:t>
      </w:r>
      <w:r>
        <w:rPr>
          <w:rFonts w:hint="eastAsia" w:cs="宋体"/>
          <w:color w:val="auto"/>
        </w:rPr>
        <w:t>）、《工程量清单计算规范（</w:t>
      </w:r>
      <w:r>
        <w:rPr>
          <w:rFonts w:cs="宋体"/>
          <w:color w:val="auto"/>
        </w:rPr>
        <w:t>GB50854~50862-2013</w:t>
      </w:r>
      <w:r>
        <w:rPr>
          <w:rFonts w:hint="eastAsia" w:cs="宋体"/>
          <w:color w:val="auto"/>
        </w:rPr>
        <w:t>）》及广西实施细则（修订本）（以下简称</w:t>
      </w:r>
      <w:r>
        <w:rPr>
          <w:rFonts w:cs="宋体"/>
          <w:color w:val="auto"/>
        </w:rPr>
        <w:t>“</w:t>
      </w:r>
      <w:r>
        <w:rPr>
          <w:rFonts w:hint="eastAsia" w:cs="宋体"/>
          <w:color w:val="auto"/>
        </w:rPr>
        <w:t>《计算规范》</w:t>
      </w:r>
      <w:r>
        <w:rPr>
          <w:rFonts w:cs="宋体"/>
          <w:color w:val="auto"/>
        </w:rPr>
        <w:t>”</w:t>
      </w:r>
      <w:r>
        <w:rPr>
          <w:rFonts w:hint="eastAsia" w:cs="宋体"/>
          <w:color w:val="auto"/>
        </w:rPr>
        <w:t>）、《关于建筑业实施营业税改征增值税后广西壮族自治区建设工程计价依据调整的通知》（桂建标〔</w:t>
      </w:r>
      <w:r>
        <w:rPr>
          <w:rFonts w:cs="宋体"/>
          <w:color w:val="auto"/>
        </w:rPr>
        <w:t>2016</w:t>
      </w:r>
      <w:r>
        <w:rPr>
          <w:rFonts w:hint="eastAsia" w:cs="宋体"/>
          <w:color w:val="auto"/>
        </w:rPr>
        <w:t>〕</w:t>
      </w:r>
      <w:r>
        <w:rPr>
          <w:rFonts w:cs="宋体"/>
          <w:color w:val="auto"/>
        </w:rPr>
        <w:t>17</w:t>
      </w:r>
      <w:r>
        <w:rPr>
          <w:rFonts w:hint="eastAsia" w:cs="宋体"/>
          <w:color w:val="auto"/>
        </w:rPr>
        <w:t>号）</w:t>
      </w:r>
      <w:r>
        <w:rPr>
          <w:rFonts w:hint="eastAsia" w:hAnsi="宋体" w:cs="宋体"/>
          <w:color w:val="auto"/>
          <w:kern w:val="0"/>
        </w:rPr>
        <w:t>、招</w:t>
      </w:r>
      <w:r>
        <w:rPr>
          <w:rFonts w:hint="eastAsia" w:hAnsi="宋体" w:cs="宋体"/>
          <w:color w:val="auto"/>
        </w:rPr>
        <w:t>标文件、施工图等编制。计算规范中没有的清单项目，应在本章第</w:t>
      </w:r>
      <w:r>
        <w:rPr>
          <w:color w:val="auto"/>
        </w:rPr>
        <w:t>1.4</w:t>
      </w:r>
      <w:r>
        <w:rPr>
          <w:rFonts w:hint="eastAsia" w:hAnsi="宋体" w:cs="宋体"/>
          <w:color w:val="auto"/>
        </w:rPr>
        <w:t>款约定。</w:t>
      </w:r>
    </w:p>
    <w:p w14:paraId="1CBF6F51">
      <w:pPr>
        <w:spacing w:line="360" w:lineRule="auto"/>
        <w:ind w:firstLine="420" w:firstLineChars="200"/>
        <w:rPr>
          <w:color w:val="auto"/>
        </w:rPr>
      </w:pPr>
      <w:r>
        <w:rPr>
          <w:color w:val="auto"/>
        </w:rPr>
        <w:t xml:space="preserve">1.2 </w:t>
      </w:r>
      <w:r>
        <w:rPr>
          <w:rFonts w:hint="eastAsia"/>
          <w:color w:val="auto"/>
        </w:rPr>
        <w:t>工程量清单应与供应商须知、合同协议条款、合同的通用条款、合同专用条款、技术规范及图纸等文件一起结合使用。</w:t>
      </w:r>
    </w:p>
    <w:p w14:paraId="6270E5AE">
      <w:pPr>
        <w:spacing w:line="360" w:lineRule="auto"/>
        <w:ind w:firstLine="420" w:firstLineChars="200"/>
        <w:rPr>
          <w:color w:val="auto"/>
        </w:rPr>
      </w:pPr>
      <w:r>
        <w:rPr>
          <w:color w:val="auto"/>
        </w:rPr>
        <w:t xml:space="preserve">1.3 </w:t>
      </w:r>
      <w:r>
        <w:rPr>
          <w:rFonts w:hint="eastAsia" w:cs="宋体"/>
          <w:color w:val="auto"/>
        </w:rPr>
        <w:t>工程量清单是采购文件的组成部分，是工程量清单计价的基础，作为编制控制价、响应报价、计算或调整工程量、索赔等的依据之一。</w:t>
      </w:r>
    </w:p>
    <w:p w14:paraId="766F0937">
      <w:pPr>
        <w:spacing w:line="360" w:lineRule="auto"/>
        <w:ind w:firstLine="420" w:firstLineChars="200"/>
        <w:rPr>
          <w:color w:val="auto"/>
        </w:rPr>
      </w:pPr>
      <w:r>
        <w:rPr>
          <w:color w:val="auto"/>
        </w:rPr>
        <w:t xml:space="preserve">1.4 </w:t>
      </w:r>
      <w:r>
        <w:rPr>
          <w:rFonts w:hint="eastAsia" w:cs="宋体"/>
          <w:color w:val="auto"/>
        </w:rPr>
        <w:t>补充清单项目的特征、计量单位、工程量计算规则及工作内容说明如下：</w:t>
      </w:r>
    </w:p>
    <w:p w14:paraId="63375AFD">
      <w:pPr>
        <w:spacing w:line="360" w:lineRule="auto"/>
        <w:ind w:left="2"/>
        <w:rPr>
          <w:color w:val="auto"/>
        </w:rPr>
      </w:pPr>
      <w:r>
        <w:rPr>
          <w:color w:val="auto"/>
        </w:rPr>
        <w:t xml:space="preserve">   </w:t>
      </w:r>
      <w:r>
        <w:rPr>
          <w:color w:val="auto"/>
          <w:u w:val="single"/>
        </w:rPr>
        <w:t xml:space="preserve">                                                                                                                                                               </w:t>
      </w:r>
      <w:r>
        <w:rPr>
          <w:rFonts w:hint="eastAsia" w:hAnsi="宋体" w:cs="宋体"/>
          <w:color w:val="auto"/>
        </w:rPr>
        <w:t>。</w:t>
      </w:r>
    </w:p>
    <w:p w14:paraId="10CB1180">
      <w:pPr>
        <w:pStyle w:val="24"/>
        <w:spacing w:line="360" w:lineRule="auto"/>
        <w:ind w:firstLine="420" w:firstLineChars="200"/>
        <w:rPr>
          <w:rFonts w:ascii="Times New Roman" w:hAnsi="Times New Roman"/>
          <w:color w:val="auto"/>
        </w:rPr>
      </w:pPr>
      <w:r>
        <w:rPr>
          <w:rFonts w:ascii="Times New Roman" w:hAnsi="Times New Roman"/>
          <w:color w:val="auto"/>
        </w:rPr>
        <w:t xml:space="preserve">1.5 </w:t>
      </w:r>
      <w:r>
        <w:rPr>
          <w:rFonts w:hint="eastAsia" w:ascii="Times New Roman" w:hAnsi="Times New Roman"/>
          <w:color w:val="auto"/>
        </w:rPr>
        <w:t>《允许调整主要材料和工程设备一览表》（表</w:t>
      </w:r>
      <w:r>
        <w:rPr>
          <w:rFonts w:ascii="Times New Roman" w:hAnsi="Times New Roman"/>
          <w:color w:val="auto"/>
        </w:rPr>
        <w:t>-22</w:t>
      </w:r>
      <w:r>
        <w:rPr>
          <w:rFonts w:hint="eastAsia" w:ascii="Times New Roman" w:hAnsi="Times New Roman"/>
          <w:color w:val="auto"/>
        </w:rPr>
        <w:t>，表格编号为计价规范相应表格编号，下同）作为项目实施过程中材料和设备价格风险调整依据。</w:t>
      </w:r>
    </w:p>
    <w:p w14:paraId="3FE0C848">
      <w:pPr>
        <w:pStyle w:val="24"/>
        <w:spacing w:line="360" w:lineRule="auto"/>
        <w:ind w:firstLine="420" w:firstLineChars="200"/>
        <w:rPr>
          <w:rFonts w:ascii="Times New Roman" w:hAnsi="Times New Roman"/>
          <w:color w:val="auto"/>
        </w:rPr>
      </w:pPr>
      <w:r>
        <w:rPr>
          <w:rFonts w:ascii="Times New Roman" w:hAnsi="Times New Roman"/>
          <w:color w:val="auto"/>
        </w:rPr>
        <w:t xml:space="preserve">1.6 </w:t>
      </w:r>
      <w:r>
        <w:rPr>
          <w:rFonts w:hint="eastAsia" w:ascii="Times New Roman" w:hAnsi="Times New Roman"/>
          <w:color w:val="auto"/>
        </w:rPr>
        <w:t>本工程暂列金额（约按合同造价</w:t>
      </w:r>
      <w:r>
        <w:rPr>
          <w:rFonts w:ascii="Times New Roman" w:hAnsi="Times New Roman"/>
          <w:color w:val="auto"/>
          <w:u w:val="single"/>
        </w:rPr>
        <w:t xml:space="preserve">        </w:t>
      </w:r>
      <w:r>
        <w:rPr>
          <w:rFonts w:ascii="Times New Roman" w:hAnsi="Times New Roman"/>
          <w:color w:val="auto"/>
        </w:rPr>
        <w:t>%</w:t>
      </w:r>
      <w:r>
        <w:rPr>
          <w:rFonts w:hint="eastAsia" w:ascii="Times New Roman" w:hAnsi="Times New Roman"/>
          <w:color w:val="auto"/>
        </w:rPr>
        <w:t>计算），共</w:t>
      </w:r>
      <w:r>
        <w:rPr>
          <w:rFonts w:ascii="Times New Roman" w:hAnsi="Times New Roman"/>
          <w:color w:val="auto"/>
          <w:u w:val="single"/>
        </w:rPr>
        <w:t xml:space="preserve">        </w:t>
      </w:r>
      <w:r>
        <w:rPr>
          <w:rFonts w:hint="eastAsia" w:ascii="Times New Roman" w:hAnsi="Times New Roman"/>
          <w:color w:val="auto"/>
        </w:rPr>
        <w:t>元，作为合同签订时尚未确定或者不可预见但施工中可能发生的费用。</w:t>
      </w:r>
    </w:p>
    <w:p w14:paraId="4FA45ABE">
      <w:pPr>
        <w:pStyle w:val="24"/>
        <w:spacing w:line="360" w:lineRule="auto"/>
        <w:ind w:firstLine="420" w:firstLineChars="200"/>
        <w:rPr>
          <w:rFonts w:ascii="Times New Roman" w:hAnsi="Times New Roman"/>
          <w:color w:val="auto"/>
        </w:rPr>
      </w:pPr>
      <w:r>
        <w:rPr>
          <w:rFonts w:ascii="Times New Roman" w:hAnsi="Times New Roman"/>
          <w:color w:val="auto"/>
        </w:rPr>
        <w:t xml:space="preserve">1.7 </w:t>
      </w:r>
      <w:r>
        <w:rPr>
          <w:rFonts w:hint="eastAsia" w:ascii="Times New Roman" w:hAnsi="Times New Roman"/>
          <w:color w:val="auto"/>
        </w:rPr>
        <w:t>本工程发包人提供的材料和设备详见《发包人提供的主要材料和工程设备一览表》（表</w:t>
      </w:r>
      <w:r>
        <w:rPr>
          <w:rFonts w:ascii="Times New Roman" w:hAnsi="Times New Roman"/>
          <w:color w:val="auto"/>
        </w:rPr>
        <w:t>-21</w:t>
      </w:r>
      <w:r>
        <w:rPr>
          <w:rFonts w:hint="eastAsia" w:ascii="Times New Roman" w:hAnsi="Times New Roman"/>
          <w:color w:val="auto"/>
        </w:rPr>
        <w:t>）。</w:t>
      </w:r>
    </w:p>
    <w:p w14:paraId="54A8E76D">
      <w:pPr>
        <w:spacing w:line="360" w:lineRule="auto"/>
        <w:ind w:firstLine="420" w:firstLineChars="200"/>
        <w:rPr>
          <w:color w:val="auto"/>
        </w:rPr>
      </w:pPr>
      <w:r>
        <w:rPr>
          <w:color w:val="auto"/>
        </w:rPr>
        <w:t xml:space="preserve">1.8 </w:t>
      </w:r>
      <w:r>
        <w:rPr>
          <w:rFonts w:hint="eastAsia" w:cs="宋体"/>
          <w:color w:val="auto"/>
        </w:rPr>
        <w:t>本工程部分材料和设备在招标时作为暂估价计列，结算按实调整，具体内容详见《材料（工程设备）暂估单价及调整表》（表</w:t>
      </w:r>
      <w:r>
        <w:rPr>
          <w:color w:val="auto"/>
        </w:rPr>
        <w:t>12-2</w:t>
      </w:r>
      <w:r>
        <w:rPr>
          <w:rFonts w:hint="eastAsia" w:cs="宋体"/>
          <w:color w:val="auto"/>
        </w:rPr>
        <w:t>）。</w:t>
      </w:r>
    </w:p>
    <w:p w14:paraId="11BE22B7">
      <w:pPr>
        <w:spacing w:line="360" w:lineRule="auto"/>
        <w:ind w:firstLine="420" w:firstLineChars="200"/>
        <w:rPr>
          <w:color w:val="auto"/>
        </w:rPr>
      </w:pPr>
      <w:r>
        <w:rPr>
          <w:color w:val="auto"/>
        </w:rPr>
        <w:t xml:space="preserve">1.9 </w:t>
      </w:r>
      <w:r>
        <w:rPr>
          <w:rFonts w:hint="eastAsia" w:cs="宋体"/>
          <w:color w:val="auto"/>
        </w:rPr>
        <w:t>招标时暂估专业工程的价款属于暂估价，结算按实调整，具体内容详见《专业工程暂估价及结算价表》（表</w:t>
      </w:r>
      <w:r>
        <w:rPr>
          <w:color w:val="auto"/>
        </w:rPr>
        <w:t>12-3</w:t>
      </w:r>
      <w:r>
        <w:rPr>
          <w:rFonts w:hint="eastAsia" w:cs="宋体"/>
          <w:color w:val="auto"/>
        </w:rPr>
        <w:t>）。</w:t>
      </w:r>
    </w:p>
    <w:p w14:paraId="7784AC1B">
      <w:pPr>
        <w:spacing w:line="360" w:lineRule="auto"/>
        <w:ind w:firstLine="420" w:firstLineChars="200"/>
        <w:rPr>
          <w:color w:val="auto"/>
        </w:rPr>
      </w:pPr>
      <w:r>
        <w:rPr>
          <w:color w:val="auto"/>
        </w:rPr>
        <w:t xml:space="preserve">1.10 </w:t>
      </w:r>
      <w:r>
        <w:rPr>
          <w:rFonts w:hint="eastAsia" w:cs="宋体"/>
          <w:color w:val="auto"/>
        </w:rPr>
        <w:t>本工程量清单编码处标注</w:t>
      </w:r>
      <w:r>
        <w:rPr>
          <w:color w:val="auto"/>
        </w:rPr>
        <w:t>“*”</w:t>
      </w:r>
      <w:r>
        <w:rPr>
          <w:rFonts w:hint="eastAsia" w:cs="宋体"/>
          <w:color w:val="auto"/>
        </w:rPr>
        <w:t>号的清单项目作为主要清单项目，需要投标人提供</w:t>
      </w:r>
      <w:r>
        <w:rPr>
          <w:rFonts w:hint="eastAsia" w:hAnsi="宋体" w:cs="宋体"/>
          <w:color w:val="auto"/>
        </w:rPr>
        <w:t>《主要清单项目工料机分析表》（表</w:t>
      </w:r>
      <w:r>
        <w:rPr>
          <w:color w:val="auto"/>
        </w:rPr>
        <w:t>-10</w:t>
      </w:r>
      <w:r>
        <w:rPr>
          <w:rFonts w:hint="eastAsia" w:hAnsi="宋体" w:cs="宋体"/>
          <w:color w:val="auto"/>
        </w:rPr>
        <w:t>）</w:t>
      </w:r>
      <w:r>
        <w:rPr>
          <w:rFonts w:hint="eastAsia" w:cs="宋体"/>
          <w:color w:val="auto"/>
        </w:rPr>
        <w:t>。</w:t>
      </w:r>
    </w:p>
    <w:p w14:paraId="659AFF91">
      <w:pPr>
        <w:spacing w:line="360" w:lineRule="auto"/>
        <w:ind w:firstLine="420" w:firstLineChars="200"/>
        <w:rPr>
          <w:color w:val="auto"/>
          <w:u w:val="single"/>
        </w:rPr>
      </w:pPr>
      <w:r>
        <w:rPr>
          <w:color w:val="auto"/>
        </w:rPr>
        <w:t xml:space="preserve">1.11 </w:t>
      </w:r>
      <w:r>
        <w:rPr>
          <w:rFonts w:hint="eastAsia" w:cs="宋体"/>
          <w:color w:val="auto"/>
        </w:rPr>
        <w:t>其它需要说明的问题：</w:t>
      </w:r>
      <w:r>
        <w:rPr>
          <w:color w:val="auto"/>
          <w:u w:val="single"/>
        </w:rPr>
        <w:t xml:space="preserve">                                                       </w:t>
      </w:r>
    </w:p>
    <w:p w14:paraId="5A87DEE5">
      <w:pPr>
        <w:spacing w:line="360" w:lineRule="auto"/>
        <w:rPr>
          <w:color w:val="auto"/>
        </w:rPr>
      </w:pPr>
      <w:r>
        <w:rPr>
          <w:color w:val="auto"/>
          <w:u w:val="single"/>
        </w:rPr>
        <w:t xml:space="preserve">                                                                                 </w:t>
      </w:r>
      <w:r>
        <w:rPr>
          <w:rFonts w:hint="eastAsia" w:cs="宋体"/>
          <w:color w:val="auto"/>
        </w:rPr>
        <w:t>。</w:t>
      </w:r>
    </w:p>
    <w:p w14:paraId="0CEB8EA8">
      <w:pPr>
        <w:spacing w:line="312" w:lineRule="auto"/>
        <w:ind w:firstLine="422" w:firstLineChars="200"/>
        <w:jc w:val="left"/>
        <w:rPr>
          <w:b/>
          <w:bCs/>
          <w:color w:val="auto"/>
          <w:kern w:val="0"/>
          <w:szCs w:val="21"/>
        </w:rPr>
      </w:pPr>
      <w:r>
        <w:rPr>
          <w:rFonts w:hint="eastAsia"/>
          <w:b/>
          <w:bCs/>
          <w:color w:val="auto"/>
          <w:kern w:val="0"/>
          <w:szCs w:val="21"/>
        </w:rPr>
        <w:t>2</w:t>
      </w:r>
      <w:r>
        <w:rPr>
          <w:b/>
          <w:bCs/>
          <w:color w:val="auto"/>
          <w:kern w:val="0"/>
          <w:szCs w:val="21"/>
        </w:rPr>
        <w:t>.本工程预算金额评审依据</w:t>
      </w:r>
    </w:p>
    <w:p w14:paraId="4E7AC8B8">
      <w:pPr>
        <w:spacing w:line="360" w:lineRule="auto"/>
        <w:ind w:firstLine="420" w:firstLineChars="200"/>
        <w:rPr>
          <w:rFonts w:hint="eastAsia"/>
          <w:color w:val="auto"/>
        </w:rPr>
      </w:pPr>
      <w:r>
        <w:rPr>
          <w:color w:val="auto"/>
        </w:rPr>
        <w:t>2.1</w:t>
      </w:r>
      <w:r>
        <w:rPr>
          <w:rFonts w:hint="eastAsia" w:hAnsi="宋体" w:cs="宋体"/>
          <w:color w:val="auto"/>
        </w:rPr>
        <w:t>编制依据：</w:t>
      </w:r>
    </w:p>
    <w:p w14:paraId="3086630C">
      <w:pPr>
        <w:spacing w:line="360" w:lineRule="auto"/>
        <w:ind w:firstLine="420" w:firstLineChars="200"/>
        <w:rPr>
          <w:rFonts w:hAnsi="宋体"/>
          <w:color w:val="auto"/>
        </w:rPr>
      </w:pPr>
      <w:r>
        <w:rPr>
          <w:rFonts w:hint="eastAsia" w:cs="宋体"/>
          <w:color w:val="auto"/>
        </w:rPr>
        <w:t>（</w:t>
      </w:r>
      <w:r>
        <w:rPr>
          <w:color w:val="auto"/>
        </w:rPr>
        <w:t>1</w:t>
      </w:r>
      <w:r>
        <w:rPr>
          <w:rFonts w:hint="eastAsia" w:cs="宋体"/>
          <w:color w:val="auto"/>
        </w:rPr>
        <w:t>）</w:t>
      </w:r>
      <w:r>
        <w:rPr>
          <w:rFonts w:hint="eastAsia" w:hAnsi="宋体" w:cs="宋体"/>
          <w:color w:val="auto"/>
        </w:rPr>
        <w:t>《计价规范》及《计算规范》、</w:t>
      </w:r>
      <w:r>
        <w:rPr>
          <w:rFonts w:hint="eastAsia" w:hAnsi="宋体" w:cs="宋体"/>
          <w:color w:val="auto"/>
          <w:kern w:val="0"/>
        </w:rPr>
        <w:t>《关于建筑业实施营业税改征增值税后广西壮族自治区建设工程计价依据调整的通知》（桂建标〔</w:t>
      </w:r>
      <w:r>
        <w:rPr>
          <w:rFonts w:hAnsi="宋体"/>
          <w:color w:val="auto"/>
          <w:kern w:val="0"/>
        </w:rPr>
        <w:t>2016</w:t>
      </w:r>
      <w:r>
        <w:rPr>
          <w:rFonts w:hint="eastAsia" w:hAnsi="宋体" w:cs="宋体"/>
          <w:color w:val="auto"/>
          <w:kern w:val="0"/>
        </w:rPr>
        <w:t>〕</w:t>
      </w:r>
      <w:r>
        <w:rPr>
          <w:rFonts w:hAnsi="宋体"/>
          <w:color w:val="auto"/>
          <w:kern w:val="0"/>
        </w:rPr>
        <w:t>17</w:t>
      </w:r>
      <w:r>
        <w:rPr>
          <w:rFonts w:hint="eastAsia" w:hAnsi="宋体" w:cs="宋体"/>
          <w:color w:val="auto"/>
          <w:kern w:val="0"/>
        </w:rPr>
        <w:t>号）等</w:t>
      </w:r>
      <w:r>
        <w:rPr>
          <w:rFonts w:hint="eastAsia" w:hAnsi="宋体" w:cs="宋体"/>
          <w:color w:val="auto"/>
        </w:rPr>
        <w:t>；</w:t>
      </w:r>
    </w:p>
    <w:p w14:paraId="2C714967">
      <w:pPr>
        <w:spacing w:line="360" w:lineRule="auto"/>
        <w:ind w:firstLine="420" w:firstLineChars="200"/>
        <w:rPr>
          <w:color w:val="auto"/>
          <w:u w:val="single"/>
        </w:rPr>
      </w:pPr>
      <w:r>
        <w:rPr>
          <w:rFonts w:hint="eastAsia" w:cs="宋体"/>
          <w:color w:val="auto"/>
        </w:rPr>
        <w:t>（</w:t>
      </w:r>
      <w:r>
        <w:rPr>
          <w:color w:val="auto"/>
        </w:rPr>
        <w:t>2</w:t>
      </w:r>
      <w:r>
        <w:rPr>
          <w:rFonts w:hint="eastAsia" w:cs="宋体"/>
          <w:color w:val="auto"/>
        </w:rPr>
        <w:t>）自治区住房城乡建设行政主管部门颁发的计价定额及有关规定：</w:t>
      </w:r>
      <w:r>
        <w:rPr>
          <w:color w:val="auto"/>
          <w:u w:val="single"/>
        </w:rPr>
        <w:t xml:space="preserve">                  </w:t>
      </w:r>
    </w:p>
    <w:p w14:paraId="47D2D7BF">
      <w:pPr>
        <w:spacing w:line="360" w:lineRule="auto"/>
        <w:rPr>
          <w:color w:val="auto"/>
        </w:rPr>
      </w:pPr>
      <w:r>
        <w:rPr>
          <w:color w:val="auto"/>
          <w:u w:val="single"/>
        </w:rPr>
        <w:t xml:space="preserve">                                                                            </w:t>
      </w:r>
      <w:r>
        <w:rPr>
          <w:rFonts w:hint="eastAsia" w:cs="宋体"/>
          <w:color w:val="auto"/>
        </w:rPr>
        <w:t>。</w:t>
      </w:r>
    </w:p>
    <w:p w14:paraId="2029B983">
      <w:pPr>
        <w:spacing w:line="360" w:lineRule="auto"/>
        <w:ind w:firstLine="420" w:firstLineChars="200"/>
        <w:rPr>
          <w:color w:val="auto"/>
        </w:rPr>
      </w:pPr>
      <w:r>
        <w:rPr>
          <w:rFonts w:hint="eastAsia" w:cs="宋体"/>
          <w:color w:val="auto"/>
        </w:rPr>
        <w:t>（</w:t>
      </w:r>
      <w:r>
        <w:rPr>
          <w:color w:val="auto"/>
        </w:rPr>
        <w:t>3</w:t>
      </w:r>
      <w:r>
        <w:rPr>
          <w:rFonts w:hint="eastAsia" w:cs="宋体"/>
          <w:color w:val="auto"/>
        </w:rPr>
        <w:t>）建设工程设计文件及相关资料：</w:t>
      </w:r>
      <w:r>
        <w:rPr>
          <w:color w:val="auto"/>
          <w:u w:val="single"/>
        </w:rPr>
        <w:t xml:space="preserve">                                          </w:t>
      </w:r>
      <w:r>
        <w:rPr>
          <w:rFonts w:hint="eastAsia" w:cs="宋体"/>
          <w:color w:val="auto"/>
        </w:rPr>
        <w:t>。</w:t>
      </w:r>
      <w:r>
        <w:rPr>
          <w:color w:val="auto"/>
        </w:rPr>
        <w:t xml:space="preserve"> </w:t>
      </w:r>
    </w:p>
    <w:p w14:paraId="43B7393C">
      <w:pPr>
        <w:spacing w:line="360" w:lineRule="auto"/>
        <w:ind w:firstLine="420" w:firstLineChars="200"/>
        <w:rPr>
          <w:color w:val="auto"/>
        </w:rPr>
      </w:pPr>
      <w:r>
        <w:rPr>
          <w:rFonts w:hint="eastAsia" w:cs="宋体"/>
          <w:color w:val="auto"/>
        </w:rPr>
        <w:t>（</w:t>
      </w:r>
      <w:r>
        <w:rPr>
          <w:color w:val="auto"/>
        </w:rPr>
        <w:t>4</w:t>
      </w:r>
      <w:r>
        <w:rPr>
          <w:rFonts w:hint="eastAsia" w:cs="宋体"/>
          <w:color w:val="auto"/>
        </w:rPr>
        <w:t>）本工程采购文件及工程量清单；</w:t>
      </w:r>
    </w:p>
    <w:p w14:paraId="4C43BE0A">
      <w:pPr>
        <w:spacing w:line="360" w:lineRule="auto"/>
        <w:ind w:firstLine="420" w:firstLineChars="200"/>
        <w:rPr>
          <w:color w:val="auto"/>
        </w:rPr>
      </w:pPr>
      <w:r>
        <w:rPr>
          <w:rFonts w:hint="eastAsia" w:cs="宋体"/>
          <w:color w:val="auto"/>
        </w:rPr>
        <w:t>（</w:t>
      </w:r>
      <w:r>
        <w:rPr>
          <w:color w:val="auto"/>
        </w:rPr>
        <w:t>5</w:t>
      </w:r>
      <w:r>
        <w:rPr>
          <w:rFonts w:hint="eastAsia" w:cs="宋体"/>
          <w:color w:val="auto"/>
        </w:rPr>
        <w:t>）与建设项目相关的标准、规范、技术资料；</w:t>
      </w:r>
    </w:p>
    <w:p w14:paraId="08CAC023">
      <w:pPr>
        <w:spacing w:line="360" w:lineRule="auto"/>
        <w:ind w:firstLine="420" w:firstLineChars="200"/>
        <w:rPr>
          <w:color w:val="auto"/>
        </w:rPr>
      </w:pPr>
      <w:r>
        <w:rPr>
          <w:rFonts w:hint="eastAsia" w:cs="宋体"/>
          <w:color w:val="auto"/>
        </w:rPr>
        <w:t>（</w:t>
      </w:r>
      <w:r>
        <w:rPr>
          <w:color w:val="auto"/>
        </w:rPr>
        <w:t>6</w:t>
      </w:r>
      <w:r>
        <w:rPr>
          <w:rFonts w:hint="eastAsia" w:cs="宋体"/>
          <w:color w:val="auto"/>
        </w:rPr>
        <w:t>）施工现场情况、工程特点及常规施工方案；</w:t>
      </w:r>
    </w:p>
    <w:p w14:paraId="2A1E7D20">
      <w:pPr>
        <w:spacing w:line="360" w:lineRule="auto"/>
        <w:ind w:firstLine="420" w:firstLineChars="200"/>
        <w:rPr>
          <w:rFonts w:hAnsi="宋体"/>
          <w:color w:val="auto"/>
        </w:rPr>
      </w:pPr>
      <w:r>
        <w:rPr>
          <w:rFonts w:hint="eastAsia" w:cs="宋体"/>
          <w:color w:val="auto"/>
        </w:rPr>
        <w:t>（</w:t>
      </w:r>
      <w:r>
        <w:rPr>
          <w:color w:val="auto"/>
        </w:rPr>
        <w:t>7</w:t>
      </w:r>
      <w:r>
        <w:rPr>
          <w:rFonts w:hint="eastAsia" w:cs="宋体"/>
          <w:color w:val="auto"/>
        </w:rPr>
        <w:t>）材料价格信息</w:t>
      </w:r>
      <w:r>
        <w:rPr>
          <w:rFonts w:hint="eastAsia" w:hAnsi="宋体" w:cs="宋体"/>
          <w:color w:val="auto"/>
        </w:rPr>
        <w:t>：材料价格主要按照</w:t>
      </w:r>
      <w:r>
        <w:rPr>
          <w:color w:val="auto"/>
          <w:u w:val="single"/>
        </w:rPr>
        <w:t xml:space="preserve">      </w:t>
      </w:r>
      <w:r>
        <w:rPr>
          <w:rFonts w:hint="eastAsia" w:cs="宋体"/>
          <w:color w:val="auto"/>
        </w:rPr>
        <w:t>市建设工程造价管理机构发布的工程造价信息</w:t>
      </w:r>
      <w:r>
        <w:rPr>
          <w:color w:val="auto"/>
          <w:u w:val="single"/>
        </w:rPr>
        <w:t xml:space="preserve">     </w:t>
      </w:r>
      <w:r>
        <w:rPr>
          <w:rFonts w:hint="eastAsia" w:cs="宋体"/>
          <w:color w:val="auto"/>
        </w:rPr>
        <w:t>年第</w:t>
      </w:r>
      <w:r>
        <w:rPr>
          <w:color w:val="auto"/>
          <w:u w:val="single"/>
        </w:rPr>
        <w:t xml:space="preserve">      </w:t>
      </w:r>
      <w:r>
        <w:rPr>
          <w:rFonts w:hint="eastAsia" w:cs="宋体"/>
          <w:color w:val="auto"/>
        </w:rPr>
        <w:t>期，不足部分参考市场定价</w:t>
      </w:r>
      <w:r>
        <w:rPr>
          <w:rFonts w:hint="eastAsia" w:hAnsi="宋体" w:cs="宋体"/>
          <w:color w:val="auto"/>
        </w:rPr>
        <w:t>。</w:t>
      </w:r>
    </w:p>
    <w:p w14:paraId="22D91525">
      <w:pPr>
        <w:spacing w:line="360" w:lineRule="auto"/>
        <w:ind w:firstLine="420" w:firstLineChars="200"/>
        <w:rPr>
          <w:color w:val="auto"/>
        </w:rPr>
      </w:pPr>
      <w:r>
        <w:rPr>
          <w:color w:val="auto"/>
        </w:rPr>
        <w:t xml:space="preserve">2.2 </w:t>
      </w:r>
      <w:r>
        <w:rPr>
          <w:rFonts w:hint="eastAsia" w:hAnsi="宋体" w:cs="宋体"/>
          <w:color w:val="auto"/>
        </w:rPr>
        <w:t>分部分项及单价措施项目综合单价应包括</w:t>
      </w:r>
      <w:r>
        <w:rPr>
          <w:rFonts w:hint="eastAsia" w:cs="宋体"/>
          <w:color w:val="auto"/>
        </w:rPr>
        <w:t>采购</w:t>
      </w:r>
      <w:r>
        <w:rPr>
          <w:rFonts w:hint="eastAsia" w:hAnsi="宋体" w:cs="宋体"/>
          <w:color w:val="auto"/>
        </w:rPr>
        <w:t>文件中</w:t>
      </w:r>
      <w:r>
        <w:rPr>
          <w:rFonts w:hint="eastAsia" w:cs="宋体"/>
          <w:color w:val="auto"/>
        </w:rPr>
        <w:t>采购</w:t>
      </w:r>
      <w:r>
        <w:rPr>
          <w:rFonts w:hint="eastAsia" w:hAnsi="宋体" w:cs="宋体"/>
          <w:color w:val="auto"/>
        </w:rPr>
        <w:t>人要求成交供应商所承担的风险内容及其范围（幅度）产生的风险费用。</w:t>
      </w:r>
    </w:p>
    <w:p w14:paraId="44A01AF7">
      <w:pPr>
        <w:spacing w:line="360" w:lineRule="auto"/>
        <w:ind w:firstLine="420"/>
        <w:rPr>
          <w:color w:val="auto"/>
        </w:rPr>
      </w:pPr>
      <w:r>
        <w:rPr>
          <w:color w:val="auto"/>
        </w:rPr>
        <w:t xml:space="preserve">2.3 </w:t>
      </w:r>
      <w:r>
        <w:rPr>
          <w:rFonts w:hint="eastAsia" w:hAnsi="宋体" w:cs="宋体"/>
          <w:color w:val="auto"/>
        </w:rPr>
        <w:t>总价措施项目应根据拟定的</w:t>
      </w:r>
      <w:r>
        <w:rPr>
          <w:rFonts w:hint="eastAsia" w:cs="宋体"/>
          <w:color w:val="auto"/>
        </w:rPr>
        <w:t>采购</w:t>
      </w:r>
      <w:r>
        <w:rPr>
          <w:rFonts w:hint="eastAsia" w:hAnsi="宋体" w:cs="宋体"/>
          <w:color w:val="auto"/>
        </w:rPr>
        <w:t>文件和常规施工方案按《计价规范》和《计算规范》规定编制。</w:t>
      </w:r>
    </w:p>
    <w:p w14:paraId="354440FC">
      <w:pPr>
        <w:spacing w:line="360" w:lineRule="auto"/>
        <w:ind w:firstLine="420" w:firstLineChars="200"/>
        <w:rPr>
          <w:color w:val="auto"/>
        </w:rPr>
      </w:pPr>
      <w:r>
        <w:rPr>
          <w:color w:val="auto"/>
        </w:rPr>
        <w:t xml:space="preserve">2.4 </w:t>
      </w:r>
      <w:r>
        <w:rPr>
          <w:rFonts w:hint="eastAsia" w:cs="宋体"/>
          <w:color w:val="auto"/>
        </w:rPr>
        <w:t>其他项目费应按下列规定报价：</w:t>
      </w:r>
    </w:p>
    <w:p w14:paraId="2DAB44BA">
      <w:pPr>
        <w:spacing w:line="360" w:lineRule="auto"/>
        <w:ind w:firstLine="420" w:firstLineChars="200"/>
        <w:rPr>
          <w:color w:val="auto"/>
        </w:rPr>
      </w:pPr>
      <w:r>
        <w:rPr>
          <w:rFonts w:hint="eastAsia" w:cs="宋体"/>
          <w:color w:val="auto"/>
        </w:rPr>
        <w:t>（</w:t>
      </w:r>
      <w:r>
        <w:rPr>
          <w:color w:val="auto"/>
        </w:rPr>
        <w:t>1</w:t>
      </w:r>
      <w:r>
        <w:rPr>
          <w:rFonts w:hint="eastAsia" w:cs="宋体"/>
          <w:color w:val="auto"/>
        </w:rPr>
        <w:t>）暂列金额应按招标工程量清单中列出的金额填写；</w:t>
      </w:r>
    </w:p>
    <w:p w14:paraId="165B9E90">
      <w:pPr>
        <w:pStyle w:val="181"/>
        <w:spacing w:line="360" w:lineRule="auto"/>
        <w:ind w:firstLine="420" w:firstLineChars="200"/>
        <w:rPr>
          <w:color w:val="auto"/>
        </w:rPr>
      </w:pPr>
      <w:r>
        <w:rPr>
          <w:rFonts w:hint="eastAsia" w:cs="宋体"/>
          <w:color w:val="auto"/>
        </w:rPr>
        <w:t>（</w:t>
      </w:r>
      <w:r>
        <w:rPr>
          <w:color w:val="auto"/>
        </w:rPr>
        <w:t>2</w:t>
      </w:r>
      <w:r>
        <w:rPr>
          <w:rFonts w:hint="eastAsia" w:cs="宋体"/>
          <w:color w:val="auto"/>
        </w:rPr>
        <w:t>）材料、工程设备暂估价应按招标工程量清单中列出的单价计入综合单价；</w:t>
      </w:r>
    </w:p>
    <w:p w14:paraId="0E95FE9B">
      <w:pPr>
        <w:spacing w:line="360" w:lineRule="auto"/>
        <w:ind w:firstLine="420" w:firstLineChars="200"/>
        <w:rPr>
          <w:color w:val="auto"/>
        </w:rPr>
      </w:pPr>
      <w:r>
        <w:rPr>
          <w:rFonts w:hint="eastAsia" w:cs="宋体"/>
          <w:color w:val="auto"/>
        </w:rPr>
        <w:t>（</w:t>
      </w:r>
      <w:r>
        <w:rPr>
          <w:color w:val="auto"/>
        </w:rPr>
        <w:t>3</w:t>
      </w:r>
      <w:r>
        <w:rPr>
          <w:rFonts w:hint="eastAsia" w:cs="宋体"/>
          <w:color w:val="auto"/>
        </w:rPr>
        <w:t>）专业工程暂估价应按工程量清单中列出的金额填写；</w:t>
      </w:r>
    </w:p>
    <w:p w14:paraId="62EE3601">
      <w:pPr>
        <w:spacing w:line="360" w:lineRule="auto"/>
        <w:ind w:firstLine="420" w:firstLineChars="200"/>
        <w:rPr>
          <w:color w:val="auto"/>
        </w:rPr>
      </w:pPr>
      <w:r>
        <w:rPr>
          <w:rFonts w:hint="eastAsia" w:cs="宋体"/>
          <w:color w:val="auto"/>
        </w:rPr>
        <w:t>（</w:t>
      </w:r>
      <w:r>
        <w:rPr>
          <w:color w:val="auto"/>
        </w:rPr>
        <w:t>4</w:t>
      </w:r>
      <w:r>
        <w:rPr>
          <w:rFonts w:hint="eastAsia" w:cs="宋体"/>
          <w:color w:val="auto"/>
        </w:rPr>
        <w:t>）计日工应按工程量清单中列出的项目和数量，根据工程特点和有关计价依据确定的综合单价计算；</w:t>
      </w:r>
    </w:p>
    <w:p w14:paraId="09921860">
      <w:pPr>
        <w:spacing w:line="360" w:lineRule="auto"/>
        <w:ind w:firstLine="420" w:firstLineChars="200"/>
        <w:rPr>
          <w:rFonts w:cs="宋体"/>
          <w:color w:val="auto"/>
        </w:rPr>
      </w:pPr>
      <w:r>
        <w:rPr>
          <w:rFonts w:hint="eastAsia" w:cs="宋体"/>
          <w:color w:val="auto"/>
        </w:rPr>
        <w:t>（</w:t>
      </w:r>
      <w:r>
        <w:rPr>
          <w:color w:val="auto"/>
        </w:rPr>
        <w:t>5</w:t>
      </w:r>
      <w:r>
        <w:rPr>
          <w:rFonts w:hint="eastAsia" w:cs="宋体"/>
          <w:color w:val="auto"/>
        </w:rPr>
        <w:t>）总承包服务费应根据招标工程量清单列出的内容</w:t>
      </w:r>
      <w:r>
        <w:rPr>
          <w:rFonts w:hint="eastAsia" w:hAnsi="宋体" w:cs="宋体"/>
          <w:color w:val="auto"/>
        </w:rPr>
        <w:t>和要求，按自治区住房城乡建设行政主管部门颁发的计价定额及有关规定计算</w:t>
      </w:r>
      <w:r>
        <w:rPr>
          <w:rFonts w:hint="eastAsia" w:cs="宋体"/>
          <w:color w:val="auto"/>
        </w:rPr>
        <w:t>。</w:t>
      </w:r>
    </w:p>
    <w:p w14:paraId="1F82B60A">
      <w:pPr>
        <w:spacing w:line="360" w:lineRule="auto"/>
        <w:ind w:firstLine="420" w:firstLineChars="200"/>
        <w:rPr>
          <w:rFonts w:hint="eastAsia"/>
          <w:color w:val="auto"/>
        </w:rPr>
      </w:pPr>
      <w:r>
        <w:rPr>
          <w:rFonts w:hint="eastAsia"/>
          <w:color w:val="auto"/>
        </w:rPr>
        <w:t>（6）对建设单位创建优质工程的，鼓励在控制价和预算中按我区工程建设定额规定计列工程优质费，并明确工程优质费不可竞争。</w:t>
      </w:r>
    </w:p>
    <w:p w14:paraId="51F34E88">
      <w:pPr>
        <w:spacing w:line="360" w:lineRule="auto"/>
        <w:ind w:firstLine="420" w:firstLineChars="200"/>
        <w:rPr>
          <w:color w:val="auto"/>
        </w:rPr>
      </w:pPr>
      <w:r>
        <w:rPr>
          <w:color w:val="auto"/>
        </w:rPr>
        <w:t xml:space="preserve">2.5 </w:t>
      </w:r>
      <w:r>
        <w:rPr>
          <w:rFonts w:hint="eastAsia" w:cs="宋体"/>
          <w:color w:val="auto"/>
        </w:rPr>
        <w:t>规费和增值税应按规定确定，作为不可竞争费用。</w:t>
      </w:r>
    </w:p>
    <w:p w14:paraId="70A79A9A">
      <w:pPr>
        <w:spacing w:line="360" w:lineRule="auto"/>
        <w:ind w:firstLine="420"/>
        <w:rPr>
          <w:color w:val="auto"/>
          <w:u w:val="single"/>
        </w:rPr>
      </w:pPr>
      <w:r>
        <w:rPr>
          <w:color w:val="auto"/>
        </w:rPr>
        <w:t xml:space="preserve">2.6 </w:t>
      </w:r>
      <w:r>
        <w:rPr>
          <w:rFonts w:hint="eastAsia" w:hAnsi="宋体" w:cs="宋体"/>
          <w:color w:val="auto"/>
        </w:rPr>
        <w:t>其它需要说明的问题：</w:t>
      </w:r>
      <w:r>
        <w:rPr>
          <w:color w:val="auto"/>
          <w:u w:val="single"/>
        </w:rPr>
        <w:t xml:space="preserve">                                                       </w:t>
      </w:r>
    </w:p>
    <w:p w14:paraId="1A6CFB01">
      <w:pPr>
        <w:spacing w:line="360" w:lineRule="auto"/>
        <w:rPr>
          <w:rFonts w:hAnsi="宋体"/>
          <w:color w:val="auto"/>
        </w:rPr>
      </w:pPr>
      <w:r>
        <w:rPr>
          <w:color w:val="auto"/>
          <w:u w:val="single"/>
        </w:rPr>
        <w:t xml:space="preserve">                                                                                 </w:t>
      </w:r>
      <w:r>
        <w:rPr>
          <w:rFonts w:hint="eastAsia" w:hAnsi="宋体" w:cs="宋体"/>
          <w:color w:val="auto"/>
        </w:rPr>
        <w:t>。</w:t>
      </w:r>
    </w:p>
    <w:p w14:paraId="70B7C7DC">
      <w:pPr>
        <w:spacing w:line="312" w:lineRule="auto"/>
        <w:ind w:firstLine="422" w:firstLineChars="200"/>
        <w:jc w:val="left"/>
        <w:rPr>
          <w:b/>
          <w:bCs/>
          <w:color w:val="auto"/>
          <w:kern w:val="0"/>
          <w:szCs w:val="21"/>
        </w:rPr>
      </w:pPr>
      <w:r>
        <w:rPr>
          <w:b/>
          <w:bCs/>
          <w:color w:val="auto"/>
          <w:kern w:val="0"/>
          <w:szCs w:val="21"/>
        </w:rPr>
        <w:t>3.</w:t>
      </w:r>
      <w:r>
        <w:rPr>
          <w:rFonts w:hint="eastAsia"/>
          <w:b/>
          <w:bCs/>
          <w:color w:val="auto"/>
          <w:kern w:val="0"/>
          <w:szCs w:val="21"/>
        </w:rPr>
        <w:t>响应</w:t>
      </w:r>
      <w:r>
        <w:rPr>
          <w:b/>
          <w:bCs/>
          <w:color w:val="auto"/>
          <w:kern w:val="0"/>
          <w:szCs w:val="21"/>
        </w:rPr>
        <w:t>报价（已标价工程量清单）编制说明</w:t>
      </w:r>
    </w:p>
    <w:p w14:paraId="55AE6EC4">
      <w:pPr>
        <w:spacing w:line="312" w:lineRule="auto"/>
        <w:ind w:firstLine="420" w:firstLineChars="200"/>
        <w:jc w:val="left"/>
        <w:rPr>
          <w:bCs/>
          <w:color w:val="auto"/>
          <w:kern w:val="0"/>
          <w:szCs w:val="21"/>
        </w:rPr>
      </w:pPr>
      <w:r>
        <w:rPr>
          <w:bCs/>
          <w:color w:val="auto"/>
          <w:kern w:val="0"/>
          <w:szCs w:val="21"/>
        </w:rPr>
        <w:t>3.1供应商应依据采购文件、工程量清单以及《计价规范》、《计算规范》自主报价，自主报价不得违反计价规范强制性条文规定。供应商不得采用总价让利或以百分比让利等形式进行报价，任何优惠（或降价、让利）均应反映在相应清单项目的综合单价中。同时，不得出现任意一项单价重大让利，不得以自有机械闲置、自有材料等不计成本为由低于工程成本报价。</w:t>
      </w:r>
    </w:p>
    <w:p w14:paraId="7EEEC03F">
      <w:pPr>
        <w:spacing w:line="312" w:lineRule="auto"/>
        <w:ind w:firstLine="420" w:firstLineChars="200"/>
        <w:jc w:val="left"/>
        <w:rPr>
          <w:bCs/>
          <w:color w:val="auto"/>
          <w:kern w:val="0"/>
          <w:szCs w:val="21"/>
        </w:rPr>
      </w:pPr>
      <w:r>
        <w:rPr>
          <w:bCs/>
          <w:color w:val="auto"/>
          <w:kern w:val="0"/>
          <w:szCs w:val="21"/>
        </w:rPr>
        <w:t>3.2供应商应按工程量清单填报价格。项目编码、项目名称、项目特征、计量单位、</w:t>
      </w:r>
      <w:r>
        <w:rPr>
          <w:rFonts w:hint="eastAsia"/>
          <w:bCs/>
          <w:color w:val="auto"/>
          <w:kern w:val="0"/>
          <w:szCs w:val="21"/>
        </w:rPr>
        <w:t>已标价</w:t>
      </w:r>
      <w:r>
        <w:rPr>
          <w:bCs/>
          <w:color w:val="auto"/>
          <w:kern w:val="0"/>
          <w:szCs w:val="21"/>
        </w:rPr>
        <w:t>工程量必须与工程量清单一致，供应商不得对工程量清单项目进行增减调整。</w:t>
      </w:r>
    </w:p>
    <w:p w14:paraId="17971CB1">
      <w:pPr>
        <w:spacing w:line="312" w:lineRule="auto"/>
        <w:ind w:firstLine="420" w:firstLineChars="200"/>
        <w:jc w:val="left"/>
        <w:rPr>
          <w:bCs/>
          <w:color w:val="auto"/>
          <w:kern w:val="0"/>
          <w:szCs w:val="21"/>
        </w:rPr>
      </w:pPr>
      <w:r>
        <w:rPr>
          <w:bCs/>
          <w:color w:val="auto"/>
          <w:kern w:val="0"/>
          <w:szCs w:val="21"/>
        </w:rPr>
        <w:t>3.3综合单价中应包含采购文件中划分的应由供应商承担的风险范围及其费用。</w:t>
      </w:r>
    </w:p>
    <w:p w14:paraId="4CAAD0BB">
      <w:pPr>
        <w:spacing w:line="312" w:lineRule="auto"/>
        <w:ind w:firstLine="420" w:firstLineChars="200"/>
        <w:jc w:val="left"/>
        <w:rPr>
          <w:bCs/>
          <w:color w:val="auto"/>
          <w:kern w:val="0"/>
          <w:szCs w:val="21"/>
        </w:rPr>
      </w:pPr>
      <w:r>
        <w:rPr>
          <w:bCs/>
          <w:color w:val="auto"/>
          <w:kern w:val="0"/>
          <w:szCs w:val="21"/>
        </w:rPr>
        <w:t>3.4分部分项工程项目和单价措施项目，应根据采购文件和工程量清单项目中的特征描述确定综合单价计算。如出现工程量清单特征描述与设计图纸不符时，供应商应以工程量清单的项目特征描述为准，确定</w:t>
      </w:r>
      <w:r>
        <w:rPr>
          <w:rFonts w:hint="eastAsia"/>
          <w:bCs/>
          <w:color w:val="auto"/>
          <w:kern w:val="0"/>
          <w:szCs w:val="21"/>
        </w:rPr>
        <w:t>响应</w:t>
      </w:r>
      <w:r>
        <w:rPr>
          <w:bCs/>
          <w:color w:val="auto"/>
          <w:kern w:val="0"/>
          <w:szCs w:val="21"/>
        </w:rPr>
        <w:t>报价的综合单价。</w:t>
      </w:r>
    </w:p>
    <w:p w14:paraId="283D278E">
      <w:pPr>
        <w:spacing w:line="312" w:lineRule="auto"/>
        <w:ind w:firstLine="420" w:firstLineChars="200"/>
        <w:jc w:val="left"/>
        <w:rPr>
          <w:bCs/>
          <w:color w:val="auto"/>
          <w:kern w:val="0"/>
          <w:szCs w:val="21"/>
        </w:rPr>
      </w:pPr>
      <w:r>
        <w:rPr>
          <w:bCs/>
          <w:color w:val="auto"/>
          <w:kern w:val="0"/>
          <w:szCs w:val="21"/>
        </w:rPr>
        <w:t>3.5总价措施项目的金额应根据采购文件及拟定的施工组织设计或施工方案，按计价规范的规定自主确定。但安全文明施工费按国家、省级或行业建设主管部门的有关规定执行，作为不竞争费用单列。</w:t>
      </w:r>
    </w:p>
    <w:p w14:paraId="3E509071">
      <w:pPr>
        <w:spacing w:line="312" w:lineRule="auto"/>
        <w:ind w:firstLine="420" w:firstLineChars="200"/>
        <w:jc w:val="left"/>
        <w:rPr>
          <w:bCs/>
          <w:color w:val="auto"/>
          <w:kern w:val="0"/>
          <w:szCs w:val="21"/>
        </w:rPr>
      </w:pPr>
      <w:r>
        <w:rPr>
          <w:bCs/>
          <w:color w:val="auto"/>
          <w:kern w:val="0"/>
          <w:szCs w:val="21"/>
        </w:rPr>
        <w:t>3.6其他项目费应按下列规定报价：</w:t>
      </w:r>
    </w:p>
    <w:p w14:paraId="63458C59">
      <w:pPr>
        <w:spacing w:line="312" w:lineRule="auto"/>
        <w:ind w:firstLine="420" w:firstLineChars="200"/>
        <w:jc w:val="left"/>
        <w:rPr>
          <w:bCs/>
          <w:color w:val="auto"/>
          <w:kern w:val="0"/>
          <w:szCs w:val="21"/>
        </w:rPr>
      </w:pPr>
      <w:r>
        <w:rPr>
          <w:bCs/>
          <w:color w:val="auto"/>
          <w:kern w:val="0"/>
          <w:szCs w:val="21"/>
        </w:rPr>
        <w:t>（1）暂列金额应按工程量清单中列出的金额填写；</w:t>
      </w:r>
    </w:p>
    <w:p w14:paraId="45308BAE">
      <w:pPr>
        <w:spacing w:line="312" w:lineRule="auto"/>
        <w:ind w:firstLine="420" w:firstLineChars="200"/>
        <w:jc w:val="left"/>
        <w:rPr>
          <w:bCs/>
          <w:color w:val="auto"/>
          <w:kern w:val="0"/>
          <w:szCs w:val="21"/>
        </w:rPr>
      </w:pPr>
      <w:r>
        <w:rPr>
          <w:bCs/>
          <w:color w:val="auto"/>
          <w:kern w:val="0"/>
          <w:szCs w:val="21"/>
        </w:rPr>
        <w:t>（2）材料、工程设备暂估价应按工程量清单中列出的单价计入综合单价；</w:t>
      </w:r>
    </w:p>
    <w:p w14:paraId="05A60EF8">
      <w:pPr>
        <w:spacing w:line="312" w:lineRule="auto"/>
        <w:ind w:firstLine="420" w:firstLineChars="200"/>
        <w:jc w:val="left"/>
        <w:rPr>
          <w:bCs/>
          <w:color w:val="auto"/>
          <w:kern w:val="0"/>
          <w:szCs w:val="21"/>
        </w:rPr>
      </w:pPr>
      <w:r>
        <w:rPr>
          <w:bCs/>
          <w:color w:val="auto"/>
          <w:kern w:val="0"/>
          <w:szCs w:val="21"/>
        </w:rPr>
        <w:t>（3）专业工程暂估价应按工程量清单中列出的金额填写；</w:t>
      </w:r>
    </w:p>
    <w:p w14:paraId="6E7B3F54">
      <w:pPr>
        <w:spacing w:line="312" w:lineRule="auto"/>
        <w:ind w:firstLine="420" w:firstLineChars="200"/>
        <w:jc w:val="left"/>
        <w:rPr>
          <w:bCs/>
          <w:color w:val="auto"/>
          <w:kern w:val="0"/>
          <w:szCs w:val="21"/>
        </w:rPr>
      </w:pPr>
      <w:r>
        <w:rPr>
          <w:bCs/>
          <w:color w:val="auto"/>
          <w:kern w:val="0"/>
          <w:szCs w:val="21"/>
        </w:rPr>
        <w:t>（4）计日工应按工程量清单中列出的项目和估算数量，自主确定综合单价并计算计日工总额；计日工单价均不含规费和税金；</w:t>
      </w:r>
    </w:p>
    <w:p w14:paraId="0FB9E4B6">
      <w:pPr>
        <w:spacing w:line="360" w:lineRule="auto"/>
        <w:ind w:firstLine="420" w:firstLineChars="200"/>
        <w:rPr>
          <w:bCs/>
          <w:color w:val="auto"/>
          <w:kern w:val="0"/>
          <w:szCs w:val="21"/>
        </w:rPr>
      </w:pPr>
      <w:r>
        <w:rPr>
          <w:bCs/>
          <w:color w:val="auto"/>
          <w:kern w:val="0"/>
          <w:szCs w:val="21"/>
        </w:rPr>
        <w:t>（5）总承包服务费应根据工程量清单中列出的内容和供应材料、设备情况，按照采购人提出的协调、配合与服务要求和施工现场管理需要自主确定。</w:t>
      </w:r>
    </w:p>
    <w:p w14:paraId="75056578">
      <w:pPr>
        <w:spacing w:line="360" w:lineRule="auto"/>
        <w:ind w:firstLine="420" w:firstLineChars="200"/>
        <w:rPr>
          <w:rFonts w:hint="eastAsia"/>
          <w:color w:val="auto"/>
        </w:rPr>
      </w:pPr>
      <w:r>
        <w:rPr>
          <w:rFonts w:hint="eastAsia"/>
          <w:color w:val="auto"/>
        </w:rPr>
        <w:t>（6）对建设单位创建优质工程的，鼓励在控制价和预算中按我区工程建设定额规定计列工程优质费，并明确工程优质费不可竞争。</w:t>
      </w:r>
    </w:p>
    <w:p w14:paraId="056C438A">
      <w:pPr>
        <w:spacing w:line="312" w:lineRule="auto"/>
        <w:ind w:firstLine="420" w:firstLineChars="200"/>
        <w:jc w:val="left"/>
        <w:rPr>
          <w:bCs/>
          <w:color w:val="auto"/>
          <w:kern w:val="0"/>
          <w:szCs w:val="21"/>
        </w:rPr>
      </w:pPr>
      <w:r>
        <w:rPr>
          <w:bCs/>
          <w:color w:val="auto"/>
          <w:kern w:val="0"/>
          <w:szCs w:val="21"/>
        </w:rPr>
        <w:t>3.7规费和增值税应按规定确定，作为不可竞争费用。</w:t>
      </w:r>
    </w:p>
    <w:p w14:paraId="09059CC4">
      <w:pPr>
        <w:spacing w:line="312" w:lineRule="auto"/>
        <w:ind w:firstLine="420" w:firstLineChars="200"/>
        <w:jc w:val="left"/>
        <w:rPr>
          <w:bCs/>
          <w:color w:val="auto"/>
          <w:kern w:val="0"/>
          <w:szCs w:val="21"/>
        </w:rPr>
      </w:pPr>
      <w:r>
        <w:rPr>
          <w:bCs/>
          <w:color w:val="auto"/>
          <w:kern w:val="0"/>
          <w:szCs w:val="21"/>
        </w:rPr>
        <w:t>3.8工程量清单与计价表中列明的所有需要填写的单价和合价的项目，供应商均应填写且只允许有一个报价。未填写单价和合价的项目，视为此项费用已包含在已标价工程量清单中其他项目的单价和合价之中。竣工结算时，此项目不得重新组价予以调整。</w:t>
      </w:r>
    </w:p>
    <w:p w14:paraId="5B1234E2">
      <w:pPr>
        <w:spacing w:line="312" w:lineRule="auto"/>
        <w:ind w:firstLine="420" w:firstLineChars="200"/>
        <w:jc w:val="left"/>
        <w:rPr>
          <w:bCs/>
          <w:color w:val="auto"/>
          <w:kern w:val="0"/>
          <w:szCs w:val="21"/>
        </w:rPr>
      </w:pPr>
      <w:r>
        <w:rPr>
          <w:bCs/>
          <w:color w:val="auto"/>
          <w:kern w:val="0"/>
          <w:szCs w:val="21"/>
        </w:rPr>
        <w:t>3.9</w:t>
      </w:r>
      <w:r>
        <w:rPr>
          <w:rFonts w:hint="eastAsia"/>
          <w:bCs/>
          <w:color w:val="auto"/>
          <w:kern w:val="0"/>
          <w:szCs w:val="21"/>
        </w:rPr>
        <w:t>响应</w:t>
      </w:r>
      <w:r>
        <w:rPr>
          <w:bCs/>
          <w:color w:val="auto"/>
          <w:kern w:val="0"/>
          <w:szCs w:val="21"/>
        </w:rPr>
        <w:t>总价应当与分部分项工程费、措施项目费、其他项目费和规费、增值税的合计金额一致。</w:t>
      </w:r>
    </w:p>
    <w:p w14:paraId="3F7E99FE">
      <w:pPr>
        <w:spacing w:line="312" w:lineRule="auto"/>
        <w:ind w:firstLine="420" w:firstLineChars="200"/>
        <w:jc w:val="left"/>
        <w:rPr>
          <w:bCs/>
          <w:color w:val="auto"/>
          <w:kern w:val="0"/>
          <w:szCs w:val="21"/>
        </w:rPr>
      </w:pPr>
      <w:r>
        <w:rPr>
          <w:bCs/>
          <w:color w:val="auto"/>
          <w:kern w:val="0"/>
          <w:szCs w:val="21"/>
        </w:rPr>
        <w:t>3.10供应商应按《</w:t>
      </w:r>
      <w:r>
        <w:rPr>
          <w:rFonts w:hint="eastAsia" w:cs="宋体"/>
          <w:color w:val="auto"/>
        </w:rPr>
        <w:t>允许调整主要材料和工程设备一览表</w:t>
      </w:r>
      <w:r>
        <w:rPr>
          <w:bCs/>
          <w:color w:val="auto"/>
          <w:kern w:val="0"/>
          <w:szCs w:val="21"/>
        </w:rPr>
        <w:t>》的内容填报，不得擅自调整材料和设备名称型号规格、单位、风险系数、基准单价。</w:t>
      </w:r>
    </w:p>
    <w:p w14:paraId="71E5451D">
      <w:pPr>
        <w:spacing w:line="312" w:lineRule="auto"/>
        <w:ind w:firstLine="420" w:firstLineChars="200"/>
        <w:jc w:val="left"/>
        <w:rPr>
          <w:bCs/>
          <w:color w:val="auto"/>
          <w:kern w:val="0"/>
          <w:szCs w:val="21"/>
        </w:rPr>
      </w:pPr>
      <w:r>
        <w:rPr>
          <w:bCs/>
          <w:color w:val="auto"/>
          <w:kern w:val="0"/>
          <w:szCs w:val="21"/>
        </w:rPr>
        <w:t>3.11</w:t>
      </w:r>
      <w:r>
        <w:rPr>
          <w:rFonts w:hint="eastAsia"/>
          <w:bCs/>
          <w:color w:val="auto"/>
          <w:kern w:val="0"/>
          <w:szCs w:val="21"/>
        </w:rPr>
        <w:t>响应</w:t>
      </w:r>
      <w:r>
        <w:rPr>
          <w:bCs/>
          <w:color w:val="auto"/>
          <w:kern w:val="0"/>
          <w:szCs w:val="21"/>
        </w:rPr>
        <w:t>报价表格按本工程工程量清单表格要求填写，并应按采购文件的要求，附上《工程量清单综合单价分析表》和《主要清单项目工料机分析表》。</w:t>
      </w:r>
    </w:p>
    <w:p w14:paraId="46071DF0">
      <w:pPr>
        <w:spacing w:line="312" w:lineRule="auto"/>
        <w:ind w:firstLine="420" w:firstLineChars="200"/>
        <w:jc w:val="left"/>
        <w:rPr>
          <w:bCs/>
          <w:color w:val="auto"/>
          <w:kern w:val="0"/>
          <w:szCs w:val="21"/>
        </w:rPr>
      </w:pPr>
      <w:r>
        <w:rPr>
          <w:bCs/>
          <w:color w:val="auto"/>
          <w:kern w:val="0"/>
          <w:szCs w:val="21"/>
        </w:rPr>
        <w:t>未尽事宜详见本工程工程量清单、预算金额编制说明以及现行《计价规范》等有关规定执行。</w:t>
      </w:r>
    </w:p>
    <w:p w14:paraId="33536137">
      <w:pPr>
        <w:spacing w:line="312" w:lineRule="auto"/>
        <w:ind w:firstLine="562" w:firstLineChars="200"/>
        <w:jc w:val="left"/>
        <w:outlineLvl w:val="1"/>
        <w:rPr>
          <w:rFonts w:ascii="黑体" w:hAnsi="黑体" w:eastAsia="黑体" w:cs="Arial"/>
          <w:b/>
          <w:color w:val="auto"/>
          <w:kern w:val="0"/>
          <w:sz w:val="28"/>
          <w:szCs w:val="28"/>
        </w:rPr>
      </w:pPr>
      <w:r>
        <w:rPr>
          <w:rFonts w:hint="eastAsia" w:ascii="黑体" w:hAnsi="黑体" w:eastAsia="黑体" w:cs="Arial"/>
          <w:b/>
          <w:color w:val="auto"/>
          <w:kern w:val="0"/>
          <w:sz w:val="28"/>
          <w:szCs w:val="28"/>
        </w:rPr>
        <w:t>二、危险性较大的分部分项工程清单（如有）</w:t>
      </w:r>
    </w:p>
    <w:p w14:paraId="48AE2972">
      <w:pPr>
        <w:spacing w:line="312" w:lineRule="auto"/>
        <w:ind w:firstLine="420" w:firstLineChars="200"/>
        <w:jc w:val="left"/>
        <w:rPr>
          <w:bCs/>
          <w:color w:val="auto"/>
          <w:kern w:val="0"/>
          <w:szCs w:val="21"/>
        </w:rPr>
      </w:pPr>
      <w:r>
        <w:rPr>
          <w:bCs/>
          <w:color w:val="auto"/>
          <w:kern w:val="0"/>
          <w:szCs w:val="21"/>
        </w:rPr>
        <w:t>本</w:t>
      </w:r>
      <w:r>
        <w:rPr>
          <w:rFonts w:hint="eastAsia"/>
          <w:bCs/>
          <w:color w:val="auto"/>
          <w:kern w:val="0"/>
          <w:szCs w:val="21"/>
        </w:rPr>
        <w:t>部分</w:t>
      </w:r>
      <w:r>
        <w:rPr>
          <w:bCs/>
          <w:color w:val="auto"/>
          <w:kern w:val="0"/>
          <w:szCs w:val="21"/>
        </w:rPr>
        <w:t>由</w:t>
      </w:r>
      <w:r>
        <w:rPr>
          <w:rFonts w:hint="eastAsia"/>
          <w:bCs/>
          <w:color w:val="auto"/>
          <w:kern w:val="0"/>
          <w:szCs w:val="21"/>
        </w:rPr>
        <w:t>采购</w:t>
      </w:r>
      <w:r>
        <w:rPr>
          <w:bCs/>
          <w:color w:val="auto"/>
          <w:kern w:val="0"/>
          <w:szCs w:val="21"/>
        </w:rPr>
        <w:t>人根据国家行业和地方现行标准、规范和规程等</w:t>
      </w:r>
      <w:r>
        <w:rPr>
          <w:rFonts w:hint="eastAsia"/>
          <w:bCs/>
          <w:color w:val="auto"/>
          <w:kern w:val="0"/>
          <w:szCs w:val="21"/>
        </w:rPr>
        <w:t>，以及项目具体情况</w:t>
      </w:r>
      <w:r>
        <w:rPr>
          <w:bCs/>
          <w:color w:val="auto"/>
          <w:kern w:val="0"/>
          <w:szCs w:val="21"/>
        </w:rPr>
        <w:t>摘录</w:t>
      </w:r>
      <w:r>
        <w:rPr>
          <w:rFonts w:hint="eastAsia"/>
          <w:bCs/>
          <w:color w:val="auto"/>
          <w:kern w:val="0"/>
          <w:szCs w:val="21"/>
        </w:rPr>
        <w:t>。</w:t>
      </w:r>
    </w:p>
    <w:p w14:paraId="78EEE9F2">
      <w:pPr>
        <w:spacing w:line="360" w:lineRule="auto"/>
        <w:ind w:firstLine="420" w:firstLineChars="200"/>
        <w:rPr>
          <w:rFonts w:hint="eastAsia" w:ascii="宋体" w:hAnsi="宋体" w:eastAsia="宋体" w:cs="宋体"/>
          <w:color w:val="auto"/>
          <w:sz w:val="21"/>
          <w:szCs w:val="21"/>
        </w:rPr>
      </w:pPr>
      <w:r>
        <w:rPr>
          <w:rFonts w:hint="eastAsia" w:ascii="宋体" w:hAnsi="宋体" w:cs="宋体"/>
          <w:color w:val="auto"/>
        </w:rPr>
        <w:t>《危险性较大的分部分项工程安全管理规定》（建设部令第37号）</w:t>
      </w:r>
      <w:r>
        <w:rPr>
          <w:rFonts w:hint="eastAsia" w:ascii="宋体" w:hAnsi="宋体" w:cs="宋体"/>
          <w:color w:val="auto"/>
          <w:szCs w:val="22"/>
        </w:rPr>
        <w:t>2019年修订版</w:t>
      </w:r>
      <w:r>
        <w:rPr>
          <w:rFonts w:hint="eastAsia" w:ascii="宋体" w:hAnsi="宋体" w:cs="宋体"/>
          <w:color w:val="auto"/>
        </w:rPr>
        <w:t>以及《住房城乡建设部办公厅关于实施&lt;危险性较大的分部分项工程安全管理规定&gt;有关问题的通知》（建办质〔</w:t>
      </w:r>
      <w:r>
        <w:rPr>
          <w:rFonts w:ascii="宋体" w:hAnsi="宋体" w:cs="宋体"/>
          <w:color w:val="auto"/>
        </w:rPr>
        <w:t>2018〕31号</w:t>
      </w:r>
      <w:r>
        <w:rPr>
          <w:rFonts w:hint="eastAsia" w:ascii="宋体" w:hAnsi="宋体" w:cs="宋体"/>
          <w:color w:val="auto"/>
        </w:rPr>
        <w:t>）。</w:t>
      </w:r>
      <w:bookmarkStart w:id="245" w:name="_Toc346264361"/>
    </w:p>
    <w:p w14:paraId="6AEB34E8">
      <w:pPr>
        <w:pageBreakBefore w:val="0"/>
        <w:kinsoku/>
        <w:wordWrap/>
        <w:overflowPunct/>
        <w:topLinePunct w:val="0"/>
        <w:autoSpaceDE/>
        <w:autoSpaceDN/>
        <w:bidi w:val="0"/>
        <w:adjustRightInd/>
        <w:snapToGrid/>
        <w:spacing w:line="390" w:lineRule="exact"/>
        <w:textAlignment w:val="auto"/>
        <w:rPr>
          <w:rFonts w:ascii="宋体" w:hAnsi="宋体"/>
          <w:b/>
          <w:color w:val="auto"/>
          <w:szCs w:val="21"/>
        </w:rPr>
      </w:pPr>
    </w:p>
    <w:p w14:paraId="3BDAB692">
      <w:pPr>
        <w:pageBreakBefore w:val="0"/>
        <w:kinsoku/>
        <w:wordWrap/>
        <w:overflowPunct/>
        <w:topLinePunct w:val="0"/>
        <w:autoSpaceDE/>
        <w:autoSpaceDN/>
        <w:bidi w:val="0"/>
        <w:adjustRightInd/>
        <w:snapToGrid/>
        <w:textAlignment w:val="auto"/>
        <w:rPr>
          <w:color w:val="auto"/>
        </w:rPr>
      </w:pPr>
    </w:p>
    <w:p w14:paraId="7DA64A35">
      <w:pPr>
        <w:rPr>
          <w:rFonts w:hint="eastAsia" w:ascii="宋体" w:hAnsi="宋体"/>
          <w:color w:val="auto"/>
          <w:sz w:val="40"/>
          <w:szCs w:val="32"/>
        </w:rPr>
      </w:pPr>
    </w:p>
    <w:p w14:paraId="15E7AD4F">
      <w:pPr>
        <w:pStyle w:val="3"/>
        <w:pageBreakBefore w:val="0"/>
        <w:kinsoku/>
        <w:wordWrap/>
        <w:overflowPunct/>
        <w:topLinePunct w:val="0"/>
        <w:autoSpaceDE/>
        <w:autoSpaceDN/>
        <w:bidi w:val="0"/>
        <w:adjustRightInd/>
        <w:snapToGrid/>
        <w:spacing w:before="0" w:after="0"/>
        <w:jc w:val="center"/>
        <w:textAlignment w:val="auto"/>
        <w:rPr>
          <w:rFonts w:ascii="宋体" w:hAnsi="宋体"/>
          <w:color w:val="auto"/>
          <w:sz w:val="40"/>
          <w:szCs w:val="32"/>
        </w:rPr>
      </w:pPr>
      <w:bookmarkStart w:id="246" w:name="_Toc3996"/>
      <w:r>
        <w:rPr>
          <w:rFonts w:hint="eastAsia" w:ascii="宋体" w:hAnsi="宋体"/>
          <w:color w:val="auto"/>
          <w:sz w:val="40"/>
          <w:szCs w:val="32"/>
        </w:rPr>
        <w:t>第</w:t>
      </w:r>
      <w:r>
        <w:rPr>
          <w:rFonts w:hint="eastAsia" w:ascii="宋体" w:hAnsi="宋体"/>
          <w:color w:val="auto"/>
          <w:sz w:val="40"/>
          <w:szCs w:val="32"/>
          <w:lang w:val="en-US" w:eastAsia="zh-CN"/>
        </w:rPr>
        <w:t>八</w:t>
      </w:r>
      <w:r>
        <w:rPr>
          <w:rFonts w:hint="eastAsia" w:ascii="宋体" w:hAnsi="宋体"/>
          <w:color w:val="auto"/>
          <w:sz w:val="40"/>
          <w:szCs w:val="32"/>
        </w:rPr>
        <w:t>章  响应文件格式</w:t>
      </w:r>
      <w:bookmarkEnd w:id="245"/>
      <w:bookmarkEnd w:id="246"/>
    </w:p>
    <w:p w14:paraId="2565F8DC">
      <w:pPr>
        <w:pageBreakBefore w:val="0"/>
        <w:widowControl/>
        <w:kinsoku/>
        <w:wordWrap/>
        <w:overflowPunct/>
        <w:topLinePunct w:val="0"/>
        <w:autoSpaceDE/>
        <w:autoSpaceDN/>
        <w:bidi w:val="0"/>
        <w:adjustRightInd/>
        <w:snapToGrid/>
        <w:ind w:firstLine="2880" w:firstLineChars="900"/>
        <w:jc w:val="left"/>
        <w:textAlignment w:val="auto"/>
        <w:rPr>
          <w:rFonts w:ascii="宋体" w:hAnsi="宋体"/>
          <w:color w:val="auto"/>
          <w:kern w:val="0"/>
          <w:sz w:val="32"/>
          <w:szCs w:val="32"/>
        </w:rPr>
      </w:pPr>
      <w:r>
        <w:rPr>
          <w:rFonts w:hint="eastAsia" w:ascii="宋体" w:hAnsi="宋体"/>
          <w:color w:val="auto"/>
          <w:kern w:val="0"/>
          <w:sz w:val="32"/>
          <w:szCs w:val="32"/>
        </w:rPr>
        <w:t>封面格式</w:t>
      </w:r>
    </w:p>
    <w:p w14:paraId="34CE5990">
      <w:pPr>
        <w:pageBreakBefore w:val="0"/>
        <w:widowControl/>
        <w:kinsoku/>
        <w:wordWrap/>
        <w:overflowPunct/>
        <w:topLinePunct w:val="0"/>
        <w:autoSpaceDE/>
        <w:autoSpaceDN/>
        <w:bidi w:val="0"/>
        <w:adjustRightInd/>
        <w:snapToGrid/>
        <w:ind w:firstLine="420"/>
        <w:jc w:val="left"/>
        <w:textAlignment w:val="auto"/>
        <w:rPr>
          <w:rFonts w:ascii="宋体" w:hAnsi="宋体"/>
          <w:color w:val="auto"/>
          <w:kern w:val="0"/>
          <w:sz w:val="24"/>
        </w:rPr>
      </w:pPr>
    </w:p>
    <w:p w14:paraId="6AB0199F">
      <w:pPr>
        <w:pageBreakBefore w:val="0"/>
        <w:widowControl/>
        <w:kinsoku/>
        <w:wordWrap/>
        <w:overflowPunct/>
        <w:topLinePunct w:val="0"/>
        <w:autoSpaceDE/>
        <w:autoSpaceDN/>
        <w:bidi w:val="0"/>
        <w:adjustRightInd/>
        <w:snapToGrid/>
        <w:ind w:firstLine="420"/>
        <w:jc w:val="left"/>
        <w:textAlignment w:val="auto"/>
        <w:rPr>
          <w:rFonts w:ascii="宋体" w:hAnsi="宋体"/>
          <w:color w:val="auto"/>
          <w:kern w:val="0"/>
          <w:sz w:val="24"/>
        </w:rPr>
      </w:pPr>
    </w:p>
    <w:p w14:paraId="6107C3F6">
      <w:pPr>
        <w:pageBreakBefore w:val="0"/>
        <w:kinsoku/>
        <w:wordWrap/>
        <w:overflowPunct/>
        <w:topLinePunct w:val="0"/>
        <w:autoSpaceDE/>
        <w:autoSpaceDN/>
        <w:bidi w:val="0"/>
        <w:adjustRightInd/>
        <w:snapToGrid/>
        <w:spacing w:line="440" w:lineRule="exact"/>
        <w:ind w:firstLine="643" w:firstLineChars="200"/>
        <w:textAlignment w:val="auto"/>
        <w:rPr>
          <w:rFonts w:ascii="宋体" w:hAnsi="宋体"/>
          <w:b/>
          <w:color w:val="auto"/>
          <w:sz w:val="32"/>
          <w:szCs w:val="32"/>
          <w:u w:val="single"/>
        </w:rPr>
      </w:pPr>
      <w:r>
        <w:rPr>
          <w:rFonts w:hint="eastAsia" w:ascii="宋体" w:hAnsi="宋体"/>
          <w:b/>
          <w:color w:val="auto"/>
          <w:sz w:val="32"/>
          <w:szCs w:val="32"/>
        </w:rPr>
        <w:t>工程项目：</w:t>
      </w:r>
    </w:p>
    <w:p w14:paraId="3B2C9906">
      <w:pPr>
        <w:pageBreakBefore w:val="0"/>
        <w:widowControl/>
        <w:kinsoku/>
        <w:wordWrap/>
        <w:overflowPunct/>
        <w:topLinePunct w:val="0"/>
        <w:autoSpaceDE/>
        <w:autoSpaceDN/>
        <w:bidi w:val="0"/>
        <w:adjustRightInd/>
        <w:snapToGrid/>
        <w:ind w:firstLine="996" w:firstLineChars="310"/>
        <w:jc w:val="center"/>
        <w:textAlignment w:val="auto"/>
        <w:rPr>
          <w:rFonts w:ascii="宋体" w:hAnsi="宋体"/>
          <w:b/>
          <w:color w:val="auto"/>
          <w:sz w:val="32"/>
          <w:szCs w:val="32"/>
        </w:rPr>
      </w:pPr>
    </w:p>
    <w:p w14:paraId="342A17F1">
      <w:pPr>
        <w:pageBreakBefore w:val="0"/>
        <w:widowControl/>
        <w:kinsoku/>
        <w:wordWrap/>
        <w:overflowPunct/>
        <w:topLinePunct w:val="0"/>
        <w:autoSpaceDE/>
        <w:autoSpaceDN/>
        <w:bidi w:val="0"/>
        <w:adjustRightInd/>
        <w:snapToGrid/>
        <w:ind w:firstLine="992" w:firstLineChars="310"/>
        <w:jc w:val="left"/>
        <w:textAlignment w:val="auto"/>
        <w:rPr>
          <w:rFonts w:ascii="宋体" w:hAnsi="宋体"/>
          <w:color w:val="auto"/>
          <w:kern w:val="0"/>
          <w:sz w:val="32"/>
          <w:szCs w:val="32"/>
          <w:u w:val="single"/>
        </w:rPr>
      </w:pPr>
    </w:p>
    <w:p w14:paraId="73B6973F">
      <w:pPr>
        <w:pageBreakBefore w:val="0"/>
        <w:widowControl/>
        <w:kinsoku/>
        <w:wordWrap/>
        <w:overflowPunct/>
        <w:topLinePunct w:val="0"/>
        <w:autoSpaceDE/>
        <w:autoSpaceDN/>
        <w:bidi w:val="0"/>
        <w:adjustRightInd/>
        <w:snapToGrid/>
        <w:ind w:firstLine="689" w:firstLineChars="245"/>
        <w:textAlignment w:val="auto"/>
        <w:rPr>
          <w:rFonts w:ascii="宋体" w:hAnsi="宋体"/>
          <w:b/>
          <w:color w:val="auto"/>
          <w:kern w:val="0"/>
          <w:sz w:val="28"/>
          <w:szCs w:val="28"/>
        </w:rPr>
      </w:pPr>
      <w:r>
        <w:rPr>
          <w:rFonts w:hint="eastAsia" w:ascii="宋体" w:hAnsi="宋体"/>
          <w:b/>
          <w:color w:val="auto"/>
          <w:kern w:val="0"/>
          <w:sz w:val="28"/>
          <w:szCs w:val="28"/>
        </w:rPr>
        <w:t>项目编号：</w:t>
      </w:r>
    </w:p>
    <w:p w14:paraId="1E456648">
      <w:pPr>
        <w:pageBreakBefore w:val="0"/>
        <w:widowControl/>
        <w:kinsoku/>
        <w:wordWrap/>
        <w:overflowPunct/>
        <w:topLinePunct w:val="0"/>
        <w:autoSpaceDE/>
        <w:autoSpaceDN/>
        <w:bidi w:val="0"/>
        <w:adjustRightInd/>
        <w:snapToGrid/>
        <w:ind w:firstLine="992" w:firstLineChars="310"/>
        <w:jc w:val="left"/>
        <w:textAlignment w:val="auto"/>
        <w:rPr>
          <w:rFonts w:ascii="宋体" w:hAnsi="宋体"/>
          <w:color w:val="auto"/>
          <w:kern w:val="0"/>
          <w:sz w:val="32"/>
          <w:szCs w:val="32"/>
          <w:u w:val="single"/>
        </w:rPr>
      </w:pPr>
    </w:p>
    <w:p w14:paraId="16338643">
      <w:pPr>
        <w:widowControl/>
        <w:ind w:firstLine="992" w:firstLineChars="310"/>
        <w:jc w:val="left"/>
        <w:rPr>
          <w:rFonts w:ascii="宋体" w:hAnsi="宋体"/>
          <w:color w:val="auto"/>
          <w:kern w:val="0"/>
          <w:sz w:val="32"/>
          <w:szCs w:val="32"/>
          <w:u w:val="single"/>
        </w:rPr>
      </w:pPr>
    </w:p>
    <w:p w14:paraId="09B19471">
      <w:pPr>
        <w:widowControl/>
        <w:ind w:firstLine="992" w:firstLineChars="310"/>
        <w:jc w:val="left"/>
        <w:rPr>
          <w:rFonts w:ascii="宋体" w:hAnsi="宋体"/>
          <w:color w:val="auto"/>
          <w:kern w:val="0"/>
          <w:sz w:val="32"/>
          <w:szCs w:val="32"/>
          <w:u w:val="single"/>
        </w:rPr>
      </w:pPr>
    </w:p>
    <w:p w14:paraId="77E3D856">
      <w:pPr>
        <w:widowControl/>
        <w:jc w:val="center"/>
        <w:rPr>
          <w:rFonts w:ascii="宋体" w:hAnsi="宋体"/>
          <w:b/>
          <w:color w:val="auto"/>
          <w:kern w:val="0"/>
          <w:sz w:val="48"/>
          <w:szCs w:val="32"/>
        </w:rPr>
      </w:pPr>
      <w:r>
        <w:rPr>
          <w:rFonts w:hint="eastAsia" w:ascii="宋体" w:hAnsi="宋体"/>
          <w:b/>
          <w:color w:val="auto"/>
          <w:kern w:val="0"/>
          <w:sz w:val="48"/>
          <w:szCs w:val="32"/>
        </w:rPr>
        <w:t xml:space="preserve"> 响 应 文 件</w:t>
      </w:r>
    </w:p>
    <w:p w14:paraId="29BF66A3">
      <w:pPr>
        <w:widowControl/>
        <w:ind w:firstLine="868" w:firstLineChars="310"/>
        <w:jc w:val="left"/>
        <w:rPr>
          <w:rFonts w:ascii="宋体" w:hAnsi="宋体"/>
          <w:color w:val="auto"/>
          <w:kern w:val="0"/>
          <w:sz w:val="28"/>
          <w:szCs w:val="28"/>
        </w:rPr>
      </w:pPr>
    </w:p>
    <w:p w14:paraId="3064748D">
      <w:pPr>
        <w:widowControl/>
        <w:jc w:val="center"/>
        <w:rPr>
          <w:rFonts w:ascii="宋体" w:hAnsi="宋体"/>
          <w:color w:val="auto"/>
          <w:kern w:val="0"/>
          <w:sz w:val="28"/>
          <w:szCs w:val="28"/>
        </w:rPr>
      </w:pPr>
    </w:p>
    <w:p w14:paraId="734B8FBA">
      <w:pPr>
        <w:widowControl/>
        <w:jc w:val="center"/>
        <w:rPr>
          <w:rFonts w:ascii="宋体" w:hAnsi="宋体"/>
          <w:b/>
          <w:color w:val="auto"/>
          <w:kern w:val="0"/>
          <w:sz w:val="28"/>
          <w:szCs w:val="28"/>
        </w:rPr>
      </w:pPr>
    </w:p>
    <w:p w14:paraId="0C60CC02">
      <w:pPr>
        <w:widowControl/>
        <w:ind w:firstLine="868" w:firstLineChars="310"/>
        <w:rPr>
          <w:rFonts w:ascii="宋体" w:hAnsi="宋体"/>
          <w:color w:val="auto"/>
          <w:kern w:val="0"/>
          <w:sz w:val="28"/>
          <w:szCs w:val="28"/>
        </w:rPr>
      </w:pPr>
    </w:p>
    <w:p w14:paraId="43B801E2">
      <w:pPr>
        <w:widowControl/>
        <w:jc w:val="left"/>
        <w:rPr>
          <w:color w:val="auto"/>
          <w:kern w:val="0"/>
          <w:sz w:val="20"/>
          <w:szCs w:val="20"/>
        </w:rPr>
      </w:pPr>
    </w:p>
    <w:p w14:paraId="45077F64">
      <w:pPr>
        <w:widowControl/>
        <w:ind w:firstLine="420"/>
        <w:jc w:val="left"/>
        <w:rPr>
          <w:color w:val="auto"/>
          <w:kern w:val="0"/>
          <w:sz w:val="20"/>
          <w:szCs w:val="20"/>
        </w:rPr>
      </w:pPr>
    </w:p>
    <w:p w14:paraId="605326E2">
      <w:pPr>
        <w:widowControl/>
        <w:ind w:firstLine="420"/>
        <w:jc w:val="left"/>
        <w:rPr>
          <w:color w:val="auto"/>
          <w:kern w:val="0"/>
          <w:sz w:val="20"/>
          <w:szCs w:val="20"/>
        </w:rPr>
      </w:pPr>
    </w:p>
    <w:p w14:paraId="61C90251">
      <w:pPr>
        <w:widowControl/>
        <w:ind w:firstLine="700" w:firstLineChars="249"/>
        <w:rPr>
          <w:rFonts w:ascii="宋体" w:hAnsi="宋体"/>
          <w:b/>
          <w:color w:val="auto"/>
          <w:kern w:val="0"/>
          <w:sz w:val="28"/>
          <w:szCs w:val="28"/>
          <w:u w:val="single"/>
        </w:rPr>
      </w:pPr>
      <w:r>
        <w:rPr>
          <w:rFonts w:hint="eastAsia" w:ascii="宋体" w:hAnsi="宋体"/>
          <w:b/>
          <w:color w:val="auto"/>
          <w:kern w:val="0"/>
          <w:sz w:val="28"/>
          <w:szCs w:val="28"/>
        </w:rPr>
        <w:t>供应商：</w:t>
      </w:r>
      <w:r>
        <w:rPr>
          <w:rFonts w:hint="eastAsia" w:ascii="宋体" w:hAnsi="宋体"/>
          <w:b/>
          <w:color w:val="auto"/>
          <w:kern w:val="0"/>
          <w:sz w:val="28"/>
          <w:szCs w:val="28"/>
          <w:u w:val="single"/>
        </w:rPr>
        <w:t xml:space="preserve">                                   （盖章）</w:t>
      </w:r>
    </w:p>
    <w:p w14:paraId="0967558B">
      <w:pPr>
        <w:widowControl/>
        <w:ind w:firstLine="647" w:firstLineChars="230"/>
        <w:rPr>
          <w:rFonts w:ascii="宋体" w:hAnsi="宋体"/>
          <w:b/>
          <w:color w:val="auto"/>
          <w:kern w:val="0"/>
          <w:sz w:val="28"/>
          <w:szCs w:val="28"/>
        </w:rPr>
      </w:pPr>
    </w:p>
    <w:p w14:paraId="4EDA757D">
      <w:pPr>
        <w:widowControl/>
        <w:ind w:firstLine="647" w:firstLineChars="230"/>
        <w:rPr>
          <w:rFonts w:ascii="宋体" w:hAnsi="宋体"/>
          <w:b/>
          <w:color w:val="auto"/>
          <w:kern w:val="0"/>
          <w:sz w:val="28"/>
          <w:szCs w:val="28"/>
          <w:u w:val="single"/>
        </w:rPr>
      </w:pPr>
      <w:r>
        <w:rPr>
          <w:rFonts w:hint="eastAsia" w:ascii="宋体" w:hAnsi="宋体"/>
          <w:b/>
          <w:color w:val="auto"/>
          <w:kern w:val="0"/>
          <w:sz w:val="28"/>
          <w:szCs w:val="28"/>
        </w:rPr>
        <w:t>法定代表人或其委托代理人：</w:t>
      </w:r>
      <w:r>
        <w:rPr>
          <w:rFonts w:hint="eastAsia" w:ascii="宋体" w:hAnsi="宋体"/>
          <w:b/>
          <w:color w:val="auto"/>
          <w:kern w:val="0"/>
          <w:sz w:val="28"/>
          <w:szCs w:val="28"/>
          <w:u w:val="single"/>
        </w:rPr>
        <w:t xml:space="preserve">               （签字或盖章）</w:t>
      </w:r>
    </w:p>
    <w:p w14:paraId="39B0DC64">
      <w:pPr>
        <w:adjustRightInd w:val="0"/>
        <w:spacing w:line="312" w:lineRule="atLeast"/>
        <w:jc w:val="center"/>
        <w:textAlignment w:val="baseline"/>
        <w:rPr>
          <w:rFonts w:ascii="宋体" w:hAnsi="宋体"/>
          <w:b/>
          <w:color w:val="auto"/>
          <w:kern w:val="0"/>
          <w:sz w:val="28"/>
          <w:szCs w:val="28"/>
        </w:rPr>
      </w:pPr>
    </w:p>
    <w:p w14:paraId="7633FEDB">
      <w:pPr>
        <w:adjustRightInd w:val="0"/>
        <w:spacing w:line="312" w:lineRule="atLeast"/>
        <w:ind w:firstLine="689" w:firstLineChars="245"/>
        <w:textAlignment w:val="baseline"/>
        <w:rPr>
          <w:b/>
          <w:color w:val="auto"/>
          <w:kern w:val="0"/>
          <w:sz w:val="28"/>
          <w:szCs w:val="28"/>
        </w:rPr>
      </w:pPr>
      <w:r>
        <w:rPr>
          <w:rFonts w:hint="eastAsia" w:ascii="宋体" w:hAnsi="宋体"/>
          <w:b/>
          <w:color w:val="auto"/>
          <w:kern w:val="0"/>
          <w:sz w:val="28"/>
          <w:szCs w:val="28"/>
        </w:rPr>
        <w:t>日期：年月日</w:t>
      </w:r>
    </w:p>
    <w:p w14:paraId="41773C07">
      <w:pPr>
        <w:spacing w:line="400" w:lineRule="exact"/>
        <w:jc w:val="center"/>
        <w:rPr>
          <w:rFonts w:ascii="宋体" w:hAnsi="宋体"/>
          <w:b/>
          <w:color w:val="auto"/>
          <w:sz w:val="44"/>
          <w:szCs w:val="44"/>
        </w:rPr>
      </w:pPr>
      <w:r>
        <w:rPr>
          <w:b/>
          <w:color w:val="auto"/>
          <w:kern w:val="0"/>
          <w:szCs w:val="20"/>
        </w:rPr>
        <w:br w:type="page"/>
      </w:r>
      <w:r>
        <w:rPr>
          <w:rFonts w:hint="eastAsia" w:ascii="宋体" w:hAnsi="宋体"/>
          <w:b/>
          <w:color w:val="auto"/>
          <w:sz w:val="36"/>
          <w:szCs w:val="36"/>
        </w:rPr>
        <w:t>目  录</w:t>
      </w:r>
    </w:p>
    <w:p w14:paraId="6BE6C721">
      <w:pPr>
        <w:spacing w:line="360" w:lineRule="auto"/>
        <w:jc w:val="center"/>
        <w:rPr>
          <w:rFonts w:ascii="宋体" w:hAnsi="宋体"/>
          <w:b/>
          <w:color w:val="auto"/>
          <w:sz w:val="44"/>
          <w:szCs w:val="44"/>
        </w:rPr>
      </w:pPr>
    </w:p>
    <w:p w14:paraId="0B2D11AE">
      <w:pPr>
        <w:spacing w:line="600" w:lineRule="exact"/>
        <w:ind w:firstLine="472" w:firstLineChars="196"/>
        <w:rPr>
          <w:rFonts w:ascii="宋体" w:hAnsi="宋体"/>
          <w:b/>
          <w:color w:val="auto"/>
          <w:sz w:val="24"/>
        </w:rPr>
      </w:pPr>
      <w:r>
        <w:rPr>
          <w:rFonts w:hint="eastAsia" w:ascii="宋体" w:hAnsi="宋体"/>
          <w:b/>
          <w:color w:val="auto"/>
          <w:sz w:val="24"/>
        </w:rPr>
        <w:t>一、资格文件</w:t>
      </w:r>
    </w:p>
    <w:p w14:paraId="281F9F37">
      <w:pPr>
        <w:snapToGrid w:val="0"/>
        <w:spacing w:line="600" w:lineRule="exact"/>
        <w:ind w:firstLine="480" w:firstLineChars="200"/>
        <w:rPr>
          <w:rFonts w:ascii="宋体" w:hAnsi="宋体"/>
          <w:bCs/>
          <w:color w:val="auto"/>
          <w:sz w:val="24"/>
        </w:rPr>
      </w:pPr>
      <w:r>
        <w:rPr>
          <w:rFonts w:hint="eastAsia" w:ascii="宋体" w:hAnsi="宋体"/>
          <w:bCs/>
          <w:color w:val="auto"/>
          <w:sz w:val="24"/>
        </w:rPr>
        <w:t>（按供应商须知第9.2条要求内容顺序编写）</w:t>
      </w:r>
    </w:p>
    <w:p w14:paraId="2B38A775">
      <w:pPr>
        <w:spacing w:line="600" w:lineRule="exact"/>
        <w:ind w:firstLine="472" w:firstLineChars="196"/>
        <w:rPr>
          <w:rFonts w:ascii="宋体" w:hAnsi="宋体"/>
          <w:b/>
          <w:color w:val="auto"/>
          <w:sz w:val="24"/>
        </w:rPr>
      </w:pPr>
      <w:r>
        <w:rPr>
          <w:rFonts w:hint="eastAsia" w:ascii="宋体" w:hAnsi="宋体"/>
          <w:b/>
          <w:color w:val="auto"/>
          <w:sz w:val="24"/>
        </w:rPr>
        <w:t>二、</w:t>
      </w:r>
      <w:r>
        <w:rPr>
          <w:rFonts w:ascii="宋体" w:hAnsi="宋体"/>
          <w:b/>
          <w:color w:val="auto"/>
          <w:sz w:val="24"/>
        </w:rPr>
        <w:t>商务</w:t>
      </w:r>
      <w:r>
        <w:rPr>
          <w:rFonts w:hint="eastAsia" w:ascii="宋体" w:hAnsi="宋体"/>
          <w:b/>
          <w:color w:val="auto"/>
          <w:sz w:val="24"/>
        </w:rPr>
        <w:t>技术文件</w:t>
      </w:r>
    </w:p>
    <w:p w14:paraId="330FCFD2">
      <w:pPr>
        <w:snapToGrid w:val="0"/>
        <w:spacing w:line="600" w:lineRule="exact"/>
        <w:ind w:firstLine="480" w:firstLineChars="200"/>
        <w:rPr>
          <w:rFonts w:ascii="宋体" w:hAnsi="宋体"/>
          <w:bCs/>
          <w:color w:val="auto"/>
          <w:sz w:val="24"/>
        </w:rPr>
      </w:pPr>
      <w:r>
        <w:rPr>
          <w:rFonts w:hint="eastAsia" w:ascii="宋体" w:hAnsi="宋体"/>
          <w:bCs/>
          <w:color w:val="auto"/>
          <w:sz w:val="24"/>
        </w:rPr>
        <w:t>（按供应商须知第9.3条要求内容顺序编写）</w:t>
      </w:r>
    </w:p>
    <w:p w14:paraId="073F0037">
      <w:pPr>
        <w:spacing w:line="600" w:lineRule="exact"/>
        <w:ind w:firstLine="472" w:firstLineChars="196"/>
        <w:rPr>
          <w:rFonts w:ascii="宋体" w:hAnsi="宋体"/>
          <w:b/>
          <w:color w:val="auto"/>
          <w:sz w:val="24"/>
        </w:rPr>
      </w:pPr>
      <w:r>
        <w:rPr>
          <w:rFonts w:hint="eastAsia" w:ascii="宋体" w:hAnsi="宋体"/>
          <w:b/>
          <w:color w:val="auto"/>
          <w:sz w:val="24"/>
        </w:rPr>
        <w:t>三、报价文件</w:t>
      </w:r>
    </w:p>
    <w:p w14:paraId="5D1F9D4E">
      <w:pPr>
        <w:spacing w:line="600" w:lineRule="exact"/>
        <w:ind w:firstLine="470" w:firstLineChars="196"/>
        <w:rPr>
          <w:rFonts w:ascii="宋体" w:hAnsi="宋体"/>
          <w:bCs/>
          <w:color w:val="auto"/>
          <w:sz w:val="24"/>
        </w:rPr>
      </w:pPr>
      <w:r>
        <w:rPr>
          <w:rFonts w:hint="eastAsia" w:ascii="宋体" w:hAnsi="宋体"/>
          <w:bCs/>
          <w:color w:val="auto"/>
          <w:sz w:val="24"/>
        </w:rPr>
        <w:t>（按供应商须知第9.4条要求内容顺序编写）</w:t>
      </w:r>
    </w:p>
    <w:p w14:paraId="5E6742CC">
      <w:pPr>
        <w:snapToGrid w:val="0"/>
        <w:spacing w:line="600" w:lineRule="exact"/>
        <w:ind w:firstLine="552" w:firstLineChars="250"/>
        <w:rPr>
          <w:rFonts w:ascii="宋体" w:hAnsi="宋体" w:cs="宋体"/>
          <w:b/>
          <w:color w:val="auto"/>
          <w:sz w:val="22"/>
          <w:szCs w:val="21"/>
        </w:rPr>
      </w:pPr>
    </w:p>
    <w:p w14:paraId="26AB4687">
      <w:pPr>
        <w:spacing w:line="600" w:lineRule="exact"/>
        <w:jc w:val="center"/>
        <w:rPr>
          <w:rFonts w:hint="eastAsia" w:ascii="宋体" w:hAnsi="宋体" w:eastAsia="宋体" w:cs="宋体"/>
          <w:b/>
          <w:bCs/>
          <w:color w:val="auto"/>
          <w:sz w:val="32"/>
          <w:szCs w:val="32"/>
          <w:lang w:eastAsia="zh-CN"/>
        </w:rPr>
      </w:pPr>
      <w:r>
        <w:rPr>
          <w:rFonts w:hint="eastAsia" w:ascii="宋体" w:hAnsi="宋体" w:cs="宋体"/>
          <w:b/>
          <w:bCs/>
          <w:color w:val="auto"/>
          <w:sz w:val="32"/>
          <w:szCs w:val="32"/>
          <w:lang w:eastAsia="zh-CN"/>
        </w:rPr>
        <w:t>（供应商在编制竞标文件的过程中如发现采购文件提供的格式模板不合适，可以按照竞标目录的内容自行拟定格式编制。）</w:t>
      </w:r>
    </w:p>
    <w:p w14:paraId="6333233A">
      <w:pPr>
        <w:spacing w:line="600" w:lineRule="exact"/>
        <w:rPr>
          <w:rFonts w:ascii="宋体" w:hAnsi="宋体" w:cs="宋体"/>
          <w:color w:val="auto"/>
        </w:rPr>
      </w:pPr>
    </w:p>
    <w:p w14:paraId="41081BE1">
      <w:pPr>
        <w:spacing w:line="600" w:lineRule="exact"/>
        <w:ind w:firstLine="660" w:firstLineChars="300"/>
        <w:rPr>
          <w:rFonts w:ascii="宋体" w:hAnsi="宋体" w:cs="宋体"/>
          <w:color w:val="auto"/>
          <w:sz w:val="22"/>
          <w:szCs w:val="21"/>
        </w:rPr>
      </w:pPr>
    </w:p>
    <w:p w14:paraId="15F5AB35">
      <w:pPr>
        <w:snapToGrid w:val="0"/>
        <w:spacing w:line="600" w:lineRule="exact"/>
        <w:ind w:firstLine="315" w:firstLineChars="150"/>
        <w:rPr>
          <w:rFonts w:ascii="宋体" w:hAnsi="宋体" w:cs="宋体"/>
          <w:color w:val="auto"/>
          <w:szCs w:val="21"/>
        </w:rPr>
      </w:pPr>
    </w:p>
    <w:p w14:paraId="563EFB9E">
      <w:pPr>
        <w:snapToGrid w:val="0"/>
        <w:spacing w:line="600" w:lineRule="exact"/>
        <w:ind w:firstLine="315" w:firstLineChars="150"/>
        <w:rPr>
          <w:rFonts w:ascii="宋体" w:hAnsi="宋体" w:cs="宋体"/>
          <w:color w:val="auto"/>
          <w:szCs w:val="21"/>
        </w:rPr>
      </w:pPr>
    </w:p>
    <w:p w14:paraId="0D047488">
      <w:pPr>
        <w:snapToGrid w:val="0"/>
        <w:spacing w:line="360" w:lineRule="auto"/>
        <w:ind w:firstLine="315" w:firstLineChars="150"/>
        <w:rPr>
          <w:rFonts w:ascii="宋体" w:hAnsi="宋体" w:cs="宋体"/>
          <w:color w:val="auto"/>
          <w:szCs w:val="21"/>
        </w:rPr>
      </w:pPr>
    </w:p>
    <w:p w14:paraId="77A6988F">
      <w:pPr>
        <w:snapToGrid w:val="0"/>
        <w:spacing w:line="360" w:lineRule="auto"/>
        <w:ind w:firstLine="315" w:firstLineChars="150"/>
        <w:rPr>
          <w:rFonts w:ascii="宋体" w:hAnsi="宋体" w:cs="宋体"/>
          <w:color w:val="auto"/>
          <w:szCs w:val="21"/>
        </w:rPr>
      </w:pPr>
    </w:p>
    <w:p w14:paraId="120AFFF1">
      <w:pPr>
        <w:snapToGrid w:val="0"/>
        <w:spacing w:line="360" w:lineRule="auto"/>
        <w:ind w:firstLine="315" w:firstLineChars="150"/>
        <w:rPr>
          <w:rFonts w:ascii="宋体" w:hAnsi="宋体" w:cs="宋体"/>
          <w:color w:val="auto"/>
          <w:szCs w:val="21"/>
        </w:rPr>
      </w:pPr>
    </w:p>
    <w:p w14:paraId="20B0D0E0">
      <w:pPr>
        <w:snapToGrid w:val="0"/>
        <w:spacing w:line="360" w:lineRule="auto"/>
        <w:ind w:firstLine="315" w:firstLineChars="150"/>
        <w:rPr>
          <w:rFonts w:ascii="宋体" w:hAnsi="宋体" w:cs="宋体"/>
          <w:color w:val="auto"/>
          <w:szCs w:val="21"/>
        </w:rPr>
      </w:pPr>
    </w:p>
    <w:p w14:paraId="21B1280F">
      <w:pPr>
        <w:snapToGrid w:val="0"/>
        <w:spacing w:line="360" w:lineRule="auto"/>
        <w:ind w:firstLine="315" w:firstLineChars="150"/>
        <w:rPr>
          <w:rFonts w:ascii="宋体" w:hAnsi="宋体" w:cs="宋体"/>
          <w:color w:val="auto"/>
          <w:szCs w:val="21"/>
        </w:rPr>
      </w:pPr>
    </w:p>
    <w:p w14:paraId="062DCE02">
      <w:pPr>
        <w:adjustRightInd w:val="0"/>
        <w:spacing w:line="360" w:lineRule="auto"/>
        <w:jc w:val="center"/>
        <w:textAlignment w:val="baseline"/>
        <w:rPr>
          <w:rFonts w:ascii="宋体"/>
          <w:b/>
          <w:color w:val="auto"/>
          <w:kern w:val="0"/>
          <w:sz w:val="32"/>
          <w:szCs w:val="20"/>
        </w:rPr>
      </w:pPr>
    </w:p>
    <w:p w14:paraId="744CB9A1">
      <w:pPr>
        <w:adjustRightInd w:val="0"/>
        <w:spacing w:line="360" w:lineRule="auto"/>
        <w:jc w:val="center"/>
        <w:textAlignment w:val="baseline"/>
        <w:rPr>
          <w:rFonts w:ascii="宋体"/>
          <w:b/>
          <w:color w:val="auto"/>
          <w:kern w:val="0"/>
          <w:sz w:val="32"/>
          <w:szCs w:val="20"/>
        </w:rPr>
      </w:pPr>
    </w:p>
    <w:p w14:paraId="1C02764A">
      <w:pPr>
        <w:adjustRightInd w:val="0"/>
        <w:spacing w:line="360" w:lineRule="auto"/>
        <w:jc w:val="center"/>
        <w:textAlignment w:val="baseline"/>
        <w:rPr>
          <w:rFonts w:ascii="宋体"/>
          <w:b/>
          <w:color w:val="auto"/>
          <w:kern w:val="0"/>
          <w:sz w:val="32"/>
          <w:szCs w:val="20"/>
        </w:rPr>
      </w:pPr>
    </w:p>
    <w:p w14:paraId="037F1DC0">
      <w:pPr>
        <w:adjustRightInd w:val="0"/>
        <w:spacing w:line="360" w:lineRule="auto"/>
        <w:jc w:val="center"/>
        <w:textAlignment w:val="baseline"/>
        <w:rPr>
          <w:rFonts w:ascii="宋体"/>
          <w:b/>
          <w:color w:val="auto"/>
          <w:kern w:val="0"/>
          <w:sz w:val="32"/>
          <w:szCs w:val="20"/>
        </w:rPr>
      </w:pPr>
    </w:p>
    <w:p w14:paraId="203AC9F1">
      <w:pPr>
        <w:adjustRightInd w:val="0"/>
        <w:spacing w:line="360" w:lineRule="auto"/>
        <w:jc w:val="center"/>
        <w:textAlignment w:val="baseline"/>
        <w:rPr>
          <w:rFonts w:ascii="宋体"/>
          <w:b/>
          <w:color w:val="auto"/>
          <w:kern w:val="0"/>
          <w:sz w:val="32"/>
          <w:szCs w:val="20"/>
        </w:rPr>
      </w:pPr>
    </w:p>
    <w:p w14:paraId="0C7706E1">
      <w:pPr>
        <w:adjustRightInd w:val="0"/>
        <w:spacing w:line="360" w:lineRule="auto"/>
        <w:jc w:val="center"/>
        <w:textAlignment w:val="baseline"/>
        <w:rPr>
          <w:rFonts w:ascii="宋体"/>
          <w:b/>
          <w:color w:val="auto"/>
          <w:kern w:val="0"/>
          <w:sz w:val="32"/>
          <w:szCs w:val="20"/>
        </w:rPr>
      </w:pPr>
    </w:p>
    <w:p w14:paraId="756C2D6D">
      <w:pPr>
        <w:keepNext w:val="0"/>
        <w:keepLines w:val="0"/>
        <w:widowControl/>
        <w:suppressLineNumbers w:val="0"/>
        <w:ind w:left="0" w:leftChars="0" w:firstLine="0" w:firstLineChars="0"/>
        <w:jc w:val="left"/>
        <w:rPr>
          <w:rFonts w:hint="eastAsia" w:ascii="方正小标宋简体" w:hAnsi="方正小标宋简体" w:eastAsia="方正小标宋简体" w:cs="方正小标宋简体"/>
          <w:color w:val="auto"/>
          <w:kern w:val="0"/>
          <w:sz w:val="43"/>
          <w:szCs w:val="43"/>
          <w:lang w:val="en-US" w:eastAsia="zh-CN" w:bidi="ar"/>
        </w:rPr>
      </w:pPr>
      <w:r>
        <w:rPr>
          <w:rFonts w:hint="eastAsia" w:ascii="方正黑体_GBK" w:hAnsi="方正黑体_GBK" w:eastAsia="方正黑体_GBK" w:cs="方正黑体_GBK"/>
          <w:color w:val="auto"/>
          <w:kern w:val="0"/>
          <w:sz w:val="31"/>
          <w:szCs w:val="31"/>
          <w:lang w:val="en-US" w:eastAsia="zh-CN" w:bidi="ar"/>
        </w:rPr>
        <w:t>格式一：</w:t>
      </w:r>
      <w:r>
        <w:rPr>
          <w:rFonts w:ascii="方正黑体_GBK" w:hAnsi="方正黑体_GBK" w:eastAsia="方正黑体_GBK" w:cs="方正黑体_GBK"/>
          <w:color w:val="auto"/>
          <w:kern w:val="0"/>
          <w:sz w:val="31"/>
          <w:szCs w:val="31"/>
          <w:lang w:val="en-US" w:eastAsia="zh-CN" w:bidi="ar"/>
        </w:rPr>
        <w:t xml:space="preserve"> </w:t>
      </w:r>
    </w:p>
    <w:p w14:paraId="0781139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color w:val="auto"/>
          <w:sz w:val="32"/>
          <w:szCs w:val="32"/>
        </w:rPr>
      </w:pPr>
      <w:r>
        <w:rPr>
          <w:rFonts w:hint="eastAsia" w:ascii="方正小标宋简体" w:hAnsi="方正小标宋简体" w:eastAsia="方正小标宋简体" w:cs="方正小标宋简体"/>
          <w:color w:val="auto"/>
          <w:kern w:val="0"/>
          <w:sz w:val="36"/>
          <w:szCs w:val="36"/>
          <w:lang w:val="en-US" w:eastAsia="zh-CN" w:bidi="ar"/>
        </w:rPr>
        <w:t>崇左</w:t>
      </w:r>
      <w:r>
        <w:rPr>
          <w:rFonts w:ascii="方正小标宋简体" w:hAnsi="方正小标宋简体" w:eastAsia="方正小标宋简体" w:cs="方正小标宋简体"/>
          <w:color w:val="auto"/>
          <w:kern w:val="0"/>
          <w:sz w:val="36"/>
          <w:szCs w:val="36"/>
          <w:lang w:val="en-US" w:eastAsia="zh-CN" w:bidi="ar"/>
        </w:rPr>
        <w:t>市政府采购供应商信用承诺函（格式）</w:t>
      </w:r>
    </w:p>
    <w:p w14:paraId="253608A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32"/>
          <w:szCs w:val="32"/>
          <w:lang w:val="en-US" w:eastAsia="zh-CN" w:bidi="ar"/>
        </w:rPr>
      </w:pPr>
    </w:p>
    <w:p w14:paraId="1B390D16">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default" w:ascii="仿宋_GB2312" w:hAnsi="仿宋_GB2312" w:eastAsia="仿宋_GB2312" w:cs="仿宋_GB2312"/>
          <w:color w:val="auto"/>
          <w:sz w:val="21"/>
          <w:szCs w:val="21"/>
          <w:u w:val="single"/>
          <w:lang w:val="en-US" w:eastAsia="zh-CN"/>
        </w:rPr>
      </w:pPr>
      <w:r>
        <w:rPr>
          <w:rFonts w:hint="eastAsia" w:ascii="仿宋_GB2312" w:hAnsi="仿宋_GB2312" w:eastAsia="仿宋_GB2312" w:cs="仿宋_GB2312"/>
          <w:color w:val="auto"/>
          <w:kern w:val="0"/>
          <w:sz w:val="21"/>
          <w:szCs w:val="21"/>
          <w:lang w:val="en-US" w:eastAsia="zh-CN" w:bidi="ar"/>
        </w:rPr>
        <w:t>致</w:t>
      </w:r>
      <w:r>
        <w:rPr>
          <w:rFonts w:hint="eastAsia" w:ascii="仿宋_GB2312" w:hAnsi="仿宋_GB2312" w:eastAsia="仿宋_GB2312" w:cs="仿宋_GB2312"/>
          <w:color w:val="auto"/>
          <w:kern w:val="0"/>
          <w:sz w:val="21"/>
          <w:szCs w:val="21"/>
          <w:u w:val="single"/>
          <w:lang w:val="en-US" w:eastAsia="zh-CN" w:bidi="ar"/>
        </w:rPr>
        <w:t>（采购代理机构名称）</w:t>
      </w:r>
      <w:r>
        <w:rPr>
          <w:rFonts w:hint="eastAsia" w:ascii="仿宋_GB2312" w:hAnsi="仿宋_GB2312" w:eastAsia="仿宋_GB2312" w:cs="仿宋_GB2312"/>
          <w:color w:val="auto"/>
          <w:kern w:val="0"/>
          <w:sz w:val="21"/>
          <w:szCs w:val="21"/>
          <w:u w:val="none"/>
          <w:lang w:val="en-US" w:eastAsia="zh-CN" w:bidi="ar"/>
        </w:rPr>
        <w:t>:</w:t>
      </w:r>
    </w:p>
    <w:p w14:paraId="1BA5EA4C">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both"/>
        <w:textAlignment w:val="auto"/>
        <w:rPr>
          <w:rFonts w:hint="eastAsia" w:ascii="仿宋_GB2312" w:hAnsi="仿宋_GB2312" w:eastAsia="仿宋_GB2312" w:cs="仿宋_GB2312"/>
          <w:color w:val="auto"/>
          <w:spacing w:val="-6"/>
          <w:sz w:val="21"/>
          <w:szCs w:val="21"/>
        </w:rPr>
      </w:pPr>
      <w:r>
        <w:rPr>
          <w:rFonts w:hint="eastAsia" w:ascii="仿宋_GB2312" w:hAnsi="仿宋_GB2312" w:eastAsia="仿宋_GB2312" w:cs="仿宋_GB2312"/>
          <w:color w:val="auto"/>
          <w:kern w:val="0"/>
          <w:sz w:val="21"/>
          <w:szCs w:val="21"/>
          <w:lang w:val="en-US" w:eastAsia="zh-CN" w:bidi="ar"/>
        </w:rPr>
        <w:t>我方自愿参加</w:t>
      </w:r>
      <w:r>
        <w:rPr>
          <w:rFonts w:hint="eastAsia" w:ascii="仿宋_GB2312" w:hAnsi="仿宋_GB2312" w:eastAsia="仿宋_GB2312" w:cs="仿宋_GB2312"/>
          <w:color w:val="auto"/>
          <w:kern w:val="0"/>
          <w:sz w:val="21"/>
          <w:szCs w:val="21"/>
          <w:u w:val="single"/>
          <w:lang w:val="en-US" w:eastAsia="zh-CN" w:bidi="ar"/>
        </w:rPr>
        <w:t xml:space="preserve"> （项目名称） </w:t>
      </w:r>
      <w:r>
        <w:rPr>
          <w:rFonts w:hint="eastAsia" w:ascii="仿宋_GB2312" w:hAnsi="仿宋_GB2312" w:eastAsia="仿宋_GB2312" w:cs="仿宋_GB2312"/>
          <w:color w:val="auto"/>
          <w:kern w:val="0"/>
          <w:sz w:val="21"/>
          <w:szCs w:val="21"/>
          <w:lang w:val="en-US" w:eastAsia="zh-CN" w:bidi="ar"/>
        </w:rPr>
        <w:t>项目</w:t>
      </w:r>
      <w:r>
        <w:rPr>
          <w:rFonts w:hint="eastAsia" w:ascii="仿宋_GB2312" w:hAnsi="Times New Roman" w:eastAsia="仿宋_GB2312" w:cs="Times New Roman"/>
          <w:color w:val="auto"/>
          <w:spacing w:val="6"/>
          <w:sz w:val="21"/>
          <w:szCs w:val="21"/>
        </w:rPr>
        <w:t>（项目编号：</w:t>
      </w:r>
      <w:r>
        <w:rPr>
          <w:rFonts w:hint="eastAsia" w:ascii="仿宋_GB2312" w:hAnsi="Times New Roman" w:eastAsia="仿宋_GB2312" w:cs="Times New Roman"/>
          <w:color w:val="auto"/>
          <w:spacing w:val="6"/>
          <w:sz w:val="21"/>
          <w:szCs w:val="21"/>
          <w:u w:val="single"/>
        </w:rPr>
        <w:t xml:space="preserve">       </w:t>
      </w:r>
      <w:r>
        <w:rPr>
          <w:rFonts w:hint="eastAsia" w:ascii="仿宋_GB2312" w:eastAsia="仿宋_GB2312" w:cs="Times New Roman"/>
          <w:color w:val="auto"/>
          <w:spacing w:val="6"/>
          <w:sz w:val="21"/>
          <w:szCs w:val="21"/>
          <w:u w:val="single"/>
          <w:lang w:val="en-US" w:eastAsia="zh-CN"/>
        </w:rPr>
        <w:t xml:space="preserve">  </w:t>
      </w:r>
      <w:r>
        <w:rPr>
          <w:rFonts w:hint="eastAsia" w:ascii="仿宋_GB2312" w:hAnsi="Times New Roman" w:eastAsia="仿宋_GB2312" w:cs="Times New Roman"/>
          <w:color w:val="auto"/>
          <w:spacing w:val="6"/>
          <w:sz w:val="21"/>
          <w:szCs w:val="21"/>
        </w:rPr>
        <w:t>）</w:t>
      </w:r>
      <w:r>
        <w:rPr>
          <w:rFonts w:hint="eastAsia" w:ascii="仿宋_GB2312" w:hAnsi="仿宋_GB2312" w:eastAsia="仿宋_GB2312" w:cs="仿宋_GB2312"/>
          <w:color w:val="auto"/>
          <w:kern w:val="0"/>
          <w:sz w:val="21"/>
          <w:szCs w:val="21"/>
          <w:lang w:val="en-US" w:eastAsia="zh-CN" w:bidi="ar"/>
        </w:rPr>
        <w:t>的政府采购活动，严格遵守《中华人民共和国政府采购法》及相关法律法规，依法诚信经营，无条件遵守本次政府采购活动的各项规定，并郑重承诺</w:t>
      </w:r>
      <w:r>
        <w:rPr>
          <w:rFonts w:hint="eastAsia" w:ascii="仿宋_GB2312" w:hAnsi="仿宋_GB2312" w:eastAsia="仿宋_GB2312" w:cs="仿宋_GB2312"/>
          <w:color w:val="auto"/>
          <w:spacing w:val="-6"/>
          <w:kern w:val="0"/>
          <w:sz w:val="21"/>
          <w:szCs w:val="21"/>
          <w:lang w:val="en-US" w:eastAsia="zh-CN" w:bidi="ar"/>
        </w:rPr>
        <w:t xml:space="preserve">： </w:t>
      </w:r>
    </w:p>
    <w:p w14:paraId="2E79CDD7">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both"/>
        <w:textAlignment w:val="auto"/>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1.我方</w:t>
      </w:r>
      <w:r>
        <w:rPr>
          <w:rFonts w:hint="eastAsia" w:ascii="仿宋_GB2312" w:hAnsi="Times New Roman" w:eastAsia="仿宋_GB2312" w:cs="Times New Roman"/>
          <w:color w:val="auto"/>
          <w:spacing w:val="6"/>
          <w:sz w:val="21"/>
          <w:szCs w:val="21"/>
          <w:lang w:val="en-US" w:eastAsia="zh-CN"/>
        </w:rPr>
        <w:t>具有独立承担民事责任的能力或我方属于银行、保险、石油石化、电力、电信等有行业特殊情况的法人的分支机构在参加本次政府采购活动前已取得总公司的授权。</w:t>
      </w:r>
    </w:p>
    <w:p w14:paraId="675ABF2D">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both"/>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val="en-US" w:eastAsia="zh-CN" w:bidi="ar"/>
        </w:rPr>
        <w:t xml:space="preserve">2.我方具有符合采购文件资格要求的财务状况报告。 </w:t>
      </w:r>
    </w:p>
    <w:p w14:paraId="408357FB">
      <w:pPr>
        <w:keepNext w:val="0"/>
        <w:keepLines w:val="0"/>
        <w:pageBreakBefore w:val="0"/>
        <w:widowControl/>
        <w:suppressLineNumbers w:val="0"/>
        <w:kinsoku/>
        <w:wordWrap/>
        <w:overflowPunct/>
        <w:topLinePunct w:val="0"/>
        <w:autoSpaceDE/>
        <w:autoSpaceDN/>
        <w:bidi w:val="0"/>
        <w:adjustRightInd/>
        <w:snapToGrid/>
        <w:spacing w:line="440" w:lineRule="exact"/>
        <w:ind w:firstLine="396" w:firstLineChars="200"/>
        <w:jc w:val="both"/>
        <w:textAlignment w:val="auto"/>
        <w:rPr>
          <w:rFonts w:hint="eastAsia" w:ascii="仿宋_GB2312" w:hAnsi="仿宋_GB2312" w:eastAsia="仿宋_GB2312" w:cs="仿宋_GB2312"/>
          <w:color w:val="auto"/>
          <w:spacing w:val="-17"/>
          <w:sz w:val="21"/>
          <w:szCs w:val="21"/>
        </w:rPr>
      </w:pPr>
      <w:r>
        <w:rPr>
          <w:rFonts w:hint="eastAsia" w:ascii="仿宋_GB2312" w:hAnsi="仿宋_GB2312" w:eastAsia="仿宋_GB2312" w:cs="仿宋_GB2312"/>
          <w:color w:val="auto"/>
          <w:spacing w:val="-6"/>
          <w:kern w:val="0"/>
          <w:sz w:val="21"/>
          <w:szCs w:val="21"/>
          <w:lang w:val="en-US" w:eastAsia="zh-CN" w:bidi="ar"/>
        </w:rPr>
        <w:t>3.我方具有符合采购文件资格要求的依法缴纳税收和社会保障资金的良好记录。</w:t>
      </w:r>
      <w:r>
        <w:rPr>
          <w:rFonts w:hint="eastAsia" w:ascii="仿宋_GB2312" w:hAnsi="仿宋_GB2312" w:eastAsia="仿宋_GB2312" w:cs="仿宋_GB2312"/>
          <w:color w:val="auto"/>
          <w:spacing w:val="-17"/>
          <w:kern w:val="0"/>
          <w:sz w:val="21"/>
          <w:szCs w:val="21"/>
          <w:lang w:val="en-US" w:eastAsia="zh-CN" w:bidi="ar"/>
        </w:rPr>
        <w:t xml:space="preserve"> </w:t>
      </w:r>
    </w:p>
    <w:p w14:paraId="54CD7C15">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both"/>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val="en-US" w:eastAsia="zh-CN" w:bidi="ar"/>
        </w:rPr>
        <w:t xml:space="preserve">4.我方具有符合采购文件资格要求履行合同所必需的设备和专业技术能力。 </w:t>
      </w:r>
    </w:p>
    <w:p w14:paraId="69A42CE4">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both"/>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val="en-US" w:eastAsia="zh-CN" w:bidi="ar"/>
        </w:rPr>
        <w:t xml:space="preserve">5.我方参加政府采购活动前3年内在经营活动中没有重大违法记录。 </w:t>
      </w:r>
    </w:p>
    <w:p w14:paraId="7A246659">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both"/>
        <w:textAlignment w:val="auto"/>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我方对以上承诺内容的真实性负责。如有虚假，将依法承担相应责任。</w:t>
      </w:r>
    </w:p>
    <w:p w14:paraId="484F0256">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both"/>
        <w:textAlignment w:val="auto"/>
        <w:rPr>
          <w:rFonts w:hint="eastAsia" w:ascii="仿宋_GB2312" w:hAnsi="仿宋_GB2312" w:eastAsia="仿宋_GB2312" w:cs="仿宋_GB2312"/>
          <w:color w:val="auto"/>
          <w:kern w:val="0"/>
          <w:sz w:val="21"/>
          <w:szCs w:val="21"/>
          <w:lang w:val="en-US" w:eastAsia="zh-CN" w:bidi="ar"/>
        </w:rPr>
      </w:pPr>
    </w:p>
    <w:p w14:paraId="2C79D11D">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both"/>
        <w:textAlignment w:val="auto"/>
        <w:rPr>
          <w:rFonts w:hint="eastAsia" w:ascii="仿宋_GB2312" w:hAnsi="仿宋_GB2312" w:eastAsia="仿宋_GB2312" w:cs="仿宋_GB2312"/>
          <w:color w:val="auto"/>
          <w:kern w:val="0"/>
          <w:sz w:val="21"/>
          <w:szCs w:val="21"/>
          <w:lang w:val="en-US" w:eastAsia="zh-CN" w:bidi="ar"/>
        </w:rPr>
      </w:pPr>
    </w:p>
    <w:p w14:paraId="6CE3A7CD">
      <w:pPr>
        <w:keepNext w:val="0"/>
        <w:keepLines w:val="0"/>
        <w:pageBreakBefore w:val="0"/>
        <w:widowControl/>
        <w:suppressLineNumbers w:val="0"/>
        <w:kinsoku/>
        <w:wordWrap/>
        <w:overflowPunct/>
        <w:topLinePunct w:val="0"/>
        <w:autoSpaceDE/>
        <w:autoSpaceDN/>
        <w:bidi w:val="0"/>
        <w:adjustRightInd/>
        <w:snapToGrid/>
        <w:spacing w:line="440" w:lineRule="exact"/>
        <w:ind w:firstLine="3150" w:firstLineChars="15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val="en-US" w:eastAsia="zh-CN" w:bidi="ar"/>
        </w:rPr>
        <w:t>供应商名称</w:t>
      </w:r>
      <w:r>
        <w:rPr>
          <w:rFonts w:hint="eastAsia" w:ascii="仿宋_GB2312" w:hAnsi="仿宋" w:eastAsia="仿宋_GB2312" w:cs="仿宋_GB2312"/>
          <w:color w:val="auto"/>
          <w:kern w:val="0"/>
          <w:sz w:val="21"/>
          <w:szCs w:val="21"/>
          <w:highlight w:val="none"/>
        </w:rPr>
        <w:t>（电子签章）</w:t>
      </w:r>
      <w:r>
        <w:rPr>
          <w:rFonts w:hint="eastAsia" w:ascii="仿宋_GB2312" w:hAnsi="仿宋_GB2312" w:eastAsia="仿宋_GB2312" w:cs="仿宋_GB2312"/>
          <w:color w:val="auto"/>
          <w:kern w:val="0"/>
          <w:sz w:val="21"/>
          <w:szCs w:val="21"/>
          <w:lang w:val="en-US" w:eastAsia="zh-CN" w:bidi="ar"/>
        </w:rPr>
        <w:t xml:space="preserve">： </w:t>
      </w:r>
    </w:p>
    <w:p w14:paraId="4F005781">
      <w:pPr>
        <w:keepNext w:val="0"/>
        <w:keepLines w:val="0"/>
        <w:pageBreakBefore w:val="0"/>
        <w:tabs>
          <w:tab w:val="left" w:pos="7560"/>
        </w:tabs>
        <w:kinsoku/>
        <w:wordWrap/>
        <w:overflowPunct/>
        <w:topLinePunct w:val="0"/>
        <w:autoSpaceDE/>
        <w:autoSpaceDN/>
        <w:bidi w:val="0"/>
        <w:adjustRightInd/>
        <w:snapToGrid/>
        <w:spacing w:line="440" w:lineRule="exact"/>
        <w:ind w:firstLine="3150" w:firstLineChars="1500"/>
        <w:jc w:val="left"/>
        <w:textAlignment w:val="auto"/>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日期：</w:t>
      </w:r>
    </w:p>
    <w:p w14:paraId="01685E66">
      <w:pPr>
        <w:rPr>
          <w:rFonts w:ascii="宋体" w:hAnsi="宋体"/>
          <w:b/>
          <w:color w:val="auto"/>
          <w:sz w:val="24"/>
        </w:rPr>
      </w:pPr>
    </w:p>
    <w:p w14:paraId="6944FEEA">
      <w:pPr>
        <w:jc w:val="left"/>
        <w:rPr>
          <w:rFonts w:hint="eastAsia" w:ascii="宋体" w:hAnsi="宋体"/>
          <w:b/>
          <w:color w:val="auto"/>
          <w:sz w:val="24"/>
        </w:rPr>
      </w:pPr>
    </w:p>
    <w:p w14:paraId="716460D1">
      <w:pPr>
        <w:jc w:val="left"/>
        <w:rPr>
          <w:rFonts w:hint="eastAsia" w:ascii="宋体" w:hAnsi="宋体"/>
          <w:b/>
          <w:color w:val="auto"/>
          <w:sz w:val="24"/>
        </w:rPr>
      </w:pPr>
    </w:p>
    <w:p w14:paraId="688B67DC">
      <w:pPr>
        <w:jc w:val="left"/>
        <w:rPr>
          <w:rFonts w:hint="eastAsia" w:ascii="宋体" w:hAnsi="宋体"/>
          <w:b/>
          <w:color w:val="auto"/>
          <w:sz w:val="24"/>
        </w:rPr>
      </w:pPr>
    </w:p>
    <w:p w14:paraId="41C92BEC">
      <w:pPr>
        <w:jc w:val="left"/>
        <w:rPr>
          <w:rFonts w:hint="eastAsia" w:ascii="宋体" w:hAnsi="宋体"/>
          <w:b/>
          <w:color w:val="auto"/>
          <w:sz w:val="24"/>
        </w:rPr>
      </w:pPr>
    </w:p>
    <w:p w14:paraId="0B491206">
      <w:pPr>
        <w:jc w:val="left"/>
        <w:rPr>
          <w:rFonts w:hint="eastAsia" w:ascii="宋体" w:hAnsi="宋体"/>
          <w:b/>
          <w:color w:val="auto"/>
          <w:sz w:val="24"/>
        </w:rPr>
      </w:pPr>
    </w:p>
    <w:p w14:paraId="1570C3E6">
      <w:pPr>
        <w:jc w:val="left"/>
        <w:rPr>
          <w:rFonts w:hint="eastAsia" w:ascii="宋体" w:hAnsi="宋体"/>
          <w:b/>
          <w:color w:val="auto"/>
          <w:sz w:val="24"/>
        </w:rPr>
      </w:pPr>
    </w:p>
    <w:p w14:paraId="578DC72C">
      <w:pPr>
        <w:rPr>
          <w:rFonts w:hint="eastAsia" w:ascii="宋体" w:hAnsi="宋体"/>
          <w:b/>
          <w:color w:val="auto"/>
          <w:sz w:val="24"/>
        </w:rPr>
      </w:pPr>
      <w:r>
        <w:rPr>
          <w:rFonts w:hint="eastAsia" w:ascii="宋体" w:hAnsi="宋体"/>
          <w:b/>
          <w:color w:val="auto"/>
          <w:sz w:val="24"/>
        </w:rPr>
        <w:br w:type="page"/>
      </w:r>
    </w:p>
    <w:p w14:paraId="06381DE4">
      <w:pPr>
        <w:jc w:val="left"/>
        <w:rPr>
          <w:rFonts w:ascii="宋体" w:hAnsi="宋体"/>
          <w:b/>
          <w:color w:val="auto"/>
          <w:sz w:val="24"/>
        </w:rPr>
      </w:pPr>
      <w:r>
        <w:rPr>
          <w:rFonts w:hint="eastAsia" w:ascii="宋体" w:hAnsi="宋体"/>
          <w:b/>
          <w:color w:val="auto"/>
          <w:sz w:val="24"/>
        </w:rPr>
        <w:t>格式</w:t>
      </w:r>
      <w:r>
        <w:rPr>
          <w:rFonts w:hint="eastAsia" w:ascii="宋体" w:hAnsi="宋体"/>
          <w:b/>
          <w:color w:val="auto"/>
          <w:sz w:val="24"/>
          <w:lang w:eastAsia="zh-CN"/>
        </w:rPr>
        <w:t>二</w:t>
      </w:r>
      <w:r>
        <w:rPr>
          <w:rFonts w:hint="eastAsia" w:ascii="宋体" w:hAnsi="宋体"/>
          <w:b/>
          <w:color w:val="auto"/>
          <w:sz w:val="24"/>
        </w:rPr>
        <w:t>：</w:t>
      </w:r>
    </w:p>
    <w:p w14:paraId="2B0B36A6">
      <w:pPr>
        <w:spacing w:line="420" w:lineRule="exact"/>
        <w:ind w:firstLine="482" w:firstLineChars="200"/>
        <w:jc w:val="left"/>
        <w:rPr>
          <w:rFonts w:ascii="宋体" w:hAnsi="宋体"/>
          <w:b/>
          <w:color w:val="auto"/>
          <w:sz w:val="24"/>
        </w:rPr>
      </w:pPr>
    </w:p>
    <w:p w14:paraId="723CCD1C">
      <w:pPr>
        <w:spacing w:line="420" w:lineRule="exact"/>
        <w:ind w:firstLine="482" w:firstLineChars="200"/>
        <w:jc w:val="left"/>
        <w:rPr>
          <w:rFonts w:ascii="宋体" w:hAnsi="宋体"/>
          <w:color w:val="auto"/>
          <w:sz w:val="24"/>
        </w:rPr>
      </w:pPr>
      <w:r>
        <w:rPr>
          <w:rFonts w:hint="eastAsia" w:ascii="宋体" w:hAnsi="宋体"/>
          <w:b/>
          <w:color w:val="auto"/>
          <w:sz w:val="24"/>
        </w:rPr>
        <w:t>供应商参与政府采购活动前三年在经营活动中没有重大违法记录的书面声明函</w:t>
      </w:r>
    </w:p>
    <w:p w14:paraId="4CE0D888">
      <w:pPr>
        <w:spacing w:line="400" w:lineRule="exact"/>
        <w:ind w:left="28" w:firstLine="452"/>
        <w:jc w:val="center"/>
        <w:rPr>
          <w:rFonts w:ascii="宋体" w:hAnsi="宋体"/>
          <w:b/>
          <w:color w:val="auto"/>
          <w:sz w:val="24"/>
        </w:rPr>
      </w:pPr>
    </w:p>
    <w:p w14:paraId="7252F364">
      <w:pPr>
        <w:spacing w:line="400" w:lineRule="exact"/>
        <w:ind w:left="28" w:firstLine="452"/>
        <w:jc w:val="center"/>
        <w:rPr>
          <w:rFonts w:ascii="宋体" w:hAnsi="宋体"/>
          <w:b/>
          <w:color w:val="auto"/>
          <w:sz w:val="24"/>
        </w:rPr>
      </w:pPr>
    </w:p>
    <w:p w14:paraId="7524285B">
      <w:pPr>
        <w:spacing w:line="460" w:lineRule="exact"/>
        <w:rPr>
          <w:rFonts w:ascii="宋体" w:hAnsi="宋体"/>
          <w:color w:val="auto"/>
          <w:szCs w:val="21"/>
        </w:rPr>
      </w:pPr>
      <w:r>
        <w:rPr>
          <w:rFonts w:hint="eastAsia" w:ascii="宋体" w:hAnsi="宋体"/>
          <w:color w:val="auto"/>
          <w:szCs w:val="21"/>
        </w:rPr>
        <w:t>致：</w:t>
      </w:r>
      <w:r>
        <w:rPr>
          <w:rFonts w:hint="eastAsia" w:ascii="宋体" w:hAnsi="宋体"/>
          <w:color w:val="auto"/>
          <w:szCs w:val="21"/>
          <w:u w:val="single"/>
        </w:rPr>
        <w:t xml:space="preserve"> （采购人） </w:t>
      </w:r>
    </w:p>
    <w:p w14:paraId="2F4EB2BD">
      <w:pPr>
        <w:spacing w:line="460" w:lineRule="exact"/>
        <w:ind w:firstLine="315" w:firstLineChars="150"/>
        <w:rPr>
          <w:rFonts w:ascii="宋体" w:hAnsi="宋体"/>
          <w:color w:val="auto"/>
          <w:szCs w:val="21"/>
        </w:rPr>
      </w:pPr>
    </w:p>
    <w:p w14:paraId="2BC91C44">
      <w:pPr>
        <w:spacing w:line="460" w:lineRule="exact"/>
        <w:ind w:firstLine="315" w:firstLineChars="150"/>
        <w:rPr>
          <w:rFonts w:ascii="宋体" w:hAnsi="宋体"/>
          <w:color w:val="auto"/>
          <w:szCs w:val="21"/>
        </w:rPr>
      </w:pPr>
      <w:r>
        <w:rPr>
          <w:rFonts w:hint="eastAsia" w:ascii="宋体" w:hAnsi="宋体"/>
          <w:color w:val="auto"/>
          <w:szCs w:val="21"/>
        </w:rPr>
        <w:t>我单位近三年在经营活动中没有重大违法记录（包括：因违法经营受到刑事处罚或者责令停产停业，吊销许可证或者执照、较大数额罚款等行政处罚），特此声明。</w:t>
      </w:r>
    </w:p>
    <w:p w14:paraId="6AEB6823">
      <w:pPr>
        <w:spacing w:line="460" w:lineRule="exact"/>
        <w:ind w:firstLine="315" w:firstLineChars="150"/>
        <w:rPr>
          <w:rFonts w:ascii="宋体" w:hAnsi="宋体"/>
          <w:color w:val="auto"/>
          <w:szCs w:val="21"/>
        </w:rPr>
      </w:pPr>
      <w:r>
        <w:rPr>
          <w:rFonts w:hint="eastAsia" w:ascii="宋体" w:hAnsi="宋体"/>
          <w:color w:val="auto"/>
          <w:szCs w:val="21"/>
        </w:rPr>
        <w:t>若采购单位在本项目采购过程中发现我单位近三年内在经营活动中有重大违法记录，我单位将无条件地退出本项目的磋商，并承担因此引起的一切后果。</w:t>
      </w:r>
    </w:p>
    <w:p w14:paraId="1A734AB4">
      <w:pPr>
        <w:spacing w:line="460" w:lineRule="exact"/>
        <w:ind w:firstLine="315" w:firstLineChars="150"/>
        <w:rPr>
          <w:rFonts w:ascii="宋体" w:hAnsi="宋体"/>
          <w:color w:val="auto"/>
          <w:szCs w:val="21"/>
        </w:rPr>
      </w:pPr>
    </w:p>
    <w:p w14:paraId="41FB58B6">
      <w:pPr>
        <w:spacing w:line="360" w:lineRule="exact"/>
        <w:rPr>
          <w:rFonts w:ascii="宋体" w:hAnsi="宋体"/>
          <w:color w:val="auto"/>
          <w:szCs w:val="21"/>
        </w:rPr>
      </w:pPr>
    </w:p>
    <w:p w14:paraId="2E61F12B">
      <w:pPr>
        <w:keepNext w:val="0"/>
        <w:keepLines w:val="0"/>
        <w:pageBreakBefore w:val="0"/>
        <w:widowControl/>
        <w:suppressLineNumbers w:val="0"/>
        <w:kinsoku/>
        <w:wordWrap/>
        <w:overflowPunct/>
        <w:topLinePunct w:val="0"/>
        <w:autoSpaceDE/>
        <w:autoSpaceDN/>
        <w:bidi w:val="0"/>
        <w:adjustRightInd/>
        <w:snapToGrid/>
        <w:spacing w:line="440" w:lineRule="exact"/>
        <w:ind w:firstLine="3150" w:firstLineChars="15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val="en-US" w:eastAsia="zh-CN" w:bidi="ar"/>
        </w:rPr>
        <w:t>供应商名称</w:t>
      </w:r>
      <w:r>
        <w:rPr>
          <w:rFonts w:hint="eastAsia" w:ascii="仿宋_GB2312" w:hAnsi="仿宋" w:eastAsia="仿宋_GB2312" w:cs="仿宋_GB2312"/>
          <w:color w:val="auto"/>
          <w:kern w:val="0"/>
          <w:sz w:val="21"/>
          <w:szCs w:val="21"/>
          <w:highlight w:val="none"/>
        </w:rPr>
        <w:t>（电子签章）</w:t>
      </w:r>
      <w:r>
        <w:rPr>
          <w:rFonts w:hint="eastAsia" w:ascii="仿宋_GB2312" w:hAnsi="仿宋_GB2312" w:eastAsia="仿宋_GB2312" w:cs="仿宋_GB2312"/>
          <w:color w:val="auto"/>
          <w:kern w:val="0"/>
          <w:sz w:val="21"/>
          <w:szCs w:val="21"/>
          <w:lang w:val="en-US" w:eastAsia="zh-CN" w:bidi="ar"/>
        </w:rPr>
        <w:t xml:space="preserve">： </w:t>
      </w:r>
    </w:p>
    <w:p w14:paraId="09A70047">
      <w:pPr>
        <w:keepNext w:val="0"/>
        <w:keepLines w:val="0"/>
        <w:pageBreakBefore w:val="0"/>
        <w:tabs>
          <w:tab w:val="left" w:pos="7560"/>
        </w:tabs>
        <w:kinsoku/>
        <w:wordWrap/>
        <w:overflowPunct/>
        <w:topLinePunct w:val="0"/>
        <w:autoSpaceDE/>
        <w:autoSpaceDN/>
        <w:bidi w:val="0"/>
        <w:adjustRightInd/>
        <w:snapToGrid/>
        <w:spacing w:line="440" w:lineRule="exact"/>
        <w:ind w:firstLine="3150" w:firstLineChars="1500"/>
        <w:jc w:val="left"/>
        <w:textAlignment w:val="auto"/>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日期：</w:t>
      </w:r>
    </w:p>
    <w:p w14:paraId="0BC30BB6">
      <w:pPr>
        <w:jc w:val="center"/>
        <w:rPr>
          <w:rFonts w:ascii="宋体" w:hAnsi="宋体"/>
          <w:b/>
          <w:color w:val="auto"/>
          <w:sz w:val="24"/>
        </w:rPr>
      </w:pPr>
    </w:p>
    <w:p w14:paraId="22ECEB4B">
      <w:pPr>
        <w:jc w:val="center"/>
        <w:rPr>
          <w:rFonts w:ascii="宋体" w:hAnsi="宋体"/>
          <w:b/>
          <w:color w:val="auto"/>
          <w:sz w:val="24"/>
        </w:rPr>
      </w:pPr>
    </w:p>
    <w:p w14:paraId="1BECF559">
      <w:pPr>
        <w:jc w:val="center"/>
        <w:rPr>
          <w:rFonts w:ascii="宋体" w:hAnsi="宋体"/>
          <w:b/>
          <w:color w:val="auto"/>
          <w:sz w:val="24"/>
        </w:rPr>
      </w:pPr>
    </w:p>
    <w:p w14:paraId="1BE50C23">
      <w:pPr>
        <w:jc w:val="center"/>
        <w:rPr>
          <w:rFonts w:ascii="宋体" w:hAnsi="宋体"/>
          <w:b/>
          <w:color w:val="auto"/>
          <w:sz w:val="24"/>
        </w:rPr>
      </w:pPr>
    </w:p>
    <w:p w14:paraId="491D4A32">
      <w:pPr>
        <w:jc w:val="center"/>
        <w:rPr>
          <w:rFonts w:ascii="宋体" w:hAnsi="宋体"/>
          <w:b/>
          <w:color w:val="auto"/>
          <w:sz w:val="24"/>
        </w:rPr>
      </w:pPr>
    </w:p>
    <w:p w14:paraId="05E0A397">
      <w:pPr>
        <w:jc w:val="center"/>
        <w:rPr>
          <w:rFonts w:ascii="宋体" w:hAnsi="宋体"/>
          <w:b/>
          <w:color w:val="auto"/>
          <w:sz w:val="24"/>
        </w:rPr>
      </w:pPr>
    </w:p>
    <w:p w14:paraId="331198C2">
      <w:pPr>
        <w:jc w:val="center"/>
        <w:rPr>
          <w:rFonts w:ascii="宋体" w:hAnsi="宋体"/>
          <w:b/>
          <w:color w:val="auto"/>
          <w:sz w:val="24"/>
        </w:rPr>
      </w:pPr>
    </w:p>
    <w:p w14:paraId="7EC850D9">
      <w:pPr>
        <w:jc w:val="center"/>
        <w:rPr>
          <w:rFonts w:ascii="宋体" w:hAnsi="宋体"/>
          <w:b/>
          <w:color w:val="auto"/>
          <w:sz w:val="24"/>
        </w:rPr>
      </w:pPr>
    </w:p>
    <w:p w14:paraId="706AD754">
      <w:pPr>
        <w:jc w:val="center"/>
        <w:rPr>
          <w:rFonts w:ascii="宋体" w:hAnsi="宋体"/>
          <w:b/>
          <w:color w:val="auto"/>
          <w:sz w:val="24"/>
        </w:rPr>
      </w:pPr>
    </w:p>
    <w:p w14:paraId="16F75587">
      <w:pPr>
        <w:jc w:val="center"/>
        <w:rPr>
          <w:rFonts w:ascii="宋体" w:hAnsi="宋体"/>
          <w:b/>
          <w:color w:val="auto"/>
          <w:sz w:val="24"/>
        </w:rPr>
      </w:pPr>
    </w:p>
    <w:p w14:paraId="547461CD">
      <w:pPr>
        <w:jc w:val="center"/>
        <w:rPr>
          <w:rFonts w:ascii="宋体" w:hAnsi="宋体"/>
          <w:b/>
          <w:color w:val="auto"/>
          <w:sz w:val="24"/>
        </w:rPr>
      </w:pPr>
    </w:p>
    <w:p w14:paraId="72A6F00D">
      <w:pPr>
        <w:jc w:val="center"/>
        <w:rPr>
          <w:rFonts w:ascii="宋体" w:hAnsi="宋体"/>
          <w:b/>
          <w:color w:val="auto"/>
          <w:sz w:val="24"/>
        </w:rPr>
      </w:pPr>
    </w:p>
    <w:p w14:paraId="44BB8FAE">
      <w:pPr>
        <w:jc w:val="center"/>
        <w:rPr>
          <w:rFonts w:ascii="宋体" w:hAnsi="宋体"/>
          <w:b/>
          <w:color w:val="auto"/>
          <w:sz w:val="24"/>
        </w:rPr>
      </w:pPr>
    </w:p>
    <w:p w14:paraId="5ED6E3C5">
      <w:pPr>
        <w:jc w:val="center"/>
        <w:rPr>
          <w:rFonts w:ascii="宋体" w:hAnsi="宋体"/>
          <w:b/>
          <w:color w:val="auto"/>
          <w:sz w:val="24"/>
        </w:rPr>
      </w:pPr>
    </w:p>
    <w:p w14:paraId="39062BC3">
      <w:pPr>
        <w:jc w:val="center"/>
        <w:rPr>
          <w:rFonts w:ascii="宋体" w:hAnsi="宋体"/>
          <w:b/>
          <w:color w:val="auto"/>
          <w:sz w:val="24"/>
        </w:rPr>
      </w:pPr>
    </w:p>
    <w:p w14:paraId="6D889157">
      <w:pPr>
        <w:jc w:val="center"/>
        <w:rPr>
          <w:rFonts w:ascii="宋体" w:hAnsi="宋体"/>
          <w:b/>
          <w:color w:val="auto"/>
          <w:sz w:val="24"/>
        </w:rPr>
      </w:pPr>
    </w:p>
    <w:p w14:paraId="16BAD677">
      <w:pPr>
        <w:pStyle w:val="18"/>
        <w:rPr>
          <w:rFonts w:ascii="宋体" w:hAnsi="宋体"/>
          <w:b/>
          <w:color w:val="auto"/>
          <w:sz w:val="24"/>
        </w:rPr>
      </w:pPr>
    </w:p>
    <w:p w14:paraId="5E8BCF6A">
      <w:pPr>
        <w:pStyle w:val="43"/>
        <w:rPr>
          <w:rFonts w:ascii="宋体" w:hAnsi="宋体"/>
          <w:b/>
          <w:color w:val="auto"/>
          <w:sz w:val="24"/>
        </w:rPr>
      </w:pPr>
    </w:p>
    <w:p w14:paraId="10AD9C07">
      <w:pPr>
        <w:rPr>
          <w:rFonts w:ascii="宋体" w:hAnsi="宋体"/>
          <w:b/>
          <w:color w:val="auto"/>
          <w:sz w:val="24"/>
        </w:rPr>
      </w:pPr>
    </w:p>
    <w:p w14:paraId="565D78C9">
      <w:pPr>
        <w:pStyle w:val="5"/>
        <w:rPr>
          <w:color w:val="auto"/>
        </w:rPr>
      </w:pPr>
    </w:p>
    <w:p w14:paraId="3DC61B5F">
      <w:pPr>
        <w:rPr>
          <w:rFonts w:ascii="宋体" w:hAnsi="宋体"/>
          <w:b/>
          <w:color w:val="auto"/>
          <w:sz w:val="24"/>
        </w:rPr>
      </w:pPr>
    </w:p>
    <w:p w14:paraId="43E5A8EA">
      <w:pPr>
        <w:pStyle w:val="18"/>
        <w:rPr>
          <w:rFonts w:ascii="宋体" w:hAnsi="宋体"/>
          <w:b/>
          <w:color w:val="auto"/>
          <w:sz w:val="24"/>
        </w:rPr>
      </w:pPr>
    </w:p>
    <w:p w14:paraId="70183CB6">
      <w:pPr>
        <w:spacing w:line="360" w:lineRule="auto"/>
        <w:contextualSpacing/>
        <w:rPr>
          <w:rFonts w:hint="eastAsia" w:ascii="仿宋" w:hAnsi="仿宋" w:eastAsia="仿宋" w:cs="仿宋_GB2312"/>
          <w:b/>
          <w:color w:val="auto"/>
          <w:kern w:val="0"/>
          <w:sz w:val="30"/>
          <w:szCs w:val="30"/>
          <w:highlight w:val="none"/>
        </w:rPr>
      </w:pPr>
      <w:r>
        <w:rPr>
          <w:rFonts w:hint="eastAsia" w:ascii="仿宋" w:hAnsi="仿宋" w:eastAsia="仿宋" w:cs="仿宋_GB2312"/>
          <w:b/>
          <w:color w:val="auto"/>
          <w:kern w:val="0"/>
          <w:sz w:val="30"/>
          <w:szCs w:val="30"/>
          <w:highlight w:val="none"/>
          <w:lang w:eastAsia="zh-CN"/>
        </w:rPr>
        <w:t>格式三：</w:t>
      </w:r>
      <w:r>
        <w:rPr>
          <w:rFonts w:hint="eastAsia" w:ascii="仿宋" w:hAnsi="仿宋" w:eastAsia="仿宋" w:cs="仿宋_GB2312"/>
          <w:b/>
          <w:color w:val="auto"/>
          <w:kern w:val="0"/>
          <w:sz w:val="30"/>
          <w:szCs w:val="30"/>
          <w:highlight w:val="none"/>
        </w:rPr>
        <w:t>供应商直接控股股东信息</w:t>
      </w:r>
      <w:r>
        <w:rPr>
          <w:rFonts w:hint="eastAsia" w:ascii="仿宋" w:hAnsi="仿宋" w:eastAsia="仿宋" w:cs="仿宋_GB2312"/>
          <w:b/>
          <w:color w:val="auto"/>
          <w:kern w:val="0"/>
          <w:sz w:val="30"/>
          <w:szCs w:val="30"/>
          <w:highlight w:val="none"/>
          <w:lang w:eastAsia="zh-CN"/>
        </w:rPr>
        <w:t>、</w:t>
      </w:r>
      <w:r>
        <w:rPr>
          <w:rFonts w:hint="eastAsia" w:ascii="仿宋" w:hAnsi="仿宋" w:eastAsia="仿宋" w:cs="仿宋_GB2312"/>
          <w:b/>
          <w:color w:val="auto"/>
          <w:kern w:val="0"/>
          <w:sz w:val="30"/>
          <w:szCs w:val="30"/>
          <w:highlight w:val="none"/>
        </w:rPr>
        <w:t>供应商直接管理关系信息表</w:t>
      </w:r>
    </w:p>
    <w:p w14:paraId="30674324">
      <w:pPr>
        <w:pStyle w:val="18"/>
        <w:rPr>
          <w:rFonts w:hint="eastAsia"/>
          <w:color w:val="auto"/>
          <w:highlight w:val="none"/>
          <w:lang w:eastAsia="zh-CN"/>
        </w:rPr>
      </w:pPr>
    </w:p>
    <w:p w14:paraId="0C1045A8">
      <w:pPr>
        <w:spacing w:line="360" w:lineRule="auto"/>
        <w:ind w:firstLine="596" w:firstLineChars="198"/>
        <w:contextualSpacing/>
        <w:jc w:val="center"/>
        <w:rPr>
          <w:rFonts w:hint="eastAsia" w:ascii="宋体" w:hAnsi="宋体"/>
          <w:b/>
          <w:color w:val="auto"/>
          <w:sz w:val="24"/>
          <w:highlight w:val="none"/>
        </w:rPr>
      </w:pPr>
      <w:r>
        <w:rPr>
          <w:rFonts w:hint="eastAsia" w:ascii="仿宋" w:hAnsi="仿宋" w:eastAsia="仿宋" w:cs="仿宋_GB2312"/>
          <w:b/>
          <w:color w:val="auto"/>
          <w:kern w:val="0"/>
          <w:sz w:val="30"/>
          <w:szCs w:val="30"/>
          <w:highlight w:val="none"/>
        </w:rPr>
        <w:t>供应商直接控股股东信息</w:t>
      </w:r>
    </w:p>
    <w:tbl>
      <w:tblPr>
        <w:tblStyle w:val="45"/>
        <w:tblW w:w="9485" w:type="dxa"/>
        <w:jc w:val="center"/>
        <w:shd w:val="clear" w:color="auto" w:fill="FBFBFB"/>
        <w:tblLayout w:type="fixed"/>
        <w:tblCellMar>
          <w:top w:w="0" w:type="dxa"/>
          <w:left w:w="0" w:type="dxa"/>
          <w:bottom w:w="0" w:type="dxa"/>
          <w:right w:w="0" w:type="dxa"/>
        </w:tblCellMar>
      </w:tblPr>
      <w:tblGrid>
        <w:gridCol w:w="870"/>
        <w:gridCol w:w="2445"/>
        <w:gridCol w:w="1263"/>
        <w:gridCol w:w="4052"/>
        <w:gridCol w:w="855"/>
      </w:tblGrid>
      <w:tr w14:paraId="200DA42D">
        <w:tblPrEx>
          <w:shd w:val="clear" w:color="auto" w:fill="FBFBFB"/>
          <w:tblCellMar>
            <w:top w:w="0" w:type="dxa"/>
            <w:left w:w="0" w:type="dxa"/>
            <w:bottom w:w="0" w:type="dxa"/>
            <w:right w:w="0" w:type="dxa"/>
          </w:tblCellMar>
        </w:tblPrEx>
        <w:trPr>
          <w:tblHeader/>
          <w:jc w:val="center"/>
        </w:trPr>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79D6354">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44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3FA5334">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63"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4D7674">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052"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24D114">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C7E255E">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51235B6E">
        <w:tblPrEx>
          <w:tblCellMar>
            <w:top w:w="0" w:type="dxa"/>
            <w:left w:w="0" w:type="dxa"/>
            <w:bottom w:w="0" w:type="dxa"/>
            <w:right w:w="0" w:type="dxa"/>
          </w:tblCellMar>
        </w:tblPrEx>
        <w:trPr>
          <w:jc w:val="center"/>
        </w:trPr>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3D5934">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44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2261A75">
            <w:pPr>
              <w:widowControl/>
              <w:spacing w:line="360" w:lineRule="auto"/>
              <w:contextualSpacing/>
              <w:jc w:val="center"/>
              <w:rPr>
                <w:rFonts w:hint="eastAsia" w:ascii="宋体" w:hAnsi="宋体" w:cs="宋体"/>
                <w:color w:val="auto"/>
                <w:kern w:val="0"/>
                <w:sz w:val="24"/>
                <w:highlight w:val="none"/>
              </w:rPr>
            </w:pPr>
          </w:p>
        </w:tc>
        <w:tc>
          <w:tcPr>
            <w:tcW w:w="1263"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B0CD4C9">
            <w:pPr>
              <w:widowControl/>
              <w:spacing w:line="360" w:lineRule="auto"/>
              <w:contextualSpacing/>
              <w:jc w:val="center"/>
              <w:rPr>
                <w:rFonts w:hint="eastAsia" w:ascii="宋体" w:hAnsi="宋体" w:cs="宋体"/>
                <w:color w:val="auto"/>
                <w:kern w:val="0"/>
                <w:sz w:val="24"/>
                <w:highlight w:val="none"/>
              </w:rPr>
            </w:pPr>
          </w:p>
        </w:tc>
        <w:tc>
          <w:tcPr>
            <w:tcW w:w="4052"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61F2299">
            <w:pPr>
              <w:widowControl/>
              <w:spacing w:line="360" w:lineRule="auto"/>
              <w:contextualSpacing/>
              <w:jc w:val="center"/>
              <w:rPr>
                <w:rFonts w:hint="eastAsia" w:ascii="宋体" w:hAnsi="宋体" w:cs="宋体"/>
                <w:color w:val="auto"/>
                <w:kern w:val="0"/>
                <w:sz w:val="24"/>
                <w:highlight w:val="none"/>
              </w:rPr>
            </w:pPr>
          </w:p>
        </w:tc>
        <w:tc>
          <w:tcPr>
            <w:tcW w:w="8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235716">
            <w:pPr>
              <w:widowControl/>
              <w:spacing w:line="360" w:lineRule="auto"/>
              <w:contextualSpacing/>
              <w:jc w:val="center"/>
              <w:rPr>
                <w:rFonts w:hint="eastAsia" w:ascii="宋体" w:hAnsi="宋体" w:cs="宋体"/>
                <w:color w:val="auto"/>
                <w:kern w:val="0"/>
                <w:sz w:val="24"/>
                <w:highlight w:val="none"/>
              </w:rPr>
            </w:pPr>
          </w:p>
        </w:tc>
      </w:tr>
      <w:tr w14:paraId="06617B4C">
        <w:tblPrEx>
          <w:tblCellMar>
            <w:top w:w="0" w:type="dxa"/>
            <w:left w:w="0" w:type="dxa"/>
            <w:bottom w:w="0" w:type="dxa"/>
            <w:right w:w="0" w:type="dxa"/>
          </w:tblCellMar>
        </w:tblPrEx>
        <w:trPr>
          <w:jc w:val="center"/>
        </w:trPr>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3943E4">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44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0621DB5">
            <w:pPr>
              <w:widowControl/>
              <w:spacing w:line="360" w:lineRule="auto"/>
              <w:contextualSpacing/>
              <w:jc w:val="center"/>
              <w:rPr>
                <w:rFonts w:hint="eastAsia" w:ascii="宋体" w:hAnsi="宋体" w:cs="宋体"/>
                <w:color w:val="auto"/>
                <w:kern w:val="0"/>
                <w:sz w:val="24"/>
                <w:highlight w:val="none"/>
              </w:rPr>
            </w:pPr>
          </w:p>
        </w:tc>
        <w:tc>
          <w:tcPr>
            <w:tcW w:w="1263"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D1CA6E8">
            <w:pPr>
              <w:widowControl/>
              <w:spacing w:line="360" w:lineRule="auto"/>
              <w:contextualSpacing/>
              <w:jc w:val="center"/>
              <w:rPr>
                <w:rFonts w:hint="eastAsia" w:ascii="宋体" w:hAnsi="宋体" w:cs="宋体"/>
                <w:color w:val="auto"/>
                <w:kern w:val="0"/>
                <w:sz w:val="24"/>
                <w:highlight w:val="none"/>
              </w:rPr>
            </w:pPr>
          </w:p>
        </w:tc>
        <w:tc>
          <w:tcPr>
            <w:tcW w:w="4052"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9D6AD6">
            <w:pPr>
              <w:widowControl/>
              <w:spacing w:line="360" w:lineRule="auto"/>
              <w:contextualSpacing/>
              <w:jc w:val="center"/>
              <w:rPr>
                <w:rFonts w:hint="eastAsia" w:ascii="宋体" w:hAnsi="宋体" w:cs="宋体"/>
                <w:color w:val="auto"/>
                <w:kern w:val="0"/>
                <w:sz w:val="24"/>
                <w:highlight w:val="none"/>
              </w:rPr>
            </w:pPr>
          </w:p>
        </w:tc>
        <w:tc>
          <w:tcPr>
            <w:tcW w:w="8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9F986EC">
            <w:pPr>
              <w:widowControl/>
              <w:spacing w:line="360" w:lineRule="auto"/>
              <w:contextualSpacing/>
              <w:jc w:val="center"/>
              <w:rPr>
                <w:rFonts w:hint="eastAsia" w:ascii="宋体" w:hAnsi="宋体" w:cs="宋体"/>
                <w:color w:val="auto"/>
                <w:kern w:val="0"/>
                <w:sz w:val="24"/>
                <w:highlight w:val="none"/>
              </w:rPr>
            </w:pPr>
          </w:p>
        </w:tc>
      </w:tr>
      <w:tr w14:paraId="1F3E2719">
        <w:tblPrEx>
          <w:tblCellMar>
            <w:top w:w="0" w:type="dxa"/>
            <w:left w:w="0" w:type="dxa"/>
            <w:bottom w:w="0" w:type="dxa"/>
            <w:right w:w="0" w:type="dxa"/>
          </w:tblCellMar>
        </w:tblPrEx>
        <w:trPr>
          <w:jc w:val="center"/>
        </w:trPr>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943B4D6">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44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BBBEAD8">
            <w:pPr>
              <w:widowControl/>
              <w:spacing w:line="360" w:lineRule="auto"/>
              <w:contextualSpacing/>
              <w:jc w:val="center"/>
              <w:rPr>
                <w:rFonts w:hint="eastAsia" w:ascii="宋体" w:hAnsi="宋体" w:cs="宋体"/>
                <w:color w:val="auto"/>
                <w:kern w:val="0"/>
                <w:sz w:val="24"/>
                <w:highlight w:val="none"/>
              </w:rPr>
            </w:pPr>
          </w:p>
        </w:tc>
        <w:tc>
          <w:tcPr>
            <w:tcW w:w="1263"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102FF6">
            <w:pPr>
              <w:widowControl/>
              <w:spacing w:line="360" w:lineRule="auto"/>
              <w:contextualSpacing/>
              <w:jc w:val="center"/>
              <w:rPr>
                <w:rFonts w:hint="eastAsia" w:ascii="宋体" w:hAnsi="宋体" w:cs="宋体"/>
                <w:color w:val="auto"/>
                <w:kern w:val="0"/>
                <w:sz w:val="24"/>
                <w:highlight w:val="none"/>
              </w:rPr>
            </w:pPr>
          </w:p>
        </w:tc>
        <w:tc>
          <w:tcPr>
            <w:tcW w:w="4052"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9A29829">
            <w:pPr>
              <w:widowControl/>
              <w:spacing w:line="360" w:lineRule="auto"/>
              <w:contextualSpacing/>
              <w:jc w:val="center"/>
              <w:rPr>
                <w:rFonts w:hint="eastAsia" w:ascii="宋体" w:hAnsi="宋体" w:cs="宋体"/>
                <w:color w:val="auto"/>
                <w:kern w:val="0"/>
                <w:sz w:val="24"/>
                <w:highlight w:val="none"/>
              </w:rPr>
            </w:pPr>
          </w:p>
        </w:tc>
        <w:tc>
          <w:tcPr>
            <w:tcW w:w="8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C9C0FEB">
            <w:pPr>
              <w:widowControl/>
              <w:spacing w:line="360" w:lineRule="auto"/>
              <w:contextualSpacing/>
              <w:jc w:val="center"/>
              <w:rPr>
                <w:rFonts w:hint="eastAsia" w:ascii="宋体" w:hAnsi="宋体" w:cs="宋体"/>
                <w:color w:val="auto"/>
                <w:kern w:val="0"/>
                <w:sz w:val="24"/>
                <w:highlight w:val="none"/>
              </w:rPr>
            </w:pPr>
          </w:p>
        </w:tc>
      </w:tr>
      <w:tr w14:paraId="3ECB79E9">
        <w:tblPrEx>
          <w:tblCellMar>
            <w:top w:w="0" w:type="dxa"/>
            <w:left w:w="0" w:type="dxa"/>
            <w:bottom w:w="0" w:type="dxa"/>
            <w:right w:w="0" w:type="dxa"/>
          </w:tblCellMar>
        </w:tblPrEx>
        <w:trPr>
          <w:jc w:val="center"/>
        </w:trPr>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E17E91F">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44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1DC7C5">
            <w:pPr>
              <w:widowControl/>
              <w:spacing w:line="360" w:lineRule="auto"/>
              <w:contextualSpacing/>
              <w:jc w:val="center"/>
              <w:rPr>
                <w:rFonts w:hint="eastAsia" w:ascii="宋体" w:hAnsi="宋体" w:cs="宋体"/>
                <w:color w:val="auto"/>
                <w:kern w:val="0"/>
                <w:sz w:val="24"/>
                <w:highlight w:val="none"/>
              </w:rPr>
            </w:pPr>
          </w:p>
        </w:tc>
        <w:tc>
          <w:tcPr>
            <w:tcW w:w="1263"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EFB489B">
            <w:pPr>
              <w:widowControl/>
              <w:spacing w:line="360" w:lineRule="auto"/>
              <w:contextualSpacing/>
              <w:jc w:val="center"/>
              <w:rPr>
                <w:rFonts w:hint="eastAsia" w:ascii="宋体" w:hAnsi="宋体" w:cs="宋体"/>
                <w:color w:val="auto"/>
                <w:kern w:val="0"/>
                <w:sz w:val="24"/>
                <w:highlight w:val="none"/>
              </w:rPr>
            </w:pPr>
          </w:p>
        </w:tc>
        <w:tc>
          <w:tcPr>
            <w:tcW w:w="4052"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69C1A2">
            <w:pPr>
              <w:widowControl/>
              <w:spacing w:line="360" w:lineRule="auto"/>
              <w:contextualSpacing/>
              <w:jc w:val="center"/>
              <w:rPr>
                <w:rFonts w:hint="eastAsia" w:ascii="宋体" w:hAnsi="宋体" w:cs="宋体"/>
                <w:color w:val="auto"/>
                <w:kern w:val="0"/>
                <w:sz w:val="24"/>
                <w:highlight w:val="none"/>
              </w:rPr>
            </w:pPr>
          </w:p>
        </w:tc>
        <w:tc>
          <w:tcPr>
            <w:tcW w:w="8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AAF6662">
            <w:pPr>
              <w:widowControl/>
              <w:spacing w:line="360" w:lineRule="auto"/>
              <w:contextualSpacing/>
              <w:jc w:val="center"/>
              <w:rPr>
                <w:rFonts w:hint="eastAsia" w:ascii="宋体" w:hAnsi="宋体" w:cs="宋体"/>
                <w:color w:val="auto"/>
                <w:kern w:val="0"/>
                <w:sz w:val="24"/>
                <w:highlight w:val="none"/>
              </w:rPr>
            </w:pPr>
          </w:p>
        </w:tc>
      </w:tr>
    </w:tbl>
    <w:p w14:paraId="6813DB2C">
      <w:pPr>
        <w:spacing w:line="360" w:lineRule="auto"/>
        <w:contextualSpacing/>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注：</w:t>
      </w:r>
    </w:p>
    <w:p w14:paraId="3B36FE2C">
      <w:pPr>
        <w:spacing w:line="360" w:lineRule="auto"/>
        <w:ind w:firstLine="480" w:firstLineChars="200"/>
        <w:contextualSpacing/>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B650550">
      <w:pPr>
        <w:spacing w:line="360" w:lineRule="auto"/>
        <w:ind w:firstLine="480" w:firstLineChars="200"/>
        <w:contextualSpacing/>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2.本表所指的控股关系仅限于直接控股关系，不包括间接的控股关系。公司实际控制人与公司之间的关系不属于本表所指的直接控股关系。</w:t>
      </w:r>
    </w:p>
    <w:p w14:paraId="541F075C">
      <w:pPr>
        <w:spacing w:line="360" w:lineRule="auto"/>
        <w:ind w:firstLine="480" w:firstLineChars="200"/>
        <w:contextualSpacing/>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3.供应商不存在直接控股股东的，则填“无”。</w:t>
      </w:r>
    </w:p>
    <w:p w14:paraId="434DF611">
      <w:pPr>
        <w:snapToGrid w:val="0"/>
        <w:spacing w:line="360" w:lineRule="auto"/>
        <w:jc w:val="left"/>
        <w:rPr>
          <w:rFonts w:hint="eastAsia" w:ascii="宋体" w:hAnsi="宋体" w:cs="宋体"/>
          <w:color w:val="auto"/>
          <w:sz w:val="24"/>
          <w:highlight w:val="none"/>
        </w:rPr>
      </w:pPr>
    </w:p>
    <w:p w14:paraId="032A3EAC">
      <w:pPr>
        <w:snapToGrid w:val="0"/>
        <w:spacing w:line="360" w:lineRule="auto"/>
        <w:jc w:val="left"/>
        <w:rPr>
          <w:rFonts w:hint="eastAsia" w:ascii="宋体" w:hAnsi="宋体" w:cs="宋体"/>
          <w:color w:val="auto"/>
          <w:sz w:val="24"/>
          <w:highlight w:val="none"/>
        </w:rPr>
      </w:pPr>
    </w:p>
    <w:p w14:paraId="28C00E15">
      <w:pPr>
        <w:keepNext w:val="0"/>
        <w:keepLines w:val="0"/>
        <w:pageBreakBefore w:val="0"/>
        <w:widowControl/>
        <w:suppressLineNumbers w:val="0"/>
        <w:kinsoku/>
        <w:wordWrap/>
        <w:overflowPunct/>
        <w:topLinePunct w:val="0"/>
        <w:autoSpaceDE/>
        <w:autoSpaceDN/>
        <w:bidi w:val="0"/>
        <w:adjustRightInd/>
        <w:snapToGrid/>
        <w:spacing w:line="440" w:lineRule="exact"/>
        <w:ind w:firstLine="3150" w:firstLineChars="15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val="en-US" w:eastAsia="zh-CN" w:bidi="ar"/>
        </w:rPr>
        <w:t>供应商名称</w:t>
      </w:r>
      <w:r>
        <w:rPr>
          <w:rFonts w:hint="eastAsia" w:ascii="仿宋_GB2312" w:hAnsi="仿宋" w:eastAsia="仿宋_GB2312" w:cs="仿宋_GB2312"/>
          <w:color w:val="auto"/>
          <w:kern w:val="0"/>
          <w:sz w:val="21"/>
          <w:szCs w:val="21"/>
          <w:highlight w:val="none"/>
        </w:rPr>
        <w:t>（电子签章）</w:t>
      </w:r>
      <w:r>
        <w:rPr>
          <w:rFonts w:hint="eastAsia" w:ascii="仿宋_GB2312" w:hAnsi="仿宋_GB2312" w:eastAsia="仿宋_GB2312" w:cs="仿宋_GB2312"/>
          <w:color w:val="auto"/>
          <w:kern w:val="0"/>
          <w:sz w:val="21"/>
          <w:szCs w:val="21"/>
          <w:lang w:val="en-US" w:eastAsia="zh-CN" w:bidi="ar"/>
        </w:rPr>
        <w:t xml:space="preserve">： </w:t>
      </w:r>
    </w:p>
    <w:p w14:paraId="43EF0B4C">
      <w:pPr>
        <w:keepNext w:val="0"/>
        <w:keepLines w:val="0"/>
        <w:pageBreakBefore w:val="0"/>
        <w:tabs>
          <w:tab w:val="left" w:pos="7560"/>
        </w:tabs>
        <w:kinsoku/>
        <w:wordWrap/>
        <w:overflowPunct/>
        <w:topLinePunct w:val="0"/>
        <w:autoSpaceDE/>
        <w:autoSpaceDN/>
        <w:bidi w:val="0"/>
        <w:adjustRightInd/>
        <w:snapToGrid/>
        <w:spacing w:line="440" w:lineRule="exact"/>
        <w:ind w:firstLine="3150" w:firstLineChars="1500"/>
        <w:jc w:val="left"/>
        <w:textAlignment w:val="auto"/>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日期：</w:t>
      </w:r>
    </w:p>
    <w:p w14:paraId="6BC9682B">
      <w:pPr>
        <w:snapToGrid w:val="0"/>
        <w:rPr>
          <w:rFonts w:hint="eastAsia" w:ascii="仿宋" w:hAnsi="仿宋" w:eastAsia="仿宋" w:cs="仿宋_GB2312"/>
          <w:b/>
          <w:color w:val="auto"/>
          <w:kern w:val="0"/>
          <w:sz w:val="30"/>
          <w:szCs w:val="30"/>
          <w:highlight w:val="none"/>
        </w:rPr>
      </w:pPr>
    </w:p>
    <w:p w14:paraId="27590C1F">
      <w:pPr>
        <w:snapToGrid w:val="0"/>
        <w:ind w:firstLine="596" w:firstLineChars="198"/>
        <w:jc w:val="center"/>
        <w:rPr>
          <w:rFonts w:hint="eastAsia" w:ascii="仿宋" w:hAnsi="仿宋" w:eastAsia="仿宋" w:cs="仿宋_GB2312"/>
          <w:b/>
          <w:color w:val="auto"/>
          <w:kern w:val="0"/>
          <w:sz w:val="30"/>
          <w:szCs w:val="30"/>
          <w:highlight w:val="none"/>
        </w:rPr>
      </w:pPr>
      <w:r>
        <w:rPr>
          <w:rFonts w:hint="eastAsia" w:ascii="仿宋" w:hAnsi="仿宋" w:eastAsia="仿宋" w:cs="仿宋_GB2312"/>
          <w:b/>
          <w:color w:val="auto"/>
          <w:kern w:val="0"/>
          <w:sz w:val="30"/>
          <w:szCs w:val="30"/>
          <w:highlight w:val="none"/>
        </w:rPr>
        <w:br w:type="page"/>
      </w:r>
      <w:r>
        <w:rPr>
          <w:rFonts w:hint="eastAsia" w:ascii="仿宋" w:hAnsi="仿宋" w:eastAsia="仿宋" w:cs="仿宋_GB2312"/>
          <w:b/>
          <w:color w:val="auto"/>
          <w:kern w:val="0"/>
          <w:sz w:val="30"/>
          <w:szCs w:val="30"/>
          <w:highlight w:val="none"/>
        </w:rPr>
        <w:t>供应商直接管理关系信息表</w:t>
      </w:r>
    </w:p>
    <w:p w14:paraId="0D2BB2F3">
      <w:pPr>
        <w:snapToGrid w:val="0"/>
        <w:spacing w:line="360" w:lineRule="auto"/>
        <w:jc w:val="center"/>
        <w:rPr>
          <w:rFonts w:hint="eastAsia" w:ascii="宋体" w:hAnsi="宋体"/>
          <w:b/>
          <w:color w:val="auto"/>
          <w:sz w:val="24"/>
          <w:highlight w:val="none"/>
        </w:rPr>
      </w:pPr>
    </w:p>
    <w:tbl>
      <w:tblPr>
        <w:tblStyle w:val="45"/>
        <w:tblW w:w="9118" w:type="dxa"/>
        <w:jc w:val="center"/>
        <w:shd w:val="clear" w:color="auto" w:fill="FBFBFB"/>
        <w:tblLayout w:type="fixed"/>
        <w:tblCellMar>
          <w:top w:w="0" w:type="dxa"/>
          <w:left w:w="0" w:type="dxa"/>
          <w:bottom w:w="0" w:type="dxa"/>
          <w:right w:w="0" w:type="dxa"/>
        </w:tblCellMar>
      </w:tblPr>
      <w:tblGrid>
        <w:gridCol w:w="763"/>
        <w:gridCol w:w="3401"/>
        <w:gridCol w:w="3359"/>
        <w:gridCol w:w="1595"/>
      </w:tblGrid>
      <w:tr w14:paraId="28B4D6DE">
        <w:tblPrEx>
          <w:shd w:val="clear" w:color="auto" w:fill="FBFBFB"/>
          <w:tblCellMar>
            <w:top w:w="0" w:type="dxa"/>
            <w:left w:w="0" w:type="dxa"/>
            <w:bottom w:w="0" w:type="dxa"/>
            <w:right w:w="0" w:type="dxa"/>
          </w:tblCellMar>
        </w:tblPrEx>
        <w:trPr>
          <w:trHeight w:val="0" w:hRule="atLeast"/>
          <w:tblHeader/>
          <w:jc w:val="center"/>
        </w:trPr>
        <w:tc>
          <w:tcPr>
            <w:tcW w:w="763" w:type="dxa"/>
            <w:tcBorders>
              <w:top w:val="single" w:color="auto" w:sz="4" w:space="0"/>
              <w:left w:val="single" w:color="auto" w:sz="4" w:space="0"/>
              <w:bottom w:val="single" w:color="auto" w:sz="4" w:space="0"/>
              <w:right w:val="single" w:color="auto" w:sz="4" w:space="0"/>
            </w:tcBorders>
            <w:shd w:val="clear" w:color="auto" w:fill="auto"/>
            <w:noWrap w:val="0"/>
            <w:tcMar>
              <w:top w:w="119" w:type="dxa"/>
              <w:left w:w="120" w:type="dxa"/>
              <w:bottom w:w="119" w:type="dxa"/>
              <w:right w:w="119" w:type="dxa"/>
            </w:tcMar>
            <w:vAlign w:val="center"/>
          </w:tcPr>
          <w:p w14:paraId="38E7480E">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401" w:type="dxa"/>
            <w:tcBorders>
              <w:top w:val="single" w:color="auto" w:sz="4" w:space="0"/>
              <w:left w:val="single" w:color="auto" w:sz="4" w:space="0"/>
              <w:bottom w:val="single" w:color="auto" w:sz="4" w:space="0"/>
              <w:right w:val="single" w:color="auto" w:sz="4" w:space="0"/>
            </w:tcBorders>
            <w:shd w:val="clear" w:color="auto" w:fill="auto"/>
            <w:noWrap w:val="0"/>
            <w:tcMar>
              <w:top w:w="119" w:type="dxa"/>
              <w:left w:w="120" w:type="dxa"/>
              <w:bottom w:w="119" w:type="dxa"/>
              <w:right w:w="119" w:type="dxa"/>
            </w:tcMar>
            <w:vAlign w:val="center"/>
          </w:tcPr>
          <w:p w14:paraId="53A1C4A9">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359" w:type="dxa"/>
            <w:tcBorders>
              <w:top w:val="single" w:color="auto" w:sz="4" w:space="0"/>
              <w:left w:val="single" w:color="auto" w:sz="4" w:space="0"/>
              <w:bottom w:val="single" w:color="auto" w:sz="4" w:space="0"/>
              <w:right w:val="single" w:color="auto" w:sz="4" w:space="0"/>
            </w:tcBorders>
            <w:shd w:val="clear" w:color="auto" w:fill="auto"/>
            <w:noWrap w:val="0"/>
            <w:tcMar>
              <w:top w:w="119" w:type="dxa"/>
              <w:left w:w="120" w:type="dxa"/>
              <w:bottom w:w="119" w:type="dxa"/>
              <w:right w:w="119" w:type="dxa"/>
            </w:tcMar>
            <w:vAlign w:val="center"/>
          </w:tcPr>
          <w:p w14:paraId="28851B04">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595" w:type="dxa"/>
            <w:tcBorders>
              <w:top w:val="single" w:color="auto" w:sz="4" w:space="0"/>
              <w:left w:val="single" w:color="auto" w:sz="4" w:space="0"/>
              <w:bottom w:val="single" w:color="auto" w:sz="4" w:space="0"/>
              <w:right w:val="single" w:color="auto" w:sz="4" w:space="0"/>
            </w:tcBorders>
            <w:shd w:val="clear" w:color="auto" w:fill="auto"/>
            <w:noWrap w:val="0"/>
            <w:tcMar>
              <w:top w:w="119" w:type="dxa"/>
              <w:left w:w="120" w:type="dxa"/>
              <w:bottom w:w="119" w:type="dxa"/>
              <w:right w:w="119" w:type="dxa"/>
            </w:tcMar>
            <w:vAlign w:val="center"/>
          </w:tcPr>
          <w:p w14:paraId="511E5B52">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71256AD0">
        <w:tblPrEx>
          <w:tblCellMar>
            <w:top w:w="0" w:type="dxa"/>
            <w:left w:w="0" w:type="dxa"/>
            <w:bottom w:w="0" w:type="dxa"/>
            <w:right w:w="0" w:type="dxa"/>
          </w:tblCellMar>
        </w:tblPrEx>
        <w:trPr>
          <w:trHeight w:val="0" w:hRule="atLeast"/>
          <w:jc w:val="center"/>
        </w:trPr>
        <w:tc>
          <w:tcPr>
            <w:tcW w:w="763" w:type="dxa"/>
            <w:tcBorders>
              <w:top w:val="single" w:color="auto" w:sz="4" w:space="0"/>
              <w:left w:val="single" w:color="auto" w:sz="4" w:space="0"/>
              <w:bottom w:val="single" w:color="auto" w:sz="4" w:space="0"/>
              <w:right w:val="single" w:color="auto" w:sz="4" w:space="0"/>
            </w:tcBorders>
            <w:shd w:val="clear" w:color="auto" w:fill="auto"/>
            <w:noWrap w:val="0"/>
            <w:tcMar>
              <w:top w:w="119" w:type="dxa"/>
              <w:left w:w="120" w:type="dxa"/>
              <w:bottom w:w="119" w:type="dxa"/>
              <w:right w:w="119" w:type="dxa"/>
            </w:tcMar>
            <w:vAlign w:val="center"/>
          </w:tcPr>
          <w:p w14:paraId="02342D66">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401" w:type="dxa"/>
            <w:tcBorders>
              <w:top w:val="single" w:color="auto" w:sz="4" w:space="0"/>
              <w:left w:val="single" w:color="auto" w:sz="4" w:space="0"/>
              <w:bottom w:val="single" w:color="auto" w:sz="4" w:space="0"/>
              <w:right w:val="single" w:color="auto" w:sz="4" w:space="0"/>
            </w:tcBorders>
            <w:shd w:val="clear" w:color="auto" w:fill="auto"/>
            <w:noWrap w:val="0"/>
            <w:tcMar>
              <w:top w:w="119" w:type="dxa"/>
              <w:left w:w="120" w:type="dxa"/>
              <w:bottom w:w="119" w:type="dxa"/>
              <w:right w:w="119" w:type="dxa"/>
            </w:tcMar>
            <w:vAlign w:val="center"/>
          </w:tcPr>
          <w:p w14:paraId="3F79A649">
            <w:pPr>
              <w:widowControl/>
              <w:spacing w:line="360" w:lineRule="auto"/>
              <w:contextualSpacing/>
              <w:jc w:val="center"/>
              <w:rPr>
                <w:rFonts w:ascii="宋体" w:hAnsi="宋体" w:cs="宋体"/>
                <w:color w:val="auto"/>
                <w:kern w:val="0"/>
                <w:sz w:val="24"/>
                <w:highlight w:val="none"/>
              </w:rPr>
            </w:pPr>
          </w:p>
        </w:tc>
        <w:tc>
          <w:tcPr>
            <w:tcW w:w="3359" w:type="dxa"/>
            <w:tcBorders>
              <w:top w:val="single" w:color="auto" w:sz="4" w:space="0"/>
              <w:left w:val="single" w:color="auto" w:sz="4" w:space="0"/>
              <w:bottom w:val="single" w:color="auto" w:sz="4" w:space="0"/>
              <w:right w:val="single" w:color="auto" w:sz="4" w:space="0"/>
            </w:tcBorders>
            <w:shd w:val="clear" w:color="auto" w:fill="auto"/>
            <w:noWrap w:val="0"/>
            <w:tcMar>
              <w:top w:w="119" w:type="dxa"/>
              <w:left w:w="120" w:type="dxa"/>
              <w:bottom w:w="119" w:type="dxa"/>
              <w:right w:w="119" w:type="dxa"/>
            </w:tcMar>
            <w:vAlign w:val="center"/>
          </w:tcPr>
          <w:p w14:paraId="717D1ED0">
            <w:pPr>
              <w:widowControl/>
              <w:spacing w:line="360" w:lineRule="auto"/>
              <w:contextualSpacing/>
              <w:jc w:val="center"/>
              <w:rPr>
                <w:rFonts w:ascii="宋体" w:hAnsi="宋体" w:cs="宋体"/>
                <w:color w:val="auto"/>
                <w:kern w:val="0"/>
                <w:sz w:val="24"/>
                <w:highlight w:val="none"/>
              </w:rPr>
            </w:pPr>
          </w:p>
        </w:tc>
        <w:tc>
          <w:tcPr>
            <w:tcW w:w="1595" w:type="dxa"/>
            <w:tcBorders>
              <w:top w:val="single" w:color="auto" w:sz="4" w:space="0"/>
              <w:left w:val="single" w:color="auto" w:sz="4" w:space="0"/>
              <w:bottom w:val="single" w:color="auto" w:sz="4" w:space="0"/>
              <w:right w:val="single" w:color="auto" w:sz="4" w:space="0"/>
            </w:tcBorders>
            <w:shd w:val="clear" w:color="auto" w:fill="auto"/>
            <w:noWrap w:val="0"/>
            <w:tcMar>
              <w:top w:w="119" w:type="dxa"/>
              <w:left w:w="120" w:type="dxa"/>
              <w:bottom w:w="119" w:type="dxa"/>
              <w:right w:w="119" w:type="dxa"/>
            </w:tcMar>
            <w:vAlign w:val="center"/>
          </w:tcPr>
          <w:p w14:paraId="40B4AE93">
            <w:pPr>
              <w:widowControl/>
              <w:spacing w:line="360" w:lineRule="auto"/>
              <w:contextualSpacing/>
              <w:jc w:val="center"/>
              <w:rPr>
                <w:rFonts w:ascii="宋体" w:hAnsi="宋体" w:cs="宋体"/>
                <w:color w:val="auto"/>
                <w:kern w:val="0"/>
                <w:sz w:val="24"/>
                <w:highlight w:val="none"/>
              </w:rPr>
            </w:pPr>
          </w:p>
        </w:tc>
      </w:tr>
      <w:tr w14:paraId="1A1CD61D">
        <w:tblPrEx>
          <w:tblCellMar>
            <w:top w:w="0" w:type="dxa"/>
            <w:left w:w="0" w:type="dxa"/>
            <w:bottom w:w="0" w:type="dxa"/>
            <w:right w:w="0" w:type="dxa"/>
          </w:tblCellMar>
        </w:tblPrEx>
        <w:trPr>
          <w:trHeight w:val="0" w:hRule="atLeast"/>
          <w:jc w:val="center"/>
        </w:trPr>
        <w:tc>
          <w:tcPr>
            <w:tcW w:w="763" w:type="dxa"/>
            <w:tcBorders>
              <w:top w:val="single" w:color="auto" w:sz="4" w:space="0"/>
              <w:left w:val="single" w:color="auto" w:sz="4" w:space="0"/>
              <w:bottom w:val="single" w:color="auto" w:sz="4" w:space="0"/>
              <w:right w:val="single" w:color="auto" w:sz="4" w:space="0"/>
            </w:tcBorders>
            <w:shd w:val="clear" w:color="auto" w:fill="auto"/>
            <w:noWrap w:val="0"/>
            <w:tcMar>
              <w:top w:w="119" w:type="dxa"/>
              <w:left w:w="120" w:type="dxa"/>
              <w:bottom w:w="119" w:type="dxa"/>
              <w:right w:w="119" w:type="dxa"/>
            </w:tcMar>
            <w:vAlign w:val="center"/>
          </w:tcPr>
          <w:p w14:paraId="56A6FB60">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401" w:type="dxa"/>
            <w:tcBorders>
              <w:top w:val="single" w:color="auto" w:sz="4" w:space="0"/>
              <w:left w:val="single" w:color="auto" w:sz="4" w:space="0"/>
              <w:bottom w:val="single" w:color="auto" w:sz="4" w:space="0"/>
              <w:right w:val="single" w:color="auto" w:sz="4" w:space="0"/>
            </w:tcBorders>
            <w:shd w:val="clear" w:color="auto" w:fill="auto"/>
            <w:noWrap w:val="0"/>
            <w:tcMar>
              <w:top w:w="119" w:type="dxa"/>
              <w:left w:w="120" w:type="dxa"/>
              <w:bottom w:w="119" w:type="dxa"/>
              <w:right w:w="119" w:type="dxa"/>
            </w:tcMar>
            <w:vAlign w:val="center"/>
          </w:tcPr>
          <w:p w14:paraId="2EE39F44">
            <w:pPr>
              <w:widowControl/>
              <w:spacing w:line="360" w:lineRule="auto"/>
              <w:contextualSpacing/>
              <w:jc w:val="center"/>
              <w:rPr>
                <w:rFonts w:ascii="宋体" w:hAnsi="宋体" w:cs="宋体"/>
                <w:color w:val="auto"/>
                <w:kern w:val="0"/>
                <w:sz w:val="24"/>
                <w:highlight w:val="none"/>
              </w:rPr>
            </w:pPr>
          </w:p>
        </w:tc>
        <w:tc>
          <w:tcPr>
            <w:tcW w:w="3359" w:type="dxa"/>
            <w:tcBorders>
              <w:top w:val="single" w:color="auto" w:sz="4" w:space="0"/>
              <w:left w:val="single" w:color="auto" w:sz="4" w:space="0"/>
              <w:bottom w:val="single" w:color="auto" w:sz="4" w:space="0"/>
              <w:right w:val="single" w:color="auto" w:sz="4" w:space="0"/>
            </w:tcBorders>
            <w:shd w:val="clear" w:color="auto" w:fill="auto"/>
            <w:noWrap w:val="0"/>
            <w:tcMar>
              <w:top w:w="119" w:type="dxa"/>
              <w:left w:w="120" w:type="dxa"/>
              <w:bottom w:w="119" w:type="dxa"/>
              <w:right w:w="119" w:type="dxa"/>
            </w:tcMar>
            <w:vAlign w:val="center"/>
          </w:tcPr>
          <w:p w14:paraId="0CCFA93E">
            <w:pPr>
              <w:widowControl/>
              <w:spacing w:line="360" w:lineRule="auto"/>
              <w:contextualSpacing/>
              <w:jc w:val="center"/>
              <w:rPr>
                <w:rFonts w:ascii="宋体" w:hAnsi="宋体" w:cs="宋体"/>
                <w:color w:val="auto"/>
                <w:kern w:val="0"/>
                <w:sz w:val="24"/>
                <w:highlight w:val="none"/>
              </w:rPr>
            </w:pPr>
          </w:p>
        </w:tc>
        <w:tc>
          <w:tcPr>
            <w:tcW w:w="1595" w:type="dxa"/>
            <w:tcBorders>
              <w:top w:val="single" w:color="auto" w:sz="4" w:space="0"/>
              <w:left w:val="single" w:color="auto" w:sz="4" w:space="0"/>
              <w:bottom w:val="single" w:color="auto" w:sz="4" w:space="0"/>
              <w:right w:val="single" w:color="auto" w:sz="4" w:space="0"/>
            </w:tcBorders>
            <w:shd w:val="clear" w:color="auto" w:fill="auto"/>
            <w:noWrap w:val="0"/>
            <w:tcMar>
              <w:top w:w="119" w:type="dxa"/>
              <w:left w:w="120" w:type="dxa"/>
              <w:bottom w:w="119" w:type="dxa"/>
              <w:right w:w="119" w:type="dxa"/>
            </w:tcMar>
            <w:vAlign w:val="center"/>
          </w:tcPr>
          <w:p w14:paraId="11796FB4">
            <w:pPr>
              <w:widowControl/>
              <w:spacing w:line="360" w:lineRule="auto"/>
              <w:contextualSpacing/>
              <w:jc w:val="center"/>
              <w:rPr>
                <w:rFonts w:ascii="宋体" w:hAnsi="宋体" w:cs="宋体"/>
                <w:color w:val="auto"/>
                <w:kern w:val="0"/>
                <w:sz w:val="24"/>
                <w:highlight w:val="none"/>
              </w:rPr>
            </w:pPr>
          </w:p>
        </w:tc>
      </w:tr>
      <w:tr w14:paraId="7F825ECE">
        <w:tblPrEx>
          <w:tblCellMar>
            <w:top w:w="0" w:type="dxa"/>
            <w:left w:w="0" w:type="dxa"/>
            <w:bottom w:w="0" w:type="dxa"/>
            <w:right w:w="0" w:type="dxa"/>
          </w:tblCellMar>
        </w:tblPrEx>
        <w:trPr>
          <w:trHeight w:val="0" w:hRule="atLeast"/>
          <w:jc w:val="center"/>
        </w:trPr>
        <w:tc>
          <w:tcPr>
            <w:tcW w:w="763" w:type="dxa"/>
            <w:tcBorders>
              <w:top w:val="single" w:color="auto" w:sz="4" w:space="0"/>
              <w:left w:val="single" w:color="auto" w:sz="4" w:space="0"/>
              <w:bottom w:val="single" w:color="auto" w:sz="4" w:space="0"/>
              <w:right w:val="single" w:color="auto" w:sz="4" w:space="0"/>
            </w:tcBorders>
            <w:shd w:val="clear" w:color="auto" w:fill="auto"/>
            <w:noWrap w:val="0"/>
            <w:tcMar>
              <w:top w:w="119" w:type="dxa"/>
              <w:left w:w="120" w:type="dxa"/>
              <w:bottom w:w="119" w:type="dxa"/>
              <w:right w:w="119" w:type="dxa"/>
            </w:tcMar>
            <w:vAlign w:val="center"/>
          </w:tcPr>
          <w:p w14:paraId="54C9496E">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3401" w:type="dxa"/>
            <w:tcBorders>
              <w:top w:val="single" w:color="auto" w:sz="4" w:space="0"/>
              <w:left w:val="single" w:color="auto" w:sz="4" w:space="0"/>
              <w:bottom w:val="single" w:color="auto" w:sz="4" w:space="0"/>
              <w:right w:val="single" w:color="auto" w:sz="4" w:space="0"/>
            </w:tcBorders>
            <w:shd w:val="clear" w:color="auto" w:fill="auto"/>
            <w:noWrap w:val="0"/>
            <w:tcMar>
              <w:top w:w="119" w:type="dxa"/>
              <w:left w:w="120" w:type="dxa"/>
              <w:bottom w:w="119" w:type="dxa"/>
              <w:right w:w="119" w:type="dxa"/>
            </w:tcMar>
            <w:vAlign w:val="center"/>
          </w:tcPr>
          <w:p w14:paraId="285FC303">
            <w:pPr>
              <w:widowControl/>
              <w:spacing w:line="360" w:lineRule="auto"/>
              <w:contextualSpacing/>
              <w:jc w:val="center"/>
              <w:rPr>
                <w:rFonts w:ascii="宋体" w:hAnsi="宋体" w:cs="宋体"/>
                <w:color w:val="auto"/>
                <w:kern w:val="0"/>
                <w:sz w:val="24"/>
                <w:highlight w:val="none"/>
              </w:rPr>
            </w:pPr>
          </w:p>
        </w:tc>
        <w:tc>
          <w:tcPr>
            <w:tcW w:w="3359" w:type="dxa"/>
            <w:tcBorders>
              <w:top w:val="single" w:color="auto" w:sz="4" w:space="0"/>
              <w:left w:val="single" w:color="auto" w:sz="4" w:space="0"/>
              <w:bottom w:val="single" w:color="auto" w:sz="4" w:space="0"/>
              <w:right w:val="single" w:color="auto" w:sz="4" w:space="0"/>
            </w:tcBorders>
            <w:shd w:val="clear" w:color="auto" w:fill="auto"/>
            <w:noWrap w:val="0"/>
            <w:tcMar>
              <w:top w:w="119" w:type="dxa"/>
              <w:left w:w="120" w:type="dxa"/>
              <w:bottom w:w="119" w:type="dxa"/>
              <w:right w:w="119" w:type="dxa"/>
            </w:tcMar>
            <w:vAlign w:val="center"/>
          </w:tcPr>
          <w:p w14:paraId="58060BE9">
            <w:pPr>
              <w:widowControl/>
              <w:spacing w:line="360" w:lineRule="auto"/>
              <w:contextualSpacing/>
              <w:jc w:val="center"/>
              <w:rPr>
                <w:rFonts w:ascii="宋体" w:hAnsi="宋体" w:cs="宋体"/>
                <w:color w:val="auto"/>
                <w:kern w:val="0"/>
                <w:sz w:val="24"/>
                <w:highlight w:val="none"/>
              </w:rPr>
            </w:pPr>
          </w:p>
        </w:tc>
        <w:tc>
          <w:tcPr>
            <w:tcW w:w="1595" w:type="dxa"/>
            <w:tcBorders>
              <w:top w:val="single" w:color="auto" w:sz="4" w:space="0"/>
              <w:left w:val="single" w:color="auto" w:sz="4" w:space="0"/>
              <w:bottom w:val="single" w:color="auto" w:sz="4" w:space="0"/>
              <w:right w:val="single" w:color="auto" w:sz="4" w:space="0"/>
            </w:tcBorders>
            <w:shd w:val="clear" w:color="auto" w:fill="auto"/>
            <w:noWrap w:val="0"/>
            <w:tcMar>
              <w:top w:w="119" w:type="dxa"/>
              <w:left w:w="120" w:type="dxa"/>
              <w:bottom w:w="119" w:type="dxa"/>
              <w:right w:w="119" w:type="dxa"/>
            </w:tcMar>
            <w:vAlign w:val="center"/>
          </w:tcPr>
          <w:p w14:paraId="16EA2ECB">
            <w:pPr>
              <w:widowControl/>
              <w:spacing w:line="360" w:lineRule="auto"/>
              <w:contextualSpacing/>
              <w:jc w:val="center"/>
              <w:rPr>
                <w:rFonts w:ascii="宋体" w:hAnsi="宋体" w:cs="宋体"/>
                <w:color w:val="auto"/>
                <w:kern w:val="0"/>
                <w:sz w:val="24"/>
                <w:highlight w:val="none"/>
              </w:rPr>
            </w:pPr>
          </w:p>
        </w:tc>
      </w:tr>
      <w:tr w14:paraId="3CDD6628">
        <w:tblPrEx>
          <w:tblCellMar>
            <w:top w:w="0" w:type="dxa"/>
            <w:left w:w="0" w:type="dxa"/>
            <w:bottom w:w="0" w:type="dxa"/>
            <w:right w:w="0" w:type="dxa"/>
          </w:tblCellMar>
        </w:tblPrEx>
        <w:trPr>
          <w:trHeight w:val="0" w:hRule="atLeast"/>
          <w:jc w:val="center"/>
        </w:trPr>
        <w:tc>
          <w:tcPr>
            <w:tcW w:w="763" w:type="dxa"/>
            <w:tcBorders>
              <w:top w:val="single" w:color="auto" w:sz="4" w:space="0"/>
              <w:left w:val="single" w:color="auto" w:sz="4" w:space="0"/>
              <w:bottom w:val="single" w:color="auto" w:sz="4" w:space="0"/>
              <w:right w:val="single" w:color="auto" w:sz="4" w:space="0"/>
            </w:tcBorders>
            <w:shd w:val="clear" w:color="auto" w:fill="auto"/>
            <w:noWrap w:val="0"/>
            <w:tcMar>
              <w:top w:w="119" w:type="dxa"/>
              <w:left w:w="120" w:type="dxa"/>
              <w:bottom w:w="119" w:type="dxa"/>
              <w:right w:w="119" w:type="dxa"/>
            </w:tcMar>
            <w:vAlign w:val="center"/>
          </w:tcPr>
          <w:p w14:paraId="5F6C38D8">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401" w:type="dxa"/>
            <w:tcBorders>
              <w:top w:val="single" w:color="auto" w:sz="4" w:space="0"/>
              <w:left w:val="single" w:color="auto" w:sz="4" w:space="0"/>
              <w:bottom w:val="single" w:color="auto" w:sz="4" w:space="0"/>
              <w:right w:val="single" w:color="auto" w:sz="4" w:space="0"/>
            </w:tcBorders>
            <w:shd w:val="clear" w:color="auto" w:fill="auto"/>
            <w:noWrap w:val="0"/>
            <w:tcMar>
              <w:top w:w="119" w:type="dxa"/>
              <w:left w:w="120" w:type="dxa"/>
              <w:bottom w:w="119" w:type="dxa"/>
              <w:right w:w="119" w:type="dxa"/>
            </w:tcMar>
            <w:vAlign w:val="center"/>
          </w:tcPr>
          <w:p w14:paraId="6B9536B3">
            <w:pPr>
              <w:widowControl/>
              <w:spacing w:line="360" w:lineRule="auto"/>
              <w:contextualSpacing/>
              <w:jc w:val="center"/>
              <w:rPr>
                <w:rFonts w:ascii="宋体" w:hAnsi="宋体" w:cs="宋体"/>
                <w:color w:val="auto"/>
                <w:kern w:val="0"/>
                <w:sz w:val="24"/>
                <w:highlight w:val="none"/>
              </w:rPr>
            </w:pPr>
          </w:p>
        </w:tc>
        <w:tc>
          <w:tcPr>
            <w:tcW w:w="3359" w:type="dxa"/>
            <w:tcBorders>
              <w:top w:val="single" w:color="auto" w:sz="4" w:space="0"/>
              <w:left w:val="single" w:color="auto" w:sz="4" w:space="0"/>
              <w:bottom w:val="single" w:color="auto" w:sz="4" w:space="0"/>
              <w:right w:val="single" w:color="auto" w:sz="4" w:space="0"/>
            </w:tcBorders>
            <w:shd w:val="clear" w:color="auto" w:fill="auto"/>
            <w:noWrap w:val="0"/>
            <w:tcMar>
              <w:top w:w="119" w:type="dxa"/>
              <w:left w:w="120" w:type="dxa"/>
              <w:bottom w:w="119" w:type="dxa"/>
              <w:right w:w="119" w:type="dxa"/>
            </w:tcMar>
            <w:vAlign w:val="center"/>
          </w:tcPr>
          <w:p w14:paraId="76CD1EDC">
            <w:pPr>
              <w:widowControl/>
              <w:spacing w:line="360" w:lineRule="auto"/>
              <w:contextualSpacing/>
              <w:jc w:val="center"/>
              <w:rPr>
                <w:rFonts w:ascii="宋体" w:hAnsi="宋体" w:cs="宋体"/>
                <w:color w:val="auto"/>
                <w:kern w:val="0"/>
                <w:sz w:val="24"/>
                <w:highlight w:val="none"/>
              </w:rPr>
            </w:pPr>
          </w:p>
        </w:tc>
        <w:tc>
          <w:tcPr>
            <w:tcW w:w="1595" w:type="dxa"/>
            <w:tcBorders>
              <w:top w:val="single" w:color="auto" w:sz="4" w:space="0"/>
              <w:left w:val="single" w:color="auto" w:sz="4" w:space="0"/>
              <w:bottom w:val="single" w:color="auto" w:sz="4" w:space="0"/>
              <w:right w:val="single" w:color="auto" w:sz="4" w:space="0"/>
            </w:tcBorders>
            <w:shd w:val="clear" w:color="auto" w:fill="auto"/>
            <w:noWrap w:val="0"/>
            <w:tcMar>
              <w:top w:w="119" w:type="dxa"/>
              <w:left w:w="120" w:type="dxa"/>
              <w:bottom w:w="119" w:type="dxa"/>
              <w:right w:w="119" w:type="dxa"/>
            </w:tcMar>
            <w:vAlign w:val="center"/>
          </w:tcPr>
          <w:p w14:paraId="43298117">
            <w:pPr>
              <w:widowControl/>
              <w:spacing w:line="360" w:lineRule="auto"/>
              <w:contextualSpacing/>
              <w:jc w:val="center"/>
              <w:rPr>
                <w:rFonts w:ascii="宋体" w:hAnsi="宋体" w:cs="宋体"/>
                <w:color w:val="auto"/>
                <w:kern w:val="0"/>
                <w:sz w:val="24"/>
                <w:highlight w:val="none"/>
              </w:rPr>
            </w:pPr>
          </w:p>
        </w:tc>
      </w:tr>
    </w:tbl>
    <w:p w14:paraId="1C16064B">
      <w:pPr>
        <w:spacing w:line="360" w:lineRule="auto"/>
        <w:ind w:firstLine="480" w:firstLineChars="200"/>
        <w:contextualSpacing/>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注：</w:t>
      </w:r>
    </w:p>
    <w:p w14:paraId="475730BD">
      <w:pPr>
        <w:spacing w:line="360" w:lineRule="auto"/>
        <w:ind w:firstLine="480" w:firstLineChars="200"/>
        <w:contextualSpacing/>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1.管理关系：是指不具有出资持股关系的其他单位之间存在的管理与被管理关系，如一些上下级关系的事业单位和团体组织。</w:t>
      </w:r>
    </w:p>
    <w:p w14:paraId="79897AA1">
      <w:pPr>
        <w:spacing w:line="360" w:lineRule="auto"/>
        <w:ind w:firstLine="480" w:firstLineChars="200"/>
        <w:contextualSpacing/>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2.本表所指的管理关系仅限于直接管理关系，不包括间接的管理关系。</w:t>
      </w:r>
    </w:p>
    <w:p w14:paraId="1DEEE544">
      <w:pPr>
        <w:spacing w:line="360" w:lineRule="auto"/>
        <w:ind w:firstLine="480" w:firstLineChars="200"/>
        <w:contextualSpacing/>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3.供应商不存在直接管理关系的，则填“无”。</w:t>
      </w:r>
    </w:p>
    <w:p w14:paraId="6E0B2EF7">
      <w:pPr>
        <w:spacing w:line="360" w:lineRule="auto"/>
        <w:contextualSpacing/>
        <w:jc w:val="left"/>
        <w:rPr>
          <w:rFonts w:hint="eastAsia"/>
          <w:color w:val="auto"/>
          <w:sz w:val="24"/>
          <w:highlight w:val="none"/>
        </w:rPr>
      </w:pPr>
    </w:p>
    <w:p w14:paraId="2C3AB526">
      <w:pPr>
        <w:autoSpaceDE w:val="0"/>
        <w:autoSpaceDN w:val="0"/>
        <w:spacing w:line="360" w:lineRule="auto"/>
        <w:ind w:left="4365" w:leftChars="1850" w:hanging="480" w:hangingChars="200"/>
        <w:rPr>
          <w:rFonts w:hint="eastAsia" w:ascii="仿宋_GB2312" w:hAnsi="仿宋" w:eastAsia="仿宋_GB2312" w:cs="仿宋_GB2312"/>
          <w:color w:val="auto"/>
          <w:kern w:val="0"/>
          <w:sz w:val="24"/>
          <w:highlight w:val="none"/>
        </w:rPr>
      </w:pPr>
    </w:p>
    <w:p w14:paraId="02B15DA4">
      <w:pPr>
        <w:autoSpaceDE w:val="0"/>
        <w:autoSpaceDN w:val="0"/>
        <w:spacing w:line="360" w:lineRule="auto"/>
        <w:ind w:left="4365" w:leftChars="1850" w:hanging="480" w:hangingChars="200"/>
        <w:rPr>
          <w:rFonts w:hint="eastAsia" w:ascii="仿宋_GB2312" w:hAnsi="仿宋" w:eastAsia="仿宋_GB2312" w:cs="仿宋_GB2312"/>
          <w:color w:val="auto"/>
          <w:kern w:val="0"/>
          <w:sz w:val="24"/>
          <w:highlight w:val="none"/>
        </w:rPr>
      </w:pPr>
    </w:p>
    <w:p w14:paraId="238395B3">
      <w:pPr>
        <w:keepNext w:val="0"/>
        <w:keepLines w:val="0"/>
        <w:pageBreakBefore w:val="0"/>
        <w:widowControl/>
        <w:suppressLineNumbers w:val="0"/>
        <w:kinsoku/>
        <w:wordWrap/>
        <w:overflowPunct/>
        <w:topLinePunct w:val="0"/>
        <w:autoSpaceDE/>
        <w:autoSpaceDN/>
        <w:bidi w:val="0"/>
        <w:adjustRightInd/>
        <w:snapToGrid/>
        <w:spacing w:line="440" w:lineRule="exact"/>
        <w:ind w:firstLine="3150" w:firstLineChars="15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val="en-US" w:eastAsia="zh-CN" w:bidi="ar"/>
        </w:rPr>
        <w:t>供应商名称</w:t>
      </w:r>
      <w:r>
        <w:rPr>
          <w:rFonts w:hint="eastAsia" w:ascii="仿宋_GB2312" w:hAnsi="仿宋" w:eastAsia="仿宋_GB2312" w:cs="仿宋_GB2312"/>
          <w:color w:val="auto"/>
          <w:kern w:val="0"/>
          <w:sz w:val="21"/>
          <w:szCs w:val="21"/>
          <w:highlight w:val="none"/>
        </w:rPr>
        <w:t>（电子签章）</w:t>
      </w:r>
      <w:r>
        <w:rPr>
          <w:rFonts w:hint="eastAsia" w:ascii="仿宋_GB2312" w:hAnsi="仿宋_GB2312" w:eastAsia="仿宋_GB2312" w:cs="仿宋_GB2312"/>
          <w:color w:val="auto"/>
          <w:kern w:val="0"/>
          <w:sz w:val="21"/>
          <w:szCs w:val="21"/>
          <w:lang w:val="en-US" w:eastAsia="zh-CN" w:bidi="ar"/>
        </w:rPr>
        <w:t xml:space="preserve">： </w:t>
      </w:r>
    </w:p>
    <w:p w14:paraId="583E22E8">
      <w:pPr>
        <w:keepNext w:val="0"/>
        <w:keepLines w:val="0"/>
        <w:pageBreakBefore w:val="0"/>
        <w:tabs>
          <w:tab w:val="left" w:pos="7560"/>
        </w:tabs>
        <w:kinsoku/>
        <w:wordWrap/>
        <w:overflowPunct/>
        <w:topLinePunct w:val="0"/>
        <w:autoSpaceDE/>
        <w:autoSpaceDN/>
        <w:bidi w:val="0"/>
        <w:adjustRightInd/>
        <w:snapToGrid/>
        <w:spacing w:line="440" w:lineRule="exact"/>
        <w:ind w:firstLine="3150" w:firstLineChars="1500"/>
        <w:jc w:val="left"/>
        <w:textAlignment w:val="auto"/>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日期：</w:t>
      </w:r>
    </w:p>
    <w:p w14:paraId="2D919E04">
      <w:pPr>
        <w:jc w:val="center"/>
        <w:rPr>
          <w:rFonts w:ascii="宋体" w:hAnsi="宋体"/>
          <w:b/>
          <w:color w:val="auto"/>
          <w:sz w:val="24"/>
        </w:rPr>
      </w:pPr>
    </w:p>
    <w:p w14:paraId="520B0ABC">
      <w:pPr>
        <w:jc w:val="center"/>
        <w:rPr>
          <w:rFonts w:ascii="宋体" w:hAnsi="宋体"/>
          <w:b/>
          <w:color w:val="auto"/>
          <w:sz w:val="24"/>
        </w:rPr>
      </w:pPr>
    </w:p>
    <w:p w14:paraId="2E6E4226">
      <w:pPr>
        <w:jc w:val="center"/>
        <w:rPr>
          <w:rFonts w:ascii="宋体" w:hAnsi="宋体"/>
          <w:b/>
          <w:color w:val="auto"/>
          <w:sz w:val="24"/>
        </w:rPr>
      </w:pPr>
    </w:p>
    <w:p w14:paraId="29D2B71F">
      <w:pPr>
        <w:pStyle w:val="5"/>
        <w:rPr>
          <w:rFonts w:ascii="宋体" w:hAnsi="宋体"/>
          <w:b/>
          <w:color w:val="auto"/>
          <w:sz w:val="24"/>
        </w:rPr>
      </w:pPr>
    </w:p>
    <w:p w14:paraId="427DD761">
      <w:pPr>
        <w:rPr>
          <w:rFonts w:ascii="宋体" w:hAnsi="宋体"/>
          <w:b/>
          <w:color w:val="auto"/>
          <w:sz w:val="24"/>
        </w:rPr>
      </w:pPr>
    </w:p>
    <w:p w14:paraId="57757025">
      <w:pPr>
        <w:pStyle w:val="5"/>
        <w:rPr>
          <w:rFonts w:ascii="宋体" w:hAnsi="宋体"/>
          <w:b/>
          <w:color w:val="auto"/>
          <w:sz w:val="24"/>
        </w:rPr>
      </w:pPr>
    </w:p>
    <w:p w14:paraId="328A057F">
      <w:pPr>
        <w:rPr>
          <w:rFonts w:ascii="宋体" w:hAnsi="宋体"/>
          <w:b/>
          <w:color w:val="auto"/>
          <w:sz w:val="24"/>
        </w:rPr>
      </w:pPr>
    </w:p>
    <w:p w14:paraId="6E5191A2">
      <w:pPr>
        <w:jc w:val="center"/>
        <w:rPr>
          <w:rFonts w:ascii="宋体" w:hAnsi="宋体"/>
          <w:b/>
          <w:color w:val="auto"/>
          <w:sz w:val="24"/>
        </w:rPr>
      </w:pPr>
    </w:p>
    <w:p w14:paraId="022897B2">
      <w:pPr>
        <w:jc w:val="center"/>
        <w:rPr>
          <w:rFonts w:ascii="宋体" w:hAnsi="宋体"/>
          <w:b/>
          <w:color w:val="auto"/>
          <w:sz w:val="24"/>
        </w:rPr>
      </w:pPr>
    </w:p>
    <w:p w14:paraId="557C2129">
      <w:pPr>
        <w:jc w:val="center"/>
        <w:rPr>
          <w:rFonts w:ascii="宋体" w:hAnsi="宋体"/>
          <w:b/>
          <w:color w:val="auto"/>
          <w:sz w:val="24"/>
        </w:rPr>
      </w:pPr>
    </w:p>
    <w:p w14:paraId="136AC319">
      <w:pPr>
        <w:rPr>
          <w:rFonts w:hint="eastAsia" w:ascii="宋体" w:hAnsi="宋体"/>
          <w:b/>
          <w:color w:val="auto"/>
          <w:sz w:val="24"/>
        </w:rPr>
      </w:pPr>
      <w:r>
        <w:rPr>
          <w:rFonts w:hint="eastAsia" w:ascii="宋体" w:hAnsi="宋体"/>
          <w:b/>
          <w:color w:val="auto"/>
          <w:sz w:val="24"/>
        </w:rPr>
        <w:br w:type="page"/>
      </w:r>
    </w:p>
    <w:p w14:paraId="4404AB62">
      <w:pPr>
        <w:jc w:val="left"/>
        <w:rPr>
          <w:rFonts w:ascii="宋体" w:hAnsi="宋体"/>
          <w:b/>
          <w:color w:val="auto"/>
          <w:sz w:val="24"/>
        </w:rPr>
      </w:pPr>
      <w:r>
        <w:rPr>
          <w:rFonts w:hint="eastAsia" w:ascii="宋体" w:hAnsi="宋体"/>
          <w:b/>
          <w:color w:val="auto"/>
          <w:sz w:val="24"/>
        </w:rPr>
        <w:t>格式</w:t>
      </w:r>
      <w:r>
        <w:rPr>
          <w:rFonts w:hint="eastAsia" w:ascii="宋体" w:hAnsi="宋体"/>
          <w:b/>
          <w:color w:val="auto"/>
          <w:sz w:val="24"/>
          <w:lang w:eastAsia="zh-CN"/>
        </w:rPr>
        <w:t>四</w:t>
      </w:r>
      <w:r>
        <w:rPr>
          <w:rFonts w:hint="eastAsia" w:ascii="宋体" w:hAnsi="宋体"/>
          <w:b/>
          <w:color w:val="auto"/>
          <w:sz w:val="24"/>
        </w:rPr>
        <w:t>：</w:t>
      </w:r>
    </w:p>
    <w:p w14:paraId="52368BBA">
      <w:pPr>
        <w:jc w:val="both"/>
        <w:rPr>
          <w:rFonts w:ascii="宋体" w:hAnsi="宋体"/>
          <w:b/>
          <w:color w:val="auto"/>
          <w:sz w:val="24"/>
        </w:rPr>
      </w:pPr>
    </w:p>
    <w:p w14:paraId="388F033A">
      <w:pPr>
        <w:jc w:val="center"/>
        <w:rPr>
          <w:rFonts w:ascii="宋体" w:hAnsi="宋体"/>
          <w:b/>
          <w:color w:val="auto"/>
          <w:sz w:val="24"/>
        </w:rPr>
      </w:pPr>
    </w:p>
    <w:p w14:paraId="30DB43E5">
      <w:pPr>
        <w:jc w:val="center"/>
        <w:rPr>
          <w:rFonts w:ascii="宋体" w:hAnsi="宋体"/>
          <w:b/>
          <w:color w:val="auto"/>
          <w:sz w:val="24"/>
        </w:rPr>
      </w:pPr>
      <w:r>
        <w:rPr>
          <w:rFonts w:ascii="宋体" w:hAnsi="宋体"/>
          <w:b/>
          <w:color w:val="auto"/>
          <w:sz w:val="24"/>
        </w:rPr>
        <w:t>诚信声明</w:t>
      </w:r>
    </w:p>
    <w:p w14:paraId="50F6595C">
      <w:pPr>
        <w:spacing w:line="520" w:lineRule="exact"/>
        <w:rPr>
          <w:rFonts w:ascii="宋体" w:hAnsi="宋体"/>
          <w:color w:val="auto"/>
        </w:rPr>
      </w:pPr>
    </w:p>
    <w:p w14:paraId="107BBC95">
      <w:pPr>
        <w:spacing w:line="460" w:lineRule="exact"/>
        <w:ind w:firstLine="315" w:firstLineChars="150"/>
        <w:rPr>
          <w:rFonts w:ascii="宋体" w:hAnsi="宋体"/>
          <w:color w:val="auto"/>
        </w:rPr>
      </w:pPr>
      <w:r>
        <w:rPr>
          <w:rFonts w:hint="eastAsia" w:ascii="宋体" w:hAnsi="宋体"/>
          <w:color w:val="auto"/>
        </w:rPr>
        <w:t>本人</w:t>
      </w:r>
      <w:r>
        <w:rPr>
          <w:rFonts w:hint="eastAsia" w:ascii="宋体" w:hAnsi="宋体"/>
          <w:color w:val="auto"/>
          <w:u w:val="single"/>
        </w:rPr>
        <w:t>（法定代表人、身份证号码）</w:t>
      </w:r>
      <w:r>
        <w:rPr>
          <w:rFonts w:hint="eastAsia" w:ascii="宋体" w:hAnsi="宋体"/>
          <w:color w:val="auto"/>
        </w:rPr>
        <w:t>郑重声明，本企业参加</w:t>
      </w:r>
      <w:r>
        <w:rPr>
          <w:rFonts w:hint="eastAsia" w:ascii="宋体" w:hAnsi="宋体"/>
          <w:color w:val="auto"/>
          <w:u w:val="single"/>
        </w:rPr>
        <w:t>（项目名称）</w:t>
      </w:r>
      <w:r>
        <w:rPr>
          <w:rFonts w:hint="eastAsia" w:ascii="宋体" w:hAnsi="宋体"/>
          <w:color w:val="auto"/>
        </w:rPr>
        <w:t>磋商活动所提交的所有资料、填写数据及所包含的附件资料内容是真实的、合法的、有效的，同样我在此所作的声明也是真实有效的，并愿意对在磋商过程中有关部门的调查结果承担责任。</w:t>
      </w:r>
    </w:p>
    <w:p w14:paraId="3B6A64EB">
      <w:pPr>
        <w:spacing w:line="460" w:lineRule="exact"/>
        <w:ind w:firstLine="480"/>
        <w:rPr>
          <w:rFonts w:ascii="宋体" w:hAnsi="宋体"/>
          <w:color w:val="auto"/>
        </w:rPr>
      </w:pPr>
      <w:r>
        <w:rPr>
          <w:rFonts w:hint="eastAsia" w:ascii="宋体" w:hAnsi="宋体"/>
          <w:color w:val="auto"/>
        </w:rPr>
        <w:t>本企业提交的所有磋商资料如有不实，愿接受政府采购监督管理部门和建设行政主管部门依据有关法律法规给予的处罚。</w:t>
      </w:r>
    </w:p>
    <w:p w14:paraId="20C5AFE6">
      <w:pPr>
        <w:spacing w:line="460" w:lineRule="exact"/>
        <w:rPr>
          <w:rFonts w:ascii="宋体" w:hAnsi="宋体"/>
          <w:color w:val="auto"/>
        </w:rPr>
      </w:pPr>
    </w:p>
    <w:p w14:paraId="789F5645">
      <w:pPr>
        <w:spacing w:line="440" w:lineRule="exact"/>
        <w:rPr>
          <w:rFonts w:ascii="宋体" w:hAnsi="宋体"/>
          <w:color w:val="auto"/>
        </w:rPr>
      </w:pPr>
    </w:p>
    <w:p w14:paraId="356BAD4A">
      <w:pPr>
        <w:keepNext w:val="0"/>
        <w:keepLines w:val="0"/>
        <w:pageBreakBefore w:val="0"/>
        <w:widowControl/>
        <w:suppressLineNumbers w:val="0"/>
        <w:kinsoku/>
        <w:wordWrap/>
        <w:overflowPunct/>
        <w:topLinePunct w:val="0"/>
        <w:autoSpaceDE/>
        <w:autoSpaceDN/>
        <w:bidi w:val="0"/>
        <w:adjustRightInd/>
        <w:snapToGrid/>
        <w:spacing w:line="440" w:lineRule="exact"/>
        <w:ind w:firstLine="3150" w:firstLineChars="15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val="en-US" w:eastAsia="zh-CN" w:bidi="ar"/>
        </w:rPr>
        <w:t>供应商名称</w:t>
      </w:r>
      <w:r>
        <w:rPr>
          <w:rFonts w:hint="eastAsia" w:ascii="仿宋_GB2312" w:hAnsi="仿宋" w:eastAsia="仿宋_GB2312" w:cs="仿宋_GB2312"/>
          <w:color w:val="auto"/>
          <w:kern w:val="0"/>
          <w:sz w:val="21"/>
          <w:szCs w:val="21"/>
          <w:highlight w:val="none"/>
        </w:rPr>
        <w:t>（电子签章）</w:t>
      </w:r>
      <w:r>
        <w:rPr>
          <w:rFonts w:hint="eastAsia" w:ascii="仿宋_GB2312" w:hAnsi="仿宋_GB2312" w:eastAsia="仿宋_GB2312" w:cs="仿宋_GB2312"/>
          <w:color w:val="auto"/>
          <w:kern w:val="0"/>
          <w:sz w:val="21"/>
          <w:szCs w:val="21"/>
          <w:lang w:val="en-US" w:eastAsia="zh-CN" w:bidi="ar"/>
        </w:rPr>
        <w:t xml:space="preserve">： </w:t>
      </w:r>
    </w:p>
    <w:p w14:paraId="7C177AD4">
      <w:pPr>
        <w:keepNext w:val="0"/>
        <w:keepLines w:val="0"/>
        <w:pageBreakBefore w:val="0"/>
        <w:tabs>
          <w:tab w:val="left" w:pos="7560"/>
        </w:tabs>
        <w:kinsoku/>
        <w:wordWrap/>
        <w:overflowPunct/>
        <w:topLinePunct w:val="0"/>
        <w:autoSpaceDE/>
        <w:autoSpaceDN/>
        <w:bidi w:val="0"/>
        <w:adjustRightInd/>
        <w:snapToGrid/>
        <w:spacing w:line="440" w:lineRule="exact"/>
        <w:ind w:firstLine="3150" w:firstLineChars="1500"/>
        <w:jc w:val="left"/>
        <w:textAlignment w:val="auto"/>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日期：</w:t>
      </w:r>
    </w:p>
    <w:p w14:paraId="42CB8639">
      <w:pPr>
        <w:spacing w:line="440" w:lineRule="exact"/>
        <w:rPr>
          <w:rFonts w:ascii="宋体" w:hAnsi="宋体"/>
          <w:color w:val="auto"/>
          <w:sz w:val="24"/>
        </w:rPr>
      </w:pPr>
    </w:p>
    <w:p w14:paraId="126AF259">
      <w:pPr>
        <w:spacing w:line="440" w:lineRule="exact"/>
        <w:rPr>
          <w:rFonts w:ascii="宋体" w:hAnsi="宋体"/>
          <w:color w:val="auto"/>
          <w:sz w:val="24"/>
        </w:rPr>
      </w:pPr>
    </w:p>
    <w:p w14:paraId="6DB9D08D">
      <w:pPr>
        <w:spacing w:line="440" w:lineRule="exact"/>
        <w:rPr>
          <w:rFonts w:ascii="宋体" w:hAnsi="宋体"/>
          <w:color w:val="auto"/>
          <w:sz w:val="24"/>
        </w:rPr>
      </w:pPr>
    </w:p>
    <w:p w14:paraId="7B2CEA26">
      <w:pPr>
        <w:jc w:val="center"/>
        <w:rPr>
          <w:rFonts w:ascii="宋体" w:hAnsi="宋体"/>
          <w:b/>
          <w:color w:val="auto"/>
          <w:sz w:val="24"/>
        </w:rPr>
      </w:pPr>
    </w:p>
    <w:p w14:paraId="242726D8">
      <w:pPr>
        <w:jc w:val="center"/>
        <w:rPr>
          <w:rFonts w:ascii="宋体" w:hAnsi="宋体"/>
          <w:b/>
          <w:color w:val="auto"/>
          <w:sz w:val="24"/>
        </w:rPr>
      </w:pPr>
    </w:p>
    <w:p w14:paraId="0266C316">
      <w:pPr>
        <w:jc w:val="center"/>
        <w:rPr>
          <w:rFonts w:ascii="宋体" w:hAnsi="宋体"/>
          <w:b/>
          <w:color w:val="auto"/>
          <w:sz w:val="24"/>
        </w:rPr>
      </w:pPr>
    </w:p>
    <w:p w14:paraId="2A5140ED">
      <w:pPr>
        <w:jc w:val="center"/>
        <w:rPr>
          <w:rFonts w:ascii="宋体" w:hAnsi="宋体"/>
          <w:b/>
          <w:color w:val="auto"/>
          <w:sz w:val="24"/>
        </w:rPr>
      </w:pPr>
    </w:p>
    <w:p w14:paraId="295AD32C">
      <w:pPr>
        <w:jc w:val="center"/>
        <w:rPr>
          <w:rFonts w:ascii="宋体" w:hAnsi="宋体"/>
          <w:b/>
          <w:color w:val="auto"/>
          <w:sz w:val="24"/>
        </w:rPr>
      </w:pPr>
    </w:p>
    <w:p w14:paraId="4AA26A7B">
      <w:pPr>
        <w:jc w:val="center"/>
        <w:rPr>
          <w:rFonts w:ascii="宋体" w:hAnsi="宋体"/>
          <w:b/>
          <w:color w:val="auto"/>
          <w:sz w:val="24"/>
        </w:rPr>
      </w:pPr>
    </w:p>
    <w:p w14:paraId="6A386FF0">
      <w:pPr>
        <w:spacing w:line="440" w:lineRule="exact"/>
        <w:rPr>
          <w:rFonts w:ascii="宋体" w:hAnsi="宋体"/>
          <w:color w:val="auto"/>
          <w:sz w:val="24"/>
        </w:rPr>
      </w:pPr>
      <w:bookmarkStart w:id="247" w:name="_Toc158458008"/>
      <w:bookmarkStart w:id="248" w:name="_Toc163270989"/>
    </w:p>
    <w:p w14:paraId="0A39FEA4">
      <w:pPr>
        <w:spacing w:line="440" w:lineRule="exact"/>
        <w:rPr>
          <w:rFonts w:ascii="宋体" w:hAnsi="宋体"/>
          <w:color w:val="auto"/>
          <w:sz w:val="24"/>
        </w:rPr>
      </w:pPr>
    </w:p>
    <w:p w14:paraId="715942E2">
      <w:pPr>
        <w:spacing w:line="440" w:lineRule="exact"/>
        <w:rPr>
          <w:rFonts w:ascii="宋体" w:hAnsi="宋体"/>
          <w:color w:val="auto"/>
          <w:sz w:val="24"/>
        </w:rPr>
      </w:pPr>
    </w:p>
    <w:p w14:paraId="0BDB5DC1">
      <w:pPr>
        <w:spacing w:line="440" w:lineRule="exact"/>
        <w:rPr>
          <w:rFonts w:ascii="宋体" w:hAnsi="宋体"/>
          <w:color w:val="auto"/>
          <w:sz w:val="24"/>
        </w:rPr>
      </w:pPr>
    </w:p>
    <w:p w14:paraId="5DE141E4">
      <w:pPr>
        <w:spacing w:line="440" w:lineRule="exact"/>
        <w:rPr>
          <w:rFonts w:ascii="宋体" w:hAnsi="宋体"/>
          <w:color w:val="auto"/>
          <w:sz w:val="24"/>
        </w:rPr>
      </w:pPr>
    </w:p>
    <w:p w14:paraId="52A82047">
      <w:pPr>
        <w:spacing w:line="440" w:lineRule="exact"/>
        <w:jc w:val="left"/>
        <w:rPr>
          <w:rFonts w:ascii="宋体" w:hAnsi="宋体"/>
          <w:b/>
          <w:color w:val="auto"/>
          <w:sz w:val="24"/>
        </w:rPr>
      </w:pPr>
      <w:r>
        <w:rPr>
          <w:rFonts w:ascii="宋体" w:hAnsi="宋体"/>
          <w:color w:val="auto"/>
          <w:sz w:val="24"/>
        </w:rPr>
        <w:br w:type="page"/>
      </w:r>
      <w:bookmarkEnd w:id="247"/>
      <w:bookmarkEnd w:id="248"/>
      <w:bookmarkStart w:id="249" w:name="_Toc173558684"/>
      <w:r>
        <w:rPr>
          <w:rFonts w:hint="eastAsia" w:ascii="宋体" w:hAnsi="宋体"/>
          <w:b/>
          <w:color w:val="auto"/>
          <w:sz w:val="24"/>
        </w:rPr>
        <w:t>格式</w:t>
      </w:r>
      <w:r>
        <w:rPr>
          <w:rFonts w:hint="eastAsia" w:ascii="宋体" w:hAnsi="宋体"/>
          <w:b/>
          <w:color w:val="auto"/>
          <w:sz w:val="24"/>
          <w:lang w:val="en-US" w:eastAsia="zh-CN"/>
        </w:rPr>
        <w:t>五</w:t>
      </w:r>
      <w:r>
        <w:rPr>
          <w:rFonts w:hint="eastAsia" w:ascii="宋体" w:hAnsi="宋体"/>
          <w:b/>
          <w:color w:val="auto"/>
          <w:sz w:val="24"/>
        </w:rPr>
        <w:t>：</w:t>
      </w:r>
    </w:p>
    <w:p w14:paraId="7007C887">
      <w:pPr>
        <w:jc w:val="center"/>
        <w:rPr>
          <w:rFonts w:ascii="宋体" w:hAnsi="宋体"/>
          <w:b/>
          <w:color w:val="auto"/>
          <w:sz w:val="24"/>
        </w:rPr>
      </w:pPr>
      <w:r>
        <w:rPr>
          <w:rFonts w:hint="eastAsia" w:ascii="宋体" w:hAnsi="宋体"/>
          <w:b/>
          <w:color w:val="auto"/>
          <w:sz w:val="24"/>
        </w:rPr>
        <w:t>法定代表人授权委托书</w:t>
      </w:r>
    </w:p>
    <w:p w14:paraId="2583D2B5">
      <w:pPr>
        <w:spacing w:after="156" w:line="360" w:lineRule="auto"/>
        <w:rPr>
          <w:rFonts w:ascii="宋体" w:hAnsi="宋体"/>
          <w:color w:val="auto"/>
        </w:rPr>
      </w:pPr>
    </w:p>
    <w:p w14:paraId="4A986F60">
      <w:pPr>
        <w:spacing w:line="440" w:lineRule="exact"/>
        <w:ind w:firstLine="420" w:firstLineChars="200"/>
        <w:rPr>
          <w:rFonts w:ascii="宋体" w:hAnsi="宋体"/>
          <w:color w:val="auto"/>
        </w:rPr>
      </w:pPr>
      <w:r>
        <w:rPr>
          <w:rFonts w:ascii="宋体" w:hAnsi="宋体"/>
          <w:color w:val="auto"/>
        </w:rPr>
        <w:t>本授权委托书声明：我</w:t>
      </w:r>
      <w:r>
        <w:rPr>
          <w:rFonts w:ascii="宋体" w:hAnsi="宋体"/>
          <w:color w:val="auto"/>
          <w:u w:val="single"/>
        </w:rPr>
        <w:t>（姓名）</w:t>
      </w:r>
      <w:r>
        <w:rPr>
          <w:rFonts w:ascii="宋体" w:hAnsi="宋体"/>
          <w:color w:val="auto"/>
        </w:rPr>
        <w:t>系</w:t>
      </w:r>
      <w:r>
        <w:rPr>
          <w:rFonts w:ascii="宋体" w:hAnsi="宋体"/>
          <w:color w:val="auto"/>
          <w:u w:val="single"/>
        </w:rPr>
        <w:t>（</w:t>
      </w:r>
      <w:r>
        <w:rPr>
          <w:rFonts w:hint="eastAsia" w:ascii="宋体" w:hAnsi="宋体"/>
          <w:color w:val="auto"/>
          <w:u w:val="single"/>
        </w:rPr>
        <w:t>供应商</w:t>
      </w:r>
      <w:r>
        <w:rPr>
          <w:rFonts w:ascii="宋体" w:hAnsi="宋体"/>
          <w:color w:val="auto"/>
          <w:u w:val="single"/>
        </w:rPr>
        <w:t>名称）</w:t>
      </w:r>
      <w:r>
        <w:rPr>
          <w:rFonts w:ascii="宋体" w:hAnsi="宋体"/>
          <w:color w:val="auto"/>
        </w:rPr>
        <w:t>的法定代表人，现授权委托</w:t>
      </w:r>
      <w:r>
        <w:rPr>
          <w:rFonts w:ascii="宋体" w:hAnsi="宋体"/>
          <w:color w:val="auto"/>
          <w:u w:val="single"/>
        </w:rPr>
        <w:t>（单位名称）</w:t>
      </w:r>
      <w:r>
        <w:rPr>
          <w:rFonts w:ascii="宋体" w:hAnsi="宋体"/>
          <w:color w:val="auto"/>
        </w:rPr>
        <w:t>的</w:t>
      </w:r>
      <w:r>
        <w:rPr>
          <w:rFonts w:ascii="宋体" w:hAnsi="宋体"/>
          <w:color w:val="auto"/>
          <w:u w:val="single"/>
        </w:rPr>
        <w:t>（姓名）</w:t>
      </w:r>
      <w:r>
        <w:rPr>
          <w:rFonts w:ascii="宋体" w:hAnsi="宋体"/>
          <w:color w:val="auto"/>
        </w:rPr>
        <w:t>为我公司签署</w:t>
      </w:r>
      <w:r>
        <w:rPr>
          <w:rFonts w:hint="eastAsia" w:ascii="宋体" w:hAnsi="宋体"/>
          <w:color w:val="auto"/>
          <w:u w:val="single"/>
        </w:rPr>
        <w:t>（项目名称）</w:t>
      </w:r>
      <w:r>
        <w:rPr>
          <w:rFonts w:hint="eastAsia" w:ascii="宋体" w:hAnsi="宋体"/>
          <w:color w:val="auto"/>
        </w:rPr>
        <w:t>，项目编号</w:t>
      </w:r>
      <w:r>
        <w:rPr>
          <w:rFonts w:hint="eastAsia" w:ascii="宋体" w:hAnsi="宋体"/>
          <w:color w:val="auto"/>
          <w:u w:val="single"/>
          <w:lang w:val="en-US" w:eastAsia="zh-CN"/>
        </w:rPr>
        <w:t xml:space="preserve">       </w:t>
      </w:r>
      <w:r>
        <w:rPr>
          <w:rFonts w:hint="eastAsia" w:ascii="宋体" w:hAnsi="宋体"/>
          <w:color w:val="auto"/>
        </w:rPr>
        <w:t>为</w:t>
      </w:r>
      <w:r>
        <w:rPr>
          <w:rFonts w:ascii="宋体" w:hAnsi="宋体"/>
          <w:color w:val="auto"/>
        </w:rPr>
        <w:t>的</w:t>
      </w:r>
      <w:r>
        <w:rPr>
          <w:rFonts w:hint="eastAsia" w:ascii="宋体" w:hAnsi="宋体"/>
          <w:color w:val="auto"/>
        </w:rPr>
        <w:t>响应文件</w:t>
      </w:r>
      <w:r>
        <w:rPr>
          <w:rFonts w:ascii="宋体" w:hAnsi="宋体"/>
          <w:color w:val="auto"/>
        </w:rPr>
        <w:t>的法定代表人授权委托代理人，我承认代理人全权代表我所签署的本工程的</w:t>
      </w:r>
      <w:r>
        <w:rPr>
          <w:rFonts w:hint="eastAsia" w:ascii="宋体" w:hAnsi="宋体"/>
          <w:color w:val="auto"/>
        </w:rPr>
        <w:t>响应文件</w:t>
      </w:r>
      <w:r>
        <w:rPr>
          <w:rFonts w:ascii="宋体" w:hAnsi="宋体"/>
          <w:color w:val="auto"/>
        </w:rPr>
        <w:t>的内容。</w:t>
      </w:r>
    </w:p>
    <w:p w14:paraId="0C7119B5">
      <w:pPr>
        <w:spacing w:line="440" w:lineRule="exact"/>
        <w:ind w:firstLine="420" w:firstLineChars="200"/>
        <w:rPr>
          <w:rFonts w:ascii="宋体" w:hAnsi="宋体"/>
          <w:color w:val="auto"/>
        </w:rPr>
      </w:pPr>
      <w:r>
        <w:rPr>
          <w:rFonts w:ascii="宋体" w:hAnsi="宋体"/>
          <w:color w:val="auto"/>
        </w:rPr>
        <w:t>代理人无转委托权，特此委托。</w:t>
      </w:r>
    </w:p>
    <w:p w14:paraId="53672714">
      <w:pPr>
        <w:spacing w:line="440" w:lineRule="exact"/>
        <w:ind w:firstLine="420" w:firstLineChars="200"/>
        <w:rPr>
          <w:rFonts w:ascii="宋体" w:hAnsi="宋体"/>
          <w:color w:val="auto"/>
        </w:rPr>
      </w:pPr>
      <w:r>
        <w:rPr>
          <w:rFonts w:ascii="宋体" w:hAnsi="宋体"/>
          <w:color w:val="auto"/>
        </w:rPr>
        <w:t>授权</w:t>
      </w:r>
      <w:r>
        <w:rPr>
          <w:rFonts w:hint="eastAsia" w:ascii="宋体" w:hAnsi="宋体"/>
          <w:color w:val="auto"/>
        </w:rPr>
        <w:t>委托</w:t>
      </w:r>
      <w:r>
        <w:rPr>
          <w:rFonts w:ascii="宋体" w:hAnsi="宋体"/>
          <w:color w:val="auto"/>
        </w:rPr>
        <w:t>代理</w:t>
      </w:r>
      <w:r>
        <w:rPr>
          <w:rFonts w:hint="eastAsia" w:ascii="宋体" w:hAnsi="宋体"/>
          <w:color w:val="auto"/>
        </w:rPr>
        <w:t>期限：202</w:t>
      </w:r>
      <w:r>
        <w:rPr>
          <w:rFonts w:hint="eastAsia" w:ascii="宋体" w:hAnsi="宋体"/>
          <w:color w:val="auto"/>
          <w:lang w:val="en-US" w:eastAsia="zh-CN"/>
        </w:rPr>
        <w:t xml:space="preserve"> </w:t>
      </w:r>
      <w:r>
        <w:rPr>
          <w:rFonts w:hint="eastAsia" w:ascii="宋体" w:hAnsi="宋体"/>
          <w:color w:val="auto"/>
        </w:rPr>
        <w:t>年</w:t>
      </w:r>
      <w:r>
        <w:rPr>
          <w:rFonts w:hint="eastAsia" w:ascii="宋体" w:hAnsi="宋体"/>
          <w:color w:val="auto"/>
          <w:lang w:val="en-US" w:eastAsia="zh-CN"/>
        </w:rPr>
        <w:t xml:space="preserve">  </w:t>
      </w:r>
      <w:r>
        <w:rPr>
          <w:rFonts w:hint="eastAsia" w:ascii="宋体" w:hAnsi="宋体"/>
          <w:color w:val="auto"/>
        </w:rPr>
        <w:t>月</w:t>
      </w:r>
      <w:r>
        <w:rPr>
          <w:rFonts w:hint="eastAsia" w:ascii="宋体" w:hAnsi="宋体"/>
          <w:color w:val="auto"/>
          <w:lang w:val="en-US" w:eastAsia="zh-CN"/>
        </w:rPr>
        <w:t xml:space="preserve">  </w:t>
      </w:r>
      <w:r>
        <w:rPr>
          <w:rFonts w:hint="eastAsia" w:ascii="宋体" w:hAnsi="宋体"/>
          <w:color w:val="auto"/>
        </w:rPr>
        <w:t>日</w:t>
      </w:r>
      <w:r>
        <w:rPr>
          <w:rFonts w:hint="eastAsia" w:ascii="宋体" w:hAnsi="宋体"/>
          <w:color w:val="auto"/>
          <w:lang w:val="en-US" w:eastAsia="zh-CN"/>
        </w:rPr>
        <w:t xml:space="preserve"> </w:t>
      </w:r>
      <w:r>
        <w:rPr>
          <w:rFonts w:hint="eastAsia" w:ascii="宋体" w:hAnsi="宋体"/>
          <w:color w:val="auto"/>
        </w:rPr>
        <w:t>至</w:t>
      </w:r>
      <w:r>
        <w:rPr>
          <w:rFonts w:hint="eastAsia" w:ascii="宋体" w:hAnsi="宋体"/>
          <w:color w:val="auto"/>
          <w:lang w:val="en-US" w:eastAsia="zh-CN"/>
        </w:rPr>
        <w:t xml:space="preserve">  年  </w:t>
      </w:r>
      <w:r>
        <w:rPr>
          <w:rFonts w:hint="eastAsia" w:ascii="宋体" w:hAnsi="宋体"/>
          <w:color w:val="auto"/>
        </w:rPr>
        <w:t>月</w:t>
      </w:r>
      <w:r>
        <w:rPr>
          <w:rFonts w:hint="eastAsia" w:ascii="宋体" w:hAnsi="宋体"/>
          <w:color w:val="auto"/>
          <w:lang w:val="en-US" w:eastAsia="zh-CN"/>
        </w:rPr>
        <w:t xml:space="preserve">  </w:t>
      </w:r>
      <w:r>
        <w:rPr>
          <w:rFonts w:hint="eastAsia" w:ascii="宋体" w:hAnsi="宋体"/>
          <w:color w:val="auto"/>
        </w:rPr>
        <w:t>日</w:t>
      </w:r>
    </w:p>
    <w:p w14:paraId="2A6321AD">
      <w:pPr>
        <w:spacing w:line="440" w:lineRule="exact"/>
        <w:ind w:firstLine="413" w:firstLineChars="196"/>
        <w:rPr>
          <w:rFonts w:ascii="宋体" w:hAnsi="宋体"/>
          <w:color w:val="auto"/>
        </w:rPr>
      </w:pPr>
      <w:r>
        <w:rPr>
          <w:rFonts w:hint="eastAsia" w:ascii="宋体" w:hAnsi="宋体"/>
          <w:b/>
          <w:color w:val="auto"/>
        </w:rPr>
        <w:t>附：委托代理人身份证复印件</w:t>
      </w:r>
    </w:p>
    <w:p w14:paraId="46AE9FC6">
      <w:pPr>
        <w:spacing w:line="440" w:lineRule="exact"/>
        <w:rPr>
          <w:rFonts w:ascii="宋体" w:hAnsi="宋体"/>
          <w:color w:val="auto"/>
        </w:rPr>
      </w:pPr>
    </w:p>
    <w:p w14:paraId="09C20858">
      <w:pPr>
        <w:spacing w:line="440" w:lineRule="exact"/>
        <w:ind w:left="2699"/>
        <w:rPr>
          <w:rFonts w:ascii="宋体" w:hAnsi="宋体"/>
          <w:color w:val="auto"/>
          <w:u w:val="single"/>
        </w:rPr>
      </w:pPr>
      <w:r>
        <w:rPr>
          <w:rFonts w:ascii="宋体" w:hAnsi="宋体"/>
          <w:color w:val="auto"/>
        </w:rPr>
        <w:t>代理人：</w:t>
      </w:r>
      <w:r>
        <w:rPr>
          <w:rFonts w:ascii="宋体" w:hAnsi="宋体"/>
          <w:color w:val="auto"/>
          <w:u w:val="single"/>
        </w:rPr>
        <w:t xml:space="preserve">   （</w:t>
      </w:r>
      <w:r>
        <w:rPr>
          <w:rFonts w:hint="eastAsia" w:ascii="宋体" w:hAnsi="宋体"/>
          <w:color w:val="auto"/>
          <w:u w:val="single"/>
          <w:lang w:eastAsia="zh-CN"/>
        </w:rPr>
        <w:t>盖章或</w:t>
      </w:r>
      <w:r>
        <w:rPr>
          <w:rFonts w:ascii="宋体" w:hAnsi="宋体"/>
          <w:color w:val="auto"/>
          <w:u w:val="single"/>
        </w:rPr>
        <w:t>签字）</w:t>
      </w:r>
      <w:r>
        <w:rPr>
          <w:rFonts w:ascii="宋体" w:hAnsi="宋体"/>
          <w:color w:val="auto"/>
        </w:rPr>
        <w:t>性别 ：年龄：_______</w:t>
      </w:r>
    </w:p>
    <w:p w14:paraId="11FF7FE0">
      <w:pPr>
        <w:spacing w:line="440" w:lineRule="exact"/>
        <w:ind w:left="2699"/>
        <w:rPr>
          <w:rFonts w:ascii="宋体" w:hAnsi="宋体"/>
          <w:b/>
          <w:color w:val="auto"/>
          <w:u w:val="single"/>
        </w:rPr>
      </w:pPr>
      <w:r>
        <w:rPr>
          <w:rFonts w:ascii="宋体" w:hAnsi="宋体"/>
          <w:color w:val="auto"/>
        </w:rPr>
        <w:t>身份证号码：职务：</w:t>
      </w:r>
    </w:p>
    <w:p w14:paraId="41898158">
      <w:pPr>
        <w:spacing w:line="440" w:lineRule="exact"/>
        <w:ind w:left="2699"/>
        <w:rPr>
          <w:rFonts w:ascii="宋体" w:hAnsi="宋体"/>
          <w:color w:val="auto"/>
        </w:rPr>
      </w:pPr>
      <w:r>
        <w:rPr>
          <w:rFonts w:hint="eastAsia" w:ascii="宋体" w:hAnsi="宋体"/>
          <w:color w:val="auto"/>
        </w:rPr>
        <w:t>供应商</w:t>
      </w:r>
      <w:r>
        <w:rPr>
          <w:rFonts w:ascii="宋体" w:hAnsi="宋体"/>
          <w:color w:val="auto"/>
        </w:rPr>
        <w:t>：</w:t>
      </w:r>
      <w:r>
        <w:rPr>
          <w:rFonts w:hint="eastAsia" w:ascii="宋体" w:hAnsi="宋体"/>
          <w:color w:val="auto"/>
          <w:u w:val="single"/>
        </w:rPr>
        <w:t>（全称）</w:t>
      </w:r>
      <w:r>
        <w:rPr>
          <w:rFonts w:hint="eastAsia" w:ascii="仿宋_GB2312" w:hAnsi="仿宋" w:eastAsia="仿宋_GB2312" w:cs="仿宋_GB2312"/>
          <w:color w:val="auto"/>
          <w:kern w:val="0"/>
          <w:sz w:val="24"/>
          <w:highlight w:val="none"/>
        </w:rPr>
        <w:t>（电子签章）</w:t>
      </w:r>
    </w:p>
    <w:p w14:paraId="290EF030">
      <w:pPr>
        <w:spacing w:line="440" w:lineRule="exact"/>
        <w:ind w:left="2699"/>
        <w:rPr>
          <w:rFonts w:ascii="宋体" w:hAnsi="宋体"/>
          <w:color w:val="auto"/>
        </w:rPr>
      </w:pPr>
      <w:r>
        <w:rPr>
          <w:rFonts w:ascii="宋体" w:hAnsi="宋体"/>
          <w:color w:val="auto"/>
        </w:rPr>
        <w:t>法定代表人：（</w:t>
      </w:r>
      <w:r>
        <w:rPr>
          <w:rFonts w:hint="eastAsia" w:ascii="宋体" w:hAnsi="宋体"/>
          <w:color w:val="auto"/>
          <w:lang w:eastAsia="zh-CN"/>
        </w:rPr>
        <w:t>盖章或</w:t>
      </w:r>
      <w:r>
        <w:rPr>
          <w:rFonts w:ascii="宋体" w:hAnsi="宋体"/>
          <w:color w:val="auto"/>
        </w:rPr>
        <w:t>签字）</w:t>
      </w:r>
    </w:p>
    <w:p w14:paraId="61F40163">
      <w:pPr>
        <w:spacing w:line="440" w:lineRule="exact"/>
        <w:ind w:left="2699"/>
        <w:rPr>
          <w:rFonts w:ascii="宋体" w:hAnsi="宋体"/>
          <w:color w:val="auto"/>
        </w:rPr>
      </w:pPr>
      <w:r>
        <w:rPr>
          <w:rFonts w:ascii="宋体" w:hAnsi="宋体"/>
          <w:color w:val="auto"/>
        </w:rPr>
        <w:t>授权委托日期：</w:t>
      </w:r>
      <w:r>
        <w:rPr>
          <w:rFonts w:hint="eastAsia" w:ascii="宋体" w:hAnsi="宋体"/>
          <w:color w:val="auto"/>
          <w:lang w:val="en-US" w:eastAsia="zh-CN"/>
        </w:rPr>
        <w:t xml:space="preserve">  </w:t>
      </w:r>
      <w:r>
        <w:rPr>
          <w:rFonts w:ascii="宋体" w:hAnsi="宋体"/>
          <w:color w:val="auto"/>
        </w:rPr>
        <w:t>年</w:t>
      </w:r>
      <w:r>
        <w:rPr>
          <w:rFonts w:hint="eastAsia" w:ascii="宋体" w:hAnsi="宋体"/>
          <w:color w:val="auto"/>
          <w:lang w:val="en-US" w:eastAsia="zh-CN"/>
        </w:rPr>
        <w:t xml:space="preserve">  </w:t>
      </w:r>
      <w:r>
        <w:rPr>
          <w:rFonts w:ascii="宋体" w:hAnsi="宋体"/>
          <w:color w:val="auto"/>
        </w:rPr>
        <w:t>月</w:t>
      </w:r>
      <w:r>
        <w:rPr>
          <w:rFonts w:hint="eastAsia" w:ascii="宋体" w:hAnsi="宋体"/>
          <w:color w:val="auto"/>
          <w:lang w:val="en-US" w:eastAsia="zh-CN"/>
        </w:rPr>
        <w:t xml:space="preserve">  </w:t>
      </w:r>
      <w:r>
        <w:rPr>
          <w:rFonts w:ascii="宋体" w:hAnsi="宋体"/>
          <w:color w:val="auto"/>
        </w:rPr>
        <w:t>日</w:t>
      </w:r>
    </w:p>
    <w:p w14:paraId="7E45D035">
      <w:pPr>
        <w:spacing w:line="360" w:lineRule="auto"/>
        <w:rPr>
          <w:rFonts w:ascii="宋体" w:hAnsi="宋体"/>
          <w:color w:val="auto"/>
        </w:rPr>
      </w:pPr>
    </w:p>
    <w:p w14:paraId="38365909">
      <w:pPr>
        <w:spacing w:line="400" w:lineRule="exact"/>
        <w:ind w:left="28" w:firstLine="452"/>
        <w:rPr>
          <w:rFonts w:ascii="宋体" w:hAnsi="宋体"/>
          <w:color w:val="auto"/>
        </w:rPr>
      </w:pPr>
      <w:r>
        <w:rPr>
          <w:rFonts w:ascii="宋体" w:hAnsi="宋体"/>
          <w:color w:val="auto"/>
        </w:rPr>
        <w:br w:type="page"/>
      </w:r>
      <w:r>
        <w:rPr>
          <w:rFonts w:hint="eastAsia" w:ascii="宋体" w:hAnsi="宋体"/>
          <w:b/>
          <w:color w:val="auto"/>
          <w:sz w:val="24"/>
        </w:rPr>
        <w:t>格式</w:t>
      </w:r>
      <w:r>
        <w:rPr>
          <w:rFonts w:hint="eastAsia" w:ascii="宋体" w:hAnsi="宋体"/>
          <w:b/>
          <w:color w:val="auto"/>
          <w:sz w:val="24"/>
          <w:lang w:val="en-US" w:eastAsia="zh-CN"/>
        </w:rPr>
        <w:t>六</w:t>
      </w:r>
      <w:r>
        <w:rPr>
          <w:rFonts w:hint="eastAsia" w:ascii="宋体" w:hAnsi="宋体"/>
          <w:b/>
          <w:color w:val="auto"/>
          <w:sz w:val="24"/>
        </w:rPr>
        <w:t>：</w:t>
      </w:r>
    </w:p>
    <w:p w14:paraId="0E0F643E">
      <w:pPr>
        <w:spacing w:line="400" w:lineRule="exact"/>
        <w:ind w:left="28" w:firstLine="452"/>
        <w:rPr>
          <w:rFonts w:ascii="宋体" w:hAnsi="宋体"/>
          <w:color w:val="auto"/>
        </w:rPr>
      </w:pPr>
    </w:p>
    <w:p w14:paraId="0E4275E3">
      <w:pPr>
        <w:spacing w:line="400" w:lineRule="exact"/>
        <w:ind w:left="28" w:firstLine="452"/>
        <w:jc w:val="center"/>
        <w:rPr>
          <w:rFonts w:ascii="宋体" w:hAnsi="宋体"/>
          <w:b/>
          <w:color w:val="auto"/>
          <w:sz w:val="24"/>
        </w:rPr>
      </w:pPr>
      <w:r>
        <w:rPr>
          <w:rFonts w:hint="eastAsia" w:ascii="宋体" w:hAnsi="宋体"/>
          <w:b/>
          <w:color w:val="auto"/>
          <w:sz w:val="24"/>
        </w:rPr>
        <w:t>足额缴纳农民工工资的承诺书</w:t>
      </w:r>
    </w:p>
    <w:p w14:paraId="388420F1">
      <w:pPr>
        <w:spacing w:line="400" w:lineRule="exact"/>
        <w:ind w:left="28" w:firstLine="452"/>
        <w:jc w:val="center"/>
        <w:rPr>
          <w:rFonts w:cs="宋体"/>
          <w:color w:val="auto"/>
        </w:rPr>
      </w:pPr>
    </w:p>
    <w:p w14:paraId="2D95FCD7">
      <w:pPr>
        <w:spacing w:line="480" w:lineRule="auto"/>
        <w:jc w:val="left"/>
        <w:rPr>
          <w:color w:val="auto"/>
        </w:rPr>
      </w:pPr>
      <w:r>
        <w:rPr>
          <w:rFonts w:hint="eastAsia" w:cs="宋体"/>
          <w:color w:val="auto"/>
        </w:rPr>
        <w:t>致</w:t>
      </w:r>
      <w:r>
        <w:rPr>
          <w:rFonts w:hint="eastAsia" w:cs="宋体"/>
          <w:color w:val="auto"/>
          <w:u w:val="single"/>
        </w:rPr>
        <w:t>（采购人名称）</w:t>
      </w:r>
      <w:r>
        <w:rPr>
          <w:rFonts w:hint="eastAsia" w:cs="宋体"/>
          <w:color w:val="auto"/>
        </w:rPr>
        <w:t>：</w:t>
      </w:r>
    </w:p>
    <w:p w14:paraId="3B21A39A">
      <w:pPr>
        <w:spacing w:line="520" w:lineRule="exact"/>
        <w:ind w:left="-10" w:firstLine="455" w:firstLineChars="217"/>
        <w:jc w:val="left"/>
        <w:rPr>
          <w:rFonts w:ascii="宋体" w:hAnsi="宋体"/>
          <w:b/>
          <w:color w:val="auto"/>
          <w:sz w:val="24"/>
        </w:rPr>
      </w:pPr>
      <w:r>
        <w:rPr>
          <w:rFonts w:hint="eastAsia" w:cs="宋体"/>
          <w:color w:val="auto"/>
        </w:rPr>
        <w:t>作为参与</w:t>
      </w:r>
      <w:r>
        <w:rPr>
          <w:rFonts w:hint="eastAsia" w:cs="宋体"/>
          <w:color w:val="auto"/>
          <w:u w:val="single"/>
        </w:rPr>
        <w:t>（工程名称）</w:t>
      </w:r>
      <w:r>
        <w:rPr>
          <w:rFonts w:hint="eastAsia" w:cs="宋体"/>
          <w:color w:val="auto"/>
        </w:rPr>
        <w:t>项目的供应商，根据国家、自治区相关文件规定，我方在此向采标人承诺：</w:t>
      </w:r>
    </w:p>
    <w:p w14:paraId="464AF5A3">
      <w:pPr>
        <w:spacing w:line="520" w:lineRule="exact"/>
        <w:ind w:left="-10" w:firstLine="455" w:firstLineChars="217"/>
        <w:jc w:val="left"/>
        <w:rPr>
          <w:rFonts w:cs="宋体"/>
          <w:color w:val="auto"/>
        </w:rPr>
      </w:pPr>
      <w:r>
        <w:rPr>
          <w:rFonts w:hint="eastAsia" w:cs="宋体"/>
          <w:color w:val="auto"/>
        </w:rPr>
        <w:t>一旦成交，我方保证按照政府相关部门的规定，在发出成交通知书之日起</w:t>
      </w:r>
      <w:r>
        <w:rPr>
          <w:color w:val="auto"/>
        </w:rPr>
        <w:t>7</w:t>
      </w:r>
      <w:r>
        <w:rPr>
          <w:rFonts w:hint="eastAsia" w:cs="宋体"/>
          <w:color w:val="auto"/>
        </w:rPr>
        <w:t>个工作日内足额将农民工工资保障金转入农民工工资保障金专用账户，或向采购人提供由工程项目所在地（工程项目所在省区范围内）商业银行出具同等金额农民工工资保证金银行保函，作为支付承包人拖欠的农民工工资的保证。一旦我方所承包的该项目中出现拖欠农民工工资情况，由劳动保障、住房城乡建设行政主管部门按照《关于进一步完善建筑行业农民工工资保证金制度的通知》（桂劳社发〔</w:t>
      </w:r>
      <w:r>
        <w:rPr>
          <w:color w:val="auto"/>
        </w:rPr>
        <w:t>2009</w:t>
      </w:r>
      <w:r>
        <w:rPr>
          <w:rFonts w:hint="eastAsia" w:cs="宋体"/>
          <w:color w:val="auto"/>
        </w:rPr>
        <w:t>〕</w:t>
      </w:r>
      <w:r>
        <w:rPr>
          <w:color w:val="auto"/>
        </w:rPr>
        <w:t>50</w:t>
      </w:r>
      <w:r>
        <w:rPr>
          <w:rFonts w:hint="eastAsia" w:cs="宋体"/>
          <w:color w:val="auto"/>
        </w:rPr>
        <w:t>号）从我方农民工工资保障金中先予划支。</w:t>
      </w:r>
    </w:p>
    <w:p w14:paraId="1C6D7CD7">
      <w:pPr>
        <w:spacing w:line="520" w:lineRule="exact"/>
        <w:ind w:left="-10" w:firstLine="455" w:firstLineChars="217"/>
        <w:jc w:val="left"/>
        <w:rPr>
          <w:rFonts w:cs="宋体"/>
          <w:color w:val="auto"/>
        </w:rPr>
      </w:pPr>
    </w:p>
    <w:p w14:paraId="4B97B6A4">
      <w:pPr>
        <w:pStyle w:val="24"/>
        <w:rPr>
          <w:rFonts w:hAnsi="宋体"/>
          <w:color w:val="auto"/>
          <w:sz w:val="24"/>
          <w:u w:val="single"/>
        </w:rPr>
      </w:pPr>
    </w:p>
    <w:p w14:paraId="41943EDE">
      <w:pPr>
        <w:keepNext w:val="0"/>
        <w:keepLines w:val="0"/>
        <w:pageBreakBefore w:val="0"/>
        <w:widowControl/>
        <w:suppressLineNumbers w:val="0"/>
        <w:kinsoku/>
        <w:wordWrap/>
        <w:overflowPunct/>
        <w:topLinePunct w:val="0"/>
        <w:autoSpaceDE/>
        <w:autoSpaceDN/>
        <w:bidi w:val="0"/>
        <w:adjustRightInd/>
        <w:snapToGrid/>
        <w:spacing w:line="440" w:lineRule="exact"/>
        <w:ind w:firstLine="3150" w:firstLineChars="15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val="en-US" w:eastAsia="zh-CN" w:bidi="ar"/>
        </w:rPr>
        <w:t>供应商名称</w:t>
      </w:r>
      <w:r>
        <w:rPr>
          <w:rFonts w:hint="eastAsia" w:ascii="仿宋_GB2312" w:hAnsi="仿宋" w:eastAsia="仿宋_GB2312" w:cs="仿宋_GB2312"/>
          <w:color w:val="auto"/>
          <w:kern w:val="0"/>
          <w:sz w:val="21"/>
          <w:szCs w:val="21"/>
          <w:highlight w:val="none"/>
        </w:rPr>
        <w:t>（电子签章）</w:t>
      </w:r>
      <w:r>
        <w:rPr>
          <w:rFonts w:hint="eastAsia" w:ascii="仿宋_GB2312" w:hAnsi="仿宋_GB2312" w:eastAsia="仿宋_GB2312" w:cs="仿宋_GB2312"/>
          <w:color w:val="auto"/>
          <w:kern w:val="0"/>
          <w:sz w:val="21"/>
          <w:szCs w:val="21"/>
          <w:lang w:val="en-US" w:eastAsia="zh-CN" w:bidi="ar"/>
        </w:rPr>
        <w:t xml:space="preserve">： </w:t>
      </w:r>
    </w:p>
    <w:p w14:paraId="6240E39E">
      <w:pPr>
        <w:keepNext w:val="0"/>
        <w:keepLines w:val="0"/>
        <w:pageBreakBefore w:val="0"/>
        <w:tabs>
          <w:tab w:val="left" w:pos="7560"/>
        </w:tabs>
        <w:kinsoku/>
        <w:wordWrap/>
        <w:overflowPunct/>
        <w:topLinePunct w:val="0"/>
        <w:autoSpaceDE/>
        <w:autoSpaceDN/>
        <w:bidi w:val="0"/>
        <w:adjustRightInd/>
        <w:snapToGrid/>
        <w:spacing w:line="440" w:lineRule="exact"/>
        <w:ind w:firstLine="3150" w:firstLineChars="1500"/>
        <w:jc w:val="left"/>
        <w:textAlignment w:val="auto"/>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日期：</w:t>
      </w:r>
    </w:p>
    <w:p w14:paraId="0FF7DD8F">
      <w:pPr>
        <w:spacing w:line="520" w:lineRule="exact"/>
        <w:ind w:left="-10" w:firstLine="455" w:firstLineChars="217"/>
        <w:jc w:val="left"/>
        <w:rPr>
          <w:color w:val="auto"/>
        </w:rPr>
      </w:pPr>
    </w:p>
    <w:p w14:paraId="00562722">
      <w:pPr>
        <w:spacing w:line="520" w:lineRule="exact"/>
        <w:ind w:left="-10" w:firstLine="455" w:firstLineChars="217"/>
        <w:jc w:val="left"/>
        <w:rPr>
          <w:color w:val="auto"/>
        </w:rPr>
      </w:pPr>
    </w:p>
    <w:p w14:paraId="28BC21A2">
      <w:pPr>
        <w:spacing w:line="520" w:lineRule="exact"/>
        <w:ind w:left="-10" w:firstLine="455" w:firstLineChars="217"/>
        <w:jc w:val="left"/>
        <w:rPr>
          <w:color w:val="auto"/>
        </w:rPr>
      </w:pPr>
    </w:p>
    <w:p w14:paraId="0EDFFD1C">
      <w:pPr>
        <w:spacing w:line="520" w:lineRule="exact"/>
        <w:ind w:left="-10" w:firstLine="455" w:firstLineChars="217"/>
        <w:jc w:val="left"/>
        <w:rPr>
          <w:color w:val="auto"/>
        </w:rPr>
      </w:pPr>
    </w:p>
    <w:p w14:paraId="52AF725E">
      <w:pPr>
        <w:spacing w:line="520" w:lineRule="exact"/>
        <w:ind w:left="-10" w:firstLine="455" w:firstLineChars="217"/>
        <w:jc w:val="left"/>
        <w:rPr>
          <w:color w:val="auto"/>
        </w:rPr>
      </w:pPr>
    </w:p>
    <w:p w14:paraId="4726E699">
      <w:pPr>
        <w:spacing w:line="520" w:lineRule="exact"/>
        <w:ind w:left="-10" w:firstLine="455" w:firstLineChars="217"/>
        <w:jc w:val="left"/>
        <w:rPr>
          <w:color w:val="auto"/>
        </w:rPr>
      </w:pPr>
    </w:p>
    <w:p w14:paraId="1BF52D86">
      <w:pPr>
        <w:spacing w:line="520" w:lineRule="exact"/>
        <w:ind w:left="-10" w:firstLine="455" w:firstLineChars="217"/>
        <w:jc w:val="left"/>
        <w:rPr>
          <w:color w:val="auto"/>
        </w:rPr>
      </w:pPr>
    </w:p>
    <w:p w14:paraId="6C88896E">
      <w:pPr>
        <w:spacing w:line="520" w:lineRule="exact"/>
        <w:ind w:left="-10" w:firstLine="455" w:firstLineChars="217"/>
        <w:jc w:val="left"/>
        <w:rPr>
          <w:color w:val="auto"/>
        </w:rPr>
      </w:pPr>
    </w:p>
    <w:p w14:paraId="77A47946">
      <w:pPr>
        <w:spacing w:line="520" w:lineRule="exact"/>
        <w:ind w:left="-10" w:firstLine="455" w:firstLineChars="217"/>
        <w:jc w:val="left"/>
        <w:rPr>
          <w:color w:val="auto"/>
        </w:rPr>
      </w:pPr>
    </w:p>
    <w:p w14:paraId="55E01017">
      <w:pPr>
        <w:spacing w:line="520" w:lineRule="exact"/>
        <w:ind w:left="-10" w:firstLine="455" w:firstLineChars="217"/>
        <w:jc w:val="left"/>
        <w:rPr>
          <w:color w:val="auto"/>
        </w:rPr>
      </w:pPr>
    </w:p>
    <w:p w14:paraId="636516E0">
      <w:pPr>
        <w:spacing w:line="520" w:lineRule="exact"/>
        <w:ind w:left="-10" w:firstLine="523" w:firstLineChars="217"/>
        <w:jc w:val="left"/>
        <w:rPr>
          <w:rFonts w:hint="eastAsia" w:ascii="宋体" w:hAnsi="宋体"/>
          <w:b/>
          <w:color w:val="auto"/>
          <w:sz w:val="24"/>
        </w:rPr>
      </w:pPr>
    </w:p>
    <w:p w14:paraId="40953AD1">
      <w:pPr>
        <w:pStyle w:val="5"/>
        <w:rPr>
          <w:rFonts w:hint="eastAsia"/>
          <w:color w:val="auto"/>
        </w:rPr>
      </w:pPr>
    </w:p>
    <w:p w14:paraId="1D32EC18">
      <w:pPr>
        <w:spacing w:line="520" w:lineRule="exact"/>
        <w:ind w:left="-10" w:firstLine="523" w:firstLineChars="217"/>
        <w:jc w:val="left"/>
        <w:rPr>
          <w:rFonts w:hint="eastAsia" w:ascii="宋体" w:hAnsi="宋体"/>
          <w:b/>
          <w:color w:val="auto"/>
          <w:sz w:val="24"/>
        </w:rPr>
      </w:pPr>
    </w:p>
    <w:p w14:paraId="222649DB">
      <w:pPr>
        <w:spacing w:line="520" w:lineRule="exact"/>
        <w:ind w:left="-10" w:firstLine="523" w:firstLineChars="217"/>
        <w:jc w:val="left"/>
        <w:rPr>
          <w:color w:val="auto"/>
        </w:rPr>
      </w:pPr>
      <w:r>
        <w:rPr>
          <w:rFonts w:hint="eastAsia" w:ascii="宋体" w:hAnsi="宋体"/>
          <w:b/>
          <w:color w:val="auto"/>
          <w:sz w:val="24"/>
        </w:rPr>
        <w:t>格式</w:t>
      </w:r>
      <w:r>
        <w:rPr>
          <w:rFonts w:hint="eastAsia" w:ascii="宋体" w:hAnsi="宋体"/>
          <w:b/>
          <w:color w:val="auto"/>
          <w:sz w:val="24"/>
          <w:lang w:eastAsia="zh-CN"/>
        </w:rPr>
        <w:t>七</w:t>
      </w:r>
      <w:r>
        <w:rPr>
          <w:rFonts w:hint="eastAsia" w:ascii="宋体" w:hAnsi="宋体"/>
          <w:b/>
          <w:color w:val="auto"/>
          <w:sz w:val="24"/>
        </w:rPr>
        <w:t>：</w:t>
      </w:r>
    </w:p>
    <w:p w14:paraId="6CA6DC1D">
      <w:pPr>
        <w:spacing w:line="520" w:lineRule="exact"/>
        <w:ind w:left="-10" w:firstLine="523" w:firstLineChars="217"/>
        <w:jc w:val="center"/>
        <w:rPr>
          <w:rFonts w:ascii="宋体" w:hAnsi="宋体"/>
          <w:b/>
          <w:color w:val="auto"/>
          <w:sz w:val="24"/>
        </w:rPr>
      </w:pPr>
      <w:r>
        <w:rPr>
          <w:rFonts w:hint="eastAsia" w:ascii="宋体" w:hAnsi="宋体"/>
          <w:b/>
          <w:color w:val="auto"/>
          <w:sz w:val="24"/>
        </w:rPr>
        <w:t>安全防护、文明施工措施方案的承诺书</w:t>
      </w:r>
    </w:p>
    <w:p w14:paraId="5AFD8508">
      <w:pPr>
        <w:spacing w:line="520" w:lineRule="exact"/>
        <w:ind w:left="-10" w:firstLine="523" w:firstLineChars="217"/>
        <w:jc w:val="center"/>
        <w:rPr>
          <w:rFonts w:ascii="宋体" w:hAnsi="宋体"/>
          <w:b/>
          <w:color w:val="auto"/>
          <w:sz w:val="24"/>
        </w:rPr>
      </w:pPr>
    </w:p>
    <w:p w14:paraId="2A2A6985">
      <w:pPr>
        <w:spacing w:line="480" w:lineRule="auto"/>
        <w:jc w:val="left"/>
        <w:rPr>
          <w:color w:val="auto"/>
        </w:rPr>
      </w:pPr>
      <w:r>
        <w:rPr>
          <w:rFonts w:hint="eastAsia" w:hAnsi="宋体" w:cs="宋体"/>
          <w:color w:val="auto"/>
        </w:rPr>
        <w:t>致</w:t>
      </w:r>
      <w:r>
        <w:rPr>
          <w:rFonts w:hint="eastAsia" w:hAnsi="宋体" w:cs="宋体"/>
          <w:color w:val="auto"/>
          <w:u w:val="single"/>
        </w:rPr>
        <w:t>（采购人名称）</w:t>
      </w:r>
      <w:r>
        <w:rPr>
          <w:rFonts w:hint="eastAsia" w:hAnsi="宋体" w:cs="宋体"/>
          <w:color w:val="auto"/>
        </w:rPr>
        <w:t>：</w:t>
      </w:r>
    </w:p>
    <w:p w14:paraId="7BEFB17D">
      <w:pPr>
        <w:spacing w:line="480" w:lineRule="auto"/>
        <w:ind w:firstLine="422" w:firstLineChars="201"/>
        <w:jc w:val="left"/>
        <w:rPr>
          <w:color w:val="auto"/>
        </w:rPr>
      </w:pPr>
      <w:r>
        <w:rPr>
          <w:rFonts w:hint="eastAsia" w:hAnsi="宋体" w:cs="宋体"/>
          <w:color w:val="auto"/>
        </w:rPr>
        <w:t>根据桂建质</w:t>
      </w:r>
      <w:r>
        <w:rPr>
          <w:rFonts w:hAnsi="宋体" w:cs="宋体"/>
          <w:color w:val="auto"/>
        </w:rPr>
        <w:t>[2015]16</w:t>
      </w:r>
      <w:r>
        <w:rPr>
          <w:rFonts w:hint="eastAsia" w:hAnsi="宋体" w:cs="宋体"/>
          <w:color w:val="auto"/>
        </w:rPr>
        <w:t>号文件规定，我方在此向采购人承诺：</w:t>
      </w:r>
    </w:p>
    <w:p w14:paraId="75EB9C1E">
      <w:pPr>
        <w:spacing w:line="480" w:lineRule="auto"/>
        <w:ind w:left="-10" w:firstLine="455" w:firstLineChars="217"/>
        <w:jc w:val="left"/>
        <w:rPr>
          <w:color w:val="auto"/>
        </w:rPr>
      </w:pPr>
      <w:r>
        <w:rPr>
          <w:rFonts w:hAnsi="宋体" w:cs="宋体"/>
          <w:color w:val="auto"/>
        </w:rPr>
        <w:t>1</w:t>
      </w:r>
      <w:r>
        <w:rPr>
          <w:rFonts w:hint="eastAsia" w:hAnsi="宋体" w:cs="宋体"/>
          <w:color w:val="auto"/>
        </w:rPr>
        <w:t>、我方参与磋商的</w:t>
      </w:r>
      <w:r>
        <w:rPr>
          <w:rFonts w:hint="eastAsia" w:hAnsi="宋体" w:cs="宋体"/>
          <w:color w:val="auto"/>
          <w:u w:val="single"/>
        </w:rPr>
        <w:t xml:space="preserve">（工程名称） </w:t>
      </w:r>
      <w:r>
        <w:rPr>
          <w:rFonts w:hint="eastAsia" w:hAnsi="宋体" w:cs="宋体"/>
          <w:color w:val="auto"/>
        </w:rPr>
        <w:t>项目，一旦成交，我方保证在施工过程中，严格执行《广西壮族自治区建筑工程安全防护、文明施工措施费及使用管理细则》（桂建质</w:t>
      </w:r>
      <w:r>
        <w:rPr>
          <w:rFonts w:hAnsi="宋体" w:cs="宋体"/>
          <w:color w:val="auto"/>
        </w:rPr>
        <w:t>[2015]16</w:t>
      </w:r>
      <w:r>
        <w:rPr>
          <w:rFonts w:hint="eastAsia" w:hAnsi="宋体" w:cs="宋体"/>
          <w:color w:val="auto"/>
        </w:rPr>
        <w:t>号文）的有关规定，确保建设工程各项安全防护、文明施工措施落实到位。</w:t>
      </w:r>
    </w:p>
    <w:p w14:paraId="1DED3FF2">
      <w:pPr>
        <w:spacing w:line="480" w:lineRule="auto"/>
        <w:ind w:left="-10" w:firstLine="455" w:firstLineChars="217"/>
        <w:jc w:val="left"/>
        <w:rPr>
          <w:color w:val="auto"/>
        </w:rPr>
      </w:pPr>
      <w:r>
        <w:rPr>
          <w:rFonts w:hAnsi="宋体" w:cs="宋体"/>
          <w:color w:val="auto"/>
        </w:rPr>
        <w:t>2</w:t>
      </w:r>
      <w:r>
        <w:rPr>
          <w:rFonts w:hint="eastAsia" w:hAnsi="宋体" w:cs="宋体"/>
          <w:color w:val="auto"/>
        </w:rPr>
        <w:t>、如我方在承包的</w:t>
      </w:r>
      <w:r>
        <w:rPr>
          <w:rFonts w:hint="eastAsia" w:hAnsi="宋体" w:cs="宋体"/>
          <w:color w:val="auto"/>
          <w:u w:val="single"/>
        </w:rPr>
        <w:t>（工程名称）</w:t>
      </w:r>
      <w:r>
        <w:rPr>
          <w:rFonts w:hint="eastAsia" w:hAnsi="宋体" w:cs="宋体"/>
          <w:color w:val="auto"/>
        </w:rPr>
        <w:t>项目中出现未按桂建质</w:t>
      </w:r>
      <w:r>
        <w:rPr>
          <w:rFonts w:hAnsi="宋体" w:cs="宋体"/>
          <w:color w:val="auto"/>
        </w:rPr>
        <w:t>[2015]16</w:t>
      </w:r>
      <w:r>
        <w:rPr>
          <w:rFonts w:hint="eastAsia" w:hAnsi="宋体" w:cs="宋体"/>
          <w:color w:val="auto"/>
        </w:rPr>
        <w:t>号文附件一规定执行的情形，我方愿意按照相关规定接受采购人及有关主管部门的处罚。</w:t>
      </w:r>
    </w:p>
    <w:p w14:paraId="3713291D">
      <w:pPr>
        <w:spacing w:line="360" w:lineRule="auto"/>
        <w:ind w:left="-2" w:leftChars="-1" w:firstLine="449" w:firstLineChars="214"/>
        <w:jc w:val="left"/>
        <w:rPr>
          <w:color w:val="auto"/>
        </w:rPr>
      </w:pPr>
    </w:p>
    <w:p w14:paraId="231AF367">
      <w:pPr>
        <w:spacing w:line="360" w:lineRule="auto"/>
        <w:jc w:val="left"/>
        <w:rPr>
          <w:color w:val="auto"/>
        </w:rPr>
      </w:pPr>
    </w:p>
    <w:p w14:paraId="49840500">
      <w:pPr>
        <w:spacing w:line="360" w:lineRule="auto"/>
        <w:jc w:val="left"/>
        <w:rPr>
          <w:color w:val="auto"/>
        </w:rPr>
      </w:pPr>
    </w:p>
    <w:p w14:paraId="454E12BD">
      <w:pPr>
        <w:keepNext w:val="0"/>
        <w:keepLines w:val="0"/>
        <w:pageBreakBefore w:val="0"/>
        <w:widowControl/>
        <w:suppressLineNumbers w:val="0"/>
        <w:kinsoku/>
        <w:wordWrap/>
        <w:overflowPunct/>
        <w:topLinePunct w:val="0"/>
        <w:autoSpaceDE/>
        <w:autoSpaceDN/>
        <w:bidi w:val="0"/>
        <w:adjustRightInd/>
        <w:snapToGrid/>
        <w:spacing w:line="440" w:lineRule="exact"/>
        <w:ind w:firstLine="3150" w:firstLineChars="15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val="en-US" w:eastAsia="zh-CN" w:bidi="ar"/>
        </w:rPr>
        <w:t>供应商名称</w:t>
      </w:r>
      <w:r>
        <w:rPr>
          <w:rFonts w:hint="eastAsia" w:ascii="仿宋_GB2312" w:hAnsi="仿宋" w:eastAsia="仿宋_GB2312" w:cs="仿宋_GB2312"/>
          <w:color w:val="auto"/>
          <w:kern w:val="0"/>
          <w:sz w:val="21"/>
          <w:szCs w:val="21"/>
          <w:highlight w:val="none"/>
        </w:rPr>
        <w:t>（电子签章）</w:t>
      </w:r>
      <w:r>
        <w:rPr>
          <w:rFonts w:hint="eastAsia" w:ascii="仿宋_GB2312" w:hAnsi="仿宋_GB2312" w:eastAsia="仿宋_GB2312" w:cs="仿宋_GB2312"/>
          <w:color w:val="auto"/>
          <w:kern w:val="0"/>
          <w:sz w:val="21"/>
          <w:szCs w:val="21"/>
          <w:lang w:val="en-US" w:eastAsia="zh-CN" w:bidi="ar"/>
        </w:rPr>
        <w:t xml:space="preserve">： </w:t>
      </w:r>
    </w:p>
    <w:p w14:paraId="47CE9FC4">
      <w:pPr>
        <w:keepNext w:val="0"/>
        <w:keepLines w:val="0"/>
        <w:pageBreakBefore w:val="0"/>
        <w:tabs>
          <w:tab w:val="left" w:pos="7560"/>
        </w:tabs>
        <w:kinsoku/>
        <w:wordWrap/>
        <w:overflowPunct/>
        <w:topLinePunct w:val="0"/>
        <w:autoSpaceDE/>
        <w:autoSpaceDN/>
        <w:bidi w:val="0"/>
        <w:adjustRightInd/>
        <w:snapToGrid/>
        <w:spacing w:line="440" w:lineRule="exact"/>
        <w:ind w:firstLine="3150" w:firstLineChars="1500"/>
        <w:jc w:val="left"/>
        <w:textAlignment w:val="auto"/>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日期：</w:t>
      </w:r>
    </w:p>
    <w:p w14:paraId="1F3CC33E">
      <w:pPr>
        <w:spacing w:line="520" w:lineRule="exact"/>
        <w:ind w:left="-10" w:firstLine="455" w:firstLineChars="217"/>
        <w:jc w:val="left"/>
        <w:rPr>
          <w:color w:val="auto"/>
        </w:rPr>
      </w:pPr>
    </w:p>
    <w:p w14:paraId="109F56EC">
      <w:pPr>
        <w:spacing w:line="520" w:lineRule="exact"/>
        <w:ind w:left="-10" w:firstLine="455" w:firstLineChars="217"/>
        <w:jc w:val="left"/>
        <w:rPr>
          <w:color w:val="auto"/>
        </w:rPr>
      </w:pPr>
    </w:p>
    <w:p w14:paraId="1BAC2139">
      <w:pPr>
        <w:spacing w:line="520" w:lineRule="exact"/>
        <w:ind w:left="-10" w:firstLine="455" w:firstLineChars="217"/>
        <w:jc w:val="left"/>
        <w:rPr>
          <w:color w:val="auto"/>
        </w:rPr>
      </w:pPr>
    </w:p>
    <w:p w14:paraId="7EB7977E">
      <w:pPr>
        <w:spacing w:line="520" w:lineRule="exact"/>
        <w:ind w:left="-10" w:firstLine="455" w:firstLineChars="217"/>
        <w:jc w:val="left"/>
        <w:rPr>
          <w:color w:val="auto"/>
        </w:rPr>
      </w:pPr>
    </w:p>
    <w:p w14:paraId="0499DBCD">
      <w:pPr>
        <w:spacing w:line="520" w:lineRule="exact"/>
        <w:ind w:left="-10" w:firstLine="455" w:firstLineChars="217"/>
        <w:jc w:val="left"/>
        <w:rPr>
          <w:color w:val="auto"/>
        </w:rPr>
      </w:pPr>
    </w:p>
    <w:p w14:paraId="439BA16B">
      <w:pPr>
        <w:spacing w:line="520" w:lineRule="exact"/>
        <w:ind w:left="-10" w:firstLine="455" w:firstLineChars="217"/>
        <w:jc w:val="left"/>
        <w:rPr>
          <w:color w:val="auto"/>
        </w:rPr>
      </w:pPr>
      <w:r>
        <w:rPr>
          <w:color w:val="auto"/>
        </w:rPr>
        <w:br w:type="page"/>
      </w:r>
      <w:bookmarkEnd w:id="249"/>
      <w:r>
        <w:rPr>
          <w:rFonts w:hint="eastAsia" w:ascii="宋体" w:hAnsi="宋体"/>
          <w:b/>
          <w:color w:val="auto"/>
          <w:sz w:val="24"/>
        </w:rPr>
        <w:t>格式</w:t>
      </w:r>
      <w:r>
        <w:rPr>
          <w:rFonts w:hint="eastAsia" w:ascii="宋体" w:hAnsi="宋体"/>
          <w:b/>
          <w:color w:val="auto"/>
          <w:sz w:val="24"/>
          <w:lang w:val="en-US" w:eastAsia="zh-CN"/>
        </w:rPr>
        <w:t>八</w:t>
      </w:r>
      <w:r>
        <w:rPr>
          <w:rFonts w:hint="eastAsia" w:ascii="宋体" w:hAnsi="宋体"/>
          <w:b/>
          <w:color w:val="auto"/>
          <w:sz w:val="24"/>
        </w:rPr>
        <w:t>：</w:t>
      </w:r>
    </w:p>
    <w:p w14:paraId="1F82D7C0">
      <w:pPr>
        <w:spacing w:line="520" w:lineRule="exact"/>
        <w:jc w:val="center"/>
        <w:rPr>
          <w:rFonts w:ascii="仿宋_GB2312" w:hAnsi="仿宋_GB2312" w:eastAsia="仿宋_GB2312" w:cs="仿宋_GB2312"/>
          <w:color w:val="auto"/>
          <w:sz w:val="32"/>
          <w:szCs w:val="32"/>
        </w:rPr>
      </w:pPr>
      <w:r>
        <w:rPr>
          <w:rFonts w:hint="eastAsia" w:ascii="方正小标宋简体" w:hAnsi="方正小标宋简体" w:eastAsia="方正小标宋简体" w:cs="方正小标宋简体"/>
          <w:color w:val="auto"/>
          <w:sz w:val="44"/>
          <w:szCs w:val="44"/>
        </w:rPr>
        <w:t>中小企业声明函</w:t>
      </w:r>
    </w:p>
    <w:p w14:paraId="18B032CD">
      <w:pPr>
        <w:spacing w:line="520" w:lineRule="exact"/>
        <w:rPr>
          <w:rFonts w:ascii="仿宋_GB2312" w:hAnsi="仿宋_GB2312" w:eastAsia="仿宋_GB2312" w:cs="仿宋_GB2312"/>
          <w:color w:val="auto"/>
          <w:sz w:val="32"/>
          <w:szCs w:val="32"/>
        </w:rPr>
      </w:pPr>
    </w:p>
    <w:p w14:paraId="5BD70A64">
      <w:pPr>
        <w:autoSpaceDE w:val="0"/>
        <w:autoSpaceDN w:val="0"/>
        <w:adjustRightInd w:val="0"/>
        <w:jc w:val="center"/>
        <w:rPr>
          <w:rFonts w:ascii="宋体" w:hAnsi="宋体" w:cs="宋体"/>
          <w:color w:val="auto"/>
          <w:kern w:val="0"/>
          <w:szCs w:val="21"/>
        </w:rPr>
      </w:pPr>
    </w:p>
    <w:p w14:paraId="343FBCE8">
      <w:pPr>
        <w:autoSpaceDE w:val="0"/>
        <w:autoSpaceDN w:val="0"/>
        <w:adjustRightInd w:val="0"/>
        <w:spacing w:line="360" w:lineRule="auto"/>
        <w:ind w:firstLine="484" w:firstLineChars="202"/>
        <w:jc w:val="left"/>
        <w:rPr>
          <w:rFonts w:ascii="宋体" w:hAnsi="宋体" w:cs="仿宋"/>
          <w:color w:val="auto"/>
          <w:kern w:val="0"/>
          <w:sz w:val="24"/>
        </w:rPr>
      </w:pPr>
      <w:r>
        <w:rPr>
          <w:rFonts w:hint="eastAsia" w:ascii="宋体" w:hAnsi="宋体" w:cs="仿宋"/>
          <w:color w:val="auto"/>
          <w:kern w:val="0"/>
          <w:sz w:val="24"/>
        </w:rPr>
        <w:t>本公司（联合体）郑重声明，根据《政府采购促进中小企业发展管理办法》（财库</w:t>
      </w:r>
      <w:r>
        <w:rPr>
          <w:rFonts w:hint="eastAsia" w:ascii="宋体" w:hAnsi="宋体" w:cs="宋体"/>
          <w:color w:val="auto"/>
          <w:kern w:val="0"/>
          <w:sz w:val="24"/>
        </w:rPr>
        <w:t>﹝</w:t>
      </w:r>
      <w:r>
        <w:rPr>
          <w:rFonts w:ascii="宋体" w:hAnsi="宋体" w:cs="仿宋"/>
          <w:color w:val="auto"/>
          <w:kern w:val="0"/>
          <w:sz w:val="24"/>
        </w:rPr>
        <w:t>2020</w:t>
      </w:r>
      <w:r>
        <w:rPr>
          <w:rFonts w:hint="eastAsia" w:ascii="宋体" w:hAnsi="宋体" w:cs="宋体"/>
          <w:color w:val="auto"/>
          <w:kern w:val="0"/>
          <w:sz w:val="24"/>
        </w:rPr>
        <w:t>﹞</w:t>
      </w:r>
      <w:r>
        <w:rPr>
          <w:rFonts w:ascii="宋体" w:hAnsi="宋体" w:cs="仿宋"/>
          <w:color w:val="auto"/>
          <w:kern w:val="0"/>
          <w:sz w:val="24"/>
        </w:rPr>
        <w:t xml:space="preserve">46 </w:t>
      </w:r>
      <w:r>
        <w:rPr>
          <w:rFonts w:hint="eastAsia" w:ascii="宋体" w:hAnsi="宋体" w:cs="仿宋"/>
          <w:color w:val="auto"/>
          <w:kern w:val="0"/>
          <w:sz w:val="24"/>
        </w:rPr>
        <w:t>号）的规定，本公司（联合体）参加</w:t>
      </w:r>
      <w:r>
        <w:rPr>
          <w:rFonts w:hint="eastAsia" w:ascii="宋体" w:hAnsi="宋体" w:cs="仿宋"/>
          <w:color w:val="auto"/>
          <w:kern w:val="0"/>
          <w:sz w:val="24"/>
          <w:u w:val="single"/>
        </w:rPr>
        <w:t>（单位名称）</w:t>
      </w:r>
      <w:r>
        <w:rPr>
          <w:rFonts w:hint="eastAsia" w:ascii="宋体" w:hAnsi="宋体" w:cs="仿宋"/>
          <w:color w:val="auto"/>
          <w:kern w:val="0"/>
          <w:sz w:val="24"/>
        </w:rPr>
        <w:t>的</w:t>
      </w:r>
      <w:r>
        <w:rPr>
          <w:rFonts w:hint="eastAsia" w:ascii="宋体" w:hAnsi="宋体" w:cs="仿宋"/>
          <w:color w:val="auto"/>
          <w:kern w:val="0"/>
          <w:sz w:val="24"/>
          <w:u w:val="single"/>
        </w:rPr>
        <w:t>（项目名称）</w:t>
      </w:r>
      <w:r>
        <w:rPr>
          <w:rFonts w:hint="eastAsia" w:ascii="宋体" w:hAnsi="宋体" w:cs="仿宋"/>
          <w:color w:val="auto"/>
          <w:kern w:val="0"/>
          <w:sz w:val="24"/>
        </w:rPr>
        <w:t>采购活动，工程的施工单位全部由符合政策要求的中小企业承接。相关企业（含联合体中的中小企业、签订分包意向协议的中小企业）的具体情况如下：</w:t>
      </w:r>
    </w:p>
    <w:p w14:paraId="066383E9">
      <w:pPr>
        <w:autoSpaceDE w:val="0"/>
        <w:autoSpaceDN w:val="0"/>
        <w:adjustRightInd w:val="0"/>
        <w:spacing w:line="360" w:lineRule="auto"/>
        <w:ind w:firstLine="484" w:firstLineChars="202"/>
        <w:jc w:val="left"/>
        <w:rPr>
          <w:rFonts w:ascii="宋体" w:hAnsi="宋体" w:cs="仿宋"/>
          <w:color w:val="auto"/>
          <w:kern w:val="0"/>
          <w:sz w:val="24"/>
        </w:rPr>
      </w:pPr>
      <w:r>
        <w:rPr>
          <w:rFonts w:ascii="宋体" w:hAnsi="宋体" w:cs="仿宋"/>
          <w:color w:val="auto"/>
          <w:kern w:val="0"/>
          <w:sz w:val="24"/>
        </w:rPr>
        <w:t xml:space="preserve">1. </w:t>
      </w:r>
      <w:r>
        <w:rPr>
          <w:rFonts w:hint="eastAsia" w:ascii="宋体" w:hAnsi="宋体" w:cs="仿宋"/>
          <w:color w:val="auto"/>
          <w:kern w:val="0"/>
          <w:sz w:val="24"/>
          <w:u w:val="single"/>
        </w:rPr>
        <w:t>（标的名称）</w:t>
      </w:r>
      <w:r>
        <w:rPr>
          <w:rFonts w:hint="eastAsia" w:ascii="宋体" w:hAnsi="宋体" w:cs="仿宋"/>
          <w:color w:val="auto"/>
          <w:kern w:val="0"/>
          <w:sz w:val="24"/>
        </w:rPr>
        <w:t>，属于</w:t>
      </w:r>
      <w:r>
        <w:rPr>
          <w:rFonts w:hint="eastAsia" w:ascii="宋体" w:hAnsi="宋体" w:cs="仿宋"/>
          <w:color w:val="auto"/>
          <w:kern w:val="0"/>
          <w:sz w:val="24"/>
          <w:u w:val="single"/>
        </w:rPr>
        <w:t>（竞争性磋商文件中明确的所属行业）</w:t>
      </w:r>
      <w:r>
        <w:rPr>
          <w:rFonts w:hint="eastAsia" w:ascii="宋体" w:hAnsi="宋体" w:cs="仿宋"/>
          <w:color w:val="auto"/>
          <w:kern w:val="0"/>
          <w:sz w:val="24"/>
        </w:rPr>
        <w:t>；承建（承接）单位为</w:t>
      </w:r>
      <w:r>
        <w:rPr>
          <w:rFonts w:hint="eastAsia" w:ascii="宋体" w:hAnsi="宋体" w:cs="仿宋"/>
          <w:color w:val="auto"/>
          <w:kern w:val="0"/>
          <w:sz w:val="24"/>
          <w:u w:val="single"/>
        </w:rPr>
        <w:t>（企业名称）</w:t>
      </w:r>
      <w:r>
        <w:rPr>
          <w:rFonts w:hint="eastAsia" w:ascii="宋体" w:hAnsi="宋体" w:cs="仿宋"/>
          <w:color w:val="auto"/>
          <w:kern w:val="0"/>
          <w:sz w:val="24"/>
        </w:rPr>
        <w:t>，从业人员</w:t>
      </w:r>
      <w:r>
        <w:rPr>
          <w:rFonts w:hint="eastAsia" w:ascii="宋体" w:hAnsi="宋体" w:cs="仿宋"/>
          <w:color w:val="auto"/>
          <w:kern w:val="0"/>
          <w:sz w:val="24"/>
          <w:u w:val="single"/>
          <w:lang w:val="en-US" w:eastAsia="zh-CN"/>
        </w:rPr>
        <w:t xml:space="preserve">  </w:t>
      </w:r>
      <w:r>
        <w:rPr>
          <w:rFonts w:hint="eastAsia" w:ascii="宋体" w:hAnsi="宋体" w:cs="仿宋"/>
          <w:color w:val="auto"/>
          <w:kern w:val="0"/>
          <w:sz w:val="24"/>
        </w:rPr>
        <w:t>人，营业收入为</w:t>
      </w:r>
      <w:r>
        <w:rPr>
          <w:rFonts w:hint="eastAsia" w:ascii="宋体" w:hAnsi="宋体" w:cs="仿宋"/>
          <w:color w:val="auto"/>
          <w:kern w:val="0"/>
          <w:sz w:val="24"/>
          <w:u w:val="single"/>
          <w:lang w:val="en-US" w:eastAsia="zh-CN"/>
        </w:rPr>
        <w:t xml:space="preserve">  </w:t>
      </w:r>
      <w:r>
        <w:rPr>
          <w:rFonts w:hint="eastAsia" w:ascii="宋体" w:hAnsi="宋体" w:cs="仿宋"/>
          <w:color w:val="auto"/>
          <w:kern w:val="0"/>
          <w:sz w:val="24"/>
        </w:rPr>
        <w:t>万元，资产总额为</w:t>
      </w:r>
      <w:r>
        <w:rPr>
          <w:rFonts w:hint="eastAsia" w:ascii="宋体" w:hAnsi="宋体" w:cs="仿宋"/>
          <w:color w:val="auto"/>
          <w:kern w:val="0"/>
          <w:sz w:val="24"/>
          <w:u w:val="single"/>
          <w:lang w:val="en-US" w:eastAsia="zh-CN"/>
        </w:rPr>
        <w:t xml:space="preserve">  </w:t>
      </w:r>
      <w:r>
        <w:rPr>
          <w:rFonts w:hint="eastAsia" w:ascii="宋体" w:hAnsi="宋体" w:cs="仿宋"/>
          <w:color w:val="auto"/>
          <w:kern w:val="0"/>
          <w:sz w:val="24"/>
        </w:rPr>
        <w:t>万元，属于</w:t>
      </w:r>
      <w:r>
        <w:rPr>
          <w:rFonts w:hint="eastAsia" w:ascii="宋体" w:hAnsi="宋体" w:cs="仿宋"/>
          <w:color w:val="auto"/>
          <w:kern w:val="0"/>
          <w:sz w:val="24"/>
          <w:u w:val="single"/>
        </w:rPr>
        <w:t>（中型企业、小型企业、微型企业）</w:t>
      </w:r>
      <w:r>
        <w:rPr>
          <w:rFonts w:hint="eastAsia" w:ascii="宋体" w:hAnsi="宋体" w:cs="仿宋"/>
          <w:color w:val="auto"/>
          <w:kern w:val="0"/>
          <w:sz w:val="24"/>
        </w:rPr>
        <w:t>；</w:t>
      </w:r>
    </w:p>
    <w:p w14:paraId="37273EE6">
      <w:pPr>
        <w:autoSpaceDE w:val="0"/>
        <w:autoSpaceDN w:val="0"/>
        <w:adjustRightInd w:val="0"/>
        <w:spacing w:line="360" w:lineRule="auto"/>
        <w:ind w:firstLine="484" w:firstLineChars="202"/>
        <w:jc w:val="left"/>
        <w:rPr>
          <w:rFonts w:ascii="宋体" w:hAnsi="宋体" w:cs="仿宋"/>
          <w:color w:val="auto"/>
          <w:kern w:val="0"/>
          <w:sz w:val="24"/>
        </w:rPr>
      </w:pPr>
      <w:r>
        <w:rPr>
          <w:rFonts w:ascii="宋体" w:hAnsi="宋体" w:cs="仿宋"/>
          <w:color w:val="auto"/>
          <w:kern w:val="0"/>
          <w:sz w:val="24"/>
        </w:rPr>
        <w:t xml:space="preserve">2. </w:t>
      </w:r>
      <w:r>
        <w:rPr>
          <w:rFonts w:hint="eastAsia" w:ascii="宋体" w:hAnsi="宋体" w:cs="仿宋"/>
          <w:color w:val="auto"/>
          <w:kern w:val="0"/>
          <w:sz w:val="24"/>
          <w:u w:val="single"/>
        </w:rPr>
        <w:t>（标的名称）</w:t>
      </w:r>
      <w:r>
        <w:rPr>
          <w:rFonts w:hint="eastAsia" w:ascii="宋体" w:hAnsi="宋体" w:cs="仿宋"/>
          <w:color w:val="auto"/>
          <w:kern w:val="0"/>
          <w:sz w:val="24"/>
        </w:rPr>
        <w:t>，属于</w:t>
      </w:r>
      <w:r>
        <w:rPr>
          <w:rFonts w:hint="eastAsia" w:ascii="宋体" w:hAnsi="宋体" w:cs="仿宋"/>
          <w:color w:val="auto"/>
          <w:kern w:val="0"/>
          <w:sz w:val="24"/>
          <w:u w:val="single"/>
        </w:rPr>
        <w:t>（竞争性磋商文件中明确的所属行业）</w:t>
      </w:r>
      <w:r>
        <w:rPr>
          <w:rFonts w:hint="eastAsia" w:ascii="宋体" w:hAnsi="宋体" w:cs="仿宋"/>
          <w:color w:val="auto"/>
          <w:kern w:val="0"/>
          <w:sz w:val="24"/>
        </w:rPr>
        <w:t>；承建（承接）单位为</w:t>
      </w:r>
      <w:r>
        <w:rPr>
          <w:rFonts w:hint="eastAsia" w:ascii="宋体" w:hAnsi="宋体" w:cs="仿宋"/>
          <w:color w:val="auto"/>
          <w:kern w:val="0"/>
          <w:sz w:val="24"/>
          <w:u w:val="single"/>
        </w:rPr>
        <w:t>（企业名称）</w:t>
      </w:r>
      <w:r>
        <w:rPr>
          <w:rFonts w:hint="eastAsia" w:ascii="宋体" w:hAnsi="宋体" w:cs="仿宋"/>
          <w:color w:val="auto"/>
          <w:kern w:val="0"/>
          <w:sz w:val="24"/>
        </w:rPr>
        <w:t>，从业人员人，营业收入为万元，资产总额为万元，属于</w:t>
      </w:r>
      <w:r>
        <w:rPr>
          <w:rFonts w:hint="eastAsia" w:ascii="宋体" w:hAnsi="宋体" w:cs="仿宋"/>
          <w:color w:val="auto"/>
          <w:kern w:val="0"/>
          <w:sz w:val="24"/>
          <w:u w:val="single"/>
        </w:rPr>
        <w:t>（中型企业、小型企业、微型企业）</w:t>
      </w:r>
      <w:r>
        <w:rPr>
          <w:rFonts w:hint="eastAsia" w:ascii="宋体" w:hAnsi="宋体" w:cs="仿宋"/>
          <w:color w:val="auto"/>
          <w:kern w:val="0"/>
          <w:sz w:val="24"/>
        </w:rPr>
        <w:t>；</w:t>
      </w:r>
    </w:p>
    <w:p w14:paraId="54C18518">
      <w:pPr>
        <w:autoSpaceDE w:val="0"/>
        <w:autoSpaceDN w:val="0"/>
        <w:adjustRightInd w:val="0"/>
        <w:spacing w:line="360" w:lineRule="auto"/>
        <w:ind w:firstLine="484" w:firstLineChars="202"/>
        <w:jc w:val="left"/>
        <w:rPr>
          <w:rFonts w:ascii="宋体" w:hAnsi="宋体" w:cs="仿宋"/>
          <w:color w:val="auto"/>
          <w:kern w:val="0"/>
          <w:sz w:val="24"/>
        </w:rPr>
      </w:pPr>
      <w:r>
        <w:rPr>
          <w:rFonts w:hint="eastAsia" w:ascii="宋体" w:hAnsi="宋体" w:cs="仿宋"/>
          <w:color w:val="auto"/>
          <w:kern w:val="0"/>
          <w:sz w:val="24"/>
        </w:rPr>
        <w:t>……</w:t>
      </w:r>
    </w:p>
    <w:p w14:paraId="6C1B0696">
      <w:pPr>
        <w:autoSpaceDE w:val="0"/>
        <w:autoSpaceDN w:val="0"/>
        <w:adjustRightInd w:val="0"/>
        <w:spacing w:line="360" w:lineRule="auto"/>
        <w:ind w:firstLine="484" w:firstLineChars="202"/>
        <w:jc w:val="left"/>
        <w:rPr>
          <w:rFonts w:ascii="宋体" w:hAnsi="宋体" w:cs="仿宋"/>
          <w:color w:val="auto"/>
          <w:kern w:val="0"/>
          <w:sz w:val="24"/>
        </w:rPr>
      </w:pPr>
      <w:r>
        <w:rPr>
          <w:rFonts w:hint="eastAsia" w:ascii="宋体" w:hAnsi="宋体" w:cs="仿宋"/>
          <w:color w:val="auto"/>
          <w:kern w:val="0"/>
          <w:sz w:val="24"/>
        </w:rPr>
        <w:t>以上企业，不属于大企业的分支机构，不存在控股股东为大企业的情形，也不存在与大企业的负责人为同一人的情形。</w:t>
      </w:r>
    </w:p>
    <w:p w14:paraId="3A0D8D93">
      <w:pPr>
        <w:autoSpaceDE w:val="0"/>
        <w:autoSpaceDN w:val="0"/>
        <w:adjustRightInd w:val="0"/>
        <w:spacing w:line="360" w:lineRule="auto"/>
        <w:ind w:firstLine="484" w:firstLineChars="202"/>
        <w:jc w:val="left"/>
        <w:rPr>
          <w:rFonts w:ascii="宋体" w:hAnsi="宋体" w:cs="仿宋"/>
          <w:color w:val="auto"/>
          <w:kern w:val="0"/>
          <w:sz w:val="24"/>
        </w:rPr>
      </w:pPr>
      <w:r>
        <w:rPr>
          <w:rFonts w:hint="eastAsia" w:ascii="宋体" w:hAnsi="宋体" w:cs="仿宋"/>
          <w:color w:val="auto"/>
          <w:kern w:val="0"/>
          <w:sz w:val="24"/>
        </w:rPr>
        <w:t>本企业对上述声明内容的真实性负责。如有虚假，将依法承担相应责任。</w:t>
      </w:r>
    </w:p>
    <w:p w14:paraId="1B6463BF">
      <w:pPr>
        <w:autoSpaceDE w:val="0"/>
        <w:autoSpaceDN w:val="0"/>
        <w:adjustRightInd w:val="0"/>
        <w:spacing w:line="360" w:lineRule="auto"/>
        <w:ind w:firstLine="484" w:firstLineChars="202"/>
        <w:jc w:val="left"/>
        <w:rPr>
          <w:rFonts w:ascii="宋体" w:hAnsi="宋体" w:cs="仿宋"/>
          <w:color w:val="auto"/>
          <w:kern w:val="0"/>
          <w:sz w:val="24"/>
        </w:rPr>
      </w:pPr>
    </w:p>
    <w:p w14:paraId="1302D12B">
      <w:pPr>
        <w:keepNext w:val="0"/>
        <w:keepLines w:val="0"/>
        <w:pageBreakBefore w:val="0"/>
        <w:widowControl/>
        <w:suppressLineNumbers w:val="0"/>
        <w:kinsoku/>
        <w:wordWrap/>
        <w:overflowPunct/>
        <w:topLinePunct w:val="0"/>
        <w:autoSpaceDE/>
        <w:autoSpaceDN/>
        <w:bidi w:val="0"/>
        <w:adjustRightInd/>
        <w:snapToGrid/>
        <w:spacing w:line="440" w:lineRule="exact"/>
        <w:ind w:firstLine="3150" w:firstLineChars="15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val="en-US" w:eastAsia="zh-CN" w:bidi="ar"/>
        </w:rPr>
        <w:t>供应商名称</w:t>
      </w:r>
      <w:r>
        <w:rPr>
          <w:rFonts w:hint="eastAsia" w:ascii="仿宋_GB2312" w:hAnsi="仿宋" w:eastAsia="仿宋_GB2312" w:cs="仿宋_GB2312"/>
          <w:color w:val="auto"/>
          <w:kern w:val="0"/>
          <w:sz w:val="21"/>
          <w:szCs w:val="21"/>
          <w:highlight w:val="none"/>
        </w:rPr>
        <w:t>（电子签章）</w:t>
      </w:r>
      <w:r>
        <w:rPr>
          <w:rFonts w:hint="eastAsia" w:ascii="仿宋_GB2312" w:hAnsi="仿宋_GB2312" w:eastAsia="仿宋_GB2312" w:cs="仿宋_GB2312"/>
          <w:color w:val="auto"/>
          <w:kern w:val="0"/>
          <w:sz w:val="21"/>
          <w:szCs w:val="21"/>
          <w:lang w:val="en-US" w:eastAsia="zh-CN" w:bidi="ar"/>
        </w:rPr>
        <w:t xml:space="preserve">： </w:t>
      </w:r>
    </w:p>
    <w:p w14:paraId="6F547235">
      <w:pPr>
        <w:keepNext w:val="0"/>
        <w:keepLines w:val="0"/>
        <w:pageBreakBefore w:val="0"/>
        <w:tabs>
          <w:tab w:val="left" w:pos="7560"/>
        </w:tabs>
        <w:kinsoku/>
        <w:wordWrap/>
        <w:overflowPunct/>
        <w:topLinePunct w:val="0"/>
        <w:autoSpaceDE/>
        <w:autoSpaceDN/>
        <w:bidi w:val="0"/>
        <w:adjustRightInd/>
        <w:snapToGrid/>
        <w:spacing w:line="440" w:lineRule="exact"/>
        <w:ind w:firstLine="3150" w:firstLineChars="1500"/>
        <w:jc w:val="left"/>
        <w:textAlignment w:val="auto"/>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日期：</w:t>
      </w:r>
    </w:p>
    <w:p w14:paraId="44A28367">
      <w:pPr>
        <w:spacing w:line="360" w:lineRule="auto"/>
        <w:ind w:firstLine="405"/>
        <w:jc w:val="left"/>
        <w:rPr>
          <w:rFonts w:ascii="宋体" w:hAnsi="宋体" w:cs="宋体"/>
          <w:color w:val="auto"/>
          <w:kern w:val="0"/>
          <w:szCs w:val="21"/>
        </w:rPr>
      </w:pPr>
    </w:p>
    <w:p w14:paraId="4E82B5D8">
      <w:pPr>
        <w:spacing w:line="360" w:lineRule="auto"/>
        <w:ind w:firstLine="405"/>
        <w:jc w:val="left"/>
        <w:rPr>
          <w:rFonts w:ascii="宋体" w:hAnsi="宋体" w:cs="宋体"/>
          <w:color w:val="auto"/>
          <w:kern w:val="0"/>
          <w:szCs w:val="21"/>
        </w:rPr>
      </w:pPr>
    </w:p>
    <w:p w14:paraId="205797E4">
      <w:pPr>
        <w:rPr>
          <w:rFonts w:ascii="宋体" w:hAnsi="宋体"/>
          <w:color w:val="auto"/>
          <w:sz w:val="24"/>
        </w:rPr>
      </w:pPr>
    </w:p>
    <w:p w14:paraId="688552AD">
      <w:pPr>
        <w:pStyle w:val="13"/>
        <w:rPr>
          <w:rFonts w:hAnsi="宋体"/>
          <w:b/>
          <w:color w:val="auto"/>
          <w:sz w:val="28"/>
          <w:szCs w:val="28"/>
        </w:rPr>
      </w:pPr>
      <w:r>
        <w:rPr>
          <w:rFonts w:hint="eastAsia" w:ascii="宋体" w:hAnsi="宋体"/>
          <w:color w:val="auto"/>
          <w:sz w:val="24"/>
        </w:rPr>
        <w:t>注：请根据国家统计局《统计上大中小微型企业划分办法（2017）》</w:t>
      </w:r>
      <w:r>
        <w:rPr>
          <w:rFonts w:hint="eastAsia" w:ascii="宋体" w:hAnsi="宋体" w:cs="宋体"/>
          <w:color w:val="auto"/>
          <w:sz w:val="24"/>
        </w:rPr>
        <w:t>及</w:t>
      </w:r>
      <w:r>
        <w:rPr>
          <w:rFonts w:hint="eastAsia" w:ascii="宋体" w:hAnsi="宋体"/>
          <w:color w:val="auto"/>
          <w:sz w:val="24"/>
        </w:rPr>
        <w:t>自己的真实情况出具《中小企业声明函》。依法享受中小企业优惠政策的，采购人或者采购代理机构在公告成交结果时，同时公告其《中小企业声明函》须真实有效，接受社会监督。</w:t>
      </w:r>
      <w:r>
        <w:rPr>
          <w:color w:val="auto"/>
        </w:rPr>
        <w:br w:type="page"/>
      </w:r>
      <w:r>
        <w:rPr>
          <w:rFonts w:hint="eastAsia" w:hAnsi="宋体"/>
          <w:b/>
          <w:color w:val="auto"/>
          <w:sz w:val="24"/>
        </w:rPr>
        <w:t>格式</w:t>
      </w:r>
      <w:r>
        <w:rPr>
          <w:rFonts w:hint="eastAsia" w:hAnsi="宋体"/>
          <w:b/>
          <w:color w:val="auto"/>
          <w:sz w:val="24"/>
          <w:lang w:val="en-US" w:eastAsia="zh-CN"/>
        </w:rPr>
        <w:t>九</w:t>
      </w:r>
      <w:r>
        <w:rPr>
          <w:rFonts w:hint="eastAsia" w:hAnsi="宋体"/>
          <w:b/>
          <w:color w:val="auto"/>
          <w:sz w:val="24"/>
        </w:rPr>
        <w:t>：</w:t>
      </w:r>
    </w:p>
    <w:p w14:paraId="7B397140">
      <w:pPr>
        <w:pStyle w:val="24"/>
        <w:spacing w:line="500" w:lineRule="exact"/>
        <w:jc w:val="center"/>
        <w:rPr>
          <w:rFonts w:ascii="Times New Roman" w:hAnsi="宋体"/>
          <w:b/>
          <w:color w:val="auto"/>
          <w:sz w:val="28"/>
          <w:szCs w:val="28"/>
        </w:rPr>
      </w:pPr>
      <w:r>
        <w:rPr>
          <w:rFonts w:hint="eastAsia" w:ascii="Times New Roman" w:hAnsi="宋体"/>
          <w:b/>
          <w:color w:val="auto"/>
          <w:sz w:val="28"/>
          <w:szCs w:val="28"/>
        </w:rPr>
        <w:t xml:space="preserve">残疾人福利性单位声明函 </w:t>
      </w:r>
    </w:p>
    <w:p w14:paraId="1A8A61A9">
      <w:pPr>
        <w:pStyle w:val="24"/>
        <w:spacing w:line="500" w:lineRule="exact"/>
        <w:ind w:firstLine="600" w:firstLineChars="250"/>
        <w:rPr>
          <w:rFonts w:hAnsi="宋体"/>
          <w:color w:val="auto"/>
          <w:sz w:val="24"/>
          <w:szCs w:val="24"/>
        </w:rPr>
      </w:pPr>
    </w:p>
    <w:p w14:paraId="293521E4">
      <w:pPr>
        <w:spacing w:line="588" w:lineRule="exact"/>
        <w:ind w:firstLine="444" w:firstLineChars="200"/>
        <w:rPr>
          <w:rFonts w:ascii="宋体" w:hAnsi="宋体"/>
          <w:color w:val="auto"/>
          <w:spacing w:val="6"/>
          <w:szCs w:val="21"/>
        </w:rPr>
      </w:pPr>
      <w:r>
        <w:rPr>
          <w:rFonts w:hint="eastAsia" w:ascii="宋体" w:hAnsi="宋体"/>
          <w:color w:val="auto"/>
          <w:spacing w:val="6"/>
          <w:szCs w:val="21"/>
        </w:rPr>
        <w:t>本单位郑重声明，根据《财政部 民政部 中国残疾人联合会关于促进残疾人就业政府采购政策的通知》（财库</w:t>
      </w:r>
      <w:r>
        <w:rPr>
          <w:rFonts w:hint="eastAsia" w:ascii="宋体" w:hAnsi="宋体"/>
          <w:color w:val="auto"/>
          <w:szCs w:val="21"/>
        </w:rPr>
        <w:t>〔2017〕 141</w:t>
      </w:r>
      <w:r>
        <w:rPr>
          <w:rFonts w:hint="eastAsia" w:ascii="宋体" w:hAnsi="宋体"/>
          <w:color w:val="auto"/>
          <w:spacing w:val="6"/>
          <w:szCs w:val="21"/>
        </w:rPr>
        <w:t>号）的规定，本单位为</w:t>
      </w:r>
      <w:r>
        <w:rPr>
          <w:rFonts w:hint="eastAsia" w:ascii="宋体" w:hAnsi="宋体"/>
          <w:color w:val="auto"/>
          <w:spacing w:val="6"/>
          <w:szCs w:val="21"/>
          <w:u w:val="single"/>
        </w:rPr>
        <w:t>(符合/不符合)</w:t>
      </w:r>
      <w:r>
        <w:rPr>
          <w:rFonts w:hint="eastAsia" w:ascii="宋体" w:hAnsi="宋体"/>
          <w:color w:val="auto"/>
          <w:spacing w:val="6"/>
          <w:szCs w:val="21"/>
        </w:rPr>
        <w:t>条件的残疾人福利性单位，且本单位参加</w:t>
      </w:r>
      <w:r>
        <w:rPr>
          <w:rFonts w:hint="eastAsia" w:ascii="宋体" w:hAnsi="宋体"/>
          <w:color w:val="auto"/>
          <w:szCs w:val="21"/>
          <w:u w:val="single"/>
        </w:rPr>
        <w:t xml:space="preserve">  （采购人名称）     </w:t>
      </w:r>
      <w:r>
        <w:rPr>
          <w:rFonts w:hint="eastAsia" w:ascii="宋体" w:hAnsi="宋体"/>
          <w:color w:val="auto"/>
          <w:spacing w:val="6"/>
          <w:szCs w:val="21"/>
        </w:rPr>
        <w:t>单位的</w:t>
      </w:r>
      <w:r>
        <w:rPr>
          <w:rFonts w:hint="eastAsia" w:ascii="宋体" w:hAnsi="宋体"/>
          <w:color w:val="auto"/>
          <w:szCs w:val="21"/>
          <w:u w:val="single"/>
        </w:rPr>
        <w:t xml:space="preserve">      （项目名称）         </w:t>
      </w:r>
      <w:r>
        <w:rPr>
          <w:rFonts w:hint="eastAsia" w:ascii="宋体" w:hAnsi="宋体"/>
          <w:color w:val="auto"/>
          <w:spacing w:val="6"/>
          <w:szCs w:val="21"/>
        </w:rPr>
        <w:t>项目采购活动提供本单位制造的工程（由本单位承担工程/提供服务），或者提供其他残疾人福利性单位制造的工程（不包括使用非残疾人福利性单位注册商标的工程）。</w:t>
      </w:r>
    </w:p>
    <w:p w14:paraId="0C3DDCE7">
      <w:pPr>
        <w:spacing w:line="588" w:lineRule="exact"/>
        <w:ind w:firstLine="444" w:firstLineChars="200"/>
        <w:rPr>
          <w:rFonts w:ascii="宋体" w:hAnsi="宋体"/>
          <w:color w:val="auto"/>
          <w:spacing w:val="6"/>
          <w:szCs w:val="21"/>
        </w:rPr>
      </w:pPr>
      <w:r>
        <w:rPr>
          <w:rFonts w:hint="eastAsia" w:ascii="宋体" w:hAnsi="宋体"/>
          <w:color w:val="auto"/>
          <w:spacing w:val="6"/>
          <w:szCs w:val="21"/>
        </w:rPr>
        <w:t>本单位对上述声明的真实性负责。如有虚假，将依法承担相应责任。</w:t>
      </w:r>
    </w:p>
    <w:p w14:paraId="261B0FA7">
      <w:pPr>
        <w:spacing w:line="588" w:lineRule="exact"/>
        <w:ind w:firstLine="444" w:firstLineChars="200"/>
        <w:rPr>
          <w:rFonts w:ascii="宋体" w:hAnsi="宋体"/>
          <w:color w:val="auto"/>
          <w:spacing w:val="6"/>
          <w:szCs w:val="21"/>
        </w:rPr>
      </w:pPr>
    </w:p>
    <w:p w14:paraId="4AC3B924">
      <w:pPr>
        <w:spacing w:line="588" w:lineRule="exact"/>
        <w:ind w:firstLine="444" w:firstLineChars="200"/>
        <w:rPr>
          <w:rFonts w:ascii="宋体" w:hAnsi="宋体"/>
          <w:color w:val="auto"/>
          <w:spacing w:val="6"/>
          <w:szCs w:val="21"/>
        </w:rPr>
      </w:pPr>
    </w:p>
    <w:p w14:paraId="2A156E4F">
      <w:pPr>
        <w:keepNext w:val="0"/>
        <w:keepLines w:val="0"/>
        <w:pageBreakBefore w:val="0"/>
        <w:widowControl/>
        <w:suppressLineNumbers w:val="0"/>
        <w:kinsoku/>
        <w:wordWrap/>
        <w:overflowPunct/>
        <w:topLinePunct w:val="0"/>
        <w:autoSpaceDE/>
        <w:autoSpaceDN/>
        <w:bidi w:val="0"/>
        <w:adjustRightInd/>
        <w:snapToGrid/>
        <w:spacing w:line="440" w:lineRule="exact"/>
        <w:ind w:firstLine="3330" w:firstLineChars="1500"/>
        <w:jc w:val="left"/>
        <w:textAlignment w:val="auto"/>
        <w:rPr>
          <w:rFonts w:hint="eastAsia" w:ascii="仿宋_GB2312" w:hAnsi="仿宋_GB2312" w:eastAsia="仿宋_GB2312" w:cs="仿宋_GB2312"/>
          <w:color w:val="auto"/>
          <w:sz w:val="21"/>
          <w:szCs w:val="21"/>
        </w:rPr>
      </w:pPr>
      <w:r>
        <w:rPr>
          <w:rFonts w:hint="eastAsia" w:ascii="宋体" w:hAnsi="宋体"/>
          <w:color w:val="auto"/>
          <w:spacing w:val="6"/>
          <w:szCs w:val="21"/>
        </w:rPr>
        <w:t xml:space="preserve">           　　   </w:t>
      </w:r>
      <w:r>
        <w:rPr>
          <w:rFonts w:hint="eastAsia" w:ascii="仿宋_GB2312" w:hAnsi="仿宋_GB2312" w:eastAsia="仿宋_GB2312" w:cs="仿宋_GB2312"/>
          <w:color w:val="auto"/>
          <w:kern w:val="0"/>
          <w:sz w:val="21"/>
          <w:szCs w:val="21"/>
          <w:lang w:val="en-US" w:eastAsia="zh-CN" w:bidi="ar"/>
        </w:rPr>
        <w:t>供应商名称</w:t>
      </w:r>
      <w:r>
        <w:rPr>
          <w:rFonts w:hint="eastAsia" w:ascii="仿宋_GB2312" w:hAnsi="仿宋" w:eastAsia="仿宋_GB2312" w:cs="仿宋_GB2312"/>
          <w:color w:val="auto"/>
          <w:kern w:val="0"/>
          <w:sz w:val="21"/>
          <w:szCs w:val="21"/>
          <w:highlight w:val="none"/>
        </w:rPr>
        <w:t>（电子签章）</w:t>
      </w:r>
      <w:r>
        <w:rPr>
          <w:rFonts w:hint="eastAsia" w:ascii="仿宋_GB2312" w:hAnsi="仿宋_GB2312" w:eastAsia="仿宋_GB2312" w:cs="仿宋_GB2312"/>
          <w:color w:val="auto"/>
          <w:kern w:val="0"/>
          <w:sz w:val="21"/>
          <w:szCs w:val="21"/>
          <w:lang w:val="en-US" w:eastAsia="zh-CN" w:bidi="ar"/>
        </w:rPr>
        <w:t xml:space="preserve">： </w:t>
      </w:r>
    </w:p>
    <w:p w14:paraId="19E4A121">
      <w:pPr>
        <w:keepNext w:val="0"/>
        <w:keepLines w:val="0"/>
        <w:pageBreakBefore w:val="0"/>
        <w:tabs>
          <w:tab w:val="left" w:pos="7560"/>
        </w:tabs>
        <w:kinsoku/>
        <w:wordWrap/>
        <w:overflowPunct/>
        <w:topLinePunct w:val="0"/>
        <w:autoSpaceDE/>
        <w:autoSpaceDN/>
        <w:bidi w:val="0"/>
        <w:adjustRightInd/>
        <w:snapToGrid/>
        <w:spacing w:line="440" w:lineRule="exact"/>
        <w:ind w:firstLine="6720" w:firstLineChars="3200"/>
        <w:jc w:val="left"/>
        <w:textAlignment w:val="auto"/>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日期：</w:t>
      </w:r>
    </w:p>
    <w:p w14:paraId="03EA3481">
      <w:pPr>
        <w:tabs>
          <w:tab w:val="left" w:pos="4860"/>
        </w:tabs>
        <w:spacing w:line="588" w:lineRule="exact"/>
        <w:ind w:right="1560" w:firstLine="444" w:firstLineChars="200"/>
        <w:jc w:val="center"/>
        <w:rPr>
          <w:rFonts w:ascii="宋体" w:hAnsi="宋体"/>
          <w:color w:val="auto"/>
          <w:spacing w:val="6"/>
          <w:szCs w:val="21"/>
        </w:rPr>
      </w:pPr>
    </w:p>
    <w:p w14:paraId="0CA18392">
      <w:pPr>
        <w:pStyle w:val="24"/>
        <w:spacing w:line="500" w:lineRule="exact"/>
        <w:rPr>
          <w:rFonts w:hAnsi="宋体"/>
          <w:b/>
          <w:color w:val="auto"/>
        </w:rPr>
      </w:pPr>
    </w:p>
    <w:p w14:paraId="34A7E3AA">
      <w:pPr>
        <w:pStyle w:val="24"/>
        <w:spacing w:line="500" w:lineRule="exact"/>
        <w:rPr>
          <w:rFonts w:hAnsi="宋体"/>
          <w:b/>
          <w:color w:val="auto"/>
        </w:rPr>
      </w:pPr>
    </w:p>
    <w:p w14:paraId="5CDAB1A9">
      <w:pPr>
        <w:pStyle w:val="24"/>
        <w:spacing w:line="500" w:lineRule="exact"/>
        <w:rPr>
          <w:rFonts w:hAnsi="宋体"/>
          <w:b/>
          <w:color w:val="auto"/>
        </w:rPr>
      </w:pPr>
    </w:p>
    <w:p w14:paraId="01E5362D">
      <w:pPr>
        <w:pStyle w:val="24"/>
        <w:spacing w:line="500" w:lineRule="exact"/>
        <w:rPr>
          <w:rFonts w:hAnsi="宋体"/>
          <w:b/>
          <w:color w:val="auto"/>
        </w:rPr>
      </w:pPr>
    </w:p>
    <w:p w14:paraId="63A63395">
      <w:pPr>
        <w:pStyle w:val="24"/>
        <w:spacing w:line="500" w:lineRule="exact"/>
        <w:rPr>
          <w:rFonts w:hAnsi="宋体"/>
          <w:b/>
          <w:color w:val="auto"/>
        </w:rPr>
      </w:pPr>
    </w:p>
    <w:p w14:paraId="42A5CC5E">
      <w:pPr>
        <w:pStyle w:val="24"/>
        <w:spacing w:line="500" w:lineRule="exact"/>
        <w:rPr>
          <w:rFonts w:hAnsi="宋体"/>
          <w:b/>
          <w:color w:val="auto"/>
        </w:rPr>
      </w:pPr>
    </w:p>
    <w:p w14:paraId="5CC7F1A6">
      <w:pPr>
        <w:pStyle w:val="24"/>
        <w:spacing w:line="500" w:lineRule="exact"/>
        <w:rPr>
          <w:rFonts w:hAnsi="宋体"/>
          <w:b/>
          <w:color w:val="auto"/>
        </w:rPr>
      </w:pPr>
    </w:p>
    <w:p w14:paraId="5A1CC021">
      <w:pPr>
        <w:pStyle w:val="24"/>
        <w:spacing w:line="500" w:lineRule="exact"/>
        <w:rPr>
          <w:rFonts w:hAnsi="宋体"/>
          <w:b/>
          <w:color w:val="auto"/>
        </w:rPr>
      </w:pPr>
    </w:p>
    <w:p w14:paraId="64E22CE2">
      <w:pPr>
        <w:pStyle w:val="24"/>
        <w:spacing w:line="500" w:lineRule="exact"/>
        <w:rPr>
          <w:rFonts w:hAnsi="宋体"/>
          <w:b/>
          <w:color w:val="auto"/>
        </w:rPr>
      </w:pPr>
    </w:p>
    <w:p w14:paraId="614A7EC4">
      <w:pPr>
        <w:pStyle w:val="24"/>
        <w:spacing w:line="500" w:lineRule="exact"/>
        <w:rPr>
          <w:rFonts w:hAnsi="宋体"/>
          <w:b/>
          <w:color w:val="auto"/>
        </w:rPr>
      </w:pPr>
    </w:p>
    <w:p w14:paraId="6D25F8FC">
      <w:pPr>
        <w:pStyle w:val="24"/>
        <w:spacing w:line="500" w:lineRule="exact"/>
        <w:rPr>
          <w:rFonts w:hAnsi="宋体"/>
          <w:b/>
          <w:color w:val="auto"/>
        </w:rPr>
      </w:pPr>
    </w:p>
    <w:p w14:paraId="2730C8BB">
      <w:pPr>
        <w:pStyle w:val="24"/>
        <w:spacing w:line="500" w:lineRule="exact"/>
        <w:rPr>
          <w:rFonts w:hAnsi="宋体"/>
          <w:b/>
          <w:color w:val="auto"/>
        </w:rPr>
      </w:pPr>
    </w:p>
    <w:p w14:paraId="608634BE">
      <w:pPr>
        <w:pStyle w:val="24"/>
        <w:spacing w:line="500" w:lineRule="exact"/>
        <w:rPr>
          <w:rFonts w:hAnsi="宋体"/>
          <w:b/>
          <w:color w:val="auto"/>
        </w:rPr>
      </w:pPr>
    </w:p>
    <w:p w14:paraId="3CFB23F7">
      <w:pPr>
        <w:spacing w:line="360" w:lineRule="exact"/>
        <w:rPr>
          <w:rFonts w:ascii="宋体" w:hAnsi="宋体" w:cs="宋体"/>
          <w:color w:val="auto"/>
        </w:rPr>
      </w:pPr>
    </w:p>
    <w:p w14:paraId="63E17DED">
      <w:pPr>
        <w:spacing w:line="360" w:lineRule="exact"/>
        <w:rPr>
          <w:rFonts w:ascii="宋体" w:hAnsi="宋体" w:cs="宋体"/>
          <w:color w:val="auto"/>
        </w:rPr>
      </w:pPr>
      <w:r>
        <w:rPr>
          <w:rFonts w:hint="eastAsia" w:ascii="宋体" w:hAnsi="宋体"/>
          <w:b/>
          <w:color w:val="auto"/>
          <w:sz w:val="24"/>
        </w:rPr>
        <w:t>格式</w:t>
      </w:r>
      <w:r>
        <w:rPr>
          <w:rFonts w:hint="eastAsia" w:hAnsi="宋体"/>
          <w:b/>
          <w:color w:val="auto"/>
          <w:sz w:val="24"/>
          <w:lang w:val="en-US" w:eastAsia="zh-CN"/>
        </w:rPr>
        <w:t>十</w:t>
      </w:r>
      <w:r>
        <w:rPr>
          <w:rFonts w:hint="eastAsia" w:ascii="宋体" w:hAnsi="宋体"/>
          <w:b/>
          <w:color w:val="auto"/>
          <w:sz w:val="24"/>
        </w:rPr>
        <w:t>：</w:t>
      </w:r>
    </w:p>
    <w:p w14:paraId="534D493B">
      <w:pPr>
        <w:adjustRightInd w:val="0"/>
        <w:spacing w:line="300" w:lineRule="auto"/>
        <w:jc w:val="center"/>
        <w:rPr>
          <w:rFonts w:ascii="宋体" w:hAnsi="宋体" w:cs="宋体"/>
          <w:b/>
          <w:color w:val="auto"/>
          <w:sz w:val="24"/>
        </w:rPr>
      </w:pPr>
      <w:r>
        <w:rPr>
          <w:rFonts w:hint="eastAsia" w:ascii="宋体" w:hAnsi="宋体" w:cs="宋体"/>
          <w:b/>
          <w:color w:val="auto"/>
          <w:sz w:val="24"/>
        </w:rPr>
        <w:t>（一）项目管理机构配备情况表</w:t>
      </w:r>
    </w:p>
    <w:tbl>
      <w:tblPr>
        <w:tblStyle w:val="45"/>
        <w:tblW w:w="0" w:type="auto"/>
        <w:jc w:val="center"/>
        <w:tblLayout w:type="fixed"/>
        <w:tblCellMar>
          <w:top w:w="0" w:type="dxa"/>
          <w:left w:w="0" w:type="dxa"/>
          <w:bottom w:w="0" w:type="dxa"/>
          <w:right w:w="0" w:type="dxa"/>
        </w:tblCellMar>
      </w:tblPr>
      <w:tblGrid>
        <w:gridCol w:w="2428"/>
        <w:gridCol w:w="1027"/>
        <w:gridCol w:w="857"/>
        <w:gridCol w:w="706"/>
        <w:gridCol w:w="808"/>
        <w:gridCol w:w="850"/>
        <w:gridCol w:w="1339"/>
        <w:gridCol w:w="1164"/>
      </w:tblGrid>
      <w:tr w14:paraId="1726440D">
        <w:tblPrEx>
          <w:tblCellMar>
            <w:top w:w="0" w:type="dxa"/>
            <w:left w:w="0" w:type="dxa"/>
            <w:bottom w:w="0" w:type="dxa"/>
            <w:right w:w="0" w:type="dxa"/>
          </w:tblCellMar>
        </w:tblPrEx>
        <w:trPr>
          <w:trHeight w:val="913" w:hRule="exact"/>
          <w:jc w:val="center"/>
        </w:trPr>
        <w:tc>
          <w:tcPr>
            <w:tcW w:w="242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E843D3E">
            <w:pPr>
              <w:adjustRightInd w:val="0"/>
              <w:spacing w:line="320" w:lineRule="exact"/>
              <w:jc w:val="center"/>
              <w:rPr>
                <w:rFonts w:ascii="宋体" w:hAnsi="宋体" w:cs="宋体"/>
                <w:color w:val="auto"/>
                <w:szCs w:val="21"/>
              </w:rPr>
            </w:pPr>
            <w:r>
              <w:rPr>
                <w:rFonts w:hint="eastAsia" w:ascii="宋体" w:hAnsi="宋体" w:cs="宋体"/>
                <w:color w:val="auto"/>
                <w:szCs w:val="21"/>
              </w:rPr>
              <w:t>工作岗位名称</w:t>
            </w:r>
          </w:p>
        </w:tc>
        <w:tc>
          <w:tcPr>
            <w:tcW w:w="102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69686454">
            <w:pPr>
              <w:adjustRightInd w:val="0"/>
              <w:spacing w:line="320" w:lineRule="exact"/>
              <w:jc w:val="center"/>
              <w:rPr>
                <w:rFonts w:ascii="宋体" w:hAnsi="宋体" w:cs="宋体"/>
                <w:color w:val="auto"/>
                <w:szCs w:val="21"/>
              </w:rPr>
            </w:pPr>
            <w:r>
              <w:rPr>
                <w:rFonts w:hint="eastAsia" w:ascii="宋体" w:hAnsi="宋体" w:cs="宋体"/>
                <w:color w:val="auto"/>
                <w:szCs w:val="21"/>
              </w:rPr>
              <w:t>姓  名</w:t>
            </w:r>
          </w:p>
        </w:tc>
        <w:tc>
          <w:tcPr>
            <w:tcW w:w="85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5988AB7E">
            <w:pPr>
              <w:adjustRightInd w:val="0"/>
              <w:spacing w:line="320" w:lineRule="exact"/>
              <w:jc w:val="center"/>
              <w:rPr>
                <w:rFonts w:ascii="宋体" w:hAnsi="宋体" w:cs="宋体"/>
                <w:color w:val="auto"/>
                <w:szCs w:val="21"/>
              </w:rPr>
            </w:pPr>
            <w:r>
              <w:rPr>
                <w:rFonts w:hint="eastAsia" w:ascii="宋体" w:hAnsi="宋体" w:cs="宋体"/>
                <w:color w:val="auto"/>
                <w:szCs w:val="21"/>
              </w:rPr>
              <w:t>性别</w:t>
            </w:r>
          </w:p>
        </w:tc>
        <w:tc>
          <w:tcPr>
            <w:tcW w:w="70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51A1B059">
            <w:pPr>
              <w:adjustRightInd w:val="0"/>
              <w:spacing w:line="320" w:lineRule="exact"/>
              <w:jc w:val="center"/>
              <w:rPr>
                <w:rFonts w:ascii="宋体" w:hAnsi="宋体" w:cs="宋体"/>
                <w:color w:val="auto"/>
                <w:szCs w:val="21"/>
              </w:rPr>
            </w:pPr>
            <w:r>
              <w:rPr>
                <w:rFonts w:hint="eastAsia" w:ascii="宋体" w:hAnsi="宋体" w:cs="宋体"/>
                <w:color w:val="auto"/>
                <w:szCs w:val="21"/>
              </w:rPr>
              <w:t>工作职责</w:t>
            </w:r>
          </w:p>
        </w:tc>
        <w:tc>
          <w:tcPr>
            <w:tcW w:w="80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4F7767AD">
            <w:pPr>
              <w:adjustRightInd w:val="0"/>
              <w:spacing w:line="320" w:lineRule="exact"/>
              <w:jc w:val="center"/>
              <w:rPr>
                <w:rFonts w:ascii="宋体" w:hAnsi="宋体" w:cs="宋体"/>
                <w:color w:val="auto"/>
                <w:szCs w:val="21"/>
              </w:rPr>
            </w:pPr>
            <w:r>
              <w:rPr>
                <w:rFonts w:hint="eastAsia" w:ascii="宋体" w:hAnsi="宋体" w:cs="宋体"/>
                <w:color w:val="auto"/>
                <w:szCs w:val="21"/>
              </w:rPr>
              <w:t>职  称</w:t>
            </w:r>
          </w:p>
        </w:tc>
        <w:tc>
          <w:tcPr>
            <w:tcW w:w="8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5D49C4DE">
            <w:pPr>
              <w:adjustRightInd w:val="0"/>
              <w:spacing w:line="320" w:lineRule="exact"/>
              <w:jc w:val="center"/>
              <w:rPr>
                <w:rFonts w:ascii="宋体" w:hAnsi="宋体" w:cs="宋体"/>
                <w:color w:val="auto"/>
                <w:szCs w:val="21"/>
              </w:rPr>
            </w:pPr>
            <w:r>
              <w:rPr>
                <w:rFonts w:hint="eastAsia" w:ascii="宋体" w:hAnsi="宋体" w:cs="宋体"/>
                <w:color w:val="auto"/>
                <w:szCs w:val="21"/>
              </w:rPr>
              <w:t>专  业</w:t>
            </w:r>
          </w:p>
        </w:tc>
        <w:tc>
          <w:tcPr>
            <w:tcW w:w="1339"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7D61C1B5">
            <w:pPr>
              <w:adjustRightInd w:val="0"/>
              <w:spacing w:line="320" w:lineRule="exact"/>
              <w:jc w:val="center"/>
              <w:rPr>
                <w:rFonts w:ascii="宋体" w:hAnsi="宋体" w:cs="宋体"/>
                <w:color w:val="auto"/>
                <w:szCs w:val="21"/>
              </w:rPr>
            </w:pPr>
            <w:r>
              <w:rPr>
                <w:rFonts w:hint="eastAsia" w:ascii="宋体" w:hAnsi="宋体" w:cs="宋体"/>
                <w:bCs/>
                <w:color w:val="auto"/>
                <w:szCs w:val="21"/>
              </w:rPr>
              <w:t>相关证书名称及编号</w:t>
            </w:r>
          </w:p>
        </w:tc>
        <w:tc>
          <w:tcPr>
            <w:tcW w:w="116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17774C8F">
            <w:pPr>
              <w:adjustRightInd w:val="0"/>
              <w:spacing w:line="320" w:lineRule="exact"/>
              <w:jc w:val="center"/>
              <w:rPr>
                <w:rFonts w:ascii="宋体" w:hAnsi="宋体" w:cs="宋体"/>
                <w:color w:val="auto"/>
                <w:szCs w:val="21"/>
              </w:rPr>
            </w:pPr>
            <w:r>
              <w:rPr>
                <w:rFonts w:hint="eastAsia" w:ascii="宋体" w:hAnsi="宋体" w:cs="宋体"/>
                <w:color w:val="auto"/>
                <w:szCs w:val="21"/>
              </w:rPr>
              <w:t>相关工作年限</w:t>
            </w:r>
          </w:p>
        </w:tc>
      </w:tr>
      <w:tr w14:paraId="326D493D">
        <w:tblPrEx>
          <w:tblCellMar>
            <w:top w:w="0" w:type="dxa"/>
            <w:left w:w="0" w:type="dxa"/>
            <w:bottom w:w="0" w:type="dxa"/>
            <w:right w:w="0" w:type="dxa"/>
          </w:tblCellMar>
        </w:tblPrEx>
        <w:trPr>
          <w:trHeight w:val="611" w:hRule="exact"/>
          <w:jc w:val="center"/>
        </w:trPr>
        <w:tc>
          <w:tcPr>
            <w:tcW w:w="2428"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51FC051D">
            <w:pPr>
              <w:adjustRightInd w:val="0"/>
              <w:spacing w:line="320" w:lineRule="exact"/>
              <w:jc w:val="center"/>
              <w:rPr>
                <w:rFonts w:ascii="宋体" w:hAnsi="宋体" w:cs="宋体"/>
                <w:color w:val="auto"/>
                <w:szCs w:val="21"/>
              </w:rPr>
            </w:pPr>
            <w:r>
              <w:rPr>
                <w:rFonts w:hint="eastAsia" w:ascii="宋体" w:hAnsi="宋体" w:cs="宋体"/>
                <w:color w:val="auto"/>
                <w:szCs w:val="21"/>
              </w:rPr>
              <w:t>1、项目经理</w:t>
            </w:r>
          </w:p>
        </w:tc>
        <w:tc>
          <w:tcPr>
            <w:tcW w:w="1027" w:type="dxa"/>
            <w:tcBorders>
              <w:top w:val="nil"/>
              <w:left w:val="nil"/>
              <w:bottom w:val="single" w:color="auto" w:sz="4" w:space="0"/>
              <w:right w:val="single" w:color="auto" w:sz="4" w:space="0"/>
            </w:tcBorders>
            <w:tcMar>
              <w:top w:w="15" w:type="dxa"/>
              <w:left w:w="15" w:type="dxa"/>
              <w:bottom w:w="0" w:type="dxa"/>
              <w:right w:w="15" w:type="dxa"/>
            </w:tcMar>
            <w:vAlign w:val="center"/>
          </w:tcPr>
          <w:p w14:paraId="6355AB2B">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857" w:type="dxa"/>
            <w:tcBorders>
              <w:top w:val="nil"/>
              <w:left w:val="nil"/>
              <w:bottom w:val="single" w:color="auto" w:sz="4" w:space="0"/>
              <w:right w:val="single" w:color="auto" w:sz="4" w:space="0"/>
            </w:tcBorders>
            <w:tcMar>
              <w:top w:w="15" w:type="dxa"/>
              <w:left w:w="15" w:type="dxa"/>
              <w:bottom w:w="0" w:type="dxa"/>
              <w:right w:w="15" w:type="dxa"/>
            </w:tcMar>
            <w:vAlign w:val="center"/>
          </w:tcPr>
          <w:p w14:paraId="2A2299F4">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706" w:type="dxa"/>
            <w:tcBorders>
              <w:top w:val="nil"/>
              <w:left w:val="nil"/>
              <w:bottom w:val="single" w:color="auto" w:sz="4" w:space="0"/>
              <w:right w:val="single" w:color="auto" w:sz="4" w:space="0"/>
            </w:tcBorders>
            <w:tcMar>
              <w:top w:w="15" w:type="dxa"/>
              <w:left w:w="15" w:type="dxa"/>
              <w:bottom w:w="0" w:type="dxa"/>
              <w:right w:w="15" w:type="dxa"/>
            </w:tcMar>
            <w:vAlign w:val="center"/>
          </w:tcPr>
          <w:p w14:paraId="65855948">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808" w:type="dxa"/>
            <w:tcBorders>
              <w:top w:val="nil"/>
              <w:left w:val="nil"/>
              <w:bottom w:val="single" w:color="auto" w:sz="4" w:space="0"/>
              <w:right w:val="single" w:color="auto" w:sz="4" w:space="0"/>
            </w:tcBorders>
            <w:tcMar>
              <w:top w:w="15" w:type="dxa"/>
              <w:left w:w="15" w:type="dxa"/>
              <w:bottom w:w="0" w:type="dxa"/>
              <w:right w:w="15" w:type="dxa"/>
            </w:tcMar>
            <w:vAlign w:val="center"/>
          </w:tcPr>
          <w:p w14:paraId="73A0862A">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850" w:type="dxa"/>
            <w:tcBorders>
              <w:top w:val="nil"/>
              <w:left w:val="nil"/>
              <w:bottom w:val="single" w:color="auto" w:sz="4" w:space="0"/>
              <w:right w:val="single" w:color="auto" w:sz="4" w:space="0"/>
            </w:tcBorders>
            <w:tcMar>
              <w:top w:w="15" w:type="dxa"/>
              <w:left w:w="15" w:type="dxa"/>
              <w:bottom w:w="0" w:type="dxa"/>
              <w:right w:w="15" w:type="dxa"/>
            </w:tcMar>
            <w:vAlign w:val="center"/>
          </w:tcPr>
          <w:p w14:paraId="271CCD00">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1339" w:type="dxa"/>
            <w:tcBorders>
              <w:top w:val="nil"/>
              <w:left w:val="nil"/>
              <w:bottom w:val="single" w:color="auto" w:sz="4" w:space="0"/>
              <w:right w:val="single" w:color="auto" w:sz="4" w:space="0"/>
            </w:tcBorders>
            <w:tcMar>
              <w:top w:w="15" w:type="dxa"/>
              <w:left w:w="15" w:type="dxa"/>
              <w:bottom w:w="0" w:type="dxa"/>
              <w:right w:w="15" w:type="dxa"/>
            </w:tcMar>
            <w:vAlign w:val="center"/>
          </w:tcPr>
          <w:p w14:paraId="4114ECDF">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1164" w:type="dxa"/>
            <w:tcBorders>
              <w:top w:val="nil"/>
              <w:left w:val="nil"/>
              <w:bottom w:val="single" w:color="auto" w:sz="4" w:space="0"/>
              <w:right w:val="single" w:color="auto" w:sz="4" w:space="0"/>
            </w:tcBorders>
            <w:tcMar>
              <w:top w:w="15" w:type="dxa"/>
              <w:left w:w="15" w:type="dxa"/>
              <w:bottom w:w="0" w:type="dxa"/>
              <w:right w:w="15" w:type="dxa"/>
            </w:tcMar>
            <w:vAlign w:val="center"/>
          </w:tcPr>
          <w:p w14:paraId="4A9BCDE8">
            <w:pPr>
              <w:adjustRightInd w:val="0"/>
              <w:spacing w:line="320" w:lineRule="exact"/>
              <w:rPr>
                <w:rFonts w:ascii="宋体" w:hAnsi="宋体" w:cs="宋体"/>
                <w:color w:val="auto"/>
                <w:szCs w:val="21"/>
              </w:rPr>
            </w:pPr>
            <w:r>
              <w:rPr>
                <w:rFonts w:hint="eastAsia" w:ascii="宋体" w:hAnsi="宋体" w:cs="宋体"/>
                <w:color w:val="auto"/>
                <w:szCs w:val="21"/>
              </w:rPr>
              <w:t>　</w:t>
            </w:r>
          </w:p>
        </w:tc>
      </w:tr>
      <w:tr w14:paraId="4997E1BD">
        <w:tblPrEx>
          <w:tblCellMar>
            <w:top w:w="0" w:type="dxa"/>
            <w:left w:w="0" w:type="dxa"/>
            <w:bottom w:w="0" w:type="dxa"/>
            <w:right w:w="0" w:type="dxa"/>
          </w:tblCellMar>
        </w:tblPrEx>
        <w:trPr>
          <w:trHeight w:val="898" w:hRule="exact"/>
          <w:jc w:val="center"/>
        </w:trPr>
        <w:tc>
          <w:tcPr>
            <w:tcW w:w="2428"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189E2C54">
            <w:pPr>
              <w:adjustRightInd w:val="0"/>
              <w:spacing w:line="320" w:lineRule="exact"/>
              <w:jc w:val="center"/>
              <w:rPr>
                <w:rFonts w:ascii="宋体" w:hAnsi="宋体" w:cs="宋体"/>
                <w:color w:val="auto"/>
                <w:szCs w:val="21"/>
              </w:rPr>
            </w:pPr>
            <w:r>
              <w:rPr>
                <w:rFonts w:hint="eastAsia" w:ascii="宋体" w:hAnsi="宋体" w:cs="宋体"/>
                <w:color w:val="auto"/>
                <w:szCs w:val="21"/>
              </w:rPr>
              <w:t>2、项目总工</w:t>
            </w:r>
          </w:p>
          <w:p w14:paraId="056C7A8E">
            <w:pPr>
              <w:adjustRightInd w:val="0"/>
              <w:spacing w:line="320" w:lineRule="exact"/>
              <w:jc w:val="center"/>
              <w:rPr>
                <w:rFonts w:ascii="宋体" w:hAnsi="宋体" w:cs="宋体"/>
                <w:color w:val="auto"/>
                <w:szCs w:val="21"/>
              </w:rPr>
            </w:pPr>
            <w:r>
              <w:rPr>
                <w:rFonts w:hint="eastAsia" w:ascii="宋体" w:hAnsi="宋体" w:cs="宋体"/>
                <w:color w:val="auto"/>
                <w:szCs w:val="21"/>
              </w:rPr>
              <w:t>（技术负责人）</w:t>
            </w:r>
          </w:p>
        </w:tc>
        <w:tc>
          <w:tcPr>
            <w:tcW w:w="1027" w:type="dxa"/>
            <w:tcBorders>
              <w:top w:val="nil"/>
              <w:left w:val="nil"/>
              <w:bottom w:val="single" w:color="auto" w:sz="4" w:space="0"/>
              <w:right w:val="single" w:color="auto" w:sz="4" w:space="0"/>
            </w:tcBorders>
            <w:tcMar>
              <w:top w:w="15" w:type="dxa"/>
              <w:left w:w="15" w:type="dxa"/>
              <w:bottom w:w="0" w:type="dxa"/>
              <w:right w:w="15" w:type="dxa"/>
            </w:tcMar>
            <w:vAlign w:val="center"/>
          </w:tcPr>
          <w:p w14:paraId="5EF4FB5F">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857" w:type="dxa"/>
            <w:tcBorders>
              <w:top w:val="nil"/>
              <w:left w:val="nil"/>
              <w:bottom w:val="single" w:color="auto" w:sz="4" w:space="0"/>
              <w:right w:val="single" w:color="auto" w:sz="4" w:space="0"/>
            </w:tcBorders>
            <w:tcMar>
              <w:top w:w="15" w:type="dxa"/>
              <w:left w:w="15" w:type="dxa"/>
              <w:bottom w:w="0" w:type="dxa"/>
              <w:right w:w="15" w:type="dxa"/>
            </w:tcMar>
            <w:vAlign w:val="center"/>
          </w:tcPr>
          <w:p w14:paraId="123946B9">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706" w:type="dxa"/>
            <w:tcBorders>
              <w:top w:val="nil"/>
              <w:left w:val="nil"/>
              <w:bottom w:val="single" w:color="auto" w:sz="4" w:space="0"/>
              <w:right w:val="single" w:color="auto" w:sz="4" w:space="0"/>
            </w:tcBorders>
            <w:tcMar>
              <w:top w:w="15" w:type="dxa"/>
              <w:left w:w="15" w:type="dxa"/>
              <w:bottom w:w="0" w:type="dxa"/>
              <w:right w:w="15" w:type="dxa"/>
            </w:tcMar>
            <w:vAlign w:val="center"/>
          </w:tcPr>
          <w:p w14:paraId="12AEE7A8">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808" w:type="dxa"/>
            <w:tcBorders>
              <w:top w:val="nil"/>
              <w:left w:val="nil"/>
              <w:bottom w:val="single" w:color="auto" w:sz="4" w:space="0"/>
              <w:right w:val="single" w:color="auto" w:sz="4" w:space="0"/>
            </w:tcBorders>
            <w:tcMar>
              <w:top w:w="15" w:type="dxa"/>
              <w:left w:w="15" w:type="dxa"/>
              <w:bottom w:w="0" w:type="dxa"/>
              <w:right w:w="15" w:type="dxa"/>
            </w:tcMar>
            <w:vAlign w:val="center"/>
          </w:tcPr>
          <w:p w14:paraId="31A1BBF2">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850" w:type="dxa"/>
            <w:tcBorders>
              <w:top w:val="nil"/>
              <w:left w:val="nil"/>
              <w:bottom w:val="single" w:color="auto" w:sz="4" w:space="0"/>
              <w:right w:val="single" w:color="auto" w:sz="4" w:space="0"/>
            </w:tcBorders>
            <w:tcMar>
              <w:top w:w="15" w:type="dxa"/>
              <w:left w:w="15" w:type="dxa"/>
              <w:bottom w:w="0" w:type="dxa"/>
              <w:right w:w="15" w:type="dxa"/>
            </w:tcMar>
            <w:vAlign w:val="center"/>
          </w:tcPr>
          <w:p w14:paraId="7C6FE5AD">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1339" w:type="dxa"/>
            <w:tcBorders>
              <w:top w:val="nil"/>
              <w:left w:val="nil"/>
              <w:bottom w:val="single" w:color="auto" w:sz="4" w:space="0"/>
              <w:right w:val="single" w:color="auto" w:sz="4" w:space="0"/>
            </w:tcBorders>
            <w:tcMar>
              <w:top w:w="15" w:type="dxa"/>
              <w:left w:w="15" w:type="dxa"/>
              <w:bottom w:w="0" w:type="dxa"/>
              <w:right w:w="15" w:type="dxa"/>
            </w:tcMar>
            <w:vAlign w:val="center"/>
          </w:tcPr>
          <w:p w14:paraId="5ACB7A3F">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1164" w:type="dxa"/>
            <w:tcBorders>
              <w:top w:val="nil"/>
              <w:left w:val="nil"/>
              <w:bottom w:val="single" w:color="auto" w:sz="4" w:space="0"/>
              <w:right w:val="single" w:color="auto" w:sz="4" w:space="0"/>
            </w:tcBorders>
            <w:tcMar>
              <w:top w:w="15" w:type="dxa"/>
              <w:left w:w="15" w:type="dxa"/>
              <w:bottom w:w="0" w:type="dxa"/>
              <w:right w:w="15" w:type="dxa"/>
            </w:tcMar>
            <w:vAlign w:val="center"/>
          </w:tcPr>
          <w:p w14:paraId="1B95EAFF">
            <w:pPr>
              <w:adjustRightInd w:val="0"/>
              <w:spacing w:line="320" w:lineRule="exact"/>
              <w:rPr>
                <w:rFonts w:ascii="宋体" w:hAnsi="宋体" w:cs="宋体"/>
                <w:color w:val="auto"/>
                <w:szCs w:val="21"/>
              </w:rPr>
            </w:pPr>
            <w:r>
              <w:rPr>
                <w:rFonts w:hint="eastAsia" w:ascii="宋体" w:hAnsi="宋体" w:cs="宋体"/>
                <w:color w:val="auto"/>
                <w:szCs w:val="21"/>
              </w:rPr>
              <w:t>　</w:t>
            </w:r>
          </w:p>
        </w:tc>
      </w:tr>
      <w:tr w14:paraId="63E19B30">
        <w:tblPrEx>
          <w:tblCellMar>
            <w:top w:w="0" w:type="dxa"/>
            <w:left w:w="0" w:type="dxa"/>
            <w:bottom w:w="0" w:type="dxa"/>
            <w:right w:w="0" w:type="dxa"/>
          </w:tblCellMar>
        </w:tblPrEx>
        <w:trPr>
          <w:trHeight w:val="611" w:hRule="exact"/>
          <w:jc w:val="center"/>
        </w:trPr>
        <w:tc>
          <w:tcPr>
            <w:tcW w:w="2428"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3BC4770F">
            <w:pPr>
              <w:adjustRightInd w:val="0"/>
              <w:spacing w:line="320" w:lineRule="exact"/>
              <w:jc w:val="center"/>
              <w:rPr>
                <w:rFonts w:ascii="宋体" w:hAnsi="宋体" w:cs="宋体"/>
                <w:color w:val="auto"/>
                <w:szCs w:val="21"/>
              </w:rPr>
            </w:pPr>
          </w:p>
        </w:tc>
        <w:tc>
          <w:tcPr>
            <w:tcW w:w="1027" w:type="dxa"/>
            <w:tcBorders>
              <w:top w:val="nil"/>
              <w:left w:val="nil"/>
              <w:bottom w:val="single" w:color="auto" w:sz="4" w:space="0"/>
              <w:right w:val="single" w:color="auto" w:sz="4" w:space="0"/>
            </w:tcBorders>
            <w:tcMar>
              <w:top w:w="15" w:type="dxa"/>
              <w:left w:w="15" w:type="dxa"/>
              <w:bottom w:w="0" w:type="dxa"/>
              <w:right w:w="15" w:type="dxa"/>
            </w:tcMar>
            <w:vAlign w:val="center"/>
          </w:tcPr>
          <w:p w14:paraId="6BA3A109">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857" w:type="dxa"/>
            <w:tcBorders>
              <w:top w:val="nil"/>
              <w:left w:val="nil"/>
              <w:bottom w:val="single" w:color="auto" w:sz="4" w:space="0"/>
              <w:right w:val="single" w:color="auto" w:sz="4" w:space="0"/>
            </w:tcBorders>
            <w:tcMar>
              <w:top w:w="15" w:type="dxa"/>
              <w:left w:w="15" w:type="dxa"/>
              <w:bottom w:w="0" w:type="dxa"/>
              <w:right w:w="15" w:type="dxa"/>
            </w:tcMar>
            <w:vAlign w:val="center"/>
          </w:tcPr>
          <w:p w14:paraId="6355F5D6">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706" w:type="dxa"/>
            <w:tcBorders>
              <w:top w:val="nil"/>
              <w:left w:val="nil"/>
              <w:bottom w:val="single" w:color="auto" w:sz="4" w:space="0"/>
              <w:right w:val="single" w:color="auto" w:sz="4" w:space="0"/>
            </w:tcBorders>
            <w:tcMar>
              <w:top w:w="15" w:type="dxa"/>
              <w:left w:w="15" w:type="dxa"/>
              <w:bottom w:w="0" w:type="dxa"/>
              <w:right w:w="15" w:type="dxa"/>
            </w:tcMar>
            <w:vAlign w:val="center"/>
          </w:tcPr>
          <w:p w14:paraId="6A09B8C9">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808" w:type="dxa"/>
            <w:tcBorders>
              <w:top w:val="nil"/>
              <w:left w:val="nil"/>
              <w:bottom w:val="single" w:color="auto" w:sz="4" w:space="0"/>
              <w:right w:val="single" w:color="auto" w:sz="4" w:space="0"/>
            </w:tcBorders>
            <w:tcMar>
              <w:top w:w="15" w:type="dxa"/>
              <w:left w:w="15" w:type="dxa"/>
              <w:bottom w:w="0" w:type="dxa"/>
              <w:right w:w="15" w:type="dxa"/>
            </w:tcMar>
            <w:vAlign w:val="center"/>
          </w:tcPr>
          <w:p w14:paraId="335C2FF3">
            <w:pPr>
              <w:pStyle w:val="172"/>
              <w:widowControl w:val="0"/>
              <w:overflowPunct/>
              <w:autoSpaceDE/>
              <w:autoSpaceDN/>
              <w:spacing w:before="0" w:line="320" w:lineRule="exact"/>
              <w:textAlignment w:val="auto"/>
              <w:rPr>
                <w:rFonts w:ascii="宋体" w:hAnsi="宋体" w:cs="宋体"/>
                <w:color w:val="auto"/>
                <w:kern w:val="2"/>
                <w:sz w:val="21"/>
                <w:szCs w:val="21"/>
              </w:rPr>
            </w:pPr>
            <w:r>
              <w:rPr>
                <w:rFonts w:hint="eastAsia" w:ascii="宋体" w:hAnsi="宋体" w:cs="宋体"/>
                <w:color w:val="auto"/>
                <w:kern w:val="2"/>
                <w:sz w:val="21"/>
                <w:szCs w:val="21"/>
              </w:rPr>
              <w:t>　</w:t>
            </w:r>
          </w:p>
        </w:tc>
        <w:tc>
          <w:tcPr>
            <w:tcW w:w="850" w:type="dxa"/>
            <w:tcBorders>
              <w:top w:val="nil"/>
              <w:left w:val="nil"/>
              <w:bottom w:val="single" w:color="auto" w:sz="4" w:space="0"/>
              <w:right w:val="single" w:color="auto" w:sz="4" w:space="0"/>
            </w:tcBorders>
            <w:tcMar>
              <w:top w:w="15" w:type="dxa"/>
              <w:left w:w="15" w:type="dxa"/>
              <w:bottom w:w="0" w:type="dxa"/>
              <w:right w:w="15" w:type="dxa"/>
            </w:tcMar>
            <w:vAlign w:val="center"/>
          </w:tcPr>
          <w:p w14:paraId="63E3D4D8">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1339" w:type="dxa"/>
            <w:tcBorders>
              <w:top w:val="nil"/>
              <w:left w:val="nil"/>
              <w:bottom w:val="single" w:color="auto" w:sz="4" w:space="0"/>
              <w:right w:val="single" w:color="auto" w:sz="4" w:space="0"/>
            </w:tcBorders>
            <w:tcMar>
              <w:top w:w="15" w:type="dxa"/>
              <w:left w:w="15" w:type="dxa"/>
              <w:bottom w:w="0" w:type="dxa"/>
              <w:right w:w="15" w:type="dxa"/>
            </w:tcMar>
            <w:vAlign w:val="center"/>
          </w:tcPr>
          <w:p w14:paraId="34EE6A24">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1164" w:type="dxa"/>
            <w:tcBorders>
              <w:top w:val="nil"/>
              <w:left w:val="nil"/>
              <w:bottom w:val="single" w:color="auto" w:sz="4" w:space="0"/>
              <w:right w:val="single" w:color="auto" w:sz="4" w:space="0"/>
            </w:tcBorders>
            <w:tcMar>
              <w:top w:w="15" w:type="dxa"/>
              <w:left w:w="15" w:type="dxa"/>
              <w:bottom w:w="0" w:type="dxa"/>
              <w:right w:w="15" w:type="dxa"/>
            </w:tcMar>
            <w:vAlign w:val="center"/>
          </w:tcPr>
          <w:p w14:paraId="6295A643">
            <w:pPr>
              <w:adjustRightInd w:val="0"/>
              <w:spacing w:line="320" w:lineRule="exact"/>
              <w:rPr>
                <w:rFonts w:ascii="宋体" w:hAnsi="宋体" w:cs="宋体"/>
                <w:color w:val="auto"/>
                <w:szCs w:val="21"/>
              </w:rPr>
            </w:pPr>
            <w:r>
              <w:rPr>
                <w:rFonts w:hint="eastAsia" w:ascii="宋体" w:hAnsi="宋体" w:cs="宋体"/>
                <w:color w:val="auto"/>
                <w:szCs w:val="21"/>
              </w:rPr>
              <w:t>　</w:t>
            </w:r>
          </w:p>
        </w:tc>
      </w:tr>
      <w:tr w14:paraId="37CE7F5C">
        <w:tblPrEx>
          <w:tblCellMar>
            <w:top w:w="0" w:type="dxa"/>
            <w:left w:w="0" w:type="dxa"/>
            <w:bottom w:w="0" w:type="dxa"/>
            <w:right w:w="0" w:type="dxa"/>
          </w:tblCellMar>
        </w:tblPrEx>
        <w:trPr>
          <w:trHeight w:val="611" w:hRule="exact"/>
          <w:jc w:val="center"/>
        </w:trPr>
        <w:tc>
          <w:tcPr>
            <w:tcW w:w="2428"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5F929D57">
            <w:pPr>
              <w:adjustRightInd w:val="0"/>
              <w:spacing w:line="320" w:lineRule="exact"/>
              <w:jc w:val="center"/>
              <w:rPr>
                <w:rFonts w:ascii="宋体" w:hAnsi="宋体" w:cs="宋体"/>
                <w:color w:val="auto"/>
                <w:szCs w:val="21"/>
              </w:rPr>
            </w:pPr>
          </w:p>
        </w:tc>
        <w:tc>
          <w:tcPr>
            <w:tcW w:w="1027" w:type="dxa"/>
            <w:tcBorders>
              <w:top w:val="nil"/>
              <w:left w:val="nil"/>
              <w:bottom w:val="single" w:color="auto" w:sz="4" w:space="0"/>
              <w:right w:val="single" w:color="auto" w:sz="4" w:space="0"/>
            </w:tcBorders>
            <w:tcMar>
              <w:top w:w="15" w:type="dxa"/>
              <w:left w:w="15" w:type="dxa"/>
              <w:bottom w:w="0" w:type="dxa"/>
              <w:right w:w="15" w:type="dxa"/>
            </w:tcMar>
            <w:vAlign w:val="center"/>
          </w:tcPr>
          <w:p w14:paraId="70FBA963">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857" w:type="dxa"/>
            <w:tcBorders>
              <w:top w:val="nil"/>
              <w:left w:val="nil"/>
              <w:bottom w:val="single" w:color="auto" w:sz="4" w:space="0"/>
              <w:right w:val="single" w:color="auto" w:sz="4" w:space="0"/>
            </w:tcBorders>
            <w:tcMar>
              <w:top w:w="15" w:type="dxa"/>
              <w:left w:w="15" w:type="dxa"/>
              <w:bottom w:w="0" w:type="dxa"/>
              <w:right w:w="15" w:type="dxa"/>
            </w:tcMar>
            <w:vAlign w:val="center"/>
          </w:tcPr>
          <w:p w14:paraId="6EFB347A">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706" w:type="dxa"/>
            <w:tcBorders>
              <w:top w:val="nil"/>
              <w:left w:val="nil"/>
              <w:bottom w:val="single" w:color="auto" w:sz="4" w:space="0"/>
              <w:right w:val="single" w:color="auto" w:sz="4" w:space="0"/>
            </w:tcBorders>
            <w:tcMar>
              <w:top w:w="15" w:type="dxa"/>
              <w:left w:w="15" w:type="dxa"/>
              <w:bottom w:w="0" w:type="dxa"/>
              <w:right w:w="15" w:type="dxa"/>
            </w:tcMar>
            <w:vAlign w:val="center"/>
          </w:tcPr>
          <w:p w14:paraId="69673C8E">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808" w:type="dxa"/>
            <w:tcBorders>
              <w:top w:val="nil"/>
              <w:left w:val="nil"/>
              <w:bottom w:val="single" w:color="auto" w:sz="4" w:space="0"/>
              <w:right w:val="single" w:color="auto" w:sz="4" w:space="0"/>
            </w:tcBorders>
            <w:tcMar>
              <w:top w:w="15" w:type="dxa"/>
              <w:left w:w="15" w:type="dxa"/>
              <w:bottom w:w="0" w:type="dxa"/>
              <w:right w:w="15" w:type="dxa"/>
            </w:tcMar>
            <w:vAlign w:val="center"/>
          </w:tcPr>
          <w:p w14:paraId="08B9255E">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850" w:type="dxa"/>
            <w:tcBorders>
              <w:top w:val="nil"/>
              <w:left w:val="nil"/>
              <w:bottom w:val="single" w:color="auto" w:sz="4" w:space="0"/>
              <w:right w:val="single" w:color="auto" w:sz="4" w:space="0"/>
            </w:tcBorders>
            <w:tcMar>
              <w:top w:w="15" w:type="dxa"/>
              <w:left w:w="15" w:type="dxa"/>
              <w:bottom w:w="0" w:type="dxa"/>
              <w:right w:w="15" w:type="dxa"/>
            </w:tcMar>
            <w:vAlign w:val="center"/>
          </w:tcPr>
          <w:p w14:paraId="6C98D4D3">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1339" w:type="dxa"/>
            <w:tcBorders>
              <w:top w:val="nil"/>
              <w:left w:val="nil"/>
              <w:bottom w:val="single" w:color="auto" w:sz="4" w:space="0"/>
              <w:right w:val="single" w:color="auto" w:sz="4" w:space="0"/>
            </w:tcBorders>
            <w:tcMar>
              <w:top w:w="15" w:type="dxa"/>
              <w:left w:w="15" w:type="dxa"/>
              <w:bottom w:w="0" w:type="dxa"/>
              <w:right w:w="15" w:type="dxa"/>
            </w:tcMar>
            <w:vAlign w:val="center"/>
          </w:tcPr>
          <w:p w14:paraId="57E74ED4">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1164" w:type="dxa"/>
            <w:tcBorders>
              <w:top w:val="nil"/>
              <w:left w:val="nil"/>
              <w:bottom w:val="single" w:color="auto" w:sz="4" w:space="0"/>
              <w:right w:val="single" w:color="auto" w:sz="4" w:space="0"/>
            </w:tcBorders>
            <w:tcMar>
              <w:top w:w="15" w:type="dxa"/>
              <w:left w:w="15" w:type="dxa"/>
              <w:bottom w:w="0" w:type="dxa"/>
              <w:right w:w="15" w:type="dxa"/>
            </w:tcMar>
            <w:vAlign w:val="center"/>
          </w:tcPr>
          <w:p w14:paraId="73B29CC5">
            <w:pPr>
              <w:adjustRightInd w:val="0"/>
              <w:spacing w:line="320" w:lineRule="exact"/>
              <w:rPr>
                <w:rFonts w:ascii="宋体" w:hAnsi="宋体" w:cs="宋体"/>
                <w:color w:val="auto"/>
                <w:szCs w:val="21"/>
              </w:rPr>
            </w:pPr>
            <w:r>
              <w:rPr>
                <w:rFonts w:hint="eastAsia" w:ascii="宋体" w:hAnsi="宋体" w:cs="宋体"/>
                <w:color w:val="auto"/>
                <w:szCs w:val="21"/>
              </w:rPr>
              <w:t>　</w:t>
            </w:r>
          </w:p>
        </w:tc>
      </w:tr>
      <w:tr w14:paraId="1EFE8C6C">
        <w:tblPrEx>
          <w:tblCellMar>
            <w:top w:w="0" w:type="dxa"/>
            <w:left w:w="0" w:type="dxa"/>
            <w:bottom w:w="0" w:type="dxa"/>
            <w:right w:w="0" w:type="dxa"/>
          </w:tblCellMar>
        </w:tblPrEx>
        <w:trPr>
          <w:trHeight w:val="611" w:hRule="exact"/>
          <w:jc w:val="center"/>
        </w:trPr>
        <w:tc>
          <w:tcPr>
            <w:tcW w:w="2428"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260A6532">
            <w:pPr>
              <w:adjustRightInd w:val="0"/>
              <w:spacing w:line="320" w:lineRule="exact"/>
              <w:jc w:val="center"/>
              <w:rPr>
                <w:rFonts w:ascii="宋体" w:hAnsi="宋体" w:cs="宋体"/>
                <w:color w:val="auto"/>
                <w:szCs w:val="21"/>
              </w:rPr>
            </w:pPr>
          </w:p>
        </w:tc>
        <w:tc>
          <w:tcPr>
            <w:tcW w:w="1027" w:type="dxa"/>
            <w:tcBorders>
              <w:top w:val="nil"/>
              <w:left w:val="nil"/>
              <w:bottom w:val="single" w:color="auto" w:sz="4" w:space="0"/>
              <w:right w:val="single" w:color="auto" w:sz="4" w:space="0"/>
            </w:tcBorders>
            <w:tcMar>
              <w:top w:w="15" w:type="dxa"/>
              <w:left w:w="15" w:type="dxa"/>
              <w:bottom w:w="0" w:type="dxa"/>
              <w:right w:w="15" w:type="dxa"/>
            </w:tcMar>
            <w:vAlign w:val="center"/>
          </w:tcPr>
          <w:p w14:paraId="400CADD5">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857" w:type="dxa"/>
            <w:tcBorders>
              <w:top w:val="nil"/>
              <w:left w:val="nil"/>
              <w:bottom w:val="single" w:color="auto" w:sz="4" w:space="0"/>
              <w:right w:val="single" w:color="auto" w:sz="4" w:space="0"/>
            </w:tcBorders>
            <w:tcMar>
              <w:top w:w="15" w:type="dxa"/>
              <w:left w:w="15" w:type="dxa"/>
              <w:bottom w:w="0" w:type="dxa"/>
              <w:right w:w="15" w:type="dxa"/>
            </w:tcMar>
            <w:vAlign w:val="center"/>
          </w:tcPr>
          <w:p w14:paraId="3EDEC0D3">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706" w:type="dxa"/>
            <w:tcBorders>
              <w:top w:val="nil"/>
              <w:left w:val="nil"/>
              <w:bottom w:val="single" w:color="auto" w:sz="4" w:space="0"/>
              <w:right w:val="single" w:color="auto" w:sz="4" w:space="0"/>
            </w:tcBorders>
            <w:tcMar>
              <w:top w:w="15" w:type="dxa"/>
              <w:left w:w="15" w:type="dxa"/>
              <w:bottom w:w="0" w:type="dxa"/>
              <w:right w:w="15" w:type="dxa"/>
            </w:tcMar>
            <w:vAlign w:val="center"/>
          </w:tcPr>
          <w:p w14:paraId="4414DBFD">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808" w:type="dxa"/>
            <w:tcBorders>
              <w:top w:val="nil"/>
              <w:left w:val="nil"/>
              <w:bottom w:val="single" w:color="auto" w:sz="4" w:space="0"/>
              <w:right w:val="single" w:color="auto" w:sz="4" w:space="0"/>
            </w:tcBorders>
            <w:tcMar>
              <w:top w:w="15" w:type="dxa"/>
              <w:left w:w="15" w:type="dxa"/>
              <w:bottom w:w="0" w:type="dxa"/>
              <w:right w:w="15" w:type="dxa"/>
            </w:tcMar>
            <w:vAlign w:val="center"/>
          </w:tcPr>
          <w:p w14:paraId="25BAA424">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850" w:type="dxa"/>
            <w:tcBorders>
              <w:top w:val="nil"/>
              <w:left w:val="nil"/>
              <w:bottom w:val="single" w:color="auto" w:sz="4" w:space="0"/>
              <w:right w:val="single" w:color="auto" w:sz="4" w:space="0"/>
            </w:tcBorders>
            <w:tcMar>
              <w:top w:w="15" w:type="dxa"/>
              <w:left w:w="15" w:type="dxa"/>
              <w:bottom w:w="0" w:type="dxa"/>
              <w:right w:w="15" w:type="dxa"/>
            </w:tcMar>
            <w:vAlign w:val="center"/>
          </w:tcPr>
          <w:p w14:paraId="587088E9">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1339" w:type="dxa"/>
            <w:tcBorders>
              <w:top w:val="nil"/>
              <w:left w:val="nil"/>
              <w:bottom w:val="single" w:color="auto" w:sz="4" w:space="0"/>
              <w:right w:val="single" w:color="auto" w:sz="4" w:space="0"/>
            </w:tcBorders>
            <w:tcMar>
              <w:top w:w="15" w:type="dxa"/>
              <w:left w:w="15" w:type="dxa"/>
              <w:bottom w:w="0" w:type="dxa"/>
              <w:right w:w="15" w:type="dxa"/>
            </w:tcMar>
            <w:vAlign w:val="center"/>
          </w:tcPr>
          <w:p w14:paraId="03E6C966">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1164" w:type="dxa"/>
            <w:tcBorders>
              <w:top w:val="nil"/>
              <w:left w:val="nil"/>
              <w:bottom w:val="single" w:color="auto" w:sz="4" w:space="0"/>
              <w:right w:val="single" w:color="auto" w:sz="4" w:space="0"/>
            </w:tcBorders>
            <w:tcMar>
              <w:top w:w="15" w:type="dxa"/>
              <w:left w:w="15" w:type="dxa"/>
              <w:bottom w:w="0" w:type="dxa"/>
              <w:right w:w="15" w:type="dxa"/>
            </w:tcMar>
            <w:vAlign w:val="center"/>
          </w:tcPr>
          <w:p w14:paraId="27AD74D0">
            <w:pPr>
              <w:adjustRightInd w:val="0"/>
              <w:spacing w:line="320" w:lineRule="exact"/>
              <w:rPr>
                <w:rFonts w:ascii="宋体" w:hAnsi="宋体" w:cs="宋体"/>
                <w:color w:val="auto"/>
                <w:szCs w:val="21"/>
              </w:rPr>
            </w:pPr>
            <w:r>
              <w:rPr>
                <w:rFonts w:hint="eastAsia" w:ascii="宋体" w:hAnsi="宋体" w:cs="宋体"/>
                <w:color w:val="auto"/>
                <w:szCs w:val="21"/>
              </w:rPr>
              <w:t>　</w:t>
            </w:r>
          </w:p>
        </w:tc>
      </w:tr>
      <w:tr w14:paraId="1F09DEF8">
        <w:tblPrEx>
          <w:tblCellMar>
            <w:top w:w="0" w:type="dxa"/>
            <w:left w:w="0" w:type="dxa"/>
            <w:bottom w:w="0" w:type="dxa"/>
            <w:right w:w="0" w:type="dxa"/>
          </w:tblCellMar>
        </w:tblPrEx>
        <w:trPr>
          <w:trHeight w:val="611" w:hRule="exact"/>
          <w:jc w:val="center"/>
        </w:trPr>
        <w:tc>
          <w:tcPr>
            <w:tcW w:w="2428"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7C7FB90F">
            <w:pPr>
              <w:adjustRightInd w:val="0"/>
              <w:spacing w:line="320" w:lineRule="exact"/>
              <w:jc w:val="center"/>
              <w:rPr>
                <w:rFonts w:ascii="宋体" w:hAnsi="宋体" w:cs="宋体"/>
                <w:color w:val="auto"/>
                <w:szCs w:val="21"/>
              </w:rPr>
            </w:pPr>
          </w:p>
        </w:tc>
        <w:tc>
          <w:tcPr>
            <w:tcW w:w="1027" w:type="dxa"/>
            <w:tcBorders>
              <w:top w:val="nil"/>
              <w:left w:val="nil"/>
              <w:bottom w:val="single" w:color="auto" w:sz="4" w:space="0"/>
              <w:right w:val="single" w:color="auto" w:sz="4" w:space="0"/>
            </w:tcBorders>
            <w:tcMar>
              <w:top w:w="15" w:type="dxa"/>
              <w:left w:w="15" w:type="dxa"/>
              <w:bottom w:w="0" w:type="dxa"/>
              <w:right w:w="15" w:type="dxa"/>
            </w:tcMar>
            <w:vAlign w:val="center"/>
          </w:tcPr>
          <w:p w14:paraId="7E55B7BF">
            <w:pPr>
              <w:adjustRightInd w:val="0"/>
              <w:spacing w:line="320" w:lineRule="exact"/>
              <w:rPr>
                <w:rFonts w:ascii="宋体" w:hAnsi="宋体" w:cs="宋体"/>
                <w:color w:val="auto"/>
                <w:szCs w:val="21"/>
              </w:rPr>
            </w:pPr>
          </w:p>
        </w:tc>
        <w:tc>
          <w:tcPr>
            <w:tcW w:w="857" w:type="dxa"/>
            <w:tcBorders>
              <w:top w:val="nil"/>
              <w:left w:val="nil"/>
              <w:bottom w:val="single" w:color="auto" w:sz="4" w:space="0"/>
              <w:right w:val="single" w:color="auto" w:sz="4" w:space="0"/>
            </w:tcBorders>
            <w:tcMar>
              <w:top w:w="15" w:type="dxa"/>
              <w:left w:w="15" w:type="dxa"/>
              <w:bottom w:w="0" w:type="dxa"/>
              <w:right w:w="15" w:type="dxa"/>
            </w:tcMar>
            <w:vAlign w:val="center"/>
          </w:tcPr>
          <w:p w14:paraId="6F253F5B">
            <w:pPr>
              <w:adjustRightInd w:val="0"/>
              <w:spacing w:line="320" w:lineRule="exact"/>
              <w:rPr>
                <w:rFonts w:ascii="宋体" w:hAnsi="宋体" w:cs="宋体"/>
                <w:color w:val="auto"/>
                <w:szCs w:val="21"/>
              </w:rPr>
            </w:pPr>
          </w:p>
        </w:tc>
        <w:tc>
          <w:tcPr>
            <w:tcW w:w="706" w:type="dxa"/>
            <w:tcBorders>
              <w:top w:val="nil"/>
              <w:left w:val="nil"/>
              <w:bottom w:val="single" w:color="auto" w:sz="4" w:space="0"/>
              <w:right w:val="single" w:color="auto" w:sz="4" w:space="0"/>
            </w:tcBorders>
            <w:tcMar>
              <w:top w:w="15" w:type="dxa"/>
              <w:left w:w="15" w:type="dxa"/>
              <w:bottom w:w="0" w:type="dxa"/>
              <w:right w:w="15" w:type="dxa"/>
            </w:tcMar>
            <w:vAlign w:val="center"/>
          </w:tcPr>
          <w:p w14:paraId="11C1ECFC">
            <w:pPr>
              <w:adjustRightInd w:val="0"/>
              <w:spacing w:line="320" w:lineRule="exact"/>
              <w:rPr>
                <w:rFonts w:ascii="宋体" w:hAnsi="宋体" w:cs="宋体"/>
                <w:color w:val="auto"/>
                <w:szCs w:val="21"/>
              </w:rPr>
            </w:pPr>
          </w:p>
        </w:tc>
        <w:tc>
          <w:tcPr>
            <w:tcW w:w="808" w:type="dxa"/>
            <w:tcBorders>
              <w:top w:val="nil"/>
              <w:left w:val="nil"/>
              <w:bottom w:val="single" w:color="auto" w:sz="4" w:space="0"/>
              <w:right w:val="single" w:color="auto" w:sz="4" w:space="0"/>
            </w:tcBorders>
            <w:tcMar>
              <w:top w:w="15" w:type="dxa"/>
              <w:left w:w="15" w:type="dxa"/>
              <w:bottom w:w="0" w:type="dxa"/>
              <w:right w:w="15" w:type="dxa"/>
            </w:tcMar>
            <w:vAlign w:val="center"/>
          </w:tcPr>
          <w:p w14:paraId="1BB17253">
            <w:pPr>
              <w:adjustRightInd w:val="0"/>
              <w:spacing w:line="320" w:lineRule="exact"/>
              <w:rPr>
                <w:rFonts w:ascii="宋体" w:hAnsi="宋体" w:cs="宋体"/>
                <w:color w:val="auto"/>
                <w:szCs w:val="21"/>
              </w:rPr>
            </w:pPr>
          </w:p>
        </w:tc>
        <w:tc>
          <w:tcPr>
            <w:tcW w:w="850" w:type="dxa"/>
            <w:tcBorders>
              <w:top w:val="nil"/>
              <w:left w:val="nil"/>
              <w:bottom w:val="single" w:color="auto" w:sz="4" w:space="0"/>
              <w:right w:val="single" w:color="auto" w:sz="4" w:space="0"/>
            </w:tcBorders>
            <w:tcMar>
              <w:top w:w="15" w:type="dxa"/>
              <w:left w:w="15" w:type="dxa"/>
              <w:bottom w:w="0" w:type="dxa"/>
              <w:right w:w="15" w:type="dxa"/>
            </w:tcMar>
            <w:vAlign w:val="center"/>
          </w:tcPr>
          <w:p w14:paraId="1E428D24">
            <w:pPr>
              <w:adjustRightInd w:val="0"/>
              <w:spacing w:line="320" w:lineRule="exact"/>
              <w:rPr>
                <w:rFonts w:ascii="宋体" w:hAnsi="宋体" w:cs="宋体"/>
                <w:color w:val="auto"/>
                <w:szCs w:val="21"/>
              </w:rPr>
            </w:pPr>
          </w:p>
        </w:tc>
        <w:tc>
          <w:tcPr>
            <w:tcW w:w="1339" w:type="dxa"/>
            <w:tcBorders>
              <w:top w:val="nil"/>
              <w:left w:val="nil"/>
              <w:bottom w:val="single" w:color="auto" w:sz="4" w:space="0"/>
              <w:right w:val="single" w:color="auto" w:sz="4" w:space="0"/>
            </w:tcBorders>
            <w:tcMar>
              <w:top w:w="15" w:type="dxa"/>
              <w:left w:w="15" w:type="dxa"/>
              <w:bottom w:w="0" w:type="dxa"/>
              <w:right w:w="15" w:type="dxa"/>
            </w:tcMar>
            <w:vAlign w:val="center"/>
          </w:tcPr>
          <w:p w14:paraId="2972126C">
            <w:pPr>
              <w:adjustRightInd w:val="0"/>
              <w:spacing w:line="320" w:lineRule="exact"/>
              <w:rPr>
                <w:rFonts w:ascii="宋体" w:hAnsi="宋体" w:cs="宋体"/>
                <w:color w:val="auto"/>
                <w:szCs w:val="21"/>
              </w:rPr>
            </w:pPr>
          </w:p>
        </w:tc>
        <w:tc>
          <w:tcPr>
            <w:tcW w:w="1164" w:type="dxa"/>
            <w:tcBorders>
              <w:top w:val="nil"/>
              <w:left w:val="nil"/>
              <w:bottom w:val="single" w:color="auto" w:sz="4" w:space="0"/>
              <w:right w:val="single" w:color="auto" w:sz="4" w:space="0"/>
            </w:tcBorders>
            <w:tcMar>
              <w:top w:w="15" w:type="dxa"/>
              <w:left w:w="15" w:type="dxa"/>
              <w:bottom w:w="0" w:type="dxa"/>
              <w:right w:w="15" w:type="dxa"/>
            </w:tcMar>
            <w:vAlign w:val="center"/>
          </w:tcPr>
          <w:p w14:paraId="5FA11C7C">
            <w:pPr>
              <w:adjustRightInd w:val="0"/>
              <w:spacing w:line="320" w:lineRule="exact"/>
              <w:rPr>
                <w:rFonts w:ascii="宋体" w:hAnsi="宋体" w:cs="宋体"/>
                <w:color w:val="auto"/>
                <w:szCs w:val="21"/>
              </w:rPr>
            </w:pPr>
          </w:p>
        </w:tc>
      </w:tr>
      <w:tr w14:paraId="433F2BB1">
        <w:tblPrEx>
          <w:tblCellMar>
            <w:top w:w="0" w:type="dxa"/>
            <w:left w:w="0" w:type="dxa"/>
            <w:bottom w:w="0" w:type="dxa"/>
            <w:right w:w="0" w:type="dxa"/>
          </w:tblCellMar>
        </w:tblPrEx>
        <w:trPr>
          <w:trHeight w:val="611" w:hRule="exact"/>
          <w:jc w:val="center"/>
        </w:trPr>
        <w:tc>
          <w:tcPr>
            <w:tcW w:w="2428"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2B8E9BA2">
            <w:pPr>
              <w:adjustRightInd w:val="0"/>
              <w:spacing w:line="320" w:lineRule="exact"/>
              <w:jc w:val="center"/>
              <w:rPr>
                <w:rFonts w:ascii="宋体" w:hAnsi="宋体" w:cs="宋体"/>
                <w:color w:val="auto"/>
                <w:szCs w:val="21"/>
              </w:rPr>
            </w:pPr>
            <w:r>
              <w:rPr>
                <w:rFonts w:hint="eastAsia" w:ascii="宋体" w:hAnsi="宋体" w:cs="宋体"/>
                <w:color w:val="auto"/>
                <w:szCs w:val="21"/>
              </w:rPr>
              <w:t>…</w:t>
            </w:r>
          </w:p>
        </w:tc>
        <w:tc>
          <w:tcPr>
            <w:tcW w:w="1027" w:type="dxa"/>
            <w:tcBorders>
              <w:top w:val="nil"/>
              <w:left w:val="nil"/>
              <w:bottom w:val="single" w:color="auto" w:sz="4" w:space="0"/>
              <w:right w:val="single" w:color="auto" w:sz="4" w:space="0"/>
            </w:tcBorders>
            <w:tcMar>
              <w:top w:w="15" w:type="dxa"/>
              <w:left w:w="15" w:type="dxa"/>
              <w:bottom w:w="0" w:type="dxa"/>
              <w:right w:w="15" w:type="dxa"/>
            </w:tcMar>
            <w:vAlign w:val="center"/>
          </w:tcPr>
          <w:p w14:paraId="4F540469">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857" w:type="dxa"/>
            <w:tcBorders>
              <w:top w:val="nil"/>
              <w:left w:val="nil"/>
              <w:bottom w:val="single" w:color="auto" w:sz="4" w:space="0"/>
              <w:right w:val="single" w:color="auto" w:sz="4" w:space="0"/>
            </w:tcBorders>
            <w:tcMar>
              <w:top w:w="15" w:type="dxa"/>
              <w:left w:w="15" w:type="dxa"/>
              <w:bottom w:w="0" w:type="dxa"/>
              <w:right w:w="15" w:type="dxa"/>
            </w:tcMar>
            <w:vAlign w:val="center"/>
          </w:tcPr>
          <w:p w14:paraId="18754130">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706" w:type="dxa"/>
            <w:tcBorders>
              <w:top w:val="nil"/>
              <w:left w:val="nil"/>
              <w:bottom w:val="single" w:color="auto" w:sz="4" w:space="0"/>
              <w:right w:val="single" w:color="auto" w:sz="4" w:space="0"/>
            </w:tcBorders>
            <w:tcMar>
              <w:top w:w="15" w:type="dxa"/>
              <w:left w:w="15" w:type="dxa"/>
              <w:bottom w:w="0" w:type="dxa"/>
              <w:right w:w="15" w:type="dxa"/>
            </w:tcMar>
            <w:vAlign w:val="center"/>
          </w:tcPr>
          <w:p w14:paraId="75CCB1D9">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808" w:type="dxa"/>
            <w:tcBorders>
              <w:top w:val="nil"/>
              <w:left w:val="nil"/>
              <w:bottom w:val="single" w:color="auto" w:sz="4" w:space="0"/>
              <w:right w:val="single" w:color="auto" w:sz="4" w:space="0"/>
            </w:tcBorders>
            <w:tcMar>
              <w:top w:w="15" w:type="dxa"/>
              <w:left w:w="15" w:type="dxa"/>
              <w:bottom w:w="0" w:type="dxa"/>
              <w:right w:w="15" w:type="dxa"/>
            </w:tcMar>
            <w:vAlign w:val="center"/>
          </w:tcPr>
          <w:p w14:paraId="04480816">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850" w:type="dxa"/>
            <w:tcBorders>
              <w:top w:val="nil"/>
              <w:left w:val="nil"/>
              <w:bottom w:val="single" w:color="auto" w:sz="4" w:space="0"/>
              <w:right w:val="single" w:color="auto" w:sz="4" w:space="0"/>
            </w:tcBorders>
            <w:tcMar>
              <w:top w:w="15" w:type="dxa"/>
              <w:left w:w="15" w:type="dxa"/>
              <w:bottom w:w="0" w:type="dxa"/>
              <w:right w:w="15" w:type="dxa"/>
            </w:tcMar>
            <w:vAlign w:val="center"/>
          </w:tcPr>
          <w:p w14:paraId="6CFAF8FC">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1339" w:type="dxa"/>
            <w:tcBorders>
              <w:top w:val="nil"/>
              <w:left w:val="nil"/>
              <w:bottom w:val="single" w:color="auto" w:sz="4" w:space="0"/>
              <w:right w:val="single" w:color="auto" w:sz="4" w:space="0"/>
            </w:tcBorders>
            <w:tcMar>
              <w:top w:w="15" w:type="dxa"/>
              <w:left w:w="15" w:type="dxa"/>
              <w:bottom w:w="0" w:type="dxa"/>
              <w:right w:w="15" w:type="dxa"/>
            </w:tcMar>
            <w:vAlign w:val="center"/>
          </w:tcPr>
          <w:p w14:paraId="03B42B8F">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1164" w:type="dxa"/>
            <w:tcBorders>
              <w:top w:val="nil"/>
              <w:left w:val="nil"/>
              <w:bottom w:val="single" w:color="auto" w:sz="4" w:space="0"/>
              <w:right w:val="single" w:color="auto" w:sz="4" w:space="0"/>
            </w:tcBorders>
            <w:tcMar>
              <w:top w:w="15" w:type="dxa"/>
              <w:left w:w="15" w:type="dxa"/>
              <w:bottom w:w="0" w:type="dxa"/>
              <w:right w:w="15" w:type="dxa"/>
            </w:tcMar>
            <w:vAlign w:val="center"/>
          </w:tcPr>
          <w:p w14:paraId="26C324CA">
            <w:pPr>
              <w:adjustRightInd w:val="0"/>
              <w:spacing w:line="320" w:lineRule="exact"/>
              <w:rPr>
                <w:rFonts w:ascii="宋体" w:hAnsi="宋体" w:cs="宋体"/>
                <w:color w:val="auto"/>
                <w:szCs w:val="21"/>
              </w:rPr>
            </w:pPr>
            <w:r>
              <w:rPr>
                <w:rFonts w:hint="eastAsia" w:ascii="宋体" w:hAnsi="宋体" w:cs="宋体"/>
                <w:color w:val="auto"/>
                <w:szCs w:val="21"/>
              </w:rPr>
              <w:t>　</w:t>
            </w:r>
          </w:p>
        </w:tc>
      </w:tr>
    </w:tbl>
    <w:p w14:paraId="30A7A426">
      <w:pPr>
        <w:pStyle w:val="24"/>
        <w:ind w:firstLine="2835" w:firstLineChars="1350"/>
        <w:rPr>
          <w:rFonts w:hAnsi="宋体"/>
          <w:color w:val="auto"/>
          <w:szCs w:val="21"/>
        </w:rPr>
      </w:pPr>
    </w:p>
    <w:p w14:paraId="7E3C3A63">
      <w:pPr>
        <w:keepNext w:val="0"/>
        <w:keepLines w:val="0"/>
        <w:pageBreakBefore w:val="0"/>
        <w:widowControl/>
        <w:suppressLineNumbers w:val="0"/>
        <w:kinsoku/>
        <w:wordWrap/>
        <w:overflowPunct/>
        <w:topLinePunct w:val="0"/>
        <w:autoSpaceDE/>
        <w:autoSpaceDN/>
        <w:bidi w:val="0"/>
        <w:adjustRightInd/>
        <w:snapToGrid/>
        <w:spacing w:line="440" w:lineRule="exact"/>
        <w:ind w:firstLine="3150" w:firstLineChars="15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val="en-US" w:eastAsia="zh-CN" w:bidi="ar"/>
        </w:rPr>
        <w:t>供应商名称</w:t>
      </w:r>
      <w:r>
        <w:rPr>
          <w:rFonts w:hint="eastAsia" w:ascii="仿宋_GB2312" w:hAnsi="仿宋" w:eastAsia="仿宋_GB2312" w:cs="仿宋_GB2312"/>
          <w:color w:val="auto"/>
          <w:kern w:val="0"/>
          <w:sz w:val="21"/>
          <w:szCs w:val="21"/>
          <w:highlight w:val="none"/>
        </w:rPr>
        <w:t>（电子签章）</w:t>
      </w:r>
      <w:r>
        <w:rPr>
          <w:rFonts w:hint="eastAsia" w:ascii="仿宋_GB2312" w:hAnsi="仿宋_GB2312" w:eastAsia="仿宋_GB2312" w:cs="仿宋_GB2312"/>
          <w:color w:val="auto"/>
          <w:kern w:val="0"/>
          <w:sz w:val="21"/>
          <w:szCs w:val="21"/>
          <w:lang w:val="en-US" w:eastAsia="zh-CN" w:bidi="ar"/>
        </w:rPr>
        <w:t xml:space="preserve">： </w:t>
      </w:r>
    </w:p>
    <w:p w14:paraId="2C58DFBF">
      <w:pPr>
        <w:keepNext w:val="0"/>
        <w:keepLines w:val="0"/>
        <w:pageBreakBefore w:val="0"/>
        <w:tabs>
          <w:tab w:val="left" w:pos="7560"/>
        </w:tabs>
        <w:kinsoku/>
        <w:wordWrap/>
        <w:overflowPunct/>
        <w:topLinePunct w:val="0"/>
        <w:autoSpaceDE/>
        <w:autoSpaceDN/>
        <w:bidi w:val="0"/>
        <w:adjustRightInd/>
        <w:snapToGrid/>
        <w:spacing w:line="440" w:lineRule="exact"/>
        <w:ind w:firstLine="3150" w:firstLineChars="1500"/>
        <w:jc w:val="left"/>
        <w:textAlignment w:val="auto"/>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日期：</w:t>
      </w:r>
    </w:p>
    <w:p w14:paraId="0C2C7310">
      <w:pPr>
        <w:spacing w:line="360" w:lineRule="auto"/>
        <w:rPr>
          <w:rFonts w:ascii="宋体" w:hAnsi="宋体" w:cs="宋体"/>
          <w:color w:val="auto"/>
          <w:szCs w:val="21"/>
        </w:rPr>
      </w:pPr>
    </w:p>
    <w:p w14:paraId="32826EE2">
      <w:pPr>
        <w:spacing w:line="360" w:lineRule="auto"/>
        <w:ind w:firstLine="420" w:firstLineChars="200"/>
        <w:rPr>
          <w:rFonts w:ascii="宋体" w:hAnsi="宋体" w:cs="宋体"/>
          <w:color w:val="auto"/>
          <w:szCs w:val="21"/>
        </w:rPr>
      </w:pPr>
      <w:r>
        <w:rPr>
          <w:rFonts w:hint="eastAsia" w:ascii="宋体" w:hAnsi="宋体" w:cs="宋体"/>
          <w:color w:val="auto"/>
          <w:szCs w:val="21"/>
        </w:rPr>
        <w:t>注：本表应附拟投入人员的身份证、岗位证（如有）、职称证（如有）、资格证书（如有）等证明材料，及供应商单位为拟投入人员所缴纳的养老保险凭证复印件（要求缴费时间为磋商截止时间前半年内连续三个月）。</w:t>
      </w:r>
    </w:p>
    <w:p w14:paraId="1C0E91DF">
      <w:pPr>
        <w:pStyle w:val="24"/>
        <w:rPr>
          <w:rFonts w:hAnsi="宋体"/>
          <w:b/>
          <w:color w:val="auto"/>
          <w:sz w:val="24"/>
          <w:szCs w:val="24"/>
        </w:rPr>
      </w:pPr>
    </w:p>
    <w:p w14:paraId="0C2B335D">
      <w:pPr>
        <w:pStyle w:val="24"/>
        <w:rPr>
          <w:rFonts w:hAnsi="宋体"/>
          <w:b/>
          <w:color w:val="auto"/>
          <w:sz w:val="24"/>
          <w:szCs w:val="24"/>
        </w:rPr>
      </w:pPr>
    </w:p>
    <w:p w14:paraId="39F5693D">
      <w:pPr>
        <w:pStyle w:val="24"/>
        <w:rPr>
          <w:rFonts w:hAnsi="宋体" w:cs="宋体"/>
          <w:color w:val="auto"/>
        </w:rPr>
      </w:pPr>
      <w:r>
        <w:rPr>
          <w:rFonts w:hAnsi="宋体"/>
          <w:b/>
          <w:color w:val="auto"/>
          <w:sz w:val="24"/>
          <w:szCs w:val="24"/>
        </w:rPr>
        <w:br w:type="page"/>
      </w:r>
      <w:r>
        <w:rPr>
          <w:rFonts w:hint="eastAsia" w:hAnsi="宋体"/>
          <w:b/>
          <w:color w:val="auto"/>
          <w:sz w:val="24"/>
        </w:rPr>
        <w:t>格式</w:t>
      </w:r>
      <w:r>
        <w:rPr>
          <w:rFonts w:hint="eastAsia" w:hAnsi="宋体"/>
          <w:b/>
          <w:color w:val="auto"/>
          <w:sz w:val="24"/>
          <w:lang w:eastAsia="zh-CN"/>
        </w:rPr>
        <w:t>十一</w:t>
      </w:r>
      <w:r>
        <w:rPr>
          <w:rFonts w:hint="eastAsia" w:hAnsi="宋体"/>
          <w:b/>
          <w:color w:val="auto"/>
          <w:sz w:val="24"/>
        </w:rPr>
        <w:t>：</w:t>
      </w:r>
    </w:p>
    <w:p w14:paraId="59873FDC">
      <w:pPr>
        <w:jc w:val="center"/>
        <w:rPr>
          <w:rFonts w:ascii="宋体" w:hAnsi="宋体" w:cs="宋体"/>
          <w:b/>
          <w:color w:val="auto"/>
          <w:sz w:val="24"/>
        </w:rPr>
      </w:pPr>
    </w:p>
    <w:p w14:paraId="51641EA2">
      <w:pPr>
        <w:jc w:val="center"/>
        <w:rPr>
          <w:rFonts w:ascii="宋体" w:hAnsi="宋体" w:cs="宋体"/>
          <w:b/>
          <w:color w:val="auto"/>
          <w:sz w:val="24"/>
        </w:rPr>
      </w:pPr>
      <w:r>
        <w:rPr>
          <w:rFonts w:hint="eastAsia" w:ascii="宋体" w:hAnsi="宋体" w:cs="宋体"/>
          <w:b/>
          <w:color w:val="auto"/>
          <w:sz w:val="24"/>
        </w:rPr>
        <w:t xml:space="preserve">拟投入本工程项目经理的简历表  </w:t>
      </w:r>
    </w:p>
    <w:p w14:paraId="0E02D7AC">
      <w:pPr>
        <w:jc w:val="center"/>
        <w:rPr>
          <w:rFonts w:ascii="宋体" w:hAnsi="宋体" w:cs="宋体"/>
          <w:b/>
          <w:color w:val="auto"/>
          <w:sz w:val="24"/>
        </w:rPr>
      </w:pPr>
    </w:p>
    <w:tbl>
      <w:tblPr>
        <w:tblStyle w:val="4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291"/>
        <w:gridCol w:w="1103"/>
        <w:gridCol w:w="885"/>
        <w:gridCol w:w="214"/>
        <w:gridCol w:w="736"/>
        <w:gridCol w:w="1222"/>
        <w:gridCol w:w="1942"/>
        <w:gridCol w:w="1223"/>
      </w:tblGrid>
      <w:tr w14:paraId="55A7A6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291" w:type="dxa"/>
            <w:tcBorders>
              <w:top w:val="single" w:color="auto" w:sz="6" w:space="0"/>
              <w:left w:val="single" w:color="auto" w:sz="6" w:space="0"/>
              <w:bottom w:val="single" w:color="auto" w:sz="6" w:space="0"/>
              <w:right w:val="single" w:color="auto" w:sz="6" w:space="0"/>
            </w:tcBorders>
            <w:vAlign w:val="center"/>
          </w:tcPr>
          <w:p w14:paraId="272E4006">
            <w:pPr>
              <w:adjustRightInd w:val="0"/>
              <w:jc w:val="center"/>
              <w:rPr>
                <w:rFonts w:ascii="宋体" w:hAnsi="宋体" w:cs="宋体"/>
                <w:color w:val="auto"/>
                <w:szCs w:val="21"/>
              </w:rPr>
            </w:pPr>
            <w:r>
              <w:rPr>
                <w:rFonts w:hint="eastAsia" w:ascii="宋体" w:hAnsi="宋体" w:cs="宋体"/>
                <w:color w:val="auto"/>
                <w:szCs w:val="21"/>
              </w:rPr>
              <w:t>姓  名</w:t>
            </w:r>
          </w:p>
        </w:tc>
        <w:tc>
          <w:tcPr>
            <w:tcW w:w="1103" w:type="dxa"/>
            <w:tcBorders>
              <w:top w:val="single" w:color="auto" w:sz="6" w:space="0"/>
              <w:left w:val="single" w:color="auto" w:sz="6" w:space="0"/>
              <w:bottom w:val="single" w:color="auto" w:sz="6" w:space="0"/>
              <w:right w:val="single" w:color="auto" w:sz="6" w:space="0"/>
            </w:tcBorders>
            <w:vAlign w:val="center"/>
          </w:tcPr>
          <w:p w14:paraId="01F4F32D">
            <w:pPr>
              <w:adjustRightInd w:val="0"/>
              <w:jc w:val="center"/>
              <w:rPr>
                <w:rFonts w:ascii="宋体" w:hAnsi="宋体" w:cs="宋体"/>
                <w:color w:val="auto"/>
                <w:szCs w:val="21"/>
              </w:rPr>
            </w:pPr>
          </w:p>
        </w:tc>
        <w:tc>
          <w:tcPr>
            <w:tcW w:w="885" w:type="dxa"/>
            <w:tcBorders>
              <w:top w:val="single" w:color="auto" w:sz="6" w:space="0"/>
              <w:left w:val="single" w:color="auto" w:sz="6" w:space="0"/>
              <w:bottom w:val="single" w:color="auto" w:sz="6" w:space="0"/>
              <w:right w:val="single" w:color="auto" w:sz="6" w:space="0"/>
            </w:tcBorders>
            <w:vAlign w:val="center"/>
          </w:tcPr>
          <w:p w14:paraId="1E505DA1">
            <w:pPr>
              <w:adjustRightInd w:val="0"/>
              <w:jc w:val="center"/>
              <w:rPr>
                <w:rFonts w:ascii="宋体" w:hAnsi="宋体" w:cs="宋体"/>
                <w:color w:val="auto"/>
                <w:szCs w:val="21"/>
              </w:rPr>
            </w:pPr>
            <w:r>
              <w:rPr>
                <w:rFonts w:hint="eastAsia" w:ascii="宋体" w:hAnsi="宋体" w:cs="宋体"/>
                <w:color w:val="auto"/>
                <w:szCs w:val="21"/>
              </w:rPr>
              <w:t>性  别</w:t>
            </w:r>
          </w:p>
        </w:tc>
        <w:tc>
          <w:tcPr>
            <w:tcW w:w="950" w:type="dxa"/>
            <w:gridSpan w:val="2"/>
            <w:tcBorders>
              <w:top w:val="single" w:color="auto" w:sz="6" w:space="0"/>
              <w:left w:val="single" w:color="auto" w:sz="6" w:space="0"/>
              <w:bottom w:val="single" w:color="auto" w:sz="6" w:space="0"/>
              <w:right w:val="single" w:color="auto" w:sz="6" w:space="0"/>
            </w:tcBorders>
            <w:vAlign w:val="center"/>
          </w:tcPr>
          <w:p w14:paraId="413B0088">
            <w:pPr>
              <w:adjustRightInd w:val="0"/>
              <w:jc w:val="center"/>
              <w:rPr>
                <w:rFonts w:ascii="宋体" w:hAnsi="宋体" w:cs="宋体"/>
                <w:color w:val="auto"/>
                <w:szCs w:val="21"/>
              </w:rPr>
            </w:pPr>
          </w:p>
        </w:tc>
        <w:tc>
          <w:tcPr>
            <w:tcW w:w="1222" w:type="dxa"/>
            <w:tcBorders>
              <w:top w:val="single" w:color="auto" w:sz="6" w:space="0"/>
              <w:left w:val="single" w:color="auto" w:sz="6" w:space="0"/>
              <w:bottom w:val="single" w:color="auto" w:sz="6" w:space="0"/>
              <w:right w:val="single" w:color="auto" w:sz="6" w:space="0"/>
            </w:tcBorders>
            <w:vAlign w:val="center"/>
          </w:tcPr>
          <w:p w14:paraId="1A3FC8B6">
            <w:pPr>
              <w:adjustRightInd w:val="0"/>
              <w:jc w:val="center"/>
              <w:rPr>
                <w:rFonts w:ascii="宋体" w:hAnsi="宋体" w:cs="宋体"/>
                <w:color w:val="auto"/>
                <w:szCs w:val="21"/>
              </w:rPr>
            </w:pPr>
            <w:r>
              <w:rPr>
                <w:rFonts w:hint="eastAsia" w:ascii="宋体" w:hAnsi="宋体" w:cs="宋体"/>
                <w:color w:val="auto"/>
                <w:szCs w:val="21"/>
              </w:rPr>
              <w:t>年  龄</w:t>
            </w:r>
          </w:p>
        </w:tc>
        <w:tc>
          <w:tcPr>
            <w:tcW w:w="3165" w:type="dxa"/>
            <w:gridSpan w:val="2"/>
            <w:tcBorders>
              <w:top w:val="single" w:color="auto" w:sz="6" w:space="0"/>
              <w:left w:val="single" w:color="auto" w:sz="6" w:space="0"/>
              <w:bottom w:val="single" w:color="auto" w:sz="6" w:space="0"/>
              <w:right w:val="single" w:color="auto" w:sz="6" w:space="0"/>
            </w:tcBorders>
            <w:vAlign w:val="center"/>
          </w:tcPr>
          <w:p w14:paraId="1DF88A01">
            <w:pPr>
              <w:adjustRightInd w:val="0"/>
              <w:jc w:val="center"/>
              <w:rPr>
                <w:rFonts w:ascii="宋体" w:hAnsi="宋体" w:cs="宋体"/>
                <w:color w:val="auto"/>
                <w:szCs w:val="21"/>
              </w:rPr>
            </w:pPr>
          </w:p>
        </w:tc>
      </w:tr>
      <w:tr w14:paraId="662141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78" w:hRule="atLeast"/>
          <w:jc w:val="center"/>
        </w:trPr>
        <w:tc>
          <w:tcPr>
            <w:tcW w:w="1291" w:type="dxa"/>
            <w:tcBorders>
              <w:top w:val="single" w:color="auto" w:sz="6" w:space="0"/>
              <w:left w:val="single" w:color="auto" w:sz="6" w:space="0"/>
              <w:bottom w:val="single" w:color="auto" w:sz="6" w:space="0"/>
              <w:right w:val="single" w:color="auto" w:sz="6" w:space="0"/>
            </w:tcBorders>
            <w:vAlign w:val="center"/>
          </w:tcPr>
          <w:p w14:paraId="2AEED1D6">
            <w:pPr>
              <w:adjustRightInd w:val="0"/>
              <w:jc w:val="center"/>
              <w:rPr>
                <w:rFonts w:ascii="宋体" w:hAnsi="宋体" w:cs="宋体"/>
                <w:color w:val="auto"/>
                <w:szCs w:val="21"/>
              </w:rPr>
            </w:pPr>
            <w:r>
              <w:rPr>
                <w:rFonts w:hint="eastAsia" w:ascii="宋体" w:hAnsi="宋体" w:cs="宋体"/>
                <w:color w:val="auto"/>
                <w:szCs w:val="21"/>
              </w:rPr>
              <w:t>职  务</w:t>
            </w:r>
          </w:p>
        </w:tc>
        <w:tc>
          <w:tcPr>
            <w:tcW w:w="1103" w:type="dxa"/>
            <w:tcBorders>
              <w:top w:val="single" w:color="auto" w:sz="6" w:space="0"/>
              <w:left w:val="single" w:color="auto" w:sz="6" w:space="0"/>
              <w:bottom w:val="single" w:color="auto" w:sz="6" w:space="0"/>
              <w:right w:val="single" w:color="auto" w:sz="6" w:space="0"/>
            </w:tcBorders>
            <w:vAlign w:val="center"/>
          </w:tcPr>
          <w:p w14:paraId="794C03A2">
            <w:pPr>
              <w:adjustRightInd w:val="0"/>
              <w:jc w:val="center"/>
              <w:rPr>
                <w:rFonts w:ascii="宋体" w:hAnsi="宋体" w:cs="宋体"/>
                <w:color w:val="auto"/>
                <w:szCs w:val="21"/>
              </w:rPr>
            </w:pPr>
          </w:p>
        </w:tc>
        <w:tc>
          <w:tcPr>
            <w:tcW w:w="885" w:type="dxa"/>
            <w:tcBorders>
              <w:top w:val="single" w:color="auto" w:sz="6" w:space="0"/>
              <w:left w:val="single" w:color="auto" w:sz="6" w:space="0"/>
              <w:bottom w:val="single" w:color="auto" w:sz="6" w:space="0"/>
              <w:right w:val="single" w:color="auto" w:sz="6" w:space="0"/>
            </w:tcBorders>
            <w:vAlign w:val="center"/>
          </w:tcPr>
          <w:p w14:paraId="690F35EE">
            <w:pPr>
              <w:adjustRightInd w:val="0"/>
              <w:jc w:val="center"/>
              <w:rPr>
                <w:rFonts w:ascii="宋体" w:hAnsi="宋体" w:cs="宋体"/>
                <w:color w:val="auto"/>
                <w:szCs w:val="21"/>
              </w:rPr>
            </w:pPr>
            <w:r>
              <w:rPr>
                <w:rFonts w:hint="eastAsia" w:ascii="宋体" w:hAnsi="宋体" w:cs="宋体"/>
                <w:color w:val="auto"/>
                <w:szCs w:val="21"/>
              </w:rPr>
              <w:t>职  称</w:t>
            </w:r>
          </w:p>
        </w:tc>
        <w:tc>
          <w:tcPr>
            <w:tcW w:w="950" w:type="dxa"/>
            <w:gridSpan w:val="2"/>
            <w:tcBorders>
              <w:top w:val="single" w:color="auto" w:sz="6" w:space="0"/>
              <w:left w:val="single" w:color="auto" w:sz="6" w:space="0"/>
              <w:bottom w:val="single" w:color="auto" w:sz="6" w:space="0"/>
              <w:right w:val="single" w:color="auto" w:sz="6" w:space="0"/>
            </w:tcBorders>
            <w:vAlign w:val="center"/>
          </w:tcPr>
          <w:p w14:paraId="674C7C32">
            <w:pPr>
              <w:adjustRightInd w:val="0"/>
              <w:jc w:val="center"/>
              <w:rPr>
                <w:rFonts w:ascii="宋体" w:hAnsi="宋体" w:cs="宋体"/>
                <w:color w:val="auto"/>
                <w:szCs w:val="21"/>
              </w:rPr>
            </w:pPr>
          </w:p>
        </w:tc>
        <w:tc>
          <w:tcPr>
            <w:tcW w:w="1222" w:type="dxa"/>
            <w:tcBorders>
              <w:top w:val="single" w:color="auto" w:sz="6" w:space="0"/>
              <w:left w:val="single" w:color="auto" w:sz="6" w:space="0"/>
              <w:bottom w:val="single" w:color="auto" w:sz="6" w:space="0"/>
              <w:right w:val="single" w:color="auto" w:sz="6" w:space="0"/>
            </w:tcBorders>
            <w:vAlign w:val="center"/>
          </w:tcPr>
          <w:p w14:paraId="5CBC35B3">
            <w:pPr>
              <w:adjustRightInd w:val="0"/>
              <w:jc w:val="center"/>
              <w:rPr>
                <w:rFonts w:ascii="宋体" w:hAnsi="宋体" w:cs="宋体"/>
                <w:color w:val="auto"/>
                <w:szCs w:val="21"/>
              </w:rPr>
            </w:pPr>
            <w:r>
              <w:rPr>
                <w:rFonts w:hint="eastAsia" w:ascii="宋体" w:hAnsi="宋体" w:cs="宋体"/>
                <w:color w:val="auto"/>
                <w:szCs w:val="21"/>
              </w:rPr>
              <w:t>学  历</w:t>
            </w:r>
          </w:p>
        </w:tc>
        <w:tc>
          <w:tcPr>
            <w:tcW w:w="3165" w:type="dxa"/>
            <w:gridSpan w:val="2"/>
            <w:tcBorders>
              <w:top w:val="single" w:color="auto" w:sz="6" w:space="0"/>
              <w:left w:val="single" w:color="auto" w:sz="6" w:space="0"/>
              <w:bottom w:val="single" w:color="auto" w:sz="6" w:space="0"/>
              <w:right w:val="single" w:color="auto" w:sz="6" w:space="0"/>
            </w:tcBorders>
            <w:vAlign w:val="center"/>
          </w:tcPr>
          <w:p w14:paraId="6C10967C">
            <w:pPr>
              <w:adjustRightInd w:val="0"/>
              <w:jc w:val="center"/>
              <w:rPr>
                <w:rFonts w:ascii="宋体" w:hAnsi="宋体" w:cs="宋体"/>
                <w:color w:val="auto"/>
                <w:szCs w:val="21"/>
              </w:rPr>
            </w:pPr>
          </w:p>
        </w:tc>
      </w:tr>
      <w:tr w14:paraId="15ECA4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9" w:hRule="atLeast"/>
          <w:jc w:val="center"/>
        </w:trPr>
        <w:tc>
          <w:tcPr>
            <w:tcW w:w="2394" w:type="dxa"/>
            <w:gridSpan w:val="2"/>
            <w:tcBorders>
              <w:top w:val="single" w:color="auto" w:sz="6" w:space="0"/>
              <w:left w:val="single" w:color="auto" w:sz="6" w:space="0"/>
              <w:bottom w:val="single" w:color="auto" w:sz="6" w:space="0"/>
              <w:right w:val="single" w:color="auto" w:sz="6" w:space="0"/>
            </w:tcBorders>
            <w:vAlign w:val="center"/>
          </w:tcPr>
          <w:p w14:paraId="0E13E3F7">
            <w:pPr>
              <w:adjustRightInd w:val="0"/>
              <w:jc w:val="center"/>
              <w:rPr>
                <w:rFonts w:ascii="宋体" w:hAnsi="宋体" w:cs="宋体"/>
                <w:color w:val="auto"/>
                <w:szCs w:val="21"/>
              </w:rPr>
            </w:pPr>
            <w:r>
              <w:rPr>
                <w:rFonts w:hint="eastAsia" w:ascii="宋体" w:hAnsi="宋体" w:cs="宋体"/>
                <w:color w:val="auto"/>
                <w:szCs w:val="21"/>
              </w:rPr>
              <w:t>执业或职业资格证书名称及编号</w:t>
            </w:r>
          </w:p>
        </w:tc>
        <w:tc>
          <w:tcPr>
            <w:tcW w:w="1835" w:type="dxa"/>
            <w:gridSpan w:val="3"/>
            <w:tcBorders>
              <w:top w:val="single" w:color="auto" w:sz="6" w:space="0"/>
              <w:left w:val="single" w:color="auto" w:sz="6" w:space="0"/>
              <w:bottom w:val="single" w:color="auto" w:sz="6" w:space="0"/>
              <w:right w:val="single" w:color="auto" w:sz="4" w:space="0"/>
            </w:tcBorders>
            <w:vAlign w:val="center"/>
          </w:tcPr>
          <w:p w14:paraId="05F281C5">
            <w:pPr>
              <w:adjustRightInd w:val="0"/>
              <w:jc w:val="center"/>
              <w:rPr>
                <w:rFonts w:ascii="宋体" w:hAnsi="宋体" w:cs="宋体"/>
                <w:color w:val="auto"/>
                <w:szCs w:val="21"/>
              </w:rPr>
            </w:pPr>
          </w:p>
        </w:tc>
        <w:tc>
          <w:tcPr>
            <w:tcW w:w="1222" w:type="dxa"/>
            <w:tcBorders>
              <w:top w:val="single" w:color="auto" w:sz="6" w:space="0"/>
              <w:left w:val="single" w:color="auto" w:sz="4" w:space="0"/>
              <w:bottom w:val="single" w:color="auto" w:sz="6" w:space="0"/>
              <w:right w:val="single" w:color="auto" w:sz="6" w:space="0"/>
            </w:tcBorders>
            <w:vAlign w:val="center"/>
          </w:tcPr>
          <w:p w14:paraId="3A263F38">
            <w:pPr>
              <w:adjustRightInd w:val="0"/>
              <w:jc w:val="center"/>
              <w:rPr>
                <w:rFonts w:ascii="宋体" w:hAnsi="宋体" w:cs="宋体"/>
                <w:color w:val="auto"/>
                <w:szCs w:val="21"/>
              </w:rPr>
            </w:pPr>
            <w:r>
              <w:rPr>
                <w:rFonts w:hint="eastAsia" w:ascii="宋体" w:hAnsi="宋体" w:cs="宋体"/>
                <w:color w:val="auto"/>
                <w:szCs w:val="21"/>
              </w:rPr>
              <w:t>拟在本合同任职</w:t>
            </w:r>
          </w:p>
        </w:tc>
        <w:tc>
          <w:tcPr>
            <w:tcW w:w="3165" w:type="dxa"/>
            <w:gridSpan w:val="2"/>
            <w:tcBorders>
              <w:top w:val="single" w:color="auto" w:sz="6" w:space="0"/>
              <w:left w:val="single" w:color="auto" w:sz="6" w:space="0"/>
              <w:bottom w:val="single" w:color="auto" w:sz="6" w:space="0"/>
              <w:right w:val="single" w:color="auto" w:sz="6" w:space="0"/>
            </w:tcBorders>
            <w:vAlign w:val="center"/>
          </w:tcPr>
          <w:p w14:paraId="1D6D545E">
            <w:pPr>
              <w:adjustRightInd w:val="0"/>
              <w:jc w:val="center"/>
              <w:rPr>
                <w:rFonts w:ascii="宋体" w:hAnsi="宋体" w:cs="宋体"/>
                <w:color w:val="auto"/>
                <w:szCs w:val="21"/>
              </w:rPr>
            </w:pPr>
          </w:p>
        </w:tc>
      </w:tr>
      <w:tr w14:paraId="76E153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9" w:hRule="atLeast"/>
          <w:jc w:val="center"/>
        </w:trPr>
        <w:tc>
          <w:tcPr>
            <w:tcW w:w="2394" w:type="dxa"/>
            <w:gridSpan w:val="2"/>
            <w:tcBorders>
              <w:top w:val="single" w:color="auto" w:sz="6" w:space="0"/>
              <w:left w:val="single" w:color="auto" w:sz="6" w:space="0"/>
              <w:bottom w:val="single" w:color="auto" w:sz="6" w:space="0"/>
              <w:right w:val="single" w:color="auto" w:sz="4" w:space="0"/>
            </w:tcBorders>
            <w:vAlign w:val="center"/>
          </w:tcPr>
          <w:p w14:paraId="5E373CEB">
            <w:pPr>
              <w:adjustRightInd w:val="0"/>
              <w:jc w:val="center"/>
              <w:rPr>
                <w:rFonts w:ascii="宋体" w:hAnsi="宋体" w:cs="宋体"/>
                <w:color w:val="auto"/>
                <w:szCs w:val="21"/>
              </w:rPr>
            </w:pPr>
            <w:r>
              <w:rPr>
                <w:rFonts w:hint="eastAsia" w:ascii="宋体" w:hAnsi="宋体" w:cs="宋体"/>
                <w:color w:val="auto"/>
                <w:szCs w:val="21"/>
              </w:rPr>
              <w:t>安全生产考核合格证书</w:t>
            </w:r>
          </w:p>
        </w:tc>
        <w:tc>
          <w:tcPr>
            <w:tcW w:w="1835" w:type="dxa"/>
            <w:gridSpan w:val="3"/>
            <w:tcBorders>
              <w:top w:val="single" w:color="auto" w:sz="6" w:space="0"/>
              <w:left w:val="single" w:color="auto" w:sz="4" w:space="0"/>
              <w:bottom w:val="single" w:color="auto" w:sz="6" w:space="0"/>
              <w:right w:val="single" w:color="auto" w:sz="4" w:space="0"/>
            </w:tcBorders>
            <w:vAlign w:val="center"/>
          </w:tcPr>
          <w:p w14:paraId="5B1A7A42">
            <w:pPr>
              <w:adjustRightInd w:val="0"/>
              <w:jc w:val="center"/>
              <w:rPr>
                <w:rFonts w:ascii="宋体" w:hAnsi="宋体" w:cs="宋体"/>
                <w:color w:val="auto"/>
                <w:szCs w:val="21"/>
              </w:rPr>
            </w:pPr>
          </w:p>
        </w:tc>
        <w:tc>
          <w:tcPr>
            <w:tcW w:w="1222" w:type="dxa"/>
            <w:tcBorders>
              <w:top w:val="single" w:color="auto" w:sz="6" w:space="0"/>
              <w:left w:val="single" w:color="auto" w:sz="4" w:space="0"/>
              <w:bottom w:val="single" w:color="auto" w:sz="6" w:space="0"/>
              <w:right w:val="single" w:color="auto" w:sz="6" w:space="0"/>
            </w:tcBorders>
            <w:vAlign w:val="center"/>
          </w:tcPr>
          <w:p w14:paraId="12CC0319">
            <w:pPr>
              <w:adjustRightInd w:val="0"/>
              <w:jc w:val="center"/>
              <w:rPr>
                <w:rFonts w:ascii="宋体" w:hAnsi="宋体" w:cs="宋体"/>
                <w:color w:val="auto"/>
                <w:szCs w:val="21"/>
              </w:rPr>
            </w:pPr>
            <w:r>
              <w:rPr>
                <w:rFonts w:hint="eastAsia" w:ascii="宋体" w:hAnsi="宋体" w:cs="宋体"/>
                <w:color w:val="auto"/>
                <w:szCs w:val="21"/>
              </w:rPr>
              <w:t>担任本职工作年限</w:t>
            </w:r>
          </w:p>
        </w:tc>
        <w:tc>
          <w:tcPr>
            <w:tcW w:w="3165" w:type="dxa"/>
            <w:gridSpan w:val="2"/>
            <w:tcBorders>
              <w:top w:val="single" w:color="auto" w:sz="6" w:space="0"/>
              <w:left w:val="single" w:color="auto" w:sz="6" w:space="0"/>
              <w:bottom w:val="single" w:color="auto" w:sz="6" w:space="0"/>
              <w:right w:val="single" w:color="auto" w:sz="6" w:space="0"/>
            </w:tcBorders>
            <w:vAlign w:val="center"/>
          </w:tcPr>
          <w:p w14:paraId="5FD8BC50">
            <w:pPr>
              <w:adjustRightInd w:val="0"/>
              <w:jc w:val="center"/>
              <w:rPr>
                <w:rFonts w:ascii="宋体" w:hAnsi="宋体" w:cs="宋体"/>
                <w:color w:val="auto"/>
                <w:szCs w:val="21"/>
              </w:rPr>
            </w:pPr>
          </w:p>
        </w:tc>
      </w:tr>
      <w:tr w14:paraId="37352E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2394" w:type="dxa"/>
            <w:gridSpan w:val="2"/>
            <w:tcBorders>
              <w:top w:val="single" w:color="auto" w:sz="6" w:space="0"/>
              <w:left w:val="single" w:color="auto" w:sz="6" w:space="0"/>
              <w:bottom w:val="single" w:color="auto" w:sz="6" w:space="0"/>
              <w:right w:val="single" w:color="auto" w:sz="4" w:space="0"/>
            </w:tcBorders>
            <w:vAlign w:val="center"/>
          </w:tcPr>
          <w:p w14:paraId="6C77D0E6">
            <w:pPr>
              <w:adjustRightInd w:val="0"/>
              <w:jc w:val="center"/>
              <w:rPr>
                <w:rFonts w:ascii="宋体" w:hAnsi="宋体" w:cs="宋体"/>
                <w:color w:val="auto"/>
                <w:szCs w:val="21"/>
              </w:rPr>
            </w:pPr>
            <w:r>
              <w:rPr>
                <w:rFonts w:hint="eastAsia" w:ascii="宋体" w:hAnsi="宋体" w:cs="宋体"/>
                <w:color w:val="auto"/>
                <w:szCs w:val="21"/>
              </w:rPr>
              <w:t>毕业学校</w:t>
            </w:r>
          </w:p>
        </w:tc>
        <w:tc>
          <w:tcPr>
            <w:tcW w:w="6222" w:type="dxa"/>
            <w:gridSpan w:val="6"/>
            <w:tcBorders>
              <w:top w:val="single" w:color="auto" w:sz="6" w:space="0"/>
              <w:left w:val="single" w:color="auto" w:sz="4" w:space="0"/>
              <w:bottom w:val="single" w:color="auto" w:sz="6" w:space="0"/>
              <w:right w:val="single" w:color="auto" w:sz="6" w:space="0"/>
            </w:tcBorders>
            <w:vAlign w:val="center"/>
          </w:tcPr>
          <w:p w14:paraId="4C1D6895">
            <w:pPr>
              <w:adjustRightInd w:val="0"/>
              <w:rPr>
                <w:rFonts w:ascii="宋体" w:hAnsi="宋体" w:cs="宋体"/>
                <w:color w:val="auto"/>
                <w:szCs w:val="21"/>
              </w:rPr>
            </w:pPr>
            <w:r>
              <w:rPr>
                <w:rFonts w:hint="eastAsia" w:ascii="宋体" w:hAnsi="宋体" w:cs="宋体"/>
                <w:color w:val="auto"/>
                <w:szCs w:val="21"/>
              </w:rPr>
              <w:t xml:space="preserve">        年毕业于          学校        专业</w:t>
            </w:r>
          </w:p>
        </w:tc>
      </w:tr>
      <w:tr w14:paraId="535E2E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8616" w:type="dxa"/>
            <w:gridSpan w:val="8"/>
            <w:tcBorders>
              <w:top w:val="single" w:color="auto" w:sz="6" w:space="0"/>
              <w:left w:val="single" w:color="auto" w:sz="6" w:space="0"/>
              <w:bottom w:val="single" w:color="auto" w:sz="6" w:space="0"/>
              <w:right w:val="single" w:color="auto" w:sz="6" w:space="0"/>
            </w:tcBorders>
            <w:vAlign w:val="center"/>
          </w:tcPr>
          <w:p w14:paraId="477D5486">
            <w:pPr>
              <w:adjustRightInd w:val="0"/>
              <w:jc w:val="center"/>
              <w:rPr>
                <w:rFonts w:ascii="宋体" w:hAnsi="宋体" w:cs="宋体"/>
                <w:color w:val="auto"/>
                <w:szCs w:val="21"/>
              </w:rPr>
            </w:pPr>
            <w:r>
              <w:rPr>
                <w:rFonts w:hint="eastAsia" w:ascii="宋体" w:hAnsi="宋体" w:cs="宋体"/>
                <w:color w:val="auto"/>
                <w:szCs w:val="21"/>
              </w:rPr>
              <w:t>已完工程项目情况表</w:t>
            </w:r>
          </w:p>
        </w:tc>
      </w:tr>
      <w:tr w14:paraId="19422C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9" w:hRule="atLeast"/>
          <w:jc w:val="center"/>
        </w:trPr>
        <w:tc>
          <w:tcPr>
            <w:tcW w:w="1291" w:type="dxa"/>
            <w:tcBorders>
              <w:top w:val="single" w:color="auto" w:sz="6" w:space="0"/>
              <w:left w:val="single" w:color="auto" w:sz="6" w:space="0"/>
              <w:bottom w:val="single" w:color="auto" w:sz="6" w:space="0"/>
              <w:right w:val="single" w:color="auto" w:sz="6" w:space="0"/>
            </w:tcBorders>
            <w:vAlign w:val="center"/>
          </w:tcPr>
          <w:p w14:paraId="0E34BBF3">
            <w:pPr>
              <w:adjustRightInd w:val="0"/>
              <w:jc w:val="center"/>
              <w:rPr>
                <w:rFonts w:ascii="宋体" w:hAnsi="宋体" w:cs="宋体"/>
                <w:color w:val="auto"/>
                <w:szCs w:val="21"/>
              </w:rPr>
            </w:pPr>
            <w:r>
              <w:rPr>
                <w:rFonts w:hint="eastAsia" w:ascii="宋体" w:hAnsi="宋体" w:cs="宋体"/>
                <w:color w:val="auto"/>
                <w:szCs w:val="21"/>
              </w:rPr>
              <w:t>建设单位</w:t>
            </w:r>
          </w:p>
        </w:tc>
        <w:tc>
          <w:tcPr>
            <w:tcW w:w="1103" w:type="dxa"/>
            <w:tcBorders>
              <w:top w:val="single" w:color="auto" w:sz="6" w:space="0"/>
              <w:left w:val="single" w:color="auto" w:sz="6" w:space="0"/>
              <w:bottom w:val="single" w:color="auto" w:sz="6" w:space="0"/>
              <w:right w:val="single" w:color="auto" w:sz="6" w:space="0"/>
            </w:tcBorders>
            <w:vAlign w:val="center"/>
          </w:tcPr>
          <w:p w14:paraId="5901AA84">
            <w:pPr>
              <w:adjustRightInd w:val="0"/>
              <w:jc w:val="center"/>
              <w:rPr>
                <w:rFonts w:ascii="宋体" w:hAnsi="宋体" w:cs="宋体"/>
                <w:color w:val="auto"/>
                <w:szCs w:val="21"/>
              </w:rPr>
            </w:pPr>
            <w:r>
              <w:rPr>
                <w:rFonts w:hint="eastAsia" w:ascii="宋体" w:hAnsi="宋体" w:cs="宋体"/>
                <w:color w:val="auto"/>
                <w:szCs w:val="21"/>
              </w:rPr>
              <w:t>项目名称</w:t>
            </w:r>
          </w:p>
        </w:tc>
        <w:tc>
          <w:tcPr>
            <w:tcW w:w="1099" w:type="dxa"/>
            <w:gridSpan w:val="2"/>
            <w:tcBorders>
              <w:top w:val="single" w:color="auto" w:sz="6" w:space="0"/>
              <w:left w:val="single" w:color="auto" w:sz="6" w:space="0"/>
              <w:bottom w:val="single" w:color="auto" w:sz="6" w:space="0"/>
              <w:right w:val="single" w:color="auto" w:sz="6" w:space="0"/>
            </w:tcBorders>
            <w:vAlign w:val="center"/>
          </w:tcPr>
          <w:p w14:paraId="2722F82B">
            <w:pPr>
              <w:adjustRightInd w:val="0"/>
              <w:jc w:val="center"/>
              <w:rPr>
                <w:rFonts w:ascii="宋体" w:hAnsi="宋体" w:cs="宋体"/>
                <w:color w:val="auto"/>
                <w:szCs w:val="21"/>
              </w:rPr>
            </w:pPr>
            <w:r>
              <w:rPr>
                <w:rFonts w:hint="eastAsia" w:ascii="宋体" w:hAnsi="宋体" w:cs="宋体"/>
                <w:color w:val="auto"/>
                <w:szCs w:val="21"/>
              </w:rPr>
              <w:t>建设规模</w:t>
            </w:r>
          </w:p>
        </w:tc>
        <w:tc>
          <w:tcPr>
            <w:tcW w:w="1958" w:type="dxa"/>
            <w:gridSpan w:val="2"/>
            <w:tcBorders>
              <w:top w:val="single" w:color="auto" w:sz="6" w:space="0"/>
              <w:left w:val="single" w:color="auto" w:sz="6" w:space="0"/>
              <w:bottom w:val="single" w:color="auto" w:sz="6" w:space="0"/>
              <w:right w:val="single" w:color="auto" w:sz="6" w:space="0"/>
            </w:tcBorders>
            <w:vAlign w:val="center"/>
          </w:tcPr>
          <w:p w14:paraId="45AE33A2">
            <w:pPr>
              <w:adjustRightInd w:val="0"/>
              <w:jc w:val="center"/>
              <w:rPr>
                <w:rFonts w:ascii="宋体" w:hAnsi="宋体" w:cs="宋体"/>
                <w:color w:val="auto"/>
                <w:szCs w:val="21"/>
              </w:rPr>
            </w:pPr>
            <w:r>
              <w:rPr>
                <w:rFonts w:hint="eastAsia" w:ascii="宋体" w:hAnsi="宋体" w:cs="宋体"/>
                <w:color w:val="auto"/>
                <w:szCs w:val="21"/>
              </w:rPr>
              <w:t>开、竣工日期</w:t>
            </w:r>
          </w:p>
        </w:tc>
        <w:tc>
          <w:tcPr>
            <w:tcW w:w="1942" w:type="dxa"/>
            <w:tcBorders>
              <w:top w:val="single" w:color="auto" w:sz="6" w:space="0"/>
              <w:left w:val="single" w:color="auto" w:sz="6" w:space="0"/>
              <w:bottom w:val="single" w:color="auto" w:sz="6" w:space="0"/>
              <w:right w:val="single" w:color="auto" w:sz="6" w:space="0"/>
            </w:tcBorders>
            <w:vAlign w:val="center"/>
          </w:tcPr>
          <w:p w14:paraId="266D25D4">
            <w:pPr>
              <w:adjustRightInd w:val="0"/>
              <w:jc w:val="center"/>
              <w:rPr>
                <w:rFonts w:ascii="宋体" w:hAnsi="宋体" w:cs="宋体"/>
                <w:color w:val="auto"/>
                <w:szCs w:val="21"/>
              </w:rPr>
            </w:pPr>
            <w:r>
              <w:rPr>
                <w:rFonts w:hint="eastAsia" w:ascii="宋体" w:hAnsi="宋体" w:cs="宋体"/>
                <w:color w:val="auto"/>
                <w:szCs w:val="21"/>
              </w:rPr>
              <w:t>工程质量</w:t>
            </w:r>
          </w:p>
        </w:tc>
        <w:tc>
          <w:tcPr>
            <w:tcW w:w="1223" w:type="dxa"/>
            <w:tcBorders>
              <w:top w:val="single" w:color="auto" w:sz="6" w:space="0"/>
              <w:left w:val="single" w:color="auto" w:sz="6" w:space="0"/>
              <w:bottom w:val="single" w:color="auto" w:sz="6" w:space="0"/>
              <w:right w:val="single" w:color="auto" w:sz="6" w:space="0"/>
            </w:tcBorders>
            <w:vAlign w:val="center"/>
          </w:tcPr>
          <w:p w14:paraId="110675F5">
            <w:pPr>
              <w:adjustRightInd w:val="0"/>
              <w:jc w:val="center"/>
              <w:rPr>
                <w:rFonts w:ascii="宋体" w:hAnsi="宋体" w:cs="宋体"/>
                <w:color w:val="auto"/>
                <w:szCs w:val="21"/>
              </w:rPr>
            </w:pPr>
            <w:r>
              <w:rPr>
                <w:rFonts w:hint="eastAsia" w:ascii="宋体" w:hAnsi="宋体" w:cs="宋体"/>
                <w:color w:val="auto"/>
                <w:szCs w:val="21"/>
              </w:rPr>
              <w:t>受奖情况</w:t>
            </w:r>
          </w:p>
        </w:tc>
      </w:tr>
      <w:tr w14:paraId="7EA725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87" w:hRule="exact"/>
          <w:jc w:val="center"/>
        </w:trPr>
        <w:tc>
          <w:tcPr>
            <w:tcW w:w="1291" w:type="dxa"/>
            <w:tcBorders>
              <w:top w:val="single" w:color="auto" w:sz="6" w:space="0"/>
              <w:left w:val="single" w:color="auto" w:sz="6" w:space="0"/>
              <w:bottom w:val="single" w:color="auto" w:sz="6" w:space="0"/>
              <w:right w:val="single" w:color="auto" w:sz="6" w:space="0"/>
            </w:tcBorders>
          </w:tcPr>
          <w:p w14:paraId="38033828">
            <w:pPr>
              <w:adjustRightInd w:val="0"/>
              <w:rPr>
                <w:rFonts w:ascii="宋体" w:hAnsi="宋体" w:cs="宋体"/>
                <w:color w:val="auto"/>
                <w:szCs w:val="21"/>
              </w:rPr>
            </w:pPr>
          </w:p>
        </w:tc>
        <w:tc>
          <w:tcPr>
            <w:tcW w:w="1103" w:type="dxa"/>
            <w:tcBorders>
              <w:top w:val="single" w:color="auto" w:sz="6" w:space="0"/>
              <w:left w:val="single" w:color="auto" w:sz="6" w:space="0"/>
              <w:bottom w:val="single" w:color="auto" w:sz="6" w:space="0"/>
              <w:right w:val="single" w:color="auto" w:sz="6" w:space="0"/>
            </w:tcBorders>
          </w:tcPr>
          <w:p w14:paraId="293A2E97">
            <w:pPr>
              <w:adjustRightInd w:val="0"/>
              <w:rPr>
                <w:rFonts w:ascii="宋体" w:hAnsi="宋体" w:cs="宋体"/>
                <w:color w:val="auto"/>
                <w:szCs w:val="21"/>
              </w:rPr>
            </w:pPr>
          </w:p>
        </w:tc>
        <w:tc>
          <w:tcPr>
            <w:tcW w:w="1099" w:type="dxa"/>
            <w:gridSpan w:val="2"/>
            <w:tcBorders>
              <w:top w:val="single" w:color="auto" w:sz="6" w:space="0"/>
              <w:left w:val="single" w:color="auto" w:sz="6" w:space="0"/>
              <w:bottom w:val="single" w:color="auto" w:sz="6" w:space="0"/>
              <w:right w:val="single" w:color="auto" w:sz="6" w:space="0"/>
            </w:tcBorders>
          </w:tcPr>
          <w:p w14:paraId="4EE31F33">
            <w:pPr>
              <w:adjustRightInd w:val="0"/>
              <w:rPr>
                <w:rFonts w:ascii="宋体" w:hAnsi="宋体" w:cs="宋体"/>
                <w:color w:val="auto"/>
                <w:szCs w:val="21"/>
              </w:rPr>
            </w:pPr>
          </w:p>
        </w:tc>
        <w:tc>
          <w:tcPr>
            <w:tcW w:w="1958" w:type="dxa"/>
            <w:gridSpan w:val="2"/>
            <w:tcBorders>
              <w:top w:val="single" w:color="auto" w:sz="6" w:space="0"/>
              <w:left w:val="single" w:color="auto" w:sz="6" w:space="0"/>
              <w:bottom w:val="single" w:color="auto" w:sz="6" w:space="0"/>
              <w:right w:val="single" w:color="auto" w:sz="6" w:space="0"/>
            </w:tcBorders>
          </w:tcPr>
          <w:p w14:paraId="22D6AF79">
            <w:pPr>
              <w:adjustRightInd w:val="0"/>
              <w:rPr>
                <w:rFonts w:ascii="宋体" w:hAnsi="宋体" w:cs="宋体"/>
                <w:color w:val="auto"/>
                <w:szCs w:val="21"/>
              </w:rPr>
            </w:pPr>
          </w:p>
        </w:tc>
        <w:tc>
          <w:tcPr>
            <w:tcW w:w="1942" w:type="dxa"/>
            <w:tcBorders>
              <w:top w:val="single" w:color="auto" w:sz="6" w:space="0"/>
              <w:left w:val="single" w:color="auto" w:sz="6" w:space="0"/>
              <w:bottom w:val="single" w:color="auto" w:sz="6" w:space="0"/>
              <w:right w:val="single" w:color="auto" w:sz="6" w:space="0"/>
            </w:tcBorders>
          </w:tcPr>
          <w:p w14:paraId="26CEFF19">
            <w:pPr>
              <w:adjustRightInd w:val="0"/>
              <w:rPr>
                <w:rFonts w:ascii="宋体" w:hAnsi="宋体" w:cs="宋体"/>
                <w:color w:val="auto"/>
                <w:szCs w:val="21"/>
              </w:rPr>
            </w:pPr>
          </w:p>
        </w:tc>
        <w:tc>
          <w:tcPr>
            <w:tcW w:w="1223" w:type="dxa"/>
            <w:tcBorders>
              <w:top w:val="single" w:color="auto" w:sz="6" w:space="0"/>
              <w:left w:val="single" w:color="auto" w:sz="6" w:space="0"/>
              <w:bottom w:val="single" w:color="auto" w:sz="6" w:space="0"/>
              <w:right w:val="single" w:color="auto" w:sz="6" w:space="0"/>
            </w:tcBorders>
          </w:tcPr>
          <w:p w14:paraId="44C26F0A">
            <w:pPr>
              <w:adjustRightInd w:val="0"/>
              <w:rPr>
                <w:rFonts w:ascii="宋体" w:hAnsi="宋体" w:cs="宋体"/>
                <w:color w:val="auto"/>
                <w:szCs w:val="21"/>
              </w:rPr>
            </w:pPr>
          </w:p>
        </w:tc>
      </w:tr>
      <w:tr w14:paraId="122C43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87" w:hRule="exact"/>
          <w:jc w:val="center"/>
        </w:trPr>
        <w:tc>
          <w:tcPr>
            <w:tcW w:w="1291" w:type="dxa"/>
            <w:tcBorders>
              <w:top w:val="single" w:color="auto" w:sz="6" w:space="0"/>
              <w:left w:val="single" w:color="auto" w:sz="6" w:space="0"/>
              <w:bottom w:val="single" w:color="auto" w:sz="6" w:space="0"/>
              <w:right w:val="single" w:color="auto" w:sz="6" w:space="0"/>
            </w:tcBorders>
          </w:tcPr>
          <w:p w14:paraId="138CE7DA">
            <w:pPr>
              <w:adjustRightInd w:val="0"/>
              <w:rPr>
                <w:rFonts w:ascii="宋体" w:hAnsi="宋体" w:cs="宋体"/>
                <w:color w:val="auto"/>
                <w:szCs w:val="21"/>
              </w:rPr>
            </w:pPr>
          </w:p>
        </w:tc>
        <w:tc>
          <w:tcPr>
            <w:tcW w:w="1103" w:type="dxa"/>
            <w:tcBorders>
              <w:top w:val="single" w:color="auto" w:sz="6" w:space="0"/>
              <w:left w:val="single" w:color="auto" w:sz="6" w:space="0"/>
              <w:bottom w:val="single" w:color="auto" w:sz="6" w:space="0"/>
              <w:right w:val="single" w:color="auto" w:sz="6" w:space="0"/>
            </w:tcBorders>
          </w:tcPr>
          <w:p w14:paraId="0CF1FD1F">
            <w:pPr>
              <w:adjustRightInd w:val="0"/>
              <w:rPr>
                <w:rFonts w:ascii="宋体" w:hAnsi="宋体" w:cs="宋体"/>
                <w:color w:val="auto"/>
                <w:szCs w:val="21"/>
              </w:rPr>
            </w:pPr>
          </w:p>
        </w:tc>
        <w:tc>
          <w:tcPr>
            <w:tcW w:w="1099" w:type="dxa"/>
            <w:gridSpan w:val="2"/>
            <w:tcBorders>
              <w:top w:val="single" w:color="auto" w:sz="6" w:space="0"/>
              <w:left w:val="single" w:color="auto" w:sz="6" w:space="0"/>
              <w:bottom w:val="single" w:color="auto" w:sz="6" w:space="0"/>
              <w:right w:val="single" w:color="auto" w:sz="6" w:space="0"/>
            </w:tcBorders>
          </w:tcPr>
          <w:p w14:paraId="453463BD">
            <w:pPr>
              <w:adjustRightInd w:val="0"/>
              <w:rPr>
                <w:rFonts w:ascii="宋体" w:hAnsi="宋体" w:cs="宋体"/>
                <w:color w:val="auto"/>
                <w:szCs w:val="21"/>
              </w:rPr>
            </w:pPr>
          </w:p>
        </w:tc>
        <w:tc>
          <w:tcPr>
            <w:tcW w:w="1958" w:type="dxa"/>
            <w:gridSpan w:val="2"/>
            <w:tcBorders>
              <w:top w:val="single" w:color="auto" w:sz="6" w:space="0"/>
              <w:left w:val="single" w:color="auto" w:sz="6" w:space="0"/>
              <w:bottom w:val="single" w:color="auto" w:sz="6" w:space="0"/>
              <w:right w:val="single" w:color="auto" w:sz="6" w:space="0"/>
            </w:tcBorders>
          </w:tcPr>
          <w:p w14:paraId="6DE762B8">
            <w:pPr>
              <w:adjustRightInd w:val="0"/>
              <w:rPr>
                <w:rFonts w:ascii="宋体" w:hAnsi="宋体" w:cs="宋体"/>
                <w:color w:val="auto"/>
                <w:szCs w:val="21"/>
              </w:rPr>
            </w:pPr>
          </w:p>
        </w:tc>
        <w:tc>
          <w:tcPr>
            <w:tcW w:w="1942" w:type="dxa"/>
            <w:tcBorders>
              <w:top w:val="single" w:color="auto" w:sz="6" w:space="0"/>
              <w:left w:val="single" w:color="auto" w:sz="6" w:space="0"/>
              <w:bottom w:val="single" w:color="auto" w:sz="6" w:space="0"/>
              <w:right w:val="single" w:color="auto" w:sz="6" w:space="0"/>
            </w:tcBorders>
          </w:tcPr>
          <w:p w14:paraId="60890809">
            <w:pPr>
              <w:adjustRightInd w:val="0"/>
              <w:rPr>
                <w:rFonts w:ascii="宋体" w:hAnsi="宋体" w:cs="宋体"/>
                <w:color w:val="auto"/>
                <w:szCs w:val="21"/>
              </w:rPr>
            </w:pPr>
          </w:p>
        </w:tc>
        <w:tc>
          <w:tcPr>
            <w:tcW w:w="1223" w:type="dxa"/>
            <w:tcBorders>
              <w:top w:val="single" w:color="auto" w:sz="6" w:space="0"/>
              <w:left w:val="single" w:color="auto" w:sz="6" w:space="0"/>
              <w:bottom w:val="single" w:color="auto" w:sz="6" w:space="0"/>
              <w:right w:val="single" w:color="auto" w:sz="6" w:space="0"/>
            </w:tcBorders>
          </w:tcPr>
          <w:p w14:paraId="78C059B7">
            <w:pPr>
              <w:adjustRightInd w:val="0"/>
              <w:rPr>
                <w:rFonts w:ascii="宋体" w:hAnsi="宋体" w:cs="宋体"/>
                <w:color w:val="auto"/>
                <w:szCs w:val="21"/>
              </w:rPr>
            </w:pPr>
          </w:p>
        </w:tc>
      </w:tr>
      <w:tr w14:paraId="100627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87" w:hRule="exact"/>
          <w:jc w:val="center"/>
        </w:trPr>
        <w:tc>
          <w:tcPr>
            <w:tcW w:w="1291" w:type="dxa"/>
            <w:tcBorders>
              <w:top w:val="single" w:color="auto" w:sz="6" w:space="0"/>
              <w:left w:val="single" w:color="auto" w:sz="6" w:space="0"/>
              <w:bottom w:val="single" w:color="auto" w:sz="6" w:space="0"/>
              <w:right w:val="single" w:color="auto" w:sz="6" w:space="0"/>
            </w:tcBorders>
          </w:tcPr>
          <w:p w14:paraId="5049FCD1">
            <w:pPr>
              <w:adjustRightInd w:val="0"/>
              <w:rPr>
                <w:rFonts w:ascii="宋体" w:hAnsi="宋体" w:cs="宋体"/>
                <w:color w:val="auto"/>
                <w:szCs w:val="21"/>
              </w:rPr>
            </w:pPr>
          </w:p>
        </w:tc>
        <w:tc>
          <w:tcPr>
            <w:tcW w:w="1103" w:type="dxa"/>
            <w:tcBorders>
              <w:top w:val="single" w:color="auto" w:sz="6" w:space="0"/>
              <w:left w:val="single" w:color="auto" w:sz="6" w:space="0"/>
              <w:bottom w:val="single" w:color="auto" w:sz="6" w:space="0"/>
              <w:right w:val="single" w:color="auto" w:sz="6" w:space="0"/>
            </w:tcBorders>
          </w:tcPr>
          <w:p w14:paraId="5986497C">
            <w:pPr>
              <w:adjustRightInd w:val="0"/>
              <w:rPr>
                <w:rFonts w:ascii="宋体" w:hAnsi="宋体" w:cs="宋体"/>
                <w:color w:val="auto"/>
                <w:szCs w:val="21"/>
              </w:rPr>
            </w:pPr>
          </w:p>
        </w:tc>
        <w:tc>
          <w:tcPr>
            <w:tcW w:w="1099" w:type="dxa"/>
            <w:gridSpan w:val="2"/>
            <w:tcBorders>
              <w:top w:val="single" w:color="auto" w:sz="6" w:space="0"/>
              <w:left w:val="single" w:color="auto" w:sz="6" w:space="0"/>
              <w:bottom w:val="single" w:color="auto" w:sz="6" w:space="0"/>
              <w:right w:val="single" w:color="auto" w:sz="6" w:space="0"/>
            </w:tcBorders>
          </w:tcPr>
          <w:p w14:paraId="01868F3B">
            <w:pPr>
              <w:adjustRightInd w:val="0"/>
              <w:rPr>
                <w:rFonts w:ascii="宋体" w:hAnsi="宋体" w:cs="宋体"/>
                <w:color w:val="auto"/>
                <w:szCs w:val="21"/>
              </w:rPr>
            </w:pPr>
          </w:p>
        </w:tc>
        <w:tc>
          <w:tcPr>
            <w:tcW w:w="1958" w:type="dxa"/>
            <w:gridSpan w:val="2"/>
            <w:tcBorders>
              <w:top w:val="single" w:color="auto" w:sz="6" w:space="0"/>
              <w:left w:val="single" w:color="auto" w:sz="6" w:space="0"/>
              <w:bottom w:val="single" w:color="auto" w:sz="6" w:space="0"/>
              <w:right w:val="single" w:color="auto" w:sz="6" w:space="0"/>
            </w:tcBorders>
          </w:tcPr>
          <w:p w14:paraId="675B509E">
            <w:pPr>
              <w:adjustRightInd w:val="0"/>
              <w:rPr>
                <w:rFonts w:ascii="宋体" w:hAnsi="宋体" w:cs="宋体"/>
                <w:color w:val="auto"/>
                <w:szCs w:val="21"/>
              </w:rPr>
            </w:pPr>
          </w:p>
        </w:tc>
        <w:tc>
          <w:tcPr>
            <w:tcW w:w="1942" w:type="dxa"/>
            <w:tcBorders>
              <w:top w:val="single" w:color="auto" w:sz="6" w:space="0"/>
              <w:left w:val="single" w:color="auto" w:sz="6" w:space="0"/>
              <w:bottom w:val="single" w:color="auto" w:sz="6" w:space="0"/>
              <w:right w:val="single" w:color="auto" w:sz="6" w:space="0"/>
            </w:tcBorders>
          </w:tcPr>
          <w:p w14:paraId="3498712E">
            <w:pPr>
              <w:adjustRightInd w:val="0"/>
              <w:rPr>
                <w:rFonts w:ascii="宋体" w:hAnsi="宋体" w:cs="宋体"/>
                <w:color w:val="auto"/>
                <w:szCs w:val="21"/>
              </w:rPr>
            </w:pPr>
          </w:p>
        </w:tc>
        <w:tc>
          <w:tcPr>
            <w:tcW w:w="1223" w:type="dxa"/>
            <w:tcBorders>
              <w:top w:val="single" w:color="auto" w:sz="6" w:space="0"/>
              <w:left w:val="single" w:color="auto" w:sz="6" w:space="0"/>
              <w:bottom w:val="single" w:color="auto" w:sz="6" w:space="0"/>
              <w:right w:val="single" w:color="auto" w:sz="6" w:space="0"/>
            </w:tcBorders>
          </w:tcPr>
          <w:p w14:paraId="0A15E7FA">
            <w:pPr>
              <w:adjustRightInd w:val="0"/>
              <w:rPr>
                <w:rFonts w:ascii="宋体" w:hAnsi="宋体" w:cs="宋体"/>
                <w:color w:val="auto"/>
                <w:szCs w:val="21"/>
              </w:rPr>
            </w:pPr>
          </w:p>
        </w:tc>
      </w:tr>
    </w:tbl>
    <w:p w14:paraId="1449D886">
      <w:pPr>
        <w:pStyle w:val="24"/>
        <w:ind w:firstLine="1050" w:firstLineChars="500"/>
        <w:rPr>
          <w:rFonts w:hAnsi="宋体"/>
          <w:color w:val="auto"/>
          <w:szCs w:val="21"/>
        </w:rPr>
      </w:pPr>
    </w:p>
    <w:p w14:paraId="4D9D92E2">
      <w:pPr>
        <w:pStyle w:val="24"/>
        <w:ind w:firstLine="1050" w:firstLineChars="500"/>
        <w:rPr>
          <w:rFonts w:hAnsi="宋体"/>
          <w:color w:val="auto"/>
          <w:szCs w:val="21"/>
        </w:rPr>
      </w:pPr>
    </w:p>
    <w:p w14:paraId="10441322">
      <w:pPr>
        <w:keepNext w:val="0"/>
        <w:keepLines w:val="0"/>
        <w:pageBreakBefore w:val="0"/>
        <w:widowControl/>
        <w:suppressLineNumbers w:val="0"/>
        <w:kinsoku/>
        <w:wordWrap/>
        <w:overflowPunct/>
        <w:topLinePunct w:val="0"/>
        <w:autoSpaceDE/>
        <w:autoSpaceDN/>
        <w:bidi w:val="0"/>
        <w:adjustRightInd/>
        <w:snapToGrid/>
        <w:spacing w:line="440" w:lineRule="exact"/>
        <w:ind w:firstLine="3150" w:firstLineChars="15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val="en-US" w:eastAsia="zh-CN" w:bidi="ar"/>
        </w:rPr>
        <w:t>供应商名称</w:t>
      </w:r>
      <w:r>
        <w:rPr>
          <w:rFonts w:hint="eastAsia" w:ascii="仿宋_GB2312" w:hAnsi="仿宋" w:eastAsia="仿宋_GB2312" w:cs="仿宋_GB2312"/>
          <w:color w:val="auto"/>
          <w:kern w:val="0"/>
          <w:sz w:val="21"/>
          <w:szCs w:val="21"/>
          <w:highlight w:val="none"/>
        </w:rPr>
        <w:t>（电子签章）</w:t>
      </w:r>
      <w:r>
        <w:rPr>
          <w:rFonts w:hint="eastAsia" w:ascii="仿宋_GB2312" w:hAnsi="仿宋_GB2312" w:eastAsia="仿宋_GB2312" w:cs="仿宋_GB2312"/>
          <w:color w:val="auto"/>
          <w:kern w:val="0"/>
          <w:sz w:val="21"/>
          <w:szCs w:val="21"/>
          <w:lang w:val="en-US" w:eastAsia="zh-CN" w:bidi="ar"/>
        </w:rPr>
        <w:t xml:space="preserve">： </w:t>
      </w:r>
    </w:p>
    <w:p w14:paraId="5FEB8487">
      <w:pPr>
        <w:keepNext w:val="0"/>
        <w:keepLines w:val="0"/>
        <w:pageBreakBefore w:val="0"/>
        <w:tabs>
          <w:tab w:val="left" w:pos="7560"/>
        </w:tabs>
        <w:kinsoku/>
        <w:wordWrap/>
        <w:overflowPunct/>
        <w:topLinePunct w:val="0"/>
        <w:autoSpaceDE/>
        <w:autoSpaceDN/>
        <w:bidi w:val="0"/>
        <w:adjustRightInd/>
        <w:snapToGrid/>
        <w:spacing w:line="440" w:lineRule="exact"/>
        <w:ind w:firstLine="3150" w:firstLineChars="1500"/>
        <w:jc w:val="left"/>
        <w:textAlignment w:val="auto"/>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日期：</w:t>
      </w:r>
    </w:p>
    <w:p w14:paraId="7DE1E364">
      <w:pPr>
        <w:adjustRightInd w:val="0"/>
        <w:spacing w:line="300" w:lineRule="auto"/>
        <w:ind w:firstLine="443" w:firstLineChars="210"/>
        <w:rPr>
          <w:rFonts w:ascii="宋体" w:hAnsi="宋体" w:cs="宋体"/>
          <w:b/>
          <w:color w:val="auto"/>
          <w:szCs w:val="21"/>
        </w:rPr>
      </w:pPr>
    </w:p>
    <w:p w14:paraId="7705DAC0">
      <w:pPr>
        <w:pStyle w:val="24"/>
        <w:rPr>
          <w:rFonts w:hAnsi="宋体"/>
          <w:color w:val="auto"/>
          <w:szCs w:val="21"/>
        </w:rPr>
      </w:pPr>
    </w:p>
    <w:p w14:paraId="0D1FD867">
      <w:pPr>
        <w:pStyle w:val="24"/>
        <w:rPr>
          <w:rFonts w:hAnsi="宋体"/>
          <w:color w:val="auto"/>
          <w:szCs w:val="21"/>
        </w:rPr>
      </w:pPr>
    </w:p>
    <w:p w14:paraId="444BD17C">
      <w:pPr>
        <w:pStyle w:val="24"/>
        <w:rPr>
          <w:rFonts w:hAnsi="宋体"/>
          <w:color w:val="auto"/>
          <w:szCs w:val="21"/>
        </w:rPr>
      </w:pPr>
    </w:p>
    <w:p w14:paraId="7D5FFF09">
      <w:pPr>
        <w:snapToGrid w:val="0"/>
        <w:spacing w:line="400" w:lineRule="exact"/>
        <w:rPr>
          <w:rFonts w:ascii="宋体" w:hAnsi="宋体"/>
          <w:b/>
          <w:bCs/>
          <w:color w:val="auto"/>
          <w:sz w:val="32"/>
          <w:szCs w:val="32"/>
        </w:rPr>
      </w:pPr>
    </w:p>
    <w:p w14:paraId="29BB2014">
      <w:pPr>
        <w:snapToGrid w:val="0"/>
        <w:spacing w:line="400" w:lineRule="exact"/>
        <w:rPr>
          <w:rFonts w:ascii="宋体" w:hAnsi="宋体"/>
          <w:b/>
          <w:bCs/>
          <w:color w:val="auto"/>
          <w:sz w:val="32"/>
          <w:szCs w:val="32"/>
        </w:rPr>
      </w:pPr>
    </w:p>
    <w:p w14:paraId="06855D99">
      <w:pPr>
        <w:snapToGrid w:val="0"/>
        <w:spacing w:line="400" w:lineRule="exact"/>
        <w:rPr>
          <w:rFonts w:ascii="宋体" w:hAnsi="宋体"/>
          <w:b/>
          <w:bCs/>
          <w:color w:val="auto"/>
          <w:sz w:val="32"/>
          <w:szCs w:val="32"/>
        </w:rPr>
      </w:pPr>
    </w:p>
    <w:p w14:paraId="5D803B50">
      <w:pPr>
        <w:snapToGrid w:val="0"/>
        <w:spacing w:line="400" w:lineRule="exact"/>
        <w:rPr>
          <w:rFonts w:ascii="宋体" w:hAnsi="宋体"/>
          <w:b/>
          <w:bCs/>
          <w:color w:val="auto"/>
          <w:sz w:val="32"/>
          <w:szCs w:val="32"/>
        </w:rPr>
      </w:pPr>
    </w:p>
    <w:p w14:paraId="5EAEEDBB">
      <w:pPr>
        <w:snapToGrid w:val="0"/>
        <w:spacing w:line="400" w:lineRule="exact"/>
        <w:rPr>
          <w:rFonts w:ascii="宋体" w:hAnsi="宋体"/>
          <w:b/>
          <w:bCs/>
          <w:color w:val="auto"/>
          <w:sz w:val="32"/>
          <w:szCs w:val="32"/>
        </w:rPr>
      </w:pPr>
    </w:p>
    <w:p w14:paraId="4F5CC0A1">
      <w:pPr>
        <w:snapToGrid w:val="0"/>
        <w:spacing w:line="400" w:lineRule="exact"/>
        <w:rPr>
          <w:rFonts w:ascii="宋体" w:hAnsi="宋体"/>
          <w:b/>
          <w:bCs/>
          <w:color w:val="auto"/>
          <w:sz w:val="32"/>
          <w:szCs w:val="32"/>
        </w:rPr>
      </w:pPr>
    </w:p>
    <w:p w14:paraId="2ABEA132">
      <w:pPr>
        <w:snapToGrid w:val="0"/>
        <w:spacing w:line="400" w:lineRule="exact"/>
        <w:rPr>
          <w:rFonts w:ascii="宋体" w:hAnsi="宋体"/>
          <w:b/>
          <w:bCs/>
          <w:color w:val="auto"/>
          <w:sz w:val="32"/>
          <w:szCs w:val="32"/>
        </w:rPr>
      </w:pPr>
    </w:p>
    <w:p w14:paraId="05533C8C">
      <w:pPr>
        <w:snapToGrid w:val="0"/>
        <w:spacing w:line="400" w:lineRule="exact"/>
        <w:rPr>
          <w:rFonts w:ascii="宋体" w:hAnsi="宋体"/>
          <w:b/>
          <w:bCs/>
          <w:color w:val="auto"/>
          <w:sz w:val="32"/>
          <w:szCs w:val="32"/>
        </w:rPr>
      </w:pPr>
    </w:p>
    <w:p w14:paraId="5009E8F7">
      <w:pPr>
        <w:pStyle w:val="24"/>
        <w:spacing w:line="500" w:lineRule="exact"/>
        <w:rPr>
          <w:rFonts w:hAnsi="宋体"/>
          <w:b/>
          <w:color w:val="auto"/>
        </w:rPr>
      </w:pPr>
    </w:p>
    <w:p w14:paraId="3583E399">
      <w:pPr>
        <w:spacing w:line="520" w:lineRule="exact"/>
        <w:ind w:left="-10" w:firstLine="455" w:firstLineChars="217"/>
        <w:jc w:val="left"/>
        <w:rPr>
          <w:color w:val="auto"/>
        </w:rPr>
      </w:pPr>
    </w:p>
    <w:p w14:paraId="6600CE95">
      <w:pPr>
        <w:spacing w:line="520" w:lineRule="exact"/>
        <w:ind w:left="-10" w:firstLine="455" w:firstLineChars="217"/>
        <w:jc w:val="left"/>
        <w:rPr>
          <w:rFonts w:ascii="宋体" w:hAnsi="宋体"/>
          <w:color w:val="auto"/>
          <w:szCs w:val="21"/>
        </w:rPr>
      </w:pPr>
    </w:p>
    <w:p w14:paraId="5732FE86">
      <w:pPr>
        <w:spacing w:line="400" w:lineRule="exact"/>
        <w:rPr>
          <w:rFonts w:ascii="宋体" w:hAnsi="宋体"/>
          <w:color w:val="auto"/>
          <w:szCs w:val="21"/>
        </w:rPr>
      </w:pPr>
    </w:p>
    <w:p w14:paraId="70B9E196">
      <w:pPr>
        <w:jc w:val="left"/>
        <w:rPr>
          <w:rFonts w:hint="eastAsia" w:ascii="宋体" w:hAnsi="宋体"/>
          <w:b/>
          <w:color w:val="auto"/>
          <w:sz w:val="24"/>
        </w:rPr>
      </w:pPr>
    </w:p>
    <w:p w14:paraId="01F8DF5D">
      <w:pPr>
        <w:jc w:val="left"/>
        <w:rPr>
          <w:rFonts w:ascii="宋体" w:hAnsi="宋体"/>
          <w:b/>
          <w:color w:val="auto"/>
          <w:sz w:val="28"/>
          <w:szCs w:val="28"/>
        </w:rPr>
      </w:pPr>
      <w:r>
        <w:rPr>
          <w:rFonts w:hint="eastAsia" w:ascii="宋体" w:hAnsi="宋体"/>
          <w:b/>
          <w:color w:val="auto"/>
          <w:sz w:val="24"/>
        </w:rPr>
        <w:t>格式</w:t>
      </w:r>
      <w:r>
        <w:rPr>
          <w:rFonts w:hint="eastAsia" w:hAnsi="宋体"/>
          <w:b/>
          <w:color w:val="auto"/>
          <w:sz w:val="24"/>
        </w:rPr>
        <w:t>十</w:t>
      </w:r>
      <w:r>
        <w:rPr>
          <w:rFonts w:hint="eastAsia" w:hAnsi="宋体"/>
          <w:b/>
          <w:color w:val="auto"/>
          <w:sz w:val="24"/>
          <w:lang w:eastAsia="zh-CN"/>
        </w:rPr>
        <w:t>二</w:t>
      </w:r>
      <w:r>
        <w:rPr>
          <w:rFonts w:hint="eastAsia" w:ascii="宋体" w:hAnsi="宋体"/>
          <w:b/>
          <w:color w:val="auto"/>
          <w:sz w:val="24"/>
        </w:rPr>
        <w:t>：</w:t>
      </w:r>
    </w:p>
    <w:p w14:paraId="3F50D885">
      <w:pPr>
        <w:jc w:val="center"/>
        <w:rPr>
          <w:rFonts w:ascii="宋体" w:hAnsi="宋体"/>
          <w:b/>
          <w:color w:val="auto"/>
          <w:sz w:val="28"/>
          <w:szCs w:val="28"/>
        </w:rPr>
      </w:pPr>
      <w:r>
        <w:rPr>
          <w:rFonts w:hint="eastAsia" w:ascii="宋体" w:hAnsi="宋体"/>
          <w:b/>
          <w:color w:val="auto"/>
          <w:sz w:val="28"/>
          <w:szCs w:val="28"/>
        </w:rPr>
        <w:t>磋商函</w:t>
      </w:r>
    </w:p>
    <w:p w14:paraId="4FEF79D0">
      <w:pPr>
        <w:spacing w:line="440" w:lineRule="exact"/>
        <w:rPr>
          <w:rFonts w:ascii="宋体" w:hAnsi="宋体"/>
          <w:color w:val="auto"/>
          <w:u w:val="single"/>
        </w:rPr>
      </w:pPr>
      <w:r>
        <w:rPr>
          <w:rFonts w:ascii="宋体" w:hAnsi="宋体"/>
          <w:color w:val="auto"/>
        </w:rPr>
        <w:t>致：</w:t>
      </w:r>
      <w:r>
        <w:rPr>
          <w:rFonts w:hint="eastAsia" w:ascii="宋体" w:hAnsi="宋体"/>
          <w:color w:val="auto"/>
        </w:rPr>
        <w:t>（</w:t>
      </w:r>
      <w:r>
        <w:rPr>
          <w:rFonts w:hint="eastAsia" w:ascii="宋体" w:hAnsi="宋体"/>
          <w:color w:val="auto"/>
          <w:u w:val="single"/>
        </w:rPr>
        <w:t>采购人名称）</w:t>
      </w:r>
    </w:p>
    <w:p w14:paraId="385DFEA1">
      <w:pPr>
        <w:spacing w:line="440" w:lineRule="exact"/>
        <w:ind w:firstLine="488"/>
        <w:rPr>
          <w:rFonts w:ascii="宋体" w:hAnsi="宋体"/>
          <w:b/>
          <w:color w:val="auto"/>
          <w:szCs w:val="21"/>
        </w:rPr>
      </w:pPr>
      <w:r>
        <w:rPr>
          <w:rFonts w:ascii="宋体" w:hAnsi="宋体"/>
          <w:color w:val="auto"/>
        </w:rPr>
        <w:t>1</w:t>
      </w:r>
      <w:r>
        <w:rPr>
          <w:rFonts w:hint="eastAsia" w:ascii="宋体" w:hAnsi="宋体"/>
          <w:color w:val="auto"/>
        </w:rPr>
        <w:t xml:space="preserve">. </w:t>
      </w:r>
      <w:r>
        <w:rPr>
          <w:rFonts w:ascii="宋体" w:hAnsi="宋体"/>
          <w:color w:val="auto"/>
        </w:rPr>
        <w:t>根据你方项目编号为</w:t>
      </w:r>
      <w:r>
        <w:rPr>
          <w:rFonts w:ascii="宋体" w:hAnsi="宋体"/>
          <w:color w:val="auto"/>
          <w:u w:val="single"/>
        </w:rPr>
        <w:t xml:space="preserve"> {项目编号}</w:t>
      </w:r>
      <w:r>
        <w:rPr>
          <w:rFonts w:ascii="宋体" w:hAnsi="宋体"/>
          <w:color w:val="auto"/>
        </w:rPr>
        <w:t>的</w:t>
      </w:r>
      <w:r>
        <w:rPr>
          <w:rFonts w:hint="eastAsia" w:ascii="宋体" w:hAnsi="宋体"/>
          <w:color w:val="auto"/>
          <w:u w:val="single"/>
        </w:rPr>
        <w:t>（项目名称）标</w:t>
      </w:r>
      <w:r>
        <w:rPr>
          <w:rFonts w:ascii="宋体" w:hAnsi="宋体"/>
          <w:color w:val="auto"/>
        </w:rPr>
        <w:t>磋商文件，遵照</w:t>
      </w:r>
      <w:r>
        <w:rPr>
          <w:rFonts w:hint="eastAsia" w:ascii="宋体" w:hAnsi="宋体" w:cs="宋体"/>
          <w:color w:val="auto"/>
          <w:szCs w:val="21"/>
        </w:rPr>
        <w:t>《中华人民共和国政府采购法》、</w:t>
      </w:r>
      <w:r>
        <w:rPr>
          <w:rFonts w:hint="eastAsia" w:ascii="宋体" w:hAnsi="宋体" w:cs="Arial"/>
          <w:color w:val="auto"/>
          <w:szCs w:val="21"/>
        </w:rPr>
        <w:t>《中华人民共和国政府采购法实施条例》、《政府采购竞争性磋商采购方式管理暂行办法》</w:t>
      </w:r>
      <w:r>
        <w:rPr>
          <w:rFonts w:ascii="宋体" w:hAnsi="宋体" w:cs="Arial"/>
          <w:color w:val="auto"/>
          <w:szCs w:val="21"/>
        </w:rPr>
        <w:t>等</w:t>
      </w:r>
      <w:r>
        <w:rPr>
          <w:rFonts w:ascii="宋体" w:hAnsi="宋体"/>
          <w:color w:val="auto"/>
        </w:rPr>
        <w:t>有关规定，经踏勘项目现场和研究上述磋商文件的磋商须知、合同条款、图纸、工程建设标准和工程量清单及其他有关文件后，</w:t>
      </w:r>
      <w:r>
        <w:rPr>
          <w:rFonts w:ascii="宋体" w:hAnsi="宋体"/>
          <w:b/>
          <w:color w:val="auto"/>
          <w:szCs w:val="21"/>
        </w:rPr>
        <w:t>我方</w:t>
      </w:r>
      <w:r>
        <w:rPr>
          <w:rFonts w:hint="eastAsia" w:ascii="宋体" w:hAnsi="宋体"/>
          <w:b/>
          <w:color w:val="auto"/>
          <w:szCs w:val="21"/>
        </w:rPr>
        <w:t>愿以</w:t>
      </w:r>
      <w:r>
        <w:rPr>
          <w:rFonts w:ascii="宋体" w:hAnsi="宋体"/>
          <w:b/>
          <w:color w:val="auto"/>
          <w:szCs w:val="21"/>
        </w:rPr>
        <w:t>人民币(大写)元（RMB</w:t>
      </w:r>
      <w:r>
        <w:rPr>
          <w:rFonts w:ascii="宋体" w:hAnsi="宋体"/>
          <w:b/>
          <w:color w:val="auto"/>
          <w:szCs w:val="21"/>
          <w:u w:val="single"/>
        </w:rPr>
        <w:t xml:space="preserve">¥   </w:t>
      </w:r>
      <w:r>
        <w:rPr>
          <w:rFonts w:ascii="宋体" w:hAnsi="宋体"/>
          <w:b/>
          <w:color w:val="auto"/>
          <w:szCs w:val="21"/>
        </w:rPr>
        <w:t>）磋商</w:t>
      </w:r>
      <w:r>
        <w:rPr>
          <w:rFonts w:hint="eastAsia" w:ascii="宋体" w:hAnsi="宋体"/>
          <w:b/>
          <w:color w:val="auto"/>
          <w:szCs w:val="21"/>
        </w:rPr>
        <w:t>总</w:t>
      </w:r>
      <w:r>
        <w:rPr>
          <w:rFonts w:ascii="宋体" w:hAnsi="宋体"/>
          <w:b/>
          <w:color w:val="auto"/>
          <w:szCs w:val="21"/>
        </w:rPr>
        <w:t>报价</w:t>
      </w:r>
      <w:r>
        <w:rPr>
          <w:rFonts w:hint="eastAsia" w:ascii="宋体" w:hAnsi="宋体"/>
          <w:b/>
          <w:color w:val="auto"/>
          <w:szCs w:val="21"/>
        </w:rPr>
        <w:t>；</w:t>
      </w:r>
      <w:r>
        <w:rPr>
          <w:rFonts w:ascii="宋体" w:hAnsi="宋体"/>
          <w:b/>
          <w:color w:val="auto"/>
          <w:szCs w:val="21"/>
        </w:rPr>
        <w:t>并按上述图纸、合同条款、工程建设标准和工程量清单的条件要求承包上述工程的施工、竣工，并承担任何质量缺陷保修责任。</w:t>
      </w:r>
      <w:r>
        <w:rPr>
          <w:rFonts w:hint="eastAsia" w:ascii="宋体" w:hAnsi="宋体"/>
          <w:b/>
          <w:color w:val="auto"/>
          <w:szCs w:val="21"/>
        </w:rPr>
        <w:t>施工工期为</w:t>
      </w:r>
      <w:r>
        <w:rPr>
          <w:rFonts w:hint="eastAsia" w:ascii="宋体" w:hAnsi="宋体"/>
          <w:b/>
          <w:color w:val="auto"/>
          <w:szCs w:val="21"/>
          <w:u w:val="single"/>
        </w:rPr>
        <w:t xml:space="preserve">      天</w:t>
      </w:r>
      <w:r>
        <w:rPr>
          <w:rFonts w:hint="eastAsia" w:ascii="宋体" w:hAnsi="宋体"/>
          <w:b/>
          <w:color w:val="auto"/>
          <w:szCs w:val="21"/>
        </w:rPr>
        <w:t>（日历日），工程质量标准。</w:t>
      </w:r>
    </w:p>
    <w:p w14:paraId="3AE1A8CE">
      <w:pPr>
        <w:spacing w:line="440" w:lineRule="exact"/>
        <w:ind w:firstLine="442"/>
        <w:rPr>
          <w:rFonts w:ascii="宋体" w:hAnsi="宋体"/>
          <w:color w:val="auto"/>
        </w:rPr>
      </w:pPr>
      <w:r>
        <w:rPr>
          <w:rFonts w:ascii="宋体" w:hAnsi="宋体"/>
          <w:color w:val="auto"/>
        </w:rPr>
        <w:t>2</w:t>
      </w:r>
      <w:r>
        <w:rPr>
          <w:rFonts w:hint="eastAsia" w:ascii="宋体" w:hAnsi="宋体"/>
          <w:color w:val="auto"/>
        </w:rPr>
        <w:t xml:space="preserve">. </w:t>
      </w:r>
      <w:r>
        <w:rPr>
          <w:rFonts w:ascii="宋体" w:hAnsi="宋体"/>
          <w:color w:val="auto"/>
        </w:rPr>
        <w:t>我方已详细审核全部磋商文件，包括修改文件（如有时）及有关附件。</w:t>
      </w:r>
    </w:p>
    <w:p w14:paraId="5E397E48">
      <w:pPr>
        <w:spacing w:line="440" w:lineRule="exact"/>
        <w:ind w:firstLine="442"/>
        <w:rPr>
          <w:rFonts w:ascii="宋体" w:hAnsi="宋体"/>
          <w:color w:val="auto"/>
        </w:rPr>
      </w:pPr>
      <w:r>
        <w:rPr>
          <w:rFonts w:hint="eastAsia" w:ascii="宋体" w:hAnsi="宋体"/>
          <w:color w:val="auto"/>
        </w:rPr>
        <w:t xml:space="preserve">3. </w:t>
      </w:r>
      <w:r>
        <w:rPr>
          <w:rFonts w:ascii="宋体" w:hAnsi="宋体"/>
          <w:color w:val="auto"/>
        </w:rPr>
        <w:t>一旦我方成交，我方保证按合同书中规定的工期</w:t>
      </w:r>
      <w:r>
        <w:rPr>
          <w:rFonts w:ascii="宋体" w:hAnsi="宋体"/>
          <w:color w:val="auto"/>
          <w:u w:val="single"/>
        </w:rPr>
        <w:t xml:space="preserve"> {工期}  </w:t>
      </w:r>
      <w:r>
        <w:rPr>
          <w:rFonts w:ascii="宋体" w:hAnsi="宋体"/>
          <w:color w:val="auto"/>
        </w:rPr>
        <w:t>日历</w:t>
      </w:r>
      <w:r>
        <w:rPr>
          <w:rFonts w:hint="eastAsia" w:ascii="宋体" w:hAnsi="宋体"/>
          <w:color w:val="auto"/>
        </w:rPr>
        <w:t>日</w:t>
      </w:r>
      <w:r>
        <w:rPr>
          <w:rFonts w:ascii="宋体" w:hAnsi="宋体"/>
          <w:color w:val="auto"/>
        </w:rPr>
        <w:t>内完成并移交全部工程。</w:t>
      </w:r>
    </w:p>
    <w:p w14:paraId="333E0D03">
      <w:pPr>
        <w:spacing w:line="440" w:lineRule="exact"/>
        <w:ind w:firstLine="442"/>
        <w:rPr>
          <w:rFonts w:ascii="宋体" w:hAnsi="宋体"/>
          <w:color w:val="auto"/>
        </w:rPr>
      </w:pPr>
      <w:r>
        <w:rPr>
          <w:rFonts w:hint="eastAsia" w:ascii="宋体" w:hAnsi="宋体"/>
          <w:color w:val="auto"/>
        </w:rPr>
        <w:t xml:space="preserve">4. </w:t>
      </w:r>
      <w:r>
        <w:rPr>
          <w:rFonts w:ascii="宋体" w:hAnsi="宋体"/>
          <w:color w:val="auto"/>
        </w:rPr>
        <w:t>如果我方成交，我方将按照</w:t>
      </w:r>
      <w:r>
        <w:rPr>
          <w:rFonts w:hint="eastAsia" w:ascii="宋体" w:hAnsi="宋体"/>
          <w:color w:val="auto"/>
        </w:rPr>
        <w:t>磋商</w:t>
      </w:r>
      <w:r>
        <w:rPr>
          <w:rFonts w:ascii="宋体" w:hAnsi="宋体"/>
          <w:color w:val="auto"/>
        </w:rPr>
        <w:t>文件规定提交</w:t>
      </w:r>
      <w:r>
        <w:rPr>
          <w:rFonts w:hint="eastAsia" w:ascii="宋体" w:hAnsi="宋体"/>
          <w:color w:val="auto"/>
        </w:rPr>
        <w:t>履约保证金（如有）</w:t>
      </w:r>
      <w:r>
        <w:rPr>
          <w:rFonts w:ascii="宋体" w:hAnsi="宋体"/>
          <w:color w:val="auto"/>
        </w:rPr>
        <w:t>作为履约担保。</w:t>
      </w:r>
    </w:p>
    <w:p w14:paraId="76D86697">
      <w:pPr>
        <w:spacing w:line="440" w:lineRule="exact"/>
        <w:ind w:firstLine="442"/>
        <w:rPr>
          <w:rFonts w:ascii="宋体" w:hAnsi="宋体"/>
          <w:color w:val="auto"/>
        </w:rPr>
      </w:pPr>
      <w:r>
        <w:rPr>
          <w:rFonts w:hint="eastAsia" w:ascii="宋体" w:hAnsi="宋体"/>
          <w:color w:val="auto"/>
        </w:rPr>
        <w:t xml:space="preserve">5. </w:t>
      </w:r>
      <w:r>
        <w:rPr>
          <w:rFonts w:ascii="宋体" w:hAnsi="宋体"/>
          <w:color w:val="auto"/>
        </w:rPr>
        <w:t>我方同意所提交的</w:t>
      </w:r>
      <w:r>
        <w:rPr>
          <w:rFonts w:hint="eastAsia" w:ascii="宋体" w:hAnsi="宋体"/>
          <w:color w:val="auto"/>
        </w:rPr>
        <w:t>响应文件</w:t>
      </w:r>
      <w:r>
        <w:rPr>
          <w:rFonts w:ascii="宋体" w:hAnsi="宋体"/>
          <w:color w:val="auto"/>
        </w:rPr>
        <w:t>在磋商文件的磋商须知中第</w:t>
      </w:r>
      <w:r>
        <w:rPr>
          <w:rFonts w:hint="eastAsia" w:ascii="宋体" w:hAnsi="宋体"/>
          <w:color w:val="auto"/>
        </w:rPr>
        <w:t>10</w:t>
      </w:r>
      <w:r>
        <w:rPr>
          <w:rFonts w:ascii="宋体" w:hAnsi="宋体"/>
          <w:color w:val="auto"/>
        </w:rPr>
        <w:t>条规定的磋商有效期内有效，在此期间内如果成交，我方将受此约束。</w:t>
      </w:r>
    </w:p>
    <w:p w14:paraId="72EE6E89">
      <w:pPr>
        <w:spacing w:line="440" w:lineRule="exact"/>
        <w:ind w:firstLine="442"/>
        <w:rPr>
          <w:rFonts w:ascii="宋体" w:hAnsi="宋体"/>
          <w:color w:val="auto"/>
        </w:rPr>
      </w:pPr>
      <w:r>
        <w:rPr>
          <w:rFonts w:ascii="宋体" w:hAnsi="宋体"/>
          <w:color w:val="auto"/>
        </w:rPr>
        <w:t>7</w:t>
      </w:r>
      <w:r>
        <w:rPr>
          <w:rFonts w:hint="eastAsia" w:ascii="宋体" w:hAnsi="宋体"/>
          <w:color w:val="auto"/>
        </w:rPr>
        <w:t xml:space="preserve">. </w:t>
      </w:r>
      <w:r>
        <w:rPr>
          <w:rFonts w:ascii="宋体" w:hAnsi="宋体"/>
          <w:color w:val="auto"/>
        </w:rPr>
        <w:t>除非另外达成协议并生效，你方的成交通知书和本</w:t>
      </w:r>
      <w:r>
        <w:rPr>
          <w:rFonts w:hint="eastAsia" w:ascii="宋体" w:hAnsi="宋体"/>
          <w:color w:val="auto"/>
        </w:rPr>
        <w:t>响应文件</w:t>
      </w:r>
      <w:r>
        <w:rPr>
          <w:rFonts w:ascii="宋体" w:hAnsi="宋体"/>
          <w:color w:val="auto"/>
        </w:rPr>
        <w:t>将成为约束双方的合同文件的组成部分。</w:t>
      </w:r>
    </w:p>
    <w:p w14:paraId="615D53EC">
      <w:pPr>
        <w:spacing w:line="440" w:lineRule="exact"/>
        <w:ind w:firstLine="442"/>
        <w:rPr>
          <w:rFonts w:ascii="宋体" w:hAnsi="宋体"/>
          <w:color w:val="auto"/>
        </w:rPr>
      </w:pPr>
      <w:r>
        <w:rPr>
          <w:rFonts w:ascii="宋体" w:hAnsi="宋体"/>
          <w:color w:val="auto"/>
        </w:rPr>
        <w:t>8</w:t>
      </w:r>
      <w:r>
        <w:rPr>
          <w:rFonts w:hint="eastAsia" w:ascii="宋体" w:hAnsi="宋体"/>
          <w:color w:val="auto"/>
        </w:rPr>
        <w:t xml:space="preserve">. </w:t>
      </w:r>
      <w:r>
        <w:rPr>
          <w:rFonts w:ascii="宋体" w:hAnsi="宋体"/>
          <w:color w:val="auto"/>
        </w:rPr>
        <w:t>我方将与本磋商函一起，提交人民币</w:t>
      </w:r>
      <w:r>
        <w:rPr>
          <w:rFonts w:hint="eastAsia" w:ascii="宋体" w:hAnsi="宋体"/>
          <w:color w:val="auto"/>
          <w:u w:val="single"/>
        </w:rPr>
        <w:t>/</w:t>
      </w:r>
      <w:r>
        <w:rPr>
          <w:rFonts w:ascii="宋体" w:hAnsi="宋体"/>
          <w:color w:val="auto"/>
        </w:rPr>
        <w:t>元作为磋商担保。</w:t>
      </w:r>
    </w:p>
    <w:p w14:paraId="10679978">
      <w:pPr>
        <w:spacing w:line="440" w:lineRule="exact"/>
        <w:rPr>
          <w:rFonts w:ascii="宋体" w:hAnsi="宋体"/>
          <w:color w:val="auto"/>
        </w:rPr>
      </w:pPr>
    </w:p>
    <w:p w14:paraId="4F969CD4">
      <w:pPr>
        <w:spacing w:line="440" w:lineRule="exact"/>
        <w:ind w:firstLine="2100" w:firstLineChars="1000"/>
        <w:rPr>
          <w:rFonts w:ascii="宋体" w:hAnsi="宋体"/>
          <w:color w:val="auto"/>
          <w:u w:val="single"/>
        </w:rPr>
      </w:pPr>
      <w:r>
        <w:rPr>
          <w:rFonts w:hint="eastAsia" w:ascii="宋体" w:hAnsi="宋体"/>
          <w:color w:val="auto"/>
        </w:rPr>
        <w:t>供应商</w:t>
      </w:r>
      <w:r>
        <w:rPr>
          <w:rFonts w:ascii="宋体" w:hAnsi="宋体"/>
          <w:color w:val="auto"/>
        </w:rPr>
        <w:t>：</w:t>
      </w:r>
      <w:r>
        <w:rPr>
          <w:rFonts w:hint="eastAsia" w:ascii="宋体" w:hAnsi="宋体"/>
          <w:color w:val="auto"/>
          <w:u w:val="single"/>
        </w:rPr>
        <w:t>（全称）</w:t>
      </w:r>
      <w:r>
        <w:rPr>
          <w:rFonts w:ascii="宋体" w:hAnsi="宋体"/>
          <w:color w:val="auto"/>
          <w:u w:val="single"/>
        </w:rPr>
        <w:t xml:space="preserve">               （</w:t>
      </w:r>
      <w:r>
        <w:rPr>
          <w:rFonts w:hint="eastAsia" w:ascii="宋体" w:hAnsi="宋体"/>
          <w:color w:val="auto"/>
          <w:u w:val="single"/>
          <w:lang w:eastAsia="zh-CN"/>
        </w:rPr>
        <w:t>电子签章</w:t>
      </w:r>
      <w:r>
        <w:rPr>
          <w:rFonts w:ascii="宋体" w:hAnsi="宋体"/>
          <w:color w:val="auto"/>
          <w:u w:val="single"/>
        </w:rPr>
        <w:t>）</w:t>
      </w:r>
    </w:p>
    <w:p w14:paraId="08F9FFA6">
      <w:pPr>
        <w:spacing w:line="440" w:lineRule="exact"/>
        <w:ind w:left="1000"/>
        <w:rPr>
          <w:rFonts w:ascii="宋体" w:hAnsi="宋体"/>
          <w:color w:val="auto"/>
          <w:u w:val="single"/>
        </w:rPr>
      </w:pPr>
      <w:r>
        <w:rPr>
          <w:rFonts w:ascii="宋体" w:hAnsi="宋体"/>
          <w:color w:val="auto"/>
        </w:rPr>
        <w:t xml:space="preserve">         单位地址：</w:t>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p>
    <w:p w14:paraId="546040B5">
      <w:pPr>
        <w:spacing w:line="440" w:lineRule="exact"/>
        <w:ind w:left="1000"/>
        <w:rPr>
          <w:rFonts w:ascii="宋体" w:hAnsi="宋体"/>
          <w:color w:val="auto"/>
        </w:rPr>
      </w:pPr>
      <w:r>
        <w:rPr>
          <w:rFonts w:ascii="宋体" w:hAnsi="宋体"/>
          <w:color w:val="auto"/>
        </w:rPr>
        <w:t xml:space="preserve">         邮政编码：</w:t>
      </w:r>
      <w:r>
        <w:rPr>
          <w:rFonts w:ascii="宋体" w:hAnsi="宋体"/>
          <w:color w:val="auto"/>
          <w:u w:val="single"/>
        </w:rPr>
        <w:tab/>
      </w:r>
      <w:r>
        <w:rPr>
          <w:rFonts w:ascii="宋体" w:hAnsi="宋体"/>
          <w:color w:val="auto"/>
          <w:u w:val="single"/>
        </w:rPr>
        <w:tab/>
      </w:r>
      <w:r>
        <w:rPr>
          <w:rFonts w:ascii="宋体" w:hAnsi="宋体"/>
          <w:color w:val="auto"/>
        </w:rPr>
        <w:t>电话：</w:t>
      </w:r>
      <w:r>
        <w:rPr>
          <w:rFonts w:ascii="宋体" w:hAnsi="宋体"/>
          <w:color w:val="auto"/>
          <w:u w:val="single"/>
        </w:rPr>
        <w:tab/>
      </w:r>
      <w:r>
        <w:rPr>
          <w:rFonts w:ascii="宋体" w:hAnsi="宋体"/>
          <w:color w:val="auto"/>
          <w:u w:val="single"/>
        </w:rPr>
        <w:tab/>
      </w:r>
      <w:r>
        <w:rPr>
          <w:rFonts w:ascii="宋体" w:hAnsi="宋体"/>
          <w:color w:val="auto"/>
        </w:rPr>
        <w:t xml:space="preserve"> 传真：</w:t>
      </w:r>
      <w:r>
        <w:rPr>
          <w:rFonts w:ascii="宋体" w:hAnsi="宋体"/>
          <w:color w:val="auto"/>
          <w:u w:val="single"/>
        </w:rPr>
        <w:tab/>
      </w:r>
      <w:r>
        <w:rPr>
          <w:rFonts w:ascii="宋体" w:hAnsi="宋体"/>
          <w:color w:val="auto"/>
          <w:u w:val="single"/>
        </w:rPr>
        <w:tab/>
      </w:r>
    </w:p>
    <w:p w14:paraId="5EA14BB1">
      <w:pPr>
        <w:spacing w:line="440" w:lineRule="exact"/>
        <w:ind w:left="1000"/>
        <w:rPr>
          <w:rFonts w:ascii="宋体" w:hAnsi="宋体"/>
          <w:color w:val="auto"/>
        </w:rPr>
      </w:pPr>
      <w:r>
        <w:rPr>
          <w:rFonts w:ascii="宋体" w:hAnsi="宋体"/>
          <w:color w:val="auto"/>
        </w:rPr>
        <w:t xml:space="preserve">         开户银行名称：</w:t>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p>
    <w:p w14:paraId="18B18628">
      <w:pPr>
        <w:spacing w:line="440" w:lineRule="exact"/>
        <w:ind w:left="1000"/>
        <w:rPr>
          <w:rFonts w:ascii="宋体" w:hAnsi="宋体"/>
          <w:color w:val="auto"/>
        </w:rPr>
      </w:pPr>
      <w:r>
        <w:rPr>
          <w:rFonts w:ascii="宋体" w:hAnsi="宋体"/>
          <w:color w:val="auto"/>
        </w:rPr>
        <w:t xml:space="preserve">         开户银行账号：</w:t>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p>
    <w:p w14:paraId="0AC50034">
      <w:pPr>
        <w:spacing w:line="440" w:lineRule="exact"/>
        <w:ind w:left="1000"/>
        <w:rPr>
          <w:rFonts w:ascii="宋体" w:hAnsi="宋体"/>
          <w:color w:val="auto"/>
        </w:rPr>
      </w:pPr>
      <w:r>
        <w:rPr>
          <w:rFonts w:ascii="宋体" w:hAnsi="宋体"/>
          <w:color w:val="auto"/>
        </w:rPr>
        <w:t xml:space="preserve">         开户银行地址：</w:t>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p>
    <w:p w14:paraId="74B23F99">
      <w:pPr>
        <w:spacing w:line="440" w:lineRule="exact"/>
        <w:ind w:left="1000"/>
        <w:rPr>
          <w:rFonts w:ascii="宋体" w:hAnsi="宋体"/>
          <w:color w:val="auto"/>
        </w:rPr>
      </w:pPr>
      <w:r>
        <w:rPr>
          <w:rFonts w:ascii="宋体" w:hAnsi="宋体"/>
          <w:color w:val="auto"/>
        </w:rPr>
        <w:t xml:space="preserve">         开户银行电话：</w:t>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p>
    <w:p w14:paraId="02ADB5F5">
      <w:pPr>
        <w:spacing w:line="440" w:lineRule="exact"/>
        <w:ind w:firstLine="1890" w:firstLineChars="900"/>
        <w:rPr>
          <w:rFonts w:ascii="宋体" w:hAnsi="宋体"/>
          <w:color w:val="auto"/>
          <w:szCs w:val="21"/>
        </w:rPr>
      </w:pPr>
      <w:r>
        <w:rPr>
          <w:rFonts w:ascii="宋体" w:hAnsi="宋体"/>
          <w:color w:val="auto"/>
        </w:rPr>
        <w:t>日期：_____年____月___日</w:t>
      </w:r>
    </w:p>
    <w:p w14:paraId="6E476F54">
      <w:pPr>
        <w:tabs>
          <w:tab w:val="left" w:pos="0"/>
        </w:tabs>
        <w:spacing w:after="50" w:line="400" w:lineRule="exact"/>
        <w:rPr>
          <w:rFonts w:ascii="宋体" w:hAnsi="宋体"/>
          <w:b/>
          <w:bCs/>
          <w:color w:val="auto"/>
          <w:sz w:val="24"/>
        </w:rPr>
      </w:pPr>
    </w:p>
    <w:p w14:paraId="2A5820FD">
      <w:pPr>
        <w:pStyle w:val="24"/>
        <w:rPr>
          <w:rFonts w:hAnsi="宋体"/>
          <w:color w:val="auto"/>
          <w:szCs w:val="21"/>
        </w:rPr>
      </w:pPr>
      <w:r>
        <w:rPr>
          <w:rFonts w:hAnsi="宋体"/>
          <w:b/>
          <w:bCs/>
          <w:color w:val="auto"/>
          <w:sz w:val="24"/>
        </w:rPr>
        <w:br w:type="page"/>
      </w:r>
    </w:p>
    <w:p w14:paraId="079683BE">
      <w:pPr>
        <w:rPr>
          <w:rFonts w:hint="eastAsia" w:ascii="宋体" w:hAnsi="宋体" w:cs="宋体"/>
          <w:color w:val="auto"/>
          <w:szCs w:val="21"/>
        </w:rPr>
      </w:pPr>
    </w:p>
    <w:p w14:paraId="7EC64FEA">
      <w:pPr>
        <w:widowControl/>
        <w:spacing w:line="720" w:lineRule="exact"/>
        <w:jc w:val="left"/>
        <w:rPr>
          <w:rFonts w:ascii="黑体" w:hAnsi="黑体" w:eastAsia="黑体" w:cs="黑体"/>
          <w:color w:val="auto"/>
          <w:sz w:val="32"/>
          <w:szCs w:val="32"/>
        </w:rPr>
      </w:pPr>
      <w:r>
        <w:rPr>
          <w:rFonts w:hint="eastAsia" w:ascii="黑体" w:hAnsi="黑体" w:eastAsia="黑体" w:cs="黑体"/>
          <w:color w:val="auto"/>
          <w:sz w:val="32"/>
          <w:szCs w:val="32"/>
          <w:lang w:val="zh-CN"/>
        </w:rPr>
        <w:t>附件</w:t>
      </w:r>
      <w:r>
        <w:rPr>
          <w:rFonts w:hint="eastAsia" w:ascii="黑体" w:hAnsi="黑体" w:eastAsia="黑体" w:cs="黑体"/>
          <w:color w:val="auto"/>
          <w:sz w:val="32"/>
          <w:szCs w:val="32"/>
        </w:rPr>
        <w:t>2</w:t>
      </w:r>
    </w:p>
    <w:p w14:paraId="1331567B">
      <w:pPr>
        <w:suppressAutoHyphens/>
        <w:rPr>
          <w:rFonts w:ascii="Calibri" w:hAnsi="Calibri"/>
          <w:color w:val="auto"/>
        </w:rPr>
      </w:pPr>
    </w:p>
    <w:p w14:paraId="671B2E1D">
      <w:pPr>
        <w:spacing w:line="580" w:lineRule="exact"/>
        <w:jc w:val="center"/>
        <w:rPr>
          <w:rFonts w:ascii="方正小标宋_GBK" w:hAnsi="宋体" w:eastAsia="方正小标宋_GBK"/>
          <w:color w:val="auto"/>
          <w:sz w:val="44"/>
          <w:szCs w:val="44"/>
        </w:rPr>
      </w:pPr>
      <w:r>
        <w:rPr>
          <w:rFonts w:hint="eastAsia" w:ascii="方正小标宋_GBK" w:hAnsi="宋体" w:eastAsia="方正小标宋_GBK"/>
          <w:color w:val="auto"/>
          <w:sz w:val="44"/>
          <w:szCs w:val="44"/>
        </w:rPr>
        <w:t>崇左市线上“政采贷”政策告知函</w:t>
      </w:r>
    </w:p>
    <w:p w14:paraId="4399D05A">
      <w:pPr>
        <w:spacing w:line="580" w:lineRule="exact"/>
        <w:ind w:firstLine="640" w:firstLineChars="200"/>
        <w:rPr>
          <w:rFonts w:ascii="宋体" w:hAnsi="宋体" w:eastAsia="华文仿宋"/>
          <w:color w:val="auto"/>
          <w:sz w:val="32"/>
          <w:szCs w:val="32"/>
        </w:rPr>
      </w:pPr>
    </w:p>
    <w:p w14:paraId="332B06B7">
      <w:pPr>
        <w:spacing w:line="58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各供应商：</w:t>
      </w:r>
    </w:p>
    <w:p w14:paraId="43BCFA4D">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欢迎贵公司参与崇左市政府采购活动！</w:t>
      </w:r>
    </w:p>
    <w:p w14:paraId="360B204C">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0B3BD0ED">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相关金融产品和银行业金融机构联系方式，可在中征应收账款融资服务平台查询（网址：</w:t>
      </w:r>
      <w:r>
        <w:rPr>
          <w:color w:val="auto"/>
        </w:rPr>
        <w:fldChar w:fldCharType="begin"/>
      </w:r>
      <w:r>
        <w:rPr>
          <w:color w:val="auto"/>
        </w:rPr>
        <w:instrText xml:space="preserve"> HYPERLINK "https://www.crcrfsp.com/" </w:instrText>
      </w:r>
      <w:r>
        <w:rPr>
          <w:color w:val="auto"/>
        </w:rPr>
        <w:fldChar w:fldCharType="separate"/>
      </w:r>
      <w:r>
        <w:rPr>
          <w:rFonts w:hint="eastAsia" w:ascii="仿宋_GB2312" w:hAnsi="仿宋_GB2312" w:eastAsia="仿宋_GB2312" w:cs="仿宋_GB2312"/>
          <w:color w:val="auto"/>
          <w:sz w:val="32"/>
          <w:u w:val="single"/>
        </w:rPr>
        <w:t>https://www.crcrfsp.com/</w:t>
      </w:r>
      <w:r>
        <w:rPr>
          <w:rFonts w:hint="eastAsia" w:ascii="仿宋_GB2312" w:hAnsi="仿宋_GB2312" w:eastAsia="仿宋_GB2312" w:cs="仿宋_GB2312"/>
          <w:color w:val="auto"/>
          <w:sz w:val="32"/>
          <w:u w:val="single"/>
        </w:rPr>
        <w:fldChar w:fldCharType="end"/>
      </w:r>
      <w:r>
        <w:rPr>
          <w:rFonts w:hint="eastAsia" w:ascii="仿宋_GB2312" w:hAnsi="仿宋_GB2312" w:eastAsia="仿宋_GB2312" w:cs="仿宋_GB2312"/>
          <w:color w:val="auto"/>
          <w:sz w:val="32"/>
          <w:szCs w:val="32"/>
        </w:rPr>
        <w:t>，客服电话：400-009-0001）。</w:t>
      </w:r>
    </w:p>
    <w:p w14:paraId="3544FF91">
      <w:pPr>
        <w:suppressAutoHyphens/>
        <w:rPr>
          <w:rFonts w:ascii="仿宋_GB2312" w:hAnsi="仿宋_GB2312" w:eastAsia="仿宋_GB2312" w:cs="仿宋_GB2312"/>
          <w:color w:val="auto"/>
          <w:szCs w:val="32"/>
        </w:rPr>
      </w:pPr>
    </w:p>
    <w:p w14:paraId="73496D2D">
      <w:pPr>
        <w:rPr>
          <w:rFonts w:ascii="仿宋_GB2312" w:hAnsi="仿宋_GB2312" w:eastAsia="华文仿宋" w:cs="仿宋_GB2312"/>
          <w:color w:val="auto"/>
          <w:sz w:val="32"/>
          <w:szCs w:val="32"/>
        </w:rPr>
      </w:pPr>
    </w:p>
    <w:p w14:paraId="0852AFB2">
      <w:pPr>
        <w:suppressAutoHyphens/>
        <w:rPr>
          <w:rFonts w:ascii="仿宋_GB2312" w:hAnsi="仿宋_GB2312" w:cs="仿宋_GB2312"/>
          <w:color w:val="auto"/>
          <w:szCs w:val="32"/>
        </w:rPr>
      </w:pPr>
    </w:p>
    <w:p w14:paraId="062A677E">
      <w:pPr>
        <w:rPr>
          <w:rFonts w:ascii="仿宋_GB2312" w:hAnsi="仿宋_GB2312" w:eastAsia="华文仿宋" w:cs="仿宋_GB2312"/>
          <w:color w:val="auto"/>
          <w:sz w:val="32"/>
          <w:szCs w:val="32"/>
        </w:rPr>
      </w:pPr>
    </w:p>
    <w:p w14:paraId="0C9267BC">
      <w:pPr>
        <w:rPr>
          <w:rFonts w:ascii="仿宋_GB2312" w:hAnsi="仿宋_GB2312" w:eastAsia="华文仿宋" w:cs="仿宋_GB2312"/>
          <w:color w:val="auto"/>
          <w:sz w:val="32"/>
          <w:szCs w:val="32"/>
        </w:rPr>
      </w:pPr>
    </w:p>
    <w:p w14:paraId="3EE4624C">
      <w:pPr>
        <w:suppressAutoHyphens/>
        <w:rPr>
          <w:rFonts w:ascii="仿宋_GB2312" w:hAnsi="仿宋_GB2312" w:cs="仿宋_GB2312"/>
          <w:color w:val="auto"/>
          <w:szCs w:val="32"/>
        </w:rPr>
      </w:pPr>
    </w:p>
    <w:p w14:paraId="5B89A106">
      <w:pPr>
        <w:spacing w:line="540" w:lineRule="exact"/>
        <w:rPr>
          <w:rFonts w:ascii="黑体" w:hAnsi="黑体" w:eastAsia="黑体" w:cs="黑体"/>
          <w:color w:val="auto"/>
          <w:sz w:val="32"/>
          <w:szCs w:val="32"/>
        </w:rPr>
      </w:pPr>
    </w:p>
    <w:p w14:paraId="357E0FC4">
      <w:pPr>
        <w:spacing w:line="540" w:lineRule="exact"/>
        <w:rPr>
          <w:rFonts w:ascii="黑体" w:hAnsi="黑体" w:eastAsia="黑体" w:cs="黑体"/>
          <w:color w:val="auto"/>
          <w:sz w:val="32"/>
          <w:szCs w:val="32"/>
        </w:rPr>
      </w:pPr>
    </w:p>
    <w:p w14:paraId="4877E320">
      <w:pPr>
        <w:widowControl/>
        <w:jc w:val="left"/>
        <w:rPr>
          <w:rFonts w:ascii="黑体" w:hAnsi="黑体" w:eastAsia="黑体" w:cs="黑体"/>
          <w:color w:val="auto"/>
          <w:sz w:val="32"/>
          <w:szCs w:val="32"/>
        </w:rPr>
      </w:pPr>
      <w:r>
        <w:rPr>
          <w:rFonts w:ascii="黑体" w:hAnsi="黑体" w:eastAsia="黑体" w:cs="黑体"/>
          <w:color w:val="auto"/>
          <w:sz w:val="32"/>
          <w:szCs w:val="32"/>
        </w:rPr>
        <w:br w:type="page"/>
      </w:r>
    </w:p>
    <w:p w14:paraId="7DC08162">
      <w:pPr>
        <w:spacing w:line="540" w:lineRule="exact"/>
        <w:rPr>
          <w:rFonts w:ascii="黑体" w:hAnsi="黑体" w:eastAsia="黑体" w:cs="黑体"/>
          <w:color w:val="auto"/>
          <w:sz w:val="32"/>
          <w:szCs w:val="32"/>
        </w:rPr>
      </w:pPr>
      <w:r>
        <w:rPr>
          <w:rFonts w:hint="eastAsia" w:ascii="黑体" w:hAnsi="黑体" w:eastAsia="黑体" w:cs="黑体"/>
          <w:color w:val="auto"/>
          <w:sz w:val="32"/>
          <w:szCs w:val="32"/>
        </w:rPr>
        <w:t>附件3</w:t>
      </w:r>
    </w:p>
    <w:p w14:paraId="6B797B0F">
      <w:pPr>
        <w:suppressAutoHyphens/>
        <w:rPr>
          <w:rFonts w:ascii="Calibri" w:hAnsi="Calibri"/>
          <w:color w:val="auto"/>
        </w:rPr>
      </w:pPr>
    </w:p>
    <w:p w14:paraId="20D69D0A">
      <w:pPr>
        <w:spacing w:line="600" w:lineRule="exact"/>
        <w:jc w:val="center"/>
        <w:rPr>
          <w:rFonts w:ascii="黑体" w:hAnsi="黑体" w:eastAsia="黑体" w:cs="黑体"/>
          <w:color w:val="auto"/>
          <w:sz w:val="44"/>
          <w:szCs w:val="44"/>
        </w:rPr>
      </w:pPr>
      <w:r>
        <w:rPr>
          <w:rFonts w:hint="eastAsia" w:ascii="方正小标宋_GBK" w:hAnsi="宋体" w:eastAsia="方正小标宋_GBK"/>
          <w:color w:val="auto"/>
          <w:sz w:val="44"/>
          <w:szCs w:val="44"/>
        </w:rPr>
        <w:t>崇左市线上“政采贷”业务流程图</w:t>
      </w:r>
    </w:p>
    <w:p w14:paraId="2A5EBCC4">
      <w:pPr>
        <w:rPr>
          <w:rFonts w:ascii="宋体" w:hAnsi="宋体" w:eastAsia="华文仿宋"/>
          <w:color w:val="auto"/>
          <w:sz w:val="32"/>
          <w:szCs w:val="32"/>
        </w:rPr>
      </w:pPr>
      <w:r>
        <w:rPr>
          <w:rFonts w:hint="eastAsia" w:ascii="宋体" w:hAnsi="宋体" w:eastAsia="仿宋_GB2312"/>
          <w:color w:val="auto"/>
          <w:sz w:val="32"/>
          <w:szCs w:val="32"/>
        </w:rPr>
        <w:drawing>
          <wp:inline distT="0" distB="0" distL="0" distR="0">
            <wp:extent cx="4930140" cy="7002780"/>
            <wp:effectExtent l="0" t="0" r="7620" b="7620"/>
            <wp:docPr id="6" name="图片 3"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流程图1011"/>
                    <pic:cNvPicPr>
                      <a:picLocks noChangeAspect="1" noChangeArrowheads="1"/>
                    </pic:cNvPicPr>
                  </pic:nvPicPr>
                  <pic:blipFill>
                    <a:blip r:embed="rId10" cstate="print"/>
                    <a:srcRect/>
                    <a:stretch>
                      <a:fillRect/>
                    </a:stretch>
                  </pic:blipFill>
                  <pic:spPr>
                    <a:xfrm>
                      <a:off x="0" y="0"/>
                      <a:ext cx="4930140" cy="7002780"/>
                    </a:xfrm>
                    <a:prstGeom prst="rect">
                      <a:avLst/>
                    </a:prstGeom>
                    <a:noFill/>
                    <a:ln w="9525">
                      <a:noFill/>
                      <a:miter lim="800000"/>
                      <a:headEnd/>
                      <a:tailEnd/>
                    </a:ln>
                  </pic:spPr>
                </pic:pic>
              </a:graphicData>
            </a:graphic>
          </wp:inline>
        </w:drawing>
      </w:r>
    </w:p>
    <w:p w14:paraId="194877CF">
      <w:pPr>
        <w:widowControl/>
        <w:ind w:firstLine="640" w:firstLineChars="200"/>
        <w:rPr>
          <w:rFonts w:ascii="宋体" w:hAnsi="宋体" w:eastAsia="华文仿宋"/>
          <w:color w:val="auto"/>
          <w:sz w:val="32"/>
          <w:szCs w:val="32"/>
        </w:rPr>
      </w:pPr>
    </w:p>
    <w:p w14:paraId="7E70331C">
      <w:pPr>
        <w:widowControl/>
        <w:jc w:val="left"/>
        <w:rPr>
          <w:rFonts w:ascii="黑体" w:hAnsi="黑体" w:eastAsia="黑体" w:cs="黑体"/>
          <w:color w:val="auto"/>
          <w:sz w:val="32"/>
          <w:szCs w:val="32"/>
          <w:lang w:val="zh-CN"/>
        </w:rPr>
      </w:pPr>
      <w:r>
        <w:rPr>
          <w:rFonts w:ascii="黑体" w:hAnsi="黑体" w:eastAsia="黑体" w:cs="黑体"/>
          <w:color w:val="auto"/>
          <w:sz w:val="32"/>
          <w:szCs w:val="32"/>
          <w:lang w:val="zh-CN"/>
        </w:rPr>
        <w:br w:type="page"/>
      </w:r>
    </w:p>
    <w:p w14:paraId="0E5AA68E">
      <w:pPr>
        <w:widowControl/>
        <w:spacing w:line="720" w:lineRule="exact"/>
        <w:jc w:val="left"/>
        <w:rPr>
          <w:rFonts w:ascii="黑体" w:hAnsi="黑体" w:eastAsia="黑体" w:cs="黑体"/>
          <w:color w:val="auto"/>
          <w:sz w:val="32"/>
          <w:szCs w:val="32"/>
        </w:rPr>
      </w:pPr>
      <w:r>
        <w:rPr>
          <w:rFonts w:hint="eastAsia" w:ascii="黑体" w:hAnsi="黑体" w:eastAsia="黑体" w:cs="黑体"/>
          <w:color w:val="auto"/>
          <w:sz w:val="32"/>
          <w:szCs w:val="32"/>
          <w:lang w:val="zh-CN"/>
        </w:rPr>
        <w:t>附件</w:t>
      </w:r>
      <w:r>
        <w:rPr>
          <w:rFonts w:hint="eastAsia" w:ascii="黑体" w:hAnsi="黑体" w:eastAsia="黑体" w:cs="黑体"/>
          <w:color w:val="auto"/>
          <w:sz w:val="32"/>
          <w:szCs w:val="32"/>
        </w:rPr>
        <w:t>4</w:t>
      </w:r>
    </w:p>
    <w:p w14:paraId="599B41D3">
      <w:pPr>
        <w:suppressAutoHyphens/>
        <w:rPr>
          <w:rFonts w:ascii="Calibri" w:hAnsi="Calibri"/>
          <w:color w:val="auto"/>
        </w:rPr>
      </w:pPr>
    </w:p>
    <w:p w14:paraId="7300EE4A">
      <w:pPr>
        <w:suppressAutoHyphens/>
        <w:ind w:left="424" w:leftChars="202"/>
        <w:jc w:val="center"/>
        <w:rPr>
          <w:rFonts w:ascii="方正小标宋_GBK" w:hAnsi="方正小标宋_GBK" w:eastAsia="方正小标宋_GBK" w:cs="方正小标宋_GBK"/>
          <w:color w:val="auto"/>
          <w:sz w:val="36"/>
          <w:szCs w:val="36"/>
        </w:rPr>
      </w:pPr>
      <w:r>
        <w:rPr>
          <w:rFonts w:hint="eastAsia" w:ascii="方正小标宋_GBK" w:hAnsi="方正小标宋_GBK" w:eastAsia="方正小标宋_GBK" w:cs="方正小标宋_GBK"/>
          <w:color w:val="auto"/>
          <w:sz w:val="36"/>
          <w:szCs w:val="36"/>
        </w:rPr>
        <w:t>崇左市金融机构线上“政采贷”业务办理联络表</w:t>
      </w:r>
    </w:p>
    <w:tbl>
      <w:tblPr>
        <w:tblStyle w:val="45"/>
        <w:tblW w:w="8314" w:type="dxa"/>
        <w:tblInd w:w="96" w:type="dxa"/>
        <w:tblLayout w:type="fixed"/>
        <w:tblCellMar>
          <w:top w:w="0" w:type="dxa"/>
          <w:left w:w="108" w:type="dxa"/>
          <w:bottom w:w="0" w:type="dxa"/>
          <w:right w:w="108" w:type="dxa"/>
        </w:tblCellMar>
      </w:tblPr>
      <w:tblGrid>
        <w:gridCol w:w="2674"/>
        <w:gridCol w:w="3515"/>
        <w:gridCol w:w="2125"/>
      </w:tblGrid>
      <w:tr w14:paraId="4770320D">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7CF92246">
            <w:pPr>
              <w:widowControl/>
              <w:spacing w:line="400" w:lineRule="exact"/>
              <w:jc w:val="center"/>
              <w:textAlignment w:val="center"/>
              <w:rPr>
                <w:rFonts w:ascii="宋体" w:hAnsi="宋体" w:cs="宋体"/>
                <w:b/>
                <w:bCs/>
                <w:color w:val="auto"/>
                <w:sz w:val="28"/>
                <w:szCs w:val="28"/>
              </w:rPr>
            </w:pPr>
            <w:r>
              <w:rPr>
                <w:rFonts w:hint="eastAsia" w:ascii="宋体" w:hAnsi="宋体" w:cs="宋体"/>
                <w:b/>
                <w:bCs/>
                <w:color w:val="auto"/>
                <w:kern w:val="0"/>
                <w:sz w:val="28"/>
                <w:szCs w:val="28"/>
              </w:rPr>
              <w:t>金融机构名称</w:t>
            </w:r>
          </w:p>
        </w:tc>
        <w:tc>
          <w:tcPr>
            <w:tcW w:w="3515" w:type="dxa"/>
            <w:tcBorders>
              <w:top w:val="single" w:color="000000" w:sz="4" w:space="0"/>
              <w:left w:val="single" w:color="000000" w:sz="4" w:space="0"/>
              <w:bottom w:val="single" w:color="000000" w:sz="4" w:space="0"/>
              <w:right w:val="single" w:color="000000" w:sz="4" w:space="0"/>
            </w:tcBorders>
            <w:vAlign w:val="center"/>
          </w:tcPr>
          <w:p w14:paraId="4DA233CC">
            <w:pPr>
              <w:widowControl/>
              <w:spacing w:line="400" w:lineRule="exact"/>
              <w:jc w:val="center"/>
              <w:textAlignment w:val="center"/>
              <w:rPr>
                <w:rFonts w:ascii="宋体" w:hAnsi="宋体" w:cs="宋体"/>
                <w:b/>
                <w:bCs/>
                <w:color w:val="auto"/>
                <w:sz w:val="28"/>
                <w:szCs w:val="28"/>
              </w:rPr>
            </w:pPr>
            <w:r>
              <w:rPr>
                <w:rFonts w:hint="eastAsia" w:ascii="宋体" w:hAnsi="宋体" w:cs="宋体"/>
                <w:b/>
                <w:bCs/>
                <w:color w:val="auto"/>
                <w:kern w:val="0"/>
                <w:sz w:val="28"/>
                <w:szCs w:val="28"/>
              </w:rPr>
              <w:t>地址</w:t>
            </w:r>
          </w:p>
        </w:tc>
        <w:tc>
          <w:tcPr>
            <w:tcW w:w="2125" w:type="dxa"/>
            <w:tcBorders>
              <w:top w:val="single" w:color="000000" w:sz="4" w:space="0"/>
              <w:left w:val="single" w:color="000000" w:sz="4" w:space="0"/>
              <w:bottom w:val="single" w:color="000000" w:sz="4" w:space="0"/>
              <w:right w:val="single" w:color="000000" w:sz="4" w:space="0"/>
            </w:tcBorders>
            <w:vAlign w:val="center"/>
          </w:tcPr>
          <w:p w14:paraId="53873FE7">
            <w:pPr>
              <w:widowControl/>
              <w:spacing w:line="400" w:lineRule="exact"/>
              <w:jc w:val="center"/>
              <w:textAlignment w:val="center"/>
              <w:rPr>
                <w:rFonts w:ascii="宋体" w:hAnsi="宋体" w:cs="宋体"/>
                <w:b/>
                <w:bCs/>
                <w:color w:val="auto"/>
                <w:sz w:val="28"/>
                <w:szCs w:val="28"/>
              </w:rPr>
            </w:pPr>
            <w:r>
              <w:rPr>
                <w:rFonts w:hint="eastAsia" w:ascii="宋体" w:hAnsi="宋体" w:cs="宋体"/>
                <w:b/>
                <w:bCs/>
                <w:color w:val="auto"/>
                <w:kern w:val="0"/>
                <w:sz w:val="28"/>
                <w:szCs w:val="28"/>
              </w:rPr>
              <w:t>业务咨询电话</w:t>
            </w:r>
          </w:p>
        </w:tc>
      </w:tr>
      <w:tr w14:paraId="2FD50DA5">
        <w:tblPrEx>
          <w:tblCellMar>
            <w:top w:w="0" w:type="dxa"/>
            <w:left w:w="108" w:type="dxa"/>
            <w:bottom w:w="0" w:type="dxa"/>
            <w:right w:w="108" w:type="dxa"/>
          </w:tblCellMar>
        </w:tblPrEx>
        <w:trPr>
          <w:trHeight w:val="36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3CEFE386">
            <w:pPr>
              <w:widowControl/>
              <w:jc w:val="left"/>
              <w:textAlignment w:val="center"/>
              <w:rPr>
                <w:rFonts w:ascii="宋体" w:hAnsi="宋体" w:cs="宋体"/>
                <w:color w:val="auto"/>
                <w:szCs w:val="21"/>
              </w:rPr>
            </w:pPr>
            <w:r>
              <w:rPr>
                <w:rFonts w:hint="eastAsia" w:ascii="宋体" w:hAnsi="宋体" w:cs="宋体"/>
                <w:b/>
                <w:bCs/>
                <w:color w:val="auto"/>
                <w:szCs w:val="21"/>
              </w:rPr>
              <w:t>崇左市本级及江州区</w:t>
            </w:r>
          </w:p>
        </w:tc>
      </w:tr>
      <w:tr w14:paraId="4EDE3FC0">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9EB270">
            <w:pPr>
              <w:widowControl/>
              <w:jc w:val="left"/>
              <w:textAlignment w:val="center"/>
              <w:rPr>
                <w:rFonts w:ascii="宋体" w:hAnsi="宋体" w:cs="宋体"/>
                <w:color w:val="auto"/>
                <w:szCs w:val="21"/>
              </w:rPr>
            </w:pPr>
            <w:r>
              <w:rPr>
                <w:rFonts w:hint="eastAsia" w:ascii="宋体" w:hAnsi="宋体" w:cs="宋体"/>
                <w:color w:val="auto"/>
                <w:szCs w:val="21"/>
              </w:rPr>
              <w:t>工商银行崇左分行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B9F705B">
            <w:pPr>
              <w:widowControl/>
              <w:jc w:val="left"/>
              <w:textAlignment w:val="center"/>
              <w:rPr>
                <w:rFonts w:ascii="宋体" w:hAnsi="宋体" w:cs="宋体"/>
                <w:color w:val="auto"/>
                <w:szCs w:val="21"/>
              </w:rPr>
            </w:pPr>
            <w:r>
              <w:rPr>
                <w:rFonts w:hint="eastAsia" w:ascii="宋体" w:hAnsi="宋体" w:cs="宋体"/>
                <w:color w:val="auto"/>
                <w:szCs w:val="21"/>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vAlign w:val="center"/>
          </w:tcPr>
          <w:p w14:paraId="2F918F36">
            <w:pPr>
              <w:widowControl/>
              <w:jc w:val="center"/>
              <w:textAlignment w:val="center"/>
              <w:rPr>
                <w:rFonts w:ascii="宋体" w:hAnsi="宋体" w:cs="宋体"/>
                <w:color w:val="auto"/>
                <w:szCs w:val="21"/>
              </w:rPr>
            </w:pPr>
            <w:r>
              <w:rPr>
                <w:rFonts w:hint="eastAsia" w:ascii="宋体" w:hAnsi="宋体" w:cs="宋体"/>
                <w:color w:val="auto"/>
                <w:szCs w:val="21"/>
              </w:rPr>
              <w:t>0771-7820436 0771-7820439</w:t>
            </w:r>
          </w:p>
        </w:tc>
      </w:tr>
      <w:tr w14:paraId="4357C0A0">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204B8B">
            <w:pPr>
              <w:widowControl/>
              <w:jc w:val="left"/>
              <w:textAlignment w:val="center"/>
              <w:rPr>
                <w:rFonts w:ascii="宋体" w:hAnsi="宋体" w:cs="宋体"/>
                <w:color w:val="auto"/>
                <w:szCs w:val="21"/>
              </w:rPr>
            </w:pPr>
            <w:r>
              <w:rPr>
                <w:rFonts w:hint="eastAsia" w:ascii="宋体" w:hAnsi="宋体" w:cs="宋体"/>
                <w:color w:val="auto"/>
                <w:szCs w:val="21"/>
              </w:rPr>
              <w:t>农业银行崇左分行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CBBE00F">
            <w:pPr>
              <w:widowControl/>
              <w:jc w:val="left"/>
              <w:textAlignment w:val="center"/>
              <w:rPr>
                <w:rFonts w:ascii="宋体" w:hAnsi="宋体" w:cs="宋体"/>
                <w:color w:val="auto"/>
                <w:szCs w:val="21"/>
              </w:rPr>
            </w:pPr>
            <w:r>
              <w:rPr>
                <w:rFonts w:hint="eastAsia" w:ascii="宋体" w:hAnsi="宋体" w:cs="宋体"/>
                <w:color w:val="auto"/>
                <w:szCs w:val="21"/>
              </w:rPr>
              <w:t>江州区友谊大道26号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DF87DA2">
            <w:pPr>
              <w:widowControl/>
              <w:jc w:val="center"/>
              <w:textAlignment w:val="center"/>
              <w:rPr>
                <w:rFonts w:ascii="宋体" w:hAnsi="宋体" w:cs="宋体"/>
                <w:color w:val="auto"/>
                <w:szCs w:val="21"/>
              </w:rPr>
            </w:pPr>
            <w:r>
              <w:rPr>
                <w:rFonts w:hint="eastAsia" w:ascii="宋体" w:hAnsi="宋体" w:cs="宋体"/>
                <w:color w:val="auto"/>
                <w:szCs w:val="21"/>
              </w:rPr>
              <w:t>0771-7917212</w:t>
            </w:r>
          </w:p>
        </w:tc>
      </w:tr>
      <w:tr w14:paraId="156CF245">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623742B">
            <w:pPr>
              <w:widowControl/>
              <w:jc w:val="left"/>
              <w:textAlignment w:val="center"/>
              <w:rPr>
                <w:rFonts w:ascii="宋体" w:hAnsi="宋体" w:cs="宋体"/>
                <w:color w:val="auto"/>
                <w:szCs w:val="21"/>
              </w:rPr>
            </w:pPr>
            <w:r>
              <w:rPr>
                <w:rFonts w:hint="eastAsia" w:ascii="宋体" w:hAnsi="宋体" w:cs="宋体"/>
                <w:color w:val="auto"/>
                <w:szCs w:val="21"/>
              </w:rPr>
              <w:t>农业银行江州支行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6AB481F">
            <w:pPr>
              <w:widowControl/>
              <w:jc w:val="left"/>
              <w:textAlignment w:val="center"/>
              <w:rPr>
                <w:rFonts w:ascii="宋体" w:hAnsi="宋体" w:cs="宋体"/>
                <w:color w:val="auto"/>
                <w:szCs w:val="21"/>
              </w:rPr>
            </w:pPr>
            <w:r>
              <w:rPr>
                <w:rFonts w:hint="eastAsia" w:ascii="宋体" w:hAnsi="宋体" w:cs="宋体"/>
                <w:color w:val="auto"/>
                <w:szCs w:val="21"/>
              </w:rPr>
              <w:t>江州区江南路48号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B72D2F2">
            <w:pPr>
              <w:widowControl/>
              <w:jc w:val="center"/>
              <w:textAlignment w:val="center"/>
              <w:rPr>
                <w:rFonts w:ascii="宋体" w:hAnsi="宋体" w:cs="宋体"/>
                <w:color w:val="auto"/>
                <w:szCs w:val="21"/>
              </w:rPr>
            </w:pPr>
            <w:r>
              <w:rPr>
                <w:rFonts w:hint="eastAsia" w:ascii="宋体" w:hAnsi="宋体" w:cs="宋体"/>
                <w:color w:val="auto"/>
                <w:szCs w:val="21"/>
              </w:rPr>
              <w:t>0771-7917054</w:t>
            </w:r>
          </w:p>
        </w:tc>
      </w:tr>
      <w:tr w14:paraId="4F216C48">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0AEACE6">
            <w:pPr>
              <w:widowControl/>
              <w:jc w:val="left"/>
              <w:textAlignment w:val="center"/>
              <w:rPr>
                <w:rFonts w:ascii="宋体" w:hAnsi="宋体" w:cs="宋体"/>
                <w:color w:val="auto"/>
                <w:szCs w:val="21"/>
              </w:rPr>
            </w:pPr>
            <w:r>
              <w:rPr>
                <w:rFonts w:hint="eastAsia" w:ascii="宋体" w:hAnsi="宋体" w:cs="宋体"/>
                <w:color w:val="auto"/>
                <w:szCs w:val="21"/>
              </w:rPr>
              <w:t>建行崇左分行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007BE11">
            <w:pPr>
              <w:widowControl/>
              <w:jc w:val="left"/>
              <w:textAlignment w:val="center"/>
              <w:rPr>
                <w:rFonts w:ascii="宋体" w:hAnsi="宋体" w:cs="宋体"/>
                <w:color w:val="auto"/>
                <w:szCs w:val="21"/>
              </w:rPr>
            </w:pPr>
            <w:r>
              <w:rPr>
                <w:rFonts w:hint="eastAsia" w:ascii="宋体" w:hAnsi="宋体" w:cs="宋体"/>
                <w:color w:val="auto"/>
                <w:szCs w:val="21"/>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vAlign w:val="center"/>
          </w:tcPr>
          <w:p w14:paraId="5B4356D6">
            <w:pPr>
              <w:widowControl/>
              <w:jc w:val="center"/>
              <w:textAlignment w:val="center"/>
              <w:rPr>
                <w:rFonts w:ascii="宋体" w:hAnsi="宋体" w:cs="宋体"/>
                <w:color w:val="auto"/>
                <w:szCs w:val="21"/>
              </w:rPr>
            </w:pPr>
            <w:r>
              <w:rPr>
                <w:rFonts w:hint="eastAsia" w:ascii="宋体" w:hAnsi="宋体" w:cs="宋体"/>
                <w:color w:val="auto"/>
                <w:szCs w:val="21"/>
              </w:rPr>
              <w:t>0771-7831103</w:t>
            </w:r>
          </w:p>
        </w:tc>
      </w:tr>
      <w:tr w14:paraId="1577DA39">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684041D">
            <w:pPr>
              <w:widowControl/>
              <w:jc w:val="left"/>
              <w:textAlignment w:val="center"/>
              <w:rPr>
                <w:rFonts w:ascii="宋体" w:hAnsi="宋体" w:cs="宋体"/>
                <w:color w:val="auto"/>
                <w:szCs w:val="21"/>
              </w:rPr>
            </w:pPr>
            <w:r>
              <w:rPr>
                <w:rFonts w:hint="eastAsia" w:ascii="宋体" w:hAnsi="宋体" w:cs="宋体"/>
                <w:color w:val="auto"/>
                <w:szCs w:val="21"/>
              </w:rPr>
              <w:t>中国银行崇左分行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C2F505A">
            <w:pPr>
              <w:widowControl/>
              <w:jc w:val="left"/>
              <w:textAlignment w:val="center"/>
              <w:rPr>
                <w:rFonts w:ascii="宋体" w:hAnsi="宋体" w:cs="宋体"/>
                <w:color w:val="auto"/>
                <w:szCs w:val="21"/>
              </w:rPr>
            </w:pPr>
            <w:r>
              <w:rPr>
                <w:rFonts w:hint="eastAsia" w:ascii="宋体" w:hAnsi="宋体" w:cs="宋体"/>
                <w:color w:val="auto"/>
                <w:szCs w:val="21"/>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vAlign w:val="center"/>
          </w:tcPr>
          <w:p w14:paraId="4DE42F84">
            <w:pPr>
              <w:widowControl/>
              <w:jc w:val="center"/>
              <w:textAlignment w:val="center"/>
              <w:rPr>
                <w:rFonts w:ascii="宋体" w:hAnsi="宋体" w:cs="宋体"/>
                <w:color w:val="auto"/>
                <w:szCs w:val="21"/>
              </w:rPr>
            </w:pPr>
            <w:r>
              <w:rPr>
                <w:rFonts w:hint="eastAsia" w:ascii="宋体" w:hAnsi="宋体" w:cs="宋体"/>
                <w:color w:val="auto"/>
                <w:szCs w:val="21"/>
              </w:rPr>
              <w:t>0771-7928650 0771-7920613</w:t>
            </w:r>
          </w:p>
        </w:tc>
      </w:tr>
      <w:tr w14:paraId="5683383D">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3D5C0D1">
            <w:pPr>
              <w:widowControl/>
              <w:jc w:val="left"/>
              <w:textAlignment w:val="center"/>
              <w:rPr>
                <w:rFonts w:ascii="宋体" w:hAnsi="宋体" w:cs="宋体"/>
                <w:color w:val="auto"/>
                <w:szCs w:val="21"/>
              </w:rPr>
            </w:pPr>
            <w:r>
              <w:rPr>
                <w:rFonts w:hint="eastAsia" w:ascii="宋体" w:hAnsi="宋体" w:cs="宋体"/>
                <w:color w:val="auto"/>
                <w:szCs w:val="21"/>
              </w:rPr>
              <w:t>崇左农商行授信审批部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3F1833B9">
            <w:pPr>
              <w:widowControl/>
              <w:jc w:val="left"/>
              <w:textAlignment w:val="center"/>
              <w:rPr>
                <w:rFonts w:ascii="宋体" w:hAnsi="宋体" w:cs="宋体"/>
                <w:color w:val="auto"/>
                <w:szCs w:val="21"/>
              </w:rPr>
            </w:pPr>
            <w:r>
              <w:rPr>
                <w:rFonts w:hint="eastAsia" w:ascii="宋体" w:hAnsi="宋体" w:cs="宋体"/>
                <w:color w:val="auto"/>
                <w:szCs w:val="21"/>
              </w:rPr>
              <w:t>崇左市城西路109号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C7386DF">
            <w:pPr>
              <w:widowControl/>
              <w:jc w:val="center"/>
              <w:textAlignment w:val="center"/>
              <w:rPr>
                <w:rFonts w:ascii="宋体" w:hAnsi="宋体" w:cs="宋体"/>
                <w:color w:val="auto"/>
                <w:szCs w:val="21"/>
              </w:rPr>
            </w:pPr>
            <w:r>
              <w:rPr>
                <w:rFonts w:hint="eastAsia" w:ascii="宋体" w:hAnsi="宋体" w:cs="宋体"/>
                <w:color w:val="auto"/>
                <w:szCs w:val="21"/>
              </w:rPr>
              <w:t>0771-7925660</w:t>
            </w:r>
          </w:p>
        </w:tc>
      </w:tr>
      <w:tr w14:paraId="7BB3A826">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5E2ED0">
            <w:pPr>
              <w:widowControl/>
              <w:jc w:val="left"/>
              <w:textAlignment w:val="center"/>
              <w:rPr>
                <w:rFonts w:ascii="宋体" w:hAnsi="宋体" w:cs="宋体"/>
                <w:color w:val="auto"/>
                <w:szCs w:val="21"/>
              </w:rPr>
            </w:pPr>
            <w:r>
              <w:rPr>
                <w:rFonts w:hint="eastAsia" w:ascii="宋体" w:hAnsi="宋体" w:cs="宋体"/>
                <w:color w:val="auto"/>
                <w:szCs w:val="21"/>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192437F">
            <w:pPr>
              <w:widowControl/>
              <w:jc w:val="left"/>
              <w:textAlignment w:val="center"/>
              <w:rPr>
                <w:rFonts w:ascii="宋体" w:hAnsi="宋体" w:cs="宋体"/>
                <w:color w:val="auto"/>
                <w:szCs w:val="21"/>
              </w:rPr>
            </w:pPr>
            <w:r>
              <w:rPr>
                <w:rFonts w:hint="eastAsia" w:ascii="宋体" w:hAnsi="宋体" w:cs="宋体"/>
                <w:color w:val="auto"/>
                <w:szCs w:val="21"/>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3D0414B0">
            <w:pPr>
              <w:widowControl/>
              <w:jc w:val="center"/>
              <w:textAlignment w:val="center"/>
              <w:rPr>
                <w:rFonts w:ascii="宋体" w:hAnsi="宋体" w:cs="宋体"/>
                <w:color w:val="auto"/>
                <w:szCs w:val="21"/>
              </w:rPr>
            </w:pPr>
            <w:r>
              <w:rPr>
                <w:rFonts w:hint="eastAsia" w:ascii="宋体" w:hAnsi="宋体" w:cs="宋体"/>
                <w:color w:val="auto"/>
                <w:szCs w:val="21"/>
              </w:rPr>
              <w:t>0771-7968699</w:t>
            </w:r>
          </w:p>
        </w:tc>
      </w:tr>
      <w:tr w14:paraId="1B796A57">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4CE02E3">
            <w:pPr>
              <w:widowControl/>
              <w:jc w:val="left"/>
              <w:textAlignment w:val="center"/>
              <w:rPr>
                <w:rFonts w:ascii="宋体" w:hAnsi="宋体" w:cs="宋体"/>
                <w:color w:val="auto"/>
                <w:szCs w:val="21"/>
              </w:rPr>
            </w:pPr>
            <w:r>
              <w:rPr>
                <w:rFonts w:hint="eastAsia" w:ascii="宋体" w:hAnsi="宋体" w:cs="宋体"/>
                <w:color w:val="auto"/>
                <w:szCs w:val="21"/>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4C9E960C">
            <w:pPr>
              <w:widowControl/>
              <w:jc w:val="left"/>
              <w:textAlignment w:val="center"/>
              <w:rPr>
                <w:rFonts w:ascii="宋体" w:hAnsi="宋体" w:cs="宋体"/>
                <w:color w:val="auto"/>
                <w:szCs w:val="21"/>
              </w:rPr>
            </w:pPr>
            <w:r>
              <w:rPr>
                <w:rFonts w:hint="eastAsia" w:ascii="宋体" w:hAnsi="宋体" w:cs="宋体"/>
                <w:color w:val="auto"/>
                <w:szCs w:val="21"/>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vAlign w:val="center"/>
          </w:tcPr>
          <w:p w14:paraId="08865EC9">
            <w:pPr>
              <w:widowControl/>
              <w:jc w:val="center"/>
              <w:textAlignment w:val="center"/>
              <w:rPr>
                <w:rFonts w:ascii="宋体" w:hAnsi="宋体" w:cs="宋体"/>
                <w:color w:val="auto"/>
                <w:szCs w:val="21"/>
              </w:rPr>
            </w:pPr>
            <w:r>
              <w:rPr>
                <w:rFonts w:hint="eastAsia" w:ascii="宋体" w:hAnsi="宋体" w:cs="宋体"/>
                <w:color w:val="auto"/>
                <w:szCs w:val="21"/>
              </w:rPr>
              <w:t>0771-7916636</w:t>
            </w:r>
          </w:p>
        </w:tc>
      </w:tr>
      <w:tr w14:paraId="47CC7951">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7D673CD">
            <w:pPr>
              <w:widowControl/>
              <w:jc w:val="left"/>
              <w:textAlignment w:val="center"/>
              <w:rPr>
                <w:rFonts w:ascii="宋体" w:hAnsi="宋体" w:cs="宋体"/>
                <w:color w:val="auto"/>
                <w:szCs w:val="21"/>
              </w:rPr>
            </w:pPr>
            <w:r>
              <w:rPr>
                <w:rFonts w:hint="eastAsia" w:ascii="宋体" w:hAnsi="宋体" w:cs="宋体"/>
                <w:color w:val="auto"/>
                <w:szCs w:val="21"/>
              </w:rPr>
              <w:t>桂林银行江州支行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7E1DD43">
            <w:pPr>
              <w:widowControl/>
              <w:jc w:val="left"/>
              <w:textAlignment w:val="center"/>
              <w:rPr>
                <w:rFonts w:ascii="宋体" w:hAnsi="宋体" w:cs="宋体"/>
                <w:color w:val="auto"/>
                <w:szCs w:val="21"/>
              </w:rPr>
            </w:pPr>
            <w:r>
              <w:rPr>
                <w:rFonts w:hint="eastAsia" w:ascii="宋体" w:hAnsi="宋体" w:cs="宋体"/>
                <w:color w:val="auto"/>
                <w:szCs w:val="21"/>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5BDF7040">
            <w:pPr>
              <w:widowControl/>
              <w:jc w:val="center"/>
              <w:textAlignment w:val="center"/>
              <w:rPr>
                <w:rFonts w:ascii="宋体" w:hAnsi="宋体" w:cs="宋体"/>
                <w:color w:val="auto"/>
                <w:szCs w:val="21"/>
              </w:rPr>
            </w:pPr>
            <w:r>
              <w:rPr>
                <w:rFonts w:hint="eastAsia" w:ascii="宋体" w:hAnsi="宋体" w:cs="宋体"/>
                <w:color w:val="auto"/>
                <w:szCs w:val="21"/>
              </w:rPr>
              <w:t>0771-7988895</w:t>
            </w:r>
          </w:p>
        </w:tc>
      </w:tr>
      <w:tr w14:paraId="5BB25E90">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EFAA513">
            <w:pPr>
              <w:widowControl/>
              <w:jc w:val="left"/>
              <w:textAlignment w:val="center"/>
              <w:rPr>
                <w:rFonts w:ascii="宋体" w:hAnsi="宋体" w:cs="宋体"/>
                <w:color w:val="auto"/>
                <w:szCs w:val="21"/>
              </w:rPr>
            </w:pPr>
            <w:r>
              <w:rPr>
                <w:rFonts w:hint="eastAsia" w:ascii="宋体" w:hAnsi="宋体" w:cs="宋体"/>
                <w:color w:val="auto"/>
                <w:szCs w:val="21"/>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5EED77A">
            <w:pPr>
              <w:widowControl/>
              <w:jc w:val="left"/>
              <w:textAlignment w:val="center"/>
              <w:rPr>
                <w:rFonts w:ascii="宋体" w:hAnsi="宋体" w:cs="宋体"/>
                <w:color w:val="auto"/>
                <w:szCs w:val="21"/>
              </w:rPr>
            </w:pPr>
            <w:r>
              <w:rPr>
                <w:rFonts w:hint="eastAsia" w:ascii="宋体" w:hAnsi="宋体" w:cs="宋体"/>
                <w:color w:val="auto"/>
                <w:szCs w:val="21"/>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1D8ABB0B">
            <w:pPr>
              <w:widowControl/>
              <w:jc w:val="center"/>
              <w:textAlignment w:val="center"/>
              <w:rPr>
                <w:rFonts w:ascii="宋体" w:hAnsi="宋体" w:cs="宋体"/>
                <w:color w:val="auto"/>
                <w:szCs w:val="21"/>
              </w:rPr>
            </w:pPr>
            <w:r>
              <w:rPr>
                <w:rFonts w:hint="eastAsia" w:ascii="宋体" w:hAnsi="宋体" w:cs="宋体"/>
                <w:color w:val="auto"/>
                <w:szCs w:val="21"/>
              </w:rPr>
              <w:t>0771-7960855</w:t>
            </w:r>
          </w:p>
        </w:tc>
      </w:tr>
      <w:tr w14:paraId="28866AAF">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A3FE6D8">
            <w:pPr>
              <w:widowControl/>
              <w:jc w:val="left"/>
              <w:textAlignment w:val="center"/>
              <w:rPr>
                <w:rFonts w:ascii="宋体" w:hAnsi="宋体" w:cs="宋体"/>
                <w:color w:val="auto"/>
                <w:szCs w:val="21"/>
              </w:rPr>
            </w:pPr>
            <w:r>
              <w:rPr>
                <w:rFonts w:hint="eastAsia" w:ascii="宋体" w:hAnsi="宋体" w:cs="宋体"/>
                <w:color w:val="auto"/>
                <w:szCs w:val="21"/>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12FDC7C">
            <w:pPr>
              <w:widowControl/>
              <w:jc w:val="left"/>
              <w:textAlignment w:val="center"/>
              <w:rPr>
                <w:rFonts w:ascii="宋体" w:hAnsi="宋体" w:cs="宋体"/>
                <w:color w:val="auto"/>
                <w:szCs w:val="21"/>
              </w:rPr>
            </w:pPr>
            <w:r>
              <w:rPr>
                <w:rFonts w:hint="eastAsia" w:ascii="宋体" w:hAnsi="宋体" w:cs="宋体"/>
                <w:color w:val="auto"/>
                <w:szCs w:val="21"/>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vAlign w:val="center"/>
          </w:tcPr>
          <w:p w14:paraId="16943BBA">
            <w:pPr>
              <w:widowControl/>
              <w:jc w:val="center"/>
              <w:textAlignment w:val="center"/>
              <w:rPr>
                <w:rFonts w:ascii="宋体" w:hAnsi="宋体" w:cs="宋体"/>
                <w:color w:val="auto"/>
                <w:szCs w:val="21"/>
              </w:rPr>
            </w:pPr>
            <w:r>
              <w:rPr>
                <w:rFonts w:hint="eastAsia" w:ascii="宋体" w:hAnsi="宋体" w:cs="宋体"/>
                <w:color w:val="auto"/>
                <w:szCs w:val="21"/>
              </w:rPr>
              <w:t>0771-7821126</w:t>
            </w:r>
          </w:p>
        </w:tc>
      </w:tr>
      <w:tr w14:paraId="6A23B3EA">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3DF7A45">
            <w:pPr>
              <w:widowControl/>
              <w:jc w:val="left"/>
              <w:textAlignment w:val="center"/>
              <w:rPr>
                <w:rFonts w:ascii="宋体" w:hAnsi="宋体" w:cs="宋体"/>
                <w:color w:val="auto"/>
                <w:szCs w:val="21"/>
              </w:rPr>
            </w:pPr>
            <w:r>
              <w:rPr>
                <w:rFonts w:hint="eastAsia" w:ascii="宋体" w:hAnsi="宋体" w:cs="宋体"/>
                <w:color w:val="auto"/>
                <w:szCs w:val="21"/>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0B1ADC9">
            <w:pPr>
              <w:widowControl/>
              <w:jc w:val="left"/>
              <w:textAlignment w:val="center"/>
              <w:rPr>
                <w:rFonts w:ascii="宋体" w:hAnsi="宋体" w:cs="宋体"/>
                <w:color w:val="auto"/>
                <w:szCs w:val="21"/>
              </w:rPr>
            </w:pPr>
            <w:r>
              <w:rPr>
                <w:rFonts w:hint="eastAsia" w:ascii="宋体" w:hAnsi="宋体" w:cs="宋体"/>
                <w:color w:val="auto"/>
                <w:szCs w:val="21"/>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4704F428">
            <w:pPr>
              <w:widowControl/>
              <w:jc w:val="center"/>
              <w:textAlignment w:val="center"/>
              <w:rPr>
                <w:rFonts w:ascii="宋体" w:hAnsi="宋体" w:cs="宋体"/>
                <w:color w:val="auto"/>
                <w:szCs w:val="21"/>
              </w:rPr>
            </w:pPr>
            <w:r>
              <w:rPr>
                <w:rFonts w:hint="eastAsia" w:ascii="宋体" w:hAnsi="宋体" w:cs="宋体"/>
                <w:color w:val="auto"/>
                <w:szCs w:val="21"/>
              </w:rPr>
              <w:t>0771-7831866</w:t>
            </w:r>
          </w:p>
        </w:tc>
      </w:tr>
      <w:tr w14:paraId="393C91BC">
        <w:tblPrEx>
          <w:tblCellMar>
            <w:top w:w="0" w:type="dxa"/>
            <w:left w:w="108" w:type="dxa"/>
            <w:bottom w:w="0" w:type="dxa"/>
            <w:right w:w="108" w:type="dxa"/>
          </w:tblCellMar>
        </w:tblPrEx>
        <w:trPr>
          <w:trHeight w:val="350"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46058261">
            <w:pPr>
              <w:widowControl/>
              <w:jc w:val="left"/>
              <w:textAlignment w:val="center"/>
              <w:rPr>
                <w:rFonts w:ascii="宋体" w:hAnsi="宋体" w:cs="宋体"/>
                <w:color w:val="auto"/>
                <w:szCs w:val="21"/>
              </w:rPr>
            </w:pPr>
            <w:r>
              <w:rPr>
                <w:rFonts w:hint="eastAsia" w:ascii="宋体" w:hAnsi="宋体" w:cs="宋体"/>
                <w:b/>
                <w:bCs/>
                <w:color w:val="auto"/>
                <w:szCs w:val="21"/>
              </w:rPr>
              <w:t>扶绥县</w:t>
            </w:r>
          </w:p>
        </w:tc>
      </w:tr>
      <w:tr w14:paraId="5D934AAB">
        <w:tblPrEx>
          <w:tblCellMar>
            <w:top w:w="0" w:type="dxa"/>
            <w:left w:w="108" w:type="dxa"/>
            <w:bottom w:w="0" w:type="dxa"/>
            <w:right w:w="108" w:type="dxa"/>
          </w:tblCellMar>
        </w:tblPrEx>
        <w:trPr>
          <w:trHeight w:val="38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32619FE">
            <w:pPr>
              <w:widowControl/>
              <w:jc w:val="left"/>
              <w:textAlignment w:val="center"/>
              <w:rPr>
                <w:rFonts w:ascii="宋体" w:hAnsi="宋体" w:cs="宋体"/>
                <w:color w:val="auto"/>
                <w:szCs w:val="21"/>
              </w:rPr>
            </w:pPr>
            <w:r>
              <w:rPr>
                <w:rFonts w:hint="eastAsia" w:ascii="宋体" w:hAnsi="宋体" w:cs="宋体"/>
                <w:color w:val="auto"/>
                <w:szCs w:val="21"/>
              </w:rPr>
              <w:t>工商银行扶绥县支行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5656C88">
            <w:pPr>
              <w:widowControl/>
              <w:jc w:val="left"/>
              <w:textAlignment w:val="center"/>
              <w:rPr>
                <w:rFonts w:ascii="宋体" w:hAnsi="宋体" w:cs="宋体"/>
                <w:color w:val="auto"/>
                <w:szCs w:val="21"/>
              </w:rPr>
            </w:pPr>
            <w:r>
              <w:rPr>
                <w:rFonts w:hint="eastAsia" w:ascii="宋体" w:hAnsi="宋体" w:cs="宋体"/>
                <w:color w:val="auto"/>
                <w:szCs w:val="21"/>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646CF805">
            <w:pPr>
              <w:widowControl/>
              <w:jc w:val="center"/>
              <w:textAlignment w:val="center"/>
              <w:rPr>
                <w:rFonts w:ascii="宋体" w:hAnsi="宋体" w:cs="宋体"/>
                <w:color w:val="auto"/>
                <w:szCs w:val="21"/>
              </w:rPr>
            </w:pPr>
            <w:r>
              <w:rPr>
                <w:rFonts w:hint="eastAsia" w:ascii="宋体" w:hAnsi="宋体" w:cs="宋体"/>
                <w:color w:val="auto"/>
                <w:szCs w:val="21"/>
              </w:rPr>
              <w:t>0771-7535612</w:t>
            </w:r>
          </w:p>
        </w:tc>
      </w:tr>
      <w:tr w14:paraId="7BC41505">
        <w:tblPrEx>
          <w:tblCellMar>
            <w:top w:w="0" w:type="dxa"/>
            <w:left w:w="108" w:type="dxa"/>
            <w:bottom w:w="0" w:type="dxa"/>
            <w:right w:w="108" w:type="dxa"/>
          </w:tblCellMar>
        </w:tblPrEx>
        <w:trPr>
          <w:trHeight w:val="44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A63E658">
            <w:pPr>
              <w:widowControl/>
              <w:jc w:val="left"/>
              <w:textAlignment w:val="center"/>
              <w:rPr>
                <w:rFonts w:ascii="宋体" w:hAnsi="宋体" w:cs="宋体"/>
                <w:color w:val="auto"/>
                <w:szCs w:val="21"/>
              </w:rPr>
            </w:pPr>
            <w:r>
              <w:rPr>
                <w:rFonts w:hint="eastAsia" w:ascii="宋体" w:hAnsi="宋体" w:cs="宋体"/>
                <w:color w:val="auto"/>
                <w:szCs w:val="21"/>
              </w:rPr>
              <w:t>农业银行扶绥县支行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F10A267">
            <w:pPr>
              <w:widowControl/>
              <w:jc w:val="left"/>
              <w:textAlignment w:val="center"/>
              <w:rPr>
                <w:rFonts w:ascii="宋体" w:hAnsi="宋体" w:cs="宋体"/>
                <w:color w:val="auto"/>
                <w:szCs w:val="21"/>
              </w:rPr>
            </w:pPr>
            <w:r>
              <w:rPr>
                <w:rFonts w:hint="eastAsia" w:ascii="宋体" w:hAnsi="宋体" w:cs="宋体"/>
                <w:color w:val="auto"/>
                <w:szCs w:val="21"/>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D317733">
            <w:pPr>
              <w:widowControl/>
              <w:jc w:val="center"/>
              <w:textAlignment w:val="center"/>
              <w:rPr>
                <w:rFonts w:ascii="宋体" w:hAnsi="宋体" w:cs="宋体"/>
                <w:color w:val="auto"/>
                <w:szCs w:val="21"/>
              </w:rPr>
            </w:pPr>
            <w:r>
              <w:rPr>
                <w:rFonts w:hint="eastAsia" w:ascii="宋体" w:hAnsi="宋体" w:cs="宋体"/>
                <w:color w:val="auto"/>
                <w:szCs w:val="21"/>
              </w:rPr>
              <w:t>0771-7917330</w:t>
            </w:r>
          </w:p>
        </w:tc>
      </w:tr>
      <w:tr w14:paraId="49C02B3C">
        <w:tblPrEx>
          <w:tblCellMar>
            <w:top w:w="0" w:type="dxa"/>
            <w:left w:w="108" w:type="dxa"/>
            <w:bottom w:w="0" w:type="dxa"/>
            <w:right w:w="108" w:type="dxa"/>
          </w:tblCellMar>
        </w:tblPrEx>
        <w:trPr>
          <w:trHeight w:val="74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8BEBA65">
            <w:pPr>
              <w:widowControl/>
              <w:jc w:val="left"/>
              <w:textAlignment w:val="center"/>
              <w:rPr>
                <w:rFonts w:ascii="宋体" w:hAnsi="宋体" w:cs="宋体"/>
                <w:color w:val="auto"/>
                <w:szCs w:val="21"/>
              </w:rPr>
            </w:pPr>
            <w:r>
              <w:rPr>
                <w:rFonts w:hint="eastAsia" w:ascii="宋体" w:hAnsi="宋体" w:cs="宋体"/>
                <w:color w:val="auto"/>
                <w:szCs w:val="21"/>
              </w:rPr>
              <w:t>建行扶绥支行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A5145E3">
            <w:pPr>
              <w:widowControl/>
              <w:jc w:val="left"/>
              <w:textAlignment w:val="center"/>
              <w:rPr>
                <w:rFonts w:ascii="宋体" w:hAnsi="宋体" w:cs="宋体"/>
                <w:color w:val="auto"/>
                <w:szCs w:val="21"/>
              </w:rPr>
            </w:pPr>
            <w:r>
              <w:rPr>
                <w:rFonts w:hint="eastAsia" w:ascii="宋体" w:hAnsi="宋体" w:cs="宋体"/>
                <w:color w:val="auto"/>
                <w:szCs w:val="21"/>
              </w:rPr>
              <w:t>扶绥县南密路6号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B17A055">
            <w:pPr>
              <w:widowControl/>
              <w:jc w:val="center"/>
              <w:textAlignment w:val="center"/>
              <w:rPr>
                <w:rFonts w:ascii="宋体" w:hAnsi="宋体" w:cs="宋体"/>
                <w:color w:val="auto"/>
                <w:szCs w:val="21"/>
              </w:rPr>
            </w:pPr>
            <w:r>
              <w:rPr>
                <w:rFonts w:hint="eastAsia" w:ascii="宋体" w:hAnsi="宋体" w:cs="宋体"/>
                <w:color w:val="auto"/>
                <w:szCs w:val="21"/>
              </w:rPr>
              <w:t>0771-7516511 0771-7531157</w:t>
            </w:r>
          </w:p>
        </w:tc>
      </w:tr>
      <w:tr w14:paraId="0880C196">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92A031F">
            <w:pPr>
              <w:widowControl/>
              <w:jc w:val="left"/>
              <w:textAlignment w:val="center"/>
              <w:rPr>
                <w:rFonts w:ascii="宋体" w:hAnsi="宋体" w:cs="宋体"/>
                <w:color w:val="auto"/>
                <w:szCs w:val="21"/>
              </w:rPr>
            </w:pPr>
            <w:r>
              <w:rPr>
                <w:rFonts w:hint="eastAsia" w:ascii="宋体" w:hAnsi="宋体" w:cs="宋体"/>
                <w:color w:val="auto"/>
                <w:szCs w:val="21"/>
              </w:rPr>
              <w:t>建行扶绥空港支行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1F5D7DB">
            <w:pPr>
              <w:widowControl/>
              <w:jc w:val="left"/>
              <w:textAlignment w:val="center"/>
              <w:rPr>
                <w:rFonts w:ascii="宋体" w:hAnsi="宋体" w:cs="宋体"/>
                <w:color w:val="auto"/>
                <w:szCs w:val="21"/>
              </w:rPr>
            </w:pPr>
            <w:r>
              <w:rPr>
                <w:rFonts w:hint="eastAsia" w:ascii="宋体" w:hAnsi="宋体" w:cs="宋体"/>
                <w:color w:val="auto"/>
                <w:szCs w:val="21"/>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vAlign w:val="center"/>
          </w:tcPr>
          <w:p w14:paraId="4347F708">
            <w:pPr>
              <w:widowControl/>
              <w:jc w:val="center"/>
              <w:textAlignment w:val="center"/>
              <w:rPr>
                <w:rFonts w:ascii="宋体" w:hAnsi="宋体" w:cs="宋体"/>
                <w:color w:val="auto"/>
                <w:szCs w:val="21"/>
              </w:rPr>
            </w:pPr>
            <w:r>
              <w:rPr>
                <w:rFonts w:hint="eastAsia" w:ascii="宋体" w:hAnsi="宋体" w:cs="宋体"/>
                <w:color w:val="auto"/>
                <w:szCs w:val="21"/>
              </w:rPr>
              <w:t>0771-7525822</w:t>
            </w:r>
          </w:p>
        </w:tc>
      </w:tr>
      <w:tr w14:paraId="208EC449">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903AD9D">
            <w:pPr>
              <w:widowControl/>
              <w:jc w:val="left"/>
              <w:textAlignment w:val="center"/>
              <w:rPr>
                <w:rFonts w:ascii="宋体" w:hAnsi="宋体" w:cs="宋体"/>
                <w:color w:val="auto"/>
                <w:szCs w:val="21"/>
              </w:rPr>
            </w:pPr>
            <w:r>
              <w:rPr>
                <w:rFonts w:hint="eastAsia" w:ascii="宋体" w:hAnsi="宋体" w:cs="宋体"/>
                <w:color w:val="auto"/>
                <w:szCs w:val="21"/>
              </w:rPr>
              <w:t>中国银行扶绥支行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07C14E8">
            <w:pPr>
              <w:widowControl/>
              <w:jc w:val="left"/>
              <w:textAlignment w:val="center"/>
              <w:rPr>
                <w:rFonts w:ascii="宋体" w:hAnsi="宋体" w:cs="宋体"/>
                <w:color w:val="auto"/>
                <w:szCs w:val="21"/>
              </w:rPr>
            </w:pPr>
            <w:r>
              <w:rPr>
                <w:rFonts w:hint="eastAsia" w:ascii="宋体" w:hAnsi="宋体" w:cs="宋体"/>
                <w:color w:val="auto"/>
                <w:szCs w:val="21"/>
              </w:rPr>
              <w:t>扶绥县-扶绥大道16号山水城市广场一层商铺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10D85940">
            <w:pPr>
              <w:widowControl/>
              <w:jc w:val="center"/>
              <w:textAlignment w:val="center"/>
              <w:rPr>
                <w:rFonts w:ascii="宋体" w:hAnsi="宋体" w:cs="宋体"/>
                <w:color w:val="auto"/>
                <w:szCs w:val="21"/>
              </w:rPr>
            </w:pPr>
            <w:r>
              <w:rPr>
                <w:rFonts w:hint="eastAsia" w:ascii="宋体" w:hAnsi="宋体" w:cs="宋体"/>
                <w:color w:val="auto"/>
                <w:szCs w:val="21"/>
              </w:rPr>
              <w:t>0771-5025887</w:t>
            </w:r>
          </w:p>
        </w:tc>
      </w:tr>
      <w:tr w14:paraId="7F048FE8">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C47592A">
            <w:pPr>
              <w:widowControl/>
              <w:jc w:val="left"/>
              <w:textAlignment w:val="center"/>
              <w:rPr>
                <w:rFonts w:ascii="宋体" w:hAnsi="宋体" w:cs="宋体"/>
                <w:color w:val="auto"/>
                <w:szCs w:val="21"/>
              </w:rPr>
            </w:pPr>
            <w:r>
              <w:rPr>
                <w:rFonts w:hint="eastAsia" w:ascii="宋体" w:hAnsi="宋体" w:cs="宋体"/>
                <w:color w:val="auto"/>
                <w:szCs w:val="21"/>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2827BF8E">
            <w:pPr>
              <w:widowControl/>
              <w:jc w:val="left"/>
              <w:textAlignment w:val="center"/>
              <w:rPr>
                <w:rFonts w:ascii="宋体" w:hAnsi="宋体" w:cs="宋体"/>
                <w:color w:val="auto"/>
                <w:szCs w:val="21"/>
              </w:rPr>
            </w:pPr>
            <w:r>
              <w:rPr>
                <w:rFonts w:hint="eastAsia" w:ascii="宋体" w:hAnsi="宋体" w:cs="宋体"/>
                <w:color w:val="auto"/>
                <w:szCs w:val="21"/>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9E13BF6">
            <w:pPr>
              <w:widowControl/>
              <w:jc w:val="center"/>
              <w:textAlignment w:val="center"/>
              <w:rPr>
                <w:rFonts w:ascii="宋体" w:hAnsi="宋体" w:cs="宋体"/>
                <w:color w:val="auto"/>
                <w:szCs w:val="21"/>
              </w:rPr>
            </w:pPr>
            <w:r>
              <w:rPr>
                <w:rFonts w:hint="eastAsia" w:ascii="宋体" w:hAnsi="宋体" w:cs="宋体"/>
                <w:color w:val="auto"/>
                <w:szCs w:val="21"/>
              </w:rPr>
              <w:t>0771-7533041</w:t>
            </w:r>
          </w:p>
        </w:tc>
      </w:tr>
      <w:tr w14:paraId="23484792">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1FC6CCA">
            <w:pPr>
              <w:widowControl/>
              <w:jc w:val="left"/>
              <w:textAlignment w:val="center"/>
              <w:rPr>
                <w:rFonts w:ascii="宋体" w:hAnsi="宋体" w:cs="宋体"/>
                <w:color w:val="auto"/>
                <w:szCs w:val="21"/>
              </w:rPr>
            </w:pPr>
            <w:r>
              <w:rPr>
                <w:rFonts w:hint="eastAsia" w:ascii="宋体" w:hAnsi="宋体" w:cs="宋体"/>
                <w:color w:val="auto"/>
                <w:szCs w:val="21"/>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6F3F283">
            <w:pPr>
              <w:widowControl/>
              <w:jc w:val="left"/>
              <w:textAlignment w:val="center"/>
              <w:rPr>
                <w:rFonts w:ascii="宋体" w:hAnsi="宋体" w:cs="宋体"/>
                <w:color w:val="auto"/>
                <w:szCs w:val="21"/>
              </w:rPr>
            </w:pPr>
            <w:r>
              <w:rPr>
                <w:rFonts w:hint="eastAsia" w:ascii="宋体" w:hAnsi="宋体" w:cs="宋体"/>
                <w:color w:val="auto"/>
                <w:szCs w:val="21"/>
              </w:rPr>
              <w:t>扶绥县松江路138号中国邮政储蓄银行扶绥县支行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146A586C">
            <w:pPr>
              <w:widowControl/>
              <w:jc w:val="center"/>
              <w:textAlignment w:val="center"/>
              <w:rPr>
                <w:rFonts w:ascii="宋体" w:hAnsi="宋体" w:cs="宋体"/>
                <w:color w:val="auto"/>
                <w:szCs w:val="21"/>
              </w:rPr>
            </w:pPr>
            <w:r>
              <w:rPr>
                <w:rFonts w:hint="eastAsia" w:ascii="宋体" w:hAnsi="宋体" w:cs="宋体"/>
                <w:color w:val="auto"/>
                <w:szCs w:val="21"/>
              </w:rPr>
              <w:t>0771-7536178 0771-7536177</w:t>
            </w:r>
          </w:p>
        </w:tc>
      </w:tr>
      <w:tr w14:paraId="0B0FAC4A">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3BB035">
            <w:pPr>
              <w:widowControl/>
              <w:jc w:val="left"/>
              <w:textAlignment w:val="center"/>
              <w:rPr>
                <w:rFonts w:ascii="宋体" w:hAnsi="宋体" w:cs="宋体"/>
                <w:color w:val="auto"/>
                <w:szCs w:val="21"/>
              </w:rPr>
            </w:pPr>
            <w:r>
              <w:rPr>
                <w:rFonts w:hint="eastAsia" w:ascii="宋体" w:hAnsi="宋体" w:cs="宋体"/>
                <w:color w:val="auto"/>
                <w:szCs w:val="21"/>
              </w:rPr>
              <w:t>桂林银行崇左扶绥支行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50E7CF8">
            <w:pPr>
              <w:widowControl/>
              <w:jc w:val="left"/>
              <w:textAlignment w:val="center"/>
              <w:rPr>
                <w:rFonts w:ascii="宋体" w:hAnsi="宋体" w:cs="宋体"/>
                <w:color w:val="auto"/>
                <w:szCs w:val="21"/>
              </w:rPr>
            </w:pPr>
            <w:r>
              <w:rPr>
                <w:rFonts w:hint="eastAsia" w:ascii="宋体" w:hAnsi="宋体" w:cs="宋体"/>
                <w:color w:val="auto"/>
                <w:szCs w:val="21"/>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0FFC3972">
            <w:pPr>
              <w:widowControl/>
              <w:jc w:val="center"/>
              <w:textAlignment w:val="center"/>
              <w:rPr>
                <w:rFonts w:ascii="宋体" w:hAnsi="宋体" w:cs="宋体"/>
                <w:color w:val="auto"/>
                <w:szCs w:val="21"/>
              </w:rPr>
            </w:pPr>
            <w:r>
              <w:rPr>
                <w:rFonts w:hint="eastAsia" w:ascii="宋体" w:hAnsi="宋体" w:cs="宋体"/>
                <w:color w:val="auto"/>
                <w:szCs w:val="21"/>
              </w:rPr>
              <w:t>0771-7661101</w:t>
            </w:r>
          </w:p>
        </w:tc>
      </w:tr>
      <w:tr w14:paraId="1D763777">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E7985A8">
            <w:pPr>
              <w:widowControl/>
              <w:jc w:val="left"/>
              <w:textAlignment w:val="center"/>
              <w:rPr>
                <w:rFonts w:ascii="宋体" w:hAnsi="宋体" w:cs="宋体"/>
                <w:color w:val="auto"/>
                <w:szCs w:val="21"/>
              </w:rPr>
            </w:pPr>
            <w:r>
              <w:rPr>
                <w:rFonts w:hint="eastAsia" w:ascii="宋体" w:hAnsi="宋体" w:cs="宋体"/>
                <w:color w:val="auto"/>
                <w:szCs w:val="21"/>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7ED5528">
            <w:pPr>
              <w:widowControl/>
              <w:jc w:val="left"/>
              <w:textAlignment w:val="center"/>
              <w:rPr>
                <w:rFonts w:ascii="宋体" w:hAnsi="宋体" w:cs="宋体"/>
                <w:color w:val="auto"/>
                <w:szCs w:val="21"/>
              </w:rPr>
            </w:pPr>
            <w:r>
              <w:rPr>
                <w:rFonts w:hint="eastAsia" w:ascii="宋体" w:hAnsi="宋体" w:cs="宋体"/>
                <w:color w:val="auto"/>
                <w:szCs w:val="21"/>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7D4D5FA2">
            <w:pPr>
              <w:widowControl/>
              <w:jc w:val="center"/>
              <w:textAlignment w:val="center"/>
              <w:rPr>
                <w:rFonts w:ascii="宋体" w:hAnsi="宋体" w:cs="宋体"/>
                <w:color w:val="auto"/>
                <w:szCs w:val="21"/>
              </w:rPr>
            </w:pPr>
            <w:r>
              <w:rPr>
                <w:rFonts w:hint="eastAsia" w:ascii="宋体" w:hAnsi="宋体" w:cs="宋体"/>
                <w:color w:val="auto"/>
                <w:szCs w:val="21"/>
              </w:rPr>
              <w:t>0771-7500768</w:t>
            </w:r>
          </w:p>
        </w:tc>
      </w:tr>
      <w:tr w14:paraId="58669F6F">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FA611D1">
            <w:pPr>
              <w:widowControl/>
              <w:jc w:val="left"/>
              <w:textAlignment w:val="center"/>
              <w:rPr>
                <w:rFonts w:ascii="宋体" w:hAnsi="宋体" w:cs="宋体"/>
                <w:color w:val="auto"/>
                <w:szCs w:val="21"/>
              </w:rPr>
            </w:pPr>
            <w:r>
              <w:rPr>
                <w:rFonts w:hint="eastAsia" w:ascii="宋体" w:hAnsi="宋体" w:cs="宋体"/>
                <w:color w:val="auto"/>
                <w:szCs w:val="21"/>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174BCB57">
            <w:pPr>
              <w:widowControl/>
              <w:jc w:val="left"/>
              <w:textAlignment w:val="center"/>
              <w:rPr>
                <w:rFonts w:ascii="宋体" w:hAnsi="宋体" w:cs="宋体"/>
                <w:color w:val="auto"/>
                <w:szCs w:val="21"/>
              </w:rPr>
            </w:pPr>
            <w:r>
              <w:rPr>
                <w:rFonts w:hint="eastAsia" w:ascii="宋体" w:hAnsi="宋体" w:cs="宋体"/>
                <w:color w:val="auto"/>
                <w:szCs w:val="21"/>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vAlign w:val="center"/>
          </w:tcPr>
          <w:p w14:paraId="58FE335D">
            <w:pPr>
              <w:widowControl/>
              <w:jc w:val="center"/>
              <w:textAlignment w:val="center"/>
              <w:rPr>
                <w:rFonts w:ascii="宋体" w:hAnsi="宋体" w:cs="宋体"/>
                <w:color w:val="auto"/>
                <w:szCs w:val="21"/>
              </w:rPr>
            </w:pPr>
            <w:r>
              <w:rPr>
                <w:rFonts w:hint="eastAsia" w:ascii="宋体" w:hAnsi="宋体" w:cs="宋体"/>
                <w:color w:val="auto"/>
                <w:szCs w:val="21"/>
              </w:rPr>
              <w:t>0771-7525678</w:t>
            </w:r>
          </w:p>
        </w:tc>
      </w:tr>
      <w:tr w14:paraId="2F947329">
        <w:tblPrEx>
          <w:tblCellMar>
            <w:top w:w="0" w:type="dxa"/>
            <w:left w:w="108" w:type="dxa"/>
            <w:bottom w:w="0" w:type="dxa"/>
            <w:right w:w="108" w:type="dxa"/>
          </w:tblCellMar>
        </w:tblPrEx>
        <w:trPr>
          <w:trHeight w:val="47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05AB2E8">
            <w:pPr>
              <w:widowControl/>
              <w:jc w:val="left"/>
              <w:textAlignment w:val="center"/>
              <w:rPr>
                <w:rFonts w:ascii="宋体" w:hAnsi="宋体" w:cs="宋体"/>
                <w:color w:val="auto"/>
                <w:szCs w:val="21"/>
              </w:rPr>
            </w:pPr>
            <w:r>
              <w:rPr>
                <w:rFonts w:hint="eastAsia" w:ascii="宋体" w:hAnsi="宋体" w:cs="宋体"/>
                <w:b/>
                <w:bCs/>
                <w:color w:val="auto"/>
                <w:szCs w:val="21"/>
              </w:rPr>
              <w:t>宁明县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1322DE3D">
            <w:pPr>
              <w:widowControl/>
              <w:jc w:val="left"/>
              <w:textAlignment w:val="center"/>
              <w:rPr>
                <w:rFonts w:ascii="宋体" w:hAnsi="宋体" w:cs="宋体"/>
                <w:color w:val="auto"/>
                <w:szCs w:val="21"/>
              </w:rPr>
            </w:pPr>
          </w:p>
        </w:tc>
        <w:tc>
          <w:tcPr>
            <w:tcW w:w="2125" w:type="dxa"/>
            <w:tcBorders>
              <w:top w:val="single" w:color="000000" w:sz="4" w:space="0"/>
              <w:left w:val="single" w:color="000000" w:sz="4" w:space="0"/>
              <w:bottom w:val="single" w:color="000000" w:sz="4" w:space="0"/>
              <w:right w:val="single" w:color="000000" w:sz="4" w:space="0"/>
            </w:tcBorders>
            <w:vAlign w:val="center"/>
          </w:tcPr>
          <w:p w14:paraId="1FFB1CFB">
            <w:pPr>
              <w:widowControl/>
              <w:jc w:val="center"/>
              <w:textAlignment w:val="center"/>
              <w:rPr>
                <w:rFonts w:ascii="宋体" w:hAnsi="宋体" w:cs="宋体"/>
                <w:color w:val="auto"/>
                <w:szCs w:val="21"/>
              </w:rPr>
            </w:pPr>
          </w:p>
        </w:tc>
      </w:tr>
      <w:tr w14:paraId="4FAC31F8">
        <w:tblPrEx>
          <w:tblCellMar>
            <w:top w:w="0" w:type="dxa"/>
            <w:left w:w="108" w:type="dxa"/>
            <w:bottom w:w="0" w:type="dxa"/>
            <w:right w:w="108" w:type="dxa"/>
          </w:tblCellMar>
        </w:tblPrEx>
        <w:trPr>
          <w:trHeight w:val="36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3254B71">
            <w:pPr>
              <w:widowControl/>
              <w:jc w:val="left"/>
              <w:textAlignment w:val="center"/>
              <w:rPr>
                <w:rFonts w:ascii="宋体" w:hAnsi="宋体" w:cs="宋体"/>
                <w:color w:val="auto"/>
                <w:szCs w:val="21"/>
              </w:rPr>
            </w:pPr>
            <w:r>
              <w:rPr>
                <w:rFonts w:hint="eastAsia" w:ascii="宋体" w:hAnsi="宋体" w:cs="宋体"/>
                <w:color w:val="auto"/>
                <w:szCs w:val="21"/>
              </w:rPr>
              <w:t>工商银行宁明县支行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D39ADDA">
            <w:pPr>
              <w:widowControl/>
              <w:jc w:val="left"/>
              <w:textAlignment w:val="center"/>
              <w:rPr>
                <w:rFonts w:ascii="宋体" w:hAnsi="宋体" w:cs="宋体"/>
                <w:color w:val="auto"/>
                <w:szCs w:val="21"/>
              </w:rPr>
            </w:pPr>
            <w:r>
              <w:rPr>
                <w:rFonts w:hint="eastAsia" w:ascii="宋体" w:hAnsi="宋体" w:cs="宋体"/>
                <w:color w:val="auto"/>
                <w:szCs w:val="21"/>
              </w:rPr>
              <w:t>宁明县城中镇兴远街70号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E1641A1">
            <w:pPr>
              <w:widowControl/>
              <w:jc w:val="center"/>
              <w:textAlignment w:val="center"/>
              <w:rPr>
                <w:rFonts w:ascii="宋体" w:hAnsi="宋体" w:cs="宋体"/>
                <w:color w:val="auto"/>
                <w:szCs w:val="21"/>
              </w:rPr>
            </w:pPr>
            <w:r>
              <w:rPr>
                <w:rFonts w:hint="eastAsia" w:ascii="宋体" w:hAnsi="宋体" w:cs="宋体"/>
                <w:color w:val="auto"/>
                <w:szCs w:val="21"/>
              </w:rPr>
              <w:t>0771-8620729</w:t>
            </w:r>
          </w:p>
        </w:tc>
      </w:tr>
      <w:tr w14:paraId="65791FC5">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F78D207">
            <w:pPr>
              <w:widowControl/>
              <w:jc w:val="left"/>
              <w:textAlignment w:val="center"/>
              <w:rPr>
                <w:rFonts w:ascii="宋体" w:hAnsi="宋体" w:cs="宋体"/>
                <w:color w:val="auto"/>
                <w:szCs w:val="21"/>
              </w:rPr>
            </w:pPr>
            <w:r>
              <w:rPr>
                <w:rFonts w:hint="eastAsia" w:ascii="宋体" w:hAnsi="宋体" w:cs="宋体"/>
                <w:color w:val="auto"/>
                <w:szCs w:val="21"/>
              </w:rPr>
              <w:t>农业银行宁明县支行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76AE4E6">
            <w:pPr>
              <w:widowControl/>
              <w:jc w:val="left"/>
              <w:textAlignment w:val="center"/>
              <w:rPr>
                <w:rFonts w:ascii="宋体" w:hAnsi="宋体" w:cs="宋体"/>
                <w:color w:val="auto"/>
                <w:szCs w:val="21"/>
              </w:rPr>
            </w:pPr>
            <w:r>
              <w:rPr>
                <w:rFonts w:hint="eastAsia" w:ascii="宋体" w:hAnsi="宋体" w:cs="宋体"/>
                <w:color w:val="auto"/>
                <w:szCs w:val="21"/>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5BF5F7D">
            <w:pPr>
              <w:widowControl/>
              <w:jc w:val="center"/>
              <w:textAlignment w:val="center"/>
              <w:rPr>
                <w:rFonts w:ascii="宋体" w:hAnsi="宋体" w:cs="宋体"/>
                <w:color w:val="auto"/>
                <w:szCs w:val="21"/>
              </w:rPr>
            </w:pPr>
            <w:r>
              <w:rPr>
                <w:rFonts w:hint="eastAsia" w:ascii="宋体" w:hAnsi="宋体" w:cs="宋体"/>
                <w:color w:val="auto"/>
                <w:szCs w:val="21"/>
              </w:rPr>
              <w:t>0771-7917093</w:t>
            </w:r>
          </w:p>
        </w:tc>
      </w:tr>
      <w:tr w14:paraId="0B9FD2F5">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CDBAF20">
            <w:pPr>
              <w:widowControl/>
              <w:jc w:val="left"/>
              <w:textAlignment w:val="center"/>
              <w:rPr>
                <w:rFonts w:ascii="宋体" w:hAnsi="宋体" w:cs="宋体"/>
                <w:color w:val="auto"/>
                <w:szCs w:val="21"/>
              </w:rPr>
            </w:pPr>
            <w:r>
              <w:rPr>
                <w:rFonts w:hint="eastAsia" w:ascii="宋体" w:hAnsi="宋体" w:cs="宋体"/>
                <w:color w:val="auto"/>
                <w:szCs w:val="21"/>
              </w:rPr>
              <w:t>建行宁明支行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F247B55">
            <w:pPr>
              <w:widowControl/>
              <w:spacing w:after="90" w:line="23" w:lineRule="atLeast"/>
              <w:jc w:val="left"/>
              <w:rPr>
                <w:rFonts w:ascii="宋体" w:hAnsi="宋体" w:cs="宋体"/>
                <w:color w:val="auto"/>
                <w:szCs w:val="21"/>
              </w:rPr>
            </w:pPr>
            <w:r>
              <w:rPr>
                <w:rFonts w:hint="eastAsia" w:ascii="宋体" w:hAnsi="宋体" w:cs="宋体"/>
                <w:color w:val="auto"/>
                <w:kern w:val="0"/>
                <w:szCs w:val="21"/>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AA82064">
            <w:pPr>
              <w:widowControl/>
              <w:jc w:val="center"/>
              <w:textAlignment w:val="center"/>
              <w:rPr>
                <w:rFonts w:ascii="宋体" w:hAnsi="宋体" w:cs="宋体"/>
                <w:color w:val="auto"/>
                <w:szCs w:val="21"/>
              </w:rPr>
            </w:pPr>
            <w:r>
              <w:rPr>
                <w:rFonts w:hint="eastAsia" w:ascii="宋体" w:hAnsi="宋体" w:cs="宋体"/>
                <w:color w:val="auto"/>
                <w:szCs w:val="21"/>
              </w:rPr>
              <w:t>0771-8629006</w:t>
            </w:r>
          </w:p>
        </w:tc>
      </w:tr>
      <w:tr w14:paraId="4195F640">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349AE6C">
            <w:pPr>
              <w:widowControl/>
              <w:jc w:val="left"/>
              <w:textAlignment w:val="center"/>
              <w:rPr>
                <w:rFonts w:ascii="宋体" w:hAnsi="宋体" w:cs="宋体"/>
                <w:color w:val="auto"/>
                <w:szCs w:val="21"/>
              </w:rPr>
            </w:pPr>
            <w:r>
              <w:rPr>
                <w:rFonts w:hint="eastAsia" w:ascii="宋体" w:hAnsi="宋体" w:cs="宋体"/>
                <w:color w:val="auto"/>
                <w:szCs w:val="21"/>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2C701C01">
            <w:pPr>
              <w:widowControl/>
              <w:jc w:val="left"/>
              <w:textAlignment w:val="center"/>
              <w:rPr>
                <w:rFonts w:ascii="宋体" w:hAnsi="宋体" w:cs="宋体"/>
                <w:color w:val="auto"/>
                <w:szCs w:val="21"/>
              </w:rPr>
            </w:pPr>
            <w:r>
              <w:rPr>
                <w:rFonts w:hint="eastAsia" w:ascii="宋体" w:hAnsi="宋体" w:cs="宋体"/>
                <w:color w:val="auto"/>
                <w:szCs w:val="21"/>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DDB75CF">
            <w:pPr>
              <w:widowControl/>
              <w:jc w:val="center"/>
              <w:textAlignment w:val="center"/>
              <w:rPr>
                <w:rFonts w:ascii="宋体" w:hAnsi="宋体" w:cs="宋体"/>
                <w:color w:val="auto"/>
                <w:szCs w:val="21"/>
              </w:rPr>
            </w:pPr>
            <w:r>
              <w:rPr>
                <w:rFonts w:hint="eastAsia" w:ascii="宋体" w:hAnsi="宋体" w:cs="宋体"/>
                <w:color w:val="auto"/>
                <w:szCs w:val="21"/>
              </w:rPr>
              <w:t>0771-8628166</w:t>
            </w:r>
          </w:p>
        </w:tc>
      </w:tr>
      <w:tr w14:paraId="7E9D4BB5">
        <w:tblPrEx>
          <w:tblCellMar>
            <w:top w:w="0" w:type="dxa"/>
            <w:left w:w="108" w:type="dxa"/>
            <w:bottom w:w="0" w:type="dxa"/>
            <w:right w:w="108" w:type="dxa"/>
          </w:tblCellMar>
        </w:tblPrEx>
        <w:trPr>
          <w:trHeight w:val="43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233EC7F">
            <w:pPr>
              <w:widowControl/>
              <w:jc w:val="left"/>
              <w:textAlignment w:val="center"/>
              <w:rPr>
                <w:rFonts w:ascii="宋体" w:hAnsi="宋体" w:cs="宋体"/>
                <w:color w:val="auto"/>
                <w:szCs w:val="21"/>
              </w:rPr>
            </w:pPr>
            <w:r>
              <w:rPr>
                <w:rFonts w:hint="eastAsia" w:ascii="宋体" w:hAnsi="宋体" w:cs="宋体"/>
                <w:color w:val="auto"/>
                <w:szCs w:val="21"/>
              </w:rPr>
              <w:t>桂林银行崇左宁明支行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A035C26">
            <w:pPr>
              <w:widowControl/>
              <w:jc w:val="left"/>
              <w:textAlignment w:val="center"/>
              <w:rPr>
                <w:rFonts w:ascii="宋体" w:hAnsi="宋体" w:cs="宋体"/>
                <w:color w:val="auto"/>
                <w:szCs w:val="21"/>
              </w:rPr>
            </w:pPr>
            <w:r>
              <w:rPr>
                <w:rFonts w:hint="eastAsia" w:ascii="宋体" w:hAnsi="宋体" w:cs="宋体"/>
                <w:color w:val="auto"/>
                <w:szCs w:val="21"/>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262841E">
            <w:pPr>
              <w:widowControl/>
              <w:jc w:val="center"/>
              <w:textAlignment w:val="center"/>
              <w:rPr>
                <w:rFonts w:ascii="宋体" w:hAnsi="宋体" w:cs="宋体"/>
                <w:color w:val="auto"/>
                <w:szCs w:val="21"/>
              </w:rPr>
            </w:pPr>
            <w:r>
              <w:rPr>
                <w:rFonts w:hint="eastAsia" w:ascii="宋体" w:hAnsi="宋体" w:cs="宋体"/>
                <w:color w:val="auto"/>
                <w:szCs w:val="21"/>
              </w:rPr>
              <w:t>0771-8630787</w:t>
            </w:r>
          </w:p>
        </w:tc>
      </w:tr>
      <w:tr w14:paraId="57216272">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F8C6F19">
            <w:pPr>
              <w:widowControl/>
              <w:jc w:val="left"/>
              <w:textAlignment w:val="center"/>
              <w:rPr>
                <w:rFonts w:ascii="宋体" w:hAnsi="宋体" w:cs="宋体"/>
                <w:color w:val="auto"/>
                <w:szCs w:val="21"/>
              </w:rPr>
            </w:pPr>
            <w:r>
              <w:rPr>
                <w:rFonts w:hint="eastAsia" w:ascii="宋体" w:hAnsi="宋体" w:cs="宋体"/>
                <w:color w:val="auto"/>
                <w:szCs w:val="21"/>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C53EB97">
            <w:pPr>
              <w:widowControl/>
              <w:jc w:val="left"/>
              <w:textAlignment w:val="center"/>
              <w:rPr>
                <w:rFonts w:ascii="宋体" w:hAnsi="宋体" w:cs="宋体"/>
                <w:color w:val="auto"/>
                <w:szCs w:val="21"/>
              </w:rPr>
            </w:pPr>
            <w:r>
              <w:rPr>
                <w:rFonts w:hint="eastAsia" w:ascii="宋体" w:hAnsi="宋体" w:cs="宋体"/>
                <w:color w:val="auto"/>
                <w:szCs w:val="21"/>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vAlign w:val="center"/>
          </w:tcPr>
          <w:p w14:paraId="287A9618">
            <w:pPr>
              <w:widowControl/>
              <w:jc w:val="center"/>
              <w:textAlignment w:val="center"/>
              <w:rPr>
                <w:rFonts w:ascii="宋体" w:hAnsi="宋体" w:cs="宋体"/>
                <w:color w:val="auto"/>
                <w:szCs w:val="21"/>
              </w:rPr>
            </w:pPr>
            <w:r>
              <w:rPr>
                <w:rFonts w:hint="eastAsia" w:ascii="宋体" w:hAnsi="宋体" w:cs="宋体"/>
                <w:color w:val="auto"/>
                <w:szCs w:val="21"/>
              </w:rPr>
              <w:t>0771-8622237</w:t>
            </w:r>
          </w:p>
        </w:tc>
      </w:tr>
      <w:tr w14:paraId="343B0B52">
        <w:tblPrEx>
          <w:tblCellMar>
            <w:top w:w="0" w:type="dxa"/>
            <w:left w:w="108" w:type="dxa"/>
            <w:bottom w:w="0" w:type="dxa"/>
            <w:right w:w="108" w:type="dxa"/>
          </w:tblCellMar>
        </w:tblPrEx>
        <w:trPr>
          <w:trHeight w:val="377"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4A29C0A2">
            <w:pPr>
              <w:widowControl/>
              <w:jc w:val="left"/>
              <w:textAlignment w:val="center"/>
              <w:rPr>
                <w:rFonts w:ascii="宋体" w:hAnsi="宋体" w:cs="宋体"/>
                <w:color w:val="auto"/>
                <w:szCs w:val="21"/>
              </w:rPr>
            </w:pPr>
            <w:r>
              <w:rPr>
                <w:rFonts w:hint="eastAsia" w:ascii="宋体" w:hAnsi="宋体" w:cs="宋体"/>
                <w:b/>
                <w:bCs/>
                <w:color w:val="auto"/>
                <w:szCs w:val="21"/>
              </w:rPr>
              <w:t>大新县</w:t>
            </w:r>
          </w:p>
        </w:tc>
      </w:tr>
      <w:tr w14:paraId="3FFB077C">
        <w:tblPrEx>
          <w:tblCellMar>
            <w:top w:w="0" w:type="dxa"/>
            <w:left w:w="108" w:type="dxa"/>
            <w:bottom w:w="0" w:type="dxa"/>
            <w:right w:w="108" w:type="dxa"/>
          </w:tblCellMar>
        </w:tblPrEx>
        <w:trPr>
          <w:trHeight w:val="391"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12DA8D4">
            <w:pPr>
              <w:widowControl/>
              <w:jc w:val="left"/>
              <w:textAlignment w:val="center"/>
              <w:rPr>
                <w:rFonts w:ascii="宋体" w:hAnsi="宋体" w:cs="宋体"/>
                <w:color w:val="auto"/>
                <w:kern w:val="0"/>
                <w:szCs w:val="21"/>
              </w:rPr>
            </w:pPr>
            <w:r>
              <w:rPr>
                <w:rFonts w:hint="eastAsia" w:ascii="宋体" w:hAnsi="宋体" w:cs="宋体"/>
                <w:color w:val="auto"/>
                <w:szCs w:val="21"/>
              </w:rPr>
              <w:t>工商银行大新县支行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71CFCB4">
            <w:pPr>
              <w:widowControl/>
              <w:jc w:val="left"/>
              <w:textAlignment w:val="center"/>
              <w:rPr>
                <w:rFonts w:ascii="宋体" w:hAnsi="宋体" w:cs="宋体"/>
                <w:color w:val="auto"/>
                <w:kern w:val="0"/>
                <w:szCs w:val="21"/>
              </w:rPr>
            </w:pPr>
            <w:r>
              <w:rPr>
                <w:rFonts w:hint="eastAsia" w:ascii="宋体" w:hAnsi="宋体" w:cs="宋体"/>
                <w:color w:val="auto"/>
                <w:kern w:val="0"/>
                <w:szCs w:val="21"/>
              </w:rPr>
              <w:t>大新县桃城镇民生街98号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A126D46">
            <w:pPr>
              <w:widowControl/>
              <w:jc w:val="center"/>
              <w:textAlignment w:val="center"/>
              <w:rPr>
                <w:rFonts w:ascii="宋体" w:hAnsi="宋体" w:cs="宋体"/>
                <w:color w:val="auto"/>
                <w:kern w:val="0"/>
                <w:szCs w:val="21"/>
              </w:rPr>
            </w:pPr>
            <w:r>
              <w:rPr>
                <w:rFonts w:hint="eastAsia" w:ascii="宋体" w:hAnsi="宋体" w:cs="宋体"/>
                <w:color w:val="auto"/>
                <w:kern w:val="0"/>
                <w:szCs w:val="21"/>
              </w:rPr>
              <w:t>0771-3628078</w:t>
            </w:r>
          </w:p>
        </w:tc>
      </w:tr>
      <w:tr w14:paraId="5BF968E0">
        <w:tblPrEx>
          <w:tblCellMar>
            <w:top w:w="0" w:type="dxa"/>
            <w:left w:w="108" w:type="dxa"/>
            <w:bottom w:w="0" w:type="dxa"/>
            <w:right w:w="108" w:type="dxa"/>
          </w:tblCellMar>
        </w:tblPrEx>
        <w:trPr>
          <w:trHeight w:val="45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735B000">
            <w:pPr>
              <w:widowControl/>
              <w:jc w:val="left"/>
              <w:textAlignment w:val="center"/>
              <w:rPr>
                <w:rFonts w:ascii="宋体" w:hAnsi="宋体" w:cs="宋体"/>
                <w:color w:val="auto"/>
                <w:kern w:val="0"/>
                <w:szCs w:val="21"/>
              </w:rPr>
            </w:pPr>
            <w:r>
              <w:rPr>
                <w:rFonts w:hint="eastAsia" w:ascii="宋体" w:hAnsi="宋体" w:cs="宋体"/>
                <w:color w:val="auto"/>
                <w:szCs w:val="21"/>
              </w:rPr>
              <w:t>农业银行大新县支行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D771BF2">
            <w:pPr>
              <w:widowControl/>
              <w:jc w:val="left"/>
              <w:textAlignment w:val="center"/>
              <w:rPr>
                <w:rFonts w:ascii="宋体" w:hAnsi="宋体" w:cs="宋体"/>
                <w:color w:val="auto"/>
                <w:kern w:val="0"/>
                <w:szCs w:val="21"/>
              </w:rPr>
            </w:pPr>
            <w:r>
              <w:rPr>
                <w:rFonts w:hint="eastAsia" w:ascii="宋体" w:hAnsi="宋体" w:cs="宋体"/>
                <w:color w:val="auto"/>
                <w:szCs w:val="21"/>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FB0CD5F">
            <w:pPr>
              <w:widowControl/>
              <w:jc w:val="center"/>
              <w:textAlignment w:val="center"/>
              <w:rPr>
                <w:rFonts w:ascii="宋体" w:hAnsi="宋体" w:cs="宋体"/>
                <w:color w:val="auto"/>
                <w:kern w:val="0"/>
                <w:szCs w:val="21"/>
              </w:rPr>
            </w:pPr>
            <w:r>
              <w:rPr>
                <w:rFonts w:hint="eastAsia" w:ascii="宋体" w:hAnsi="宋体" w:cs="宋体"/>
                <w:color w:val="auto"/>
                <w:kern w:val="0"/>
                <w:szCs w:val="21"/>
              </w:rPr>
              <w:t>0771-</w:t>
            </w:r>
            <w:r>
              <w:rPr>
                <w:rFonts w:hint="eastAsia" w:ascii="宋体" w:hAnsi="宋体" w:cs="宋体"/>
                <w:color w:val="auto"/>
                <w:szCs w:val="21"/>
              </w:rPr>
              <w:t>7917015</w:t>
            </w:r>
          </w:p>
        </w:tc>
      </w:tr>
      <w:tr w14:paraId="686A63C1">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95A287D">
            <w:pPr>
              <w:widowControl/>
              <w:jc w:val="left"/>
              <w:textAlignment w:val="center"/>
              <w:rPr>
                <w:rFonts w:ascii="宋体" w:hAnsi="宋体" w:cs="宋体"/>
                <w:color w:val="auto"/>
                <w:kern w:val="0"/>
                <w:szCs w:val="21"/>
              </w:rPr>
            </w:pPr>
            <w:r>
              <w:rPr>
                <w:rFonts w:hint="eastAsia" w:ascii="宋体" w:hAnsi="宋体" w:cs="宋体"/>
                <w:color w:val="auto"/>
                <w:kern w:val="0"/>
                <w:szCs w:val="21"/>
              </w:rPr>
              <w:t>建行大新支行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1572D84">
            <w:pPr>
              <w:widowControl/>
              <w:jc w:val="left"/>
              <w:textAlignment w:val="center"/>
              <w:rPr>
                <w:rFonts w:ascii="宋体" w:hAnsi="宋体" w:cs="宋体"/>
                <w:color w:val="auto"/>
                <w:kern w:val="0"/>
                <w:szCs w:val="21"/>
              </w:rPr>
            </w:pPr>
            <w:r>
              <w:rPr>
                <w:rFonts w:hint="eastAsia" w:ascii="宋体" w:hAnsi="宋体" w:cs="宋体"/>
                <w:color w:val="auto"/>
                <w:kern w:val="0"/>
                <w:szCs w:val="21"/>
              </w:rPr>
              <w:t>大新县民生街7号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12E062E">
            <w:pPr>
              <w:widowControl/>
              <w:jc w:val="center"/>
              <w:textAlignment w:val="center"/>
              <w:rPr>
                <w:rFonts w:ascii="宋体" w:hAnsi="宋体" w:cs="宋体"/>
                <w:color w:val="auto"/>
                <w:kern w:val="0"/>
                <w:szCs w:val="21"/>
              </w:rPr>
            </w:pPr>
            <w:r>
              <w:rPr>
                <w:rFonts w:hint="eastAsia" w:ascii="宋体" w:hAnsi="宋体" w:cs="宋体"/>
                <w:color w:val="auto"/>
                <w:kern w:val="0"/>
                <w:szCs w:val="21"/>
              </w:rPr>
              <w:t>0771-3689766</w:t>
            </w:r>
          </w:p>
        </w:tc>
      </w:tr>
      <w:tr w14:paraId="6B49212E">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EA8C08C">
            <w:pPr>
              <w:widowControl/>
              <w:jc w:val="left"/>
              <w:textAlignment w:val="center"/>
              <w:rPr>
                <w:rFonts w:ascii="宋体" w:hAnsi="宋体" w:cs="宋体"/>
                <w:color w:val="auto"/>
                <w:kern w:val="0"/>
                <w:szCs w:val="21"/>
              </w:rPr>
            </w:pPr>
            <w:r>
              <w:rPr>
                <w:rFonts w:hint="eastAsia" w:ascii="宋体" w:hAnsi="宋体" w:cs="宋体"/>
                <w:color w:val="auto"/>
                <w:kern w:val="0"/>
                <w:szCs w:val="21"/>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506092AF">
            <w:pPr>
              <w:widowControl/>
              <w:jc w:val="left"/>
              <w:textAlignment w:val="center"/>
              <w:rPr>
                <w:rFonts w:ascii="宋体" w:hAnsi="宋体" w:cs="宋体"/>
                <w:color w:val="auto"/>
                <w:kern w:val="0"/>
                <w:szCs w:val="21"/>
              </w:rPr>
            </w:pPr>
            <w:r>
              <w:rPr>
                <w:rFonts w:hint="eastAsia" w:ascii="宋体" w:hAnsi="宋体" w:cs="宋体"/>
                <w:color w:val="auto"/>
                <w:kern w:val="0"/>
                <w:szCs w:val="21"/>
              </w:rPr>
              <w:t>大新县城养利路131号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65ABCB8">
            <w:pPr>
              <w:widowControl/>
              <w:jc w:val="center"/>
              <w:textAlignment w:val="center"/>
              <w:rPr>
                <w:rFonts w:ascii="宋体" w:hAnsi="宋体" w:cs="宋体"/>
                <w:color w:val="auto"/>
                <w:kern w:val="0"/>
                <w:szCs w:val="21"/>
              </w:rPr>
            </w:pPr>
            <w:r>
              <w:rPr>
                <w:rFonts w:hint="eastAsia" w:ascii="宋体" w:hAnsi="宋体" w:cs="宋体"/>
                <w:color w:val="auto"/>
                <w:kern w:val="0"/>
                <w:szCs w:val="21"/>
              </w:rPr>
              <w:t>0771-3623887</w:t>
            </w:r>
          </w:p>
        </w:tc>
      </w:tr>
      <w:tr w14:paraId="2ED718FE">
        <w:tblPrEx>
          <w:tblCellMar>
            <w:top w:w="0" w:type="dxa"/>
            <w:left w:w="108" w:type="dxa"/>
            <w:bottom w:w="0" w:type="dxa"/>
            <w:right w:w="108" w:type="dxa"/>
          </w:tblCellMar>
        </w:tblPrEx>
        <w:trPr>
          <w:trHeight w:val="6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A08D735">
            <w:pPr>
              <w:widowControl/>
              <w:jc w:val="left"/>
              <w:textAlignment w:val="center"/>
              <w:rPr>
                <w:rFonts w:ascii="宋体" w:hAnsi="宋体" w:cs="宋体"/>
                <w:color w:val="auto"/>
                <w:kern w:val="0"/>
                <w:szCs w:val="21"/>
              </w:rPr>
            </w:pPr>
            <w:r>
              <w:rPr>
                <w:rFonts w:hint="eastAsia" w:ascii="宋体" w:hAnsi="宋体" w:cs="宋体"/>
                <w:color w:val="auto"/>
                <w:szCs w:val="21"/>
              </w:rPr>
              <w:t>桂林银行崇左大新支行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30EA9A5">
            <w:pPr>
              <w:widowControl/>
              <w:jc w:val="left"/>
              <w:textAlignment w:val="center"/>
              <w:rPr>
                <w:rFonts w:ascii="宋体" w:hAnsi="宋体" w:cs="宋体"/>
                <w:color w:val="auto"/>
                <w:kern w:val="0"/>
                <w:szCs w:val="21"/>
              </w:rPr>
            </w:pPr>
            <w:r>
              <w:rPr>
                <w:rFonts w:hint="eastAsia" w:ascii="宋体" w:hAnsi="宋体" w:cs="宋体"/>
                <w:color w:val="auto"/>
                <w:kern w:val="0"/>
                <w:szCs w:val="21"/>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5D17E82A">
            <w:pPr>
              <w:widowControl/>
              <w:jc w:val="center"/>
              <w:textAlignment w:val="center"/>
              <w:rPr>
                <w:rFonts w:ascii="宋体" w:hAnsi="宋体" w:cs="宋体"/>
                <w:color w:val="auto"/>
                <w:kern w:val="0"/>
                <w:szCs w:val="21"/>
              </w:rPr>
            </w:pPr>
            <w:r>
              <w:rPr>
                <w:rFonts w:hint="eastAsia" w:ascii="宋体" w:hAnsi="宋体" w:cs="宋体"/>
                <w:color w:val="auto"/>
                <w:kern w:val="0"/>
                <w:szCs w:val="21"/>
              </w:rPr>
              <w:t>0771-3621996</w:t>
            </w:r>
          </w:p>
        </w:tc>
      </w:tr>
      <w:tr w14:paraId="18A0EA96">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8829477">
            <w:pPr>
              <w:widowControl/>
              <w:jc w:val="left"/>
              <w:textAlignment w:val="center"/>
              <w:rPr>
                <w:rFonts w:ascii="宋体" w:hAnsi="宋体" w:cs="宋体"/>
                <w:color w:val="auto"/>
                <w:kern w:val="0"/>
                <w:szCs w:val="21"/>
              </w:rPr>
            </w:pPr>
            <w:r>
              <w:rPr>
                <w:rFonts w:hint="eastAsia" w:ascii="宋体" w:hAnsi="宋体" w:cs="宋体"/>
                <w:color w:val="auto"/>
                <w:szCs w:val="21"/>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670D0DC">
            <w:pPr>
              <w:widowControl/>
              <w:jc w:val="left"/>
              <w:textAlignment w:val="center"/>
              <w:rPr>
                <w:rFonts w:ascii="宋体" w:hAnsi="宋体" w:cs="宋体"/>
                <w:color w:val="auto"/>
                <w:kern w:val="0"/>
                <w:szCs w:val="21"/>
              </w:rPr>
            </w:pPr>
            <w:r>
              <w:rPr>
                <w:rFonts w:hint="eastAsia" w:ascii="宋体" w:hAnsi="宋体" w:cs="宋体"/>
                <w:color w:val="auto"/>
                <w:kern w:val="0"/>
                <w:szCs w:val="21"/>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vAlign w:val="center"/>
          </w:tcPr>
          <w:p w14:paraId="0A3A5FE9">
            <w:pPr>
              <w:widowControl/>
              <w:jc w:val="center"/>
              <w:textAlignment w:val="center"/>
              <w:rPr>
                <w:rFonts w:ascii="宋体" w:hAnsi="宋体" w:cs="宋体"/>
                <w:color w:val="auto"/>
                <w:kern w:val="0"/>
                <w:szCs w:val="21"/>
              </w:rPr>
            </w:pPr>
            <w:r>
              <w:rPr>
                <w:rFonts w:hint="eastAsia" w:ascii="宋体" w:hAnsi="宋体" w:cs="宋体"/>
                <w:color w:val="auto"/>
                <w:szCs w:val="21"/>
              </w:rPr>
              <w:t>0771-3628366</w:t>
            </w:r>
          </w:p>
        </w:tc>
      </w:tr>
      <w:tr w14:paraId="42060A09">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AD961C6">
            <w:pPr>
              <w:widowControl/>
              <w:jc w:val="left"/>
              <w:textAlignment w:val="center"/>
              <w:rPr>
                <w:rFonts w:ascii="宋体" w:hAnsi="宋体" w:cs="宋体"/>
                <w:color w:val="auto"/>
                <w:kern w:val="0"/>
                <w:szCs w:val="21"/>
              </w:rPr>
            </w:pPr>
            <w:r>
              <w:rPr>
                <w:rFonts w:hint="eastAsia" w:ascii="宋体" w:hAnsi="宋体" w:cs="宋体"/>
                <w:color w:val="auto"/>
                <w:kern w:val="0"/>
                <w:szCs w:val="21"/>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100EC3D3">
            <w:pPr>
              <w:widowControl/>
              <w:jc w:val="left"/>
              <w:textAlignment w:val="center"/>
              <w:rPr>
                <w:rFonts w:ascii="宋体" w:hAnsi="宋体" w:cs="宋体"/>
                <w:color w:val="auto"/>
                <w:kern w:val="0"/>
                <w:szCs w:val="21"/>
              </w:rPr>
            </w:pPr>
            <w:r>
              <w:rPr>
                <w:rFonts w:hint="eastAsia" w:ascii="宋体" w:hAnsi="宋体" w:cs="宋体"/>
                <w:color w:val="auto"/>
                <w:kern w:val="0"/>
                <w:szCs w:val="21"/>
              </w:rPr>
              <w:t>大新县桃城镇德天大道74-1号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72B7B41">
            <w:pPr>
              <w:widowControl/>
              <w:jc w:val="center"/>
              <w:textAlignment w:val="center"/>
              <w:rPr>
                <w:rFonts w:ascii="宋体" w:hAnsi="宋体" w:cs="宋体"/>
                <w:color w:val="auto"/>
                <w:kern w:val="0"/>
                <w:szCs w:val="21"/>
              </w:rPr>
            </w:pPr>
            <w:r>
              <w:rPr>
                <w:rFonts w:hint="eastAsia" w:ascii="宋体" w:hAnsi="宋体" w:cs="宋体"/>
                <w:color w:val="auto"/>
                <w:kern w:val="0"/>
                <w:szCs w:val="21"/>
              </w:rPr>
              <w:t>0771-3698002</w:t>
            </w:r>
          </w:p>
        </w:tc>
      </w:tr>
      <w:tr w14:paraId="4123ABFA">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484A1EA">
            <w:pPr>
              <w:widowControl/>
              <w:jc w:val="left"/>
              <w:textAlignment w:val="center"/>
              <w:rPr>
                <w:rFonts w:ascii="宋体" w:hAnsi="宋体" w:cs="宋体"/>
                <w:color w:val="auto"/>
                <w:kern w:val="0"/>
                <w:szCs w:val="21"/>
              </w:rPr>
            </w:pPr>
            <w:r>
              <w:rPr>
                <w:rFonts w:hint="eastAsia" w:ascii="宋体" w:hAnsi="宋体" w:cs="宋体"/>
                <w:color w:val="auto"/>
                <w:kern w:val="0"/>
                <w:szCs w:val="21"/>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FB62ABF">
            <w:pPr>
              <w:widowControl/>
              <w:jc w:val="left"/>
              <w:textAlignment w:val="center"/>
              <w:rPr>
                <w:rFonts w:ascii="宋体" w:hAnsi="宋体" w:cs="宋体"/>
                <w:color w:val="auto"/>
                <w:kern w:val="0"/>
                <w:szCs w:val="21"/>
              </w:rPr>
            </w:pPr>
            <w:r>
              <w:rPr>
                <w:rFonts w:hint="eastAsia" w:ascii="宋体" w:hAnsi="宋体" w:cs="宋体"/>
                <w:color w:val="auto"/>
                <w:kern w:val="0"/>
                <w:szCs w:val="21"/>
              </w:rPr>
              <w:t>大新县桃城镇伦那路8号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D85D73E">
            <w:pPr>
              <w:widowControl/>
              <w:jc w:val="center"/>
              <w:textAlignment w:val="center"/>
              <w:rPr>
                <w:rFonts w:ascii="宋体" w:hAnsi="宋体" w:cs="宋体"/>
                <w:color w:val="auto"/>
                <w:szCs w:val="21"/>
              </w:rPr>
            </w:pPr>
            <w:r>
              <w:rPr>
                <w:rFonts w:hint="eastAsia" w:ascii="宋体" w:hAnsi="宋体" w:cs="宋体"/>
                <w:color w:val="auto"/>
                <w:kern w:val="0"/>
                <w:szCs w:val="21"/>
              </w:rPr>
              <w:t>0771-3626199</w:t>
            </w:r>
          </w:p>
        </w:tc>
      </w:tr>
      <w:tr w14:paraId="280FADB7">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6CD8FCC">
            <w:pPr>
              <w:widowControl/>
              <w:jc w:val="left"/>
              <w:textAlignment w:val="center"/>
              <w:rPr>
                <w:rFonts w:ascii="宋体" w:hAnsi="宋体" w:cs="宋体"/>
                <w:color w:val="auto"/>
                <w:szCs w:val="21"/>
              </w:rPr>
            </w:pPr>
            <w:r>
              <w:rPr>
                <w:rFonts w:hint="eastAsia" w:ascii="宋体" w:hAnsi="宋体" w:cs="宋体"/>
                <w:b/>
                <w:bCs/>
                <w:color w:val="auto"/>
                <w:szCs w:val="21"/>
              </w:rPr>
              <w:t>龙州县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17D0313C">
            <w:pPr>
              <w:widowControl/>
              <w:jc w:val="left"/>
              <w:textAlignment w:val="center"/>
              <w:rPr>
                <w:rFonts w:ascii="宋体" w:hAnsi="宋体" w:cs="宋体"/>
                <w:color w:val="auto"/>
                <w:szCs w:val="21"/>
              </w:rPr>
            </w:pPr>
          </w:p>
        </w:tc>
        <w:tc>
          <w:tcPr>
            <w:tcW w:w="2125" w:type="dxa"/>
            <w:tcBorders>
              <w:top w:val="single" w:color="000000" w:sz="4" w:space="0"/>
              <w:left w:val="single" w:color="000000" w:sz="4" w:space="0"/>
              <w:bottom w:val="single" w:color="000000" w:sz="4" w:space="0"/>
              <w:right w:val="single" w:color="000000" w:sz="4" w:space="0"/>
            </w:tcBorders>
            <w:vAlign w:val="center"/>
          </w:tcPr>
          <w:p w14:paraId="42BD59DA">
            <w:pPr>
              <w:widowControl/>
              <w:jc w:val="center"/>
              <w:textAlignment w:val="center"/>
              <w:rPr>
                <w:rFonts w:ascii="宋体" w:hAnsi="宋体" w:cs="宋体"/>
                <w:color w:val="auto"/>
                <w:szCs w:val="21"/>
              </w:rPr>
            </w:pPr>
          </w:p>
        </w:tc>
      </w:tr>
      <w:tr w14:paraId="4B60EE83">
        <w:tblPrEx>
          <w:tblCellMar>
            <w:top w:w="0" w:type="dxa"/>
            <w:left w:w="108" w:type="dxa"/>
            <w:bottom w:w="0" w:type="dxa"/>
            <w:right w:w="108" w:type="dxa"/>
          </w:tblCellMar>
        </w:tblPrEx>
        <w:trPr>
          <w:trHeight w:val="42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0FC2D0">
            <w:pPr>
              <w:widowControl/>
              <w:jc w:val="left"/>
              <w:textAlignment w:val="center"/>
              <w:rPr>
                <w:rFonts w:ascii="宋体" w:hAnsi="宋体" w:cs="宋体"/>
                <w:color w:val="auto"/>
                <w:szCs w:val="21"/>
              </w:rPr>
            </w:pPr>
            <w:r>
              <w:rPr>
                <w:rFonts w:hint="eastAsia" w:ascii="宋体" w:hAnsi="宋体" w:cs="宋体"/>
                <w:color w:val="auto"/>
                <w:szCs w:val="21"/>
              </w:rPr>
              <w:t>工商银行龙州县支行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2DCDD84">
            <w:pPr>
              <w:widowControl/>
              <w:jc w:val="left"/>
              <w:textAlignment w:val="center"/>
              <w:rPr>
                <w:rFonts w:ascii="宋体" w:hAnsi="宋体" w:cs="宋体"/>
                <w:color w:val="auto"/>
                <w:szCs w:val="21"/>
              </w:rPr>
            </w:pPr>
            <w:r>
              <w:rPr>
                <w:rFonts w:hint="eastAsia" w:ascii="宋体" w:hAnsi="宋体" w:cs="宋体"/>
                <w:color w:val="auto"/>
                <w:szCs w:val="21"/>
              </w:rPr>
              <w:t>龙州县龙江街60号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389E565">
            <w:pPr>
              <w:widowControl/>
              <w:jc w:val="center"/>
              <w:textAlignment w:val="center"/>
              <w:rPr>
                <w:rFonts w:ascii="宋体" w:hAnsi="宋体" w:cs="宋体"/>
                <w:color w:val="auto"/>
                <w:szCs w:val="21"/>
              </w:rPr>
            </w:pPr>
            <w:r>
              <w:rPr>
                <w:rFonts w:hint="eastAsia" w:ascii="宋体" w:hAnsi="宋体" w:cs="宋体"/>
                <w:color w:val="auto"/>
                <w:szCs w:val="21"/>
              </w:rPr>
              <w:t>0771-8868619</w:t>
            </w:r>
          </w:p>
        </w:tc>
      </w:tr>
      <w:tr w14:paraId="2752DBC9">
        <w:tblPrEx>
          <w:tblCellMar>
            <w:top w:w="0" w:type="dxa"/>
            <w:left w:w="108" w:type="dxa"/>
            <w:bottom w:w="0" w:type="dxa"/>
            <w:right w:w="108" w:type="dxa"/>
          </w:tblCellMar>
        </w:tblPrEx>
        <w:trPr>
          <w:trHeight w:val="544"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1EC39AD">
            <w:pPr>
              <w:widowControl/>
              <w:jc w:val="left"/>
              <w:textAlignment w:val="center"/>
              <w:rPr>
                <w:rFonts w:ascii="宋体" w:hAnsi="宋体" w:cs="宋体"/>
                <w:color w:val="auto"/>
                <w:szCs w:val="21"/>
              </w:rPr>
            </w:pPr>
            <w:r>
              <w:rPr>
                <w:rFonts w:hint="eastAsia" w:ascii="宋体" w:hAnsi="宋体" w:cs="宋体"/>
                <w:color w:val="auto"/>
                <w:szCs w:val="21"/>
              </w:rPr>
              <w:t>农业银行龙州县支行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6B96343">
            <w:pPr>
              <w:widowControl/>
              <w:jc w:val="left"/>
              <w:textAlignment w:val="center"/>
              <w:rPr>
                <w:rFonts w:ascii="宋体" w:hAnsi="宋体" w:cs="宋体"/>
                <w:color w:val="auto"/>
                <w:szCs w:val="21"/>
              </w:rPr>
            </w:pPr>
            <w:r>
              <w:rPr>
                <w:rFonts w:hint="eastAsia" w:ascii="宋体" w:hAnsi="宋体" w:cs="宋体"/>
                <w:color w:val="auto"/>
                <w:szCs w:val="21"/>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0099CC1">
            <w:pPr>
              <w:widowControl/>
              <w:jc w:val="center"/>
              <w:textAlignment w:val="center"/>
              <w:rPr>
                <w:rFonts w:ascii="宋体" w:hAnsi="宋体" w:cs="宋体"/>
                <w:color w:val="auto"/>
                <w:szCs w:val="21"/>
              </w:rPr>
            </w:pPr>
            <w:r>
              <w:rPr>
                <w:rFonts w:hint="eastAsia" w:ascii="宋体" w:hAnsi="宋体" w:cs="宋体"/>
                <w:color w:val="auto"/>
                <w:szCs w:val="21"/>
              </w:rPr>
              <w:t>0771-8812504</w:t>
            </w:r>
          </w:p>
        </w:tc>
      </w:tr>
      <w:tr w14:paraId="6C383CB6">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1E2ED32">
            <w:pPr>
              <w:widowControl/>
              <w:jc w:val="left"/>
              <w:textAlignment w:val="center"/>
              <w:rPr>
                <w:rFonts w:ascii="宋体" w:hAnsi="宋体" w:cs="宋体"/>
                <w:color w:val="auto"/>
                <w:szCs w:val="21"/>
              </w:rPr>
            </w:pPr>
            <w:r>
              <w:rPr>
                <w:rFonts w:hint="eastAsia" w:ascii="宋体" w:hAnsi="宋体" w:cs="宋体"/>
                <w:color w:val="auto"/>
                <w:szCs w:val="21"/>
              </w:rPr>
              <w:t>建行龙州支行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C4AC173">
            <w:pPr>
              <w:widowControl/>
              <w:jc w:val="left"/>
              <w:textAlignment w:val="center"/>
              <w:rPr>
                <w:rFonts w:ascii="宋体" w:hAnsi="宋体" w:cs="宋体"/>
                <w:color w:val="auto"/>
                <w:szCs w:val="21"/>
              </w:rPr>
            </w:pPr>
            <w:r>
              <w:rPr>
                <w:rFonts w:hint="eastAsia" w:ascii="宋体" w:hAnsi="宋体" w:cs="宋体"/>
                <w:color w:val="auto"/>
                <w:szCs w:val="21"/>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69D1B134">
            <w:pPr>
              <w:widowControl/>
              <w:jc w:val="center"/>
              <w:textAlignment w:val="center"/>
              <w:rPr>
                <w:rFonts w:ascii="宋体" w:hAnsi="宋体" w:cs="宋体"/>
                <w:color w:val="auto"/>
                <w:szCs w:val="21"/>
              </w:rPr>
            </w:pPr>
            <w:r>
              <w:rPr>
                <w:rFonts w:hint="eastAsia" w:ascii="宋体" w:hAnsi="宋体" w:cs="宋体"/>
                <w:color w:val="auto"/>
                <w:szCs w:val="21"/>
              </w:rPr>
              <w:t>0771-8820525</w:t>
            </w:r>
          </w:p>
        </w:tc>
      </w:tr>
      <w:tr w14:paraId="4B120091">
        <w:tblPrEx>
          <w:tblCellMar>
            <w:top w:w="0" w:type="dxa"/>
            <w:left w:w="108" w:type="dxa"/>
            <w:bottom w:w="0" w:type="dxa"/>
            <w:right w:w="108" w:type="dxa"/>
          </w:tblCellMar>
        </w:tblPrEx>
        <w:trPr>
          <w:trHeight w:val="41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5091797">
            <w:pPr>
              <w:widowControl/>
              <w:jc w:val="left"/>
              <w:textAlignment w:val="center"/>
              <w:rPr>
                <w:rFonts w:ascii="宋体" w:hAnsi="宋体" w:cs="宋体"/>
                <w:color w:val="auto"/>
                <w:szCs w:val="21"/>
              </w:rPr>
            </w:pPr>
            <w:r>
              <w:rPr>
                <w:rFonts w:hint="eastAsia" w:ascii="宋体" w:hAnsi="宋体" w:cs="宋体"/>
                <w:color w:val="auto"/>
                <w:szCs w:val="21"/>
              </w:rPr>
              <w:t>龙州农商行公司机构金融部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682B515F">
            <w:pPr>
              <w:widowControl/>
              <w:jc w:val="left"/>
              <w:textAlignment w:val="center"/>
              <w:rPr>
                <w:rFonts w:ascii="宋体" w:hAnsi="宋体" w:cs="宋体"/>
                <w:color w:val="auto"/>
                <w:szCs w:val="21"/>
              </w:rPr>
            </w:pPr>
            <w:r>
              <w:rPr>
                <w:rFonts w:hint="eastAsia" w:ascii="宋体" w:hAnsi="宋体" w:cs="宋体"/>
                <w:color w:val="auto"/>
                <w:szCs w:val="21"/>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73C62E3">
            <w:pPr>
              <w:widowControl/>
              <w:jc w:val="center"/>
              <w:textAlignment w:val="center"/>
              <w:rPr>
                <w:rFonts w:ascii="宋体" w:hAnsi="宋体" w:cs="宋体"/>
                <w:color w:val="auto"/>
                <w:szCs w:val="21"/>
              </w:rPr>
            </w:pPr>
            <w:r>
              <w:rPr>
                <w:rFonts w:hint="eastAsia" w:ascii="宋体" w:hAnsi="宋体" w:cs="宋体"/>
                <w:color w:val="auto"/>
                <w:szCs w:val="21"/>
              </w:rPr>
              <w:t>0771-8813013</w:t>
            </w:r>
          </w:p>
        </w:tc>
      </w:tr>
      <w:tr w14:paraId="1365B057">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1A6EB29">
            <w:pPr>
              <w:widowControl/>
              <w:jc w:val="left"/>
              <w:textAlignment w:val="center"/>
              <w:rPr>
                <w:rFonts w:ascii="宋体" w:hAnsi="宋体" w:cs="宋体"/>
                <w:color w:val="auto"/>
                <w:szCs w:val="21"/>
              </w:rPr>
            </w:pPr>
            <w:r>
              <w:rPr>
                <w:rFonts w:hint="eastAsia" w:ascii="宋体" w:hAnsi="宋体" w:cs="宋体"/>
                <w:color w:val="auto"/>
                <w:szCs w:val="21"/>
              </w:rPr>
              <w:t>桂林银行崇左龙州支行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54CFCB5">
            <w:pPr>
              <w:widowControl/>
              <w:jc w:val="left"/>
              <w:textAlignment w:val="center"/>
              <w:rPr>
                <w:rFonts w:ascii="宋体" w:hAnsi="宋体" w:cs="宋体"/>
                <w:color w:val="auto"/>
                <w:szCs w:val="21"/>
              </w:rPr>
            </w:pPr>
            <w:r>
              <w:rPr>
                <w:rFonts w:hint="eastAsia" w:ascii="宋体" w:hAnsi="宋体" w:cs="宋体"/>
                <w:color w:val="auto"/>
                <w:szCs w:val="21"/>
              </w:rPr>
              <w:t>龙州县龙州镇同顾大道1号同顾·中央公园20栋10号—13号房</w:t>
            </w:r>
          </w:p>
        </w:tc>
        <w:tc>
          <w:tcPr>
            <w:tcW w:w="2125" w:type="dxa"/>
            <w:tcBorders>
              <w:top w:val="single" w:color="000000" w:sz="4" w:space="0"/>
              <w:left w:val="single" w:color="000000" w:sz="4" w:space="0"/>
              <w:bottom w:val="single" w:color="000000" w:sz="4" w:space="0"/>
              <w:right w:val="single" w:color="000000" w:sz="4" w:space="0"/>
            </w:tcBorders>
            <w:vAlign w:val="center"/>
          </w:tcPr>
          <w:p w14:paraId="6A9AF03D">
            <w:pPr>
              <w:widowControl/>
              <w:jc w:val="center"/>
              <w:textAlignment w:val="center"/>
              <w:rPr>
                <w:rFonts w:ascii="宋体" w:hAnsi="宋体" w:cs="宋体"/>
                <w:color w:val="auto"/>
                <w:szCs w:val="21"/>
              </w:rPr>
            </w:pPr>
            <w:r>
              <w:rPr>
                <w:rFonts w:hint="eastAsia" w:ascii="宋体" w:hAnsi="宋体" w:cs="宋体"/>
                <w:color w:val="auto"/>
                <w:szCs w:val="21"/>
              </w:rPr>
              <w:t>0771-8871021</w:t>
            </w:r>
          </w:p>
        </w:tc>
      </w:tr>
      <w:tr w14:paraId="1F16AF02">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D7DC6D0">
            <w:pPr>
              <w:widowControl/>
              <w:jc w:val="left"/>
              <w:textAlignment w:val="center"/>
              <w:rPr>
                <w:rFonts w:ascii="宋体" w:hAnsi="宋体" w:cs="宋体"/>
                <w:color w:val="auto"/>
                <w:szCs w:val="21"/>
              </w:rPr>
            </w:pPr>
            <w:r>
              <w:rPr>
                <w:rFonts w:hint="eastAsia" w:ascii="宋体" w:hAnsi="宋体" w:cs="宋体"/>
                <w:color w:val="auto"/>
                <w:szCs w:val="21"/>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D4C9A5E">
            <w:pPr>
              <w:widowControl/>
              <w:jc w:val="left"/>
              <w:textAlignment w:val="center"/>
              <w:rPr>
                <w:rFonts w:ascii="宋体" w:hAnsi="宋体" w:cs="宋体"/>
                <w:color w:val="auto"/>
                <w:szCs w:val="21"/>
              </w:rPr>
            </w:pPr>
            <w:r>
              <w:rPr>
                <w:rFonts w:hint="eastAsia" w:ascii="宋体" w:hAnsi="宋体" w:cs="宋体"/>
                <w:color w:val="auto"/>
                <w:szCs w:val="21"/>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vAlign w:val="center"/>
          </w:tcPr>
          <w:p w14:paraId="727D0A80">
            <w:pPr>
              <w:widowControl/>
              <w:jc w:val="center"/>
              <w:textAlignment w:val="center"/>
              <w:rPr>
                <w:rFonts w:ascii="宋体" w:hAnsi="宋体" w:cs="宋体"/>
                <w:color w:val="auto"/>
                <w:szCs w:val="21"/>
              </w:rPr>
            </w:pPr>
            <w:r>
              <w:rPr>
                <w:rFonts w:hint="eastAsia" w:ascii="宋体" w:hAnsi="宋体" w:cs="宋体"/>
                <w:color w:val="auto"/>
                <w:szCs w:val="21"/>
              </w:rPr>
              <w:t>0771-8811533</w:t>
            </w:r>
          </w:p>
        </w:tc>
      </w:tr>
      <w:tr w14:paraId="10E1CE0E">
        <w:tblPrEx>
          <w:tblCellMar>
            <w:top w:w="0" w:type="dxa"/>
            <w:left w:w="108" w:type="dxa"/>
            <w:bottom w:w="0" w:type="dxa"/>
            <w:right w:w="108" w:type="dxa"/>
          </w:tblCellMar>
        </w:tblPrEx>
        <w:trPr>
          <w:trHeight w:val="48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B6B234E">
            <w:pPr>
              <w:widowControl/>
              <w:textAlignment w:val="center"/>
              <w:rPr>
                <w:rFonts w:ascii="宋体" w:hAnsi="宋体" w:cs="宋体"/>
                <w:color w:val="auto"/>
                <w:szCs w:val="21"/>
              </w:rPr>
            </w:pPr>
            <w:r>
              <w:rPr>
                <w:rFonts w:hint="eastAsia" w:ascii="宋体" w:hAnsi="宋体" w:cs="宋体"/>
                <w:b/>
                <w:bCs/>
                <w:color w:val="auto"/>
                <w:szCs w:val="21"/>
              </w:rPr>
              <w:t>天等县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696C8F33">
            <w:pPr>
              <w:widowControl/>
              <w:jc w:val="left"/>
              <w:textAlignment w:val="center"/>
              <w:rPr>
                <w:rFonts w:ascii="宋体" w:hAnsi="宋体" w:cs="宋体"/>
                <w:color w:val="auto"/>
                <w:szCs w:val="21"/>
              </w:rPr>
            </w:pPr>
          </w:p>
        </w:tc>
        <w:tc>
          <w:tcPr>
            <w:tcW w:w="2125" w:type="dxa"/>
            <w:tcBorders>
              <w:top w:val="single" w:color="000000" w:sz="4" w:space="0"/>
              <w:left w:val="single" w:color="000000" w:sz="4" w:space="0"/>
              <w:bottom w:val="single" w:color="000000" w:sz="4" w:space="0"/>
              <w:right w:val="single" w:color="000000" w:sz="4" w:space="0"/>
            </w:tcBorders>
            <w:vAlign w:val="center"/>
          </w:tcPr>
          <w:p w14:paraId="47218853">
            <w:pPr>
              <w:widowControl/>
              <w:jc w:val="center"/>
              <w:textAlignment w:val="center"/>
              <w:rPr>
                <w:rFonts w:ascii="宋体" w:hAnsi="宋体" w:cs="宋体"/>
                <w:color w:val="auto"/>
                <w:szCs w:val="21"/>
              </w:rPr>
            </w:pPr>
          </w:p>
        </w:tc>
      </w:tr>
      <w:tr w14:paraId="0F3E3C6C">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0EE4BBD">
            <w:pPr>
              <w:widowControl/>
              <w:jc w:val="left"/>
              <w:textAlignment w:val="center"/>
              <w:rPr>
                <w:rFonts w:ascii="宋体" w:hAnsi="宋体" w:cs="宋体"/>
                <w:color w:val="auto"/>
                <w:szCs w:val="21"/>
              </w:rPr>
            </w:pPr>
            <w:r>
              <w:rPr>
                <w:rFonts w:hint="eastAsia" w:ascii="宋体" w:hAnsi="宋体" w:cs="宋体"/>
                <w:color w:val="auto"/>
                <w:szCs w:val="21"/>
              </w:rPr>
              <w:t>工商银行天等县支行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D774BCD">
            <w:pPr>
              <w:widowControl/>
              <w:jc w:val="left"/>
              <w:textAlignment w:val="center"/>
              <w:rPr>
                <w:rFonts w:ascii="宋体" w:hAnsi="宋体" w:cs="宋体"/>
                <w:color w:val="auto"/>
                <w:szCs w:val="21"/>
              </w:rPr>
            </w:pPr>
            <w:r>
              <w:rPr>
                <w:rFonts w:hint="eastAsia" w:ascii="宋体" w:hAnsi="宋体" w:cs="宋体"/>
                <w:color w:val="auto"/>
                <w:szCs w:val="21"/>
              </w:rPr>
              <w:t>天等县天等镇朝阳东路054号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D9F13DD">
            <w:pPr>
              <w:widowControl/>
              <w:jc w:val="center"/>
              <w:textAlignment w:val="center"/>
              <w:rPr>
                <w:rFonts w:ascii="宋体" w:hAnsi="宋体" w:cs="宋体"/>
                <w:color w:val="auto"/>
                <w:szCs w:val="21"/>
              </w:rPr>
            </w:pPr>
            <w:r>
              <w:rPr>
                <w:rFonts w:hint="eastAsia" w:ascii="宋体" w:hAnsi="宋体" w:cs="宋体"/>
                <w:color w:val="auto"/>
                <w:szCs w:val="21"/>
              </w:rPr>
              <w:t>0771-3532211</w:t>
            </w:r>
          </w:p>
        </w:tc>
      </w:tr>
      <w:tr w14:paraId="463FA480">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37CB2BA">
            <w:pPr>
              <w:widowControl/>
              <w:jc w:val="left"/>
              <w:textAlignment w:val="center"/>
              <w:rPr>
                <w:rFonts w:ascii="宋体" w:hAnsi="宋体" w:cs="宋体"/>
                <w:color w:val="auto"/>
                <w:szCs w:val="21"/>
              </w:rPr>
            </w:pPr>
            <w:r>
              <w:rPr>
                <w:rFonts w:hint="eastAsia" w:ascii="宋体" w:hAnsi="宋体" w:cs="宋体"/>
                <w:color w:val="auto"/>
                <w:szCs w:val="21"/>
              </w:rPr>
              <w:t>农业银行天等县支行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A5E0E03">
            <w:pPr>
              <w:widowControl/>
              <w:jc w:val="left"/>
              <w:textAlignment w:val="center"/>
              <w:rPr>
                <w:rFonts w:ascii="宋体" w:hAnsi="宋体" w:cs="宋体"/>
                <w:color w:val="auto"/>
                <w:szCs w:val="21"/>
              </w:rPr>
            </w:pPr>
            <w:r>
              <w:rPr>
                <w:rFonts w:hint="eastAsia" w:ascii="宋体" w:hAnsi="宋体" w:cs="宋体"/>
                <w:color w:val="auto"/>
                <w:szCs w:val="21"/>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34197FF">
            <w:pPr>
              <w:widowControl/>
              <w:jc w:val="center"/>
              <w:textAlignment w:val="center"/>
              <w:rPr>
                <w:rFonts w:ascii="宋体" w:hAnsi="宋体" w:cs="宋体"/>
                <w:color w:val="auto"/>
                <w:szCs w:val="21"/>
              </w:rPr>
            </w:pPr>
            <w:r>
              <w:rPr>
                <w:rFonts w:hint="eastAsia" w:ascii="宋体" w:hAnsi="宋体" w:cs="宋体"/>
                <w:color w:val="auto"/>
                <w:szCs w:val="21"/>
              </w:rPr>
              <w:t>0771-7917046</w:t>
            </w:r>
          </w:p>
        </w:tc>
      </w:tr>
      <w:tr w14:paraId="67E396A0">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262EBF9">
            <w:pPr>
              <w:widowControl/>
              <w:jc w:val="left"/>
              <w:textAlignment w:val="center"/>
              <w:rPr>
                <w:rFonts w:ascii="宋体" w:hAnsi="宋体" w:cs="宋体"/>
                <w:color w:val="auto"/>
                <w:szCs w:val="21"/>
              </w:rPr>
            </w:pPr>
            <w:r>
              <w:rPr>
                <w:rFonts w:hint="eastAsia" w:ascii="宋体" w:hAnsi="宋体" w:cs="宋体"/>
                <w:color w:val="auto"/>
                <w:szCs w:val="21"/>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41068FD2">
            <w:pPr>
              <w:widowControl/>
              <w:jc w:val="left"/>
              <w:textAlignment w:val="center"/>
              <w:rPr>
                <w:rFonts w:ascii="宋体" w:hAnsi="宋体" w:cs="宋体"/>
                <w:color w:val="auto"/>
                <w:szCs w:val="21"/>
              </w:rPr>
            </w:pPr>
            <w:r>
              <w:rPr>
                <w:rFonts w:hint="eastAsia" w:ascii="宋体" w:hAnsi="宋体" w:cs="宋体"/>
                <w:color w:val="auto"/>
                <w:szCs w:val="21"/>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E2291A6">
            <w:pPr>
              <w:widowControl/>
              <w:jc w:val="center"/>
              <w:textAlignment w:val="center"/>
              <w:rPr>
                <w:rFonts w:ascii="宋体" w:hAnsi="宋体" w:cs="宋体"/>
                <w:color w:val="auto"/>
                <w:szCs w:val="21"/>
              </w:rPr>
            </w:pPr>
            <w:r>
              <w:rPr>
                <w:rFonts w:hint="eastAsia" w:ascii="宋体" w:hAnsi="宋体" w:cs="宋体"/>
                <w:color w:val="auto"/>
                <w:szCs w:val="21"/>
              </w:rPr>
              <w:t>0771-3521361</w:t>
            </w:r>
          </w:p>
        </w:tc>
      </w:tr>
      <w:tr w14:paraId="17A0EA9A">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F4F1A4F">
            <w:pPr>
              <w:widowControl/>
              <w:jc w:val="left"/>
              <w:textAlignment w:val="center"/>
              <w:rPr>
                <w:rFonts w:ascii="宋体" w:hAnsi="宋体" w:cs="宋体"/>
                <w:color w:val="auto"/>
                <w:szCs w:val="21"/>
              </w:rPr>
            </w:pPr>
            <w:r>
              <w:rPr>
                <w:rFonts w:hint="eastAsia" w:ascii="宋体" w:hAnsi="宋体" w:cs="宋体"/>
                <w:color w:val="auto"/>
                <w:szCs w:val="21"/>
              </w:rPr>
              <w:t>桂林银行崇左天等支行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C7A4E8A">
            <w:pPr>
              <w:widowControl/>
              <w:jc w:val="left"/>
              <w:textAlignment w:val="center"/>
              <w:rPr>
                <w:rFonts w:ascii="宋体" w:hAnsi="宋体" w:cs="宋体"/>
                <w:color w:val="auto"/>
                <w:szCs w:val="21"/>
              </w:rPr>
            </w:pPr>
            <w:r>
              <w:rPr>
                <w:rFonts w:hint="eastAsia" w:ascii="宋体" w:hAnsi="宋体" w:cs="宋体"/>
                <w:color w:val="auto"/>
                <w:szCs w:val="21"/>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A541B4E">
            <w:pPr>
              <w:widowControl/>
              <w:jc w:val="center"/>
              <w:textAlignment w:val="center"/>
              <w:rPr>
                <w:rFonts w:ascii="宋体" w:hAnsi="宋体" w:cs="宋体"/>
                <w:color w:val="auto"/>
                <w:szCs w:val="21"/>
              </w:rPr>
            </w:pPr>
            <w:r>
              <w:rPr>
                <w:rFonts w:hint="eastAsia" w:ascii="宋体" w:hAnsi="宋体" w:cs="宋体"/>
                <w:color w:val="auto"/>
                <w:szCs w:val="21"/>
              </w:rPr>
              <w:t>0771-3522157</w:t>
            </w:r>
          </w:p>
        </w:tc>
      </w:tr>
      <w:tr w14:paraId="5714CF5D">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962701D">
            <w:pPr>
              <w:widowControl/>
              <w:jc w:val="left"/>
              <w:textAlignment w:val="center"/>
              <w:rPr>
                <w:rFonts w:ascii="宋体" w:hAnsi="宋体" w:cs="宋体"/>
                <w:color w:val="auto"/>
                <w:szCs w:val="21"/>
              </w:rPr>
            </w:pPr>
            <w:r>
              <w:rPr>
                <w:rFonts w:hint="eastAsia" w:ascii="宋体" w:hAnsi="宋体" w:cs="宋体"/>
                <w:color w:val="auto"/>
                <w:szCs w:val="21"/>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0D627C8">
            <w:pPr>
              <w:widowControl/>
              <w:jc w:val="left"/>
              <w:textAlignment w:val="center"/>
              <w:rPr>
                <w:rFonts w:ascii="宋体" w:hAnsi="宋体" w:cs="宋体"/>
                <w:color w:val="auto"/>
                <w:szCs w:val="21"/>
              </w:rPr>
            </w:pPr>
            <w:r>
              <w:rPr>
                <w:rFonts w:hint="eastAsia" w:ascii="宋体" w:hAnsi="宋体" w:cs="宋体"/>
                <w:color w:val="auto"/>
                <w:szCs w:val="21"/>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41E82F35">
            <w:pPr>
              <w:widowControl/>
              <w:jc w:val="center"/>
              <w:textAlignment w:val="center"/>
              <w:rPr>
                <w:rFonts w:ascii="宋体" w:hAnsi="宋体" w:cs="宋体"/>
                <w:color w:val="auto"/>
                <w:szCs w:val="21"/>
              </w:rPr>
            </w:pPr>
            <w:r>
              <w:rPr>
                <w:rFonts w:hint="eastAsia" w:ascii="宋体" w:hAnsi="宋体" w:cs="宋体"/>
                <w:color w:val="auto"/>
                <w:szCs w:val="21"/>
              </w:rPr>
              <w:t>0771-3528688</w:t>
            </w:r>
          </w:p>
        </w:tc>
      </w:tr>
      <w:tr w14:paraId="5C55CE02">
        <w:tblPrEx>
          <w:tblCellMar>
            <w:top w:w="0" w:type="dxa"/>
            <w:left w:w="108" w:type="dxa"/>
            <w:bottom w:w="0" w:type="dxa"/>
            <w:right w:w="108" w:type="dxa"/>
          </w:tblCellMar>
        </w:tblPrEx>
        <w:trPr>
          <w:trHeight w:val="33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3F6E1881">
            <w:pPr>
              <w:widowControl/>
              <w:jc w:val="left"/>
              <w:textAlignment w:val="center"/>
              <w:rPr>
                <w:rFonts w:ascii="宋体" w:hAnsi="宋体" w:cs="宋体"/>
                <w:color w:val="auto"/>
                <w:szCs w:val="21"/>
              </w:rPr>
            </w:pPr>
            <w:r>
              <w:rPr>
                <w:rFonts w:hint="eastAsia" w:ascii="宋体" w:hAnsi="宋体" w:cs="宋体"/>
                <w:b/>
                <w:bCs/>
                <w:color w:val="auto"/>
                <w:szCs w:val="21"/>
              </w:rPr>
              <w:t>凭祥市</w:t>
            </w:r>
          </w:p>
        </w:tc>
      </w:tr>
      <w:tr w14:paraId="7F707DDD">
        <w:tblPrEx>
          <w:tblCellMar>
            <w:top w:w="0" w:type="dxa"/>
            <w:left w:w="108" w:type="dxa"/>
            <w:bottom w:w="0" w:type="dxa"/>
            <w:right w:w="108" w:type="dxa"/>
          </w:tblCellMar>
        </w:tblPrEx>
        <w:trPr>
          <w:trHeight w:val="44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5903C76">
            <w:pPr>
              <w:widowControl/>
              <w:jc w:val="left"/>
              <w:textAlignment w:val="center"/>
              <w:rPr>
                <w:rFonts w:ascii="宋体" w:hAnsi="宋体" w:cs="宋体"/>
                <w:color w:val="auto"/>
                <w:szCs w:val="21"/>
              </w:rPr>
            </w:pPr>
            <w:r>
              <w:rPr>
                <w:rFonts w:hint="eastAsia" w:ascii="宋体" w:hAnsi="宋体" w:cs="宋体"/>
                <w:color w:val="auto"/>
                <w:szCs w:val="21"/>
              </w:rPr>
              <w:t>工商银行凭祥分行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345524B">
            <w:pPr>
              <w:widowControl/>
              <w:jc w:val="left"/>
              <w:textAlignment w:val="center"/>
              <w:rPr>
                <w:rFonts w:ascii="宋体" w:hAnsi="宋体" w:cs="宋体"/>
                <w:color w:val="auto"/>
                <w:szCs w:val="21"/>
              </w:rPr>
            </w:pPr>
            <w:r>
              <w:rPr>
                <w:rFonts w:hint="eastAsia" w:ascii="宋体" w:hAnsi="宋体" w:cs="宋体"/>
                <w:color w:val="auto"/>
                <w:szCs w:val="21"/>
              </w:rPr>
              <w:t>凭祥市新华路5号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E5305CB">
            <w:pPr>
              <w:widowControl/>
              <w:jc w:val="center"/>
              <w:textAlignment w:val="center"/>
              <w:rPr>
                <w:rFonts w:ascii="宋体" w:hAnsi="宋体" w:cs="宋体"/>
                <w:color w:val="auto"/>
                <w:szCs w:val="21"/>
              </w:rPr>
            </w:pPr>
            <w:r>
              <w:rPr>
                <w:rFonts w:hint="eastAsia" w:ascii="宋体" w:hAnsi="宋体" w:cs="宋体"/>
                <w:color w:val="auto"/>
                <w:szCs w:val="21"/>
              </w:rPr>
              <w:t>0771-8529259</w:t>
            </w:r>
          </w:p>
        </w:tc>
      </w:tr>
      <w:tr w14:paraId="594B6962">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175DB93">
            <w:pPr>
              <w:widowControl/>
              <w:jc w:val="left"/>
              <w:textAlignment w:val="center"/>
              <w:rPr>
                <w:rFonts w:ascii="宋体" w:hAnsi="宋体" w:cs="宋体"/>
                <w:color w:val="auto"/>
                <w:szCs w:val="21"/>
              </w:rPr>
            </w:pPr>
            <w:r>
              <w:rPr>
                <w:rFonts w:hint="eastAsia" w:ascii="宋体" w:hAnsi="宋体" w:cs="宋体"/>
                <w:color w:val="auto"/>
                <w:szCs w:val="21"/>
              </w:rPr>
              <w:t>农业银行凭祥支行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23F02BD">
            <w:pPr>
              <w:widowControl/>
              <w:jc w:val="left"/>
              <w:textAlignment w:val="center"/>
              <w:rPr>
                <w:rFonts w:ascii="宋体" w:hAnsi="宋体" w:cs="宋体"/>
                <w:color w:val="auto"/>
                <w:szCs w:val="21"/>
              </w:rPr>
            </w:pPr>
            <w:r>
              <w:rPr>
                <w:rFonts w:hint="eastAsia" w:ascii="宋体" w:hAnsi="宋体" w:cs="宋体"/>
                <w:color w:val="auto"/>
                <w:szCs w:val="21"/>
              </w:rPr>
              <w:t>凭祥市北大路216号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A22816B">
            <w:pPr>
              <w:widowControl/>
              <w:jc w:val="center"/>
              <w:textAlignment w:val="center"/>
              <w:rPr>
                <w:rFonts w:ascii="宋体" w:hAnsi="宋体" w:cs="宋体"/>
                <w:color w:val="auto"/>
                <w:szCs w:val="21"/>
              </w:rPr>
            </w:pPr>
            <w:r>
              <w:rPr>
                <w:rFonts w:hint="eastAsia" w:ascii="宋体" w:hAnsi="宋体" w:cs="宋体"/>
                <w:color w:val="auto"/>
                <w:szCs w:val="21"/>
              </w:rPr>
              <w:t>0771-7917258</w:t>
            </w:r>
          </w:p>
        </w:tc>
      </w:tr>
      <w:tr w14:paraId="4C94721E">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E64D75F">
            <w:pPr>
              <w:widowControl/>
              <w:jc w:val="left"/>
              <w:textAlignment w:val="center"/>
              <w:rPr>
                <w:rFonts w:ascii="宋体" w:hAnsi="宋体" w:cs="宋体"/>
                <w:color w:val="auto"/>
                <w:szCs w:val="21"/>
              </w:rPr>
            </w:pPr>
            <w:r>
              <w:rPr>
                <w:rFonts w:hint="eastAsia" w:ascii="宋体" w:hAnsi="宋体" w:cs="宋体"/>
                <w:color w:val="auto"/>
                <w:szCs w:val="21"/>
              </w:rPr>
              <w:t>建行凭祥支行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00C4348">
            <w:pPr>
              <w:widowControl/>
              <w:jc w:val="left"/>
              <w:textAlignment w:val="center"/>
              <w:rPr>
                <w:rFonts w:ascii="宋体" w:hAnsi="宋体" w:cs="宋体"/>
                <w:color w:val="auto"/>
                <w:szCs w:val="21"/>
              </w:rPr>
            </w:pPr>
            <w:r>
              <w:rPr>
                <w:rFonts w:hint="eastAsia" w:ascii="宋体" w:hAnsi="宋体" w:cs="宋体"/>
                <w:color w:val="auto"/>
                <w:szCs w:val="21"/>
              </w:rPr>
              <w:t>凭祥市屏山路138号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499EA6F">
            <w:pPr>
              <w:widowControl/>
              <w:jc w:val="center"/>
              <w:textAlignment w:val="center"/>
              <w:rPr>
                <w:rFonts w:ascii="宋体" w:hAnsi="宋体" w:cs="宋体"/>
                <w:color w:val="auto"/>
                <w:szCs w:val="21"/>
              </w:rPr>
            </w:pPr>
            <w:r>
              <w:rPr>
                <w:rFonts w:hint="eastAsia" w:ascii="宋体" w:hAnsi="宋体" w:cs="宋体"/>
                <w:color w:val="auto"/>
                <w:szCs w:val="21"/>
              </w:rPr>
              <w:t>0771-8525068 0771-8536852</w:t>
            </w:r>
          </w:p>
        </w:tc>
      </w:tr>
      <w:tr w14:paraId="00B3BC40">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2C159B0">
            <w:pPr>
              <w:widowControl/>
              <w:jc w:val="left"/>
              <w:textAlignment w:val="center"/>
              <w:rPr>
                <w:rFonts w:ascii="宋体" w:hAnsi="宋体" w:cs="宋体"/>
                <w:color w:val="auto"/>
                <w:szCs w:val="21"/>
              </w:rPr>
            </w:pPr>
            <w:r>
              <w:rPr>
                <w:rFonts w:hint="eastAsia" w:ascii="宋体" w:hAnsi="宋体" w:cs="宋体"/>
                <w:color w:val="auto"/>
                <w:szCs w:val="21"/>
              </w:rPr>
              <w:t>建行凭祥中区支行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81CB533">
            <w:pPr>
              <w:widowControl/>
              <w:jc w:val="left"/>
              <w:textAlignment w:val="center"/>
              <w:rPr>
                <w:rFonts w:ascii="宋体" w:hAnsi="宋体" w:cs="宋体"/>
                <w:color w:val="auto"/>
                <w:szCs w:val="21"/>
              </w:rPr>
            </w:pPr>
            <w:r>
              <w:rPr>
                <w:rFonts w:hint="eastAsia" w:ascii="宋体" w:hAnsi="宋体" w:cs="宋体"/>
                <w:color w:val="auto"/>
                <w:szCs w:val="21"/>
              </w:rPr>
              <w:t>凭祥市金象大道香格里拉3幢3-01至3-03号商铺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09F570D3">
            <w:pPr>
              <w:widowControl/>
              <w:jc w:val="center"/>
              <w:textAlignment w:val="center"/>
              <w:rPr>
                <w:rFonts w:ascii="宋体" w:hAnsi="宋体" w:cs="宋体"/>
                <w:color w:val="auto"/>
                <w:szCs w:val="21"/>
              </w:rPr>
            </w:pPr>
            <w:r>
              <w:rPr>
                <w:rFonts w:hint="eastAsia" w:ascii="宋体" w:hAnsi="宋体" w:cs="宋体"/>
                <w:color w:val="auto"/>
                <w:szCs w:val="21"/>
              </w:rPr>
              <w:t>0771-8551161</w:t>
            </w:r>
          </w:p>
        </w:tc>
      </w:tr>
      <w:tr w14:paraId="7DE768EE">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90E3C8">
            <w:pPr>
              <w:widowControl/>
              <w:jc w:val="left"/>
              <w:textAlignment w:val="center"/>
              <w:rPr>
                <w:rFonts w:ascii="宋体" w:hAnsi="宋体" w:cs="宋体"/>
                <w:color w:val="auto"/>
                <w:szCs w:val="21"/>
              </w:rPr>
            </w:pPr>
            <w:r>
              <w:rPr>
                <w:rFonts w:hint="eastAsia" w:ascii="宋体" w:hAnsi="宋体" w:cs="宋体"/>
                <w:color w:val="auto"/>
                <w:szCs w:val="21"/>
              </w:rPr>
              <w:t>建行凭祥浦寨支行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CF23062">
            <w:pPr>
              <w:widowControl/>
              <w:jc w:val="left"/>
              <w:textAlignment w:val="center"/>
              <w:rPr>
                <w:rFonts w:ascii="宋体" w:hAnsi="宋体" w:cs="宋体"/>
                <w:color w:val="auto"/>
                <w:szCs w:val="21"/>
              </w:rPr>
            </w:pPr>
            <w:r>
              <w:rPr>
                <w:rFonts w:hint="eastAsia" w:ascii="宋体" w:hAnsi="宋体" w:cs="宋体"/>
                <w:color w:val="auto"/>
                <w:szCs w:val="21"/>
              </w:rPr>
              <w:t>凭祥市浦寨商业城万泰一楼8-9号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3FA6159">
            <w:pPr>
              <w:widowControl/>
              <w:jc w:val="center"/>
              <w:textAlignment w:val="center"/>
              <w:rPr>
                <w:rFonts w:ascii="宋体" w:hAnsi="宋体" w:cs="宋体"/>
                <w:color w:val="auto"/>
                <w:szCs w:val="21"/>
              </w:rPr>
            </w:pPr>
            <w:r>
              <w:rPr>
                <w:rFonts w:hint="eastAsia" w:ascii="宋体" w:hAnsi="宋体" w:cs="宋体"/>
                <w:color w:val="auto"/>
                <w:szCs w:val="21"/>
              </w:rPr>
              <w:t>0771-8561665</w:t>
            </w:r>
          </w:p>
        </w:tc>
      </w:tr>
      <w:tr w14:paraId="42F06BE7">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F6FF05">
            <w:pPr>
              <w:widowControl/>
              <w:jc w:val="left"/>
              <w:textAlignment w:val="center"/>
              <w:rPr>
                <w:rFonts w:ascii="宋体" w:hAnsi="宋体" w:cs="宋体"/>
                <w:color w:val="auto"/>
                <w:szCs w:val="21"/>
              </w:rPr>
            </w:pPr>
            <w:r>
              <w:rPr>
                <w:rFonts w:hint="eastAsia" w:ascii="宋体" w:hAnsi="宋体" w:cs="宋体"/>
                <w:color w:val="auto"/>
                <w:szCs w:val="21"/>
              </w:rPr>
              <w:t>中国银行凭祥支行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1C34670">
            <w:pPr>
              <w:widowControl/>
              <w:jc w:val="left"/>
              <w:textAlignment w:val="center"/>
              <w:rPr>
                <w:rFonts w:ascii="宋体" w:hAnsi="宋体" w:cs="宋体"/>
                <w:color w:val="auto"/>
                <w:szCs w:val="21"/>
              </w:rPr>
            </w:pPr>
            <w:r>
              <w:rPr>
                <w:rFonts w:hint="eastAsia" w:ascii="宋体" w:hAnsi="宋体" w:cs="宋体"/>
                <w:color w:val="auto"/>
                <w:szCs w:val="21"/>
              </w:rPr>
              <w:t>凭祥市-北环路112号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4BCC9585">
            <w:pPr>
              <w:widowControl/>
              <w:jc w:val="center"/>
              <w:textAlignment w:val="center"/>
              <w:rPr>
                <w:rFonts w:ascii="宋体" w:hAnsi="宋体" w:cs="宋体"/>
                <w:color w:val="auto"/>
                <w:szCs w:val="21"/>
              </w:rPr>
            </w:pPr>
            <w:r>
              <w:rPr>
                <w:rFonts w:hint="eastAsia" w:ascii="宋体" w:hAnsi="宋体" w:cs="宋体"/>
                <w:color w:val="auto"/>
                <w:szCs w:val="21"/>
              </w:rPr>
              <w:t>0771-8520356</w:t>
            </w:r>
          </w:p>
        </w:tc>
      </w:tr>
      <w:tr w14:paraId="41234E12">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D7A19C">
            <w:pPr>
              <w:widowControl/>
              <w:jc w:val="left"/>
              <w:textAlignment w:val="center"/>
              <w:rPr>
                <w:rFonts w:ascii="宋体" w:hAnsi="宋体" w:cs="宋体"/>
                <w:color w:val="auto"/>
                <w:szCs w:val="21"/>
              </w:rPr>
            </w:pPr>
            <w:r>
              <w:rPr>
                <w:rFonts w:hint="eastAsia" w:ascii="宋体" w:hAnsi="宋体" w:cs="宋体"/>
                <w:color w:val="auto"/>
                <w:szCs w:val="21"/>
              </w:rPr>
              <w:t>凭祥农商行业务拓展部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4D3A995F">
            <w:pPr>
              <w:widowControl/>
              <w:jc w:val="left"/>
              <w:textAlignment w:val="center"/>
              <w:rPr>
                <w:rFonts w:ascii="宋体" w:hAnsi="宋体" w:cs="宋体"/>
                <w:color w:val="auto"/>
                <w:szCs w:val="21"/>
              </w:rPr>
            </w:pPr>
            <w:r>
              <w:rPr>
                <w:rFonts w:hint="eastAsia" w:ascii="宋体" w:hAnsi="宋体" w:cs="宋体"/>
                <w:color w:val="auto"/>
                <w:szCs w:val="21"/>
              </w:rPr>
              <w:t>凭祥市友谊关大道13号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C877E61">
            <w:pPr>
              <w:widowControl/>
              <w:jc w:val="center"/>
              <w:textAlignment w:val="center"/>
              <w:rPr>
                <w:rFonts w:ascii="宋体" w:hAnsi="宋体" w:cs="宋体"/>
                <w:color w:val="auto"/>
                <w:szCs w:val="21"/>
              </w:rPr>
            </w:pPr>
            <w:r>
              <w:rPr>
                <w:rFonts w:hint="eastAsia" w:ascii="宋体" w:hAnsi="宋体" w:cs="宋体"/>
                <w:color w:val="auto"/>
                <w:szCs w:val="21"/>
              </w:rPr>
              <w:t>0771-8535667</w:t>
            </w:r>
          </w:p>
        </w:tc>
      </w:tr>
      <w:tr w14:paraId="1C9E968D">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F143A61">
            <w:pPr>
              <w:widowControl/>
              <w:jc w:val="left"/>
              <w:textAlignment w:val="center"/>
              <w:rPr>
                <w:rFonts w:ascii="宋体" w:hAnsi="宋体" w:cs="宋体"/>
                <w:color w:val="auto"/>
                <w:szCs w:val="21"/>
              </w:rPr>
            </w:pPr>
            <w:r>
              <w:rPr>
                <w:rFonts w:hint="eastAsia" w:ascii="宋体" w:hAnsi="宋体" w:cs="宋体"/>
                <w:color w:val="auto"/>
                <w:szCs w:val="21"/>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B8A5B2E">
            <w:pPr>
              <w:widowControl/>
              <w:jc w:val="left"/>
              <w:textAlignment w:val="center"/>
              <w:rPr>
                <w:rFonts w:ascii="宋体" w:hAnsi="宋体" w:cs="宋体"/>
                <w:color w:val="auto"/>
                <w:szCs w:val="21"/>
              </w:rPr>
            </w:pPr>
            <w:r>
              <w:rPr>
                <w:rFonts w:hint="eastAsia" w:ascii="宋体" w:hAnsi="宋体" w:cs="宋体"/>
                <w:color w:val="auto"/>
                <w:szCs w:val="21"/>
              </w:rPr>
              <w:t>凭祥市北大路一支40号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A62D503">
            <w:pPr>
              <w:widowControl/>
              <w:jc w:val="center"/>
              <w:textAlignment w:val="center"/>
              <w:rPr>
                <w:rFonts w:ascii="宋体" w:hAnsi="宋体" w:cs="宋体"/>
                <w:color w:val="auto"/>
                <w:szCs w:val="21"/>
              </w:rPr>
            </w:pPr>
            <w:r>
              <w:rPr>
                <w:rFonts w:hint="eastAsia" w:ascii="宋体" w:hAnsi="宋体" w:cs="宋体"/>
                <w:color w:val="auto"/>
                <w:szCs w:val="21"/>
              </w:rPr>
              <w:t>0771-8520550</w:t>
            </w:r>
          </w:p>
        </w:tc>
      </w:tr>
      <w:tr w14:paraId="047D3C6A">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75A1CF">
            <w:pPr>
              <w:widowControl/>
              <w:jc w:val="left"/>
              <w:textAlignment w:val="center"/>
              <w:rPr>
                <w:rFonts w:ascii="宋体" w:hAnsi="宋体" w:cs="宋体"/>
                <w:color w:val="auto"/>
                <w:szCs w:val="21"/>
              </w:rPr>
            </w:pPr>
            <w:r>
              <w:rPr>
                <w:rFonts w:hint="eastAsia" w:ascii="宋体" w:hAnsi="宋体" w:cs="宋体"/>
                <w:color w:val="auto"/>
                <w:szCs w:val="21"/>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F265157">
            <w:pPr>
              <w:widowControl/>
              <w:jc w:val="left"/>
              <w:textAlignment w:val="center"/>
              <w:rPr>
                <w:rFonts w:ascii="宋体" w:hAnsi="宋体" w:cs="宋体"/>
                <w:color w:val="auto"/>
                <w:szCs w:val="21"/>
              </w:rPr>
            </w:pPr>
            <w:r>
              <w:rPr>
                <w:rFonts w:hint="eastAsia" w:ascii="宋体" w:hAnsi="宋体" w:cs="宋体"/>
                <w:color w:val="auto"/>
                <w:szCs w:val="21"/>
              </w:rPr>
              <w:t>凭祥市北大路一支60-1号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59257BC">
            <w:pPr>
              <w:widowControl/>
              <w:jc w:val="center"/>
              <w:textAlignment w:val="center"/>
              <w:rPr>
                <w:rFonts w:ascii="宋体" w:hAnsi="宋体" w:cs="宋体"/>
                <w:color w:val="auto"/>
                <w:szCs w:val="21"/>
              </w:rPr>
            </w:pPr>
            <w:r>
              <w:rPr>
                <w:rFonts w:hint="eastAsia" w:ascii="宋体" w:hAnsi="宋体" w:cs="宋体"/>
                <w:color w:val="auto"/>
                <w:szCs w:val="21"/>
              </w:rPr>
              <w:t>0771-8556667</w:t>
            </w:r>
          </w:p>
        </w:tc>
      </w:tr>
    </w:tbl>
    <w:p w14:paraId="60685023">
      <w:pPr>
        <w:jc w:val="left"/>
        <w:rPr>
          <w:rFonts w:ascii="宋体" w:hAnsi="宋体" w:cs="宋体"/>
          <w:color w:val="auto"/>
          <w:szCs w:val="21"/>
        </w:rPr>
      </w:pPr>
    </w:p>
    <w:p w14:paraId="196EF8AF">
      <w:pPr>
        <w:jc w:val="left"/>
        <w:rPr>
          <w:rFonts w:ascii="宋体" w:hAnsi="宋体" w:cs="宋体"/>
          <w:color w:val="auto"/>
          <w:szCs w:val="21"/>
        </w:rPr>
      </w:pPr>
    </w:p>
    <w:p w14:paraId="58A500C6">
      <w:pPr>
        <w:pStyle w:val="5"/>
        <w:rPr>
          <w:rFonts w:hint="eastAsia" w:ascii="宋体" w:hAnsi="宋体" w:cs="宋体"/>
          <w:color w:val="auto"/>
          <w:szCs w:val="21"/>
        </w:rPr>
      </w:pPr>
    </w:p>
    <w:p w14:paraId="399ACB0F">
      <w:pPr>
        <w:rPr>
          <w:rFonts w:hint="eastAsia" w:ascii="宋体" w:hAnsi="宋体" w:cs="宋体"/>
          <w:color w:val="auto"/>
          <w:szCs w:val="21"/>
        </w:rPr>
      </w:pPr>
    </w:p>
    <w:p w14:paraId="724FD0EB">
      <w:pPr>
        <w:pStyle w:val="5"/>
        <w:rPr>
          <w:rFonts w:hint="eastAsia" w:ascii="宋体" w:hAnsi="宋体" w:cs="宋体"/>
          <w:color w:val="auto"/>
          <w:szCs w:val="21"/>
        </w:rPr>
      </w:pPr>
    </w:p>
    <w:p w14:paraId="6F8B73B0">
      <w:pPr>
        <w:rPr>
          <w:color w:val="auto"/>
        </w:rPr>
      </w:pPr>
    </w:p>
    <w:sectPr>
      <w:footerReference r:id="rId7" w:type="default"/>
      <w:footerReference r:id="rId8" w:type="even"/>
      <w:pgSz w:w="11906" w:h="16838"/>
      <w:pgMar w:top="1304" w:right="1134" w:bottom="113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Consolas">
    <w:panose1 w:val="020B0609020204030204"/>
    <w:charset w:val="00"/>
    <w:family w:val="modern"/>
    <w:pitch w:val="default"/>
    <w:sig w:usb0="E10002FF" w:usb1="4000FCFF" w:usb2="00000009" w:usb3="00000000" w:csb0="6000019F" w:csb1="DFD70000"/>
  </w:font>
  <w:font w:name="华文细黑">
    <w:altName w:val="微软雅黑"/>
    <w:panose1 w:val="00000000000000000000"/>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Arial Unicode MS">
    <w:altName w:val="Arial"/>
    <w:panose1 w:val="020B06040202020202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Ìå">
    <w:altName w:val="Times New Roman"/>
    <w:panose1 w:val="00000000000000000000"/>
    <w:charset w:val="00"/>
    <w:family w:val="auto"/>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新魏">
    <w:altName w:val="宋体"/>
    <w:panose1 w:val="00000000000000000000"/>
    <w:charset w:val="86"/>
    <w:family w:val="auto"/>
    <w:pitch w:val="default"/>
    <w:sig w:usb0="00000000" w:usb1="00000000" w:usb2="00000000" w:usb3="00000000" w:csb0="00040000" w:csb1="00000000"/>
  </w:font>
  <w:font w:name="方正小标宋简体">
    <w:altName w:val="黑体"/>
    <w:panose1 w:val="00000000000000000000"/>
    <w:charset w:val="86"/>
    <w:family w:val="script"/>
    <w:pitch w:val="default"/>
    <w:sig w:usb0="00000000" w:usb1="00000000" w:usb2="0000001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322A5">
    <w:pPr>
      <w:pStyle w:val="29"/>
      <w:jc w:val="center"/>
    </w:pPr>
    <w:r>
      <w:fldChar w:fldCharType="begin"/>
    </w:r>
    <w:r>
      <w:instrText xml:space="preserve">PAGE   \* MERGEFORMAT</w:instrText>
    </w:r>
    <w:r>
      <w:fldChar w:fldCharType="separate"/>
    </w:r>
    <w:r>
      <w:rPr>
        <w:lang w:val="zh-CN"/>
      </w:rPr>
      <w:t>8</w:t>
    </w:r>
    <w:r>
      <w:rPr>
        <w:lang w:val="zh-CN"/>
      </w:rPr>
      <w:fldChar w:fldCharType="end"/>
    </w:r>
  </w:p>
  <w:p w14:paraId="6F2DBFCF">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BAD40">
    <w:pPr>
      <w:pStyle w:val="2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16B5452E">
                          <w:pPr>
                            <w:pStyle w:val="29"/>
                            <w:rPr>
                              <w:rStyle w:val="49"/>
                            </w:rPr>
                          </w:pPr>
                          <w:r>
                            <w:fldChar w:fldCharType="begin"/>
                          </w:r>
                          <w:r>
                            <w:rPr>
                              <w:rStyle w:val="49"/>
                            </w:rPr>
                            <w:instrText xml:space="preserve">PAGE  </w:instrText>
                          </w:r>
                          <w:r>
                            <w:fldChar w:fldCharType="separate"/>
                          </w:r>
                          <w:r>
                            <w:rPr>
                              <w:rStyle w:val="49"/>
                            </w:rPr>
                            <w:t>62</w:t>
                          </w:r>
                          <w:r>
                            <w:fldChar w:fldCharType="end"/>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V+SdAAAAADAQAADwAAAAAAAAABACAAAAAiAAAA&#10;ZHJzL2Rvd25yZXYueG1sUEsBAhQAFAAAAAgAh07iQKH5k70PAgAAEAQAAA4AAAAAAAAAAQAgAAAA&#10;HwEAAGRycy9lMm9Eb2MueG1sUEsFBgAAAAAGAAYAWQEAAKAFAAAAAA==&#10;">
              <v:fill on="f" focussize="0,0"/>
              <v:stroke on="f"/>
              <v:imagedata o:title=""/>
              <o:lock v:ext="edit" aspectratio="f"/>
              <v:textbox inset="0mm,0mm,0mm,0mm" style="mso-fit-shape-to-text:t;">
                <w:txbxContent>
                  <w:p w14:paraId="16B5452E">
                    <w:pPr>
                      <w:pStyle w:val="29"/>
                      <w:rPr>
                        <w:rStyle w:val="49"/>
                      </w:rPr>
                    </w:pPr>
                    <w:r>
                      <w:fldChar w:fldCharType="begin"/>
                    </w:r>
                    <w:r>
                      <w:rPr>
                        <w:rStyle w:val="49"/>
                      </w:rPr>
                      <w:instrText xml:space="preserve">PAGE  </w:instrText>
                    </w:r>
                    <w:r>
                      <w:fldChar w:fldCharType="separate"/>
                    </w:r>
                    <w:r>
                      <w:rPr>
                        <w:rStyle w:val="49"/>
                      </w:rPr>
                      <w:t>62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37CF4">
    <w:pPr>
      <w:pStyle w:val="29"/>
      <w:framePr w:wrap="around" w:vAnchor="text" w:hAnchor="margin" w:xAlign="center" w:y="1"/>
      <w:rPr>
        <w:rStyle w:val="49"/>
      </w:rPr>
    </w:pPr>
    <w:r>
      <w:fldChar w:fldCharType="begin"/>
    </w:r>
    <w:r>
      <w:rPr>
        <w:rStyle w:val="49"/>
      </w:rPr>
      <w:instrText xml:space="preserve">PAGE  </w:instrText>
    </w:r>
    <w:r>
      <w:fldChar w:fldCharType="end"/>
    </w:r>
  </w:p>
  <w:p w14:paraId="7D6611F4">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4C821">
    <w:pPr>
      <w:pStyle w:val="2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1030"/>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45CCDB3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82</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1030"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PlfknQAAAAAwEAAA8AAAAAAAAAAQAgAAAAIgAA&#10;AGRycy9kb3ducmV2LnhtbFBLAQIUABQAAAAIAIdO4kDUPJryEAIAABMEAAAOAAAAAAAAAAEAIAAA&#10;AB8BAABkcnMvZTJvRG9jLnhtbFBLBQYAAAAABgAGAFkBAAChBQAAAAA=&#10;">
              <v:fill on="f" focussize="0,0"/>
              <v:stroke on="f"/>
              <v:imagedata o:title=""/>
              <o:lock v:ext="edit" aspectratio="f"/>
              <v:textbox inset="0mm,0mm,0mm,0mm" style="mso-fit-shape-to-text:t;">
                <w:txbxContent>
                  <w:p w14:paraId="45CCDB3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82</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8C954">
    <w:pPr>
      <w:pStyle w:val="29"/>
      <w:framePr w:wrap="around" w:vAnchor="text" w:hAnchor="margin" w:xAlign="center" w:y="1"/>
      <w:rPr>
        <w:rStyle w:val="49"/>
      </w:rPr>
    </w:pPr>
    <w:r>
      <w:fldChar w:fldCharType="begin"/>
    </w:r>
    <w:r>
      <w:rPr>
        <w:rStyle w:val="49"/>
      </w:rPr>
      <w:instrText xml:space="preserve">PAGE  </w:instrText>
    </w:r>
    <w:r>
      <w:fldChar w:fldCharType="end"/>
    </w:r>
  </w:p>
  <w:p w14:paraId="13A25E5A">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B1261">
    <w:pPr>
      <w:pStyle w:val="30"/>
      <w:pBdr>
        <w:bottom w:val="none" w:color="auto" w:sz="0" w:space="0"/>
      </w:pBdr>
      <w:jc w:val="right"/>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74C377"/>
    <w:multiLevelType w:val="singleLevel"/>
    <w:tmpl w:val="DA74C377"/>
    <w:lvl w:ilvl="0" w:tentative="0">
      <w:start w:val="1"/>
      <w:numFmt w:val="decimal"/>
      <w:suff w:val="nothing"/>
      <w:lvlText w:val="（%1）"/>
      <w:lvlJc w:val="left"/>
    </w:lvl>
  </w:abstractNum>
  <w:abstractNum w:abstractNumId="1">
    <w:nsid w:val="2659688A"/>
    <w:multiLevelType w:val="singleLevel"/>
    <w:tmpl w:val="2659688A"/>
    <w:lvl w:ilvl="0" w:tentative="0">
      <w:start w:val="7"/>
      <w:numFmt w:val="decimal"/>
      <w:pStyle w:val="245"/>
      <w:lvlText w:val="%1、"/>
      <w:lvlJc w:val="left"/>
      <w:pPr>
        <w:tabs>
          <w:tab w:val="left" w:pos="1260"/>
        </w:tabs>
        <w:ind w:left="1260" w:hanging="720"/>
      </w:pPr>
      <w:rPr>
        <w:rFonts w:hint="eastAsia"/>
      </w:rPr>
    </w:lvl>
  </w:abstractNum>
  <w:abstractNum w:abstractNumId="2">
    <w:nsid w:val="53578075"/>
    <w:multiLevelType w:val="singleLevel"/>
    <w:tmpl w:val="53578075"/>
    <w:lvl w:ilvl="0" w:tentative="0">
      <w:start w:val="2"/>
      <w:numFmt w:val="decimal"/>
      <w:suff w:val="nothing"/>
      <w:lvlText w:val="（%1）"/>
      <w:lvlJc w:val="left"/>
    </w:lvl>
  </w:abstractNum>
  <w:abstractNum w:abstractNumId="3">
    <w:nsid w:val="5A23BBC6"/>
    <w:multiLevelType w:val="singleLevel"/>
    <w:tmpl w:val="5A23BBC6"/>
    <w:lvl w:ilvl="0" w:tentative="0">
      <w:start w:val="2"/>
      <w:numFmt w:val="chineseCounting"/>
      <w:suff w:val="nothing"/>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mZTQxYWRmOGEwYzc5ODllZDU5MjZjOGYyZTQwNWMifQ=="/>
  </w:docVars>
  <w:rsids>
    <w:rsidRoot w:val="00172A27"/>
    <w:rsid w:val="00000953"/>
    <w:rsid w:val="00000F72"/>
    <w:rsid w:val="00002848"/>
    <w:rsid w:val="00002D06"/>
    <w:rsid w:val="0000367E"/>
    <w:rsid w:val="0000401E"/>
    <w:rsid w:val="000043FB"/>
    <w:rsid w:val="00004564"/>
    <w:rsid w:val="00004A40"/>
    <w:rsid w:val="00007FDD"/>
    <w:rsid w:val="00010215"/>
    <w:rsid w:val="00010A88"/>
    <w:rsid w:val="00011934"/>
    <w:rsid w:val="00011BC1"/>
    <w:rsid w:val="00014128"/>
    <w:rsid w:val="00014131"/>
    <w:rsid w:val="000142D8"/>
    <w:rsid w:val="0001443F"/>
    <w:rsid w:val="00014639"/>
    <w:rsid w:val="00015073"/>
    <w:rsid w:val="00015369"/>
    <w:rsid w:val="00015C4D"/>
    <w:rsid w:val="000162B6"/>
    <w:rsid w:val="00016791"/>
    <w:rsid w:val="00016E98"/>
    <w:rsid w:val="0001798A"/>
    <w:rsid w:val="00020532"/>
    <w:rsid w:val="000206AF"/>
    <w:rsid w:val="00021640"/>
    <w:rsid w:val="000229FD"/>
    <w:rsid w:val="00023164"/>
    <w:rsid w:val="0002331D"/>
    <w:rsid w:val="00023523"/>
    <w:rsid w:val="000237C4"/>
    <w:rsid w:val="00023F63"/>
    <w:rsid w:val="000244F8"/>
    <w:rsid w:val="0002455D"/>
    <w:rsid w:val="00024676"/>
    <w:rsid w:val="000270D7"/>
    <w:rsid w:val="000316C1"/>
    <w:rsid w:val="000331C4"/>
    <w:rsid w:val="000336DA"/>
    <w:rsid w:val="000340C8"/>
    <w:rsid w:val="00034923"/>
    <w:rsid w:val="00034DE8"/>
    <w:rsid w:val="000367A3"/>
    <w:rsid w:val="0003756D"/>
    <w:rsid w:val="000378C5"/>
    <w:rsid w:val="000379AC"/>
    <w:rsid w:val="00037B19"/>
    <w:rsid w:val="00040D09"/>
    <w:rsid w:val="0004192E"/>
    <w:rsid w:val="00041D16"/>
    <w:rsid w:val="00042022"/>
    <w:rsid w:val="000422BF"/>
    <w:rsid w:val="0004281C"/>
    <w:rsid w:val="00042FD9"/>
    <w:rsid w:val="00043EF5"/>
    <w:rsid w:val="000446F7"/>
    <w:rsid w:val="000448CD"/>
    <w:rsid w:val="0004529D"/>
    <w:rsid w:val="000454C0"/>
    <w:rsid w:val="000455CF"/>
    <w:rsid w:val="00045EE1"/>
    <w:rsid w:val="0004685F"/>
    <w:rsid w:val="00046B1D"/>
    <w:rsid w:val="00050775"/>
    <w:rsid w:val="00051D9B"/>
    <w:rsid w:val="0005239B"/>
    <w:rsid w:val="000528F2"/>
    <w:rsid w:val="00052F1B"/>
    <w:rsid w:val="000535D7"/>
    <w:rsid w:val="00054C3C"/>
    <w:rsid w:val="0005511B"/>
    <w:rsid w:val="0005575C"/>
    <w:rsid w:val="00057322"/>
    <w:rsid w:val="000575E8"/>
    <w:rsid w:val="00062E51"/>
    <w:rsid w:val="00063067"/>
    <w:rsid w:val="0006319A"/>
    <w:rsid w:val="00063B28"/>
    <w:rsid w:val="00063D49"/>
    <w:rsid w:val="00065165"/>
    <w:rsid w:val="000653A8"/>
    <w:rsid w:val="00065FD8"/>
    <w:rsid w:val="00066821"/>
    <w:rsid w:val="00066860"/>
    <w:rsid w:val="0006702E"/>
    <w:rsid w:val="0006714B"/>
    <w:rsid w:val="000672AC"/>
    <w:rsid w:val="00067E8C"/>
    <w:rsid w:val="00070982"/>
    <w:rsid w:val="00070B71"/>
    <w:rsid w:val="00071007"/>
    <w:rsid w:val="00071318"/>
    <w:rsid w:val="0007168E"/>
    <w:rsid w:val="000728A8"/>
    <w:rsid w:val="000730A4"/>
    <w:rsid w:val="00074C10"/>
    <w:rsid w:val="000751B2"/>
    <w:rsid w:val="00075B61"/>
    <w:rsid w:val="00076B10"/>
    <w:rsid w:val="00077175"/>
    <w:rsid w:val="00080A9D"/>
    <w:rsid w:val="00080ABC"/>
    <w:rsid w:val="000822BF"/>
    <w:rsid w:val="000826B8"/>
    <w:rsid w:val="000835D4"/>
    <w:rsid w:val="0008484F"/>
    <w:rsid w:val="0008558E"/>
    <w:rsid w:val="00085833"/>
    <w:rsid w:val="00086937"/>
    <w:rsid w:val="00086A3B"/>
    <w:rsid w:val="00086DFC"/>
    <w:rsid w:val="00087072"/>
    <w:rsid w:val="00087E1B"/>
    <w:rsid w:val="0009202F"/>
    <w:rsid w:val="00092103"/>
    <w:rsid w:val="0009288C"/>
    <w:rsid w:val="00092FC6"/>
    <w:rsid w:val="00094397"/>
    <w:rsid w:val="00095646"/>
    <w:rsid w:val="00095E53"/>
    <w:rsid w:val="000968BC"/>
    <w:rsid w:val="000A06CE"/>
    <w:rsid w:val="000A0D50"/>
    <w:rsid w:val="000A0EAB"/>
    <w:rsid w:val="000A124D"/>
    <w:rsid w:val="000A12CE"/>
    <w:rsid w:val="000A1461"/>
    <w:rsid w:val="000A1E84"/>
    <w:rsid w:val="000A3DFE"/>
    <w:rsid w:val="000A563C"/>
    <w:rsid w:val="000A7629"/>
    <w:rsid w:val="000A76DE"/>
    <w:rsid w:val="000A78ED"/>
    <w:rsid w:val="000B18EF"/>
    <w:rsid w:val="000B26F6"/>
    <w:rsid w:val="000B2783"/>
    <w:rsid w:val="000B34AE"/>
    <w:rsid w:val="000B3A3A"/>
    <w:rsid w:val="000B446F"/>
    <w:rsid w:val="000B44B8"/>
    <w:rsid w:val="000B5472"/>
    <w:rsid w:val="000B65D4"/>
    <w:rsid w:val="000B72C1"/>
    <w:rsid w:val="000B7448"/>
    <w:rsid w:val="000B7BA8"/>
    <w:rsid w:val="000C0EDC"/>
    <w:rsid w:val="000C16EA"/>
    <w:rsid w:val="000C17B5"/>
    <w:rsid w:val="000C2D68"/>
    <w:rsid w:val="000C3805"/>
    <w:rsid w:val="000C3A17"/>
    <w:rsid w:val="000C4574"/>
    <w:rsid w:val="000C548A"/>
    <w:rsid w:val="000C54F8"/>
    <w:rsid w:val="000C5DB5"/>
    <w:rsid w:val="000C647E"/>
    <w:rsid w:val="000D0A7A"/>
    <w:rsid w:val="000D0DCF"/>
    <w:rsid w:val="000D13A4"/>
    <w:rsid w:val="000D1F08"/>
    <w:rsid w:val="000D1F23"/>
    <w:rsid w:val="000D26D4"/>
    <w:rsid w:val="000D2911"/>
    <w:rsid w:val="000D2C68"/>
    <w:rsid w:val="000D4016"/>
    <w:rsid w:val="000D40CA"/>
    <w:rsid w:val="000D4253"/>
    <w:rsid w:val="000D4C3A"/>
    <w:rsid w:val="000D5065"/>
    <w:rsid w:val="000D5F15"/>
    <w:rsid w:val="000D6A91"/>
    <w:rsid w:val="000D6B0C"/>
    <w:rsid w:val="000D6E2A"/>
    <w:rsid w:val="000D6F43"/>
    <w:rsid w:val="000E0B20"/>
    <w:rsid w:val="000E0C60"/>
    <w:rsid w:val="000E1319"/>
    <w:rsid w:val="000E1CC6"/>
    <w:rsid w:val="000E5545"/>
    <w:rsid w:val="000E6288"/>
    <w:rsid w:val="000E6483"/>
    <w:rsid w:val="000F021E"/>
    <w:rsid w:val="000F026D"/>
    <w:rsid w:val="000F123C"/>
    <w:rsid w:val="000F1CA2"/>
    <w:rsid w:val="000F2A44"/>
    <w:rsid w:val="000F4D6A"/>
    <w:rsid w:val="000F6C2F"/>
    <w:rsid w:val="000F7712"/>
    <w:rsid w:val="000F7A47"/>
    <w:rsid w:val="001009E3"/>
    <w:rsid w:val="00102DBD"/>
    <w:rsid w:val="001044F3"/>
    <w:rsid w:val="0010503C"/>
    <w:rsid w:val="00105C2B"/>
    <w:rsid w:val="001063A6"/>
    <w:rsid w:val="00107281"/>
    <w:rsid w:val="00107CB4"/>
    <w:rsid w:val="00107DBE"/>
    <w:rsid w:val="00107DC8"/>
    <w:rsid w:val="00107E74"/>
    <w:rsid w:val="0011033F"/>
    <w:rsid w:val="00110965"/>
    <w:rsid w:val="00112F08"/>
    <w:rsid w:val="0011372F"/>
    <w:rsid w:val="00114E16"/>
    <w:rsid w:val="001153D6"/>
    <w:rsid w:val="00115AFC"/>
    <w:rsid w:val="00115DA4"/>
    <w:rsid w:val="00116438"/>
    <w:rsid w:val="00116466"/>
    <w:rsid w:val="00117410"/>
    <w:rsid w:val="00117C93"/>
    <w:rsid w:val="00117FD1"/>
    <w:rsid w:val="00121E26"/>
    <w:rsid w:val="00122AF5"/>
    <w:rsid w:val="00123FAE"/>
    <w:rsid w:val="00127986"/>
    <w:rsid w:val="00127A4C"/>
    <w:rsid w:val="00127A81"/>
    <w:rsid w:val="00127AC3"/>
    <w:rsid w:val="00127BBE"/>
    <w:rsid w:val="00127D05"/>
    <w:rsid w:val="001305F4"/>
    <w:rsid w:val="00130640"/>
    <w:rsid w:val="0013259B"/>
    <w:rsid w:val="00132E42"/>
    <w:rsid w:val="00132E91"/>
    <w:rsid w:val="0013375D"/>
    <w:rsid w:val="001338A3"/>
    <w:rsid w:val="001404A1"/>
    <w:rsid w:val="001404A9"/>
    <w:rsid w:val="00140CE0"/>
    <w:rsid w:val="00140EE7"/>
    <w:rsid w:val="001417FC"/>
    <w:rsid w:val="00141A43"/>
    <w:rsid w:val="00141FF4"/>
    <w:rsid w:val="001420DC"/>
    <w:rsid w:val="00144107"/>
    <w:rsid w:val="00144308"/>
    <w:rsid w:val="001447E2"/>
    <w:rsid w:val="00144C52"/>
    <w:rsid w:val="001457FA"/>
    <w:rsid w:val="001479F5"/>
    <w:rsid w:val="00150819"/>
    <w:rsid w:val="00150D4B"/>
    <w:rsid w:val="00151917"/>
    <w:rsid w:val="001519F9"/>
    <w:rsid w:val="00152350"/>
    <w:rsid w:val="0015555B"/>
    <w:rsid w:val="00155A82"/>
    <w:rsid w:val="00156DD2"/>
    <w:rsid w:val="001571F3"/>
    <w:rsid w:val="00157E3B"/>
    <w:rsid w:val="00162C9C"/>
    <w:rsid w:val="001638A6"/>
    <w:rsid w:val="00163C04"/>
    <w:rsid w:val="001650A5"/>
    <w:rsid w:val="001655AB"/>
    <w:rsid w:val="00165769"/>
    <w:rsid w:val="001712AF"/>
    <w:rsid w:val="00172A27"/>
    <w:rsid w:val="00172A7A"/>
    <w:rsid w:val="001730C0"/>
    <w:rsid w:val="00175751"/>
    <w:rsid w:val="00175826"/>
    <w:rsid w:val="001762FF"/>
    <w:rsid w:val="00176FA3"/>
    <w:rsid w:val="0017778E"/>
    <w:rsid w:val="00180895"/>
    <w:rsid w:val="00182D48"/>
    <w:rsid w:val="0018344B"/>
    <w:rsid w:val="001835F6"/>
    <w:rsid w:val="001850C4"/>
    <w:rsid w:val="001858C2"/>
    <w:rsid w:val="00185A5D"/>
    <w:rsid w:val="001909B5"/>
    <w:rsid w:val="00191610"/>
    <w:rsid w:val="001945DF"/>
    <w:rsid w:val="00196485"/>
    <w:rsid w:val="00196A28"/>
    <w:rsid w:val="00196C36"/>
    <w:rsid w:val="001A0630"/>
    <w:rsid w:val="001A1BC9"/>
    <w:rsid w:val="001A42E4"/>
    <w:rsid w:val="001A456E"/>
    <w:rsid w:val="001A461C"/>
    <w:rsid w:val="001A50ED"/>
    <w:rsid w:val="001A768C"/>
    <w:rsid w:val="001A7B91"/>
    <w:rsid w:val="001B14E9"/>
    <w:rsid w:val="001B15D7"/>
    <w:rsid w:val="001B2580"/>
    <w:rsid w:val="001B2A61"/>
    <w:rsid w:val="001B3D80"/>
    <w:rsid w:val="001B4CF4"/>
    <w:rsid w:val="001B4E50"/>
    <w:rsid w:val="001B5157"/>
    <w:rsid w:val="001B55B3"/>
    <w:rsid w:val="001B77A9"/>
    <w:rsid w:val="001C293E"/>
    <w:rsid w:val="001C2E31"/>
    <w:rsid w:val="001C30BA"/>
    <w:rsid w:val="001C322A"/>
    <w:rsid w:val="001C3A5C"/>
    <w:rsid w:val="001C3BF9"/>
    <w:rsid w:val="001C51B4"/>
    <w:rsid w:val="001C5FF6"/>
    <w:rsid w:val="001C6356"/>
    <w:rsid w:val="001D0015"/>
    <w:rsid w:val="001D09C2"/>
    <w:rsid w:val="001D1F31"/>
    <w:rsid w:val="001D2C4B"/>
    <w:rsid w:val="001D2E43"/>
    <w:rsid w:val="001D3F52"/>
    <w:rsid w:val="001D45D9"/>
    <w:rsid w:val="001D5F6E"/>
    <w:rsid w:val="001D6318"/>
    <w:rsid w:val="001D724F"/>
    <w:rsid w:val="001D7393"/>
    <w:rsid w:val="001D7EDF"/>
    <w:rsid w:val="001E0118"/>
    <w:rsid w:val="001E0904"/>
    <w:rsid w:val="001E09EB"/>
    <w:rsid w:val="001E1B6D"/>
    <w:rsid w:val="001E2405"/>
    <w:rsid w:val="001E2C78"/>
    <w:rsid w:val="001E2F92"/>
    <w:rsid w:val="001E6FAB"/>
    <w:rsid w:val="001E7CC1"/>
    <w:rsid w:val="001F0DA4"/>
    <w:rsid w:val="001F2668"/>
    <w:rsid w:val="001F2832"/>
    <w:rsid w:val="001F4E11"/>
    <w:rsid w:val="001F4E5A"/>
    <w:rsid w:val="001F5C08"/>
    <w:rsid w:val="001F6003"/>
    <w:rsid w:val="001F6CDF"/>
    <w:rsid w:val="001F710A"/>
    <w:rsid w:val="001F7B9E"/>
    <w:rsid w:val="001F7D02"/>
    <w:rsid w:val="00200DA4"/>
    <w:rsid w:val="002019C7"/>
    <w:rsid w:val="00201ADA"/>
    <w:rsid w:val="002021EC"/>
    <w:rsid w:val="00203238"/>
    <w:rsid w:val="00204403"/>
    <w:rsid w:val="00205ACE"/>
    <w:rsid w:val="00206C99"/>
    <w:rsid w:val="0020745E"/>
    <w:rsid w:val="002077EC"/>
    <w:rsid w:val="00207DF6"/>
    <w:rsid w:val="002105CE"/>
    <w:rsid w:val="00210B15"/>
    <w:rsid w:val="00211FB8"/>
    <w:rsid w:val="002127CE"/>
    <w:rsid w:val="00212C85"/>
    <w:rsid w:val="0021345A"/>
    <w:rsid w:val="002134EE"/>
    <w:rsid w:val="002141AB"/>
    <w:rsid w:val="002156BD"/>
    <w:rsid w:val="00215C33"/>
    <w:rsid w:val="0021636E"/>
    <w:rsid w:val="002167C1"/>
    <w:rsid w:val="00216CCF"/>
    <w:rsid w:val="00216D92"/>
    <w:rsid w:val="00217053"/>
    <w:rsid w:val="00217E54"/>
    <w:rsid w:val="002208ED"/>
    <w:rsid w:val="00220CE7"/>
    <w:rsid w:val="00220FEC"/>
    <w:rsid w:val="00222618"/>
    <w:rsid w:val="002241B4"/>
    <w:rsid w:val="002245D0"/>
    <w:rsid w:val="00224621"/>
    <w:rsid w:val="00224835"/>
    <w:rsid w:val="00224E89"/>
    <w:rsid w:val="0022513E"/>
    <w:rsid w:val="00225674"/>
    <w:rsid w:val="00226514"/>
    <w:rsid w:val="00226703"/>
    <w:rsid w:val="00226813"/>
    <w:rsid w:val="0022756D"/>
    <w:rsid w:val="0023217A"/>
    <w:rsid w:val="002326AC"/>
    <w:rsid w:val="002328BA"/>
    <w:rsid w:val="00232BB2"/>
    <w:rsid w:val="00232CC0"/>
    <w:rsid w:val="00233456"/>
    <w:rsid w:val="002337C3"/>
    <w:rsid w:val="00233E1D"/>
    <w:rsid w:val="002348AB"/>
    <w:rsid w:val="00234C74"/>
    <w:rsid w:val="002350DE"/>
    <w:rsid w:val="0023705B"/>
    <w:rsid w:val="00241839"/>
    <w:rsid w:val="00241B23"/>
    <w:rsid w:val="0024214A"/>
    <w:rsid w:val="00243FB0"/>
    <w:rsid w:val="002448BA"/>
    <w:rsid w:val="00244A0F"/>
    <w:rsid w:val="00246392"/>
    <w:rsid w:val="00250468"/>
    <w:rsid w:val="0025078A"/>
    <w:rsid w:val="00250A4B"/>
    <w:rsid w:val="00250AC0"/>
    <w:rsid w:val="002519E2"/>
    <w:rsid w:val="002529D3"/>
    <w:rsid w:val="002533C0"/>
    <w:rsid w:val="0025384F"/>
    <w:rsid w:val="002540FB"/>
    <w:rsid w:val="0025496A"/>
    <w:rsid w:val="00256C8C"/>
    <w:rsid w:val="0026020C"/>
    <w:rsid w:val="002621C8"/>
    <w:rsid w:val="0026256E"/>
    <w:rsid w:val="00262641"/>
    <w:rsid w:val="002632AD"/>
    <w:rsid w:val="0026330B"/>
    <w:rsid w:val="00263CE2"/>
    <w:rsid w:val="002645D9"/>
    <w:rsid w:val="00265F51"/>
    <w:rsid w:val="00267BB9"/>
    <w:rsid w:val="00270C1D"/>
    <w:rsid w:val="00273354"/>
    <w:rsid w:val="00274C65"/>
    <w:rsid w:val="00274D41"/>
    <w:rsid w:val="00276626"/>
    <w:rsid w:val="002771B6"/>
    <w:rsid w:val="0027724E"/>
    <w:rsid w:val="00280B23"/>
    <w:rsid w:val="00280CAD"/>
    <w:rsid w:val="002812C3"/>
    <w:rsid w:val="002814C0"/>
    <w:rsid w:val="0028156F"/>
    <w:rsid w:val="00281C5E"/>
    <w:rsid w:val="00282850"/>
    <w:rsid w:val="00282F80"/>
    <w:rsid w:val="002854D2"/>
    <w:rsid w:val="0028610B"/>
    <w:rsid w:val="00286146"/>
    <w:rsid w:val="002861A2"/>
    <w:rsid w:val="00286C08"/>
    <w:rsid w:val="0028709A"/>
    <w:rsid w:val="00290313"/>
    <w:rsid w:val="0029082A"/>
    <w:rsid w:val="00290999"/>
    <w:rsid w:val="00291BB8"/>
    <w:rsid w:val="00293093"/>
    <w:rsid w:val="00293322"/>
    <w:rsid w:val="00293704"/>
    <w:rsid w:val="00293B13"/>
    <w:rsid w:val="002941D5"/>
    <w:rsid w:val="00295AA8"/>
    <w:rsid w:val="00295C12"/>
    <w:rsid w:val="00295E45"/>
    <w:rsid w:val="00296FAA"/>
    <w:rsid w:val="0029736A"/>
    <w:rsid w:val="002976E2"/>
    <w:rsid w:val="00297F83"/>
    <w:rsid w:val="002A0175"/>
    <w:rsid w:val="002A223F"/>
    <w:rsid w:val="002A2B9E"/>
    <w:rsid w:val="002A2FF9"/>
    <w:rsid w:val="002A31A3"/>
    <w:rsid w:val="002A3A73"/>
    <w:rsid w:val="002A4DAB"/>
    <w:rsid w:val="002A5447"/>
    <w:rsid w:val="002A7933"/>
    <w:rsid w:val="002A7FA5"/>
    <w:rsid w:val="002B029F"/>
    <w:rsid w:val="002B02A0"/>
    <w:rsid w:val="002B1465"/>
    <w:rsid w:val="002B1787"/>
    <w:rsid w:val="002B1C25"/>
    <w:rsid w:val="002B2089"/>
    <w:rsid w:val="002B2689"/>
    <w:rsid w:val="002B2C27"/>
    <w:rsid w:val="002B3103"/>
    <w:rsid w:val="002B3352"/>
    <w:rsid w:val="002B458D"/>
    <w:rsid w:val="002B4783"/>
    <w:rsid w:val="002B4B47"/>
    <w:rsid w:val="002B570D"/>
    <w:rsid w:val="002B5713"/>
    <w:rsid w:val="002B5B83"/>
    <w:rsid w:val="002B6800"/>
    <w:rsid w:val="002B6EA3"/>
    <w:rsid w:val="002C07D4"/>
    <w:rsid w:val="002C0FEF"/>
    <w:rsid w:val="002C288F"/>
    <w:rsid w:val="002C375D"/>
    <w:rsid w:val="002C4800"/>
    <w:rsid w:val="002C4AA3"/>
    <w:rsid w:val="002C667A"/>
    <w:rsid w:val="002C7114"/>
    <w:rsid w:val="002D0139"/>
    <w:rsid w:val="002D075F"/>
    <w:rsid w:val="002D0A5B"/>
    <w:rsid w:val="002D2BEC"/>
    <w:rsid w:val="002D2E68"/>
    <w:rsid w:val="002D3857"/>
    <w:rsid w:val="002D3DDE"/>
    <w:rsid w:val="002D4850"/>
    <w:rsid w:val="002D4B79"/>
    <w:rsid w:val="002D4C2E"/>
    <w:rsid w:val="002D4D19"/>
    <w:rsid w:val="002D5EE6"/>
    <w:rsid w:val="002D5F58"/>
    <w:rsid w:val="002D5FB6"/>
    <w:rsid w:val="002D7109"/>
    <w:rsid w:val="002D718E"/>
    <w:rsid w:val="002E0288"/>
    <w:rsid w:val="002E0587"/>
    <w:rsid w:val="002E0DDB"/>
    <w:rsid w:val="002E18B8"/>
    <w:rsid w:val="002E37EC"/>
    <w:rsid w:val="002E3A91"/>
    <w:rsid w:val="002E3BA2"/>
    <w:rsid w:val="002E6286"/>
    <w:rsid w:val="002E639B"/>
    <w:rsid w:val="002E654D"/>
    <w:rsid w:val="002E6E90"/>
    <w:rsid w:val="002E74A0"/>
    <w:rsid w:val="002F1837"/>
    <w:rsid w:val="002F2ECE"/>
    <w:rsid w:val="002F2FB6"/>
    <w:rsid w:val="002F39E5"/>
    <w:rsid w:val="002F4459"/>
    <w:rsid w:val="002F4B93"/>
    <w:rsid w:val="002F5E70"/>
    <w:rsid w:val="002F6864"/>
    <w:rsid w:val="002F7841"/>
    <w:rsid w:val="00301944"/>
    <w:rsid w:val="00301C39"/>
    <w:rsid w:val="00301D8E"/>
    <w:rsid w:val="00303313"/>
    <w:rsid w:val="00303898"/>
    <w:rsid w:val="00305482"/>
    <w:rsid w:val="00306649"/>
    <w:rsid w:val="003078A6"/>
    <w:rsid w:val="00307AB2"/>
    <w:rsid w:val="003109D4"/>
    <w:rsid w:val="00311328"/>
    <w:rsid w:val="00311DB4"/>
    <w:rsid w:val="0031250A"/>
    <w:rsid w:val="003128F4"/>
    <w:rsid w:val="0031415A"/>
    <w:rsid w:val="003144BC"/>
    <w:rsid w:val="00314AC3"/>
    <w:rsid w:val="00314BC5"/>
    <w:rsid w:val="00315E45"/>
    <w:rsid w:val="00316886"/>
    <w:rsid w:val="00317172"/>
    <w:rsid w:val="0032337F"/>
    <w:rsid w:val="00323AEF"/>
    <w:rsid w:val="00324A8B"/>
    <w:rsid w:val="00324EEC"/>
    <w:rsid w:val="0032532C"/>
    <w:rsid w:val="00325C7B"/>
    <w:rsid w:val="003271CE"/>
    <w:rsid w:val="0033110E"/>
    <w:rsid w:val="003315DD"/>
    <w:rsid w:val="00331A68"/>
    <w:rsid w:val="00333401"/>
    <w:rsid w:val="00334410"/>
    <w:rsid w:val="003371E1"/>
    <w:rsid w:val="003371F3"/>
    <w:rsid w:val="0034036C"/>
    <w:rsid w:val="00340EF8"/>
    <w:rsid w:val="00343873"/>
    <w:rsid w:val="00343A34"/>
    <w:rsid w:val="00343ED8"/>
    <w:rsid w:val="003444E1"/>
    <w:rsid w:val="00345229"/>
    <w:rsid w:val="00345585"/>
    <w:rsid w:val="0034673C"/>
    <w:rsid w:val="0034754D"/>
    <w:rsid w:val="00347AA3"/>
    <w:rsid w:val="003501D9"/>
    <w:rsid w:val="00350420"/>
    <w:rsid w:val="003513A6"/>
    <w:rsid w:val="0035200C"/>
    <w:rsid w:val="0035238A"/>
    <w:rsid w:val="003534A5"/>
    <w:rsid w:val="00353F0D"/>
    <w:rsid w:val="00355BE4"/>
    <w:rsid w:val="00356129"/>
    <w:rsid w:val="00356165"/>
    <w:rsid w:val="00356E19"/>
    <w:rsid w:val="00357410"/>
    <w:rsid w:val="003601C9"/>
    <w:rsid w:val="00361552"/>
    <w:rsid w:val="00361849"/>
    <w:rsid w:val="0036193F"/>
    <w:rsid w:val="00361DC5"/>
    <w:rsid w:val="003620A9"/>
    <w:rsid w:val="003629C5"/>
    <w:rsid w:val="00363190"/>
    <w:rsid w:val="003642A6"/>
    <w:rsid w:val="003643D2"/>
    <w:rsid w:val="00367CE2"/>
    <w:rsid w:val="0037009D"/>
    <w:rsid w:val="003705B5"/>
    <w:rsid w:val="00370BC4"/>
    <w:rsid w:val="00371612"/>
    <w:rsid w:val="00371790"/>
    <w:rsid w:val="003717B0"/>
    <w:rsid w:val="0037294C"/>
    <w:rsid w:val="003729B4"/>
    <w:rsid w:val="0037306D"/>
    <w:rsid w:val="00373AAD"/>
    <w:rsid w:val="00374AEC"/>
    <w:rsid w:val="00376B16"/>
    <w:rsid w:val="003770B9"/>
    <w:rsid w:val="003774B5"/>
    <w:rsid w:val="003774F1"/>
    <w:rsid w:val="003779AD"/>
    <w:rsid w:val="00377A14"/>
    <w:rsid w:val="003819D8"/>
    <w:rsid w:val="00382421"/>
    <w:rsid w:val="003830F3"/>
    <w:rsid w:val="003838A4"/>
    <w:rsid w:val="00384CF8"/>
    <w:rsid w:val="003874A1"/>
    <w:rsid w:val="00391659"/>
    <w:rsid w:val="0039178F"/>
    <w:rsid w:val="00391E97"/>
    <w:rsid w:val="003923F8"/>
    <w:rsid w:val="00392F1E"/>
    <w:rsid w:val="003938A8"/>
    <w:rsid w:val="00393C09"/>
    <w:rsid w:val="00393F7F"/>
    <w:rsid w:val="0039485D"/>
    <w:rsid w:val="00394F78"/>
    <w:rsid w:val="00396BC5"/>
    <w:rsid w:val="003974C4"/>
    <w:rsid w:val="00397505"/>
    <w:rsid w:val="0039769C"/>
    <w:rsid w:val="003A1D01"/>
    <w:rsid w:val="003A1D41"/>
    <w:rsid w:val="003A266E"/>
    <w:rsid w:val="003A3D05"/>
    <w:rsid w:val="003A642D"/>
    <w:rsid w:val="003A6FA6"/>
    <w:rsid w:val="003A79EC"/>
    <w:rsid w:val="003A7CBF"/>
    <w:rsid w:val="003B015C"/>
    <w:rsid w:val="003B09C2"/>
    <w:rsid w:val="003B1360"/>
    <w:rsid w:val="003B14BD"/>
    <w:rsid w:val="003B2EC3"/>
    <w:rsid w:val="003B48F3"/>
    <w:rsid w:val="003B792E"/>
    <w:rsid w:val="003B7951"/>
    <w:rsid w:val="003B7EAA"/>
    <w:rsid w:val="003C1773"/>
    <w:rsid w:val="003C1E47"/>
    <w:rsid w:val="003C394C"/>
    <w:rsid w:val="003C3DF1"/>
    <w:rsid w:val="003C403E"/>
    <w:rsid w:val="003C512E"/>
    <w:rsid w:val="003C5896"/>
    <w:rsid w:val="003C63E6"/>
    <w:rsid w:val="003C7250"/>
    <w:rsid w:val="003C7C91"/>
    <w:rsid w:val="003D04D6"/>
    <w:rsid w:val="003D1CD9"/>
    <w:rsid w:val="003D47E5"/>
    <w:rsid w:val="003D56E0"/>
    <w:rsid w:val="003E0281"/>
    <w:rsid w:val="003E1A49"/>
    <w:rsid w:val="003E1FE8"/>
    <w:rsid w:val="003E2556"/>
    <w:rsid w:val="003E3841"/>
    <w:rsid w:val="003E3E75"/>
    <w:rsid w:val="003E4307"/>
    <w:rsid w:val="003E43B3"/>
    <w:rsid w:val="003E448A"/>
    <w:rsid w:val="003E4CD9"/>
    <w:rsid w:val="003E53EF"/>
    <w:rsid w:val="003E611B"/>
    <w:rsid w:val="003E61BD"/>
    <w:rsid w:val="003F081F"/>
    <w:rsid w:val="003F111A"/>
    <w:rsid w:val="003F13FF"/>
    <w:rsid w:val="003F27E8"/>
    <w:rsid w:val="003F2B22"/>
    <w:rsid w:val="003F3851"/>
    <w:rsid w:val="003F6AA4"/>
    <w:rsid w:val="003F6AC6"/>
    <w:rsid w:val="003F6C3C"/>
    <w:rsid w:val="003F7169"/>
    <w:rsid w:val="003F7284"/>
    <w:rsid w:val="00400679"/>
    <w:rsid w:val="00400CCC"/>
    <w:rsid w:val="00401A53"/>
    <w:rsid w:val="00401D32"/>
    <w:rsid w:val="00402053"/>
    <w:rsid w:val="004027AE"/>
    <w:rsid w:val="00403E54"/>
    <w:rsid w:val="00403FDB"/>
    <w:rsid w:val="004044AE"/>
    <w:rsid w:val="00404750"/>
    <w:rsid w:val="00404F2A"/>
    <w:rsid w:val="00406015"/>
    <w:rsid w:val="00406795"/>
    <w:rsid w:val="00406B66"/>
    <w:rsid w:val="00406C81"/>
    <w:rsid w:val="004108A7"/>
    <w:rsid w:val="00410DB1"/>
    <w:rsid w:val="0041123B"/>
    <w:rsid w:val="004117C4"/>
    <w:rsid w:val="00412387"/>
    <w:rsid w:val="00412609"/>
    <w:rsid w:val="00412A2B"/>
    <w:rsid w:val="00412F92"/>
    <w:rsid w:val="00414A4B"/>
    <w:rsid w:val="00415470"/>
    <w:rsid w:val="00415E5C"/>
    <w:rsid w:val="004163FD"/>
    <w:rsid w:val="00420282"/>
    <w:rsid w:val="004202CF"/>
    <w:rsid w:val="0042095B"/>
    <w:rsid w:val="0042096B"/>
    <w:rsid w:val="0042125F"/>
    <w:rsid w:val="00421807"/>
    <w:rsid w:val="00421BE3"/>
    <w:rsid w:val="00422D62"/>
    <w:rsid w:val="0042375E"/>
    <w:rsid w:val="004240DD"/>
    <w:rsid w:val="00424831"/>
    <w:rsid w:val="00425305"/>
    <w:rsid w:val="00425BA4"/>
    <w:rsid w:val="00425F93"/>
    <w:rsid w:val="004268F1"/>
    <w:rsid w:val="00430CC9"/>
    <w:rsid w:val="004346B4"/>
    <w:rsid w:val="00434D2F"/>
    <w:rsid w:val="004356C6"/>
    <w:rsid w:val="00435DB4"/>
    <w:rsid w:val="00436826"/>
    <w:rsid w:val="0044000F"/>
    <w:rsid w:val="00440887"/>
    <w:rsid w:val="00440B50"/>
    <w:rsid w:val="00441006"/>
    <w:rsid w:val="0044199C"/>
    <w:rsid w:val="0044268F"/>
    <w:rsid w:val="00442CC6"/>
    <w:rsid w:val="00442DC5"/>
    <w:rsid w:val="00442E3C"/>
    <w:rsid w:val="00443C0F"/>
    <w:rsid w:val="00444074"/>
    <w:rsid w:val="00450CDC"/>
    <w:rsid w:val="0045246E"/>
    <w:rsid w:val="00452783"/>
    <w:rsid w:val="00453221"/>
    <w:rsid w:val="004532CB"/>
    <w:rsid w:val="0045372C"/>
    <w:rsid w:val="00453C76"/>
    <w:rsid w:val="00453D3C"/>
    <w:rsid w:val="004543F1"/>
    <w:rsid w:val="00456660"/>
    <w:rsid w:val="00456B56"/>
    <w:rsid w:val="004602CD"/>
    <w:rsid w:val="00461088"/>
    <w:rsid w:val="004615C2"/>
    <w:rsid w:val="0046184D"/>
    <w:rsid w:val="00461DD7"/>
    <w:rsid w:val="004623EA"/>
    <w:rsid w:val="00462446"/>
    <w:rsid w:val="004636E5"/>
    <w:rsid w:val="00463850"/>
    <w:rsid w:val="00463FC7"/>
    <w:rsid w:val="004652F4"/>
    <w:rsid w:val="0046659A"/>
    <w:rsid w:val="00466C5F"/>
    <w:rsid w:val="00467148"/>
    <w:rsid w:val="00467533"/>
    <w:rsid w:val="0047118D"/>
    <w:rsid w:val="00471C80"/>
    <w:rsid w:val="00472001"/>
    <w:rsid w:val="0047277C"/>
    <w:rsid w:val="00473F56"/>
    <w:rsid w:val="00476586"/>
    <w:rsid w:val="00476A03"/>
    <w:rsid w:val="00476A36"/>
    <w:rsid w:val="00476F44"/>
    <w:rsid w:val="00477194"/>
    <w:rsid w:val="00480112"/>
    <w:rsid w:val="00480199"/>
    <w:rsid w:val="00480BDA"/>
    <w:rsid w:val="00481C67"/>
    <w:rsid w:val="004821F7"/>
    <w:rsid w:val="00483D88"/>
    <w:rsid w:val="00486418"/>
    <w:rsid w:val="004865EF"/>
    <w:rsid w:val="004878A7"/>
    <w:rsid w:val="00487B1C"/>
    <w:rsid w:val="004919C0"/>
    <w:rsid w:val="00491C3C"/>
    <w:rsid w:val="00493597"/>
    <w:rsid w:val="0049392A"/>
    <w:rsid w:val="004942BB"/>
    <w:rsid w:val="00494C55"/>
    <w:rsid w:val="0049526A"/>
    <w:rsid w:val="004974E9"/>
    <w:rsid w:val="004A0A92"/>
    <w:rsid w:val="004A19EC"/>
    <w:rsid w:val="004A3915"/>
    <w:rsid w:val="004A548E"/>
    <w:rsid w:val="004A5911"/>
    <w:rsid w:val="004B08D9"/>
    <w:rsid w:val="004B0930"/>
    <w:rsid w:val="004B0B3C"/>
    <w:rsid w:val="004B1B05"/>
    <w:rsid w:val="004B1EC0"/>
    <w:rsid w:val="004B25E5"/>
    <w:rsid w:val="004B2716"/>
    <w:rsid w:val="004B32B1"/>
    <w:rsid w:val="004B412F"/>
    <w:rsid w:val="004B6648"/>
    <w:rsid w:val="004B6BE6"/>
    <w:rsid w:val="004B6F03"/>
    <w:rsid w:val="004B713E"/>
    <w:rsid w:val="004B7FC4"/>
    <w:rsid w:val="004C0655"/>
    <w:rsid w:val="004C09D6"/>
    <w:rsid w:val="004C0F6F"/>
    <w:rsid w:val="004C1344"/>
    <w:rsid w:val="004C13BF"/>
    <w:rsid w:val="004C3807"/>
    <w:rsid w:val="004C43A0"/>
    <w:rsid w:val="004C54EF"/>
    <w:rsid w:val="004C618F"/>
    <w:rsid w:val="004C651D"/>
    <w:rsid w:val="004C73A1"/>
    <w:rsid w:val="004C7858"/>
    <w:rsid w:val="004D0550"/>
    <w:rsid w:val="004D138F"/>
    <w:rsid w:val="004D152C"/>
    <w:rsid w:val="004D25EB"/>
    <w:rsid w:val="004D31F5"/>
    <w:rsid w:val="004D336E"/>
    <w:rsid w:val="004D3CDD"/>
    <w:rsid w:val="004D3EF0"/>
    <w:rsid w:val="004D44C1"/>
    <w:rsid w:val="004D4B44"/>
    <w:rsid w:val="004D57E2"/>
    <w:rsid w:val="004D5DA5"/>
    <w:rsid w:val="004D7C66"/>
    <w:rsid w:val="004E0CF7"/>
    <w:rsid w:val="004E14EE"/>
    <w:rsid w:val="004E4123"/>
    <w:rsid w:val="004E442D"/>
    <w:rsid w:val="004E4616"/>
    <w:rsid w:val="004E588E"/>
    <w:rsid w:val="004F00A2"/>
    <w:rsid w:val="004F2817"/>
    <w:rsid w:val="004F31A2"/>
    <w:rsid w:val="004F4418"/>
    <w:rsid w:val="004F4922"/>
    <w:rsid w:val="004F5458"/>
    <w:rsid w:val="004F5723"/>
    <w:rsid w:val="004F58AE"/>
    <w:rsid w:val="004F625D"/>
    <w:rsid w:val="004F76F1"/>
    <w:rsid w:val="005005EB"/>
    <w:rsid w:val="005005F7"/>
    <w:rsid w:val="00500806"/>
    <w:rsid w:val="00501305"/>
    <w:rsid w:val="00504270"/>
    <w:rsid w:val="00505104"/>
    <w:rsid w:val="00506F17"/>
    <w:rsid w:val="00511212"/>
    <w:rsid w:val="0051199F"/>
    <w:rsid w:val="00511B46"/>
    <w:rsid w:val="00513452"/>
    <w:rsid w:val="00515759"/>
    <w:rsid w:val="00515C10"/>
    <w:rsid w:val="00515E88"/>
    <w:rsid w:val="0051612A"/>
    <w:rsid w:val="005170C7"/>
    <w:rsid w:val="0052147F"/>
    <w:rsid w:val="005215D6"/>
    <w:rsid w:val="00522063"/>
    <w:rsid w:val="005237BB"/>
    <w:rsid w:val="00524F29"/>
    <w:rsid w:val="00525221"/>
    <w:rsid w:val="00525760"/>
    <w:rsid w:val="00525A47"/>
    <w:rsid w:val="005261D7"/>
    <w:rsid w:val="00526DD1"/>
    <w:rsid w:val="005279DC"/>
    <w:rsid w:val="005315A6"/>
    <w:rsid w:val="00531935"/>
    <w:rsid w:val="0053348A"/>
    <w:rsid w:val="0053375D"/>
    <w:rsid w:val="00533C39"/>
    <w:rsid w:val="00533DA1"/>
    <w:rsid w:val="0053404A"/>
    <w:rsid w:val="0053404F"/>
    <w:rsid w:val="00535145"/>
    <w:rsid w:val="00535430"/>
    <w:rsid w:val="005376BA"/>
    <w:rsid w:val="005377EB"/>
    <w:rsid w:val="00537A43"/>
    <w:rsid w:val="00540A85"/>
    <w:rsid w:val="00540B2A"/>
    <w:rsid w:val="005420D8"/>
    <w:rsid w:val="00542ADD"/>
    <w:rsid w:val="00542D40"/>
    <w:rsid w:val="0054343B"/>
    <w:rsid w:val="005443CF"/>
    <w:rsid w:val="00544B97"/>
    <w:rsid w:val="00544C87"/>
    <w:rsid w:val="00546555"/>
    <w:rsid w:val="00546E9A"/>
    <w:rsid w:val="00546F1B"/>
    <w:rsid w:val="00547FEC"/>
    <w:rsid w:val="005507F4"/>
    <w:rsid w:val="005518AC"/>
    <w:rsid w:val="00551CDA"/>
    <w:rsid w:val="00551ED4"/>
    <w:rsid w:val="005524D1"/>
    <w:rsid w:val="005527DE"/>
    <w:rsid w:val="0055322E"/>
    <w:rsid w:val="00554AAB"/>
    <w:rsid w:val="00560DCC"/>
    <w:rsid w:val="00560E2A"/>
    <w:rsid w:val="00561782"/>
    <w:rsid w:val="00562903"/>
    <w:rsid w:val="00562EE0"/>
    <w:rsid w:val="005634C6"/>
    <w:rsid w:val="00563D31"/>
    <w:rsid w:val="00564095"/>
    <w:rsid w:val="00564F5C"/>
    <w:rsid w:val="005653DE"/>
    <w:rsid w:val="00565496"/>
    <w:rsid w:val="00566BCB"/>
    <w:rsid w:val="00572272"/>
    <w:rsid w:val="00572D22"/>
    <w:rsid w:val="00573520"/>
    <w:rsid w:val="005740EC"/>
    <w:rsid w:val="00574DA7"/>
    <w:rsid w:val="005758BF"/>
    <w:rsid w:val="00577456"/>
    <w:rsid w:val="00577A4A"/>
    <w:rsid w:val="00577D5E"/>
    <w:rsid w:val="00581259"/>
    <w:rsid w:val="005816AB"/>
    <w:rsid w:val="00582FA7"/>
    <w:rsid w:val="00583B94"/>
    <w:rsid w:val="00585402"/>
    <w:rsid w:val="00585A91"/>
    <w:rsid w:val="005862A9"/>
    <w:rsid w:val="00590066"/>
    <w:rsid w:val="00591765"/>
    <w:rsid w:val="00591E41"/>
    <w:rsid w:val="00591FF9"/>
    <w:rsid w:val="00592087"/>
    <w:rsid w:val="005920EB"/>
    <w:rsid w:val="00592556"/>
    <w:rsid w:val="00594182"/>
    <w:rsid w:val="00594804"/>
    <w:rsid w:val="005948AE"/>
    <w:rsid w:val="005955B4"/>
    <w:rsid w:val="005A0AEB"/>
    <w:rsid w:val="005A128B"/>
    <w:rsid w:val="005A2F4A"/>
    <w:rsid w:val="005A50E2"/>
    <w:rsid w:val="005B0485"/>
    <w:rsid w:val="005B09A6"/>
    <w:rsid w:val="005B0CD9"/>
    <w:rsid w:val="005B1256"/>
    <w:rsid w:val="005B13EE"/>
    <w:rsid w:val="005B159C"/>
    <w:rsid w:val="005B2595"/>
    <w:rsid w:val="005B2C31"/>
    <w:rsid w:val="005B2E4B"/>
    <w:rsid w:val="005B3581"/>
    <w:rsid w:val="005B35EB"/>
    <w:rsid w:val="005B614A"/>
    <w:rsid w:val="005B72FC"/>
    <w:rsid w:val="005C1D71"/>
    <w:rsid w:val="005C20C9"/>
    <w:rsid w:val="005C2A5E"/>
    <w:rsid w:val="005C2CEF"/>
    <w:rsid w:val="005C2D60"/>
    <w:rsid w:val="005C36C7"/>
    <w:rsid w:val="005C3EB7"/>
    <w:rsid w:val="005C5FF2"/>
    <w:rsid w:val="005C644A"/>
    <w:rsid w:val="005C652E"/>
    <w:rsid w:val="005C6B78"/>
    <w:rsid w:val="005C72CF"/>
    <w:rsid w:val="005C73FA"/>
    <w:rsid w:val="005C7635"/>
    <w:rsid w:val="005C7DBD"/>
    <w:rsid w:val="005D0195"/>
    <w:rsid w:val="005D2492"/>
    <w:rsid w:val="005D2907"/>
    <w:rsid w:val="005D3633"/>
    <w:rsid w:val="005D455F"/>
    <w:rsid w:val="005D47D7"/>
    <w:rsid w:val="005D5634"/>
    <w:rsid w:val="005D7D62"/>
    <w:rsid w:val="005E0C8F"/>
    <w:rsid w:val="005E0DD3"/>
    <w:rsid w:val="005E126E"/>
    <w:rsid w:val="005E2A13"/>
    <w:rsid w:val="005E305F"/>
    <w:rsid w:val="005E3700"/>
    <w:rsid w:val="005E3EEE"/>
    <w:rsid w:val="005E498D"/>
    <w:rsid w:val="005E4F21"/>
    <w:rsid w:val="005E50FD"/>
    <w:rsid w:val="005E6007"/>
    <w:rsid w:val="005E6753"/>
    <w:rsid w:val="005E74BE"/>
    <w:rsid w:val="005E77C0"/>
    <w:rsid w:val="005F1CD7"/>
    <w:rsid w:val="005F2D4F"/>
    <w:rsid w:val="005F3976"/>
    <w:rsid w:val="005F409E"/>
    <w:rsid w:val="005F57D3"/>
    <w:rsid w:val="005F59A3"/>
    <w:rsid w:val="005F682E"/>
    <w:rsid w:val="00600A3C"/>
    <w:rsid w:val="00600CF3"/>
    <w:rsid w:val="006038F1"/>
    <w:rsid w:val="00604A8B"/>
    <w:rsid w:val="00604E70"/>
    <w:rsid w:val="006061FA"/>
    <w:rsid w:val="00610585"/>
    <w:rsid w:val="00610E39"/>
    <w:rsid w:val="00611093"/>
    <w:rsid w:val="00612360"/>
    <w:rsid w:val="00612F79"/>
    <w:rsid w:val="00615453"/>
    <w:rsid w:val="00615965"/>
    <w:rsid w:val="00615BE0"/>
    <w:rsid w:val="00615D76"/>
    <w:rsid w:val="00616161"/>
    <w:rsid w:val="00617133"/>
    <w:rsid w:val="00617A55"/>
    <w:rsid w:val="00620433"/>
    <w:rsid w:val="006224C5"/>
    <w:rsid w:val="006230DB"/>
    <w:rsid w:val="00623394"/>
    <w:rsid w:val="006261F5"/>
    <w:rsid w:val="0062639D"/>
    <w:rsid w:val="00626EA4"/>
    <w:rsid w:val="00627187"/>
    <w:rsid w:val="00627279"/>
    <w:rsid w:val="00627C0B"/>
    <w:rsid w:val="00630314"/>
    <w:rsid w:val="006303A1"/>
    <w:rsid w:val="00630AFC"/>
    <w:rsid w:val="0063305E"/>
    <w:rsid w:val="00634938"/>
    <w:rsid w:val="00634B1E"/>
    <w:rsid w:val="00634F3E"/>
    <w:rsid w:val="0063552C"/>
    <w:rsid w:val="006355FE"/>
    <w:rsid w:val="00635967"/>
    <w:rsid w:val="00635E0C"/>
    <w:rsid w:val="0063745E"/>
    <w:rsid w:val="006400C8"/>
    <w:rsid w:val="006419F3"/>
    <w:rsid w:val="006428B4"/>
    <w:rsid w:val="00642FDD"/>
    <w:rsid w:val="00643134"/>
    <w:rsid w:val="00643831"/>
    <w:rsid w:val="00644051"/>
    <w:rsid w:val="00644497"/>
    <w:rsid w:val="00644B34"/>
    <w:rsid w:val="00645D1E"/>
    <w:rsid w:val="00645DB6"/>
    <w:rsid w:val="00647D21"/>
    <w:rsid w:val="00650718"/>
    <w:rsid w:val="00650B77"/>
    <w:rsid w:val="006512C0"/>
    <w:rsid w:val="006512CA"/>
    <w:rsid w:val="00651767"/>
    <w:rsid w:val="006519FA"/>
    <w:rsid w:val="00652ADD"/>
    <w:rsid w:val="00654997"/>
    <w:rsid w:val="00654B50"/>
    <w:rsid w:val="00654F18"/>
    <w:rsid w:val="00655D4D"/>
    <w:rsid w:val="006563F5"/>
    <w:rsid w:val="00656511"/>
    <w:rsid w:val="006578A4"/>
    <w:rsid w:val="00657912"/>
    <w:rsid w:val="006608E2"/>
    <w:rsid w:val="00661658"/>
    <w:rsid w:val="00661C26"/>
    <w:rsid w:val="006625A1"/>
    <w:rsid w:val="00663110"/>
    <w:rsid w:val="0066404E"/>
    <w:rsid w:val="00664C74"/>
    <w:rsid w:val="00665010"/>
    <w:rsid w:val="006653B6"/>
    <w:rsid w:val="00666352"/>
    <w:rsid w:val="0066654A"/>
    <w:rsid w:val="00670787"/>
    <w:rsid w:val="006714DE"/>
    <w:rsid w:val="006715E4"/>
    <w:rsid w:val="006716E2"/>
    <w:rsid w:val="00671B3C"/>
    <w:rsid w:val="006723BE"/>
    <w:rsid w:val="00672CEB"/>
    <w:rsid w:val="006730D5"/>
    <w:rsid w:val="006732A4"/>
    <w:rsid w:val="00673592"/>
    <w:rsid w:val="006739F8"/>
    <w:rsid w:val="00673ADC"/>
    <w:rsid w:val="00674B91"/>
    <w:rsid w:val="00675EF5"/>
    <w:rsid w:val="00681D24"/>
    <w:rsid w:val="006821EC"/>
    <w:rsid w:val="00682468"/>
    <w:rsid w:val="00682C01"/>
    <w:rsid w:val="00682DA1"/>
    <w:rsid w:val="00683898"/>
    <w:rsid w:val="006840C3"/>
    <w:rsid w:val="00684452"/>
    <w:rsid w:val="00684B29"/>
    <w:rsid w:val="00685514"/>
    <w:rsid w:val="00685757"/>
    <w:rsid w:val="006871DF"/>
    <w:rsid w:val="00694995"/>
    <w:rsid w:val="00694AE4"/>
    <w:rsid w:val="0069533C"/>
    <w:rsid w:val="00696415"/>
    <w:rsid w:val="0069679E"/>
    <w:rsid w:val="006967D3"/>
    <w:rsid w:val="006A07E7"/>
    <w:rsid w:val="006A3C71"/>
    <w:rsid w:val="006A455C"/>
    <w:rsid w:val="006A55FF"/>
    <w:rsid w:val="006A6442"/>
    <w:rsid w:val="006A64B1"/>
    <w:rsid w:val="006A7556"/>
    <w:rsid w:val="006A7B9A"/>
    <w:rsid w:val="006A7E25"/>
    <w:rsid w:val="006B0B89"/>
    <w:rsid w:val="006B22EC"/>
    <w:rsid w:val="006B2ED4"/>
    <w:rsid w:val="006B31FB"/>
    <w:rsid w:val="006B338D"/>
    <w:rsid w:val="006B50CF"/>
    <w:rsid w:val="006B526C"/>
    <w:rsid w:val="006B58F2"/>
    <w:rsid w:val="006B5F91"/>
    <w:rsid w:val="006B6C64"/>
    <w:rsid w:val="006B7020"/>
    <w:rsid w:val="006B761D"/>
    <w:rsid w:val="006B7BF9"/>
    <w:rsid w:val="006C017D"/>
    <w:rsid w:val="006C0DED"/>
    <w:rsid w:val="006C4F73"/>
    <w:rsid w:val="006C60FD"/>
    <w:rsid w:val="006C61D3"/>
    <w:rsid w:val="006C75D6"/>
    <w:rsid w:val="006D0530"/>
    <w:rsid w:val="006D1026"/>
    <w:rsid w:val="006D288C"/>
    <w:rsid w:val="006D390B"/>
    <w:rsid w:val="006D4FDF"/>
    <w:rsid w:val="006D5BA2"/>
    <w:rsid w:val="006D704C"/>
    <w:rsid w:val="006D7643"/>
    <w:rsid w:val="006E06B5"/>
    <w:rsid w:val="006E0E22"/>
    <w:rsid w:val="006E20E8"/>
    <w:rsid w:val="006E2685"/>
    <w:rsid w:val="006E277D"/>
    <w:rsid w:val="006E3385"/>
    <w:rsid w:val="006E5D43"/>
    <w:rsid w:val="006E679C"/>
    <w:rsid w:val="006E6A24"/>
    <w:rsid w:val="006F08F4"/>
    <w:rsid w:val="006F1433"/>
    <w:rsid w:val="006F14D0"/>
    <w:rsid w:val="006F1915"/>
    <w:rsid w:val="006F218D"/>
    <w:rsid w:val="006F2E4F"/>
    <w:rsid w:val="006F36BC"/>
    <w:rsid w:val="006F3B9D"/>
    <w:rsid w:val="006F41BA"/>
    <w:rsid w:val="006F44D3"/>
    <w:rsid w:val="006F5929"/>
    <w:rsid w:val="00700B04"/>
    <w:rsid w:val="007030BB"/>
    <w:rsid w:val="00703336"/>
    <w:rsid w:val="007037A3"/>
    <w:rsid w:val="00703DDB"/>
    <w:rsid w:val="00704AA9"/>
    <w:rsid w:val="00706E56"/>
    <w:rsid w:val="00707509"/>
    <w:rsid w:val="0071064E"/>
    <w:rsid w:val="0071068A"/>
    <w:rsid w:val="00710978"/>
    <w:rsid w:val="007109F2"/>
    <w:rsid w:val="00711141"/>
    <w:rsid w:val="007113CD"/>
    <w:rsid w:val="00711C85"/>
    <w:rsid w:val="00711E41"/>
    <w:rsid w:val="00712F42"/>
    <w:rsid w:val="00712F99"/>
    <w:rsid w:val="00713D5C"/>
    <w:rsid w:val="00716948"/>
    <w:rsid w:val="00717AC8"/>
    <w:rsid w:val="00717B16"/>
    <w:rsid w:val="00717F75"/>
    <w:rsid w:val="0072020A"/>
    <w:rsid w:val="007234FA"/>
    <w:rsid w:val="00723AB9"/>
    <w:rsid w:val="00724556"/>
    <w:rsid w:val="0072493A"/>
    <w:rsid w:val="00724D4D"/>
    <w:rsid w:val="00725309"/>
    <w:rsid w:val="00726B1C"/>
    <w:rsid w:val="00726FE2"/>
    <w:rsid w:val="00727521"/>
    <w:rsid w:val="00727AD2"/>
    <w:rsid w:val="00730518"/>
    <w:rsid w:val="00730524"/>
    <w:rsid w:val="00731D0F"/>
    <w:rsid w:val="00732416"/>
    <w:rsid w:val="00732511"/>
    <w:rsid w:val="00733308"/>
    <w:rsid w:val="00734C2F"/>
    <w:rsid w:val="00734CE5"/>
    <w:rsid w:val="00736688"/>
    <w:rsid w:val="00736A5C"/>
    <w:rsid w:val="00740443"/>
    <w:rsid w:val="00741DB6"/>
    <w:rsid w:val="007420AF"/>
    <w:rsid w:val="00742262"/>
    <w:rsid w:val="0074235B"/>
    <w:rsid w:val="00744235"/>
    <w:rsid w:val="00744472"/>
    <w:rsid w:val="007446C6"/>
    <w:rsid w:val="007446EA"/>
    <w:rsid w:val="00745021"/>
    <w:rsid w:val="00745203"/>
    <w:rsid w:val="007454A2"/>
    <w:rsid w:val="00745665"/>
    <w:rsid w:val="0074579E"/>
    <w:rsid w:val="00745F41"/>
    <w:rsid w:val="007472CC"/>
    <w:rsid w:val="00747707"/>
    <w:rsid w:val="00751F38"/>
    <w:rsid w:val="00752AB2"/>
    <w:rsid w:val="00753D2C"/>
    <w:rsid w:val="0075684D"/>
    <w:rsid w:val="00757696"/>
    <w:rsid w:val="00757916"/>
    <w:rsid w:val="007601BC"/>
    <w:rsid w:val="00761473"/>
    <w:rsid w:val="00762D86"/>
    <w:rsid w:val="0076360F"/>
    <w:rsid w:val="007639C5"/>
    <w:rsid w:val="00764209"/>
    <w:rsid w:val="00764D6B"/>
    <w:rsid w:val="00765948"/>
    <w:rsid w:val="00767CA0"/>
    <w:rsid w:val="00770693"/>
    <w:rsid w:val="00770B81"/>
    <w:rsid w:val="00771C4F"/>
    <w:rsid w:val="00771E95"/>
    <w:rsid w:val="00772256"/>
    <w:rsid w:val="00772EAB"/>
    <w:rsid w:val="0077445A"/>
    <w:rsid w:val="007744C4"/>
    <w:rsid w:val="00774949"/>
    <w:rsid w:val="00774C45"/>
    <w:rsid w:val="00775027"/>
    <w:rsid w:val="007751B7"/>
    <w:rsid w:val="007764E2"/>
    <w:rsid w:val="0078006C"/>
    <w:rsid w:val="0078039F"/>
    <w:rsid w:val="00782596"/>
    <w:rsid w:val="00782654"/>
    <w:rsid w:val="00783E7F"/>
    <w:rsid w:val="00786AC7"/>
    <w:rsid w:val="00792732"/>
    <w:rsid w:val="00793804"/>
    <w:rsid w:val="00793B7B"/>
    <w:rsid w:val="00793D5E"/>
    <w:rsid w:val="00793D81"/>
    <w:rsid w:val="007947CD"/>
    <w:rsid w:val="00794876"/>
    <w:rsid w:val="00794EA0"/>
    <w:rsid w:val="00794FBD"/>
    <w:rsid w:val="00796DAD"/>
    <w:rsid w:val="007A1001"/>
    <w:rsid w:val="007A58AD"/>
    <w:rsid w:val="007A6C23"/>
    <w:rsid w:val="007A71AA"/>
    <w:rsid w:val="007A722F"/>
    <w:rsid w:val="007A7BF9"/>
    <w:rsid w:val="007A7F52"/>
    <w:rsid w:val="007B07CC"/>
    <w:rsid w:val="007B0960"/>
    <w:rsid w:val="007B1BDC"/>
    <w:rsid w:val="007B3CCC"/>
    <w:rsid w:val="007B56AA"/>
    <w:rsid w:val="007B572E"/>
    <w:rsid w:val="007B6A4B"/>
    <w:rsid w:val="007B6B57"/>
    <w:rsid w:val="007C0CE2"/>
    <w:rsid w:val="007C144F"/>
    <w:rsid w:val="007C1E00"/>
    <w:rsid w:val="007C3D35"/>
    <w:rsid w:val="007C4D96"/>
    <w:rsid w:val="007C51F9"/>
    <w:rsid w:val="007C5BBA"/>
    <w:rsid w:val="007C71B1"/>
    <w:rsid w:val="007C7673"/>
    <w:rsid w:val="007C78F4"/>
    <w:rsid w:val="007D2D03"/>
    <w:rsid w:val="007D4367"/>
    <w:rsid w:val="007D62E5"/>
    <w:rsid w:val="007D6CC8"/>
    <w:rsid w:val="007D73FE"/>
    <w:rsid w:val="007D7ACE"/>
    <w:rsid w:val="007E05DF"/>
    <w:rsid w:val="007E0FFB"/>
    <w:rsid w:val="007E1AF9"/>
    <w:rsid w:val="007E271B"/>
    <w:rsid w:val="007E2B7F"/>
    <w:rsid w:val="007E301A"/>
    <w:rsid w:val="007E34FB"/>
    <w:rsid w:val="007E3779"/>
    <w:rsid w:val="007E3CCB"/>
    <w:rsid w:val="007E4ACF"/>
    <w:rsid w:val="007E4D9A"/>
    <w:rsid w:val="007E54C1"/>
    <w:rsid w:val="007E573C"/>
    <w:rsid w:val="007E6813"/>
    <w:rsid w:val="007E7E59"/>
    <w:rsid w:val="007F0627"/>
    <w:rsid w:val="007F1A55"/>
    <w:rsid w:val="007F3526"/>
    <w:rsid w:val="007F38F7"/>
    <w:rsid w:val="007F4BF2"/>
    <w:rsid w:val="007F6344"/>
    <w:rsid w:val="007F799F"/>
    <w:rsid w:val="00801478"/>
    <w:rsid w:val="00801649"/>
    <w:rsid w:val="00802338"/>
    <w:rsid w:val="008024EE"/>
    <w:rsid w:val="0080274E"/>
    <w:rsid w:val="00803769"/>
    <w:rsid w:val="008047F4"/>
    <w:rsid w:val="008055D6"/>
    <w:rsid w:val="00805640"/>
    <w:rsid w:val="008057D6"/>
    <w:rsid w:val="008065A9"/>
    <w:rsid w:val="008079E0"/>
    <w:rsid w:val="00811C26"/>
    <w:rsid w:val="00811EED"/>
    <w:rsid w:val="008126AD"/>
    <w:rsid w:val="00814469"/>
    <w:rsid w:val="0081572E"/>
    <w:rsid w:val="00816AD8"/>
    <w:rsid w:val="00816E86"/>
    <w:rsid w:val="008173B2"/>
    <w:rsid w:val="00817655"/>
    <w:rsid w:val="008176C8"/>
    <w:rsid w:val="00817D13"/>
    <w:rsid w:val="0082082B"/>
    <w:rsid w:val="00821821"/>
    <w:rsid w:val="00822DE2"/>
    <w:rsid w:val="0082314D"/>
    <w:rsid w:val="008232DE"/>
    <w:rsid w:val="00823DE2"/>
    <w:rsid w:val="008240BA"/>
    <w:rsid w:val="008244DC"/>
    <w:rsid w:val="00824AFE"/>
    <w:rsid w:val="008264DC"/>
    <w:rsid w:val="00827400"/>
    <w:rsid w:val="0083021D"/>
    <w:rsid w:val="00833651"/>
    <w:rsid w:val="00833929"/>
    <w:rsid w:val="00834247"/>
    <w:rsid w:val="0083427D"/>
    <w:rsid w:val="0083437B"/>
    <w:rsid w:val="00834B4C"/>
    <w:rsid w:val="00834DF1"/>
    <w:rsid w:val="00834FE3"/>
    <w:rsid w:val="00835D77"/>
    <w:rsid w:val="008364D4"/>
    <w:rsid w:val="00836B80"/>
    <w:rsid w:val="00840BA0"/>
    <w:rsid w:val="00842207"/>
    <w:rsid w:val="00842289"/>
    <w:rsid w:val="008426FB"/>
    <w:rsid w:val="00844250"/>
    <w:rsid w:val="00844E7B"/>
    <w:rsid w:val="00845C27"/>
    <w:rsid w:val="0084685D"/>
    <w:rsid w:val="008478C9"/>
    <w:rsid w:val="00850918"/>
    <w:rsid w:val="00850FB0"/>
    <w:rsid w:val="008533FB"/>
    <w:rsid w:val="00853E14"/>
    <w:rsid w:val="00854747"/>
    <w:rsid w:val="00856CA9"/>
    <w:rsid w:val="00856EF0"/>
    <w:rsid w:val="00857274"/>
    <w:rsid w:val="00857BC1"/>
    <w:rsid w:val="00857C32"/>
    <w:rsid w:val="00860975"/>
    <w:rsid w:val="008612F7"/>
    <w:rsid w:val="00861964"/>
    <w:rsid w:val="0086276F"/>
    <w:rsid w:val="00864285"/>
    <w:rsid w:val="00867A6F"/>
    <w:rsid w:val="00867E33"/>
    <w:rsid w:val="00867E5C"/>
    <w:rsid w:val="00867E91"/>
    <w:rsid w:val="00870317"/>
    <w:rsid w:val="008706BF"/>
    <w:rsid w:val="008721A5"/>
    <w:rsid w:val="00872873"/>
    <w:rsid w:val="00872A03"/>
    <w:rsid w:val="00875043"/>
    <w:rsid w:val="00875152"/>
    <w:rsid w:val="008757BB"/>
    <w:rsid w:val="00875AFC"/>
    <w:rsid w:val="00880474"/>
    <w:rsid w:val="0088136B"/>
    <w:rsid w:val="00881445"/>
    <w:rsid w:val="0088166E"/>
    <w:rsid w:val="0088195B"/>
    <w:rsid w:val="0088240E"/>
    <w:rsid w:val="00883012"/>
    <w:rsid w:val="00884104"/>
    <w:rsid w:val="00884194"/>
    <w:rsid w:val="008906E4"/>
    <w:rsid w:val="0089083B"/>
    <w:rsid w:val="00891205"/>
    <w:rsid w:val="00891D1E"/>
    <w:rsid w:val="00892EF0"/>
    <w:rsid w:val="00893270"/>
    <w:rsid w:val="00893B92"/>
    <w:rsid w:val="00894656"/>
    <w:rsid w:val="00894B76"/>
    <w:rsid w:val="008963A5"/>
    <w:rsid w:val="00896DFC"/>
    <w:rsid w:val="00897B59"/>
    <w:rsid w:val="00897DDE"/>
    <w:rsid w:val="00897E27"/>
    <w:rsid w:val="008A0884"/>
    <w:rsid w:val="008A0CFA"/>
    <w:rsid w:val="008A2B6E"/>
    <w:rsid w:val="008A3058"/>
    <w:rsid w:val="008A3E6A"/>
    <w:rsid w:val="008A3E72"/>
    <w:rsid w:val="008A40A8"/>
    <w:rsid w:val="008A43FE"/>
    <w:rsid w:val="008A4B0D"/>
    <w:rsid w:val="008A4F80"/>
    <w:rsid w:val="008A5325"/>
    <w:rsid w:val="008A5A5D"/>
    <w:rsid w:val="008B02FC"/>
    <w:rsid w:val="008B051E"/>
    <w:rsid w:val="008B0A38"/>
    <w:rsid w:val="008B2DB8"/>
    <w:rsid w:val="008B3140"/>
    <w:rsid w:val="008B4FA3"/>
    <w:rsid w:val="008B7E6C"/>
    <w:rsid w:val="008C2139"/>
    <w:rsid w:val="008C258A"/>
    <w:rsid w:val="008C2A63"/>
    <w:rsid w:val="008C30A3"/>
    <w:rsid w:val="008C30BC"/>
    <w:rsid w:val="008C4AD3"/>
    <w:rsid w:val="008C63D4"/>
    <w:rsid w:val="008C6AA1"/>
    <w:rsid w:val="008C6DA2"/>
    <w:rsid w:val="008C7ADF"/>
    <w:rsid w:val="008D04C8"/>
    <w:rsid w:val="008D09D6"/>
    <w:rsid w:val="008D0EA4"/>
    <w:rsid w:val="008D1ABF"/>
    <w:rsid w:val="008D23AE"/>
    <w:rsid w:val="008D253E"/>
    <w:rsid w:val="008D2619"/>
    <w:rsid w:val="008D3A97"/>
    <w:rsid w:val="008D57D1"/>
    <w:rsid w:val="008D5C2E"/>
    <w:rsid w:val="008D5C4B"/>
    <w:rsid w:val="008D66E6"/>
    <w:rsid w:val="008D6A49"/>
    <w:rsid w:val="008D6E0E"/>
    <w:rsid w:val="008D714B"/>
    <w:rsid w:val="008D7E5B"/>
    <w:rsid w:val="008E03E6"/>
    <w:rsid w:val="008E094A"/>
    <w:rsid w:val="008E0A3C"/>
    <w:rsid w:val="008E0D32"/>
    <w:rsid w:val="008E11CD"/>
    <w:rsid w:val="008E3F5B"/>
    <w:rsid w:val="008E5251"/>
    <w:rsid w:val="008E57BA"/>
    <w:rsid w:val="008E5AB1"/>
    <w:rsid w:val="008E5BD8"/>
    <w:rsid w:val="008E61E7"/>
    <w:rsid w:val="008E733A"/>
    <w:rsid w:val="008E7832"/>
    <w:rsid w:val="008F0F54"/>
    <w:rsid w:val="008F0F9F"/>
    <w:rsid w:val="008F151D"/>
    <w:rsid w:val="008F2C09"/>
    <w:rsid w:val="008F2D11"/>
    <w:rsid w:val="008F31DD"/>
    <w:rsid w:val="008F5273"/>
    <w:rsid w:val="008F55FA"/>
    <w:rsid w:val="008F6068"/>
    <w:rsid w:val="008F693A"/>
    <w:rsid w:val="008F7562"/>
    <w:rsid w:val="008F78F4"/>
    <w:rsid w:val="008F7E1D"/>
    <w:rsid w:val="00900ED8"/>
    <w:rsid w:val="00902006"/>
    <w:rsid w:val="009021AA"/>
    <w:rsid w:val="00902793"/>
    <w:rsid w:val="00902878"/>
    <w:rsid w:val="009031FF"/>
    <w:rsid w:val="009048B4"/>
    <w:rsid w:val="009053A8"/>
    <w:rsid w:val="009102C9"/>
    <w:rsid w:val="00911203"/>
    <w:rsid w:val="00911258"/>
    <w:rsid w:val="009119DF"/>
    <w:rsid w:val="00912ECE"/>
    <w:rsid w:val="0091305D"/>
    <w:rsid w:val="0091328B"/>
    <w:rsid w:val="0091360A"/>
    <w:rsid w:val="00915F41"/>
    <w:rsid w:val="00916985"/>
    <w:rsid w:val="00920017"/>
    <w:rsid w:val="009201E7"/>
    <w:rsid w:val="00921EFE"/>
    <w:rsid w:val="009220AE"/>
    <w:rsid w:val="00922FF6"/>
    <w:rsid w:val="00923954"/>
    <w:rsid w:val="00923CDA"/>
    <w:rsid w:val="00924DD4"/>
    <w:rsid w:val="00925B9F"/>
    <w:rsid w:val="0092609C"/>
    <w:rsid w:val="009262F7"/>
    <w:rsid w:val="009265D2"/>
    <w:rsid w:val="00926BF3"/>
    <w:rsid w:val="00927021"/>
    <w:rsid w:val="009274CA"/>
    <w:rsid w:val="00930676"/>
    <w:rsid w:val="009317C7"/>
    <w:rsid w:val="00931ADB"/>
    <w:rsid w:val="009322B1"/>
    <w:rsid w:val="00936C96"/>
    <w:rsid w:val="00936CC2"/>
    <w:rsid w:val="00936E92"/>
    <w:rsid w:val="00937407"/>
    <w:rsid w:val="0093766E"/>
    <w:rsid w:val="0093771D"/>
    <w:rsid w:val="00937743"/>
    <w:rsid w:val="00943202"/>
    <w:rsid w:val="00943205"/>
    <w:rsid w:val="00943283"/>
    <w:rsid w:val="009440B1"/>
    <w:rsid w:val="009448A9"/>
    <w:rsid w:val="00944A52"/>
    <w:rsid w:val="00944B46"/>
    <w:rsid w:val="009479C0"/>
    <w:rsid w:val="00950C92"/>
    <w:rsid w:val="00950EDD"/>
    <w:rsid w:val="009515E4"/>
    <w:rsid w:val="0095384B"/>
    <w:rsid w:val="009547F7"/>
    <w:rsid w:val="00954DD4"/>
    <w:rsid w:val="00955218"/>
    <w:rsid w:val="00955371"/>
    <w:rsid w:val="009557A8"/>
    <w:rsid w:val="00956FB9"/>
    <w:rsid w:val="00957373"/>
    <w:rsid w:val="009575A1"/>
    <w:rsid w:val="00960454"/>
    <w:rsid w:val="00960479"/>
    <w:rsid w:val="009608BA"/>
    <w:rsid w:val="00961121"/>
    <w:rsid w:val="00961301"/>
    <w:rsid w:val="009618CB"/>
    <w:rsid w:val="00962217"/>
    <w:rsid w:val="00962EA8"/>
    <w:rsid w:val="00963E4D"/>
    <w:rsid w:val="009643D6"/>
    <w:rsid w:val="00964649"/>
    <w:rsid w:val="009652C1"/>
    <w:rsid w:val="0096530F"/>
    <w:rsid w:val="009657F4"/>
    <w:rsid w:val="00966BA4"/>
    <w:rsid w:val="00967370"/>
    <w:rsid w:val="0097172E"/>
    <w:rsid w:val="009726AD"/>
    <w:rsid w:val="00972CD5"/>
    <w:rsid w:val="009751A9"/>
    <w:rsid w:val="00975B46"/>
    <w:rsid w:val="0097621B"/>
    <w:rsid w:val="009777BB"/>
    <w:rsid w:val="009819D0"/>
    <w:rsid w:val="0098211A"/>
    <w:rsid w:val="0098227E"/>
    <w:rsid w:val="00983015"/>
    <w:rsid w:val="009830F1"/>
    <w:rsid w:val="00984D5B"/>
    <w:rsid w:val="00985C6C"/>
    <w:rsid w:val="00985D82"/>
    <w:rsid w:val="00991902"/>
    <w:rsid w:val="00992956"/>
    <w:rsid w:val="00993B71"/>
    <w:rsid w:val="00993CE1"/>
    <w:rsid w:val="00994698"/>
    <w:rsid w:val="009958A4"/>
    <w:rsid w:val="00997543"/>
    <w:rsid w:val="00997C62"/>
    <w:rsid w:val="009A0136"/>
    <w:rsid w:val="009A147C"/>
    <w:rsid w:val="009A161C"/>
    <w:rsid w:val="009A168B"/>
    <w:rsid w:val="009A195C"/>
    <w:rsid w:val="009A1F47"/>
    <w:rsid w:val="009A229C"/>
    <w:rsid w:val="009A3973"/>
    <w:rsid w:val="009A43CB"/>
    <w:rsid w:val="009A5855"/>
    <w:rsid w:val="009A60D0"/>
    <w:rsid w:val="009A6134"/>
    <w:rsid w:val="009A6C10"/>
    <w:rsid w:val="009A6EBC"/>
    <w:rsid w:val="009A6EEA"/>
    <w:rsid w:val="009A6F08"/>
    <w:rsid w:val="009A7B86"/>
    <w:rsid w:val="009B2AC0"/>
    <w:rsid w:val="009B2B3F"/>
    <w:rsid w:val="009B32D3"/>
    <w:rsid w:val="009B3579"/>
    <w:rsid w:val="009B43E1"/>
    <w:rsid w:val="009B4A29"/>
    <w:rsid w:val="009B564D"/>
    <w:rsid w:val="009B5CD3"/>
    <w:rsid w:val="009B6546"/>
    <w:rsid w:val="009C058C"/>
    <w:rsid w:val="009C0D33"/>
    <w:rsid w:val="009C1C6A"/>
    <w:rsid w:val="009C1F4A"/>
    <w:rsid w:val="009C3417"/>
    <w:rsid w:val="009C5462"/>
    <w:rsid w:val="009C6D3D"/>
    <w:rsid w:val="009C7F8D"/>
    <w:rsid w:val="009D1206"/>
    <w:rsid w:val="009D223F"/>
    <w:rsid w:val="009D57B3"/>
    <w:rsid w:val="009D582F"/>
    <w:rsid w:val="009D6A22"/>
    <w:rsid w:val="009D6F7E"/>
    <w:rsid w:val="009E23C4"/>
    <w:rsid w:val="009E26E2"/>
    <w:rsid w:val="009E4CA8"/>
    <w:rsid w:val="009E5074"/>
    <w:rsid w:val="009E5DCD"/>
    <w:rsid w:val="009E652B"/>
    <w:rsid w:val="009E6901"/>
    <w:rsid w:val="009E7F43"/>
    <w:rsid w:val="009F215F"/>
    <w:rsid w:val="009F274E"/>
    <w:rsid w:val="009F2817"/>
    <w:rsid w:val="009F51F6"/>
    <w:rsid w:val="009F5DDA"/>
    <w:rsid w:val="009F5F36"/>
    <w:rsid w:val="009F615A"/>
    <w:rsid w:val="00A0055E"/>
    <w:rsid w:val="00A00620"/>
    <w:rsid w:val="00A00C13"/>
    <w:rsid w:val="00A00F16"/>
    <w:rsid w:val="00A01619"/>
    <w:rsid w:val="00A01FBA"/>
    <w:rsid w:val="00A0202F"/>
    <w:rsid w:val="00A028B5"/>
    <w:rsid w:val="00A02B0A"/>
    <w:rsid w:val="00A02DCF"/>
    <w:rsid w:val="00A047C6"/>
    <w:rsid w:val="00A04EE2"/>
    <w:rsid w:val="00A058BB"/>
    <w:rsid w:val="00A060EB"/>
    <w:rsid w:val="00A067EB"/>
    <w:rsid w:val="00A06924"/>
    <w:rsid w:val="00A07856"/>
    <w:rsid w:val="00A10269"/>
    <w:rsid w:val="00A102C2"/>
    <w:rsid w:val="00A103AB"/>
    <w:rsid w:val="00A10B87"/>
    <w:rsid w:val="00A120B4"/>
    <w:rsid w:val="00A12C6C"/>
    <w:rsid w:val="00A137CD"/>
    <w:rsid w:val="00A147FD"/>
    <w:rsid w:val="00A15B96"/>
    <w:rsid w:val="00A15CB1"/>
    <w:rsid w:val="00A178EC"/>
    <w:rsid w:val="00A17C08"/>
    <w:rsid w:val="00A20260"/>
    <w:rsid w:val="00A21E4D"/>
    <w:rsid w:val="00A21EF6"/>
    <w:rsid w:val="00A225AA"/>
    <w:rsid w:val="00A22BDB"/>
    <w:rsid w:val="00A249DC"/>
    <w:rsid w:val="00A25124"/>
    <w:rsid w:val="00A26410"/>
    <w:rsid w:val="00A26574"/>
    <w:rsid w:val="00A2664E"/>
    <w:rsid w:val="00A268EF"/>
    <w:rsid w:val="00A309F3"/>
    <w:rsid w:val="00A31284"/>
    <w:rsid w:val="00A318BA"/>
    <w:rsid w:val="00A31C3C"/>
    <w:rsid w:val="00A320C5"/>
    <w:rsid w:val="00A32472"/>
    <w:rsid w:val="00A32720"/>
    <w:rsid w:val="00A32B52"/>
    <w:rsid w:val="00A32D2C"/>
    <w:rsid w:val="00A3344C"/>
    <w:rsid w:val="00A35140"/>
    <w:rsid w:val="00A3640F"/>
    <w:rsid w:val="00A36671"/>
    <w:rsid w:val="00A36798"/>
    <w:rsid w:val="00A3752B"/>
    <w:rsid w:val="00A37846"/>
    <w:rsid w:val="00A37A6B"/>
    <w:rsid w:val="00A37CB1"/>
    <w:rsid w:val="00A37E05"/>
    <w:rsid w:val="00A40F48"/>
    <w:rsid w:val="00A414F6"/>
    <w:rsid w:val="00A4222E"/>
    <w:rsid w:val="00A427AF"/>
    <w:rsid w:val="00A4307F"/>
    <w:rsid w:val="00A442DF"/>
    <w:rsid w:val="00A44E43"/>
    <w:rsid w:val="00A45A04"/>
    <w:rsid w:val="00A5035E"/>
    <w:rsid w:val="00A503C9"/>
    <w:rsid w:val="00A504DA"/>
    <w:rsid w:val="00A506A2"/>
    <w:rsid w:val="00A52139"/>
    <w:rsid w:val="00A53B5A"/>
    <w:rsid w:val="00A53E1A"/>
    <w:rsid w:val="00A548D7"/>
    <w:rsid w:val="00A55012"/>
    <w:rsid w:val="00A56DF8"/>
    <w:rsid w:val="00A573E8"/>
    <w:rsid w:val="00A57BE9"/>
    <w:rsid w:val="00A608A7"/>
    <w:rsid w:val="00A629C4"/>
    <w:rsid w:val="00A629D8"/>
    <w:rsid w:val="00A62F65"/>
    <w:rsid w:val="00A63AD8"/>
    <w:rsid w:val="00A63E3F"/>
    <w:rsid w:val="00A65755"/>
    <w:rsid w:val="00A65CB5"/>
    <w:rsid w:val="00A666B9"/>
    <w:rsid w:val="00A6712C"/>
    <w:rsid w:val="00A70CFE"/>
    <w:rsid w:val="00A71E73"/>
    <w:rsid w:val="00A734FD"/>
    <w:rsid w:val="00A7449F"/>
    <w:rsid w:val="00A747B1"/>
    <w:rsid w:val="00A74DBC"/>
    <w:rsid w:val="00A766A9"/>
    <w:rsid w:val="00A81201"/>
    <w:rsid w:val="00A82F97"/>
    <w:rsid w:val="00A8423D"/>
    <w:rsid w:val="00A84655"/>
    <w:rsid w:val="00A8542B"/>
    <w:rsid w:val="00A85516"/>
    <w:rsid w:val="00A86180"/>
    <w:rsid w:val="00A86682"/>
    <w:rsid w:val="00A870B1"/>
    <w:rsid w:val="00A87B68"/>
    <w:rsid w:val="00A9019C"/>
    <w:rsid w:val="00A907C4"/>
    <w:rsid w:val="00A90BEE"/>
    <w:rsid w:val="00A920B3"/>
    <w:rsid w:val="00A9239A"/>
    <w:rsid w:val="00A93B2C"/>
    <w:rsid w:val="00A94955"/>
    <w:rsid w:val="00A952FF"/>
    <w:rsid w:val="00A96234"/>
    <w:rsid w:val="00A96763"/>
    <w:rsid w:val="00A97B0C"/>
    <w:rsid w:val="00AA13AF"/>
    <w:rsid w:val="00AA237D"/>
    <w:rsid w:val="00AA43C1"/>
    <w:rsid w:val="00AA4545"/>
    <w:rsid w:val="00AA643B"/>
    <w:rsid w:val="00AA68D6"/>
    <w:rsid w:val="00AA7F66"/>
    <w:rsid w:val="00AB4829"/>
    <w:rsid w:val="00AB588E"/>
    <w:rsid w:val="00AB6A7C"/>
    <w:rsid w:val="00AB6C38"/>
    <w:rsid w:val="00AB79A7"/>
    <w:rsid w:val="00AC0058"/>
    <w:rsid w:val="00AC0113"/>
    <w:rsid w:val="00AC01D8"/>
    <w:rsid w:val="00AC0645"/>
    <w:rsid w:val="00AC133A"/>
    <w:rsid w:val="00AC1340"/>
    <w:rsid w:val="00AC1620"/>
    <w:rsid w:val="00AC2D81"/>
    <w:rsid w:val="00AC306C"/>
    <w:rsid w:val="00AC32DF"/>
    <w:rsid w:val="00AC353D"/>
    <w:rsid w:val="00AC4053"/>
    <w:rsid w:val="00AC44C9"/>
    <w:rsid w:val="00AC4611"/>
    <w:rsid w:val="00AC496A"/>
    <w:rsid w:val="00AC7F1C"/>
    <w:rsid w:val="00AD20E2"/>
    <w:rsid w:val="00AD24BF"/>
    <w:rsid w:val="00AD287D"/>
    <w:rsid w:val="00AD2F5D"/>
    <w:rsid w:val="00AD5997"/>
    <w:rsid w:val="00AD5CD2"/>
    <w:rsid w:val="00AD6408"/>
    <w:rsid w:val="00AD7528"/>
    <w:rsid w:val="00AE04AF"/>
    <w:rsid w:val="00AE2157"/>
    <w:rsid w:val="00AE3102"/>
    <w:rsid w:val="00AE3609"/>
    <w:rsid w:val="00AE3969"/>
    <w:rsid w:val="00AE4762"/>
    <w:rsid w:val="00AE4EC7"/>
    <w:rsid w:val="00AE524A"/>
    <w:rsid w:val="00AE6576"/>
    <w:rsid w:val="00AE7041"/>
    <w:rsid w:val="00AE7719"/>
    <w:rsid w:val="00AF0347"/>
    <w:rsid w:val="00AF0391"/>
    <w:rsid w:val="00AF28C7"/>
    <w:rsid w:val="00AF32E6"/>
    <w:rsid w:val="00AF4051"/>
    <w:rsid w:val="00AF45A7"/>
    <w:rsid w:val="00AF57FA"/>
    <w:rsid w:val="00AF6489"/>
    <w:rsid w:val="00AF7B59"/>
    <w:rsid w:val="00B003DA"/>
    <w:rsid w:val="00B016D4"/>
    <w:rsid w:val="00B01AE8"/>
    <w:rsid w:val="00B020EB"/>
    <w:rsid w:val="00B02D33"/>
    <w:rsid w:val="00B0366D"/>
    <w:rsid w:val="00B03F16"/>
    <w:rsid w:val="00B04777"/>
    <w:rsid w:val="00B04E87"/>
    <w:rsid w:val="00B05510"/>
    <w:rsid w:val="00B05A95"/>
    <w:rsid w:val="00B05AC3"/>
    <w:rsid w:val="00B068BD"/>
    <w:rsid w:val="00B06FE2"/>
    <w:rsid w:val="00B0752F"/>
    <w:rsid w:val="00B1017E"/>
    <w:rsid w:val="00B11A8B"/>
    <w:rsid w:val="00B1252E"/>
    <w:rsid w:val="00B12DEB"/>
    <w:rsid w:val="00B13F9B"/>
    <w:rsid w:val="00B141AE"/>
    <w:rsid w:val="00B158A7"/>
    <w:rsid w:val="00B204EA"/>
    <w:rsid w:val="00B21D90"/>
    <w:rsid w:val="00B23C1A"/>
    <w:rsid w:val="00B252FB"/>
    <w:rsid w:val="00B263C9"/>
    <w:rsid w:val="00B26C01"/>
    <w:rsid w:val="00B27086"/>
    <w:rsid w:val="00B27667"/>
    <w:rsid w:val="00B3158E"/>
    <w:rsid w:val="00B32361"/>
    <w:rsid w:val="00B339DF"/>
    <w:rsid w:val="00B35C79"/>
    <w:rsid w:val="00B35C83"/>
    <w:rsid w:val="00B3614E"/>
    <w:rsid w:val="00B376F6"/>
    <w:rsid w:val="00B37D00"/>
    <w:rsid w:val="00B4047D"/>
    <w:rsid w:val="00B41579"/>
    <w:rsid w:val="00B420A3"/>
    <w:rsid w:val="00B43B64"/>
    <w:rsid w:val="00B441EE"/>
    <w:rsid w:val="00B44272"/>
    <w:rsid w:val="00B4454D"/>
    <w:rsid w:val="00B45970"/>
    <w:rsid w:val="00B50CF1"/>
    <w:rsid w:val="00B50E64"/>
    <w:rsid w:val="00B52724"/>
    <w:rsid w:val="00B52731"/>
    <w:rsid w:val="00B52C02"/>
    <w:rsid w:val="00B52C0E"/>
    <w:rsid w:val="00B52F85"/>
    <w:rsid w:val="00B52FE4"/>
    <w:rsid w:val="00B5308B"/>
    <w:rsid w:val="00B53E28"/>
    <w:rsid w:val="00B55986"/>
    <w:rsid w:val="00B60C6F"/>
    <w:rsid w:val="00B61071"/>
    <w:rsid w:val="00B62292"/>
    <w:rsid w:val="00B62A8D"/>
    <w:rsid w:val="00B62FE6"/>
    <w:rsid w:val="00B63CDF"/>
    <w:rsid w:val="00B65206"/>
    <w:rsid w:val="00B65395"/>
    <w:rsid w:val="00B6551D"/>
    <w:rsid w:val="00B666CC"/>
    <w:rsid w:val="00B66E6F"/>
    <w:rsid w:val="00B67993"/>
    <w:rsid w:val="00B71C0C"/>
    <w:rsid w:val="00B7226F"/>
    <w:rsid w:val="00B72444"/>
    <w:rsid w:val="00B74B3A"/>
    <w:rsid w:val="00B76E46"/>
    <w:rsid w:val="00B7739B"/>
    <w:rsid w:val="00B80CE1"/>
    <w:rsid w:val="00B8108E"/>
    <w:rsid w:val="00B8279A"/>
    <w:rsid w:val="00B82B23"/>
    <w:rsid w:val="00B82F1A"/>
    <w:rsid w:val="00B830A3"/>
    <w:rsid w:val="00B835E3"/>
    <w:rsid w:val="00B85EDB"/>
    <w:rsid w:val="00B85FFE"/>
    <w:rsid w:val="00B864DD"/>
    <w:rsid w:val="00B86D0D"/>
    <w:rsid w:val="00B86D3B"/>
    <w:rsid w:val="00B86FC4"/>
    <w:rsid w:val="00B87866"/>
    <w:rsid w:val="00B900C1"/>
    <w:rsid w:val="00B91A8D"/>
    <w:rsid w:val="00B9261B"/>
    <w:rsid w:val="00B92647"/>
    <w:rsid w:val="00B932D3"/>
    <w:rsid w:val="00B93745"/>
    <w:rsid w:val="00B94A4D"/>
    <w:rsid w:val="00B94F92"/>
    <w:rsid w:val="00B95EEB"/>
    <w:rsid w:val="00B9659C"/>
    <w:rsid w:val="00B9667C"/>
    <w:rsid w:val="00B970BA"/>
    <w:rsid w:val="00B974B9"/>
    <w:rsid w:val="00BA03FB"/>
    <w:rsid w:val="00BA0EB5"/>
    <w:rsid w:val="00BA10D5"/>
    <w:rsid w:val="00BA1E9D"/>
    <w:rsid w:val="00BA1F1E"/>
    <w:rsid w:val="00BA2600"/>
    <w:rsid w:val="00BA43D5"/>
    <w:rsid w:val="00BA5A30"/>
    <w:rsid w:val="00BA6560"/>
    <w:rsid w:val="00BA658D"/>
    <w:rsid w:val="00BA6B3A"/>
    <w:rsid w:val="00BA702A"/>
    <w:rsid w:val="00BB09D0"/>
    <w:rsid w:val="00BB0D8E"/>
    <w:rsid w:val="00BB0F22"/>
    <w:rsid w:val="00BB1200"/>
    <w:rsid w:val="00BB1E2B"/>
    <w:rsid w:val="00BB2738"/>
    <w:rsid w:val="00BB2B65"/>
    <w:rsid w:val="00BB3402"/>
    <w:rsid w:val="00BB5E9B"/>
    <w:rsid w:val="00BB77D4"/>
    <w:rsid w:val="00BB79BB"/>
    <w:rsid w:val="00BC0D5B"/>
    <w:rsid w:val="00BC0DD3"/>
    <w:rsid w:val="00BC2203"/>
    <w:rsid w:val="00BC2333"/>
    <w:rsid w:val="00BC2541"/>
    <w:rsid w:val="00BC2557"/>
    <w:rsid w:val="00BC339D"/>
    <w:rsid w:val="00BC3E2D"/>
    <w:rsid w:val="00BC58A1"/>
    <w:rsid w:val="00BC58C3"/>
    <w:rsid w:val="00BC5BC7"/>
    <w:rsid w:val="00BC5E59"/>
    <w:rsid w:val="00BC656D"/>
    <w:rsid w:val="00BD03FC"/>
    <w:rsid w:val="00BD124D"/>
    <w:rsid w:val="00BD1289"/>
    <w:rsid w:val="00BD1D6F"/>
    <w:rsid w:val="00BD258E"/>
    <w:rsid w:val="00BD2742"/>
    <w:rsid w:val="00BD2BCD"/>
    <w:rsid w:val="00BD2FEC"/>
    <w:rsid w:val="00BD3368"/>
    <w:rsid w:val="00BD3613"/>
    <w:rsid w:val="00BD4DDC"/>
    <w:rsid w:val="00BD5206"/>
    <w:rsid w:val="00BD72E6"/>
    <w:rsid w:val="00BD74A7"/>
    <w:rsid w:val="00BD787F"/>
    <w:rsid w:val="00BE17FB"/>
    <w:rsid w:val="00BE1AD8"/>
    <w:rsid w:val="00BE1C56"/>
    <w:rsid w:val="00BE4139"/>
    <w:rsid w:val="00BE4C2B"/>
    <w:rsid w:val="00BE4EFE"/>
    <w:rsid w:val="00BE5341"/>
    <w:rsid w:val="00BE762A"/>
    <w:rsid w:val="00BE7C58"/>
    <w:rsid w:val="00BF2EF4"/>
    <w:rsid w:val="00BF3759"/>
    <w:rsid w:val="00BF3CD9"/>
    <w:rsid w:val="00BF4769"/>
    <w:rsid w:val="00BF4958"/>
    <w:rsid w:val="00BF4973"/>
    <w:rsid w:val="00BF55F4"/>
    <w:rsid w:val="00BF5B17"/>
    <w:rsid w:val="00BF601B"/>
    <w:rsid w:val="00BF639E"/>
    <w:rsid w:val="00BF696E"/>
    <w:rsid w:val="00BF7BD1"/>
    <w:rsid w:val="00BF7DD8"/>
    <w:rsid w:val="00C00877"/>
    <w:rsid w:val="00C008C2"/>
    <w:rsid w:val="00C00F48"/>
    <w:rsid w:val="00C027CC"/>
    <w:rsid w:val="00C028A6"/>
    <w:rsid w:val="00C045C9"/>
    <w:rsid w:val="00C04628"/>
    <w:rsid w:val="00C04EB1"/>
    <w:rsid w:val="00C0555B"/>
    <w:rsid w:val="00C05728"/>
    <w:rsid w:val="00C063AC"/>
    <w:rsid w:val="00C06674"/>
    <w:rsid w:val="00C073E0"/>
    <w:rsid w:val="00C07A1D"/>
    <w:rsid w:val="00C1146B"/>
    <w:rsid w:val="00C114CE"/>
    <w:rsid w:val="00C1174D"/>
    <w:rsid w:val="00C130A4"/>
    <w:rsid w:val="00C144ED"/>
    <w:rsid w:val="00C15643"/>
    <w:rsid w:val="00C16966"/>
    <w:rsid w:val="00C16A63"/>
    <w:rsid w:val="00C17443"/>
    <w:rsid w:val="00C17B8F"/>
    <w:rsid w:val="00C219B0"/>
    <w:rsid w:val="00C21EB0"/>
    <w:rsid w:val="00C259AC"/>
    <w:rsid w:val="00C268EC"/>
    <w:rsid w:val="00C26EBB"/>
    <w:rsid w:val="00C27541"/>
    <w:rsid w:val="00C27F29"/>
    <w:rsid w:val="00C304E7"/>
    <w:rsid w:val="00C31014"/>
    <w:rsid w:val="00C31E13"/>
    <w:rsid w:val="00C31EB3"/>
    <w:rsid w:val="00C31FA8"/>
    <w:rsid w:val="00C32924"/>
    <w:rsid w:val="00C32B95"/>
    <w:rsid w:val="00C334DC"/>
    <w:rsid w:val="00C3359B"/>
    <w:rsid w:val="00C33B6E"/>
    <w:rsid w:val="00C33FF7"/>
    <w:rsid w:val="00C34849"/>
    <w:rsid w:val="00C35086"/>
    <w:rsid w:val="00C3536A"/>
    <w:rsid w:val="00C36441"/>
    <w:rsid w:val="00C415AE"/>
    <w:rsid w:val="00C41B85"/>
    <w:rsid w:val="00C41DDF"/>
    <w:rsid w:val="00C42700"/>
    <w:rsid w:val="00C43F4D"/>
    <w:rsid w:val="00C4463E"/>
    <w:rsid w:val="00C460FC"/>
    <w:rsid w:val="00C46ED9"/>
    <w:rsid w:val="00C47F6C"/>
    <w:rsid w:val="00C50248"/>
    <w:rsid w:val="00C52117"/>
    <w:rsid w:val="00C528E6"/>
    <w:rsid w:val="00C5318F"/>
    <w:rsid w:val="00C541B5"/>
    <w:rsid w:val="00C55C33"/>
    <w:rsid w:val="00C5630D"/>
    <w:rsid w:val="00C60F63"/>
    <w:rsid w:val="00C6110D"/>
    <w:rsid w:val="00C61646"/>
    <w:rsid w:val="00C619D3"/>
    <w:rsid w:val="00C61BED"/>
    <w:rsid w:val="00C6450E"/>
    <w:rsid w:val="00C65E0F"/>
    <w:rsid w:val="00C660E6"/>
    <w:rsid w:val="00C66C7E"/>
    <w:rsid w:val="00C67B08"/>
    <w:rsid w:val="00C716EF"/>
    <w:rsid w:val="00C72044"/>
    <w:rsid w:val="00C72814"/>
    <w:rsid w:val="00C72871"/>
    <w:rsid w:val="00C72D46"/>
    <w:rsid w:val="00C73448"/>
    <w:rsid w:val="00C74E82"/>
    <w:rsid w:val="00C760AF"/>
    <w:rsid w:val="00C7632D"/>
    <w:rsid w:val="00C77214"/>
    <w:rsid w:val="00C77624"/>
    <w:rsid w:val="00C81D17"/>
    <w:rsid w:val="00C823FA"/>
    <w:rsid w:val="00C83A2A"/>
    <w:rsid w:val="00C83E2D"/>
    <w:rsid w:val="00C84137"/>
    <w:rsid w:val="00C84C76"/>
    <w:rsid w:val="00C85821"/>
    <w:rsid w:val="00C86713"/>
    <w:rsid w:val="00C87042"/>
    <w:rsid w:val="00C87D8C"/>
    <w:rsid w:val="00C905A2"/>
    <w:rsid w:val="00C910FC"/>
    <w:rsid w:val="00C9213B"/>
    <w:rsid w:val="00C92314"/>
    <w:rsid w:val="00C92F9D"/>
    <w:rsid w:val="00C93E3F"/>
    <w:rsid w:val="00C93E90"/>
    <w:rsid w:val="00C940E8"/>
    <w:rsid w:val="00C940EC"/>
    <w:rsid w:val="00C95CB9"/>
    <w:rsid w:val="00C97413"/>
    <w:rsid w:val="00C97588"/>
    <w:rsid w:val="00CA05B5"/>
    <w:rsid w:val="00CA0CC1"/>
    <w:rsid w:val="00CA36EA"/>
    <w:rsid w:val="00CA3D6B"/>
    <w:rsid w:val="00CA406F"/>
    <w:rsid w:val="00CA5985"/>
    <w:rsid w:val="00CA5F19"/>
    <w:rsid w:val="00CA5F95"/>
    <w:rsid w:val="00CB026D"/>
    <w:rsid w:val="00CB075D"/>
    <w:rsid w:val="00CB4469"/>
    <w:rsid w:val="00CB4863"/>
    <w:rsid w:val="00CB6A9D"/>
    <w:rsid w:val="00CB741D"/>
    <w:rsid w:val="00CC2747"/>
    <w:rsid w:val="00CC28D3"/>
    <w:rsid w:val="00CC3300"/>
    <w:rsid w:val="00CC3D36"/>
    <w:rsid w:val="00CC4045"/>
    <w:rsid w:val="00CC4800"/>
    <w:rsid w:val="00CC4FF7"/>
    <w:rsid w:val="00CC5CB7"/>
    <w:rsid w:val="00CC5DDF"/>
    <w:rsid w:val="00CC5F00"/>
    <w:rsid w:val="00CC6F65"/>
    <w:rsid w:val="00CC74DA"/>
    <w:rsid w:val="00CD0375"/>
    <w:rsid w:val="00CD051F"/>
    <w:rsid w:val="00CD140B"/>
    <w:rsid w:val="00CD21A7"/>
    <w:rsid w:val="00CD21D2"/>
    <w:rsid w:val="00CD2675"/>
    <w:rsid w:val="00CD2AE5"/>
    <w:rsid w:val="00CD3E48"/>
    <w:rsid w:val="00CD3EEA"/>
    <w:rsid w:val="00CD3F29"/>
    <w:rsid w:val="00CD620F"/>
    <w:rsid w:val="00CD6553"/>
    <w:rsid w:val="00CD6E46"/>
    <w:rsid w:val="00CD7E81"/>
    <w:rsid w:val="00CE0933"/>
    <w:rsid w:val="00CE0C18"/>
    <w:rsid w:val="00CE1926"/>
    <w:rsid w:val="00CE1B14"/>
    <w:rsid w:val="00CE1EF2"/>
    <w:rsid w:val="00CE2299"/>
    <w:rsid w:val="00CE3AF9"/>
    <w:rsid w:val="00CE426B"/>
    <w:rsid w:val="00CE4341"/>
    <w:rsid w:val="00CE43DF"/>
    <w:rsid w:val="00CE48BD"/>
    <w:rsid w:val="00CE4D18"/>
    <w:rsid w:val="00CE66BA"/>
    <w:rsid w:val="00CE7161"/>
    <w:rsid w:val="00CE791E"/>
    <w:rsid w:val="00CE7E37"/>
    <w:rsid w:val="00CF0C4E"/>
    <w:rsid w:val="00CF0ED5"/>
    <w:rsid w:val="00CF1E9C"/>
    <w:rsid w:val="00CF2CA2"/>
    <w:rsid w:val="00CF3A5D"/>
    <w:rsid w:val="00CF4614"/>
    <w:rsid w:val="00CF5219"/>
    <w:rsid w:val="00CF6084"/>
    <w:rsid w:val="00CF6709"/>
    <w:rsid w:val="00CF6CCF"/>
    <w:rsid w:val="00D010CE"/>
    <w:rsid w:val="00D012AB"/>
    <w:rsid w:val="00D03CF6"/>
    <w:rsid w:val="00D043FC"/>
    <w:rsid w:val="00D059CE"/>
    <w:rsid w:val="00D065D7"/>
    <w:rsid w:val="00D06B10"/>
    <w:rsid w:val="00D06E3D"/>
    <w:rsid w:val="00D109D4"/>
    <w:rsid w:val="00D10DB2"/>
    <w:rsid w:val="00D11B0D"/>
    <w:rsid w:val="00D12138"/>
    <w:rsid w:val="00D1290B"/>
    <w:rsid w:val="00D12D2C"/>
    <w:rsid w:val="00D131D0"/>
    <w:rsid w:val="00D13922"/>
    <w:rsid w:val="00D1453F"/>
    <w:rsid w:val="00D15009"/>
    <w:rsid w:val="00D16149"/>
    <w:rsid w:val="00D16946"/>
    <w:rsid w:val="00D169F0"/>
    <w:rsid w:val="00D17C22"/>
    <w:rsid w:val="00D20941"/>
    <w:rsid w:val="00D209F8"/>
    <w:rsid w:val="00D210F4"/>
    <w:rsid w:val="00D21225"/>
    <w:rsid w:val="00D218E2"/>
    <w:rsid w:val="00D21C2A"/>
    <w:rsid w:val="00D22A9B"/>
    <w:rsid w:val="00D22B8E"/>
    <w:rsid w:val="00D22DD9"/>
    <w:rsid w:val="00D23BFA"/>
    <w:rsid w:val="00D23DFB"/>
    <w:rsid w:val="00D26796"/>
    <w:rsid w:val="00D26D74"/>
    <w:rsid w:val="00D27639"/>
    <w:rsid w:val="00D30FDA"/>
    <w:rsid w:val="00D312B7"/>
    <w:rsid w:val="00D3161E"/>
    <w:rsid w:val="00D319B8"/>
    <w:rsid w:val="00D35299"/>
    <w:rsid w:val="00D3571B"/>
    <w:rsid w:val="00D36B42"/>
    <w:rsid w:val="00D3704A"/>
    <w:rsid w:val="00D37099"/>
    <w:rsid w:val="00D37FCD"/>
    <w:rsid w:val="00D40542"/>
    <w:rsid w:val="00D43E0C"/>
    <w:rsid w:val="00D4425C"/>
    <w:rsid w:val="00D4496A"/>
    <w:rsid w:val="00D45382"/>
    <w:rsid w:val="00D46675"/>
    <w:rsid w:val="00D47BC6"/>
    <w:rsid w:val="00D47DAA"/>
    <w:rsid w:val="00D506BC"/>
    <w:rsid w:val="00D51E56"/>
    <w:rsid w:val="00D52064"/>
    <w:rsid w:val="00D52F6C"/>
    <w:rsid w:val="00D53164"/>
    <w:rsid w:val="00D5377E"/>
    <w:rsid w:val="00D5380D"/>
    <w:rsid w:val="00D538AF"/>
    <w:rsid w:val="00D53B09"/>
    <w:rsid w:val="00D53CCD"/>
    <w:rsid w:val="00D53E0A"/>
    <w:rsid w:val="00D54BE3"/>
    <w:rsid w:val="00D551C7"/>
    <w:rsid w:val="00D55A03"/>
    <w:rsid w:val="00D55A46"/>
    <w:rsid w:val="00D56A4B"/>
    <w:rsid w:val="00D5707A"/>
    <w:rsid w:val="00D5785C"/>
    <w:rsid w:val="00D60BAD"/>
    <w:rsid w:val="00D61988"/>
    <w:rsid w:val="00D62022"/>
    <w:rsid w:val="00D62080"/>
    <w:rsid w:val="00D62D48"/>
    <w:rsid w:val="00D64209"/>
    <w:rsid w:val="00D64966"/>
    <w:rsid w:val="00D65607"/>
    <w:rsid w:val="00D65E8F"/>
    <w:rsid w:val="00D66AD5"/>
    <w:rsid w:val="00D66DD5"/>
    <w:rsid w:val="00D67CB9"/>
    <w:rsid w:val="00D703E9"/>
    <w:rsid w:val="00D70FFE"/>
    <w:rsid w:val="00D714EF"/>
    <w:rsid w:val="00D71F0A"/>
    <w:rsid w:val="00D721B7"/>
    <w:rsid w:val="00D74024"/>
    <w:rsid w:val="00D745F2"/>
    <w:rsid w:val="00D759A3"/>
    <w:rsid w:val="00D767D0"/>
    <w:rsid w:val="00D77C23"/>
    <w:rsid w:val="00D823C9"/>
    <w:rsid w:val="00D84AD7"/>
    <w:rsid w:val="00D85C34"/>
    <w:rsid w:val="00D863AF"/>
    <w:rsid w:val="00D8704B"/>
    <w:rsid w:val="00D8776F"/>
    <w:rsid w:val="00D90328"/>
    <w:rsid w:val="00D90AAE"/>
    <w:rsid w:val="00D90C94"/>
    <w:rsid w:val="00D9182E"/>
    <w:rsid w:val="00D93EF2"/>
    <w:rsid w:val="00D93F96"/>
    <w:rsid w:val="00D9567A"/>
    <w:rsid w:val="00D97C1B"/>
    <w:rsid w:val="00D97CAE"/>
    <w:rsid w:val="00D97FE0"/>
    <w:rsid w:val="00DA2F4B"/>
    <w:rsid w:val="00DA3145"/>
    <w:rsid w:val="00DA392A"/>
    <w:rsid w:val="00DA3B58"/>
    <w:rsid w:val="00DA3D88"/>
    <w:rsid w:val="00DA55A6"/>
    <w:rsid w:val="00DA597C"/>
    <w:rsid w:val="00DA6536"/>
    <w:rsid w:val="00DA6F8B"/>
    <w:rsid w:val="00DA7EFA"/>
    <w:rsid w:val="00DB13C0"/>
    <w:rsid w:val="00DB29AC"/>
    <w:rsid w:val="00DB2EC5"/>
    <w:rsid w:val="00DB2F86"/>
    <w:rsid w:val="00DB335C"/>
    <w:rsid w:val="00DB36CD"/>
    <w:rsid w:val="00DB3A6B"/>
    <w:rsid w:val="00DB3CB7"/>
    <w:rsid w:val="00DB451D"/>
    <w:rsid w:val="00DB571D"/>
    <w:rsid w:val="00DB74B9"/>
    <w:rsid w:val="00DC00D3"/>
    <w:rsid w:val="00DC0940"/>
    <w:rsid w:val="00DC2809"/>
    <w:rsid w:val="00DC3C89"/>
    <w:rsid w:val="00DC4184"/>
    <w:rsid w:val="00DC4337"/>
    <w:rsid w:val="00DC47D8"/>
    <w:rsid w:val="00DC4938"/>
    <w:rsid w:val="00DC5DE1"/>
    <w:rsid w:val="00DC68F1"/>
    <w:rsid w:val="00DC6A1C"/>
    <w:rsid w:val="00DD0CF2"/>
    <w:rsid w:val="00DD0E61"/>
    <w:rsid w:val="00DD1999"/>
    <w:rsid w:val="00DD1C5E"/>
    <w:rsid w:val="00DD2B20"/>
    <w:rsid w:val="00DD5A99"/>
    <w:rsid w:val="00DD6665"/>
    <w:rsid w:val="00DD682A"/>
    <w:rsid w:val="00DD77B1"/>
    <w:rsid w:val="00DE0691"/>
    <w:rsid w:val="00DE11C8"/>
    <w:rsid w:val="00DE22D2"/>
    <w:rsid w:val="00DE2B0A"/>
    <w:rsid w:val="00DE3DD6"/>
    <w:rsid w:val="00DE4453"/>
    <w:rsid w:val="00DE4604"/>
    <w:rsid w:val="00DE4DF9"/>
    <w:rsid w:val="00DE4DFB"/>
    <w:rsid w:val="00DE5FE7"/>
    <w:rsid w:val="00DE61EA"/>
    <w:rsid w:val="00DE6391"/>
    <w:rsid w:val="00DE64C6"/>
    <w:rsid w:val="00DE6973"/>
    <w:rsid w:val="00DE6BB9"/>
    <w:rsid w:val="00DE6E8D"/>
    <w:rsid w:val="00DE7F62"/>
    <w:rsid w:val="00DF1FC7"/>
    <w:rsid w:val="00DF229B"/>
    <w:rsid w:val="00DF2896"/>
    <w:rsid w:val="00DF2A1C"/>
    <w:rsid w:val="00DF4696"/>
    <w:rsid w:val="00DF5169"/>
    <w:rsid w:val="00DF55F7"/>
    <w:rsid w:val="00DF791F"/>
    <w:rsid w:val="00DF7D35"/>
    <w:rsid w:val="00E005E4"/>
    <w:rsid w:val="00E005F8"/>
    <w:rsid w:val="00E01756"/>
    <w:rsid w:val="00E02410"/>
    <w:rsid w:val="00E02F43"/>
    <w:rsid w:val="00E055FB"/>
    <w:rsid w:val="00E056F5"/>
    <w:rsid w:val="00E05F46"/>
    <w:rsid w:val="00E0698F"/>
    <w:rsid w:val="00E069DC"/>
    <w:rsid w:val="00E07038"/>
    <w:rsid w:val="00E11BBB"/>
    <w:rsid w:val="00E127D0"/>
    <w:rsid w:val="00E128EB"/>
    <w:rsid w:val="00E12A56"/>
    <w:rsid w:val="00E131EC"/>
    <w:rsid w:val="00E1329A"/>
    <w:rsid w:val="00E13A77"/>
    <w:rsid w:val="00E1414F"/>
    <w:rsid w:val="00E160B9"/>
    <w:rsid w:val="00E16B95"/>
    <w:rsid w:val="00E17F1E"/>
    <w:rsid w:val="00E20349"/>
    <w:rsid w:val="00E2166A"/>
    <w:rsid w:val="00E2301A"/>
    <w:rsid w:val="00E25DB4"/>
    <w:rsid w:val="00E2656B"/>
    <w:rsid w:val="00E27A02"/>
    <w:rsid w:val="00E30594"/>
    <w:rsid w:val="00E3093A"/>
    <w:rsid w:val="00E315AB"/>
    <w:rsid w:val="00E337FA"/>
    <w:rsid w:val="00E33C7A"/>
    <w:rsid w:val="00E34CE9"/>
    <w:rsid w:val="00E358F4"/>
    <w:rsid w:val="00E35F84"/>
    <w:rsid w:val="00E368DB"/>
    <w:rsid w:val="00E36D6D"/>
    <w:rsid w:val="00E36E40"/>
    <w:rsid w:val="00E37747"/>
    <w:rsid w:val="00E37FA0"/>
    <w:rsid w:val="00E37FF2"/>
    <w:rsid w:val="00E40283"/>
    <w:rsid w:val="00E402DC"/>
    <w:rsid w:val="00E41644"/>
    <w:rsid w:val="00E41B51"/>
    <w:rsid w:val="00E420F8"/>
    <w:rsid w:val="00E421B9"/>
    <w:rsid w:val="00E42FCB"/>
    <w:rsid w:val="00E45274"/>
    <w:rsid w:val="00E45D74"/>
    <w:rsid w:val="00E45F6A"/>
    <w:rsid w:val="00E463B3"/>
    <w:rsid w:val="00E46AF6"/>
    <w:rsid w:val="00E4735C"/>
    <w:rsid w:val="00E47DBC"/>
    <w:rsid w:val="00E502FD"/>
    <w:rsid w:val="00E50481"/>
    <w:rsid w:val="00E506D1"/>
    <w:rsid w:val="00E51955"/>
    <w:rsid w:val="00E519D3"/>
    <w:rsid w:val="00E51B9B"/>
    <w:rsid w:val="00E531B2"/>
    <w:rsid w:val="00E5376A"/>
    <w:rsid w:val="00E53D1A"/>
    <w:rsid w:val="00E56748"/>
    <w:rsid w:val="00E56992"/>
    <w:rsid w:val="00E60501"/>
    <w:rsid w:val="00E60F25"/>
    <w:rsid w:val="00E6156D"/>
    <w:rsid w:val="00E620F2"/>
    <w:rsid w:val="00E630FB"/>
    <w:rsid w:val="00E6332E"/>
    <w:rsid w:val="00E64FFE"/>
    <w:rsid w:val="00E655A3"/>
    <w:rsid w:val="00E65C89"/>
    <w:rsid w:val="00E65D24"/>
    <w:rsid w:val="00E67194"/>
    <w:rsid w:val="00E671D3"/>
    <w:rsid w:val="00E673B7"/>
    <w:rsid w:val="00E70061"/>
    <w:rsid w:val="00E70CB3"/>
    <w:rsid w:val="00E717AE"/>
    <w:rsid w:val="00E72080"/>
    <w:rsid w:val="00E72179"/>
    <w:rsid w:val="00E7217D"/>
    <w:rsid w:val="00E7274F"/>
    <w:rsid w:val="00E7479F"/>
    <w:rsid w:val="00E74BBD"/>
    <w:rsid w:val="00E75A52"/>
    <w:rsid w:val="00E77102"/>
    <w:rsid w:val="00E7732A"/>
    <w:rsid w:val="00E77679"/>
    <w:rsid w:val="00E8012C"/>
    <w:rsid w:val="00E80308"/>
    <w:rsid w:val="00E8157B"/>
    <w:rsid w:val="00E81DA3"/>
    <w:rsid w:val="00E821D0"/>
    <w:rsid w:val="00E828CA"/>
    <w:rsid w:val="00E8341F"/>
    <w:rsid w:val="00E843B3"/>
    <w:rsid w:val="00E87884"/>
    <w:rsid w:val="00E87C4A"/>
    <w:rsid w:val="00E900C5"/>
    <w:rsid w:val="00E90170"/>
    <w:rsid w:val="00E9145B"/>
    <w:rsid w:val="00E92237"/>
    <w:rsid w:val="00E922D3"/>
    <w:rsid w:val="00E92E39"/>
    <w:rsid w:val="00E936E6"/>
    <w:rsid w:val="00E93B72"/>
    <w:rsid w:val="00E942A8"/>
    <w:rsid w:val="00E94916"/>
    <w:rsid w:val="00E96349"/>
    <w:rsid w:val="00E973DC"/>
    <w:rsid w:val="00EA015D"/>
    <w:rsid w:val="00EA01C4"/>
    <w:rsid w:val="00EA04CE"/>
    <w:rsid w:val="00EA0D9C"/>
    <w:rsid w:val="00EA16B2"/>
    <w:rsid w:val="00EA3359"/>
    <w:rsid w:val="00EA46E5"/>
    <w:rsid w:val="00EA51F4"/>
    <w:rsid w:val="00EA5438"/>
    <w:rsid w:val="00EA56B4"/>
    <w:rsid w:val="00EA6AFC"/>
    <w:rsid w:val="00EA7B14"/>
    <w:rsid w:val="00EB0B5D"/>
    <w:rsid w:val="00EB1DE1"/>
    <w:rsid w:val="00EB23BB"/>
    <w:rsid w:val="00EB2BF3"/>
    <w:rsid w:val="00EB30C9"/>
    <w:rsid w:val="00EB3EE9"/>
    <w:rsid w:val="00EB5063"/>
    <w:rsid w:val="00EB5283"/>
    <w:rsid w:val="00EB6215"/>
    <w:rsid w:val="00EB7125"/>
    <w:rsid w:val="00EB7975"/>
    <w:rsid w:val="00EB7985"/>
    <w:rsid w:val="00EC030A"/>
    <w:rsid w:val="00EC18A3"/>
    <w:rsid w:val="00EC292A"/>
    <w:rsid w:val="00EC3304"/>
    <w:rsid w:val="00EC4261"/>
    <w:rsid w:val="00EC50DB"/>
    <w:rsid w:val="00EC545A"/>
    <w:rsid w:val="00EC566A"/>
    <w:rsid w:val="00EC5769"/>
    <w:rsid w:val="00EC587C"/>
    <w:rsid w:val="00EC6891"/>
    <w:rsid w:val="00EC69F3"/>
    <w:rsid w:val="00EC6AF3"/>
    <w:rsid w:val="00EC6AF7"/>
    <w:rsid w:val="00ED1346"/>
    <w:rsid w:val="00ED2AFF"/>
    <w:rsid w:val="00ED2D3A"/>
    <w:rsid w:val="00ED2EC0"/>
    <w:rsid w:val="00ED50E0"/>
    <w:rsid w:val="00ED5169"/>
    <w:rsid w:val="00ED5986"/>
    <w:rsid w:val="00ED5EC8"/>
    <w:rsid w:val="00ED70CE"/>
    <w:rsid w:val="00EE0744"/>
    <w:rsid w:val="00EE26D8"/>
    <w:rsid w:val="00EE32B4"/>
    <w:rsid w:val="00EE3A41"/>
    <w:rsid w:val="00EE3FC6"/>
    <w:rsid w:val="00EE623A"/>
    <w:rsid w:val="00EE65F0"/>
    <w:rsid w:val="00EE6B93"/>
    <w:rsid w:val="00EE781F"/>
    <w:rsid w:val="00EE7D6E"/>
    <w:rsid w:val="00EF05D4"/>
    <w:rsid w:val="00EF1298"/>
    <w:rsid w:val="00EF1920"/>
    <w:rsid w:val="00EF1F61"/>
    <w:rsid w:val="00EF3440"/>
    <w:rsid w:val="00EF3920"/>
    <w:rsid w:val="00EF3D52"/>
    <w:rsid w:val="00EF4AC9"/>
    <w:rsid w:val="00EF54D6"/>
    <w:rsid w:val="00EF5908"/>
    <w:rsid w:val="00EF5EB5"/>
    <w:rsid w:val="00EF73D3"/>
    <w:rsid w:val="00F00CFB"/>
    <w:rsid w:val="00F00D6E"/>
    <w:rsid w:val="00F00F91"/>
    <w:rsid w:val="00F01085"/>
    <w:rsid w:val="00F02C31"/>
    <w:rsid w:val="00F03EC9"/>
    <w:rsid w:val="00F0433B"/>
    <w:rsid w:val="00F05371"/>
    <w:rsid w:val="00F05932"/>
    <w:rsid w:val="00F05BF8"/>
    <w:rsid w:val="00F06302"/>
    <w:rsid w:val="00F10E6D"/>
    <w:rsid w:val="00F10EC9"/>
    <w:rsid w:val="00F10F52"/>
    <w:rsid w:val="00F111E2"/>
    <w:rsid w:val="00F11272"/>
    <w:rsid w:val="00F11CB8"/>
    <w:rsid w:val="00F16D9B"/>
    <w:rsid w:val="00F17B49"/>
    <w:rsid w:val="00F2088C"/>
    <w:rsid w:val="00F20CB1"/>
    <w:rsid w:val="00F21437"/>
    <w:rsid w:val="00F228CC"/>
    <w:rsid w:val="00F23934"/>
    <w:rsid w:val="00F24155"/>
    <w:rsid w:val="00F242D6"/>
    <w:rsid w:val="00F24865"/>
    <w:rsid w:val="00F24B07"/>
    <w:rsid w:val="00F25535"/>
    <w:rsid w:val="00F25739"/>
    <w:rsid w:val="00F25E5B"/>
    <w:rsid w:val="00F2713B"/>
    <w:rsid w:val="00F3009B"/>
    <w:rsid w:val="00F304D3"/>
    <w:rsid w:val="00F30E04"/>
    <w:rsid w:val="00F3121E"/>
    <w:rsid w:val="00F319DD"/>
    <w:rsid w:val="00F31CC8"/>
    <w:rsid w:val="00F32A74"/>
    <w:rsid w:val="00F3518B"/>
    <w:rsid w:val="00F36BC1"/>
    <w:rsid w:val="00F40547"/>
    <w:rsid w:val="00F408BD"/>
    <w:rsid w:val="00F4189D"/>
    <w:rsid w:val="00F4216F"/>
    <w:rsid w:val="00F42314"/>
    <w:rsid w:val="00F42730"/>
    <w:rsid w:val="00F42C01"/>
    <w:rsid w:val="00F432AB"/>
    <w:rsid w:val="00F436D9"/>
    <w:rsid w:val="00F43704"/>
    <w:rsid w:val="00F43D55"/>
    <w:rsid w:val="00F44F3A"/>
    <w:rsid w:val="00F4536A"/>
    <w:rsid w:val="00F45FE8"/>
    <w:rsid w:val="00F46503"/>
    <w:rsid w:val="00F46DCE"/>
    <w:rsid w:val="00F473BA"/>
    <w:rsid w:val="00F478EC"/>
    <w:rsid w:val="00F47991"/>
    <w:rsid w:val="00F47E28"/>
    <w:rsid w:val="00F50061"/>
    <w:rsid w:val="00F50388"/>
    <w:rsid w:val="00F50F89"/>
    <w:rsid w:val="00F51339"/>
    <w:rsid w:val="00F52FD2"/>
    <w:rsid w:val="00F531DC"/>
    <w:rsid w:val="00F53748"/>
    <w:rsid w:val="00F538CF"/>
    <w:rsid w:val="00F53CE0"/>
    <w:rsid w:val="00F53F9F"/>
    <w:rsid w:val="00F541BD"/>
    <w:rsid w:val="00F547A3"/>
    <w:rsid w:val="00F56282"/>
    <w:rsid w:val="00F56C06"/>
    <w:rsid w:val="00F57096"/>
    <w:rsid w:val="00F57A3D"/>
    <w:rsid w:val="00F62698"/>
    <w:rsid w:val="00F635AD"/>
    <w:rsid w:val="00F63964"/>
    <w:rsid w:val="00F64D8B"/>
    <w:rsid w:val="00F654E0"/>
    <w:rsid w:val="00F66750"/>
    <w:rsid w:val="00F7014C"/>
    <w:rsid w:val="00F70B1F"/>
    <w:rsid w:val="00F70E1F"/>
    <w:rsid w:val="00F70F85"/>
    <w:rsid w:val="00F71B96"/>
    <w:rsid w:val="00F72435"/>
    <w:rsid w:val="00F72595"/>
    <w:rsid w:val="00F72AFF"/>
    <w:rsid w:val="00F74821"/>
    <w:rsid w:val="00F75C41"/>
    <w:rsid w:val="00F764FC"/>
    <w:rsid w:val="00F76862"/>
    <w:rsid w:val="00F7778B"/>
    <w:rsid w:val="00F77970"/>
    <w:rsid w:val="00F77B0D"/>
    <w:rsid w:val="00F8102D"/>
    <w:rsid w:val="00F81090"/>
    <w:rsid w:val="00F834F9"/>
    <w:rsid w:val="00F867BA"/>
    <w:rsid w:val="00F87897"/>
    <w:rsid w:val="00F87B63"/>
    <w:rsid w:val="00F90271"/>
    <w:rsid w:val="00F90340"/>
    <w:rsid w:val="00F9289A"/>
    <w:rsid w:val="00F92DF7"/>
    <w:rsid w:val="00F948FB"/>
    <w:rsid w:val="00F94E1A"/>
    <w:rsid w:val="00F9509D"/>
    <w:rsid w:val="00F96273"/>
    <w:rsid w:val="00F97D05"/>
    <w:rsid w:val="00FA09AF"/>
    <w:rsid w:val="00FA1124"/>
    <w:rsid w:val="00FA3E38"/>
    <w:rsid w:val="00FA5545"/>
    <w:rsid w:val="00FA55AA"/>
    <w:rsid w:val="00FA615E"/>
    <w:rsid w:val="00FA7101"/>
    <w:rsid w:val="00FA7739"/>
    <w:rsid w:val="00FB0547"/>
    <w:rsid w:val="00FB2FDD"/>
    <w:rsid w:val="00FB3BDC"/>
    <w:rsid w:val="00FB3FD7"/>
    <w:rsid w:val="00FB62BE"/>
    <w:rsid w:val="00FB6386"/>
    <w:rsid w:val="00FC2555"/>
    <w:rsid w:val="00FC45A8"/>
    <w:rsid w:val="00FC50D4"/>
    <w:rsid w:val="00FC58B7"/>
    <w:rsid w:val="00FC715B"/>
    <w:rsid w:val="00FC7E02"/>
    <w:rsid w:val="00FD16BD"/>
    <w:rsid w:val="00FD37B5"/>
    <w:rsid w:val="00FD3FDC"/>
    <w:rsid w:val="00FD4757"/>
    <w:rsid w:val="00FD4CB9"/>
    <w:rsid w:val="00FD4EE7"/>
    <w:rsid w:val="00FD5DF1"/>
    <w:rsid w:val="00FD7FE0"/>
    <w:rsid w:val="00FE0699"/>
    <w:rsid w:val="00FE15E9"/>
    <w:rsid w:val="00FE1F46"/>
    <w:rsid w:val="00FE2721"/>
    <w:rsid w:val="00FE2AE4"/>
    <w:rsid w:val="00FE369B"/>
    <w:rsid w:val="00FE3C4B"/>
    <w:rsid w:val="00FE42F8"/>
    <w:rsid w:val="00FE5262"/>
    <w:rsid w:val="00FE55CF"/>
    <w:rsid w:val="00FE6BCF"/>
    <w:rsid w:val="00FF0D3D"/>
    <w:rsid w:val="00FF1DA5"/>
    <w:rsid w:val="00FF1FE6"/>
    <w:rsid w:val="00FF6B63"/>
    <w:rsid w:val="00FF7081"/>
    <w:rsid w:val="00FF7D18"/>
    <w:rsid w:val="00FF7E08"/>
    <w:rsid w:val="01101FB2"/>
    <w:rsid w:val="017634E4"/>
    <w:rsid w:val="01934780"/>
    <w:rsid w:val="01964F5F"/>
    <w:rsid w:val="01A912DA"/>
    <w:rsid w:val="01A95359"/>
    <w:rsid w:val="01B55D76"/>
    <w:rsid w:val="01B65D6B"/>
    <w:rsid w:val="020F3E3B"/>
    <w:rsid w:val="025C7268"/>
    <w:rsid w:val="026B5620"/>
    <w:rsid w:val="02BD720C"/>
    <w:rsid w:val="034A7CBD"/>
    <w:rsid w:val="035E6E25"/>
    <w:rsid w:val="03990047"/>
    <w:rsid w:val="03C13F1E"/>
    <w:rsid w:val="03D87216"/>
    <w:rsid w:val="04150238"/>
    <w:rsid w:val="04377A82"/>
    <w:rsid w:val="043D37F9"/>
    <w:rsid w:val="04660CC5"/>
    <w:rsid w:val="04AD5DE2"/>
    <w:rsid w:val="052B1173"/>
    <w:rsid w:val="052B2120"/>
    <w:rsid w:val="053346E4"/>
    <w:rsid w:val="05377290"/>
    <w:rsid w:val="056D438D"/>
    <w:rsid w:val="059C5A3C"/>
    <w:rsid w:val="05BF112B"/>
    <w:rsid w:val="05E6612A"/>
    <w:rsid w:val="061D6D0E"/>
    <w:rsid w:val="06500E17"/>
    <w:rsid w:val="0665030C"/>
    <w:rsid w:val="06D1214A"/>
    <w:rsid w:val="06DD17AE"/>
    <w:rsid w:val="079165AE"/>
    <w:rsid w:val="07C301EB"/>
    <w:rsid w:val="07C93273"/>
    <w:rsid w:val="07CF5DE6"/>
    <w:rsid w:val="07D465AB"/>
    <w:rsid w:val="08F83AB5"/>
    <w:rsid w:val="09146933"/>
    <w:rsid w:val="09A339CE"/>
    <w:rsid w:val="09F2640F"/>
    <w:rsid w:val="0A067C3B"/>
    <w:rsid w:val="0A461507"/>
    <w:rsid w:val="0A7E43E7"/>
    <w:rsid w:val="0A887B1D"/>
    <w:rsid w:val="0AB36C6B"/>
    <w:rsid w:val="0AD67115"/>
    <w:rsid w:val="0ADE38FD"/>
    <w:rsid w:val="0B217CEC"/>
    <w:rsid w:val="0B3E7C46"/>
    <w:rsid w:val="0B466938"/>
    <w:rsid w:val="0B8230A3"/>
    <w:rsid w:val="0BB43C70"/>
    <w:rsid w:val="0BE5207C"/>
    <w:rsid w:val="0BFB1AD5"/>
    <w:rsid w:val="0C2C7CAB"/>
    <w:rsid w:val="0C721436"/>
    <w:rsid w:val="0D037946"/>
    <w:rsid w:val="0D6D7196"/>
    <w:rsid w:val="0DFA2BFE"/>
    <w:rsid w:val="0E170C4C"/>
    <w:rsid w:val="0E4D64C8"/>
    <w:rsid w:val="0E9B7F18"/>
    <w:rsid w:val="0EDC547B"/>
    <w:rsid w:val="0F443124"/>
    <w:rsid w:val="0F5D5185"/>
    <w:rsid w:val="0F640E0F"/>
    <w:rsid w:val="0F734171"/>
    <w:rsid w:val="0FE95324"/>
    <w:rsid w:val="10370A0C"/>
    <w:rsid w:val="10A83EEB"/>
    <w:rsid w:val="10AD2502"/>
    <w:rsid w:val="10FB7B84"/>
    <w:rsid w:val="113F562E"/>
    <w:rsid w:val="11983F16"/>
    <w:rsid w:val="119E69F0"/>
    <w:rsid w:val="11B35AC0"/>
    <w:rsid w:val="11E569CB"/>
    <w:rsid w:val="12691182"/>
    <w:rsid w:val="12BF47A5"/>
    <w:rsid w:val="12D521DD"/>
    <w:rsid w:val="12D839D1"/>
    <w:rsid w:val="12E804D5"/>
    <w:rsid w:val="13215580"/>
    <w:rsid w:val="132650F8"/>
    <w:rsid w:val="133576D0"/>
    <w:rsid w:val="134F0723"/>
    <w:rsid w:val="136452C0"/>
    <w:rsid w:val="13B710B6"/>
    <w:rsid w:val="13E12710"/>
    <w:rsid w:val="142A4914"/>
    <w:rsid w:val="144638D4"/>
    <w:rsid w:val="145204CA"/>
    <w:rsid w:val="14667AD2"/>
    <w:rsid w:val="14800779"/>
    <w:rsid w:val="14AB38D4"/>
    <w:rsid w:val="15260D9B"/>
    <w:rsid w:val="15504E1F"/>
    <w:rsid w:val="156F4137"/>
    <w:rsid w:val="157D7A67"/>
    <w:rsid w:val="164C2821"/>
    <w:rsid w:val="16CE53F5"/>
    <w:rsid w:val="181300B2"/>
    <w:rsid w:val="18296142"/>
    <w:rsid w:val="183C1F53"/>
    <w:rsid w:val="18826EA4"/>
    <w:rsid w:val="188A5A9D"/>
    <w:rsid w:val="18C56D3B"/>
    <w:rsid w:val="19467A57"/>
    <w:rsid w:val="19571313"/>
    <w:rsid w:val="196C04EF"/>
    <w:rsid w:val="199C7AF2"/>
    <w:rsid w:val="19A54BF8"/>
    <w:rsid w:val="19D779EC"/>
    <w:rsid w:val="19E219ED"/>
    <w:rsid w:val="1A180016"/>
    <w:rsid w:val="1A3259AD"/>
    <w:rsid w:val="1AAE72A7"/>
    <w:rsid w:val="1B045195"/>
    <w:rsid w:val="1B053056"/>
    <w:rsid w:val="1B397A1B"/>
    <w:rsid w:val="1B3E5629"/>
    <w:rsid w:val="1C1451B2"/>
    <w:rsid w:val="1C2629F1"/>
    <w:rsid w:val="1C517F83"/>
    <w:rsid w:val="1D6152DA"/>
    <w:rsid w:val="1DA13929"/>
    <w:rsid w:val="1DE972FF"/>
    <w:rsid w:val="1E343343"/>
    <w:rsid w:val="1E3A477C"/>
    <w:rsid w:val="1E8C1A6C"/>
    <w:rsid w:val="1EF415B4"/>
    <w:rsid w:val="1F1E2ECE"/>
    <w:rsid w:val="1F2F5AB3"/>
    <w:rsid w:val="1F551ED9"/>
    <w:rsid w:val="1F8C4B9B"/>
    <w:rsid w:val="20BC03EC"/>
    <w:rsid w:val="21034449"/>
    <w:rsid w:val="21470C8B"/>
    <w:rsid w:val="215658B1"/>
    <w:rsid w:val="216E084E"/>
    <w:rsid w:val="218218B5"/>
    <w:rsid w:val="219A4905"/>
    <w:rsid w:val="22173671"/>
    <w:rsid w:val="229248DE"/>
    <w:rsid w:val="22BA1565"/>
    <w:rsid w:val="22C228CF"/>
    <w:rsid w:val="231177A3"/>
    <w:rsid w:val="232C7111"/>
    <w:rsid w:val="234467AB"/>
    <w:rsid w:val="237F4FDE"/>
    <w:rsid w:val="23DD77DA"/>
    <w:rsid w:val="240A3215"/>
    <w:rsid w:val="24225221"/>
    <w:rsid w:val="24763AB7"/>
    <w:rsid w:val="25020536"/>
    <w:rsid w:val="256C0CC0"/>
    <w:rsid w:val="25732620"/>
    <w:rsid w:val="25A97A85"/>
    <w:rsid w:val="260449B7"/>
    <w:rsid w:val="26107771"/>
    <w:rsid w:val="261B0AA7"/>
    <w:rsid w:val="26860885"/>
    <w:rsid w:val="270C6416"/>
    <w:rsid w:val="27441CC8"/>
    <w:rsid w:val="27481510"/>
    <w:rsid w:val="27532138"/>
    <w:rsid w:val="278B6C42"/>
    <w:rsid w:val="27A94840"/>
    <w:rsid w:val="27AC56E3"/>
    <w:rsid w:val="281D3FE9"/>
    <w:rsid w:val="286979D7"/>
    <w:rsid w:val="28E107A2"/>
    <w:rsid w:val="29960B9A"/>
    <w:rsid w:val="29DE56A7"/>
    <w:rsid w:val="2A30050E"/>
    <w:rsid w:val="2A334FBD"/>
    <w:rsid w:val="2B245020"/>
    <w:rsid w:val="2B5F363F"/>
    <w:rsid w:val="2B634FBD"/>
    <w:rsid w:val="2BC5737C"/>
    <w:rsid w:val="2C1B212E"/>
    <w:rsid w:val="2C362F15"/>
    <w:rsid w:val="2C642F06"/>
    <w:rsid w:val="2CE84257"/>
    <w:rsid w:val="2CEA2B1A"/>
    <w:rsid w:val="2D0F4C2F"/>
    <w:rsid w:val="2D272BBA"/>
    <w:rsid w:val="2D6107C2"/>
    <w:rsid w:val="2E8801EE"/>
    <w:rsid w:val="2E980D78"/>
    <w:rsid w:val="2EDF1E7E"/>
    <w:rsid w:val="2EF531C6"/>
    <w:rsid w:val="2F805A94"/>
    <w:rsid w:val="2FD440C0"/>
    <w:rsid w:val="304F2588"/>
    <w:rsid w:val="30943D2F"/>
    <w:rsid w:val="30B24204"/>
    <w:rsid w:val="30E14F91"/>
    <w:rsid w:val="30EF5831"/>
    <w:rsid w:val="31211E57"/>
    <w:rsid w:val="312F519A"/>
    <w:rsid w:val="315630D5"/>
    <w:rsid w:val="31740BD8"/>
    <w:rsid w:val="32C61150"/>
    <w:rsid w:val="32D721E1"/>
    <w:rsid w:val="32EE71B8"/>
    <w:rsid w:val="32EF5E01"/>
    <w:rsid w:val="33445128"/>
    <w:rsid w:val="3367054F"/>
    <w:rsid w:val="33904F7E"/>
    <w:rsid w:val="342237CC"/>
    <w:rsid w:val="345F02AE"/>
    <w:rsid w:val="348C4B17"/>
    <w:rsid w:val="34930D92"/>
    <w:rsid w:val="350D5DEE"/>
    <w:rsid w:val="35164262"/>
    <w:rsid w:val="351D5B33"/>
    <w:rsid w:val="35266411"/>
    <w:rsid w:val="353D343A"/>
    <w:rsid w:val="35A41005"/>
    <w:rsid w:val="35A973C7"/>
    <w:rsid w:val="35C24816"/>
    <w:rsid w:val="35D83D05"/>
    <w:rsid w:val="36985DB9"/>
    <w:rsid w:val="369B7EDF"/>
    <w:rsid w:val="37465815"/>
    <w:rsid w:val="38237904"/>
    <w:rsid w:val="388C36FB"/>
    <w:rsid w:val="38B7004D"/>
    <w:rsid w:val="3907635F"/>
    <w:rsid w:val="399A5379"/>
    <w:rsid w:val="3A266863"/>
    <w:rsid w:val="3ABC00D6"/>
    <w:rsid w:val="3B003F2D"/>
    <w:rsid w:val="3BA94498"/>
    <w:rsid w:val="3BBF0315"/>
    <w:rsid w:val="3BF57A7D"/>
    <w:rsid w:val="3C1622DD"/>
    <w:rsid w:val="3C1A012A"/>
    <w:rsid w:val="3C29411D"/>
    <w:rsid w:val="3CF01EC4"/>
    <w:rsid w:val="3CF25AF7"/>
    <w:rsid w:val="3D277BF5"/>
    <w:rsid w:val="3D6407A3"/>
    <w:rsid w:val="3DB30D52"/>
    <w:rsid w:val="3DC12254"/>
    <w:rsid w:val="3DD97C8D"/>
    <w:rsid w:val="3DEE79A0"/>
    <w:rsid w:val="3DF53AF1"/>
    <w:rsid w:val="3DFC6C2D"/>
    <w:rsid w:val="3E366731"/>
    <w:rsid w:val="3E4F22C8"/>
    <w:rsid w:val="3E7F135B"/>
    <w:rsid w:val="3E993FCC"/>
    <w:rsid w:val="3EA177D5"/>
    <w:rsid w:val="3F2C52F0"/>
    <w:rsid w:val="3F431BC8"/>
    <w:rsid w:val="3F4D655A"/>
    <w:rsid w:val="3F6E1259"/>
    <w:rsid w:val="3FE26263"/>
    <w:rsid w:val="3FE90322"/>
    <w:rsid w:val="3FF971C0"/>
    <w:rsid w:val="408420BB"/>
    <w:rsid w:val="40A91388"/>
    <w:rsid w:val="40FE73AD"/>
    <w:rsid w:val="41565937"/>
    <w:rsid w:val="41C06A10"/>
    <w:rsid w:val="41D00779"/>
    <w:rsid w:val="42826FDF"/>
    <w:rsid w:val="42C27D1A"/>
    <w:rsid w:val="42C47578"/>
    <w:rsid w:val="42E9148A"/>
    <w:rsid w:val="42ED3B6B"/>
    <w:rsid w:val="43137B46"/>
    <w:rsid w:val="43831F55"/>
    <w:rsid w:val="43DD305D"/>
    <w:rsid w:val="43EC7FC3"/>
    <w:rsid w:val="441B5AA4"/>
    <w:rsid w:val="44297E41"/>
    <w:rsid w:val="44374290"/>
    <w:rsid w:val="445D36B1"/>
    <w:rsid w:val="44675A0E"/>
    <w:rsid w:val="44B37668"/>
    <w:rsid w:val="44CC56D0"/>
    <w:rsid w:val="44F94751"/>
    <w:rsid w:val="45502E52"/>
    <w:rsid w:val="456D0411"/>
    <w:rsid w:val="45EC031F"/>
    <w:rsid w:val="464949DA"/>
    <w:rsid w:val="46C91677"/>
    <w:rsid w:val="480B4BFD"/>
    <w:rsid w:val="48F05286"/>
    <w:rsid w:val="490A030F"/>
    <w:rsid w:val="49150C4C"/>
    <w:rsid w:val="498875C7"/>
    <w:rsid w:val="49A716A5"/>
    <w:rsid w:val="49B57605"/>
    <w:rsid w:val="49F70BF1"/>
    <w:rsid w:val="4A312982"/>
    <w:rsid w:val="4A875F18"/>
    <w:rsid w:val="4AA246B9"/>
    <w:rsid w:val="4AF37504"/>
    <w:rsid w:val="4B07535B"/>
    <w:rsid w:val="4B1F5161"/>
    <w:rsid w:val="4B6B5764"/>
    <w:rsid w:val="4B885FA4"/>
    <w:rsid w:val="4BD22001"/>
    <w:rsid w:val="4C011E0F"/>
    <w:rsid w:val="4C4902C6"/>
    <w:rsid w:val="4C51283A"/>
    <w:rsid w:val="4C603682"/>
    <w:rsid w:val="4C707265"/>
    <w:rsid w:val="4D7E7F26"/>
    <w:rsid w:val="4E600B13"/>
    <w:rsid w:val="4ED82D9F"/>
    <w:rsid w:val="4EFA5CAC"/>
    <w:rsid w:val="4F72505A"/>
    <w:rsid w:val="4F9F0519"/>
    <w:rsid w:val="50002380"/>
    <w:rsid w:val="507054E7"/>
    <w:rsid w:val="5080101B"/>
    <w:rsid w:val="50B14EE7"/>
    <w:rsid w:val="513749B3"/>
    <w:rsid w:val="515672E9"/>
    <w:rsid w:val="51915487"/>
    <w:rsid w:val="51976B08"/>
    <w:rsid w:val="524A26A8"/>
    <w:rsid w:val="526E7576"/>
    <w:rsid w:val="52727066"/>
    <w:rsid w:val="52C75604"/>
    <w:rsid w:val="530118C8"/>
    <w:rsid w:val="535B5689"/>
    <w:rsid w:val="536310C8"/>
    <w:rsid w:val="53634611"/>
    <w:rsid w:val="53723378"/>
    <w:rsid w:val="549040FD"/>
    <w:rsid w:val="54B212EF"/>
    <w:rsid w:val="54E7744E"/>
    <w:rsid w:val="550C37A2"/>
    <w:rsid w:val="55277EAD"/>
    <w:rsid w:val="554276CD"/>
    <w:rsid w:val="555E3E29"/>
    <w:rsid w:val="55CA4039"/>
    <w:rsid w:val="55DD6F17"/>
    <w:rsid w:val="56443294"/>
    <w:rsid w:val="56AE1205"/>
    <w:rsid w:val="570F757A"/>
    <w:rsid w:val="571B5BC7"/>
    <w:rsid w:val="57474BE1"/>
    <w:rsid w:val="575A1C9E"/>
    <w:rsid w:val="581773DC"/>
    <w:rsid w:val="58287414"/>
    <w:rsid w:val="58E73F74"/>
    <w:rsid w:val="592F3F03"/>
    <w:rsid w:val="59582C6C"/>
    <w:rsid w:val="59BA0405"/>
    <w:rsid w:val="59C363FA"/>
    <w:rsid w:val="59CF33D3"/>
    <w:rsid w:val="59EF71EF"/>
    <w:rsid w:val="5A81165A"/>
    <w:rsid w:val="5AB126F6"/>
    <w:rsid w:val="5B0B12A0"/>
    <w:rsid w:val="5B1433B1"/>
    <w:rsid w:val="5BA81D4B"/>
    <w:rsid w:val="5CBA7B22"/>
    <w:rsid w:val="5CE2702C"/>
    <w:rsid w:val="5D564D52"/>
    <w:rsid w:val="5D743B69"/>
    <w:rsid w:val="5DA073D4"/>
    <w:rsid w:val="5DB04DB9"/>
    <w:rsid w:val="5E0019CA"/>
    <w:rsid w:val="5E0B591A"/>
    <w:rsid w:val="5E7238AF"/>
    <w:rsid w:val="5E817C29"/>
    <w:rsid w:val="5E842182"/>
    <w:rsid w:val="5E8B6BF7"/>
    <w:rsid w:val="5E9F292F"/>
    <w:rsid w:val="5ECC0D90"/>
    <w:rsid w:val="5ECE050B"/>
    <w:rsid w:val="5EF06D5F"/>
    <w:rsid w:val="5EFC4888"/>
    <w:rsid w:val="5F1E3693"/>
    <w:rsid w:val="5F1E7164"/>
    <w:rsid w:val="5F364B05"/>
    <w:rsid w:val="5FAA1D1A"/>
    <w:rsid w:val="5FFF2150"/>
    <w:rsid w:val="60823F80"/>
    <w:rsid w:val="60931857"/>
    <w:rsid w:val="60A76942"/>
    <w:rsid w:val="60AE4E44"/>
    <w:rsid w:val="60E761A9"/>
    <w:rsid w:val="61FA4AD9"/>
    <w:rsid w:val="620263AB"/>
    <w:rsid w:val="623D36E3"/>
    <w:rsid w:val="62B31701"/>
    <w:rsid w:val="62CA4B8F"/>
    <w:rsid w:val="62F04081"/>
    <w:rsid w:val="631E5CAD"/>
    <w:rsid w:val="63520F1A"/>
    <w:rsid w:val="63725D0E"/>
    <w:rsid w:val="638A31EC"/>
    <w:rsid w:val="639018D1"/>
    <w:rsid w:val="639237D7"/>
    <w:rsid w:val="649D0C50"/>
    <w:rsid w:val="64C6241A"/>
    <w:rsid w:val="64ED3A58"/>
    <w:rsid w:val="64F8789F"/>
    <w:rsid w:val="650E4DE5"/>
    <w:rsid w:val="6571230A"/>
    <w:rsid w:val="65884052"/>
    <w:rsid w:val="65A23E19"/>
    <w:rsid w:val="65A2780B"/>
    <w:rsid w:val="65C77271"/>
    <w:rsid w:val="66D659BE"/>
    <w:rsid w:val="66EF6A80"/>
    <w:rsid w:val="677A3F77"/>
    <w:rsid w:val="67F02BEA"/>
    <w:rsid w:val="68253615"/>
    <w:rsid w:val="683C3F47"/>
    <w:rsid w:val="6906312E"/>
    <w:rsid w:val="69551F42"/>
    <w:rsid w:val="696372B1"/>
    <w:rsid w:val="6A085D71"/>
    <w:rsid w:val="6AAB2201"/>
    <w:rsid w:val="6ADA09FD"/>
    <w:rsid w:val="6AE74987"/>
    <w:rsid w:val="6AF74D12"/>
    <w:rsid w:val="6C0905E4"/>
    <w:rsid w:val="6C3A689C"/>
    <w:rsid w:val="6C6D6B9E"/>
    <w:rsid w:val="6C7F08A6"/>
    <w:rsid w:val="6D39454B"/>
    <w:rsid w:val="6D8B6DD7"/>
    <w:rsid w:val="6DD923E6"/>
    <w:rsid w:val="6DDA4344"/>
    <w:rsid w:val="6E023C70"/>
    <w:rsid w:val="6E2F78ED"/>
    <w:rsid w:val="6E4B6C92"/>
    <w:rsid w:val="6E524A75"/>
    <w:rsid w:val="6E671738"/>
    <w:rsid w:val="6E791EB6"/>
    <w:rsid w:val="6F712728"/>
    <w:rsid w:val="6F997EF4"/>
    <w:rsid w:val="6FEC4B98"/>
    <w:rsid w:val="6FF56708"/>
    <w:rsid w:val="71080E6A"/>
    <w:rsid w:val="71167885"/>
    <w:rsid w:val="71665975"/>
    <w:rsid w:val="718B6892"/>
    <w:rsid w:val="718D4B5B"/>
    <w:rsid w:val="71B06C42"/>
    <w:rsid w:val="71BA13EF"/>
    <w:rsid w:val="726E2F4F"/>
    <w:rsid w:val="72EE5E3E"/>
    <w:rsid w:val="730C0123"/>
    <w:rsid w:val="734B7734"/>
    <w:rsid w:val="73DF324D"/>
    <w:rsid w:val="73E515B6"/>
    <w:rsid w:val="74021661"/>
    <w:rsid w:val="741A51E1"/>
    <w:rsid w:val="747C597A"/>
    <w:rsid w:val="74D15B6D"/>
    <w:rsid w:val="75096549"/>
    <w:rsid w:val="75175B20"/>
    <w:rsid w:val="751834B0"/>
    <w:rsid w:val="752F5FFD"/>
    <w:rsid w:val="754742BA"/>
    <w:rsid w:val="754A769E"/>
    <w:rsid w:val="75770645"/>
    <w:rsid w:val="75972BB4"/>
    <w:rsid w:val="75A24B35"/>
    <w:rsid w:val="76676633"/>
    <w:rsid w:val="767A6F44"/>
    <w:rsid w:val="76A81442"/>
    <w:rsid w:val="76B04A9A"/>
    <w:rsid w:val="76C24CDC"/>
    <w:rsid w:val="775743C4"/>
    <w:rsid w:val="77D73344"/>
    <w:rsid w:val="781B5EA0"/>
    <w:rsid w:val="78540E39"/>
    <w:rsid w:val="788039DC"/>
    <w:rsid w:val="78B25EE0"/>
    <w:rsid w:val="78C532E7"/>
    <w:rsid w:val="7939370D"/>
    <w:rsid w:val="79C87163"/>
    <w:rsid w:val="79E852B0"/>
    <w:rsid w:val="7AE83ABA"/>
    <w:rsid w:val="7B1072F5"/>
    <w:rsid w:val="7B3A2568"/>
    <w:rsid w:val="7B476B4B"/>
    <w:rsid w:val="7B525CDA"/>
    <w:rsid w:val="7BA03361"/>
    <w:rsid w:val="7BA95770"/>
    <w:rsid w:val="7C201D9F"/>
    <w:rsid w:val="7C406E5D"/>
    <w:rsid w:val="7C484810"/>
    <w:rsid w:val="7C75591A"/>
    <w:rsid w:val="7C7D1645"/>
    <w:rsid w:val="7CDF6A4A"/>
    <w:rsid w:val="7D036989"/>
    <w:rsid w:val="7D0D3FA6"/>
    <w:rsid w:val="7DB87774"/>
    <w:rsid w:val="7DBA4644"/>
    <w:rsid w:val="7EA31417"/>
    <w:rsid w:val="7EFE5F4B"/>
    <w:rsid w:val="7F323556"/>
    <w:rsid w:val="7F62644E"/>
    <w:rsid w:val="7F934E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99"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2"/>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59"/>
    <w:qFormat/>
    <w:uiPriority w:val="9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99"/>
    <w:pPr>
      <w:keepNext/>
      <w:keepLines/>
      <w:spacing w:before="260" w:after="260" w:line="416" w:lineRule="auto"/>
      <w:outlineLvl w:val="2"/>
    </w:pPr>
    <w:rPr>
      <w:b/>
      <w:bCs/>
      <w:sz w:val="32"/>
      <w:szCs w:val="32"/>
    </w:rPr>
  </w:style>
  <w:style w:type="paragraph" w:styleId="2">
    <w:name w:val="heading 4"/>
    <w:basedOn w:val="1"/>
    <w:next w:val="1"/>
    <w:link w:val="63"/>
    <w:qFormat/>
    <w:uiPriority w:val="99"/>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64"/>
    <w:qFormat/>
    <w:uiPriority w:val="99"/>
    <w:pPr>
      <w:keepNext/>
      <w:keepLines/>
      <w:spacing w:before="280" w:after="290" w:line="376" w:lineRule="auto"/>
      <w:outlineLvl w:val="4"/>
    </w:pPr>
    <w:rPr>
      <w:b/>
      <w:bCs/>
      <w:sz w:val="28"/>
      <w:szCs w:val="28"/>
    </w:rPr>
  </w:style>
  <w:style w:type="paragraph" w:styleId="7">
    <w:name w:val="heading 6"/>
    <w:basedOn w:val="1"/>
    <w:next w:val="1"/>
    <w:link w:val="66"/>
    <w:qFormat/>
    <w:uiPriority w:val="9"/>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link w:val="67"/>
    <w:qFormat/>
    <w:uiPriority w:val="9"/>
    <w:pPr>
      <w:keepNext/>
      <w:keepLines/>
      <w:widowControl/>
      <w:tabs>
        <w:tab w:val="left" w:pos="2520"/>
      </w:tabs>
      <w:spacing w:before="240" w:after="64" w:line="320" w:lineRule="auto"/>
      <w:ind w:left="1296" w:hanging="1296"/>
      <w:jc w:val="left"/>
      <w:outlineLvl w:val="6"/>
    </w:pPr>
    <w:rPr>
      <w:b/>
      <w:bCs/>
      <w:kern w:val="0"/>
      <w:sz w:val="24"/>
    </w:rPr>
  </w:style>
  <w:style w:type="paragraph" w:styleId="9">
    <w:name w:val="heading 8"/>
    <w:basedOn w:val="1"/>
    <w:next w:val="1"/>
    <w:link w:val="68"/>
    <w:qFormat/>
    <w:uiPriority w:val="9"/>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link w:val="69"/>
    <w:qFormat/>
    <w:uiPriority w:val="9"/>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260"/>
      <w:jc w:val="left"/>
    </w:pPr>
    <w:rPr>
      <w:sz w:val="18"/>
      <w:szCs w:val="18"/>
    </w:rPr>
  </w:style>
  <w:style w:type="paragraph" w:styleId="12">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3">
    <w:name w:val="Normal Indent"/>
    <w:basedOn w:val="1"/>
    <w:qFormat/>
    <w:uiPriority w:val="99"/>
    <w:pPr>
      <w:widowControl/>
      <w:ind w:firstLine="420"/>
      <w:jc w:val="left"/>
    </w:pPr>
    <w:rPr>
      <w:kern w:val="0"/>
      <w:sz w:val="20"/>
      <w:szCs w:val="20"/>
    </w:rPr>
  </w:style>
  <w:style w:type="paragraph" w:styleId="14">
    <w:name w:val="caption"/>
    <w:basedOn w:val="1"/>
    <w:next w:val="1"/>
    <w:qFormat/>
    <w:uiPriority w:val="99"/>
    <w:rPr>
      <w:rFonts w:ascii="Cambria" w:hAnsi="Cambria" w:eastAsia="黑体" w:cs="Cambria"/>
      <w:sz w:val="20"/>
      <w:szCs w:val="20"/>
    </w:rPr>
  </w:style>
  <w:style w:type="paragraph" w:styleId="15">
    <w:name w:val="Document Map"/>
    <w:basedOn w:val="1"/>
    <w:link w:val="70"/>
    <w:qFormat/>
    <w:uiPriority w:val="99"/>
    <w:pPr>
      <w:shd w:val="clear" w:color="auto" w:fill="000080"/>
    </w:pPr>
  </w:style>
  <w:style w:type="paragraph" w:styleId="16">
    <w:name w:val="annotation text"/>
    <w:basedOn w:val="1"/>
    <w:link w:val="71"/>
    <w:qFormat/>
    <w:uiPriority w:val="0"/>
    <w:pPr>
      <w:jc w:val="left"/>
    </w:pPr>
  </w:style>
  <w:style w:type="paragraph" w:styleId="17">
    <w:name w:val="Body Text 3"/>
    <w:basedOn w:val="1"/>
    <w:link w:val="72"/>
    <w:qFormat/>
    <w:uiPriority w:val="0"/>
    <w:rPr>
      <w:rFonts w:ascii="宋体"/>
      <w:sz w:val="24"/>
      <w:szCs w:val="20"/>
    </w:rPr>
  </w:style>
  <w:style w:type="paragraph" w:styleId="18">
    <w:name w:val="Body Text"/>
    <w:basedOn w:val="1"/>
    <w:next w:val="1"/>
    <w:qFormat/>
    <w:uiPriority w:val="99"/>
    <w:pPr>
      <w:spacing w:after="120"/>
    </w:pPr>
  </w:style>
  <w:style w:type="paragraph" w:styleId="19">
    <w:name w:val="Body Text Indent"/>
    <w:basedOn w:val="1"/>
    <w:link w:val="73"/>
    <w:qFormat/>
    <w:uiPriority w:val="0"/>
    <w:pPr>
      <w:spacing w:line="200" w:lineRule="exact"/>
      <w:ind w:firstLine="301"/>
    </w:pPr>
    <w:rPr>
      <w:rFonts w:ascii="宋体" w:hAnsi="Courier New"/>
      <w:spacing w:val="-4"/>
      <w:sz w:val="18"/>
      <w:szCs w:val="20"/>
    </w:rPr>
  </w:style>
  <w:style w:type="paragraph" w:styleId="20">
    <w:name w:val="Block Text"/>
    <w:basedOn w:val="1"/>
    <w:qFormat/>
    <w:uiPriority w:val="0"/>
    <w:pPr>
      <w:widowControl/>
      <w:spacing w:after="120" w:line="357" w:lineRule="atLeast"/>
      <w:ind w:left="1440" w:right="1440"/>
      <w:textAlignment w:val="baseline"/>
    </w:pPr>
    <w:rPr>
      <w:color w:val="000000"/>
      <w:kern w:val="0"/>
      <w:szCs w:val="20"/>
      <w:u w:color="000000"/>
    </w:rPr>
  </w:style>
  <w:style w:type="paragraph" w:styleId="21">
    <w:name w:val="index 4"/>
    <w:basedOn w:val="1"/>
    <w:next w:val="1"/>
    <w:qFormat/>
    <w:uiPriority w:val="99"/>
    <w:pPr>
      <w:ind w:left="600" w:leftChars="600"/>
    </w:pPr>
    <w:rPr>
      <w:szCs w:val="21"/>
    </w:rPr>
  </w:style>
  <w:style w:type="paragraph" w:styleId="22">
    <w:name w:val="toc 5"/>
    <w:basedOn w:val="1"/>
    <w:next w:val="1"/>
    <w:link w:val="271"/>
    <w:qFormat/>
    <w:uiPriority w:val="39"/>
    <w:pPr>
      <w:ind w:left="840"/>
      <w:jc w:val="left"/>
    </w:pPr>
    <w:rPr>
      <w:sz w:val="18"/>
      <w:szCs w:val="18"/>
    </w:rPr>
  </w:style>
  <w:style w:type="paragraph" w:styleId="23">
    <w:name w:val="toc 3"/>
    <w:basedOn w:val="1"/>
    <w:next w:val="1"/>
    <w:qFormat/>
    <w:uiPriority w:val="39"/>
    <w:pPr>
      <w:ind w:left="840" w:leftChars="400"/>
    </w:pPr>
  </w:style>
  <w:style w:type="paragraph" w:styleId="24">
    <w:name w:val="Plain Text"/>
    <w:basedOn w:val="1"/>
    <w:next w:val="2"/>
    <w:link w:val="74"/>
    <w:qFormat/>
    <w:uiPriority w:val="0"/>
    <w:rPr>
      <w:rFonts w:ascii="宋体" w:hAnsi="Courier New"/>
      <w:szCs w:val="20"/>
    </w:rPr>
  </w:style>
  <w:style w:type="paragraph" w:styleId="25">
    <w:name w:val="toc 8"/>
    <w:basedOn w:val="1"/>
    <w:next w:val="1"/>
    <w:qFormat/>
    <w:uiPriority w:val="39"/>
    <w:pPr>
      <w:ind w:left="1470"/>
      <w:jc w:val="left"/>
    </w:pPr>
    <w:rPr>
      <w:sz w:val="18"/>
      <w:szCs w:val="18"/>
    </w:rPr>
  </w:style>
  <w:style w:type="paragraph" w:styleId="26">
    <w:name w:val="Date"/>
    <w:basedOn w:val="1"/>
    <w:next w:val="1"/>
    <w:link w:val="75"/>
    <w:qFormat/>
    <w:uiPriority w:val="99"/>
    <w:pPr>
      <w:ind w:left="100" w:leftChars="2500"/>
    </w:pPr>
  </w:style>
  <w:style w:type="paragraph" w:styleId="27">
    <w:name w:val="Body Text Indent 2"/>
    <w:basedOn w:val="1"/>
    <w:link w:val="76"/>
    <w:qFormat/>
    <w:uiPriority w:val="99"/>
    <w:pPr>
      <w:spacing w:after="120" w:line="480" w:lineRule="auto"/>
      <w:ind w:left="420" w:leftChars="200"/>
    </w:pPr>
  </w:style>
  <w:style w:type="paragraph" w:styleId="28">
    <w:name w:val="Balloon Text"/>
    <w:basedOn w:val="1"/>
    <w:link w:val="77"/>
    <w:semiHidden/>
    <w:qFormat/>
    <w:uiPriority w:val="99"/>
    <w:rPr>
      <w:sz w:val="18"/>
      <w:szCs w:val="18"/>
    </w:rPr>
  </w:style>
  <w:style w:type="paragraph" w:styleId="29">
    <w:name w:val="footer"/>
    <w:basedOn w:val="1"/>
    <w:next w:val="1"/>
    <w:link w:val="65"/>
    <w:qFormat/>
    <w:uiPriority w:val="99"/>
    <w:pPr>
      <w:tabs>
        <w:tab w:val="center" w:pos="4153"/>
        <w:tab w:val="right" w:pos="8306"/>
      </w:tabs>
      <w:snapToGrid w:val="0"/>
      <w:jc w:val="left"/>
    </w:pPr>
    <w:rPr>
      <w:sz w:val="18"/>
      <w:szCs w:val="18"/>
    </w:rPr>
  </w:style>
  <w:style w:type="paragraph" w:styleId="30">
    <w:name w:val="header"/>
    <w:basedOn w:val="1"/>
    <w:link w:val="78"/>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840"/>
        <w:tab w:val="right" w:leader="dot" w:pos="9628"/>
      </w:tabs>
    </w:pPr>
  </w:style>
  <w:style w:type="paragraph" w:styleId="32">
    <w:name w:val="toc 4"/>
    <w:basedOn w:val="1"/>
    <w:next w:val="1"/>
    <w:qFormat/>
    <w:uiPriority w:val="39"/>
    <w:pPr>
      <w:ind w:left="630"/>
      <w:jc w:val="left"/>
    </w:pPr>
    <w:rPr>
      <w:sz w:val="18"/>
      <w:szCs w:val="18"/>
    </w:rPr>
  </w:style>
  <w:style w:type="paragraph" w:styleId="33">
    <w:name w:val="Subtitle"/>
    <w:basedOn w:val="1"/>
    <w:next w:val="1"/>
    <w:link w:val="79"/>
    <w:qFormat/>
    <w:uiPriority w:val="11"/>
    <w:pPr>
      <w:spacing w:before="240" w:after="60" w:line="312" w:lineRule="auto"/>
      <w:jc w:val="center"/>
      <w:outlineLvl w:val="1"/>
    </w:pPr>
    <w:rPr>
      <w:rFonts w:ascii="Cambria" w:hAnsi="Cambria"/>
      <w:b/>
      <w:bCs/>
      <w:kern w:val="28"/>
      <w:sz w:val="32"/>
      <w:szCs w:val="32"/>
    </w:rPr>
  </w:style>
  <w:style w:type="paragraph" w:styleId="34">
    <w:name w:val="footnote text"/>
    <w:basedOn w:val="1"/>
    <w:link w:val="80"/>
    <w:qFormat/>
    <w:uiPriority w:val="99"/>
    <w:pPr>
      <w:adjustRightInd w:val="0"/>
      <w:spacing w:line="312" w:lineRule="atLeast"/>
      <w:jc w:val="left"/>
      <w:textAlignment w:val="baseline"/>
    </w:pPr>
    <w:rPr>
      <w:kern w:val="0"/>
      <w:sz w:val="18"/>
      <w:szCs w:val="18"/>
    </w:rPr>
  </w:style>
  <w:style w:type="paragraph" w:styleId="35">
    <w:name w:val="toc 6"/>
    <w:basedOn w:val="1"/>
    <w:next w:val="1"/>
    <w:qFormat/>
    <w:uiPriority w:val="39"/>
    <w:pPr>
      <w:ind w:left="1050"/>
      <w:jc w:val="left"/>
    </w:pPr>
    <w:rPr>
      <w:sz w:val="18"/>
      <w:szCs w:val="18"/>
    </w:rPr>
  </w:style>
  <w:style w:type="paragraph" w:styleId="36">
    <w:name w:val="Body Text Indent 3"/>
    <w:basedOn w:val="1"/>
    <w:link w:val="81"/>
    <w:qFormat/>
    <w:uiPriority w:val="0"/>
    <w:pPr>
      <w:spacing w:after="120"/>
      <w:ind w:left="420" w:leftChars="200"/>
    </w:pPr>
    <w:rPr>
      <w:sz w:val="16"/>
      <w:szCs w:val="16"/>
    </w:rPr>
  </w:style>
  <w:style w:type="paragraph" w:styleId="37">
    <w:name w:val="toc 2"/>
    <w:basedOn w:val="1"/>
    <w:next w:val="1"/>
    <w:qFormat/>
    <w:uiPriority w:val="39"/>
    <w:pPr>
      <w:ind w:left="420" w:leftChars="200"/>
    </w:pPr>
  </w:style>
  <w:style w:type="paragraph" w:styleId="38">
    <w:name w:val="toc 9"/>
    <w:basedOn w:val="1"/>
    <w:next w:val="1"/>
    <w:qFormat/>
    <w:uiPriority w:val="39"/>
    <w:pPr>
      <w:ind w:left="1680"/>
      <w:jc w:val="left"/>
    </w:pPr>
    <w:rPr>
      <w:sz w:val="18"/>
      <w:szCs w:val="18"/>
    </w:rPr>
  </w:style>
  <w:style w:type="paragraph" w:styleId="39">
    <w:name w:val="Body Text 2"/>
    <w:basedOn w:val="1"/>
    <w:link w:val="82"/>
    <w:qFormat/>
    <w:uiPriority w:val="0"/>
    <w:pPr>
      <w:spacing w:after="120" w:line="480" w:lineRule="auto"/>
    </w:pPr>
  </w:style>
  <w:style w:type="paragraph" w:styleId="40">
    <w:name w:val="HTML Preformatted"/>
    <w:basedOn w:val="1"/>
    <w:link w:val="8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41">
    <w:name w:val="Normal (Web)"/>
    <w:basedOn w:val="1"/>
    <w:qFormat/>
    <w:uiPriority w:val="99"/>
    <w:pPr>
      <w:widowControl/>
      <w:spacing w:before="100" w:beforeAutospacing="1" w:after="100" w:afterAutospacing="1"/>
      <w:jc w:val="left"/>
    </w:pPr>
    <w:rPr>
      <w:rFonts w:ascii="宋体" w:hAnsi="宋体"/>
      <w:kern w:val="0"/>
      <w:sz w:val="24"/>
    </w:rPr>
  </w:style>
  <w:style w:type="paragraph" w:styleId="42">
    <w:name w:val="index 1"/>
    <w:basedOn w:val="1"/>
    <w:next w:val="1"/>
    <w:semiHidden/>
    <w:qFormat/>
    <w:uiPriority w:val="0"/>
    <w:pPr>
      <w:spacing w:line="300" w:lineRule="exact"/>
      <w:ind w:firstLine="430" w:firstLineChars="205"/>
    </w:pPr>
    <w:rPr>
      <w:rFonts w:ascii="宋体" w:hAnsi="Courier New"/>
      <w:bCs/>
      <w:szCs w:val="36"/>
    </w:rPr>
  </w:style>
  <w:style w:type="paragraph" w:styleId="43">
    <w:name w:val="Title"/>
    <w:basedOn w:val="1"/>
    <w:next w:val="1"/>
    <w:link w:val="84"/>
    <w:qFormat/>
    <w:uiPriority w:val="99"/>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link w:val="85"/>
    <w:semiHidden/>
    <w:qFormat/>
    <w:uiPriority w:val="99"/>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22"/>
    <w:rPr>
      <w:b/>
      <w:bCs/>
    </w:rPr>
  </w:style>
  <w:style w:type="character" w:styleId="49">
    <w:name w:val="page number"/>
    <w:qFormat/>
    <w:uiPriority w:val="0"/>
  </w:style>
  <w:style w:type="character" w:styleId="50">
    <w:name w:val="FollowedHyperlink"/>
    <w:qFormat/>
    <w:uiPriority w:val="99"/>
    <w:rPr>
      <w:rFonts w:ascii="Arial" w:hAnsi="Arial" w:eastAsia="黑体"/>
      <w:color w:val="800080"/>
      <w:kern w:val="2"/>
      <w:sz w:val="21"/>
      <w:szCs w:val="21"/>
      <w:u w:val="single"/>
      <w:lang w:val="en-US" w:eastAsia="zh-CN" w:bidi="ar-SA"/>
    </w:rPr>
  </w:style>
  <w:style w:type="character" w:styleId="51">
    <w:name w:val="Emphasis"/>
    <w:qFormat/>
    <w:uiPriority w:val="99"/>
    <w:rPr>
      <w:color w:val="CC0000"/>
      <w:sz w:val="24"/>
      <w:szCs w:val="24"/>
    </w:rPr>
  </w:style>
  <w:style w:type="character" w:styleId="52">
    <w:name w:val="HTML Definition"/>
    <w:basedOn w:val="47"/>
    <w:qFormat/>
    <w:uiPriority w:val="0"/>
    <w:rPr>
      <w:i/>
      <w:iCs/>
    </w:rPr>
  </w:style>
  <w:style w:type="character" w:styleId="53">
    <w:name w:val="Hyperlink"/>
    <w:basedOn w:val="47"/>
    <w:qFormat/>
    <w:uiPriority w:val="99"/>
    <w:rPr>
      <w:color w:val="3177FD"/>
      <w:u w:val="none"/>
    </w:rPr>
  </w:style>
  <w:style w:type="character" w:styleId="54">
    <w:name w:val="HTML Code"/>
    <w:basedOn w:val="47"/>
    <w:qFormat/>
    <w:uiPriority w:val="0"/>
    <w:rPr>
      <w:rFonts w:hint="default" w:ascii="Consolas" w:hAnsi="Consolas" w:eastAsia="Consolas" w:cs="Consolas"/>
      <w:sz w:val="21"/>
      <w:szCs w:val="21"/>
    </w:rPr>
  </w:style>
  <w:style w:type="character" w:styleId="55">
    <w:name w:val="annotation reference"/>
    <w:qFormat/>
    <w:uiPriority w:val="0"/>
    <w:rPr>
      <w:sz w:val="21"/>
      <w:szCs w:val="21"/>
    </w:rPr>
  </w:style>
  <w:style w:type="character" w:styleId="56">
    <w:name w:val="HTML Keyboard"/>
    <w:basedOn w:val="47"/>
    <w:qFormat/>
    <w:uiPriority w:val="0"/>
    <w:rPr>
      <w:rFonts w:ascii="Consolas" w:hAnsi="Consolas" w:eastAsia="Consolas" w:cs="Consolas"/>
      <w:sz w:val="21"/>
      <w:szCs w:val="21"/>
    </w:rPr>
  </w:style>
  <w:style w:type="character" w:styleId="57">
    <w:name w:val="HTML Sample"/>
    <w:basedOn w:val="47"/>
    <w:qFormat/>
    <w:uiPriority w:val="0"/>
    <w:rPr>
      <w:rFonts w:hint="default" w:ascii="Consolas" w:hAnsi="Consolas" w:eastAsia="Consolas" w:cs="Consolas"/>
      <w:sz w:val="21"/>
      <w:szCs w:val="21"/>
    </w:rPr>
  </w:style>
  <w:style w:type="paragraph" w:customStyle="1" w:styleId="58">
    <w:name w:val="表格文字"/>
    <w:basedOn w:val="1"/>
    <w:qFormat/>
    <w:uiPriority w:val="0"/>
    <w:pPr>
      <w:adjustRightInd w:val="0"/>
      <w:spacing w:line="420" w:lineRule="atLeast"/>
      <w:jc w:val="left"/>
      <w:textAlignment w:val="baseline"/>
    </w:pPr>
    <w:rPr>
      <w:kern w:val="0"/>
      <w:szCs w:val="20"/>
    </w:rPr>
  </w:style>
  <w:style w:type="character" w:customStyle="1" w:styleId="59">
    <w:name w:val="标题 2 Char"/>
    <w:link w:val="4"/>
    <w:qFormat/>
    <w:locked/>
    <w:uiPriority w:val="99"/>
    <w:rPr>
      <w:rFonts w:ascii="Arial" w:hAnsi="Arial" w:eastAsia="黑体"/>
      <w:b/>
      <w:bCs/>
      <w:kern w:val="2"/>
      <w:sz w:val="32"/>
      <w:szCs w:val="32"/>
    </w:rPr>
  </w:style>
  <w:style w:type="character" w:customStyle="1" w:styleId="60">
    <w:name w:val="标题 3 Char"/>
    <w:qFormat/>
    <w:uiPriority w:val="99"/>
    <w:rPr>
      <w:rFonts w:ascii="宋体" w:eastAsia="宋体"/>
      <w:b/>
      <w:bCs/>
      <w:kern w:val="2"/>
      <w:sz w:val="24"/>
      <w:szCs w:val="24"/>
      <w:lang w:val="en-US" w:eastAsia="zh-CN" w:bidi="ar-SA"/>
    </w:rPr>
  </w:style>
  <w:style w:type="character" w:customStyle="1" w:styleId="61">
    <w:name w:val="标题 1 Char"/>
    <w:qFormat/>
    <w:uiPriority w:val="99"/>
    <w:rPr>
      <w:rFonts w:eastAsia="宋体"/>
      <w:b/>
      <w:bCs/>
      <w:kern w:val="44"/>
      <w:sz w:val="44"/>
      <w:szCs w:val="44"/>
      <w:lang w:val="en-US" w:eastAsia="zh-CN" w:bidi="ar-SA"/>
    </w:rPr>
  </w:style>
  <w:style w:type="paragraph" w:customStyle="1" w:styleId="62">
    <w:name w:val="表"/>
    <w:basedOn w:val="1"/>
    <w:qFormat/>
    <w:uiPriority w:val="0"/>
    <w:pPr>
      <w:spacing w:line="300" w:lineRule="auto"/>
    </w:pPr>
    <w:rPr>
      <w:color w:val="000000"/>
      <w:szCs w:val="21"/>
    </w:rPr>
  </w:style>
  <w:style w:type="character" w:customStyle="1" w:styleId="63">
    <w:name w:val="标题 4 Char"/>
    <w:link w:val="2"/>
    <w:qFormat/>
    <w:uiPriority w:val="99"/>
    <w:rPr>
      <w:rFonts w:ascii="Arial" w:hAnsi="Arial" w:eastAsia="黑体"/>
      <w:b/>
      <w:bCs/>
      <w:kern w:val="2"/>
      <w:sz w:val="28"/>
      <w:szCs w:val="28"/>
    </w:rPr>
  </w:style>
  <w:style w:type="character" w:customStyle="1" w:styleId="64">
    <w:name w:val="标题 5 Char"/>
    <w:link w:val="6"/>
    <w:qFormat/>
    <w:uiPriority w:val="99"/>
    <w:rPr>
      <w:b/>
      <w:bCs/>
      <w:kern w:val="2"/>
      <w:sz w:val="28"/>
      <w:szCs w:val="28"/>
    </w:rPr>
  </w:style>
  <w:style w:type="character" w:customStyle="1" w:styleId="65">
    <w:name w:val="页脚 Char"/>
    <w:link w:val="29"/>
    <w:qFormat/>
    <w:uiPriority w:val="99"/>
    <w:rPr>
      <w:kern w:val="2"/>
      <w:sz w:val="18"/>
      <w:szCs w:val="18"/>
    </w:rPr>
  </w:style>
  <w:style w:type="character" w:customStyle="1" w:styleId="66">
    <w:name w:val="标题 6 Char"/>
    <w:link w:val="7"/>
    <w:qFormat/>
    <w:uiPriority w:val="9"/>
    <w:rPr>
      <w:rFonts w:ascii="Arial" w:hAnsi="Arial" w:eastAsia="黑体"/>
      <w:b/>
      <w:bCs/>
      <w:sz w:val="24"/>
      <w:szCs w:val="24"/>
    </w:rPr>
  </w:style>
  <w:style w:type="character" w:customStyle="1" w:styleId="67">
    <w:name w:val="标题 7 Char"/>
    <w:link w:val="8"/>
    <w:qFormat/>
    <w:uiPriority w:val="9"/>
    <w:rPr>
      <w:b/>
      <w:bCs/>
      <w:sz w:val="24"/>
      <w:szCs w:val="24"/>
    </w:rPr>
  </w:style>
  <w:style w:type="character" w:customStyle="1" w:styleId="68">
    <w:name w:val="标题 8 Char"/>
    <w:link w:val="9"/>
    <w:qFormat/>
    <w:uiPriority w:val="9"/>
    <w:rPr>
      <w:rFonts w:ascii="Arial" w:hAnsi="Arial" w:eastAsia="黑体"/>
      <w:sz w:val="24"/>
      <w:szCs w:val="24"/>
    </w:rPr>
  </w:style>
  <w:style w:type="character" w:customStyle="1" w:styleId="69">
    <w:name w:val="标题 9 Char"/>
    <w:link w:val="10"/>
    <w:qFormat/>
    <w:uiPriority w:val="9"/>
    <w:rPr>
      <w:rFonts w:ascii="Arial" w:hAnsi="Arial" w:eastAsia="黑体"/>
      <w:sz w:val="21"/>
      <w:szCs w:val="21"/>
    </w:rPr>
  </w:style>
  <w:style w:type="character" w:customStyle="1" w:styleId="70">
    <w:name w:val="文档结构图 Char"/>
    <w:link w:val="15"/>
    <w:qFormat/>
    <w:uiPriority w:val="99"/>
    <w:rPr>
      <w:kern w:val="2"/>
      <w:sz w:val="21"/>
      <w:szCs w:val="24"/>
      <w:shd w:val="clear" w:color="auto" w:fill="000080"/>
    </w:rPr>
  </w:style>
  <w:style w:type="character" w:customStyle="1" w:styleId="71">
    <w:name w:val="批注文字 Char2"/>
    <w:link w:val="16"/>
    <w:qFormat/>
    <w:locked/>
    <w:uiPriority w:val="0"/>
    <w:rPr>
      <w:kern w:val="2"/>
      <w:sz w:val="21"/>
      <w:szCs w:val="24"/>
    </w:rPr>
  </w:style>
  <w:style w:type="character" w:customStyle="1" w:styleId="72">
    <w:name w:val="正文文本 3 Char"/>
    <w:link w:val="17"/>
    <w:qFormat/>
    <w:uiPriority w:val="0"/>
    <w:rPr>
      <w:rFonts w:ascii="宋体"/>
      <w:kern w:val="2"/>
      <w:sz w:val="24"/>
    </w:rPr>
  </w:style>
  <w:style w:type="character" w:customStyle="1" w:styleId="73">
    <w:name w:val="正文文本缩进 Char"/>
    <w:link w:val="19"/>
    <w:qFormat/>
    <w:locked/>
    <w:uiPriority w:val="0"/>
    <w:rPr>
      <w:rFonts w:ascii="宋体" w:hAnsi="Courier New"/>
      <w:spacing w:val="-4"/>
      <w:kern w:val="2"/>
      <w:sz w:val="18"/>
    </w:rPr>
  </w:style>
  <w:style w:type="character" w:customStyle="1" w:styleId="74">
    <w:name w:val="纯文本 Char"/>
    <w:link w:val="24"/>
    <w:qFormat/>
    <w:uiPriority w:val="0"/>
    <w:rPr>
      <w:rFonts w:ascii="宋体" w:hAnsi="Courier New" w:eastAsia="宋体"/>
      <w:kern w:val="2"/>
      <w:sz w:val="21"/>
      <w:lang w:val="en-US" w:eastAsia="zh-CN" w:bidi="ar-SA"/>
    </w:rPr>
  </w:style>
  <w:style w:type="character" w:customStyle="1" w:styleId="75">
    <w:name w:val="日期 Char"/>
    <w:link w:val="26"/>
    <w:qFormat/>
    <w:locked/>
    <w:uiPriority w:val="99"/>
    <w:rPr>
      <w:kern w:val="2"/>
      <w:sz w:val="21"/>
      <w:szCs w:val="24"/>
    </w:rPr>
  </w:style>
  <w:style w:type="character" w:customStyle="1" w:styleId="76">
    <w:name w:val="正文文本缩进 2 Char"/>
    <w:link w:val="27"/>
    <w:qFormat/>
    <w:locked/>
    <w:uiPriority w:val="99"/>
    <w:rPr>
      <w:kern w:val="2"/>
      <w:sz w:val="21"/>
      <w:szCs w:val="24"/>
    </w:rPr>
  </w:style>
  <w:style w:type="character" w:customStyle="1" w:styleId="77">
    <w:name w:val="批注框文本 Char"/>
    <w:link w:val="28"/>
    <w:semiHidden/>
    <w:qFormat/>
    <w:locked/>
    <w:uiPriority w:val="99"/>
    <w:rPr>
      <w:kern w:val="2"/>
      <w:sz w:val="18"/>
      <w:szCs w:val="18"/>
    </w:rPr>
  </w:style>
  <w:style w:type="character" w:customStyle="1" w:styleId="78">
    <w:name w:val="页眉 Char"/>
    <w:link w:val="30"/>
    <w:qFormat/>
    <w:uiPriority w:val="0"/>
    <w:rPr>
      <w:kern w:val="2"/>
      <w:sz w:val="18"/>
      <w:szCs w:val="18"/>
    </w:rPr>
  </w:style>
  <w:style w:type="character" w:customStyle="1" w:styleId="79">
    <w:name w:val="副标题 Char"/>
    <w:link w:val="33"/>
    <w:qFormat/>
    <w:uiPriority w:val="11"/>
    <w:rPr>
      <w:rFonts w:ascii="Cambria" w:hAnsi="Cambria"/>
      <w:b/>
      <w:bCs/>
      <w:kern w:val="28"/>
      <w:sz w:val="32"/>
      <w:szCs w:val="32"/>
    </w:rPr>
  </w:style>
  <w:style w:type="character" w:customStyle="1" w:styleId="80">
    <w:name w:val="脚注文本 Char"/>
    <w:link w:val="34"/>
    <w:qFormat/>
    <w:uiPriority w:val="99"/>
    <w:rPr>
      <w:sz w:val="18"/>
      <w:szCs w:val="18"/>
    </w:rPr>
  </w:style>
  <w:style w:type="character" w:customStyle="1" w:styleId="81">
    <w:name w:val="正文文本缩进 3 Char"/>
    <w:link w:val="36"/>
    <w:qFormat/>
    <w:uiPriority w:val="0"/>
    <w:rPr>
      <w:kern w:val="2"/>
      <w:sz w:val="16"/>
      <w:szCs w:val="16"/>
    </w:rPr>
  </w:style>
  <w:style w:type="character" w:customStyle="1" w:styleId="82">
    <w:name w:val="正文文本 2 Char"/>
    <w:link w:val="39"/>
    <w:qFormat/>
    <w:uiPriority w:val="0"/>
    <w:rPr>
      <w:kern w:val="2"/>
      <w:sz w:val="21"/>
      <w:szCs w:val="24"/>
    </w:rPr>
  </w:style>
  <w:style w:type="character" w:customStyle="1" w:styleId="83">
    <w:name w:val="HTML 预设格式 Char"/>
    <w:link w:val="40"/>
    <w:qFormat/>
    <w:uiPriority w:val="0"/>
    <w:rPr>
      <w:rFonts w:ascii="Arial" w:hAnsi="Arial" w:cs="Arial"/>
      <w:sz w:val="24"/>
      <w:szCs w:val="24"/>
    </w:rPr>
  </w:style>
  <w:style w:type="character" w:customStyle="1" w:styleId="84">
    <w:name w:val="标题 Char"/>
    <w:link w:val="43"/>
    <w:qFormat/>
    <w:uiPriority w:val="99"/>
    <w:rPr>
      <w:rFonts w:ascii="Arial" w:hAnsi="Arial"/>
      <w:b/>
      <w:sz w:val="32"/>
    </w:rPr>
  </w:style>
  <w:style w:type="character" w:customStyle="1" w:styleId="85">
    <w:name w:val="批注主题 Char"/>
    <w:link w:val="44"/>
    <w:semiHidden/>
    <w:qFormat/>
    <w:locked/>
    <w:uiPriority w:val="99"/>
    <w:rPr>
      <w:b/>
      <w:bCs/>
      <w:kern w:val="2"/>
      <w:sz w:val="21"/>
      <w:szCs w:val="24"/>
    </w:rPr>
  </w:style>
  <w:style w:type="character" w:customStyle="1" w:styleId="86">
    <w:name w:val="Plain Text Char"/>
    <w:qFormat/>
    <w:uiPriority w:val="99"/>
    <w:rPr>
      <w:rFonts w:ascii="宋体" w:hAnsi="Courier New" w:eastAsia="宋体" w:cs="宋体"/>
      <w:sz w:val="24"/>
      <w:szCs w:val="24"/>
    </w:rPr>
  </w:style>
  <w:style w:type="character" w:customStyle="1" w:styleId="87">
    <w:name w:val="引用 Char1"/>
    <w:qFormat/>
    <w:uiPriority w:val="99"/>
    <w:rPr>
      <w:rFonts w:ascii="Times New Roman" w:hAnsi="Times New Roman" w:eastAsia="宋体" w:cs="Times New Roman"/>
      <w:i/>
      <w:iCs/>
      <w:color w:val="000000"/>
      <w:sz w:val="24"/>
      <w:szCs w:val="24"/>
    </w:rPr>
  </w:style>
  <w:style w:type="character" w:customStyle="1" w:styleId="88">
    <w:name w:val="Heading 5 Char"/>
    <w:qFormat/>
    <w:uiPriority w:val="99"/>
    <w:rPr>
      <w:rFonts w:eastAsia="宋体"/>
      <w:b/>
      <w:bCs/>
      <w:kern w:val="2"/>
      <w:sz w:val="28"/>
      <w:szCs w:val="28"/>
      <w:lang w:val="en-US" w:eastAsia="zh-CN"/>
    </w:rPr>
  </w:style>
  <w:style w:type="character" w:customStyle="1" w:styleId="89">
    <w:name w:val="10"/>
    <w:qFormat/>
    <w:uiPriority w:val="0"/>
  </w:style>
  <w:style w:type="character" w:customStyle="1" w:styleId="90">
    <w:name w:val="cjn1"/>
    <w:qFormat/>
    <w:uiPriority w:val="0"/>
    <w:rPr>
      <w:rFonts w:ascii="宋体" w:hAnsi="宋体" w:eastAsia="宋体"/>
      <w:spacing w:val="500"/>
      <w:sz w:val="22"/>
      <w:szCs w:val="22"/>
      <w:u w:val="none"/>
    </w:rPr>
  </w:style>
  <w:style w:type="character" w:customStyle="1" w:styleId="91">
    <w:name w:val="NormalCharacter"/>
    <w:semiHidden/>
    <w:qFormat/>
    <w:uiPriority w:val="0"/>
  </w:style>
  <w:style w:type="character" w:customStyle="1" w:styleId="92">
    <w:name w:val="Footer Char"/>
    <w:qFormat/>
    <w:uiPriority w:val="99"/>
    <w:rPr>
      <w:rFonts w:eastAsia="宋体"/>
      <w:kern w:val="2"/>
      <w:sz w:val="18"/>
      <w:szCs w:val="18"/>
      <w:lang w:val="en-US" w:eastAsia="zh-CN"/>
    </w:rPr>
  </w:style>
  <w:style w:type="character" w:customStyle="1" w:styleId="93">
    <w:name w:val="Comment Text Char"/>
    <w:qFormat/>
    <w:uiPriority w:val="99"/>
    <w:rPr>
      <w:sz w:val="24"/>
      <w:szCs w:val="24"/>
    </w:rPr>
  </w:style>
  <w:style w:type="character" w:customStyle="1" w:styleId="94">
    <w:name w:val="Char Char20"/>
    <w:qFormat/>
    <w:uiPriority w:val="99"/>
    <w:rPr>
      <w:rFonts w:ascii="Times New Roman" w:hAnsi="Times New Roman" w:eastAsia="宋体" w:cs="Times New Roman"/>
      <w:b/>
      <w:bCs/>
      <w:sz w:val="32"/>
      <w:szCs w:val="32"/>
    </w:rPr>
  </w:style>
  <w:style w:type="character" w:customStyle="1" w:styleId="95">
    <w:name w:val="Char Char18"/>
    <w:qFormat/>
    <w:uiPriority w:val="99"/>
    <w:rPr>
      <w:rFonts w:ascii="Times New Roman" w:hAnsi="Times New Roman" w:eastAsia="宋体" w:cs="Times New Roman"/>
      <w:b/>
      <w:bCs/>
      <w:sz w:val="28"/>
      <w:szCs w:val="28"/>
    </w:rPr>
  </w:style>
  <w:style w:type="character" w:customStyle="1" w:styleId="96">
    <w:name w:val="Comment Text Char1"/>
    <w:qFormat/>
    <w:uiPriority w:val="99"/>
    <w:rPr>
      <w:sz w:val="24"/>
      <w:szCs w:val="24"/>
    </w:rPr>
  </w:style>
  <w:style w:type="character" w:customStyle="1" w:styleId="97">
    <w:name w:val="textcontents"/>
    <w:qFormat/>
    <w:uiPriority w:val="99"/>
  </w:style>
  <w:style w:type="character" w:customStyle="1" w:styleId="98">
    <w:name w:val="Char Char22"/>
    <w:qFormat/>
    <w:uiPriority w:val="99"/>
    <w:rPr>
      <w:rFonts w:ascii="Times New Roman" w:hAnsi="Times New Roman" w:eastAsia="宋体" w:cs="Times New Roman"/>
      <w:b/>
      <w:bCs/>
      <w:kern w:val="44"/>
      <w:sz w:val="44"/>
      <w:szCs w:val="44"/>
    </w:rPr>
  </w:style>
  <w:style w:type="character" w:customStyle="1" w:styleId="99">
    <w:name w:val="Char Char181"/>
    <w:qFormat/>
    <w:uiPriority w:val="99"/>
    <w:rPr>
      <w:b/>
      <w:bCs/>
      <w:kern w:val="44"/>
      <w:sz w:val="44"/>
      <w:szCs w:val="44"/>
    </w:rPr>
  </w:style>
  <w:style w:type="character" w:customStyle="1" w:styleId="100">
    <w:name w:val="Footnote Text Char"/>
    <w:qFormat/>
    <w:uiPriority w:val="99"/>
    <w:rPr>
      <w:rFonts w:eastAsia="宋体"/>
      <w:sz w:val="18"/>
      <w:szCs w:val="18"/>
      <w:lang w:val="en-US" w:eastAsia="zh-CN"/>
    </w:rPr>
  </w:style>
  <w:style w:type="character" w:customStyle="1" w:styleId="101">
    <w:name w:val="批注文字 Char"/>
    <w:qFormat/>
    <w:uiPriority w:val="0"/>
    <w:rPr>
      <w:kern w:val="2"/>
      <w:sz w:val="24"/>
      <w:szCs w:val="24"/>
    </w:rPr>
  </w:style>
  <w:style w:type="character" w:customStyle="1" w:styleId="102">
    <w:name w:val="Heading 4 Char"/>
    <w:qFormat/>
    <w:uiPriority w:val="99"/>
    <w:rPr>
      <w:rFonts w:ascii="Arial" w:hAnsi="Arial" w:eastAsia="宋体" w:cs="Arial"/>
      <w:b/>
      <w:bCs/>
      <w:kern w:val="2"/>
      <w:sz w:val="28"/>
      <w:szCs w:val="28"/>
      <w:lang w:val="en-US" w:eastAsia="zh-CN"/>
    </w:rPr>
  </w:style>
  <w:style w:type="character" w:customStyle="1" w:styleId="103">
    <w:name w:val="批注框文本 Char1"/>
    <w:qFormat/>
    <w:uiPriority w:val="99"/>
    <w:rPr>
      <w:rFonts w:ascii="Times New Roman" w:hAnsi="Times New Roman" w:eastAsia="宋体" w:cs="Times New Roman"/>
      <w:sz w:val="18"/>
      <w:szCs w:val="18"/>
    </w:rPr>
  </w:style>
  <w:style w:type="character" w:customStyle="1" w:styleId="104">
    <w:name w:val="Title Char"/>
    <w:qFormat/>
    <w:uiPriority w:val="99"/>
    <w:rPr>
      <w:rFonts w:ascii="Cambria" w:hAnsi="Cambria" w:cs="Cambria"/>
      <w:b/>
      <w:bCs/>
      <w:sz w:val="32"/>
      <w:szCs w:val="32"/>
    </w:rPr>
  </w:style>
  <w:style w:type="character" w:customStyle="1" w:styleId="105">
    <w:name w:val="font161"/>
    <w:qFormat/>
    <w:uiPriority w:val="0"/>
    <w:rPr>
      <w:rFonts w:ascii="Arial" w:hAnsi="Arial" w:eastAsia="黑体"/>
      <w:b/>
      <w:bCs/>
      <w:kern w:val="2"/>
      <w:sz w:val="32"/>
      <w:szCs w:val="32"/>
      <w:lang w:val="en-US" w:eastAsia="zh-CN" w:bidi="ar-SA"/>
    </w:rPr>
  </w:style>
  <w:style w:type="character" w:customStyle="1" w:styleId="106">
    <w:name w:val="明显引用 Char"/>
    <w:link w:val="107"/>
    <w:qFormat/>
    <w:locked/>
    <w:uiPriority w:val="99"/>
    <w:rPr>
      <w:b/>
      <w:bCs/>
      <w:i/>
      <w:iCs/>
      <w:color w:val="4F81BD"/>
    </w:rPr>
  </w:style>
  <w:style w:type="paragraph" w:customStyle="1" w:styleId="107">
    <w:name w:val="明显引用1"/>
    <w:basedOn w:val="1"/>
    <w:next w:val="1"/>
    <w:link w:val="106"/>
    <w:qFormat/>
    <w:uiPriority w:val="99"/>
    <w:pPr>
      <w:pBdr>
        <w:bottom w:val="single" w:color="4F81BD" w:sz="4" w:space="4"/>
      </w:pBdr>
      <w:spacing w:before="200" w:after="280"/>
      <w:ind w:left="936" w:right="936"/>
    </w:pPr>
    <w:rPr>
      <w:b/>
      <w:bCs/>
      <w:i/>
      <w:iCs/>
      <w:color w:val="4F81BD"/>
      <w:kern w:val="0"/>
      <w:sz w:val="20"/>
      <w:szCs w:val="20"/>
    </w:rPr>
  </w:style>
  <w:style w:type="character" w:customStyle="1" w:styleId="108">
    <w:name w:val="Header Char"/>
    <w:qFormat/>
    <w:uiPriority w:val="99"/>
    <w:rPr>
      <w:rFonts w:eastAsia="宋体"/>
      <w:kern w:val="2"/>
      <w:sz w:val="18"/>
      <w:szCs w:val="18"/>
      <w:lang w:val="en-US" w:eastAsia="zh-CN"/>
    </w:rPr>
  </w:style>
  <w:style w:type="character" w:customStyle="1" w:styleId="109">
    <w:name w:val="Heading 3 Char"/>
    <w:qFormat/>
    <w:uiPriority w:val="99"/>
    <w:rPr>
      <w:b/>
      <w:bCs/>
      <w:kern w:val="2"/>
      <w:sz w:val="32"/>
      <w:szCs w:val="32"/>
    </w:rPr>
  </w:style>
  <w:style w:type="character" w:customStyle="1" w:styleId="110">
    <w:name w:val="Heading 1 Char"/>
    <w:qFormat/>
    <w:uiPriority w:val="99"/>
    <w:rPr>
      <w:rFonts w:eastAsia="宋体"/>
      <w:b/>
      <w:bCs/>
      <w:kern w:val="44"/>
      <w:sz w:val="44"/>
      <w:szCs w:val="44"/>
      <w:lang w:val="en-US" w:eastAsia="zh-CN"/>
    </w:rPr>
  </w:style>
  <w:style w:type="character" w:customStyle="1" w:styleId="111">
    <w:name w:val="标题 Char2"/>
    <w:qFormat/>
    <w:uiPriority w:val="99"/>
    <w:rPr>
      <w:rFonts w:ascii="Cambria" w:hAnsi="Cambria" w:eastAsia="宋体" w:cs="Cambria"/>
      <w:b/>
      <w:bCs/>
      <w:sz w:val="32"/>
      <w:szCs w:val="32"/>
    </w:rPr>
  </w:style>
  <w:style w:type="character" w:customStyle="1" w:styleId="112">
    <w:name w:val="标题4 Char Char"/>
    <w:link w:val="113"/>
    <w:qFormat/>
    <w:locked/>
    <w:uiPriority w:val="99"/>
    <w:rPr>
      <w:rFonts w:ascii="Arial" w:hAnsi="Arial" w:cs="Arial"/>
      <w:b/>
      <w:bCs/>
      <w:sz w:val="32"/>
      <w:szCs w:val="32"/>
    </w:rPr>
  </w:style>
  <w:style w:type="paragraph" w:customStyle="1" w:styleId="113">
    <w:name w:val="标题4"/>
    <w:basedOn w:val="4"/>
    <w:next w:val="21"/>
    <w:link w:val="112"/>
    <w:qFormat/>
    <w:uiPriority w:val="99"/>
    <w:pPr>
      <w:spacing w:before="60" w:after="60" w:line="413" w:lineRule="auto"/>
    </w:pPr>
    <w:rPr>
      <w:rFonts w:eastAsia="宋体"/>
      <w:kern w:val="0"/>
    </w:rPr>
  </w:style>
  <w:style w:type="character" w:customStyle="1" w:styleId="114">
    <w:name w:val="明显强调1"/>
    <w:qFormat/>
    <w:uiPriority w:val="99"/>
    <w:rPr>
      <w:b/>
      <w:bCs/>
      <w:i/>
      <w:iCs/>
      <w:color w:val="4F81BD"/>
    </w:rPr>
  </w:style>
  <w:style w:type="character" w:customStyle="1" w:styleId="115">
    <w:name w:val="正文文本 Char1"/>
    <w:qFormat/>
    <w:uiPriority w:val="99"/>
    <w:rPr>
      <w:kern w:val="2"/>
      <w:sz w:val="22"/>
      <w:szCs w:val="22"/>
    </w:rPr>
  </w:style>
  <w:style w:type="character" w:customStyle="1" w:styleId="116">
    <w:name w:val="日期 Char1"/>
    <w:qFormat/>
    <w:uiPriority w:val="99"/>
    <w:rPr>
      <w:rFonts w:ascii="Times New Roman" w:hAnsi="Times New Roman" w:eastAsia="宋体" w:cs="Times New Roman"/>
      <w:sz w:val="24"/>
      <w:szCs w:val="24"/>
    </w:rPr>
  </w:style>
  <w:style w:type="character" w:customStyle="1" w:styleId="117">
    <w:name w:val="普通文字 Char Char1"/>
    <w:semiHidden/>
    <w:qFormat/>
    <w:uiPriority w:val="0"/>
    <w:rPr>
      <w:rFonts w:ascii="宋体" w:hAnsi="Courier New" w:eastAsia="宋体"/>
      <w:kern w:val="2"/>
      <w:sz w:val="21"/>
      <w:lang w:val="en-US" w:eastAsia="zh-CN" w:bidi="ar-SA"/>
    </w:rPr>
  </w:style>
  <w:style w:type="character" w:customStyle="1" w:styleId="118">
    <w:name w:val="col-icon8"/>
    <w:qFormat/>
    <w:uiPriority w:val="0"/>
    <w:rPr>
      <w:shd w:val="clear" w:color="auto" w:fill="FFFFFF"/>
    </w:rPr>
  </w:style>
  <w:style w:type="character" w:customStyle="1" w:styleId="119">
    <w:name w:val="不明显强调1"/>
    <w:qFormat/>
    <w:uiPriority w:val="99"/>
    <w:rPr>
      <w:i/>
      <w:iCs/>
      <w:color w:val="808080"/>
    </w:rPr>
  </w:style>
  <w:style w:type="character" w:customStyle="1" w:styleId="120">
    <w:name w:val="Char Char21"/>
    <w:qFormat/>
    <w:uiPriority w:val="99"/>
    <w:rPr>
      <w:rFonts w:ascii="Arial" w:hAnsi="Arial" w:eastAsia="黑体" w:cs="Arial"/>
      <w:b/>
      <w:bCs/>
      <w:sz w:val="32"/>
      <w:szCs w:val="32"/>
    </w:rPr>
  </w:style>
  <w:style w:type="character" w:customStyle="1" w:styleId="121">
    <w:name w:val="Comment Subject Char"/>
    <w:qFormat/>
    <w:uiPriority w:val="99"/>
    <w:rPr>
      <w:b/>
      <w:bCs/>
      <w:sz w:val="24"/>
      <w:szCs w:val="24"/>
    </w:rPr>
  </w:style>
  <w:style w:type="character" w:customStyle="1" w:styleId="122">
    <w:name w:val="Char Char"/>
    <w:qFormat/>
    <w:uiPriority w:val="0"/>
    <w:rPr>
      <w:rFonts w:ascii="Arial" w:hAnsi="Arial" w:eastAsia="黑体"/>
      <w:b/>
      <w:bCs/>
      <w:kern w:val="2"/>
      <w:sz w:val="32"/>
      <w:szCs w:val="32"/>
      <w:lang w:val="en-US" w:eastAsia="zh-CN" w:bidi="ar-SA"/>
    </w:rPr>
  </w:style>
  <w:style w:type="character" w:customStyle="1" w:styleId="123">
    <w:name w:val="批注主题 Char1"/>
    <w:qFormat/>
    <w:uiPriority w:val="99"/>
    <w:rPr>
      <w:rFonts w:ascii="Times New Roman" w:hAnsi="Times New Roman" w:eastAsia="宋体" w:cs="Times New Roman"/>
      <w:b/>
      <w:bCs/>
      <w:sz w:val="24"/>
      <w:szCs w:val="24"/>
    </w:rPr>
  </w:style>
  <w:style w:type="character" w:customStyle="1" w:styleId="124">
    <w:name w:val="Char Char9"/>
    <w:qFormat/>
    <w:uiPriority w:val="99"/>
    <w:rPr>
      <w:rFonts w:eastAsia="宋体"/>
      <w:b/>
      <w:bCs/>
      <w:kern w:val="44"/>
      <w:sz w:val="44"/>
      <w:szCs w:val="44"/>
      <w:lang w:val="en-US" w:eastAsia="zh-CN"/>
    </w:rPr>
  </w:style>
  <w:style w:type="character" w:customStyle="1" w:styleId="125">
    <w:name w:val="Char Char6"/>
    <w:qFormat/>
    <w:uiPriority w:val="99"/>
    <w:rPr>
      <w:rFonts w:eastAsia="宋体"/>
      <w:b/>
      <w:bCs/>
      <w:kern w:val="44"/>
      <w:sz w:val="44"/>
      <w:szCs w:val="44"/>
      <w:lang w:val="en-US" w:eastAsia="zh-CN"/>
    </w:rPr>
  </w:style>
  <w:style w:type="character" w:customStyle="1" w:styleId="126">
    <w:name w:val="纯文本 Char2"/>
    <w:qFormat/>
    <w:uiPriority w:val="0"/>
    <w:rPr>
      <w:rFonts w:ascii="宋体" w:hAnsi="Courier New" w:cs="Courier New"/>
      <w:kern w:val="2"/>
      <w:sz w:val="21"/>
      <w:szCs w:val="21"/>
    </w:rPr>
  </w:style>
  <w:style w:type="character" w:customStyle="1" w:styleId="127">
    <w:name w:val="正文文本 Char"/>
    <w:qFormat/>
    <w:uiPriority w:val="99"/>
    <w:rPr>
      <w:rFonts w:eastAsia="宋体"/>
      <w:kern w:val="2"/>
      <w:sz w:val="28"/>
      <w:lang w:val="en-US" w:eastAsia="zh-CN" w:bidi="ar-SA"/>
    </w:rPr>
  </w:style>
  <w:style w:type="character" w:customStyle="1" w:styleId="128">
    <w:name w:val="不明显参考1"/>
    <w:qFormat/>
    <w:uiPriority w:val="99"/>
    <w:rPr>
      <w:smallCaps/>
      <w:color w:val="auto"/>
      <w:u w:val="single"/>
    </w:rPr>
  </w:style>
  <w:style w:type="character" w:customStyle="1" w:styleId="129">
    <w:name w:val="书籍标题1"/>
    <w:qFormat/>
    <w:uiPriority w:val="99"/>
    <w:rPr>
      <w:b/>
      <w:bCs/>
      <w:smallCaps/>
      <w:spacing w:val="5"/>
    </w:rPr>
  </w:style>
  <w:style w:type="character" w:customStyle="1" w:styleId="130">
    <w:name w:val="Document Map Char"/>
    <w:qFormat/>
    <w:uiPriority w:val="99"/>
    <w:rPr>
      <w:rFonts w:eastAsia="宋体"/>
      <w:kern w:val="2"/>
      <w:sz w:val="24"/>
      <w:szCs w:val="24"/>
      <w:lang w:val="en-US" w:eastAsia="zh-CN"/>
    </w:rPr>
  </w:style>
  <w:style w:type="character" w:customStyle="1" w:styleId="131">
    <w:name w:val="Balloon Text Char"/>
    <w:qFormat/>
    <w:uiPriority w:val="99"/>
    <w:rPr>
      <w:sz w:val="18"/>
      <w:szCs w:val="18"/>
    </w:rPr>
  </w:style>
  <w:style w:type="character" w:customStyle="1" w:styleId="132">
    <w:name w:val="明显参考1"/>
    <w:qFormat/>
    <w:uiPriority w:val="99"/>
    <w:rPr>
      <w:b/>
      <w:bCs/>
      <w:smallCaps/>
      <w:color w:val="auto"/>
      <w:spacing w:val="5"/>
      <w:u w:val="single"/>
    </w:rPr>
  </w:style>
  <w:style w:type="character" w:customStyle="1" w:styleId="133">
    <w:name w:val="纯文本 Char1"/>
    <w:qFormat/>
    <w:uiPriority w:val="0"/>
    <w:rPr>
      <w:rFonts w:ascii="宋体" w:hAnsi="Courier New" w:eastAsia="宋体"/>
      <w:b/>
      <w:bCs/>
      <w:kern w:val="2"/>
      <w:sz w:val="21"/>
      <w:szCs w:val="32"/>
      <w:lang w:val="en-US" w:eastAsia="zh-CN" w:bidi="ar-SA"/>
    </w:rPr>
  </w:style>
  <w:style w:type="character" w:customStyle="1" w:styleId="134">
    <w:name w:val="Body Text Indent Char"/>
    <w:qFormat/>
    <w:uiPriority w:val="99"/>
    <w:rPr>
      <w:rFonts w:ascii="宋体" w:hAnsi="宋体" w:eastAsia="宋体" w:cs="宋体"/>
      <w:kern w:val="2"/>
      <w:sz w:val="21"/>
      <w:szCs w:val="21"/>
      <w:lang w:val="en-US" w:eastAsia="zh-CN"/>
    </w:rPr>
  </w:style>
  <w:style w:type="character" w:customStyle="1" w:styleId="135">
    <w:name w:val="列出段落 Char"/>
    <w:link w:val="136"/>
    <w:qFormat/>
    <w:uiPriority w:val="0"/>
    <w:rPr>
      <w:rFonts w:ascii="Calibri" w:hAnsi="Calibri"/>
      <w:kern w:val="2"/>
      <w:sz w:val="21"/>
      <w:szCs w:val="22"/>
    </w:rPr>
  </w:style>
  <w:style w:type="paragraph" w:styleId="136">
    <w:name w:val="List Paragraph"/>
    <w:basedOn w:val="1"/>
    <w:link w:val="135"/>
    <w:qFormat/>
    <w:uiPriority w:val="0"/>
    <w:pPr>
      <w:ind w:firstLine="420" w:firstLineChars="200"/>
    </w:pPr>
    <w:rPr>
      <w:rFonts w:ascii="Calibri" w:hAnsi="Calibri"/>
      <w:szCs w:val="22"/>
    </w:rPr>
  </w:style>
  <w:style w:type="character" w:customStyle="1" w:styleId="137">
    <w:name w:val="文档结构图 Char1"/>
    <w:qFormat/>
    <w:uiPriority w:val="99"/>
    <w:rPr>
      <w:rFonts w:ascii="宋体" w:hAnsi="Times New Roman" w:eastAsia="宋体" w:cs="宋体"/>
      <w:sz w:val="18"/>
      <w:szCs w:val="18"/>
    </w:rPr>
  </w:style>
  <w:style w:type="character" w:customStyle="1" w:styleId="138">
    <w:name w:val="批注文字 Char Char"/>
    <w:qFormat/>
    <w:uiPriority w:val="99"/>
    <w:rPr>
      <w:rFonts w:ascii="宋体" w:hAnsi="Times New Roman" w:eastAsia="宋体" w:cs="宋体"/>
      <w:sz w:val="20"/>
      <w:szCs w:val="20"/>
    </w:rPr>
  </w:style>
  <w:style w:type="character" w:customStyle="1" w:styleId="139">
    <w:name w:val="Body Text Indent 2 Char"/>
    <w:qFormat/>
    <w:uiPriority w:val="99"/>
    <w:rPr>
      <w:rFonts w:eastAsia="宋体"/>
      <w:kern w:val="2"/>
      <w:sz w:val="24"/>
      <w:szCs w:val="24"/>
      <w:lang w:val="en-US" w:eastAsia="zh-CN"/>
    </w:rPr>
  </w:style>
  <w:style w:type="character" w:customStyle="1" w:styleId="140">
    <w:name w:val="Char Char23"/>
    <w:qFormat/>
    <w:uiPriority w:val="99"/>
    <w:rPr>
      <w:rFonts w:eastAsia="宋体"/>
      <w:b/>
      <w:bCs/>
      <w:kern w:val="44"/>
      <w:sz w:val="44"/>
      <w:szCs w:val="44"/>
      <w:lang w:val="en-US" w:eastAsia="zh-CN"/>
    </w:rPr>
  </w:style>
  <w:style w:type="character" w:customStyle="1" w:styleId="141">
    <w:name w:val="批注文字 Char1"/>
    <w:qFormat/>
    <w:uiPriority w:val="99"/>
    <w:rPr>
      <w:rFonts w:ascii="Times New Roman" w:hAnsi="Times New Roman" w:eastAsia="宋体" w:cs="Times New Roman"/>
      <w:sz w:val="24"/>
      <w:szCs w:val="24"/>
    </w:rPr>
  </w:style>
  <w:style w:type="character" w:customStyle="1" w:styleId="142">
    <w:name w:val="引用 Char"/>
    <w:link w:val="143"/>
    <w:qFormat/>
    <w:locked/>
    <w:uiPriority w:val="99"/>
    <w:rPr>
      <w:i/>
      <w:iCs/>
      <w:color w:val="000000"/>
    </w:rPr>
  </w:style>
  <w:style w:type="paragraph" w:customStyle="1" w:styleId="143">
    <w:name w:val="引用1"/>
    <w:basedOn w:val="1"/>
    <w:next w:val="1"/>
    <w:link w:val="142"/>
    <w:qFormat/>
    <w:uiPriority w:val="99"/>
    <w:rPr>
      <w:i/>
      <w:iCs/>
      <w:color w:val="000000"/>
      <w:kern w:val="0"/>
      <w:sz w:val="20"/>
      <w:szCs w:val="20"/>
    </w:rPr>
  </w:style>
  <w:style w:type="character" w:customStyle="1" w:styleId="144">
    <w:name w:val="Date Char"/>
    <w:qFormat/>
    <w:uiPriority w:val="99"/>
    <w:rPr>
      <w:rFonts w:eastAsia="宋体"/>
      <w:kern w:val="2"/>
      <w:sz w:val="24"/>
      <w:szCs w:val="24"/>
      <w:lang w:val="en-US" w:eastAsia="zh-CN"/>
    </w:rPr>
  </w:style>
  <w:style w:type="character" w:customStyle="1" w:styleId="145">
    <w:name w:val="Heading 2 Char"/>
    <w:qFormat/>
    <w:uiPriority w:val="99"/>
    <w:rPr>
      <w:rFonts w:ascii="Arial" w:hAnsi="Arial" w:eastAsia="黑体" w:cs="Arial"/>
      <w:b/>
      <w:bCs/>
      <w:kern w:val="2"/>
      <w:sz w:val="32"/>
      <w:szCs w:val="32"/>
      <w:lang w:val="en-US" w:eastAsia="zh-CN"/>
    </w:rPr>
  </w:style>
  <w:style w:type="character" w:customStyle="1" w:styleId="146">
    <w:name w:val="正文文本 3 Char1"/>
    <w:qFormat/>
    <w:uiPriority w:val="0"/>
    <w:rPr>
      <w:kern w:val="2"/>
      <w:sz w:val="16"/>
      <w:szCs w:val="16"/>
    </w:rPr>
  </w:style>
  <w:style w:type="character" w:customStyle="1" w:styleId="147">
    <w:name w:val="Char Char19"/>
    <w:qFormat/>
    <w:uiPriority w:val="99"/>
    <w:rPr>
      <w:rFonts w:ascii="Arial" w:hAnsi="Arial" w:eastAsia="宋体" w:cs="Arial"/>
      <w:b/>
      <w:bCs/>
      <w:sz w:val="28"/>
      <w:szCs w:val="28"/>
    </w:rPr>
  </w:style>
  <w:style w:type="character" w:customStyle="1" w:styleId="148">
    <w:name w:val="font5 Char"/>
    <w:qFormat/>
    <w:uiPriority w:val="0"/>
    <w:rPr>
      <w:rFonts w:ascii="宋体" w:hAnsi="宋体" w:eastAsia="宋体"/>
      <w:sz w:val="24"/>
      <w:szCs w:val="24"/>
      <w:lang w:val="en-US" w:eastAsia="zh-CN" w:bidi="ar-SA"/>
    </w:rPr>
  </w:style>
  <w:style w:type="character" w:customStyle="1" w:styleId="149">
    <w:name w:val="标题5 Char Char"/>
    <w:link w:val="150"/>
    <w:qFormat/>
    <w:locked/>
    <w:uiPriority w:val="99"/>
    <w:rPr>
      <w:rFonts w:ascii="Arial" w:hAnsi="Arial" w:cs="Arial"/>
      <w:b/>
      <w:bCs/>
      <w:sz w:val="32"/>
      <w:szCs w:val="32"/>
    </w:rPr>
  </w:style>
  <w:style w:type="paragraph" w:customStyle="1" w:styleId="150">
    <w:name w:val="标题5"/>
    <w:basedOn w:val="5"/>
    <w:link w:val="149"/>
    <w:qFormat/>
    <w:uiPriority w:val="99"/>
    <w:pPr>
      <w:spacing w:line="413" w:lineRule="auto"/>
    </w:pPr>
    <w:rPr>
      <w:rFonts w:ascii="Arial" w:hAnsi="Arial"/>
      <w:kern w:val="0"/>
    </w:rPr>
  </w:style>
  <w:style w:type="character" w:customStyle="1" w:styleId="151">
    <w:name w:val="Char Char24"/>
    <w:qFormat/>
    <w:uiPriority w:val="99"/>
    <w:rPr>
      <w:rFonts w:eastAsia="宋体"/>
      <w:b/>
      <w:bCs/>
      <w:kern w:val="44"/>
      <w:sz w:val="44"/>
      <w:szCs w:val="44"/>
      <w:lang w:val="en-US" w:eastAsia="zh-CN"/>
    </w:rPr>
  </w:style>
  <w:style w:type="character" w:customStyle="1" w:styleId="152">
    <w:name w:val="Heading 3 Char1"/>
    <w:qFormat/>
    <w:uiPriority w:val="99"/>
    <w:rPr>
      <w:rFonts w:eastAsia="宋体"/>
      <w:b/>
      <w:bCs/>
      <w:kern w:val="2"/>
      <w:sz w:val="32"/>
      <w:szCs w:val="32"/>
      <w:lang w:val="en-US" w:eastAsia="zh-CN"/>
    </w:rPr>
  </w:style>
  <w:style w:type="character" w:customStyle="1" w:styleId="153">
    <w:name w:val="标题 Char1"/>
    <w:qFormat/>
    <w:uiPriority w:val="99"/>
    <w:rPr>
      <w:rFonts w:ascii="Cambria" w:hAnsi="Cambria" w:eastAsia="宋体" w:cs="Cambria"/>
      <w:b/>
      <w:bCs/>
      <w:sz w:val="32"/>
      <w:szCs w:val="32"/>
    </w:rPr>
  </w:style>
  <w:style w:type="character" w:customStyle="1" w:styleId="154">
    <w:name w:val="明显引用 Char1"/>
    <w:qFormat/>
    <w:uiPriority w:val="99"/>
    <w:rPr>
      <w:rFonts w:ascii="Times New Roman" w:hAnsi="Times New Roman" w:eastAsia="宋体" w:cs="Times New Roman"/>
      <w:b/>
      <w:bCs/>
      <w:i/>
      <w:iCs/>
      <w:color w:val="4F81BD"/>
      <w:sz w:val="24"/>
      <w:szCs w:val="24"/>
    </w:rPr>
  </w:style>
  <w:style w:type="character" w:customStyle="1" w:styleId="155">
    <w:name w:val="Char Char91"/>
    <w:qFormat/>
    <w:uiPriority w:val="99"/>
    <w:rPr>
      <w:rFonts w:eastAsia="宋体"/>
      <w:b/>
      <w:bCs/>
      <w:kern w:val="44"/>
      <w:sz w:val="44"/>
      <w:szCs w:val="44"/>
      <w:lang w:val="en-US" w:eastAsia="zh-CN"/>
    </w:rPr>
  </w:style>
  <w:style w:type="paragraph" w:customStyle="1" w:styleId="156">
    <w:name w:val="表头"/>
    <w:basedOn w:val="1"/>
    <w:qFormat/>
    <w:uiPriority w:val="0"/>
    <w:pPr>
      <w:spacing w:line="300" w:lineRule="auto"/>
      <w:jc w:val="center"/>
    </w:pPr>
    <w:rPr>
      <w:rFonts w:eastAsia="黑体" w:cs="华文细黑"/>
      <w:color w:val="000000"/>
    </w:rPr>
  </w:style>
  <w:style w:type="paragraph" w:customStyle="1" w:styleId="157">
    <w:name w:val="Char Char Char Char Char Char Char"/>
    <w:basedOn w:val="1"/>
    <w:qFormat/>
    <w:uiPriority w:val="0"/>
  </w:style>
  <w:style w:type="paragraph" w:customStyle="1" w:styleId="158">
    <w:name w:val="Normal_0"/>
    <w:basedOn w:val="159"/>
    <w:qFormat/>
    <w:uiPriority w:val="0"/>
    <w:pPr>
      <w:widowControl/>
      <w:spacing w:line="384" w:lineRule="auto"/>
      <w:jc w:val="left"/>
    </w:pPr>
    <w:rPr>
      <w:rFonts w:ascii="宋体" w:hAnsi="宋体" w:cs="宋体"/>
      <w:kern w:val="0"/>
      <w:sz w:val="24"/>
      <w:szCs w:val="24"/>
    </w:rPr>
  </w:style>
  <w:style w:type="paragraph" w:customStyle="1" w:styleId="159">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0">
    <w:name w:val="xl34"/>
    <w:basedOn w:val="1"/>
    <w:qFormat/>
    <w:uiPriority w:val="0"/>
    <w:pPr>
      <w:widowControl/>
      <w:pBdr>
        <w:left w:val="single" w:color="auto" w:sz="4" w:space="0"/>
        <w:right w:val="single" w:color="auto" w:sz="4" w:space="0"/>
      </w:pBdr>
      <w:spacing w:before="100" w:after="100"/>
      <w:jc w:val="center"/>
    </w:pPr>
    <w:rPr>
      <w:rFonts w:ascii="宋体" w:hAnsi="宋体"/>
      <w:kern w:val="0"/>
      <w:sz w:val="24"/>
      <w:szCs w:val="20"/>
    </w:rPr>
  </w:style>
  <w:style w:type="paragraph" w:customStyle="1" w:styleId="161">
    <w:name w:val="样式1"/>
    <w:basedOn w:val="1"/>
    <w:next w:val="2"/>
    <w:qFormat/>
    <w:uiPriority w:val="99"/>
    <w:pPr>
      <w:spacing w:line="360" w:lineRule="auto"/>
      <w:ind w:firstLine="420" w:firstLineChars="200"/>
    </w:pPr>
    <w:rPr>
      <w:rFonts w:ascii="宋体" w:hAnsi="宋体" w:cs="宋体"/>
      <w:szCs w:val="21"/>
    </w:rPr>
  </w:style>
  <w:style w:type="paragraph" w:customStyle="1" w:styleId="162">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163">
    <w:name w:val="z-窗体顶端1"/>
    <w:basedOn w:val="1"/>
    <w:next w:val="1"/>
    <w:qFormat/>
    <w:uiPriority w:val="0"/>
    <w:pPr>
      <w:widowControl/>
      <w:pBdr>
        <w:bottom w:val="single" w:color="auto" w:sz="6" w:space="1"/>
      </w:pBdr>
      <w:jc w:val="center"/>
    </w:pPr>
    <w:rPr>
      <w:rFonts w:ascii="Arial" w:hAnsi="Arial" w:cs="Arial"/>
      <w:vanish/>
      <w:color w:val="000000"/>
      <w:kern w:val="0"/>
      <w:sz w:val="16"/>
      <w:szCs w:val="16"/>
    </w:rPr>
  </w:style>
  <w:style w:type="paragraph" w:customStyle="1" w:styleId="164">
    <w:name w:val="空半行"/>
    <w:basedOn w:val="1"/>
    <w:qFormat/>
    <w:uiPriority w:val="99"/>
    <w:pPr>
      <w:adjustRightInd w:val="0"/>
      <w:spacing w:line="120" w:lineRule="exact"/>
      <w:textAlignment w:val="baseline"/>
    </w:pPr>
    <w:rPr>
      <w:rFonts w:eastAsia="仿宋_GB2312"/>
      <w:color w:val="FFFFFF"/>
      <w:kern w:val="0"/>
      <w:sz w:val="30"/>
      <w:szCs w:val="30"/>
    </w:rPr>
  </w:style>
  <w:style w:type="paragraph" w:customStyle="1" w:styleId="16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166">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67">
    <w:name w:val="2-2ji"/>
    <w:basedOn w:val="4"/>
    <w:qFormat/>
    <w:uiPriority w:val="99"/>
    <w:pPr>
      <w:spacing w:before="0" w:after="0" w:line="360" w:lineRule="auto"/>
      <w:jc w:val="center"/>
    </w:pPr>
    <w:rPr>
      <w:rFonts w:ascii="宋体" w:hAnsi="宋体" w:eastAsia="宋体" w:cs="宋体"/>
      <w:sz w:val="36"/>
      <w:szCs w:val="36"/>
      <w:lang w:val="zh-CN"/>
    </w:rPr>
  </w:style>
  <w:style w:type="paragraph" w:customStyle="1" w:styleId="168">
    <w:name w:val="Char Char Char2 Char"/>
    <w:basedOn w:val="1"/>
    <w:qFormat/>
    <w:uiPriority w:val="0"/>
    <w:pPr>
      <w:tabs>
        <w:tab w:val="left" w:pos="815"/>
      </w:tabs>
      <w:ind w:left="815" w:hanging="360"/>
    </w:pPr>
  </w:style>
  <w:style w:type="paragraph" w:customStyle="1" w:styleId="169">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17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71">
    <w:name w:val="Char Char Char Char"/>
    <w:basedOn w:val="1"/>
    <w:qFormat/>
    <w:uiPriority w:val="99"/>
    <w:pPr>
      <w:widowControl/>
      <w:spacing w:line="500" w:lineRule="exact"/>
      <w:outlineLvl w:val="2"/>
    </w:pPr>
    <w:rPr>
      <w:rFonts w:ascii="黑体" w:hAnsi="Verdana" w:eastAsia="黑体" w:cs="黑体"/>
      <w:kern w:val="0"/>
      <w:sz w:val="28"/>
      <w:szCs w:val="28"/>
      <w:lang w:eastAsia="en-US"/>
    </w:rPr>
  </w:style>
  <w:style w:type="paragraph" w:customStyle="1" w:styleId="172">
    <w:name w:val="head4"/>
    <w:basedOn w:val="1"/>
    <w:qFormat/>
    <w:uiPriority w:val="0"/>
    <w:pPr>
      <w:widowControl/>
      <w:overflowPunct w:val="0"/>
      <w:autoSpaceDE w:val="0"/>
      <w:autoSpaceDN w:val="0"/>
      <w:adjustRightInd w:val="0"/>
      <w:spacing w:before="120" w:line="360" w:lineRule="auto"/>
      <w:textAlignment w:val="baseline"/>
    </w:pPr>
    <w:rPr>
      <w:rFonts w:ascii="¿¬Ìå" w:hAnsi="¿¬Ìå"/>
      <w:kern w:val="0"/>
      <w:sz w:val="24"/>
    </w:rPr>
  </w:style>
  <w:style w:type="paragraph" w:customStyle="1" w:styleId="173">
    <w:name w:val="简单回函地址"/>
    <w:basedOn w:val="1"/>
    <w:qFormat/>
    <w:uiPriority w:val="0"/>
    <w:rPr>
      <w:rFonts w:ascii="仿宋_GB2312" w:hAnsi="宋体" w:eastAsia="仿宋_GB2312"/>
      <w:bCs/>
      <w:sz w:val="30"/>
      <w:szCs w:val="20"/>
    </w:rPr>
  </w:style>
  <w:style w:type="paragraph" w:customStyle="1" w:styleId="174">
    <w:name w:val="TOC 标题1"/>
    <w:basedOn w:val="3"/>
    <w:next w:val="1"/>
    <w:qFormat/>
    <w:uiPriority w:val="99"/>
    <w:pPr>
      <w:spacing w:line="576" w:lineRule="auto"/>
      <w:outlineLvl w:val="9"/>
    </w:pPr>
    <w:rPr>
      <w:rFonts w:ascii="Calibri" w:hAnsi="Calibri" w:eastAsia="黑体" w:cs="Calibri"/>
      <w:lang w:val="zh-CN"/>
    </w:rPr>
  </w:style>
  <w:style w:type="paragraph" w:customStyle="1" w:styleId="175">
    <w:name w:val="font7"/>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176">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Arial Unicode MS" w:hAnsi="Arial Unicode MS"/>
      <w:kern w:val="0"/>
      <w:sz w:val="28"/>
      <w:szCs w:val="28"/>
    </w:rPr>
  </w:style>
  <w:style w:type="paragraph" w:customStyle="1" w:styleId="177">
    <w:name w:val="font8"/>
    <w:basedOn w:val="1"/>
    <w:qFormat/>
    <w:uiPriority w:val="0"/>
    <w:pPr>
      <w:widowControl/>
      <w:spacing w:before="100" w:beforeAutospacing="1" w:after="100" w:afterAutospacing="1"/>
      <w:jc w:val="left"/>
    </w:pPr>
    <w:rPr>
      <w:rFonts w:hint="eastAsia" w:ascii="宋体" w:hAnsi="宋体"/>
      <w:kern w:val="0"/>
      <w:sz w:val="40"/>
      <w:szCs w:val="40"/>
    </w:rPr>
  </w:style>
  <w:style w:type="paragraph" w:customStyle="1" w:styleId="178">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b/>
      <w:bCs/>
      <w:kern w:val="0"/>
      <w:sz w:val="24"/>
    </w:rPr>
  </w:style>
  <w:style w:type="paragraph" w:customStyle="1" w:styleId="179">
    <w:name w:val="xl44"/>
    <w:basedOn w:val="1"/>
    <w:qFormat/>
    <w:uiPriority w:val="0"/>
    <w:pPr>
      <w:widowControl/>
      <w:pBdr>
        <w:bottom w:val="single" w:color="auto" w:sz="4" w:space="0"/>
      </w:pBdr>
      <w:spacing w:before="100" w:beforeAutospacing="1" w:after="100" w:afterAutospacing="1"/>
      <w:jc w:val="center"/>
    </w:pPr>
    <w:rPr>
      <w:rFonts w:ascii="Arial Unicode MS" w:hAnsi="Arial Unicode MS"/>
      <w:kern w:val="0"/>
      <w:sz w:val="24"/>
    </w:rPr>
  </w:style>
  <w:style w:type="paragraph" w:customStyle="1" w:styleId="180">
    <w:name w:val="正文_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81">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82">
    <w:name w:val="font6"/>
    <w:basedOn w:val="1"/>
    <w:qFormat/>
    <w:uiPriority w:val="0"/>
    <w:pPr>
      <w:widowControl/>
      <w:spacing w:before="100" w:beforeAutospacing="1" w:after="100" w:afterAutospacing="1"/>
      <w:jc w:val="left"/>
    </w:pPr>
    <w:rPr>
      <w:kern w:val="0"/>
      <w:sz w:val="24"/>
    </w:rPr>
  </w:style>
  <w:style w:type="paragraph" w:customStyle="1" w:styleId="183">
    <w:name w:val="font9"/>
    <w:basedOn w:val="1"/>
    <w:qFormat/>
    <w:uiPriority w:val="0"/>
    <w:pPr>
      <w:widowControl/>
      <w:spacing w:before="100" w:beforeAutospacing="1" w:after="100" w:afterAutospacing="1"/>
      <w:jc w:val="left"/>
    </w:pPr>
    <w:rPr>
      <w:kern w:val="0"/>
      <w:sz w:val="40"/>
      <w:szCs w:val="40"/>
    </w:rPr>
  </w:style>
  <w:style w:type="paragraph" w:customStyle="1" w:styleId="184">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18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186">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4"/>
    </w:rPr>
  </w:style>
  <w:style w:type="paragraph" w:customStyle="1" w:styleId="18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188">
    <w:name w:val="样式 行距: 固定值 25 磅"/>
    <w:basedOn w:val="1"/>
    <w:qFormat/>
    <w:uiPriority w:val="0"/>
    <w:pPr>
      <w:spacing w:line="500" w:lineRule="exact"/>
    </w:pPr>
    <w:rPr>
      <w:rFonts w:cs="宋体"/>
      <w:sz w:val="28"/>
      <w:szCs w:val="20"/>
    </w:rPr>
  </w:style>
  <w:style w:type="paragraph" w:customStyle="1" w:styleId="189">
    <w:name w:val="Char Char Char Char Char Char Char Char Char1 Char Char Char Char Char Char Char Char Char Char Char Char Char"/>
    <w:basedOn w:val="3"/>
    <w:qFormat/>
    <w:uiPriority w:val="0"/>
    <w:pPr>
      <w:snapToGrid w:val="0"/>
      <w:spacing w:before="240" w:after="240" w:line="348" w:lineRule="auto"/>
    </w:pPr>
  </w:style>
  <w:style w:type="paragraph" w:customStyle="1" w:styleId="190">
    <w:name w:val="表格"/>
    <w:basedOn w:val="1"/>
    <w:qFormat/>
    <w:uiPriority w:val="0"/>
    <w:pPr>
      <w:jc w:val="center"/>
      <w:textAlignment w:val="center"/>
    </w:pPr>
    <w:rPr>
      <w:rFonts w:ascii="华文细黑" w:hAnsi="华文细黑"/>
      <w:kern w:val="0"/>
      <w:szCs w:val="20"/>
    </w:rPr>
  </w:style>
  <w:style w:type="paragraph" w:customStyle="1" w:styleId="191">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92">
    <w:name w:val="标题2"/>
    <w:basedOn w:val="4"/>
    <w:next w:val="1"/>
    <w:qFormat/>
    <w:uiPriority w:val="0"/>
    <w:pPr>
      <w:snapToGrid w:val="0"/>
      <w:spacing w:before="120" w:after="120" w:line="240" w:lineRule="auto"/>
      <w:jc w:val="left"/>
    </w:pPr>
    <w:rPr>
      <w:b w:val="0"/>
      <w:bCs w:val="0"/>
      <w:sz w:val="21"/>
      <w:szCs w:val="21"/>
    </w:rPr>
  </w:style>
  <w:style w:type="paragraph" w:customStyle="1" w:styleId="193">
    <w:name w:val="正文段"/>
    <w:basedOn w:val="1"/>
    <w:qFormat/>
    <w:uiPriority w:val="0"/>
    <w:pPr>
      <w:widowControl/>
      <w:snapToGrid w:val="0"/>
      <w:spacing w:afterLines="50"/>
      <w:ind w:firstLine="200" w:firstLineChars="200"/>
    </w:pPr>
    <w:rPr>
      <w:kern w:val="0"/>
      <w:sz w:val="24"/>
      <w:szCs w:val="20"/>
    </w:rPr>
  </w:style>
  <w:style w:type="paragraph" w:customStyle="1" w:styleId="194">
    <w:name w:val="修订11"/>
    <w:qFormat/>
    <w:uiPriority w:val="99"/>
    <w:rPr>
      <w:rFonts w:ascii="Times New Roman" w:hAnsi="Times New Roman" w:eastAsia="宋体" w:cs="Times New Roman"/>
      <w:kern w:val="2"/>
      <w:sz w:val="21"/>
      <w:szCs w:val="21"/>
      <w:lang w:val="en-US" w:eastAsia="zh-CN" w:bidi="ar-SA"/>
    </w:rPr>
  </w:style>
  <w:style w:type="paragraph" w:customStyle="1" w:styleId="195">
    <w:name w:val="p0"/>
    <w:basedOn w:val="1"/>
    <w:qFormat/>
    <w:uiPriority w:val="99"/>
    <w:pPr>
      <w:widowControl/>
      <w:spacing w:before="100" w:beforeAutospacing="1" w:after="100" w:afterAutospacing="1" w:line="312" w:lineRule="auto"/>
      <w:jc w:val="left"/>
    </w:pPr>
    <w:rPr>
      <w:rFonts w:ascii="宋体" w:hAnsi="宋体" w:cs="宋体"/>
      <w:kern w:val="0"/>
      <w:sz w:val="24"/>
    </w:rPr>
  </w:style>
  <w:style w:type="paragraph" w:customStyle="1" w:styleId="196">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197">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4"/>
    </w:rPr>
  </w:style>
  <w:style w:type="paragraph" w:customStyle="1" w:styleId="198">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b/>
      <w:bCs/>
      <w:kern w:val="0"/>
      <w:sz w:val="24"/>
    </w:rPr>
  </w:style>
  <w:style w:type="paragraph" w:customStyle="1" w:styleId="199">
    <w:name w:val="1"/>
    <w:basedOn w:val="1"/>
    <w:next w:val="24"/>
    <w:qFormat/>
    <w:uiPriority w:val="99"/>
    <w:rPr>
      <w:rFonts w:ascii="宋体" w:hAnsi="Courier New"/>
      <w:szCs w:val="20"/>
    </w:rPr>
  </w:style>
  <w:style w:type="paragraph" w:customStyle="1" w:styleId="200">
    <w:name w:val="文件目录"/>
    <w:basedOn w:val="1"/>
    <w:qFormat/>
    <w:uiPriority w:val="0"/>
    <w:pPr>
      <w:spacing w:line="600" w:lineRule="exact"/>
      <w:jc w:val="left"/>
    </w:pPr>
    <w:rPr>
      <w:b/>
      <w:sz w:val="30"/>
      <w:szCs w:val="20"/>
    </w:rPr>
  </w:style>
  <w:style w:type="paragraph" w:customStyle="1" w:styleId="201">
    <w:name w:val="font5"/>
    <w:basedOn w:val="1"/>
    <w:qFormat/>
    <w:uiPriority w:val="0"/>
    <w:pPr>
      <w:widowControl/>
      <w:spacing w:before="100" w:beforeAutospacing="1" w:after="100" w:afterAutospacing="1"/>
      <w:jc w:val="left"/>
    </w:pPr>
    <w:rPr>
      <w:rFonts w:ascii="宋体" w:hAnsi="宋体"/>
      <w:kern w:val="0"/>
      <w:sz w:val="24"/>
    </w:rPr>
  </w:style>
  <w:style w:type="paragraph" w:customStyle="1" w:styleId="202">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kern w:val="0"/>
      <w:sz w:val="24"/>
    </w:rPr>
  </w:style>
  <w:style w:type="paragraph" w:customStyle="1" w:styleId="203">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04">
    <w:name w:val="Char Char Char Char Char Char Char Char Char Char Char Char Char Char Char Char Char Char Char"/>
    <w:basedOn w:val="1"/>
    <w:semiHidden/>
    <w:qFormat/>
    <w:uiPriority w:val="0"/>
  </w:style>
  <w:style w:type="paragraph" w:customStyle="1" w:styleId="205">
    <w:name w:val="_Style 37"/>
    <w:basedOn w:val="1"/>
    <w:next w:val="1"/>
    <w:qFormat/>
    <w:uiPriority w:val="99"/>
    <w:rPr>
      <w:szCs w:val="21"/>
    </w:rPr>
  </w:style>
  <w:style w:type="paragraph" w:customStyle="1" w:styleId="206">
    <w:name w:val="正文文本 21"/>
    <w:basedOn w:val="1"/>
    <w:qFormat/>
    <w:uiPriority w:val="0"/>
    <w:pPr>
      <w:adjustRightInd w:val="0"/>
      <w:spacing w:line="460" w:lineRule="exact"/>
      <w:ind w:firstLine="635"/>
      <w:jc w:val="left"/>
      <w:textAlignment w:val="baseline"/>
    </w:pPr>
    <w:rPr>
      <w:sz w:val="28"/>
      <w:szCs w:val="20"/>
    </w:rPr>
  </w:style>
  <w:style w:type="paragraph" w:customStyle="1" w:styleId="20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208">
    <w:name w:val="text"/>
    <w:basedOn w:val="1"/>
    <w:qFormat/>
    <w:uiPriority w:val="0"/>
    <w:pPr>
      <w:overflowPunct w:val="0"/>
      <w:autoSpaceDE w:val="0"/>
      <w:autoSpaceDN w:val="0"/>
      <w:adjustRightInd w:val="0"/>
      <w:spacing w:before="120" w:after="120"/>
      <w:ind w:left="864"/>
      <w:textAlignment w:val="baseline"/>
    </w:pPr>
    <w:rPr>
      <w:rFonts w:ascii="宋体"/>
      <w:spacing w:val="-14"/>
      <w:kern w:val="0"/>
      <w:sz w:val="24"/>
    </w:rPr>
  </w:style>
  <w:style w:type="paragraph" w:customStyle="1" w:styleId="209">
    <w:name w:val="Default"/>
    <w:qFormat/>
    <w:uiPriority w:val="0"/>
    <w:pPr>
      <w:widowControl w:val="0"/>
      <w:autoSpaceDE w:val="0"/>
      <w:autoSpaceDN w:val="0"/>
      <w:adjustRightInd w:val="0"/>
    </w:pPr>
    <w:rPr>
      <w:rFonts w:ascii="Times New Roman" w:hAnsi="Times New Roman" w:eastAsia="宋体" w:cs="Times New Roman"/>
      <w:color w:val="000000"/>
      <w:kern w:val="2"/>
      <w:sz w:val="24"/>
      <w:szCs w:val="24"/>
      <w:lang w:val="en-US" w:eastAsia="zh-CN" w:bidi="ar-SA"/>
    </w:rPr>
  </w:style>
  <w:style w:type="paragraph" w:customStyle="1" w:styleId="210">
    <w:name w:val="Char1"/>
    <w:basedOn w:val="1"/>
    <w:qFormat/>
    <w:uiPriority w:val="99"/>
    <w:pPr>
      <w:widowControl/>
      <w:spacing w:after="160" w:line="240" w:lineRule="exact"/>
      <w:jc w:val="left"/>
    </w:pPr>
    <w:rPr>
      <w:szCs w:val="21"/>
    </w:rPr>
  </w:style>
  <w:style w:type="paragraph" w:customStyle="1" w:styleId="211">
    <w:name w:val="p17"/>
    <w:basedOn w:val="1"/>
    <w:qFormat/>
    <w:uiPriority w:val="0"/>
    <w:pPr>
      <w:widowControl/>
      <w:spacing w:before="100" w:beforeAutospacing="1" w:after="100" w:afterAutospacing="1" w:line="312" w:lineRule="auto"/>
      <w:jc w:val="left"/>
    </w:pPr>
    <w:rPr>
      <w:rFonts w:ascii="宋体" w:hAnsi="宋体" w:cs="宋体"/>
      <w:kern w:val="0"/>
      <w:sz w:val="24"/>
    </w:rPr>
  </w:style>
  <w:style w:type="paragraph" w:customStyle="1" w:styleId="212">
    <w:name w:val="xl27"/>
    <w:basedOn w:val="1"/>
    <w:qFormat/>
    <w:uiPriority w:val="0"/>
    <w:pPr>
      <w:widowControl/>
      <w:pBdr>
        <w:bottom w:val="single" w:color="auto" w:sz="4" w:space="0"/>
        <w:right w:val="single" w:color="auto" w:sz="4" w:space="0"/>
      </w:pBdr>
      <w:spacing w:before="100" w:beforeAutospacing="1" w:after="100" w:afterAutospacing="1"/>
      <w:jc w:val="center"/>
    </w:pPr>
    <w:rPr>
      <w:kern w:val="0"/>
      <w:sz w:val="24"/>
    </w:rPr>
  </w:style>
  <w:style w:type="paragraph" w:customStyle="1" w:styleId="213">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214">
    <w:name w:val="flNote"/>
    <w:basedOn w:val="1"/>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customStyle="1" w:styleId="215">
    <w:name w:val="文件标题"/>
    <w:basedOn w:val="1"/>
    <w:qFormat/>
    <w:uiPriority w:val="0"/>
    <w:pPr>
      <w:jc w:val="center"/>
    </w:pPr>
    <w:rPr>
      <w:b/>
      <w:sz w:val="36"/>
      <w:szCs w:val="20"/>
    </w:rPr>
  </w:style>
  <w:style w:type="paragraph" w:customStyle="1" w:styleId="216">
    <w:name w:val="head1"/>
    <w:basedOn w:val="1"/>
    <w:qFormat/>
    <w:uiPriority w:val="0"/>
    <w:pPr>
      <w:widowControl/>
      <w:tabs>
        <w:tab w:val="left" w:pos="1680"/>
      </w:tabs>
      <w:overflowPunct w:val="0"/>
      <w:autoSpaceDE w:val="0"/>
      <w:autoSpaceDN w:val="0"/>
      <w:adjustRightInd w:val="0"/>
      <w:spacing w:before="60" w:after="60"/>
      <w:ind w:left="1680"/>
      <w:jc w:val="left"/>
      <w:textAlignment w:val="baseline"/>
      <w:outlineLvl w:val="0"/>
    </w:pPr>
    <w:rPr>
      <w:rFonts w:ascii="黑体" w:hAnsi="¿¬Ìå" w:eastAsia="黑体"/>
      <w:kern w:val="0"/>
      <w:sz w:val="30"/>
      <w:szCs w:val="30"/>
    </w:rPr>
  </w:style>
  <w:style w:type="paragraph" w:customStyle="1" w:styleId="217">
    <w:name w:val="xl47"/>
    <w:basedOn w:val="1"/>
    <w:qFormat/>
    <w:uiPriority w:val="0"/>
    <w:pPr>
      <w:widowControl/>
      <w:spacing w:before="100" w:beforeAutospacing="1" w:after="100" w:afterAutospacing="1"/>
      <w:jc w:val="center"/>
    </w:pPr>
    <w:rPr>
      <w:rFonts w:ascii="宋体" w:hAnsi="宋体"/>
      <w:kern w:val="0"/>
      <w:sz w:val="28"/>
      <w:szCs w:val="28"/>
    </w:rPr>
  </w:style>
  <w:style w:type="paragraph" w:customStyle="1" w:styleId="218">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19">
    <w:name w:val="xl31"/>
    <w:basedOn w:val="1"/>
    <w:qFormat/>
    <w:uiPriority w:val="0"/>
    <w:pPr>
      <w:widowControl/>
      <w:spacing w:before="100" w:beforeAutospacing="1" w:after="100" w:afterAutospacing="1"/>
      <w:jc w:val="center"/>
    </w:pPr>
    <w:rPr>
      <w:rFonts w:ascii="宋体" w:hAnsi="宋体"/>
      <w:kern w:val="0"/>
      <w:sz w:val="24"/>
    </w:rPr>
  </w:style>
  <w:style w:type="paragraph" w:customStyle="1" w:styleId="220">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b/>
      <w:bCs/>
      <w:kern w:val="0"/>
      <w:sz w:val="24"/>
    </w:rPr>
  </w:style>
  <w:style w:type="paragraph" w:customStyle="1" w:styleId="221">
    <w:name w:val="reader-word-layer"/>
    <w:basedOn w:val="1"/>
    <w:qFormat/>
    <w:uiPriority w:val="99"/>
    <w:pPr>
      <w:widowControl/>
      <w:spacing w:before="100" w:beforeAutospacing="1" w:after="100" w:afterAutospacing="1"/>
      <w:jc w:val="left"/>
    </w:pPr>
    <w:rPr>
      <w:rFonts w:ascii="宋体" w:hAnsi="宋体" w:cs="宋体"/>
      <w:kern w:val="0"/>
      <w:sz w:val="24"/>
    </w:rPr>
  </w:style>
  <w:style w:type="paragraph" w:customStyle="1" w:styleId="222">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4"/>
    </w:rPr>
  </w:style>
  <w:style w:type="paragraph" w:customStyle="1" w:styleId="223">
    <w:name w:val="表格2"/>
    <w:basedOn w:val="1"/>
    <w:qFormat/>
    <w:uiPriority w:val="0"/>
    <w:pPr>
      <w:adjustRightInd w:val="0"/>
      <w:spacing w:before="60" w:after="60"/>
      <w:jc w:val="center"/>
    </w:pPr>
    <w:rPr>
      <w:rFonts w:ascii="宋体"/>
      <w:color w:val="000000"/>
      <w:kern w:val="0"/>
      <w:sz w:val="24"/>
      <w:szCs w:val="20"/>
    </w:rPr>
  </w:style>
  <w:style w:type="paragraph" w:customStyle="1" w:styleId="224">
    <w:name w:val="5 Char Char Char Char Char Char Char Char Char Char"/>
    <w:basedOn w:val="1"/>
    <w:qFormat/>
    <w:uiPriority w:val="0"/>
  </w:style>
  <w:style w:type="paragraph" w:customStyle="1" w:styleId="225">
    <w:name w:val="合同正文"/>
    <w:basedOn w:val="1"/>
    <w:qFormat/>
    <w:uiPriority w:val="0"/>
    <w:pPr>
      <w:adjustRightInd w:val="0"/>
      <w:spacing w:line="580" w:lineRule="exact"/>
    </w:pPr>
    <w:rPr>
      <w:b/>
      <w:sz w:val="24"/>
      <w:szCs w:val="20"/>
    </w:rPr>
  </w:style>
  <w:style w:type="paragraph" w:customStyle="1" w:styleId="226">
    <w:name w:val="Char"/>
    <w:basedOn w:val="1"/>
    <w:qFormat/>
    <w:uiPriority w:val="99"/>
    <w:pPr>
      <w:widowControl/>
      <w:spacing w:line="500" w:lineRule="exact"/>
      <w:outlineLvl w:val="2"/>
    </w:pPr>
    <w:rPr>
      <w:rFonts w:ascii="黑体" w:hAnsi="Verdana" w:eastAsia="黑体" w:cs="黑体"/>
      <w:kern w:val="0"/>
      <w:sz w:val="28"/>
      <w:szCs w:val="28"/>
      <w:lang w:eastAsia="en-US"/>
    </w:rPr>
  </w:style>
  <w:style w:type="paragraph" w:customStyle="1" w:styleId="22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b/>
      <w:bCs/>
      <w:kern w:val="0"/>
      <w:sz w:val="24"/>
    </w:rPr>
  </w:style>
  <w:style w:type="paragraph" w:customStyle="1" w:styleId="22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229">
    <w:name w:val="纯文本1"/>
    <w:basedOn w:val="1"/>
    <w:qFormat/>
    <w:uiPriority w:val="0"/>
    <w:pPr>
      <w:adjustRightInd w:val="0"/>
      <w:jc w:val="left"/>
      <w:textAlignment w:val="baseline"/>
    </w:pPr>
    <w:rPr>
      <w:rFonts w:ascii="宋体" w:hAnsi="Courier New"/>
      <w:szCs w:val="20"/>
    </w:rPr>
  </w:style>
  <w:style w:type="paragraph" w:customStyle="1" w:styleId="230">
    <w:name w:val="列出段落1"/>
    <w:basedOn w:val="1"/>
    <w:qFormat/>
    <w:uiPriority w:val="99"/>
    <w:pPr>
      <w:ind w:firstLine="420" w:firstLineChars="200"/>
    </w:pPr>
    <w:rPr>
      <w:rFonts w:ascii="Calibri" w:hAnsi="Calibri" w:cs="Calibri"/>
      <w:szCs w:val="21"/>
    </w:rPr>
  </w:style>
  <w:style w:type="paragraph" w:customStyle="1" w:styleId="231">
    <w:name w:val="xl45"/>
    <w:basedOn w:val="1"/>
    <w:qFormat/>
    <w:uiPriority w:val="0"/>
    <w:pPr>
      <w:widowControl/>
      <w:pBdr>
        <w:bottom w:val="single" w:color="auto" w:sz="4" w:space="0"/>
      </w:pBdr>
      <w:spacing w:before="100" w:beforeAutospacing="1" w:after="100" w:afterAutospacing="1"/>
      <w:jc w:val="center"/>
    </w:pPr>
    <w:rPr>
      <w:kern w:val="0"/>
      <w:sz w:val="40"/>
      <w:szCs w:val="40"/>
    </w:rPr>
  </w:style>
  <w:style w:type="paragraph" w:customStyle="1" w:styleId="232">
    <w:name w:val="xl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Unicode MS" w:hAnsi="Arial Unicode MS"/>
      <w:kern w:val="0"/>
      <w:sz w:val="24"/>
    </w:rPr>
  </w:style>
  <w:style w:type="paragraph" w:customStyle="1" w:styleId="233">
    <w:name w:val="font1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234">
    <w:name w:val="默认段落字体 Para Char Char Char Char Char Char Char"/>
    <w:basedOn w:val="1"/>
    <w:qFormat/>
    <w:uiPriority w:val="0"/>
    <w:pPr>
      <w:adjustRightInd w:val="0"/>
      <w:spacing w:line="360" w:lineRule="auto"/>
      <w:ind w:left="200" w:hanging="200" w:hangingChars="200"/>
    </w:pPr>
    <w:rPr>
      <w:kern w:val="0"/>
      <w:sz w:val="24"/>
      <w:szCs w:val="20"/>
    </w:rPr>
  </w:style>
  <w:style w:type="paragraph" w:customStyle="1" w:styleId="235">
    <w:name w:val="样式 标题 2 + Times New Roman 四号 非加粗 段前: 5 磅 段后: 0 磅 行距: 固定值 20..."/>
    <w:basedOn w:val="4"/>
    <w:qFormat/>
    <w:uiPriority w:val="99"/>
    <w:pPr>
      <w:spacing w:before="100" w:after="0" w:line="400" w:lineRule="exact"/>
    </w:pPr>
    <w:rPr>
      <w:rFonts w:ascii="Times New Roman" w:hAnsi="Times New Roman" w:cs="宋体"/>
      <w:b w:val="0"/>
      <w:bCs w:val="0"/>
      <w:sz w:val="28"/>
      <w:szCs w:val="20"/>
    </w:rPr>
  </w:style>
  <w:style w:type="paragraph" w:customStyle="1" w:styleId="236">
    <w:name w:val="Char2"/>
    <w:basedOn w:val="1"/>
    <w:qFormat/>
    <w:uiPriority w:val="0"/>
    <w:pPr>
      <w:snapToGrid w:val="0"/>
      <w:spacing w:line="360" w:lineRule="auto"/>
      <w:ind w:firstLine="200" w:firstLineChars="200"/>
    </w:pPr>
    <w:rPr>
      <w:rFonts w:ascii="Arial" w:hAnsi="Arial" w:eastAsia="黑体"/>
      <w:szCs w:val="21"/>
    </w:rPr>
  </w:style>
  <w:style w:type="paragraph" w:customStyle="1" w:styleId="237">
    <w:name w:val="Char Char Char Char Char Char Char1"/>
    <w:basedOn w:val="1"/>
    <w:qFormat/>
    <w:uiPriority w:val="99"/>
    <w:pPr>
      <w:widowControl/>
      <w:spacing w:after="160" w:line="240" w:lineRule="exact"/>
      <w:jc w:val="left"/>
    </w:pPr>
    <w:rPr>
      <w:szCs w:val="21"/>
    </w:rPr>
  </w:style>
  <w:style w:type="paragraph" w:customStyle="1" w:styleId="23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8"/>
      <w:szCs w:val="28"/>
    </w:rPr>
  </w:style>
  <w:style w:type="paragraph" w:customStyle="1" w:styleId="239">
    <w:name w:val="无间隔1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40">
    <w:name w:val="列出段落2"/>
    <w:basedOn w:val="1"/>
    <w:qFormat/>
    <w:uiPriority w:val="99"/>
    <w:pPr>
      <w:ind w:firstLine="420" w:firstLineChars="200"/>
    </w:pPr>
    <w:rPr>
      <w:rFonts w:ascii="Calibri" w:hAnsi="Calibri" w:cs="Calibri"/>
      <w:szCs w:val="21"/>
    </w:rPr>
  </w:style>
  <w:style w:type="paragraph" w:customStyle="1" w:styleId="241">
    <w:name w:val="样式 标题 3 + (中文) 黑体 小四 非加粗 段前: 7.8 磅 段后: 0 磅 行距: 固定值 20 磅"/>
    <w:basedOn w:val="5"/>
    <w:qFormat/>
    <w:uiPriority w:val="99"/>
    <w:pPr>
      <w:spacing w:before="0" w:after="0" w:line="400" w:lineRule="exact"/>
      <w:jc w:val="center"/>
    </w:pPr>
    <w:rPr>
      <w:rFonts w:ascii="宋体" w:hAnsi="宋体" w:eastAsia="黑体" w:cs="宋体"/>
      <w:b w:val="0"/>
      <w:bCs w:val="0"/>
      <w:kern w:val="0"/>
      <w:sz w:val="24"/>
      <w:szCs w:val="20"/>
    </w:rPr>
  </w:style>
  <w:style w:type="paragraph" w:customStyle="1" w:styleId="242">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3">
    <w:name w:val="Char Char1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44">
    <w:name w:val="Char Char Char Char Char Char Char Char Char Char"/>
    <w:basedOn w:val="1"/>
    <w:qFormat/>
    <w:uiPriority w:val="0"/>
  </w:style>
  <w:style w:type="paragraph" w:customStyle="1" w:styleId="245">
    <w:name w:val="."/>
    <w:basedOn w:val="1"/>
    <w:qFormat/>
    <w:uiPriority w:val="0"/>
    <w:pPr>
      <w:widowControl/>
      <w:numPr>
        <w:ilvl w:val="0"/>
        <w:numId w:val="1"/>
      </w:numPr>
      <w:overflowPunct w:val="0"/>
      <w:autoSpaceDE w:val="0"/>
      <w:autoSpaceDN w:val="0"/>
      <w:adjustRightInd w:val="0"/>
      <w:spacing w:before="60" w:after="60" w:line="264" w:lineRule="auto"/>
      <w:ind w:left="1135" w:hanging="284"/>
      <w:textAlignment w:val="baseline"/>
    </w:pPr>
    <w:rPr>
      <w:rFonts w:ascii="宋体"/>
      <w:kern w:val="0"/>
      <w:sz w:val="24"/>
      <w:szCs w:val="20"/>
    </w:rPr>
  </w:style>
  <w:style w:type="character" w:customStyle="1" w:styleId="246">
    <w:name w:val="bookmark-item"/>
    <w:qFormat/>
    <w:uiPriority w:val="0"/>
  </w:style>
  <w:style w:type="paragraph" w:customStyle="1" w:styleId="247">
    <w:name w:val="Normal_17"/>
    <w:qFormat/>
    <w:uiPriority w:val="0"/>
    <w:pPr>
      <w:spacing w:before="120" w:after="240"/>
      <w:jc w:val="both"/>
    </w:pPr>
    <w:rPr>
      <w:rFonts w:ascii="Calibri" w:hAnsi="Calibri" w:eastAsia="Calibri" w:cs="Times New Roman"/>
      <w:sz w:val="22"/>
      <w:szCs w:val="22"/>
      <w:lang w:val="ru-RU" w:eastAsia="en-US" w:bidi="ar-SA"/>
    </w:rPr>
  </w:style>
  <w:style w:type="character" w:customStyle="1" w:styleId="248">
    <w:name w:val="纯文本 Char3"/>
    <w:qFormat/>
    <w:uiPriority w:val="0"/>
    <w:rPr>
      <w:rFonts w:ascii="宋体" w:hAnsi="Courier New" w:eastAsia="宋体" w:cs="Courier New"/>
      <w:kern w:val="2"/>
      <w:sz w:val="21"/>
      <w:szCs w:val="21"/>
      <w:lang w:val="en-US" w:eastAsia="zh-CN" w:bidi="ar-SA"/>
    </w:rPr>
  </w:style>
  <w:style w:type="paragraph" w:styleId="249">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0">
    <w:name w:val="Blockquote"/>
    <w:basedOn w:val="1"/>
    <w:qFormat/>
    <w:uiPriority w:val="0"/>
    <w:pPr>
      <w:adjustRightInd w:val="0"/>
      <w:spacing w:before="100" w:after="100"/>
      <w:ind w:left="360" w:right="360"/>
    </w:pPr>
    <w:rPr>
      <w:sz w:val="24"/>
    </w:rPr>
  </w:style>
  <w:style w:type="paragraph" w:customStyle="1" w:styleId="251">
    <w:name w:val="Table Paragraph"/>
    <w:basedOn w:val="1"/>
    <w:qFormat/>
    <w:uiPriority w:val="1"/>
  </w:style>
  <w:style w:type="paragraph" w:customStyle="1" w:styleId="252">
    <w:name w:val="纯文本_0"/>
    <w:basedOn w:val="180"/>
    <w:qFormat/>
    <w:uiPriority w:val="0"/>
    <w:rPr>
      <w:rFonts w:ascii="宋体" w:hAnsi="Courier New"/>
    </w:rPr>
  </w:style>
  <w:style w:type="paragraph" w:customStyle="1" w:styleId="253">
    <w:name w:val="PlainText"/>
    <w:basedOn w:val="1"/>
    <w:qFormat/>
    <w:uiPriority w:val="0"/>
    <w:rPr>
      <w:rFonts w:ascii="宋体" w:hAnsi="Courier New"/>
      <w:szCs w:val="20"/>
    </w:rPr>
  </w:style>
  <w:style w:type="character" w:customStyle="1" w:styleId="254">
    <w:name w:val="ant-radio+*"/>
    <w:basedOn w:val="47"/>
    <w:qFormat/>
    <w:uiPriority w:val="0"/>
  </w:style>
  <w:style w:type="character" w:customStyle="1" w:styleId="255">
    <w:name w:val="ant-radio+*1"/>
    <w:basedOn w:val="47"/>
    <w:qFormat/>
    <w:uiPriority w:val="0"/>
  </w:style>
  <w:style w:type="character" w:customStyle="1" w:styleId="256">
    <w:name w:val="first-child1"/>
    <w:basedOn w:val="47"/>
    <w:qFormat/>
    <w:uiPriority w:val="0"/>
  </w:style>
  <w:style w:type="character" w:customStyle="1" w:styleId="257">
    <w:name w:val="ant-input28"/>
    <w:basedOn w:val="47"/>
    <w:qFormat/>
    <w:uiPriority w:val="0"/>
  </w:style>
  <w:style w:type="character" w:customStyle="1" w:styleId="258">
    <w:name w:val="last-child"/>
    <w:basedOn w:val="47"/>
    <w:qFormat/>
    <w:uiPriority w:val="0"/>
  </w:style>
  <w:style w:type="character" w:customStyle="1" w:styleId="259">
    <w:name w:val="ant-select-tree-checkbox"/>
    <w:basedOn w:val="47"/>
    <w:qFormat/>
    <w:uiPriority w:val="0"/>
  </w:style>
  <w:style w:type="character" w:customStyle="1" w:styleId="260">
    <w:name w:val="ant-select-tree-switcher"/>
    <w:basedOn w:val="47"/>
    <w:qFormat/>
    <w:uiPriority w:val="0"/>
  </w:style>
  <w:style w:type="character" w:customStyle="1" w:styleId="261">
    <w:name w:val="nc-lang-cnt"/>
    <w:basedOn w:val="47"/>
    <w:qFormat/>
    <w:uiPriority w:val="0"/>
    <w:rPr>
      <w:rFonts w:hint="cs"/>
      <w:rtl/>
      <w:cs/>
    </w:rPr>
  </w:style>
  <w:style w:type="character" w:customStyle="1" w:styleId="262">
    <w:name w:val="nc-lang-cnt1"/>
    <w:basedOn w:val="47"/>
    <w:qFormat/>
    <w:uiPriority w:val="0"/>
    <w:rPr>
      <w:rFonts w:hint="cs"/>
      <w:rtl/>
      <w:cs/>
    </w:rPr>
  </w:style>
  <w:style w:type="character" w:customStyle="1" w:styleId="263">
    <w:name w:val="nc-lang-cnt2"/>
    <w:basedOn w:val="47"/>
    <w:qFormat/>
    <w:uiPriority w:val="0"/>
  </w:style>
  <w:style w:type="character" w:customStyle="1" w:styleId="264">
    <w:name w:val="nc-lang-cnt3"/>
    <w:basedOn w:val="47"/>
    <w:qFormat/>
    <w:uiPriority w:val="0"/>
  </w:style>
  <w:style w:type="character" w:customStyle="1" w:styleId="265">
    <w:name w:val="nc-lang-cnt4"/>
    <w:basedOn w:val="47"/>
    <w:qFormat/>
    <w:uiPriority w:val="0"/>
    <w:rPr>
      <w:rFonts w:hint="cs"/>
      <w:rtl/>
      <w:cs/>
    </w:rPr>
  </w:style>
  <w:style w:type="character" w:customStyle="1" w:styleId="266">
    <w:name w:val="nc-lang-cnt5"/>
    <w:basedOn w:val="47"/>
    <w:qFormat/>
    <w:uiPriority w:val="0"/>
    <w:rPr>
      <w:rFonts w:hint="cs"/>
      <w:rtl/>
      <w:cs/>
    </w:rPr>
  </w:style>
  <w:style w:type="character" w:customStyle="1" w:styleId="267">
    <w:name w:val="nc-lang-cnt6"/>
    <w:basedOn w:val="47"/>
    <w:qFormat/>
    <w:uiPriority w:val="0"/>
  </w:style>
  <w:style w:type="character" w:customStyle="1" w:styleId="268">
    <w:name w:val="ant-select-tree-iconele"/>
    <w:basedOn w:val="47"/>
    <w:qFormat/>
    <w:uiPriority w:val="0"/>
  </w:style>
  <w:style w:type="character" w:customStyle="1" w:styleId="269">
    <w:name w:val="ant-table-tbody1"/>
    <w:basedOn w:val="47"/>
    <w:qFormat/>
    <w:uiPriority w:val="0"/>
  </w:style>
  <w:style w:type="paragraph" w:customStyle="1" w:styleId="270">
    <w:name w:val="正文_4"/>
    <w:qFormat/>
    <w:uiPriority w:val="0"/>
    <w:pPr>
      <w:widowControl w:val="0"/>
      <w:jc w:val="both"/>
    </w:pPr>
    <w:rPr>
      <w:rFonts w:ascii="Calibri" w:hAnsi="Calibri" w:eastAsia="宋体" w:cs="Times New Roman"/>
      <w:kern w:val="2"/>
      <w:sz w:val="21"/>
      <w:szCs w:val="22"/>
      <w:lang w:val="en-US" w:eastAsia="zh-CN" w:bidi="ar-SA"/>
    </w:rPr>
  </w:style>
  <w:style w:type="character" w:customStyle="1" w:styleId="271">
    <w:name w:val="目录 5 Char"/>
    <w:link w:val="22"/>
    <w:qFormat/>
    <w:uiPriority w:val="39"/>
    <w:rPr>
      <w:sz w:val="18"/>
      <w:szCs w:val="18"/>
    </w:rPr>
  </w:style>
  <w:style w:type="character" w:customStyle="1" w:styleId="272">
    <w:name w:val="标题 1 Char1"/>
    <w:link w:val="3"/>
    <w:qFormat/>
    <w:uiPriority w:val="99"/>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08759F-A9EA-4442-A732-FC593FBB691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83</Pages>
  <Words>18685</Words>
  <Characters>19822</Characters>
  <Lines>386</Lines>
  <Paragraphs>108</Paragraphs>
  <TotalTime>0</TotalTime>
  <ScaleCrop>false</ScaleCrop>
  <LinksUpToDate>false</LinksUpToDate>
  <CharactersWithSpaces>20133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2021-11-18T03:04:00Z</dcterms:created>
  <dc:creator>USER</dc:creator>
  <cp:lastModifiedBy>微信用户</cp:lastModifiedBy>
  <cp:lastPrinted>2021-08-27T07:45:00Z</cp:lastPrinted>
  <dcterms:modified xsi:type="dcterms:W3CDTF">2026-06-18T08:43:59Z</dcterms:modified>
  <dc:title>第三章  项目需求</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B219A597953343EAB99CCCFE0F6CB979_13</vt:lpwstr>
  </property>
  <property fmtid="{D5CDD505-2E9C-101B-9397-08002B2CF9AE}" pid="4" name="KSOTemplateDocerSaveRecord">
    <vt:lpwstr>eyJoZGlkIjoiNjRiNDA3ZDIwYmQyZDBhZDE1MDQ2ODk0Y2IwYWI5OTIiLCJ1c2VySWQiOiIxMzU2MTI2MzQ5In0=</vt:lpwstr>
  </property>
</Properties>
</file>