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5A97B8">
      <w:pPr>
        <w:jc w:val="center"/>
        <w:rPr>
          <w:rFonts w:hint="eastAsia" w:ascii="宋体" w:hAnsi="宋体" w:eastAsia="宋体" w:cs="宋体"/>
          <w:b/>
          <w:color w:val="000000" w:themeColor="text1"/>
          <w:sz w:val="44"/>
          <w:szCs w:val="44"/>
          <w:lang w:eastAsia="zh-CN"/>
        </w:rPr>
      </w:pPr>
      <w:bookmarkStart w:id="1798" w:name="_GoBack"/>
      <w:bookmarkEnd w:id="1798"/>
      <w:r>
        <w:rPr>
          <w:rFonts w:hint="eastAsia" w:ascii="宋体" w:hAnsi="宋体" w:cs="宋体"/>
          <w:b/>
          <w:bCs/>
          <w:color w:val="000000" w:themeColor="text1"/>
          <w:spacing w:val="-2"/>
          <w:sz w:val="44"/>
          <w:szCs w:val="44"/>
          <w:lang w:eastAsia="zh-CN"/>
        </w:rPr>
        <w:t>河池市卫生学校实训大楼三期装修工程项目</w:t>
      </w:r>
    </w:p>
    <w:p w14:paraId="70C6F747">
      <w:pPr>
        <w:jc w:val="center"/>
        <w:rPr>
          <w:rFonts w:hint="eastAsia" w:ascii="宋体" w:hAnsi="宋体" w:eastAsia="宋体" w:cs="宋体"/>
          <w:b/>
          <w:color w:val="000000" w:themeColor="text1"/>
          <w:sz w:val="72"/>
          <w:szCs w:val="72"/>
        </w:rPr>
      </w:pPr>
      <w:r>
        <w:rPr>
          <w:rFonts w:hint="eastAsia" w:ascii="宋体" w:hAnsi="宋体" w:eastAsia="宋体" w:cs="宋体"/>
          <w:b/>
          <w:color w:val="000000" w:themeColor="text1"/>
          <w:sz w:val="44"/>
          <w:szCs w:val="28"/>
          <w:lang w:val="en-US" w:eastAsia="zh-CN"/>
        </w:rPr>
        <w:pict>
          <v:line id="直线 32" o:spid="_x0000_s1026" o:spt="20" style="position:absolute;left:0pt;margin-left:-16.5pt;margin-top:11.7pt;height:0.4pt;width:494.75pt;mso-wrap-distance-bottom:0pt;mso-wrap-distance-top:0pt;z-index:251659264;mso-width-relative:page;mso-height-relative:page;" coordsize="21600,21600">
            <v:path arrowok="t"/>
            <v:fill focussize="0,0"/>
            <v:stroke weight="4.5pt" linestyle="thinThick"/>
            <v:imagedata o:title=""/>
            <o:lock v:ext="edit"/>
            <w10:wrap type="topAndBottom"/>
          </v:line>
        </w:pict>
      </w:r>
    </w:p>
    <w:p w14:paraId="054D8223">
      <w:pPr>
        <w:jc w:val="center"/>
        <w:rPr>
          <w:rFonts w:hint="eastAsia" w:ascii="宋体" w:hAnsi="宋体" w:eastAsia="宋体" w:cs="宋体"/>
          <w:b/>
          <w:color w:val="000000" w:themeColor="text1"/>
          <w:sz w:val="72"/>
          <w:szCs w:val="72"/>
        </w:rPr>
      </w:pPr>
    </w:p>
    <w:p w14:paraId="15E1F641">
      <w:pPr>
        <w:jc w:val="center"/>
        <w:rPr>
          <w:rFonts w:hint="eastAsia" w:ascii="宋体" w:hAnsi="宋体" w:eastAsia="宋体" w:cs="宋体"/>
          <w:b/>
          <w:color w:val="000000" w:themeColor="text1"/>
          <w:sz w:val="72"/>
          <w:szCs w:val="72"/>
        </w:rPr>
      </w:pPr>
      <w:r>
        <w:rPr>
          <w:rFonts w:hint="eastAsia" w:ascii="宋体" w:hAnsi="宋体" w:eastAsia="宋体" w:cs="宋体"/>
          <w:b/>
          <w:color w:val="000000" w:themeColor="text1"/>
          <w:sz w:val="72"/>
          <w:szCs w:val="72"/>
        </w:rPr>
        <w:t>竞争性谈判采购文件</w:t>
      </w:r>
    </w:p>
    <w:p w14:paraId="589B3EA5">
      <w:pPr>
        <w:jc w:val="center"/>
        <w:rPr>
          <w:rFonts w:hint="eastAsia" w:ascii="宋体" w:hAnsi="宋体" w:eastAsia="宋体" w:cs="宋体"/>
          <w:b/>
          <w:color w:val="000000" w:themeColor="text1"/>
          <w:sz w:val="28"/>
          <w:szCs w:val="28"/>
        </w:rPr>
      </w:pPr>
    </w:p>
    <w:p w14:paraId="485346E3">
      <w:pPr>
        <w:jc w:val="center"/>
        <w:rPr>
          <w:rFonts w:hint="eastAsia" w:ascii="宋体" w:hAnsi="宋体" w:eastAsia="宋体" w:cs="宋体"/>
          <w:b/>
          <w:color w:val="000000" w:themeColor="text1"/>
          <w:sz w:val="32"/>
          <w:szCs w:val="32"/>
          <w:lang w:val="en-US" w:eastAsia="zh-CN"/>
        </w:rPr>
      </w:pPr>
      <w:r>
        <w:rPr>
          <w:rFonts w:hint="eastAsia" w:ascii="宋体" w:hAnsi="宋体" w:eastAsia="宋体" w:cs="宋体"/>
          <w:b/>
          <w:color w:val="000000" w:themeColor="text1"/>
          <w:sz w:val="32"/>
          <w:szCs w:val="32"/>
        </w:rPr>
        <w:t>项目编号：HCZC2026-J2-990059-GXGL</w:t>
      </w:r>
    </w:p>
    <w:p w14:paraId="16A1EA2F">
      <w:pPr>
        <w:ind w:firstLine="1044" w:firstLineChars="200"/>
        <w:rPr>
          <w:rFonts w:hint="eastAsia" w:ascii="宋体" w:hAnsi="宋体" w:eastAsia="宋体" w:cs="宋体"/>
          <w:b/>
          <w:color w:val="000000" w:themeColor="text1"/>
          <w:sz w:val="52"/>
          <w:szCs w:val="52"/>
        </w:rPr>
      </w:pPr>
    </w:p>
    <w:p w14:paraId="55143E6B">
      <w:pPr>
        <w:jc w:val="center"/>
        <w:rPr>
          <w:rFonts w:hint="eastAsia" w:ascii="宋体" w:hAnsi="宋体" w:eastAsia="宋体" w:cs="宋体"/>
          <w:b/>
          <w:color w:val="000000" w:themeColor="text1"/>
          <w:sz w:val="52"/>
          <w:szCs w:val="52"/>
        </w:rPr>
      </w:pPr>
    </w:p>
    <w:p w14:paraId="7B488ADB">
      <w:pPr>
        <w:pStyle w:val="29"/>
        <w:rPr>
          <w:rFonts w:hint="eastAsia" w:ascii="宋体" w:hAnsi="宋体" w:eastAsia="宋体" w:cs="宋体"/>
          <w:b/>
          <w:color w:val="000000" w:themeColor="text1"/>
          <w:sz w:val="52"/>
          <w:szCs w:val="52"/>
        </w:rPr>
      </w:pPr>
    </w:p>
    <w:p w14:paraId="4A7659FD">
      <w:pPr>
        <w:pStyle w:val="29"/>
        <w:rPr>
          <w:rFonts w:hint="eastAsia" w:ascii="宋体" w:hAnsi="宋体" w:eastAsia="宋体" w:cs="宋体"/>
          <w:b/>
          <w:color w:val="000000" w:themeColor="text1"/>
          <w:sz w:val="52"/>
          <w:szCs w:val="52"/>
        </w:rPr>
      </w:pPr>
    </w:p>
    <w:p w14:paraId="590955BC">
      <w:pPr>
        <w:pStyle w:val="29"/>
        <w:rPr>
          <w:rFonts w:hint="eastAsia" w:ascii="宋体" w:hAnsi="宋体" w:eastAsia="宋体" w:cs="宋体"/>
          <w:b/>
          <w:color w:val="000000" w:themeColor="text1"/>
          <w:sz w:val="52"/>
          <w:szCs w:val="52"/>
        </w:rPr>
      </w:pPr>
    </w:p>
    <w:p w14:paraId="007FD05E">
      <w:pPr>
        <w:jc w:val="center"/>
        <w:rPr>
          <w:rFonts w:hint="eastAsia" w:ascii="宋体" w:hAnsi="宋体" w:eastAsia="宋体" w:cs="宋体"/>
          <w:b/>
          <w:color w:val="000000" w:themeColor="text1"/>
          <w:sz w:val="52"/>
          <w:szCs w:val="52"/>
        </w:rPr>
      </w:pPr>
    </w:p>
    <w:p w14:paraId="053F62ED">
      <w:pPr>
        <w:spacing w:line="1000" w:lineRule="exact"/>
        <w:ind w:firstLine="1928" w:firstLineChars="600"/>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采 购 人：</w:t>
      </w:r>
      <w:bookmarkStart w:id="0" w:name="_Toc288334141"/>
      <w:bookmarkStart w:id="1" w:name="_Toc288334364"/>
      <w:bookmarkStart w:id="2" w:name="_Toc288333898"/>
      <w:bookmarkStart w:id="3" w:name="_Toc288334599"/>
      <w:bookmarkStart w:id="4" w:name="_Toc288333402"/>
      <w:r>
        <w:rPr>
          <w:rFonts w:hint="eastAsia" w:ascii="宋体" w:hAnsi="宋体" w:eastAsia="宋体" w:cs="宋体"/>
          <w:b/>
          <w:bCs/>
          <w:color w:val="000000" w:themeColor="text1"/>
          <w:sz w:val="32"/>
          <w:szCs w:val="32"/>
        </w:rPr>
        <w:t>河池市卫生学校</w:t>
      </w:r>
    </w:p>
    <w:p w14:paraId="51B145E4">
      <w:pPr>
        <w:jc w:val="center"/>
        <w:rPr>
          <w:rFonts w:hint="eastAsia" w:ascii="宋体" w:hAnsi="宋体" w:eastAsia="宋体" w:cs="宋体"/>
          <w:b/>
          <w:color w:val="000000" w:themeColor="text1"/>
          <w:sz w:val="32"/>
          <w:szCs w:val="32"/>
          <w:lang w:eastAsia="zh-CN"/>
        </w:rPr>
      </w:pPr>
      <w:r>
        <w:rPr>
          <w:rFonts w:hint="eastAsia" w:ascii="宋体" w:hAnsi="宋体" w:eastAsia="宋体" w:cs="宋体"/>
          <w:b/>
          <w:color w:val="000000" w:themeColor="text1"/>
          <w:sz w:val="32"/>
          <w:szCs w:val="32"/>
        </w:rPr>
        <w:t>采购代理机构：</w:t>
      </w:r>
      <w:bookmarkEnd w:id="0"/>
      <w:bookmarkEnd w:id="1"/>
      <w:bookmarkEnd w:id="2"/>
      <w:bookmarkEnd w:id="3"/>
      <w:bookmarkEnd w:id="4"/>
      <w:bookmarkStart w:id="5" w:name="_Toc296602400"/>
      <w:bookmarkStart w:id="6" w:name="_Toc247085669"/>
      <w:bookmarkStart w:id="7" w:name="_Toc246996898"/>
      <w:r>
        <w:rPr>
          <w:rFonts w:hint="eastAsia" w:ascii="宋体" w:hAnsi="宋体" w:cs="宋体"/>
          <w:b/>
          <w:color w:val="000000" w:themeColor="text1"/>
          <w:sz w:val="32"/>
          <w:szCs w:val="32"/>
          <w:lang w:eastAsia="zh-CN"/>
        </w:rPr>
        <w:t>广西国立工程咨询有限公司</w:t>
      </w:r>
    </w:p>
    <w:p w14:paraId="45ABCE5E">
      <w:pPr>
        <w:jc w:val="center"/>
        <w:rPr>
          <w:rFonts w:hint="eastAsia" w:ascii="宋体" w:hAnsi="宋体" w:eastAsia="宋体" w:cs="宋体"/>
          <w:b/>
          <w:color w:val="000000" w:themeColor="text1"/>
          <w:sz w:val="28"/>
          <w:szCs w:val="28"/>
        </w:rPr>
        <w:sectPr>
          <w:pgSz w:w="11906" w:h="16838"/>
          <w:pgMar w:top="1440" w:right="1080" w:bottom="1440" w:left="1080" w:header="851" w:footer="992" w:gutter="0"/>
          <w:pgNumType w:fmt="upperRoman" w:start="1"/>
          <w:cols w:space="720" w:num="1"/>
          <w:docGrid w:type="lines" w:linePitch="312" w:charSpace="0"/>
        </w:sectPr>
      </w:pPr>
      <w:r>
        <w:rPr>
          <w:rFonts w:hint="eastAsia" w:ascii="宋体" w:hAnsi="宋体" w:eastAsia="宋体" w:cs="宋体"/>
          <w:b/>
          <w:color w:val="000000" w:themeColor="text1"/>
          <w:sz w:val="30"/>
          <w:szCs w:val="30"/>
        </w:rPr>
        <w:t>202</w:t>
      </w:r>
      <w:r>
        <w:rPr>
          <w:rFonts w:hint="eastAsia" w:ascii="宋体" w:hAnsi="宋体" w:cs="宋体"/>
          <w:b/>
          <w:color w:val="000000" w:themeColor="text1"/>
          <w:sz w:val="30"/>
          <w:szCs w:val="30"/>
          <w:lang w:val="en-US" w:eastAsia="zh-CN"/>
        </w:rPr>
        <w:t>6</w:t>
      </w:r>
      <w:r>
        <w:rPr>
          <w:rFonts w:hint="eastAsia" w:ascii="宋体" w:hAnsi="宋体" w:eastAsia="宋体" w:cs="宋体"/>
          <w:b/>
          <w:color w:val="000000" w:themeColor="text1"/>
          <w:sz w:val="30"/>
          <w:szCs w:val="30"/>
        </w:rPr>
        <w:t>年</w:t>
      </w:r>
      <w:r>
        <w:rPr>
          <w:rFonts w:hint="eastAsia" w:ascii="宋体" w:hAnsi="宋体" w:cs="宋体"/>
          <w:b/>
          <w:color w:val="000000" w:themeColor="text1"/>
          <w:sz w:val="30"/>
          <w:szCs w:val="30"/>
          <w:lang w:val="en-US" w:eastAsia="zh-CN"/>
        </w:rPr>
        <w:t>06</w:t>
      </w:r>
      <w:r>
        <w:rPr>
          <w:rFonts w:hint="eastAsia" w:ascii="宋体" w:hAnsi="宋体" w:eastAsia="宋体" w:cs="宋体"/>
          <w:b/>
          <w:color w:val="000000" w:themeColor="text1"/>
          <w:sz w:val="30"/>
          <w:szCs w:val="30"/>
        </w:rPr>
        <w:t>月</w:t>
      </w:r>
    </w:p>
    <w:p w14:paraId="248451BB">
      <w:pPr>
        <w:spacing w:line="440" w:lineRule="exact"/>
        <w:ind w:firstLine="3697" w:firstLineChars="837"/>
        <w:rPr>
          <w:rFonts w:hint="eastAsia" w:ascii="宋体" w:hAnsi="宋体" w:eastAsia="宋体" w:cs="宋体"/>
          <w:b/>
          <w:bCs/>
          <w:color w:val="000000" w:themeColor="text1"/>
          <w:kern w:val="44"/>
          <w:sz w:val="44"/>
          <w:szCs w:val="44"/>
        </w:rPr>
      </w:pPr>
      <w:r>
        <w:rPr>
          <w:rFonts w:hint="eastAsia" w:ascii="宋体" w:hAnsi="宋体" w:eastAsia="宋体" w:cs="宋体"/>
          <w:b/>
          <w:bCs/>
          <w:color w:val="000000" w:themeColor="text1"/>
          <w:kern w:val="44"/>
          <w:sz w:val="44"/>
          <w:szCs w:val="44"/>
        </w:rPr>
        <w:t>目   录</w:t>
      </w:r>
      <w:bookmarkEnd w:id="5"/>
      <w:bookmarkEnd w:id="6"/>
      <w:bookmarkEnd w:id="7"/>
    </w:p>
    <w:p w14:paraId="685DDB55">
      <w:pPr>
        <w:spacing w:line="440" w:lineRule="exact"/>
        <w:jc w:val="center"/>
        <w:rPr>
          <w:rFonts w:hint="eastAsia" w:ascii="宋体" w:hAnsi="宋体" w:eastAsia="宋体" w:cs="宋体"/>
          <w:b/>
          <w:bCs/>
          <w:color w:val="000000" w:themeColor="text1"/>
          <w:kern w:val="44"/>
          <w:sz w:val="44"/>
          <w:szCs w:val="44"/>
        </w:rPr>
      </w:pPr>
    </w:p>
    <w:p w14:paraId="48F9F2AB">
      <w:pPr>
        <w:pStyle w:val="31"/>
        <w:tabs>
          <w:tab w:val="right" w:leader="dot" w:pos="9746"/>
        </w:tabs>
        <w:spacing w:line="360" w:lineRule="auto"/>
        <w:rPr>
          <w:rFonts w:hint="eastAsia" w:ascii="宋体" w:hAnsi="宋体" w:eastAsia="宋体" w:cs="宋体"/>
          <w:color w:val="000000" w:themeColor="text1"/>
          <w:sz w:val="28"/>
          <w:szCs w:val="28"/>
        </w:rPr>
      </w:pPr>
      <w:r>
        <w:rPr>
          <w:rFonts w:hint="eastAsia" w:ascii="宋体" w:hAnsi="宋体" w:eastAsia="宋体" w:cs="宋体"/>
          <w:b w:val="0"/>
          <w:bCs w:val="0"/>
          <w:color w:val="000000" w:themeColor="text1"/>
          <w:sz w:val="28"/>
          <w:szCs w:val="28"/>
        </w:rPr>
        <w:fldChar w:fldCharType="begin"/>
      </w:r>
      <w:r>
        <w:rPr>
          <w:rFonts w:hint="eastAsia" w:ascii="宋体" w:hAnsi="宋体" w:eastAsia="宋体" w:cs="宋体"/>
          <w:b w:val="0"/>
          <w:bCs w:val="0"/>
          <w:color w:val="000000" w:themeColor="text1"/>
          <w:sz w:val="28"/>
          <w:szCs w:val="28"/>
        </w:rPr>
        <w:instrText xml:space="preserve">TOC \o "1-1" \h \u </w:instrText>
      </w:r>
      <w:r>
        <w:rPr>
          <w:rFonts w:hint="eastAsia" w:ascii="宋体" w:hAnsi="宋体" w:eastAsia="宋体" w:cs="宋体"/>
          <w:b w:val="0"/>
          <w:bCs w:val="0"/>
          <w:color w:val="000000" w:themeColor="text1"/>
          <w:sz w:val="28"/>
          <w:szCs w:val="28"/>
        </w:rPr>
        <w:fldChar w:fldCharType="separate"/>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\l "_Toc1535"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z w:val="28"/>
          <w:szCs w:val="28"/>
        </w:rPr>
        <w:t>第一章 竞争性谈判公告</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PAGEREF _Toc1535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3</w:t>
      </w:r>
      <w:r>
        <w:rPr>
          <w:rFonts w:hint="eastAsia" w:ascii="宋体" w:hAnsi="宋体" w:eastAsia="宋体" w:cs="宋体"/>
          <w:color w:val="000000" w:themeColor="text1"/>
          <w:sz w:val="28"/>
          <w:szCs w:val="28"/>
        </w:rPr>
        <w:fldChar w:fldCharType="end"/>
      </w:r>
      <w:r>
        <w:rPr>
          <w:rFonts w:hint="eastAsia" w:ascii="宋体" w:hAnsi="宋体" w:eastAsia="宋体" w:cs="宋体"/>
          <w:color w:val="000000" w:themeColor="text1"/>
          <w:sz w:val="28"/>
          <w:szCs w:val="28"/>
        </w:rPr>
        <w:fldChar w:fldCharType="end"/>
      </w:r>
    </w:p>
    <w:p w14:paraId="31536956">
      <w:pPr>
        <w:pStyle w:val="31"/>
        <w:tabs>
          <w:tab w:val="right" w:leader="dot" w:pos="9746"/>
        </w:tabs>
        <w:spacing w:line="360" w:lineRule="auto"/>
        <w:rPr>
          <w:rFonts w:hint="eastAsia" w:ascii="宋体" w:hAnsi="宋体" w:eastAsia="宋体" w:cs="宋体"/>
          <w:color w:val="000000" w:themeColor="text1"/>
          <w:sz w:val="28"/>
          <w:szCs w:val="28"/>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\l "_Toc14361"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z w:val="28"/>
          <w:szCs w:val="28"/>
        </w:rPr>
        <w:t>第二章 竞标人须知</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PAGEREF _Toc14361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7</w:t>
      </w:r>
      <w:r>
        <w:rPr>
          <w:rFonts w:hint="eastAsia" w:ascii="宋体" w:hAnsi="宋体" w:eastAsia="宋体" w:cs="宋体"/>
          <w:color w:val="000000" w:themeColor="text1"/>
          <w:sz w:val="28"/>
          <w:szCs w:val="28"/>
        </w:rPr>
        <w:fldChar w:fldCharType="end"/>
      </w:r>
      <w:r>
        <w:rPr>
          <w:rFonts w:hint="eastAsia" w:ascii="宋体" w:hAnsi="宋体" w:eastAsia="宋体" w:cs="宋体"/>
          <w:color w:val="000000" w:themeColor="text1"/>
          <w:sz w:val="28"/>
          <w:szCs w:val="28"/>
        </w:rPr>
        <w:fldChar w:fldCharType="end"/>
      </w:r>
    </w:p>
    <w:p w14:paraId="1925066E">
      <w:pPr>
        <w:pStyle w:val="31"/>
        <w:tabs>
          <w:tab w:val="right" w:leader="dot" w:pos="9746"/>
        </w:tabs>
        <w:spacing w:line="360" w:lineRule="auto"/>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\l "_Toc14361"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z w:val="28"/>
          <w:szCs w:val="28"/>
        </w:rPr>
        <w:t>第三章 评标办法</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2</w:t>
      </w:r>
      <w:r>
        <w:rPr>
          <w:rFonts w:hint="eastAsia" w:ascii="宋体" w:hAnsi="宋体" w:eastAsia="宋体" w:cs="宋体"/>
          <w:color w:val="000000" w:themeColor="text1"/>
          <w:sz w:val="28"/>
          <w:szCs w:val="28"/>
        </w:rPr>
        <w:fldChar w:fldCharType="end"/>
      </w:r>
      <w:r>
        <w:rPr>
          <w:rFonts w:hint="eastAsia" w:ascii="宋体" w:hAnsi="宋体" w:eastAsia="宋体" w:cs="宋体"/>
          <w:bCs w:val="0"/>
          <w:color w:val="000000" w:themeColor="text1"/>
          <w:sz w:val="28"/>
          <w:szCs w:val="28"/>
          <w:lang w:val="en-US" w:eastAsia="zh-CN"/>
        </w:rPr>
        <w:t>6</w:t>
      </w:r>
    </w:p>
    <w:p w14:paraId="077659AF">
      <w:pPr>
        <w:pStyle w:val="31"/>
        <w:tabs>
          <w:tab w:val="right" w:leader="dot" w:pos="9746"/>
        </w:tabs>
        <w:spacing w:line="360" w:lineRule="auto"/>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\l "_Toc30745"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kern w:val="0"/>
          <w:sz w:val="28"/>
          <w:szCs w:val="28"/>
        </w:rPr>
        <w:t>第四章 合同格式</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fldChar w:fldCharType="end"/>
      </w:r>
      <w:r>
        <w:rPr>
          <w:rFonts w:hint="eastAsia" w:ascii="宋体" w:hAnsi="宋体" w:eastAsia="宋体" w:cs="宋体"/>
          <w:color w:val="000000" w:themeColor="text1"/>
          <w:sz w:val="28"/>
          <w:szCs w:val="28"/>
          <w:lang w:val="en-US" w:eastAsia="zh-CN"/>
        </w:rPr>
        <w:t>5</w:t>
      </w:r>
    </w:p>
    <w:p w14:paraId="07363DB7">
      <w:pPr>
        <w:pStyle w:val="31"/>
        <w:tabs>
          <w:tab w:val="right" w:leader="dot" w:pos="9746"/>
        </w:tabs>
        <w:spacing w:line="360" w:lineRule="auto"/>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\l "_Toc27069"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z w:val="28"/>
          <w:szCs w:val="28"/>
        </w:rPr>
        <w:t>第五章 工程量清单</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1</w:t>
      </w:r>
      <w:r>
        <w:rPr>
          <w:rFonts w:hint="eastAsia" w:ascii="宋体" w:hAnsi="宋体" w:eastAsia="宋体" w:cs="宋体"/>
          <w:color w:val="000000" w:themeColor="text1"/>
          <w:sz w:val="28"/>
          <w:szCs w:val="28"/>
        </w:rPr>
        <w:fldChar w:fldCharType="end"/>
      </w:r>
      <w:r>
        <w:rPr>
          <w:rFonts w:hint="eastAsia" w:ascii="宋体" w:hAnsi="宋体" w:eastAsia="宋体" w:cs="宋体"/>
          <w:bCs w:val="0"/>
          <w:color w:val="000000" w:themeColor="text1"/>
          <w:sz w:val="28"/>
          <w:szCs w:val="28"/>
          <w:lang w:val="en-US" w:eastAsia="zh-CN"/>
        </w:rPr>
        <w:t>16</w:t>
      </w:r>
    </w:p>
    <w:p w14:paraId="1CF9CEAC">
      <w:pPr>
        <w:pStyle w:val="31"/>
        <w:tabs>
          <w:tab w:val="right" w:leader="dot" w:pos="9746"/>
        </w:tabs>
        <w:spacing w:line="360" w:lineRule="auto"/>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\l "_Toc4108"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z w:val="28"/>
          <w:szCs w:val="28"/>
        </w:rPr>
        <w:t>第六章 图  纸</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1</w:t>
      </w:r>
      <w:r>
        <w:rPr>
          <w:rFonts w:hint="eastAsia" w:ascii="宋体" w:hAnsi="宋体" w:eastAsia="宋体" w:cs="宋体"/>
          <w:color w:val="000000" w:themeColor="text1"/>
          <w:sz w:val="28"/>
          <w:szCs w:val="28"/>
        </w:rPr>
        <w:fldChar w:fldCharType="end"/>
      </w:r>
      <w:r>
        <w:rPr>
          <w:rFonts w:hint="eastAsia" w:ascii="宋体" w:hAnsi="宋体" w:eastAsia="宋体" w:cs="宋体"/>
          <w:bCs w:val="0"/>
          <w:color w:val="000000" w:themeColor="text1"/>
          <w:sz w:val="28"/>
          <w:szCs w:val="28"/>
          <w:lang w:val="en-US" w:eastAsia="zh-CN"/>
        </w:rPr>
        <w:t>20</w:t>
      </w:r>
    </w:p>
    <w:p w14:paraId="2CBA7CF6">
      <w:pPr>
        <w:pStyle w:val="31"/>
        <w:tabs>
          <w:tab w:val="right" w:leader="dot" w:pos="9746"/>
        </w:tabs>
        <w:spacing w:line="360" w:lineRule="auto"/>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\l "_Toc28541"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z w:val="28"/>
          <w:szCs w:val="28"/>
        </w:rPr>
        <w:t>第七章 技术标准和要求</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1</w:t>
      </w:r>
      <w:r>
        <w:rPr>
          <w:rFonts w:hint="eastAsia" w:ascii="宋体" w:hAnsi="宋体" w:eastAsia="宋体" w:cs="宋体"/>
          <w:color w:val="000000" w:themeColor="text1"/>
          <w:sz w:val="28"/>
          <w:szCs w:val="28"/>
        </w:rPr>
        <w:fldChar w:fldCharType="end"/>
      </w:r>
      <w:r>
        <w:rPr>
          <w:rFonts w:hint="eastAsia" w:ascii="宋体" w:hAnsi="宋体" w:eastAsia="宋体" w:cs="宋体"/>
          <w:bCs w:val="0"/>
          <w:color w:val="000000" w:themeColor="text1"/>
          <w:sz w:val="28"/>
          <w:szCs w:val="28"/>
          <w:lang w:val="en-US" w:eastAsia="zh-CN"/>
        </w:rPr>
        <w:t>21</w:t>
      </w:r>
    </w:p>
    <w:p w14:paraId="3AEB9E06">
      <w:pPr>
        <w:pStyle w:val="31"/>
        <w:tabs>
          <w:tab w:val="right" w:leader="dot" w:pos="9746"/>
        </w:tabs>
        <w:spacing w:line="360" w:lineRule="auto"/>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\l "_Toc18990"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z w:val="28"/>
          <w:szCs w:val="28"/>
        </w:rPr>
        <w:t>第八章 竞标文件格式</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1</w:t>
      </w:r>
      <w:r>
        <w:rPr>
          <w:rFonts w:hint="eastAsia" w:ascii="宋体" w:hAnsi="宋体" w:eastAsia="宋体" w:cs="宋体"/>
          <w:color w:val="000000" w:themeColor="text1"/>
          <w:sz w:val="28"/>
          <w:szCs w:val="28"/>
        </w:rPr>
        <w:fldChar w:fldCharType="end"/>
      </w:r>
      <w:r>
        <w:rPr>
          <w:rFonts w:hint="eastAsia" w:ascii="宋体" w:hAnsi="宋体" w:eastAsia="宋体" w:cs="宋体"/>
          <w:bCs w:val="0"/>
          <w:color w:val="000000" w:themeColor="text1"/>
          <w:sz w:val="28"/>
          <w:szCs w:val="28"/>
          <w:lang w:val="en-US" w:eastAsia="zh-CN"/>
        </w:rPr>
        <w:t>22</w:t>
      </w:r>
    </w:p>
    <w:p w14:paraId="3B22BC6F">
      <w:pPr>
        <w:spacing w:line="360" w:lineRule="auto"/>
        <w:jc w:val="center"/>
        <w:rPr>
          <w:rFonts w:hint="eastAsia" w:ascii="宋体" w:hAnsi="宋体" w:eastAsia="宋体" w:cs="宋体"/>
          <w:b/>
          <w:bCs/>
          <w:color w:val="000000" w:themeColor="text1"/>
          <w:sz w:val="28"/>
          <w:szCs w:val="28"/>
        </w:rPr>
      </w:pPr>
      <w:r>
        <w:rPr>
          <w:rFonts w:hint="eastAsia" w:ascii="宋体" w:hAnsi="宋体" w:eastAsia="宋体" w:cs="宋体"/>
          <w:bCs/>
          <w:color w:val="000000" w:themeColor="text1"/>
          <w:sz w:val="28"/>
          <w:szCs w:val="28"/>
        </w:rPr>
        <w:fldChar w:fldCharType="end"/>
      </w:r>
    </w:p>
    <w:p w14:paraId="0E2EFF5B">
      <w:pPr>
        <w:spacing w:line="360" w:lineRule="exact"/>
        <w:jc w:val="center"/>
        <w:rPr>
          <w:rFonts w:hint="eastAsia" w:ascii="宋体" w:hAnsi="宋体" w:eastAsia="宋体" w:cs="宋体"/>
          <w:b/>
          <w:bCs/>
          <w:color w:val="000000" w:themeColor="text1"/>
          <w:sz w:val="24"/>
        </w:rPr>
      </w:pPr>
    </w:p>
    <w:p w14:paraId="2E0C4182">
      <w:pPr>
        <w:spacing w:line="360" w:lineRule="exact"/>
        <w:jc w:val="center"/>
        <w:rPr>
          <w:rFonts w:hint="eastAsia" w:ascii="宋体" w:hAnsi="宋体" w:eastAsia="宋体" w:cs="宋体"/>
          <w:b/>
          <w:bCs/>
          <w:color w:val="000000" w:themeColor="text1"/>
          <w:sz w:val="24"/>
        </w:rPr>
      </w:pPr>
    </w:p>
    <w:p w14:paraId="67E457B5">
      <w:pPr>
        <w:spacing w:line="360" w:lineRule="exact"/>
        <w:jc w:val="center"/>
        <w:rPr>
          <w:rFonts w:hint="eastAsia" w:ascii="宋体" w:hAnsi="宋体" w:eastAsia="宋体" w:cs="宋体"/>
          <w:b/>
          <w:bCs/>
          <w:color w:val="000000" w:themeColor="text1"/>
          <w:sz w:val="24"/>
        </w:rPr>
      </w:pPr>
    </w:p>
    <w:p w14:paraId="65E6C355">
      <w:pPr>
        <w:spacing w:line="360" w:lineRule="exact"/>
        <w:jc w:val="center"/>
        <w:rPr>
          <w:rFonts w:hint="eastAsia" w:ascii="宋体" w:hAnsi="宋体" w:eastAsia="宋体" w:cs="宋体"/>
          <w:b/>
          <w:bCs/>
          <w:color w:val="000000" w:themeColor="text1"/>
          <w:sz w:val="24"/>
        </w:rPr>
      </w:pPr>
    </w:p>
    <w:p w14:paraId="5A3B85CE">
      <w:pPr>
        <w:spacing w:line="360" w:lineRule="exact"/>
        <w:jc w:val="center"/>
        <w:rPr>
          <w:rFonts w:hint="eastAsia" w:ascii="宋体" w:hAnsi="宋体" w:eastAsia="宋体" w:cs="宋体"/>
          <w:b/>
          <w:bCs/>
          <w:color w:val="000000" w:themeColor="text1"/>
          <w:sz w:val="24"/>
        </w:rPr>
      </w:pPr>
    </w:p>
    <w:p w14:paraId="636C408B">
      <w:pPr>
        <w:spacing w:line="360" w:lineRule="exact"/>
        <w:jc w:val="center"/>
        <w:rPr>
          <w:rFonts w:hint="eastAsia" w:ascii="宋体" w:hAnsi="宋体" w:eastAsia="宋体" w:cs="宋体"/>
          <w:b/>
          <w:bCs/>
          <w:color w:val="000000" w:themeColor="text1"/>
          <w:sz w:val="24"/>
        </w:rPr>
      </w:pPr>
    </w:p>
    <w:p w14:paraId="0FC8DC45">
      <w:pPr>
        <w:spacing w:line="360" w:lineRule="exact"/>
        <w:jc w:val="center"/>
        <w:rPr>
          <w:rFonts w:hint="eastAsia" w:ascii="宋体" w:hAnsi="宋体" w:eastAsia="宋体" w:cs="宋体"/>
          <w:b/>
          <w:bCs/>
          <w:color w:val="000000" w:themeColor="text1"/>
          <w:sz w:val="24"/>
        </w:rPr>
      </w:pPr>
    </w:p>
    <w:p w14:paraId="28928FDB">
      <w:pPr>
        <w:spacing w:line="360" w:lineRule="exact"/>
        <w:jc w:val="center"/>
        <w:rPr>
          <w:rFonts w:hint="eastAsia" w:ascii="宋体" w:hAnsi="宋体" w:eastAsia="宋体" w:cs="宋体"/>
          <w:b/>
          <w:bCs/>
          <w:color w:val="000000" w:themeColor="text1"/>
          <w:sz w:val="24"/>
        </w:rPr>
      </w:pPr>
    </w:p>
    <w:p w14:paraId="5230531E">
      <w:pPr>
        <w:spacing w:line="360" w:lineRule="exact"/>
        <w:jc w:val="center"/>
        <w:rPr>
          <w:rFonts w:hint="eastAsia" w:ascii="宋体" w:hAnsi="宋体" w:eastAsia="宋体" w:cs="宋体"/>
          <w:b/>
          <w:bCs/>
          <w:color w:val="000000" w:themeColor="text1"/>
          <w:sz w:val="24"/>
        </w:rPr>
      </w:pPr>
    </w:p>
    <w:p w14:paraId="7C8D4334">
      <w:pPr>
        <w:spacing w:line="360" w:lineRule="exact"/>
        <w:jc w:val="center"/>
        <w:rPr>
          <w:rFonts w:hint="eastAsia" w:ascii="宋体" w:hAnsi="宋体" w:eastAsia="宋体" w:cs="宋体"/>
          <w:b/>
          <w:bCs/>
          <w:color w:val="000000" w:themeColor="text1"/>
          <w:sz w:val="24"/>
        </w:rPr>
      </w:pPr>
    </w:p>
    <w:p w14:paraId="7D9B114C">
      <w:pPr>
        <w:spacing w:line="360" w:lineRule="exact"/>
        <w:jc w:val="center"/>
        <w:rPr>
          <w:rFonts w:hint="eastAsia" w:ascii="宋体" w:hAnsi="宋体" w:eastAsia="宋体" w:cs="宋体"/>
          <w:b/>
          <w:bCs/>
          <w:color w:val="000000" w:themeColor="text1"/>
          <w:sz w:val="24"/>
        </w:rPr>
      </w:pPr>
    </w:p>
    <w:p w14:paraId="4E5A6F5D">
      <w:pPr>
        <w:spacing w:line="360" w:lineRule="exact"/>
        <w:jc w:val="center"/>
        <w:rPr>
          <w:rFonts w:hint="eastAsia" w:ascii="宋体" w:hAnsi="宋体" w:eastAsia="宋体" w:cs="宋体"/>
          <w:b/>
          <w:bCs/>
          <w:color w:val="000000" w:themeColor="text1"/>
          <w:sz w:val="24"/>
        </w:rPr>
      </w:pPr>
    </w:p>
    <w:p w14:paraId="19296BB6">
      <w:pPr>
        <w:spacing w:line="360" w:lineRule="exact"/>
        <w:jc w:val="center"/>
        <w:rPr>
          <w:rFonts w:hint="eastAsia" w:ascii="宋体" w:hAnsi="宋体" w:eastAsia="宋体" w:cs="宋体"/>
          <w:b/>
          <w:bCs/>
          <w:color w:val="000000" w:themeColor="text1"/>
          <w:sz w:val="24"/>
          <w:lang w:val="en-US" w:eastAsia="zh-CN"/>
        </w:rPr>
      </w:pPr>
      <w:r>
        <w:rPr>
          <w:rFonts w:hint="eastAsia" w:ascii="宋体" w:hAnsi="宋体" w:eastAsia="宋体" w:cs="宋体"/>
          <w:b/>
          <w:bCs/>
          <w:color w:val="000000" w:themeColor="text1"/>
          <w:sz w:val="24"/>
          <w:lang w:val="en-US" w:eastAsia="zh-CN"/>
        </w:rPr>
        <w:t xml:space="preserve"> </w:t>
      </w:r>
    </w:p>
    <w:p w14:paraId="43C3C350">
      <w:pPr>
        <w:spacing w:line="360" w:lineRule="exact"/>
        <w:jc w:val="center"/>
        <w:rPr>
          <w:rFonts w:hint="eastAsia" w:ascii="宋体" w:hAnsi="宋体" w:eastAsia="宋体" w:cs="宋体"/>
          <w:b/>
          <w:bCs/>
          <w:color w:val="000000" w:themeColor="text1"/>
          <w:sz w:val="24"/>
        </w:rPr>
      </w:pPr>
    </w:p>
    <w:p w14:paraId="148045D6">
      <w:pPr>
        <w:spacing w:line="360" w:lineRule="exact"/>
        <w:jc w:val="center"/>
        <w:rPr>
          <w:rFonts w:hint="eastAsia" w:ascii="宋体" w:hAnsi="宋体" w:eastAsia="宋体" w:cs="宋体"/>
          <w:b/>
          <w:bCs/>
          <w:color w:val="000000" w:themeColor="text1"/>
          <w:sz w:val="24"/>
        </w:rPr>
      </w:pPr>
    </w:p>
    <w:p w14:paraId="23939632">
      <w:pPr>
        <w:spacing w:line="360" w:lineRule="exact"/>
        <w:jc w:val="center"/>
        <w:rPr>
          <w:rFonts w:hint="eastAsia" w:ascii="宋体" w:hAnsi="宋体" w:eastAsia="宋体" w:cs="宋体"/>
          <w:b/>
          <w:bCs/>
          <w:color w:val="000000" w:themeColor="text1"/>
          <w:sz w:val="24"/>
        </w:rPr>
      </w:pPr>
    </w:p>
    <w:p w14:paraId="4006D88B">
      <w:pPr>
        <w:pStyle w:val="29"/>
        <w:rPr>
          <w:rFonts w:hint="eastAsia" w:ascii="宋体" w:hAnsi="宋体" w:eastAsia="宋体" w:cs="宋体"/>
          <w:color w:val="000000" w:themeColor="text1"/>
        </w:rPr>
      </w:pPr>
    </w:p>
    <w:p w14:paraId="2596233D">
      <w:pPr>
        <w:spacing w:line="360" w:lineRule="exact"/>
        <w:jc w:val="center"/>
        <w:rPr>
          <w:rFonts w:hint="eastAsia" w:ascii="宋体" w:hAnsi="宋体" w:eastAsia="宋体" w:cs="宋体"/>
          <w:b/>
          <w:bCs/>
          <w:color w:val="000000" w:themeColor="text1"/>
          <w:sz w:val="24"/>
        </w:rPr>
      </w:pPr>
    </w:p>
    <w:p w14:paraId="13CA4F6C">
      <w:pPr>
        <w:spacing w:line="360" w:lineRule="exact"/>
        <w:jc w:val="center"/>
        <w:rPr>
          <w:rFonts w:hint="eastAsia" w:ascii="宋体" w:hAnsi="宋体" w:eastAsia="宋体" w:cs="宋体"/>
          <w:b/>
          <w:bCs/>
          <w:color w:val="000000" w:themeColor="text1"/>
          <w:sz w:val="24"/>
        </w:rPr>
      </w:pPr>
    </w:p>
    <w:p w14:paraId="101AFBF4">
      <w:pPr>
        <w:spacing w:line="360" w:lineRule="exact"/>
        <w:jc w:val="center"/>
        <w:rPr>
          <w:rFonts w:hint="eastAsia" w:ascii="宋体" w:hAnsi="宋体" w:eastAsia="宋体" w:cs="宋体"/>
          <w:b/>
          <w:bCs/>
          <w:color w:val="000000" w:themeColor="text1"/>
          <w:sz w:val="24"/>
        </w:rPr>
      </w:pPr>
    </w:p>
    <w:p w14:paraId="13AB8382">
      <w:pPr>
        <w:spacing w:line="360" w:lineRule="exact"/>
        <w:jc w:val="center"/>
        <w:rPr>
          <w:rFonts w:hint="eastAsia" w:ascii="宋体" w:hAnsi="宋体" w:eastAsia="宋体" w:cs="宋体"/>
          <w:b/>
          <w:bCs/>
          <w:color w:val="000000" w:themeColor="text1"/>
          <w:sz w:val="24"/>
        </w:rPr>
      </w:pPr>
    </w:p>
    <w:p w14:paraId="6A000915">
      <w:pPr>
        <w:spacing w:line="360" w:lineRule="exact"/>
        <w:jc w:val="center"/>
        <w:outlineLvl w:val="0"/>
        <w:rPr>
          <w:rFonts w:hint="eastAsia" w:ascii="宋体" w:hAnsi="宋体" w:eastAsia="宋体" w:cs="宋体"/>
          <w:b/>
          <w:bCs/>
          <w:color w:val="000000" w:themeColor="text1"/>
          <w:sz w:val="30"/>
          <w:szCs w:val="30"/>
        </w:rPr>
      </w:pPr>
      <w:bookmarkStart w:id="8" w:name="_Toc1535"/>
      <w:r>
        <w:rPr>
          <w:rFonts w:hint="eastAsia" w:ascii="宋体" w:hAnsi="宋体" w:eastAsia="宋体" w:cs="宋体"/>
          <w:b/>
          <w:bCs/>
          <w:color w:val="000000" w:themeColor="text1"/>
          <w:sz w:val="30"/>
          <w:szCs w:val="30"/>
        </w:rPr>
        <w:t>第一章　竞争性谈判公告</w:t>
      </w:r>
      <w:bookmarkEnd w:id="8"/>
    </w:p>
    <w:p w14:paraId="4843D0FF">
      <w:pPr>
        <w:spacing w:line="480" w:lineRule="exact"/>
        <w:jc w:val="center"/>
        <w:rPr>
          <w:rFonts w:hint="eastAsia" w:ascii="宋体" w:hAnsi="宋体" w:eastAsia="宋体" w:cs="宋体"/>
          <w:b/>
          <w:color w:val="000000" w:themeColor="text1"/>
          <w:sz w:val="28"/>
          <w:szCs w:val="28"/>
        </w:rPr>
      </w:pPr>
      <w:bookmarkStart w:id="9" w:name="_Toc3705"/>
      <w:bookmarkStart w:id="10" w:name="_Toc10845"/>
      <w:bookmarkStart w:id="11" w:name="_Toc246996916"/>
      <w:bookmarkStart w:id="12" w:name="_Toc494118804"/>
      <w:bookmarkStart w:id="13" w:name="_Toc152045527"/>
      <w:bookmarkStart w:id="14" w:name="_Toc152042303"/>
      <w:bookmarkStart w:id="15" w:name="_Toc246996173"/>
      <w:bookmarkStart w:id="16" w:name="_Toc144974495"/>
      <w:bookmarkStart w:id="17" w:name="_Toc247085687"/>
      <w:bookmarkStart w:id="18" w:name="_Toc179632544"/>
      <w:r>
        <w:rPr>
          <w:rFonts w:hint="eastAsia" w:ascii="宋体" w:hAnsi="宋体" w:cs="宋体"/>
          <w:b/>
          <w:color w:val="000000" w:themeColor="text1"/>
          <w:sz w:val="28"/>
          <w:szCs w:val="28"/>
          <w:lang w:eastAsia="zh-CN"/>
        </w:rPr>
        <w:t>广西国立工程咨询有限公司</w:t>
      </w:r>
      <w:r>
        <w:rPr>
          <w:rFonts w:hint="eastAsia" w:ascii="宋体" w:hAnsi="宋体" w:eastAsia="宋体" w:cs="宋体"/>
          <w:b/>
          <w:color w:val="000000" w:themeColor="text1"/>
          <w:sz w:val="28"/>
          <w:szCs w:val="28"/>
        </w:rPr>
        <w:t xml:space="preserve"> </w:t>
      </w:r>
    </w:p>
    <w:p w14:paraId="44DBD57F">
      <w:pPr>
        <w:spacing w:line="460" w:lineRule="exact"/>
        <w:jc w:val="center"/>
        <w:rPr>
          <w:rFonts w:hint="eastAsia" w:ascii="宋体" w:hAnsi="宋体" w:eastAsia="宋体" w:cs="宋体"/>
          <w:b/>
          <w:bCs/>
          <w:color w:val="000000" w:themeColor="text1"/>
          <w:sz w:val="28"/>
          <w:szCs w:val="28"/>
          <w:lang w:eastAsia="zh-CN"/>
        </w:rPr>
      </w:pPr>
      <w:r>
        <w:rPr>
          <w:rFonts w:hint="eastAsia" w:ascii="宋体" w:hAnsi="宋体" w:cs="宋体"/>
          <w:b/>
          <w:bCs/>
          <w:color w:val="000000" w:themeColor="text1"/>
          <w:sz w:val="28"/>
          <w:szCs w:val="28"/>
          <w:lang w:eastAsia="zh-CN"/>
        </w:rPr>
        <w:t>河池市卫生学校实训大楼三期装修工程项目</w:t>
      </w:r>
    </w:p>
    <w:p w14:paraId="4527E0AA">
      <w:pPr>
        <w:spacing w:line="460" w:lineRule="exact"/>
        <w:jc w:val="center"/>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（项目编号：HCZC2026-J2-990059-GXGL）</w:t>
      </w:r>
      <w:bookmarkEnd w:id="9"/>
      <w:bookmarkEnd w:id="10"/>
      <w:bookmarkStart w:id="19" w:name="_Toc22998"/>
      <w:bookmarkStart w:id="20" w:name="_Toc29412"/>
    </w:p>
    <w:p w14:paraId="673EC54C">
      <w:pPr>
        <w:spacing w:line="460" w:lineRule="exact"/>
        <w:jc w:val="center"/>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竞争性谈判采购公告</w:t>
      </w:r>
      <w:bookmarkEnd w:id="19"/>
      <w:bookmarkEnd w:id="20"/>
    </w:p>
    <w:p w14:paraId="0FD90A6B">
      <w:pPr>
        <w:rPr>
          <w:rFonts w:hint="eastAsia" w:ascii="宋体" w:hAnsi="宋体" w:eastAsia="宋体" w:cs="宋体"/>
          <w:color w:val="000000" w:themeColor="text1"/>
          <w:sz w:val="28"/>
          <w:szCs w:val="28"/>
        </w:rPr>
      </w:pPr>
    </w:p>
    <w:p w14:paraId="3A35ABE3">
      <w:pPr>
        <w:pBdr>
          <w:top w:val="single" w:color="auto" w:sz="4" w:space="1"/>
          <w:left w:val="single" w:color="auto" w:sz="4" w:space="4"/>
          <w:bottom w:val="single" w:color="auto" w:sz="4" w:space="1"/>
          <w:right w:val="single" w:color="auto" w:sz="4" w:space="4"/>
        </w:pBdr>
        <w:rPr>
          <w:rFonts w:hint="eastAsia" w:ascii="宋体" w:hAnsi="宋体" w:eastAsia="宋体" w:cs="宋体"/>
          <w:color w:val="000000" w:themeColor="text1"/>
          <w:sz w:val="24"/>
        </w:rPr>
      </w:pPr>
      <w:r>
        <w:rPr>
          <w:rFonts w:hint="eastAsia" w:ascii="宋体" w:hAnsi="宋体" w:eastAsia="宋体" w:cs="宋体"/>
          <w:color w:val="000000" w:themeColor="text1"/>
          <w:sz w:val="24"/>
        </w:rPr>
        <w:t>项目概况</w:t>
      </w:r>
    </w:p>
    <w:p w14:paraId="58B99F12">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000000" w:themeColor="text1"/>
          <w:sz w:val="24"/>
        </w:rPr>
      </w:pPr>
      <w:r>
        <w:rPr>
          <w:rFonts w:hint="eastAsia" w:ascii="宋体" w:hAnsi="宋体" w:cs="宋体"/>
          <w:color w:val="000000" w:themeColor="text1"/>
          <w:sz w:val="24"/>
          <w:u w:val="single"/>
          <w:lang w:eastAsia="zh-CN"/>
        </w:rPr>
        <w:t>河池市卫生学校实训大楼三期装修工程项目</w:t>
      </w:r>
      <w:r>
        <w:rPr>
          <w:rFonts w:hint="eastAsia" w:ascii="宋体" w:hAnsi="宋体" w:eastAsia="宋体" w:cs="宋体"/>
          <w:color w:val="000000" w:themeColor="text1"/>
          <w:sz w:val="24"/>
        </w:rPr>
        <w:t>采购项目的潜在供应商应在</w:t>
      </w:r>
      <w:r>
        <w:rPr>
          <w:rFonts w:hint="eastAsia" w:ascii="宋体" w:hAnsi="宋体" w:cs="宋体"/>
          <w:i w:val="0"/>
          <w:iCs w:val="0"/>
          <w:color w:val="000000" w:themeColor="text1"/>
          <w:sz w:val="24"/>
          <w:szCs w:val="24"/>
          <w:highlight w:val="none"/>
          <w:u w:val="single"/>
          <w:lang w:eastAsia="zh-CN"/>
        </w:rPr>
        <w:t>广西政府采购云平台（https://www.gcy.zfcg.gxzf.gov.cn/）</w:t>
      </w:r>
      <w:r>
        <w:rPr>
          <w:rFonts w:hint="eastAsia" w:ascii="宋体" w:hAnsi="宋体" w:eastAsia="宋体" w:cs="宋体"/>
          <w:color w:val="000000" w:themeColor="text1"/>
          <w:sz w:val="24"/>
        </w:rPr>
        <w:t>获取采购文件，并于</w:t>
      </w:r>
      <w:r>
        <w:rPr>
          <w:rFonts w:hint="eastAsia" w:ascii="宋体" w:hAnsi="宋体" w:cs="宋体"/>
          <w:color w:val="000000" w:themeColor="text1"/>
          <w:sz w:val="24"/>
          <w:u w:val="single"/>
          <w:lang w:eastAsia="zh-CN"/>
        </w:rPr>
        <w:t>2026年06月10日10时00分</w:t>
      </w:r>
      <w:r>
        <w:rPr>
          <w:rFonts w:hint="eastAsia" w:ascii="宋体" w:hAnsi="宋体" w:eastAsia="宋体" w:cs="宋体"/>
          <w:bCs/>
          <w:color w:val="000000" w:themeColor="text1"/>
          <w:sz w:val="24"/>
        </w:rPr>
        <w:t>（北京时间）前提交竞标文件</w:t>
      </w:r>
      <w:r>
        <w:rPr>
          <w:rFonts w:hint="eastAsia" w:ascii="宋体" w:hAnsi="宋体" w:eastAsia="宋体" w:cs="宋体"/>
          <w:color w:val="000000" w:themeColor="text1"/>
          <w:sz w:val="24"/>
        </w:rPr>
        <w:t>。</w:t>
      </w:r>
    </w:p>
    <w:p w14:paraId="65FB0208">
      <w:pPr>
        <w:rPr>
          <w:rFonts w:hint="eastAsia" w:ascii="宋体" w:hAnsi="宋体" w:eastAsia="宋体" w:cs="宋体"/>
          <w:color w:val="000000" w:themeColor="text1"/>
          <w:sz w:val="24"/>
        </w:rPr>
      </w:pPr>
    </w:p>
    <w:p w14:paraId="0ED10B7F">
      <w:pPr>
        <w:pStyle w:val="3"/>
        <w:spacing w:before="0" w:after="0" w:line="460" w:lineRule="exact"/>
        <w:rPr>
          <w:rFonts w:hint="eastAsia" w:ascii="宋体" w:hAnsi="宋体" w:eastAsia="宋体" w:cs="宋体"/>
          <w:b/>
          <w:bCs w:val="0"/>
          <w:color w:val="000000" w:themeColor="text1"/>
          <w:sz w:val="24"/>
          <w:szCs w:val="24"/>
        </w:rPr>
      </w:pPr>
      <w:bookmarkStart w:id="21" w:name="_Toc28359012"/>
      <w:bookmarkStart w:id="22" w:name="_Toc35393629"/>
      <w:bookmarkStart w:id="23" w:name="_Toc23872"/>
      <w:bookmarkStart w:id="24" w:name="_Toc35393798"/>
      <w:bookmarkStart w:id="25" w:name="_Toc28359089"/>
      <w:r>
        <w:rPr>
          <w:rFonts w:hint="eastAsia" w:ascii="宋体" w:hAnsi="宋体" w:eastAsia="宋体" w:cs="宋体"/>
          <w:b/>
          <w:bCs w:val="0"/>
          <w:color w:val="000000" w:themeColor="text1"/>
          <w:sz w:val="24"/>
          <w:szCs w:val="24"/>
        </w:rPr>
        <w:t>一、项目基本情况</w:t>
      </w:r>
      <w:bookmarkEnd w:id="21"/>
      <w:bookmarkEnd w:id="22"/>
      <w:bookmarkEnd w:id="23"/>
      <w:bookmarkEnd w:id="24"/>
      <w:bookmarkEnd w:id="25"/>
    </w:p>
    <w:p w14:paraId="54F6C8B5">
      <w:pPr>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项目编号：HCZC2026-J2-990059-GXGL</w:t>
      </w:r>
    </w:p>
    <w:p w14:paraId="113AEBE6">
      <w:pPr>
        <w:spacing w:line="460" w:lineRule="exact"/>
        <w:ind w:firstLine="480" w:firstLineChars="200"/>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rPr>
        <w:t>项目名称：</w:t>
      </w:r>
      <w:r>
        <w:rPr>
          <w:rFonts w:hint="eastAsia" w:ascii="宋体" w:hAnsi="宋体" w:cs="宋体"/>
          <w:color w:val="000000" w:themeColor="text1"/>
          <w:sz w:val="24"/>
          <w:lang w:eastAsia="zh-CN"/>
        </w:rPr>
        <w:t>河池市卫生学校实训大楼三期装修工程项目</w:t>
      </w:r>
    </w:p>
    <w:p w14:paraId="73916B6B">
      <w:pPr>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采购方式：竞争性谈判</w:t>
      </w:r>
    </w:p>
    <w:p w14:paraId="0B52873E">
      <w:pPr>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预算金额：</w:t>
      </w:r>
      <w:r>
        <w:rPr>
          <w:rFonts w:hint="eastAsia" w:ascii="宋体" w:hAnsi="宋体" w:cs="宋体"/>
          <w:color w:val="000000" w:themeColor="text1"/>
          <w:sz w:val="24"/>
          <w:lang w:eastAsia="zh-CN"/>
        </w:rPr>
        <w:t>柒拾叁万肆仟叁佰陆拾陆元叁角伍分</w:t>
      </w:r>
      <w:r>
        <w:rPr>
          <w:rFonts w:hint="eastAsia" w:ascii="宋体" w:hAnsi="宋体" w:eastAsia="宋体" w:cs="宋体"/>
          <w:color w:val="000000" w:themeColor="text1"/>
          <w:sz w:val="24"/>
        </w:rPr>
        <w:t>（￥</w:t>
      </w:r>
      <w:r>
        <w:rPr>
          <w:rFonts w:hint="eastAsia" w:ascii="宋体" w:hAnsi="宋体" w:cs="宋体"/>
          <w:color w:val="000000" w:themeColor="text1"/>
          <w:sz w:val="24"/>
          <w:lang w:val="en-US" w:eastAsia="zh-CN"/>
        </w:rPr>
        <w:t>734366.35</w:t>
      </w:r>
      <w:r>
        <w:rPr>
          <w:rFonts w:hint="eastAsia" w:ascii="宋体" w:hAnsi="宋体" w:eastAsia="宋体" w:cs="宋体"/>
          <w:color w:val="000000" w:themeColor="text1"/>
          <w:sz w:val="24"/>
        </w:rPr>
        <w:t>元）</w:t>
      </w:r>
    </w:p>
    <w:p w14:paraId="5D9B3EB6">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采购内容：</w:t>
      </w:r>
      <w:r>
        <w:rPr>
          <w:rFonts w:hint="eastAsia" w:ascii="宋体" w:hAnsi="宋体" w:cs="宋体"/>
          <w:color w:val="000000" w:themeColor="text1"/>
          <w:sz w:val="24"/>
          <w:lang w:eastAsia="zh-CN"/>
        </w:rPr>
        <w:t>河池市卫生学校实训大楼三期装修工程项目</w:t>
      </w:r>
      <w:r>
        <w:rPr>
          <w:rFonts w:hint="eastAsia" w:ascii="宋体" w:hAnsi="宋体" w:eastAsia="宋体" w:cs="宋体"/>
          <w:color w:val="000000" w:themeColor="text1"/>
          <w:sz w:val="24"/>
        </w:rPr>
        <w:t>，详见经评审的招标控制价及工程量清单，施工图包含</w:t>
      </w:r>
      <w:r>
        <w:rPr>
          <w:rFonts w:hint="eastAsia" w:ascii="宋体" w:hAnsi="宋体" w:cs="宋体"/>
          <w:color w:val="000000" w:themeColor="text1"/>
          <w:sz w:val="24"/>
          <w:lang w:eastAsia="zh-CN"/>
        </w:rPr>
        <w:t>的</w:t>
      </w:r>
      <w:r>
        <w:rPr>
          <w:rFonts w:hint="eastAsia" w:ascii="宋体" w:hAnsi="宋体" w:eastAsia="宋体" w:cs="宋体"/>
          <w:color w:val="000000" w:themeColor="text1"/>
          <w:sz w:val="24"/>
        </w:rPr>
        <w:t>全部内容。</w:t>
      </w:r>
    </w:p>
    <w:p w14:paraId="2090BB9E">
      <w:pPr>
        <w:spacing w:line="460" w:lineRule="exact"/>
        <w:ind w:firstLine="480" w:firstLineChars="200"/>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合同履行期限：</w:t>
      </w:r>
      <w:r>
        <w:rPr>
          <w:rFonts w:hint="eastAsia" w:ascii="宋体" w:hAnsi="宋体" w:cs="宋体"/>
          <w:color w:val="000000" w:themeColor="text1"/>
          <w:sz w:val="24"/>
          <w:u w:val="single"/>
          <w:lang w:val="en-US" w:eastAsia="zh-CN"/>
        </w:rPr>
        <w:t>60</w:t>
      </w:r>
      <w:r>
        <w:rPr>
          <w:rFonts w:hint="eastAsia" w:ascii="宋体" w:hAnsi="宋体" w:eastAsia="宋体" w:cs="宋体"/>
          <w:color w:val="000000" w:themeColor="text1"/>
          <w:sz w:val="24"/>
        </w:rPr>
        <w:t>日历天。</w:t>
      </w:r>
    </w:p>
    <w:p w14:paraId="234D6042">
      <w:pPr>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本项目不接受联合体谈判。</w:t>
      </w:r>
    </w:p>
    <w:p w14:paraId="52263743">
      <w:pPr>
        <w:pStyle w:val="3"/>
        <w:spacing w:before="0" w:after="0" w:line="460" w:lineRule="exact"/>
        <w:rPr>
          <w:rFonts w:hint="eastAsia" w:ascii="宋体" w:hAnsi="宋体" w:eastAsia="宋体" w:cs="宋体"/>
          <w:b/>
          <w:bCs w:val="0"/>
          <w:color w:val="000000" w:themeColor="text1"/>
          <w:sz w:val="24"/>
          <w:szCs w:val="24"/>
        </w:rPr>
      </w:pPr>
      <w:bookmarkStart w:id="26" w:name="_Toc28359013"/>
      <w:bookmarkStart w:id="27" w:name="_Toc28359090"/>
      <w:bookmarkStart w:id="28" w:name="_Toc35393799"/>
      <w:bookmarkStart w:id="29" w:name="_Toc35393630"/>
      <w:bookmarkStart w:id="30" w:name="_Toc19779"/>
      <w:r>
        <w:rPr>
          <w:rFonts w:hint="eastAsia" w:ascii="宋体" w:hAnsi="宋体" w:eastAsia="宋体" w:cs="宋体"/>
          <w:b/>
          <w:bCs w:val="0"/>
          <w:color w:val="000000" w:themeColor="text1"/>
          <w:sz w:val="24"/>
          <w:szCs w:val="24"/>
        </w:rPr>
        <w:t>二、申请人的资格要求：</w:t>
      </w:r>
      <w:bookmarkEnd w:id="26"/>
      <w:bookmarkEnd w:id="27"/>
      <w:bookmarkEnd w:id="28"/>
      <w:bookmarkEnd w:id="29"/>
      <w:bookmarkEnd w:id="30"/>
    </w:p>
    <w:p w14:paraId="0DF71CEA">
      <w:pPr>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1.满足《中华人民共和国政府采购法》第二十二条规定。</w:t>
      </w:r>
    </w:p>
    <w:p w14:paraId="3122D9C2">
      <w:pPr>
        <w:wordWrap w:val="0"/>
        <w:topLinePunct/>
        <w:spacing w:line="460" w:lineRule="exact"/>
        <w:ind w:firstLine="480" w:firstLineChars="200"/>
        <w:rPr>
          <w:rFonts w:hint="eastAsia" w:ascii="宋体" w:hAnsi="宋体" w:eastAsia="宋体" w:cs="宋体"/>
          <w:color w:val="000000" w:themeColor="text1"/>
          <w:sz w:val="24"/>
          <w:lang w:eastAsia="zh-CN"/>
        </w:rPr>
      </w:pPr>
      <w:bookmarkStart w:id="31" w:name="_Toc28359014"/>
      <w:bookmarkStart w:id="32" w:name="_Toc28359091"/>
      <w:r>
        <w:rPr>
          <w:rFonts w:hint="eastAsia" w:ascii="宋体" w:hAnsi="宋体" w:eastAsia="宋体" w:cs="宋体"/>
          <w:color w:val="000000" w:themeColor="text1"/>
          <w:sz w:val="24"/>
        </w:rPr>
        <w:t>2.</w:t>
      </w:r>
      <w:r>
        <w:rPr>
          <w:rFonts w:hint="eastAsia" w:ascii="宋体" w:hAnsi="宋体" w:cs="宋体"/>
          <w:color w:val="000000" w:themeColor="text1"/>
          <w:sz w:val="24"/>
          <w:lang w:eastAsia="zh-CN"/>
        </w:rPr>
        <w:t>落实政府采购政策需满足的资格要求：本项目专门面向中小企业采购，供应商应为中小微企业或监狱企业或残疾人福利性单位。</w:t>
      </w:r>
    </w:p>
    <w:p w14:paraId="43C75AB0">
      <w:pPr>
        <w:wordWrap w:val="0"/>
        <w:topLinePunct/>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3.国内注册（指按国家有关规定要求注册的），具备</w:t>
      </w:r>
      <w:r>
        <w:rPr>
          <w:rFonts w:hint="eastAsia" w:ascii="宋体" w:hAnsi="宋体" w:cs="宋体"/>
          <w:color w:val="000000" w:themeColor="text1"/>
          <w:sz w:val="24"/>
          <w:lang w:eastAsia="zh-CN"/>
        </w:rPr>
        <w:t>建筑装修装饰工程专业承包二级及以上资质</w:t>
      </w:r>
      <w:r>
        <w:rPr>
          <w:rFonts w:hint="eastAsia" w:ascii="宋体" w:hAnsi="宋体" w:eastAsia="宋体" w:cs="宋体"/>
          <w:color w:val="000000" w:themeColor="text1"/>
          <w:sz w:val="24"/>
        </w:rPr>
        <w:t>，具有有效的安全生产许可证，并在人员、设备、资金等方面具有相应能力的供应商。</w:t>
      </w:r>
    </w:p>
    <w:p w14:paraId="256778F4">
      <w:pPr>
        <w:wordWrap w:val="0"/>
        <w:topLinePunct/>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4.拟投入本项目的项目经理必须具有</w:t>
      </w:r>
      <w:r>
        <w:rPr>
          <w:rFonts w:hint="eastAsia" w:ascii="宋体" w:hAnsi="宋体" w:cs="宋体"/>
          <w:color w:val="000000" w:themeColor="text1"/>
          <w:sz w:val="24"/>
          <w:lang w:eastAsia="zh-CN"/>
        </w:rPr>
        <w:t>建筑工程专业注册建造师二级（含二级）以上资质及安全生产考核合格证书（B类）</w:t>
      </w:r>
      <w:r>
        <w:rPr>
          <w:rFonts w:hint="eastAsia" w:ascii="宋体" w:hAnsi="宋体" w:eastAsia="宋体" w:cs="宋体"/>
          <w:color w:val="000000" w:themeColor="text1"/>
          <w:sz w:val="24"/>
        </w:rPr>
        <w:t>；拟派专职安全员1名，专职安全员须具备有效的安全生产考核合格证书（C类）。</w:t>
      </w:r>
    </w:p>
    <w:p w14:paraId="000A1A33">
      <w:pPr>
        <w:wordWrap w:val="0"/>
        <w:topLinePunct/>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单位负责人为同一人或者存在直接控股、管理关系的不同谈判竞标单位，不得参加同一合同项下的政府采购活动。除单一来源采购项目外，为采购项目提供整体设计、规范编制或者项目管理、监理、检测等服务的谈判竞标单位，不得再参加该采购项目的其他采购活动。</w:t>
      </w:r>
    </w:p>
    <w:p w14:paraId="7FDE8BF8">
      <w:pPr>
        <w:wordWrap w:val="0"/>
        <w:topLinePunct/>
        <w:spacing w:line="460" w:lineRule="exact"/>
        <w:ind w:firstLine="480" w:firstLineChars="200"/>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6.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谈判竞标单位，不得参与本次采购活动。</w:t>
      </w:r>
    </w:p>
    <w:p w14:paraId="4890E1D5">
      <w:pPr>
        <w:pStyle w:val="3"/>
        <w:spacing w:before="0" w:after="0" w:line="460" w:lineRule="exact"/>
        <w:rPr>
          <w:rFonts w:hint="eastAsia" w:ascii="宋体" w:hAnsi="宋体" w:eastAsia="宋体" w:cs="宋体"/>
          <w:b/>
          <w:bCs w:val="0"/>
          <w:color w:val="000000" w:themeColor="text1"/>
          <w:sz w:val="24"/>
          <w:szCs w:val="24"/>
        </w:rPr>
      </w:pPr>
      <w:bookmarkStart w:id="33" w:name="_Toc35393631"/>
      <w:bookmarkStart w:id="34" w:name="_Toc21462"/>
      <w:bookmarkStart w:id="35" w:name="_Toc35393800"/>
      <w:r>
        <w:rPr>
          <w:rFonts w:hint="eastAsia" w:ascii="宋体" w:hAnsi="宋体" w:eastAsia="宋体" w:cs="宋体"/>
          <w:b/>
          <w:bCs w:val="0"/>
          <w:color w:val="000000" w:themeColor="text1"/>
          <w:sz w:val="24"/>
          <w:szCs w:val="24"/>
        </w:rPr>
        <w:t>三、获取采购文件</w:t>
      </w:r>
      <w:bookmarkEnd w:id="31"/>
      <w:bookmarkEnd w:id="32"/>
      <w:bookmarkEnd w:id="33"/>
      <w:bookmarkEnd w:id="34"/>
      <w:bookmarkEnd w:id="35"/>
    </w:p>
    <w:p w14:paraId="58BCAA2D">
      <w:pPr>
        <w:spacing w:line="460" w:lineRule="exact"/>
        <w:ind w:firstLine="540"/>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时间：</w:t>
      </w:r>
      <w:r>
        <w:rPr>
          <w:rFonts w:hint="eastAsia" w:ascii="宋体" w:hAnsi="宋体" w:eastAsia="宋体" w:cs="宋体"/>
          <w:color w:val="000000" w:themeColor="text1"/>
          <w:sz w:val="24"/>
          <w:u w:val="single"/>
        </w:rPr>
        <w:t>202</w:t>
      </w:r>
      <w:r>
        <w:rPr>
          <w:rFonts w:hint="eastAsia" w:ascii="宋体" w:hAnsi="宋体" w:cs="宋体"/>
          <w:color w:val="000000" w:themeColor="text1"/>
          <w:sz w:val="24"/>
          <w:u w:val="single"/>
          <w:lang w:val="en-US" w:eastAsia="zh-CN"/>
        </w:rPr>
        <w:t>6</w:t>
      </w:r>
      <w:r>
        <w:rPr>
          <w:rFonts w:hint="eastAsia" w:ascii="宋体" w:hAnsi="宋体" w:eastAsia="宋体" w:cs="宋体"/>
          <w:color w:val="000000" w:themeColor="text1"/>
          <w:sz w:val="24"/>
          <w:u w:val="single"/>
        </w:rPr>
        <w:t>年</w:t>
      </w:r>
      <w:r>
        <w:rPr>
          <w:rFonts w:hint="eastAsia" w:ascii="宋体" w:hAnsi="宋体" w:cs="宋体"/>
          <w:color w:val="000000" w:themeColor="text1"/>
          <w:sz w:val="24"/>
          <w:u w:val="single"/>
          <w:lang w:val="en-US" w:eastAsia="zh-CN"/>
        </w:rPr>
        <w:t>06</w:t>
      </w:r>
      <w:r>
        <w:rPr>
          <w:rFonts w:hint="eastAsia" w:ascii="宋体" w:hAnsi="宋体" w:eastAsia="宋体" w:cs="宋体"/>
          <w:color w:val="000000" w:themeColor="text1"/>
          <w:sz w:val="24"/>
          <w:u w:val="single"/>
        </w:rPr>
        <w:t>月</w:t>
      </w:r>
      <w:r>
        <w:rPr>
          <w:rFonts w:hint="eastAsia" w:ascii="宋体" w:hAnsi="宋体" w:cs="宋体"/>
          <w:color w:val="000000" w:themeColor="text1"/>
          <w:sz w:val="24"/>
          <w:u w:val="single"/>
          <w:lang w:val="en-US" w:eastAsia="zh-CN"/>
        </w:rPr>
        <w:t>03</w:t>
      </w:r>
      <w:r>
        <w:rPr>
          <w:rFonts w:hint="eastAsia" w:ascii="宋体" w:hAnsi="宋体" w:eastAsia="宋体" w:cs="宋体"/>
          <w:color w:val="000000" w:themeColor="text1"/>
          <w:sz w:val="24"/>
          <w:u w:val="single"/>
        </w:rPr>
        <w:t>日发布公告之时起</w:t>
      </w:r>
      <w:r>
        <w:rPr>
          <w:rFonts w:hint="eastAsia" w:ascii="宋体" w:hAnsi="宋体" w:eastAsia="宋体" w:cs="宋体"/>
          <w:color w:val="000000" w:themeColor="text1"/>
          <w:sz w:val="24"/>
        </w:rPr>
        <w:t>至</w:t>
      </w:r>
      <w:r>
        <w:rPr>
          <w:rFonts w:hint="eastAsia" w:ascii="宋体" w:hAnsi="宋体" w:eastAsia="宋体" w:cs="宋体"/>
          <w:color w:val="000000" w:themeColor="text1"/>
          <w:sz w:val="24"/>
          <w:u w:val="single"/>
        </w:rPr>
        <w:t>竞标文件提交截止时间止</w:t>
      </w:r>
    </w:p>
    <w:p w14:paraId="0156CDCA">
      <w:pPr>
        <w:keepNext w:val="0"/>
        <w:keepLines w:val="0"/>
        <w:pageBreakBefore w:val="0"/>
        <w:widowControl w:val="0"/>
        <w:kinsoku/>
        <w:wordWrap w:val="0"/>
        <w:overflowPunct/>
        <w:topLinePunct/>
        <w:autoSpaceDE/>
        <w:autoSpaceDN/>
        <w:bidi w:val="0"/>
        <w:adjustRightInd/>
        <w:snapToGrid/>
        <w:spacing w:line="440" w:lineRule="exact"/>
        <w:ind w:firstLine="539"/>
        <w:textAlignment w:val="auto"/>
        <w:rPr>
          <w:rFonts w:hint="eastAsia" w:ascii="宋体" w:hAnsi="宋体" w:eastAsia="宋体" w:cs="宋体"/>
          <w:color w:val="000000" w:themeColor="text1"/>
          <w:sz w:val="24"/>
          <w:highlight w:val="none"/>
        </w:rPr>
      </w:pPr>
      <w:bookmarkStart w:id="36" w:name="_Toc35393636"/>
      <w:bookmarkStart w:id="37" w:name="_Toc35393805"/>
      <w:bookmarkStart w:id="38" w:name="_Toc28359095"/>
      <w:bookmarkStart w:id="39" w:name="_Toc11508"/>
      <w:bookmarkStart w:id="40" w:name="_Toc28359018"/>
      <w:r>
        <w:rPr>
          <w:rFonts w:hint="eastAsia" w:ascii="宋体" w:hAnsi="宋体" w:eastAsia="宋体" w:cs="宋体"/>
          <w:color w:val="000000" w:themeColor="text1"/>
          <w:sz w:val="24"/>
          <w:highlight w:val="none"/>
        </w:rPr>
        <w:t>地点：</w:t>
      </w:r>
      <w:r>
        <w:rPr>
          <w:rFonts w:hint="eastAsia" w:ascii="宋体" w:hAnsi="宋体" w:cs="宋体"/>
          <w:color w:val="000000" w:themeColor="text1"/>
          <w:sz w:val="24"/>
          <w:lang w:eastAsia="zh-CN"/>
        </w:rPr>
        <w:t>广西政府采购云平台（https://www.gcy.zfcg.gxzf.gov.cn/）</w:t>
      </w:r>
    </w:p>
    <w:p w14:paraId="07CD5B91">
      <w:pPr>
        <w:keepNext w:val="0"/>
        <w:keepLines w:val="0"/>
        <w:pageBreakBefore w:val="0"/>
        <w:widowControl w:val="0"/>
        <w:kinsoku/>
        <w:wordWrap w:val="0"/>
        <w:overflowPunct/>
        <w:topLinePunct/>
        <w:autoSpaceDE/>
        <w:autoSpaceDN/>
        <w:bidi w:val="0"/>
        <w:adjustRightInd/>
        <w:snapToGrid/>
        <w:spacing w:line="440" w:lineRule="exact"/>
        <w:ind w:left="0" w:leftChars="0" w:firstLine="539"/>
        <w:textAlignment w:val="auto"/>
        <w:rPr>
          <w:rFonts w:hint="eastAsia" w:ascii="宋体" w:hAnsi="宋体" w:eastAsia="宋体" w:cs="宋体"/>
          <w:i w:val="0"/>
          <w:iCs w:val="0"/>
          <w:color w:val="000000" w:themeColor="text1"/>
          <w:sz w:val="24"/>
          <w:szCs w:val="24"/>
          <w:highlight w:val="none"/>
        </w:rPr>
      </w:pPr>
      <w:r>
        <w:rPr>
          <w:rFonts w:hint="eastAsia" w:ascii="宋体" w:hAnsi="宋体" w:eastAsia="宋体" w:cs="宋体"/>
          <w:i w:val="0"/>
          <w:iCs w:val="0"/>
          <w:color w:val="000000" w:themeColor="text1"/>
          <w:sz w:val="24"/>
          <w:szCs w:val="24"/>
          <w:highlight w:val="none"/>
        </w:rPr>
        <w:t>方式：网上下载。本项目不提供纸质文件，潜在供应商需在广西政府采购云平台（https://www.gcy.zfcg.gxzf.gov.cn/）-进入“项目采购”应用，在获取采购文件菜单中选择项目，获取</w:t>
      </w:r>
      <w:r>
        <w:rPr>
          <w:rFonts w:hint="eastAsia" w:ascii="宋体" w:hAnsi="宋体" w:eastAsia="宋体" w:cs="宋体"/>
          <w:i w:val="0"/>
          <w:iCs w:val="0"/>
          <w:color w:val="000000" w:themeColor="text1"/>
          <w:sz w:val="24"/>
          <w:szCs w:val="24"/>
          <w:highlight w:val="none"/>
          <w:lang w:eastAsia="zh-CN"/>
        </w:rPr>
        <w:t>竞争性</w:t>
      </w:r>
      <w:r>
        <w:rPr>
          <w:rFonts w:hint="eastAsia" w:ascii="宋体" w:hAnsi="宋体" w:eastAsia="宋体" w:cs="宋体"/>
          <w:i w:val="0"/>
          <w:iCs w:val="0"/>
          <w:color w:val="000000" w:themeColor="text1"/>
          <w:sz w:val="24"/>
          <w:szCs w:val="24"/>
          <w:highlight w:val="none"/>
          <w:lang w:val="en-US" w:eastAsia="zh-CN"/>
        </w:rPr>
        <w:t>谈判</w:t>
      </w:r>
      <w:r>
        <w:rPr>
          <w:rFonts w:hint="eastAsia" w:ascii="宋体" w:hAnsi="宋体" w:eastAsia="宋体" w:cs="宋体"/>
          <w:i w:val="0"/>
          <w:iCs w:val="0"/>
          <w:color w:val="000000" w:themeColor="text1"/>
          <w:sz w:val="24"/>
          <w:szCs w:val="24"/>
          <w:highlight w:val="none"/>
          <w:lang w:eastAsia="zh-CN"/>
        </w:rPr>
        <w:t>文件</w:t>
      </w:r>
      <w:r>
        <w:rPr>
          <w:rFonts w:hint="eastAsia" w:ascii="宋体" w:hAnsi="宋体" w:eastAsia="宋体" w:cs="宋体"/>
          <w:i w:val="0"/>
          <w:iCs w:val="0"/>
          <w:color w:val="000000" w:themeColor="text1"/>
          <w:sz w:val="24"/>
          <w:szCs w:val="24"/>
          <w:highlight w:val="none"/>
        </w:rPr>
        <w:t>。电子</w:t>
      </w:r>
      <w:r>
        <w:rPr>
          <w:rFonts w:hint="eastAsia" w:ascii="宋体" w:hAnsi="宋体" w:eastAsia="宋体" w:cs="宋体"/>
          <w:i w:val="0"/>
          <w:iCs w:val="0"/>
          <w:color w:val="000000" w:themeColor="text1"/>
          <w:sz w:val="24"/>
          <w:szCs w:val="24"/>
          <w:highlight w:val="none"/>
          <w:lang w:val="en-US" w:eastAsia="zh-CN"/>
        </w:rPr>
        <w:t>竞标</w:t>
      </w:r>
      <w:r>
        <w:rPr>
          <w:rFonts w:hint="eastAsia" w:ascii="宋体" w:hAnsi="宋体" w:eastAsia="宋体" w:cs="宋体"/>
          <w:i w:val="0"/>
          <w:iCs w:val="0"/>
          <w:color w:val="000000" w:themeColor="text1"/>
          <w:sz w:val="24"/>
          <w:szCs w:val="24"/>
          <w:highlight w:val="none"/>
          <w:lang w:eastAsia="zh-CN"/>
        </w:rPr>
        <w:t>文件</w:t>
      </w:r>
      <w:r>
        <w:rPr>
          <w:rFonts w:hint="eastAsia" w:ascii="宋体" w:hAnsi="宋体" w:eastAsia="宋体" w:cs="宋体"/>
          <w:i w:val="0"/>
          <w:iCs w:val="0"/>
          <w:color w:val="000000" w:themeColor="text1"/>
          <w:sz w:val="24"/>
          <w:szCs w:val="24"/>
          <w:highlight w:val="none"/>
        </w:rPr>
        <w:t>制作需要基于广西政府采购云平台获取的</w:t>
      </w:r>
      <w:r>
        <w:rPr>
          <w:rFonts w:hint="eastAsia" w:ascii="宋体" w:hAnsi="宋体" w:cs="宋体"/>
          <w:i w:val="0"/>
          <w:iCs w:val="0"/>
          <w:color w:val="000000" w:themeColor="text1"/>
          <w:sz w:val="24"/>
          <w:szCs w:val="24"/>
          <w:highlight w:val="none"/>
          <w:lang w:val="en-US" w:eastAsia="zh-CN"/>
        </w:rPr>
        <w:t>采购</w:t>
      </w:r>
      <w:r>
        <w:rPr>
          <w:rFonts w:hint="eastAsia" w:ascii="宋体" w:hAnsi="宋体" w:eastAsia="宋体" w:cs="宋体"/>
          <w:i w:val="0"/>
          <w:iCs w:val="0"/>
          <w:color w:val="000000" w:themeColor="text1"/>
          <w:sz w:val="24"/>
          <w:szCs w:val="24"/>
          <w:highlight w:val="none"/>
        </w:rPr>
        <w:t>文件编制，通过其他方式获取</w:t>
      </w:r>
      <w:r>
        <w:rPr>
          <w:rFonts w:hint="eastAsia" w:ascii="宋体" w:hAnsi="宋体" w:cs="宋体"/>
          <w:i w:val="0"/>
          <w:iCs w:val="0"/>
          <w:color w:val="000000" w:themeColor="text1"/>
          <w:sz w:val="24"/>
          <w:szCs w:val="24"/>
          <w:highlight w:val="none"/>
          <w:lang w:val="en-US" w:eastAsia="zh-CN"/>
        </w:rPr>
        <w:t>采购</w:t>
      </w:r>
      <w:r>
        <w:rPr>
          <w:rFonts w:hint="eastAsia" w:ascii="宋体" w:hAnsi="宋体" w:eastAsia="宋体" w:cs="宋体"/>
          <w:i w:val="0"/>
          <w:iCs w:val="0"/>
          <w:color w:val="000000" w:themeColor="text1"/>
          <w:sz w:val="24"/>
          <w:szCs w:val="24"/>
          <w:highlight w:val="none"/>
        </w:rPr>
        <w:t>文件的，将有可能导致供应商无法在广西政府采购云平台编制及上传</w:t>
      </w:r>
      <w:r>
        <w:rPr>
          <w:rFonts w:hint="eastAsia" w:ascii="宋体" w:hAnsi="宋体" w:eastAsia="宋体" w:cs="宋体"/>
          <w:i w:val="0"/>
          <w:iCs w:val="0"/>
          <w:color w:val="000000" w:themeColor="text1"/>
          <w:sz w:val="24"/>
          <w:szCs w:val="24"/>
          <w:highlight w:val="none"/>
          <w:lang w:val="en-US" w:eastAsia="zh-CN"/>
        </w:rPr>
        <w:t>竞标</w:t>
      </w:r>
      <w:r>
        <w:rPr>
          <w:rFonts w:hint="eastAsia" w:ascii="宋体" w:hAnsi="宋体" w:eastAsia="宋体" w:cs="宋体"/>
          <w:i w:val="0"/>
          <w:iCs w:val="0"/>
          <w:color w:val="000000" w:themeColor="text1"/>
          <w:sz w:val="24"/>
          <w:szCs w:val="24"/>
          <w:highlight w:val="none"/>
          <w:lang w:eastAsia="zh-CN"/>
        </w:rPr>
        <w:t>文件</w:t>
      </w:r>
      <w:r>
        <w:rPr>
          <w:rFonts w:hint="eastAsia" w:ascii="宋体" w:hAnsi="宋体" w:eastAsia="宋体" w:cs="宋体"/>
          <w:i w:val="0"/>
          <w:iCs w:val="0"/>
          <w:color w:val="000000" w:themeColor="text1"/>
          <w:sz w:val="24"/>
          <w:szCs w:val="24"/>
          <w:highlight w:val="none"/>
        </w:rPr>
        <w:t>。</w:t>
      </w:r>
    </w:p>
    <w:p w14:paraId="6AC6F239">
      <w:pPr>
        <w:pStyle w:val="3"/>
        <w:pageBreakBefore w:val="0"/>
        <w:widowControl w:val="0"/>
        <w:kinsoku/>
        <w:overflowPunct/>
        <w:autoSpaceDE/>
        <w:autoSpaceDN/>
        <w:bidi w:val="0"/>
        <w:adjustRightInd/>
        <w:snapToGrid/>
        <w:spacing w:before="0" w:after="0" w:line="440" w:lineRule="exact"/>
        <w:textAlignment w:val="auto"/>
        <w:rPr>
          <w:rFonts w:hint="eastAsia" w:ascii="宋体" w:hAnsi="宋体" w:eastAsia="宋体" w:cs="宋体"/>
          <w:b/>
          <w:bCs w:val="0"/>
          <w:color w:val="000000" w:themeColor="text1"/>
          <w:sz w:val="24"/>
          <w:szCs w:val="24"/>
          <w:highlight w:val="none"/>
        </w:rPr>
      </w:pPr>
      <w:bookmarkStart w:id="41" w:name="_Toc30715"/>
      <w:bookmarkStart w:id="42" w:name="_Toc28359092"/>
      <w:bookmarkStart w:id="43" w:name="_Toc35393632"/>
      <w:bookmarkStart w:id="44" w:name="_Toc35393801"/>
      <w:bookmarkStart w:id="45" w:name="_Toc28359015"/>
      <w:r>
        <w:rPr>
          <w:rFonts w:hint="eastAsia" w:ascii="宋体" w:hAnsi="宋体" w:eastAsia="宋体" w:cs="宋体"/>
          <w:b/>
          <w:bCs w:val="0"/>
          <w:color w:val="000000" w:themeColor="text1"/>
          <w:sz w:val="24"/>
          <w:szCs w:val="24"/>
          <w:highlight w:val="none"/>
        </w:rPr>
        <w:t>四、竞标文件提交</w:t>
      </w:r>
      <w:bookmarkEnd w:id="41"/>
      <w:bookmarkEnd w:id="42"/>
      <w:bookmarkEnd w:id="43"/>
      <w:bookmarkEnd w:id="44"/>
      <w:bookmarkEnd w:id="45"/>
    </w:p>
    <w:p w14:paraId="1CEF3756">
      <w:pPr>
        <w:pageBreakBefore w:val="0"/>
        <w:widowControl w:val="0"/>
        <w:kinsoku/>
        <w:overflowPunct/>
        <w:autoSpaceDE/>
        <w:autoSpaceDN/>
        <w:bidi w:val="0"/>
        <w:adjustRightInd/>
        <w:snapToGrid/>
        <w:spacing w:line="440" w:lineRule="exact"/>
        <w:ind w:firstLine="480" w:firstLineChars="200"/>
        <w:textAlignment w:val="auto"/>
        <w:rPr>
          <w:rFonts w:hint="eastAsia" w:ascii="宋体" w:hAnsi="宋体" w:eastAsia="宋体" w:cs="宋体"/>
          <w:bCs/>
          <w:color w:val="000000" w:themeColor="text1"/>
          <w:sz w:val="24"/>
          <w:highlight w:val="none"/>
        </w:rPr>
      </w:pPr>
      <w:r>
        <w:rPr>
          <w:rFonts w:hint="eastAsia" w:ascii="宋体" w:hAnsi="宋体" w:eastAsia="宋体" w:cs="宋体"/>
          <w:color w:val="000000" w:themeColor="text1"/>
          <w:sz w:val="24"/>
          <w:highlight w:val="none"/>
        </w:rPr>
        <w:t>截止时间：</w:t>
      </w:r>
      <w:r>
        <w:rPr>
          <w:rFonts w:hint="eastAsia" w:ascii="宋体" w:hAnsi="宋体" w:cs="宋体"/>
          <w:color w:val="000000" w:themeColor="text1"/>
          <w:sz w:val="24"/>
          <w:u w:val="single"/>
          <w:lang w:eastAsia="zh-CN"/>
        </w:rPr>
        <w:t>2026年06月10日10时00分</w:t>
      </w:r>
      <w:r>
        <w:rPr>
          <w:rFonts w:hint="eastAsia" w:ascii="宋体" w:hAnsi="宋体" w:eastAsia="宋体" w:cs="宋体"/>
          <w:bCs/>
          <w:color w:val="000000" w:themeColor="text1"/>
          <w:sz w:val="24"/>
          <w:highlight w:val="none"/>
        </w:rPr>
        <w:t>（北京时间）</w:t>
      </w:r>
      <w:r>
        <w:rPr>
          <w:rFonts w:hint="eastAsia" w:ascii="宋体" w:hAnsi="宋体" w:eastAsia="宋体" w:cs="宋体"/>
          <w:color w:val="000000" w:themeColor="text1"/>
          <w:sz w:val="24"/>
          <w:highlight w:val="none"/>
        </w:rPr>
        <w:t>。</w:t>
      </w:r>
    </w:p>
    <w:p w14:paraId="328B6B2C">
      <w:pPr>
        <w:pageBreakBefore w:val="0"/>
        <w:widowControl w:val="0"/>
        <w:kinsoku/>
        <w:overflowPunct/>
        <w:autoSpaceDE/>
        <w:autoSpaceDN/>
        <w:bidi w:val="0"/>
        <w:adjustRightInd/>
        <w:snapToGrid/>
        <w:spacing w:line="440" w:lineRule="exact"/>
        <w:ind w:firstLine="480" w:firstLineChars="200"/>
        <w:textAlignment w:val="auto"/>
        <w:rPr>
          <w:rFonts w:hint="eastAsia" w:ascii="宋体" w:hAnsi="宋体" w:eastAsia="宋体" w:cs="宋体"/>
          <w:i w:val="0"/>
          <w:iCs w:val="0"/>
          <w:color w:val="000000" w:themeColor="text1"/>
          <w:sz w:val="24"/>
          <w:szCs w:val="24"/>
          <w:highlight w:val="none"/>
        </w:rPr>
      </w:pPr>
      <w:r>
        <w:rPr>
          <w:rFonts w:hint="eastAsia" w:ascii="宋体" w:hAnsi="宋体" w:eastAsia="宋体" w:cs="宋体"/>
          <w:i w:val="0"/>
          <w:iCs w:val="0"/>
          <w:color w:val="000000" w:themeColor="text1"/>
          <w:sz w:val="24"/>
          <w:szCs w:val="24"/>
          <w:highlight w:val="none"/>
        </w:rPr>
        <w:t>地点：</w:t>
      </w:r>
      <w:bookmarkStart w:id="46" w:name="_Toc28896"/>
      <w:bookmarkStart w:id="47" w:name="_Toc28359093"/>
      <w:bookmarkStart w:id="48" w:name="_Toc35393802"/>
      <w:bookmarkStart w:id="49" w:name="_Toc35393633"/>
      <w:bookmarkStart w:id="50" w:name="_Toc28359016"/>
      <w:r>
        <w:rPr>
          <w:rFonts w:hint="eastAsia" w:ascii="宋体" w:hAnsi="宋体" w:eastAsia="宋体" w:cs="宋体"/>
          <w:b w:val="0"/>
          <w:i w:val="0"/>
          <w:iCs w:val="0"/>
          <w:color w:val="000000" w:themeColor="text1"/>
          <w:sz w:val="24"/>
          <w:szCs w:val="24"/>
          <w:highlight w:val="none"/>
        </w:rPr>
        <w:t>广西政府采购云平台（https://www.gcy.zfcg.gxzf.gov.cn/）</w:t>
      </w:r>
    </w:p>
    <w:p w14:paraId="5BA44814">
      <w:pPr>
        <w:pageBreakBefore w:val="0"/>
        <w:numPr>
          <w:ilvl w:val="0"/>
          <w:numId w:val="0"/>
        </w:numPr>
        <w:kinsoku/>
        <w:overflowPunct/>
        <w:bidi w:val="0"/>
        <w:adjustRightInd/>
        <w:snapToGrid/>
        <w:spacing w:line="460" w:lineRule="exact"/>
        <w:jc w:val="both"/>
        <w:textAlignment w:val="auto"/>
        <w:rPr>
          <w:rFonts w:hint="eastAsia" w:ascii="宋体" w:hAnsi="宋体" w:eastAsia="宋体" w:cs="宋体"/>
          <w:b/>
          <w:bCs w:val="0"/>
          <w:color w:val="000000" w:themeColor="text1"/>
          <w:sz w:val="24"/>
          <w:szCs w:val="24"/>
          <w:highlight w:val="none"/>
        </w:rPr>
      </w:pPr>
      <w:r>
        <w:rPr>
          <w:rFonts w:hint="eastAsia" w:ascii="宋体" w:hAnsi="宋体" w:eastAsia="宋体" w:cs="宋体"/>
          <w:b/>
          <w:bCs w:val="0"/>
          <w:color w:val="000000" w:themeColor="text1"/>
          <w:sz w:val="24"/>
          <w:szCs w:val="24"/>
          <w:highlight w:val="none"/>
          <w:lang w:eastAsia="zh-CN"/>
        </w:rPr>
        <w:t>五、</w:t>
      </w:r>
      <w:r>
        <w:rPr>
          <w:rFonts w:hint="eastAsia" w:ascii="宋体" w:hAnsi="宋体" w:eastAsia="宋体" w:cs="宋体"/>
          <w:b/>
          <w:bCs w:val="0"/>
          <w:color w:val="000000" w:themeColor="text1"/>
          <w:sz w:val="24"/>
          <w:szCs w:val="24"/>
          <w:highlight w:val="none"/>
        </w:rPr>
        <w:t>开启</w:t>
      </w:r>
      <w:bookmarkEnd w:id="46"/>
      <w:bookmarkEnd w:id="47"/>
      <w:bookmarkEnd w:id="48"/>
      <w:bookmarkEnd w:id="49"/>
      <w:bookmarkEnd w:id="50"/>
      <w:bookmarkStart w:id="51" w:name="_Toc35393803"/>
      <w:bookmarkStart w:id="52" w:name="_Toc28359017"/>
      <w:bookmarkStart w:id="53" w:name="_Toc28359094"/>
      <w:bookmarkStart w:id="54" w:name="_Toc28516"/>
      <w:bookmarkStart w:id="55" w:name="_Toc35393634"/>
    </w:p>
    <w:p w14:paraId="3A9249FA">
      <w:pPr>
        <w:pageBreakBefore w:val="0"/>
        <w:numPr>
          <w:ilvl w:val="0"/>
          <w:numId w:val="0"/>
        </w:numPr>
        <w:kinsoku/>
        <w:overflowPunct/>
        <w:bidi w:val="0"/>
        <w:adjustRightInd/>
        <w:snapToGrid/>
        <w:spacing w:line="460" w:lineRule="exact"/>
        <w:ind w:firstLine="480" w:firstLineChars="200"/>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sz w:val="24"/>
          <w:szCs w:val="24"/>
          <w:highlight w:val="none"/>
        </w:rPr>
        <w:t>时间：</w:t>
      </w:r>
      <w:r>
        <w:rPr>
          <w:rFonts w:hint="eastAsia" w:ascii="宋体" w:hAnsi="宋体" w:cs="宋体"/>
          <w:color w:val="000000" w:themeColor="text1"/>
          <w:sz w:val="24"/>
          <w:u w:val="single"/>
          <w:lang w:eastAsia="zh-CN"/>
        </w:rPr>
        <w:t>2026年06月10日10时00分</w:t>
      </w:r>
      <w:r>
        <w:rPr>
          <w:rFonts w:hint="eastAsia" w:ascii="宋体" w:hAnsi="宋体" w:eastAsia="宋体" w:cs="宋体"/>
          <w:b w:val="0"/>
          <w:bCs/>
          <w:color w:val="000000" w:themeColor="text1"/>
          <w:sz w:val="24"/>
          <w:szCs w:val="24"/>
          <w:highlight w:val="none"/>
        </w:rPr>
        <w:t>后（北京时间）</w:t>
      </w:r>
    </w:p>
    <w:p w14:paraId="32F01970">
      <w:pPr>
        <w:pageBreakBefore w:val="0"/>
        <w:numPr>
          <w:ilvl w:val="0"/>
          <w:numId w:val="0"/>
        </w:numPr>
        <w:kinsoku/>
        <w:overflowPunct/>
        <w:bidi w:val="0"/>
        <w:adjustRightInd/>
        <w:snapToGrid/>
        <w:spacing w:line="460" w:lineRule="exact"/>
        <w:ind w:firstLine="480" w:firstLineChars="200"/>
        <w:textAlignment w:val="auto"/>
        <w:rPr>
          <w:rFonts w:hint="eastAsia" w:ascii="宋体" w:hAnsi="宋体" w:eastAsia="宋体" w:cs="宋体"/>
          <w:b w:val="0"/>
          <w:bCs/>
          <w:color w:val="000000" w:themeColor="text1"/>
          <w:sz w:val="24"/>
          <w:szCs w:val="24"/>
          <w:highlight w:val="none"/>
        </w:rPr>
      </w:pPr>
      <w:r>
        <w:rPr>
          <w:rFonts w:hint="eastAsia" w:ascii="宋体" w:hAnsi="宋体" w:eastAsia="宋体" w:cs="宋体"/>
          <w:b w:val="0"/>
          <w:bCs/>
          <w:color w:val="000000" w:themeColor="text1"/>
          <w:sz w:val="24"/>
          <w:szCs w:val="24"/>
          <w:highlight w:val="none"/>
        </w:rPr>
        <w:t>地点：</w:t>
      </w:r>
      <w:r>
        <w:rPr>
          <w:rFonts w:hint="eastAsia" w:ascii="宋体" w:hAnsi="宋体" w:eastAsia="宋体" w:cs="宋体"/>
          <w:b w:val="0"/>
          <w:i w:val="0"/>
          <w:iCs w:val="0"/>
          <w:color w:val="000000" w:themeColor="text1"/>
          <w:sz w:val="24"/>
          <w:szCs w:val="24"/>
          <w:highlight w:val="none"/>
        </w:rPr>
        <w:t>广西政府采购云平台（https://www.gcy.zfcg.gxzf.gov.cn/）</w:t>
      </w:r>
    </w:p>
    <w:p w14:paraId="7E4E4A1E">
      <w:pPr>
        <w:pStyle w:val="3"/>
        <w:pageBreakBefore w:val="0"/>
        <w:kinsoku/>
        <w:overflowPunct/>
        <w:bidi w:val="0"/>
        <w:adjustRightInd/>
        <w:snapToGrid/>
        <w:spacing w:before="0" w:after="0" w:line="460" w:lineRule="exact"/>
        <w:textAlignment w:val="auto"/>
        <w:rPr>
          <w:rFonts w:hint="eastAsia" w:ascii="宋体" w:hAnsi="宋体" w:eastAsia="宋体" w:cs="宋体"/>
          <w:b/>
          <w:bCs w:val="0"/>
          <w:color w:val="000000" w:themeColor="text1"/>
          <w:sz w:val="24"/>
          <w:szCs w:val="24"/>
          <w:highlight w:val="none"/>
        </w:rPr>
      </w:pPr>
      <w:r>
        <w:rPr>
          <w:rFonts w:hint="eastAsia" w:ascii="宋体" w:hAnsi="宋体" w:eastAsia="宋体" w:cs="宋体"/>
          <w:b/>
          <w:bCs w:val="0"/>
          <w:color w:val="000000" w:themeColor="text1"/>
          <w:sz w:val="24"/>
          <w:szCs w:val="24"/>
          <w:highlight w:val="none"/>
        </w:rPr>
        <w:t>六、公告期限</w:t>
      </w:r>
      <w:bookmarkEnd w:id="51"/>
      <w:bookmarkEnd w:id="52"/>
      <w:bookmarkEnd w:id="53"/>
      <w:bookmarkEnd w:id="54"/>
      <w:bookmarkEnd w:id="55"/>
    </w:p>
    <w:p w14:paraId="77B90388">
      <w:pPr>
        <w:pageBreakBefore w:val="0"/>
        <w:kinsoku/>
        <w:overflowPunct/>
        <w:bidi w:val="0"/>
        <w:adjustRightInd/>
        <w:snapToGrid/>
        <w:spacing w:line="460" w:lineRule="exact"/>
        <w:ind w:firstLine="480" w:firstLineChars="200"/>
        <w:textAlignment w:val="auto"/>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自本公告发布之日起3个工作日。</w:t>
      </w:r>
    </w:p>
    <w:p w14:paraId="4437FF92">
      <w:pPr>
        <w:pStyle w:val="3"/>
        <w:pageBreakBefore w:val="0"/>
        <w:kinsoku/>
        <w:overflowPunct/>
        <w:bidi w:val="0"/>
        <w:adjustRightInd/>
        <w:snapToGrid/>
        <w:spacing w:before="0" w:after="0" w:line="460" w:lineRule="exact"/>
        <w:textAlignment w:val="auto"/>
        <w:rPr>
          <w:rFonts w:hint="eastAsia" w:ascii="宋体" w:hAnsi="宋体" w:eastAsia="宋体" w:cs="宋体"/>
          <w:b/>
          <w:bCs w:val="0"/>
          <w:color w:val="000000" w:themeColor="text1"/>
          <w:sz w:val="24"/>
          <w:szCs w:val="24"/>
          <w:highlight w:val="none"/>
        </w:rPr>
      </w:pPr>
      <w:bookmarkStart w:id="56" w:name="_Toc11439"/>
      <w:bookmarkStart w:id="57" w:name="_Toc35393804"/>
      <w:bookmarkStart w:id="58" w:name="_Toc35393635"/>
      <w:r>
        <w:rPr>
          <w:rFonts w:hint="eastAsia" w:ascii="宋体" w:hAnsi="宋体" w:eastAsia="宋体" w:cs="宋体"/>
          <w:b/>
          <w:bCs w:val="0"/>
          <w:color w:val="000000" w:themeColor="text1"/>
          <w:sz w:val="24"/>
          <w:szCs w:val="24"/>
          <w:highlight w:val="none"/>
        </w:rPr>
        <w:t>七、其他补充事宜</w:t>
      </w:r>
      <w:bookmarkEnd w:id="56"/>
      <w:bookmarkEnd w:id="57"/>
      <w:bookmarkEnd w:id="58"/>
    </w:p>
    <w:p w14:paraId="64A87AAD">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i w:val="0"/>
          <w:iCs w:val="0"/>
          <w:color w:val="000000" w:themeColor="text1"/>
          <w:sz w:val="24"/>
          <w:szCs w:val="24"/>
          <w:highlight w:val="none"/>
          <w:lang w:val="en-US" w:eastAsia="zh-CN"/>
        </w:rPr>
      </w:pPr>
      <w:r>
        <w:rPr>
          <w:rFonts w:hint="eastAsia" w:hAnsi="宋体" w:eastAsia="宋体" w:cs="宋体"/>
          <w:i w:val="0"/>
          <w:iCs w:val="0"/>
          <w:color w:val="000000" w:themeColor="text1"/>
          <w:sz w:val="24"/>
          <w:szCs w:val="24"/>
          <w:highlight w:val="none"/>
          <w:lang w:val="en-US" w:eastAsia="zh-CN"/>
        </w:rPr>
        <w:t>1</w:t>
      </w:r>
      <w:r>
        <w:rPr>
          <w:rFonts w:hint="eastAsia" w:ascii="宋体" w:hAnsi="宋体" w:eastAsia="宋体" w:cs="宋体"/>
          <w:i w:val="0"/>
          <w:iCs w:val="0"/>
          <w:color w:val="000000" w:themeColor="text1"/>
          <w:sz w:val="24"/>
          <w:szCs w:val="24"/>
          <w:highlight w:val="none"/>
          <w:lang w:val="en-US" w:eastAsia="zh-CN"/>
        </w:rPr>
        <w:t>.谈判保证金：不需要缴纳。</w:t>
      </w:r>
    </w:p>
    <w:p w14:paraId="7563F231">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i w:val="0"/>
          <w:iCs w:val="0"/>
          <w:color w:val="000000" w:themeColor="text1"/>
          <w:sz w:val="24"/>
          <w:szCs w:val="24"/>
          <w:highlight w:val="none"/>
          <w:lang w:val="en-US" w:eastAsia="zh-CN"/>
        </w:rPr>
      </w:pPr>
      <w:r>
        <w:rPr>
          <w:rFonts w:hint="eastAsia" w:hAnsi="宋体" w:eastAsia="宋体" w:cs="宋体"/>
          <w:i w:val="0"/>
          <w:iCs w:val="0"/>
          <w:color w:val="000000" w:themeColor="text1"/>
          <w:sz w:val="24"/>
          <w:szCs w:val="24"/>
          <w:highlight w:val="none"/>
          <w:lang w:val="en-US" w:eastAsia="zh-CN"/>
        </w:rPr>
        <w:t>2</w:t>
      </w:r>
      <w:r>
        <w:rPr>
          <w:rFonts w:hint="eastAsia" w:ascii="宋体" w:hAnsi="宋体" w:eastAsia="宋体" w:cs="宋体"/>
          <w:i w:val="0"/>
          <w:iCs w:val="0"/>
          <w:color w:val="000000" w:themeColor="text1"/>
          <w:sz w:val="24"/>
          <w:szCs w:val="24"/>
          <w:highlight w:val="none"/>
          <w:lang w:val="en-US" w:eastAsia="zh-CN"/>
        </w:rPr>
        <w:t>.网上查询地址：中国政府采购网（http://www.ccgp.gov.cn）、广西壮族自治区政府采购网（http://zfcg.gxzf.gov.cn）、全国公共资源交易平台</w:t>
      </w:r>
      <w:r>
        <w:rPr>
          <w:rFonts w:hint="eastAsia" w:hAnsi="宋体" w:eastAsia="宋体" w:cs="宋体"/>
          <w:i w:val="0"/>
          <w:iCs w:val="0"/>
          <w:color w:val="000000" w:themeColor="text1"/>
          <w:sz w:val="24"/>
          <w:szCs w:val="24"/>
          <w:highlight w:val="none"/>
          <w:lang w:val="en-US" w:eastAsia="zh-CN"/>
        </w:rPr>
        <w:t>（</w:t>
      </w:r>
      <w:r>
        <w:rPr>
          <w:rFonts w:hint="eastAsia" w:ascii="宋体" w:hAnsi="宋体" w:eastAsia="宋体" w:cs="宋体"/>
          <w:i w:val="0"/>
          <w:iCs w:val="0"/>
          <w:color w:val="000000" w:themeColor="text1"/>
          <w:sz w:val="24"/>
          <w:szCs w:val="24"/>
          <w:highlight w:val="none"/>
          <w:lang w:val="en-US" w:eastAsia="zh-CN"/>
        </w:rPr>
        <w:t>广西•河池</w:t>
      </w:r>
      <w:r>
        <w:rPr>
          <w:rFonts w:hint="eastAsia" w:hAnsi="宋体" w:eastAsia="宋体" w:cs="宋体"/>
          <w:i w:val="0"/>
          <w:iCs w:val="0"/>
          <w:color w:val="000000" w:themeColor="text1"/>
          <w:sz w:val="24"/>
          <w:szCs w:val="24"/>
          <w:highlight w:val="none"/>
          <w:lang w:val="en-US" w:eastAsia="zh-CN"/>
        </w:rPr>
        <w:t>）</w:t>
      </w:r>
      <w:r>
        <w:rPr>
          <w:rFonts w:hint="eastAsia" w:ascii="宋体" w:hAnsi="宋体" w:eastAsia="宋体" w:cs="宋体"/>
          <w:i w:val="0"/>
          <w:iCs w:val="0"/>
          <w:color w:val="000000" w:themeColor="text1"/>
          <w:sz w:val="24"/>
          <w:szCs w:val="24"/>
          <w:highlight w:val="none"/>
          <w:lang w:val="en-US" w:eastAsia="zh-CN"/>
        </w:rPr>
        <w:t>（http://ggzy.jgswj.gxzf.gov.cn/hcggzy/）</w:t>
      </w:r>
    </w:p>
    <w:p w14:paraId="2DF52A9A">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i w:val="0"/>
          <w:iCs w:val="0"/>
          <w:color w:val="000000" w:themeColor="text1"/>
          <w:sz w:val="24"/>
          <w:szCs w:val="24"/>
          <w:highlight w:val="none"/>
          <w:lang w:val="en-US" w:eastAsia="zh-CN"/>
        </w:rPr>
      </w:pPr>
      <w:r>
        <w:rPr>
          <w:rFonts w:hint="eastAsia" w:hAnsi="宋体" w:eastAsia="宋体" w:cs="宋体"/>
          <w:i w:val="0"/>
          <w:iCs w:val="0"/>
          <w:color w:val="000000" w:themeColor="text1"/>
          <w:sz w:val="24"/>
          <w:szCs w:val="24"/>
          <w:highlight w:val="none"/>
          <w:lang w:val="en-US" w:eastAsia="zh-CN"/>
        </w:rPr>
        <w:t>3</w:t>
      </w:r>
      <w:r>
        <w:rPr>
          <w:rFonts w:hint="eastAsia" w:ascii="宋体" w:hAnsi="宋体" w:eastAsia="宋体" w:cs="宋体"/>
          <w:i w:val="0"/>
          <w:iCs w:val="0"/>
          <w:color w:val="000000" w:themeColor="text1"/>
          <w:sz w:val="24"/>
          <w:szCs w:val="24"/>
          <w:highlight w:val="none"/>
          <w:lang w:val="en-US" w:eastAsia="zh-CN"/>
        </w:rPr>
        <w:t>.在线竞标响应（电子竞标）说明</w:t>
      </w:r>
    </w:p>
    <w:p w14:paraId="136A7BB1">
      <w:pPr>
        <w:keepNext w:val="0"/>
        <w:keepLines w:val="0"/>
        <w:pageBreakBefore w:val="0"/>
        <w:widowControl w:val="0"/>
        <w:kinsoku/>
        <w:wordWrap w:val="0"/>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i w:val="0"/>
          <w:iCs w:val="0"/>
          <w:color w:val="000000" w:themeColor="text1"/>
          <w:sz w:val="24"/>
          <w:szCs w:val="24"/>
          <w:highlight w:val="none"/>
          <w:lang w:val="en-US" w:eastAsia="zh-CN"/>
        </w:rPr>
      </w:pPr>
      <w:r>
        <w:rPr>
          <w:rFonts w:hint="eastAsia" w:ascii="宋体" w:hAnsi="宋体" w:eastAsia="宋体" w:cs="宋体"/>
          <w:i w:val="0"/>
          <w:iCs w:val="0"/>
          <w:color w:val="000000" w:themeColor="text1"/>
          <w:sz w:val="24"/>
          <w:szCs w:val="24"/>
          <w:highlight w:val="none"/>
          <w:lang w:val="en-US" w:eastAsia="zh-CN"/>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竞标文件时，请填写参加远程采购活动经办人联系方式。供应商登录广西政府采购云平台，依次进入“服务中心－项目采购－操作流程－电子招投标－政府采购项目电子交易管理操作指南－供应商”查看电子谈判具体操作流程。</w:t>
      </w:r>
    </w:p>
    <w:p w14:paraId="4C818DE9">
      <w:pPr>
        <w:pStyle w:val="3"/>
        <w:spacing w:before="0" w:after="0" w:line="460" w:lineRule="exact"/>
        <w:ind w:firstLine="480" w:firstLineChars="200"/>
        <w:rPr>
          <w:rFonts w:hint="eastAsia" w:ascii="宋体" w:hAnsi="宋体" w:eastAsia="宋体" w:cs="宋体"/>
          <w:b w:val="0"/>
          <w:bCs w:val="0"/>
          <w:i w:val="0"/>
          <w:iCs w:val="0"/>
          <w:color w:val="000000" w:themeColor="text1"/>
          <w:sz w:val="24"/>
          <w:szCs w:val="24"/>
          <w:highlight w:val="none"/>
          <w:lang w:val="en-US" w:eastAsia="zh-CN"/>
        </w:rPr>
      </w:pPr>
      <w:r>
        <w:rPr>
          <w:rFonts w:hint="eastAsia" w:ascii="宋体" w:hAnsi="宋体" w:eastAsia="宋体" w:cs="宋体"/>
          <w:b w:val="0"/>
          <w:bCs w:val="0"/>
          <w:i w:val="0"/>
          <w:iCs w:val="0"/>
          <w:color w:val="000000" w:themeColor="text1"/>
          <w:sz w:val="24"/>
          <w:szCs w:val="24"/>
          <w:highlight w:val="none"/>
          <w:lang w:val="en-US" w:eastAsia="zh-CN"/>
        </w:rPr>
        <w:t>（2）未进行网上注册并办理数字证书（CA认证）的供应商将无法参与本项目政府采购活动，供应商应当在提交竞标文件截止时间前，完成电子交易平台上的CA数字证书办理及竞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宋体" w:hAnsi="宋体" w:eastAsia="宋体" w:cs="宋体"/>
          <w:b w:val="0"/>
          <w:bCs w:val="0"/>
          <w:i w:val="0"/>
          <w:iCs w:val="0"/>
          <w:color w:val="000000" w:themeColor="text1"/>
          <w:sz w:val="24"/>
          <w:szCs w:val="24"/>
          <w:highlight w:val="none"/>
          <w:lang w:val="en-US" w:eastAsia="zh-CN"/>
        </w:rPr>
        <w:br w:type="textWrapping"/>
      </w:r>
      <w:r>
        <w:rPr>
          <w:rFonts w:hint="eastAsia" w:ascii="宋体" w:hAnsi="宋体" w:eastAsia="宋体" w:cs="宋体"/>
          <w:b w:val="0"/>
          <w:bCs w:val="0"/>
          <w:i w:val="0"/>
          <w:iCs w:val="0"/>
          <w:color w:val="000000" w:themeColor="text1"/>
          <w:sz w:val="24"/>
          <w:szCs w:val="24"/>
          <w:highlight w:val="none"/>
          <w:lang w:val="en-US" w:eastAsia="zh-CN"/>
        </w:rPr>
        <w:t xml:space="preserve">   （3）CA证书在线解密：首次竞标文件开启时，需携带制作竞标文件时用来加密的有效数字证书（CA认证）登录广西政府采购云平台电子开标大厅现场按规定时间对加密的竞标文件进行解密，否则后果自负。</w:t>
      </w:r>
      <w:r>
        <w:rPr>
          <w:rFonts w:hint="eastAsia" w:ascii="宋体" w:hAnsi="宋体" w:eastAsia="宋体" w:cs="宋体"/>
          <w:b w:val="0"/>
          <w:bCs w:val="0"/>
          <w:i w:val="0"/>
          <w:iCs w:val="0"/>
          <w:color w:val="000000" w:themeColor="text1"/>
          <w:sz w:val="24"/>
          <w:szCs w:val="24"/>
          <w:highlight w:val="none"/>
          <w:lang w:val="en-US" w:eastAsia="zh-CN"/>
        </w:rPr>
        <w:br w:type="textWrapping"/>
      </w:r>
      <w:r>
        <w:rPr>
          <w:rFonts w:hint="eastAsia" w:ascii="宋体" w:hAnsi="宋体" w:eastAsia="宋体" w:cs="宋体"/>
          <w:b w:val="0"/>
          <w:bCs w:val="0"/>
          <w:i w:val="0"/>
          <w:iCs w:val="0"/>
          <w:color w:val="000000" w:themeColor="text1"/>
          <w:sz w:val="24"/>
          <w:szCs w:val="24"/>
          <w:highlight w:val="none"/>
          <w:lang w:val="en-US" w:eastAsia="zh-CN"/>
        </w:rPr>
        <w:t xml:space="preserve">    注：1）为确保网上操作合法、有效和安全，请供应商确保在电子谈判过程中能够对相关数据电文进行加密和使用电子签章，妥善保管CA数字证书并使用有效的CA数字证书参与整个采购活动。2）供应商应当在提交竞标文件截止时间前完成电子竞标文件的提交（上传），提交竞标文件截止时间前可以补充、修改或者撤回竞标文件。补充或者修改响应文件的，应当先行撤回原竞标文件，补充、修改后重新提交（上传），提交竞标文件截止时间前未完成提交（上传）的，视为撤回竞标文件。提交竞标文件截止时间以后提交（上传）的竞标文件，广西政府采购云平台将予以拒收。</w:t>
      </w:r>
      <w:r>
        <w:rPr>
          <w:rFonts w:hint="eastAsia" w:ascii="宋体" w:hAnsi="宋体" w:eastAsia="宋体" w:cs="宋体"/>
          <w:b w:val="0"/>
          <w:bCs w:val="0"/>
          <w:i w:val="0"/>
          <w:iCs w:val="0"/>
          <w:color w:val="000000" w:themeColor="text1"/>
          <w:sz w:val="24"/>
          <w:szCs w:val="24"/>
          <w:highlight w:val="none"/>
          <w:lang w:val="en-US" w:eastAsia="zh-CN"/>
        </w:rPr>
        <w:br w:type="textWrapping"/>
      </w:r>
      <w:r>
        <w:rPr>
          <w:rFonts w:hint="eastAsia" w:ascii="宋体" w:hAnsi="宋体" w:eastAsia="宋体" w:cs="宋体"/>
          <w:b w:val="0"/>
          <w:bCs w:val="0"/>
          <w:i w:val="0"/>
          <w:iCs w:val="0"/>
          <w:color w:val="000000" w:themeColor="text1"/>
          <w:sz w:val="24"/>
          <w:szCs w:val="24"/>
          <w:highlight w:val="none"/>
          <w:lang w:val="en-US" w:eastAsia="zh-CN"/>
        </w:rPr>
        <w:t xml:space="preserve">   （4）供应商需要在具备摄像头及语音功能且互联网网络状况良好的电脑登录广西政府采购云平台远程开标大厅参与本次谈判，否则后果自负。</w:t>
      </w:r>
    </w:p>
    <w:p w14:paraId="07197D23">
      <w:pPr>
        <w:pStyle w:val="3"/>
        <w:spacing w:before="0" w:after="0" w:line="460" w:lineRule="exact"/>
        <w:rPr>
          <w:rFonts w:hint="eastAsia" w:ascii="宋体" w:hAnsi="宋体" w:eastAsia="宋体" w:cs="宋体"/>
          <w:b w:val="0"/>
          <w:color w:val="000000" w:themeColor="text1"/>
          <w:sz w:val="24"/>
          <w:szCs w:val="24"/>
        </w:rPr>
      </w:pPr>
      <w:r>
        <w:rPr>
          <w:rFonts w:hint="eastAsia" w:ascii="宋体" w:hAnsi="宋体" w:eastAsia="宋体" w:cs="宋体"/>
          <w:b/>
          <w:bCs w:val="0"/>
          <w:color w:val="000000" w:themeColor="text1"/>
          <w:sz w:val="24"/>
          <w:szCs w:val="24"/>
        </w:rPr>
        <w:t>八、凡对本次采购提出询问，请按以下方式联系</w:t>
      </w:r>
      <w:r>
        <w:rPr>
          <w:rFonts w:hint="eastAsia" w:ascii="宋体" w:hAnsi="宋体" w:eastAsia="宋体" w:cs="宋体"/>
          <w:b w:val="0"/>
          <w:color w:val="000000" w:themeColor="text1"/>
          <w:sz w:val="24"/>
          <w:szCs w:val="24"/>
        </w:rPr>
        <w:t>。</w:t>
      </w:r>
      <w:bookmarkEnd w:id="36"/>
      <w:bookmarkEnd w:id="37"/>
      <w:bookmarkEnd w:id="38"/>
      <w:bookmarkEnd w:id="39"/>
      <w:bookmarkEnd w:id="40"/>
    </w:p>
    <w:p w14:paraId="15997FF6">
      <w:pPr>
        <w:pStyle w:val="3"/>
        <w:spacing w:before="0" w:after="0" w:line="460" w:lineRule="exact"/>
        <w:ind w:firstLine="480" w:firstLineChars="200"/>
        <w:rPr>
          <w:rFonts w:hint="eastAsia" w:ascii="宋体" w:hAnsi="宋体" w:eastAsia="宋体" w:cs="宋体"/>
          <w:b w:val="0"/>
          <w:color w:val="000000" w:themeColor="text1"/>
          <w:sz w:val="24"/>
          <w:szCs w:val="24"/>
        </w:rPr>
      </w:pPr>
      <w:bookmarkStart w:id="59" w:name="_Toc28359019"/>
      <w:bookmarkStart w:id="60" w:name="_Toc7079"/>
      <w:bookmarkStart w:id="61" w:name="_Toc35393806"/>
      <w:bookmarkStart w:id="62" w:name="_Toc35393637"/>
      <w:bookmarkStart w:id="63" w:name="_Toc28359096"/>
      <w:r>
        <w:rPr>
          <w:rFonts w:hint="eastAsia" w:ascii="宋体" w:hAnsi="宋体" w:eastAsia="宋体" w:cs="宋体"/>
          <w:b w:val="0"/>
          <w:color w:val="000000" w:themeColor="text1"/>
          <w:sz w:val="24"/>
          <w:szCs w:val="24"/>
        </w:rPr>
        <w:t>1.采购人信息</w:t>
      </w:r>
      <w:bookmarkEnd w:id="59"/>
      <w:bookmarkEnd w:id="60"/>
      <w:bookmarkEnd w:id="61"/>
      <w:bookmarkEnd w:id="62"/>
      <w:bookmarkEnd w:id="63"/>
    </w:p>
    <w:p w14:paraId="5E83978D">
      <w:pPr>
        <w:wordWrap w:val="0"/>
        <w:topLinePunct/>
        <w:spacing w:line="460" w:lineRule="exact"/>
        <w:ind w:firstLine="480" w:firstLineChars="200"/>
        <w:rPr>
          <w:rFonts w:hint="eastAsia" w:ascii="宋体" w:hAnsi="宋体" w:eastAsia="宋体" w:cs="宋体"/>
          <w:color w:val="000000" w:themeColor="text1"/>
          <w:sz w:val="24"/>
        </w:rPr>
      </w:pPr>
      <w:bookmarkStart w:id="64" w:name="_Toc28359097"/>
      <w:bookmarkStart w:id="65" w:name="_Toc35393638"/>
      <w:bookmarkStart w:id="66" w:name="_Toc35393807"/>
      <w:bookmarkStart w:id="67" w:name="_Toc28359020"/>
      <w:bookmarkStart w:id="68" w:name="_Toc31037"/>
      <w:r>
        <w:rPr>
          <w:rFonts w:hint="eastAsia" w:ascii="宋体" w:hAnsi="宋体" w:eastAsia="宋体" w:cs="宋体"/>
          <w:color w:val="000000" w:themeColor="text1"/>
          <w:sz w:val="24"/>
        </w:rPr>
        <w:t>名    称：河池市卫生学校</w:t>
      </w:r>
    </w:p>
    <w:p w14:paraId="08C403EF">
      <w:pPr>
        <w:wordWrap w:val="0"/>
        <w:topLinePunct/>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地    址：河池市金城江区中山路534号 </w:t>
      </w:r>
    </w:p>
    <w:p w14:paraId="7AEFC767">
      <w:pPr>
        <w:wordWrap w:val="0"/>
        <w:topLinePunct/>
        <w:spacing w:line="46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联系方式：</w:t>
      </w:r>
      <w:r>
        <w:rPr>
          <w:rFonts w:hint="eastAsia" w:ascii="宋体" w:hAnsi="宋体" w:eastAsia="宋体" w:cs="宋体"/>
          <w:color w:val="000000" w:themeColor="text1"/>
          <w:sz w:val="24"/>
          <w:lang w:eastAsia="zh-CN"/>
        </w:rPr>
        <w:t>兰剑</w:t>
      </w:r>
      <w:r>
        <w:rPr>
          <w:rFonts w:hint="eastAsia" w:ascii="宋体" w:hAnsi="宋体" w:eastAsia="宋体" w:cs="宋体"/>
          <w:color w:val="000000" w:themeColor="text1"/>
          <w:sz w:val="24"/>
        </w:rPr>
        <w:t xml:space="preserve">    0778-2297004</w:t>
      </w:r>
    </w:p>
    <w:p w14:paraId="327811DC">
      <w:pPr>
        <w:pStyle w:val="3"/>
        <w:spacing w:before="0" w:after="0" w:line="460" w:lineRule="exact"/>
        <w:ind w:firstLine="480" w:firstLineChars="200"/>
        <w:rPr>
          <w:rFonts w:hint="eastAsia" w:ascii="宋体" w:hAnsi="宋体" w:eastAsia="宋体" w:cs="宋体"/>
          <w:b w:val="0"/>
          <w:color w:val="000000" w:themeColor="text1"/>
          <w:sz w:val="24"/>
          <w:szCs w:val="24"/>
        </w:rPr>
      </w:pPr>
      <w:r>
        <w:rPr>
          <w:rFonts w:hint="eastAsia" w:ascii="宋体" w:hAnsi="宋体" w:eastAsia="宋体" w:cs="宋体"/>
          <w:b w:val="0"/>
          <w:color w:val="000000" w:themeColor="text1"/>
          <w:sz w:val="24"/>
          <w:szCs w:val="24"/>
        </w:rPr>
        <w:t>2.采购代理机构信息</w:t>
      </w:r>
      <w:bookmarkEnd w:id="64"/>
      <w:bookmarkEnd w:id="65"/>
      <w:bookmarkEnd w:id="66"/>
      <w:bookmarkEnd w:id="67"/>
      <w:bookmarkEnd w:id="68"/>
    </w:p>
    <w:p w14:paraId="72FBFE3D">
      <w:pPr>
        <w:spacing w:line="460" w:lineRule="exact"/>
        <w:ind w:left="420" w:leftChars="200"/>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rPr>
        <w:t>名    称：</w:t>
      </w:r>
      <w:r>
        <w:rPr>
          <w:rFonts w:hint="eastAsia" w:ascii="宋体" w:hAnsi="宋体" w:cs="宋体"/>
          <w:color w:val="000000" w:themeColor="text1"/>
          <w:spacing w:val="0"/>
          <w:position w:val="0"/>
          <w:sz w:val="24"/>
          <w:highlight w:val="none"/>
          <w:lang w:eastAsia="zh-CN"/>
        </w:rPr>
        <w:t>广西国立工程咨询有限公司</w:t>
      </w:r>
    </w:p>
    <w:p w14:paraId="37B693B7">
      <w:pPr>
        <w:spacing w:line="460" w:lineRule="exact"/>
        <w:ind w:left="420" w:left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地　　址：</w:t>
      </w:r>
      <w:r>
        <w:rPr>
          <w:rFonts w:hint="eastAsia" w:ascii="宋体" w:hAnsi="宋体" w:cs="宋体"/>
          <w:color w:val="000000" w:themeColor="text1"/>
          <w:sz w:val="24"/>
          <w:lang w:eastAsia="zh-CN"/>
        </w:rPr>
        <w:t>河池市金城江区金城中路8-22号</w:t>
      </w:r>
      <w:r>
        <w:rPr>
          <w:rFonts w:hint="eastAsia" w:ascii="宋体" w:hAnsi="宋体" w:eastAsia="宋体" w:cs="宋体"/>
          <w:color w:val="000000" w:themeColor="text1"/>
          <w:sz w:val="24"/>
        </w:rPr>
        <w:t xml:space="preserve"> </w:t>
      </w:r>
    </w:p>
    <w:p w14:paraId="5EE6751C">
      <w:pPr>
        <w:spacing w:line="460" w:lineRule="exact"/>
        <w:ind w:left="420" w:leftChars="200"/>
        <w:rPr>
          <w:rFonts w:hint="eastAsia" w:ascii="宋体" w:hAnsi="宋体" w:eastAsia="宋体" w:cs="宋体"/>
          <w:color w:val="000000" w:themeColor="text1"/>
          <w:sz w:val="24"/>
        </w:rPr>
      </w:pPr>
      <w:r>
        <w:rPr>
          <w:rFonts w:hint="eastAsia" w:ascii="宋体" w:hAnsi="宋体" w:eastAsia="宋体" w:cs="宋体"/>
          <w:color w:val="000000" w:themeColor="text1"/>
          <w:sz w:val="24"/>
        </w:rPr>
        <w:t>联系方式：</w:t>
      </w:r>
      <w:r>
        <w:rPr>
          <w:rFonts w:hint="eastAsia" w:ascii="宋体" w:hAnsi="宋体" w:cs="宋体"/>
          <w:color w:val="000000" w:themeColor="text1"/>
          <w:spacing w:val="0"/>
          <w:position w:val="0"/>
          <w:sz w:val="24"/>
          <w:highlight w:val="none"/>
          <w:lang w:val="en-US" w:eastAsia="zh-CN"/>
        </w:rPr>
        <w:t>陈雪梅</w:t>
      </w:r>
      <w:r>
        <w:rPr>
          <w:rFonts w:hint="eastAsia" w:ascii="宋体" w:hAnsi="宋体" w:eastAsia="宋体" w:cs="宋体"/>
          <w:color w:val="000000" w:themeColor="text1"/>
          <w:spacing w:val="0"/>
          <w:position w:val="0"/>
          <w:sz w:val="24"/>
          <w:highlight w:val="none"/>
          <w:lang w:eastAsia="zh-CN"/>
        </w:rPr>
        <w:t xml:space="preserve"> </w:t>
      </w:r>
      <w:r>
        <w:rPr>
          <w:rFonts w:hint="eastAsia" w:ascii="宋体" w:hAnsi="宋体" w:eastAsia="宋体" w:cs="宋体"/>
          <w:color w:val="000000" w:themeColor="text1"/>
          <w:spacing w:val="0"/>
          <w:position w:val="0"/>
          <w:sz w:val="24"/>
          <w:highlight w:val="none"/>
        </w:rPr>
        <w:t xml:space="preserve">  </w:t>
      </w:r>
      <w:r>
        <w:rPr>
          <w:rFonts w:hint="eastAsia" w:ascii="宋体" w:hAnsi="宋体" w:cs="宋体"/>
          <w:color w:val="000000" w:themeColor="text1"/>
          <w:spacing w:val="0"/>
          <w:position w:val="0"/>
          <w:sz w:val="24"/>
          <w:highlight w:val="none"/>
          <w:lang w:eastAsia="zh-CN"/>
        </w:rPr>
        <w:t>0771-3353050</w:t>
      </w:r>
      <w:r>
        <w:rPr>
          <w:rFonts w:hint="eastAsia" w:ascii="宋体" w:hAnsi="宋体" w:eastAsia="宋体" w:cs="宋体"/>
          <w:color w:val="000000" w:themeColor="text1"/>
          <w:sz w:val="24"/>
        </w:rPr>
        <w:t xml:space="preserve"> </w:t>
      </w:r>
    </w:p>
    <w:p w14:paraId="0024E61B">
      <w:pPr>
        <w:numPr>
          <w:ilvl w:val="0"/>
          <w:numId w:val="0"/>
        </w:numPr>
        <w:spacing w:line="460" w:lineRule="exact"/>
        <w:ind w:firstLine="480" w:firstLineChars="200"/>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highlight w:val="none"/>
        </w:rPr>
        <w:t>3.</w:t>
      </w:r>
      <w:r>
        <w:rPr>
          <w:rFonts w:hint="eastAsia" w:ascii="宋体" w:hAnsi="宋体" w:eastAsia="宋体" w:cs="宋体"/>
          <w:color w:val="000000" w:themeColor="text1"/>
          <w:sz w:val="24"/>
          <w:szCs w:val="24"/>
          <w:shd w:val="clear" w:color="auto" w:fill="FFFFFF"/>
        </w:rPr>
        <w:t>监督部门：</w:t>
      </w:r>
      <w:r>
        <w:rPr>
          <w:rFonts w:hint="eastAsia" w:ascii="宋体" w:hAnsi="宋体" w:eastAsia="宋体" w:cs="宋体"/>
          <w:color w:val="000000" w:themeColor="text1"/>
          <w:sz w:val="24"/>
          <w:szCs w:val="24"/>
        </w:rPr>
        <w:t>河池市财政局政府采购监督管理</w:t>
      </w:r>
      <w:r>
        <w:rPr>
          <w:rFonts w:hint="eastAsia" w:ascii="宋体" w:hAnsi="宋体" w:cs="宋体"/>
          <w:color w:val="000000" w:themeColor="text1"/>
          <w:sz w:val="24"/>
          <w:szCs w:val="24"/>
          <w:lang w:eastAsia="zh-CN"/>
        </w:rPr>
        <w:t>科</w:t>
      </w:r>
    </w:p>
    <w:p w14:paraId="7009D086">
      <w:pPr>
        <w:numPr>
          <w:ilvl w:val="0"/>
          <w:numId w:val="0"/>
        </w:numPr>
        <w:spacing w:line="46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shd w:val="clear" w:color="auto" w:fill="FFFFFF"/>
        </w:rPr>
        <w:t>联系电话：0778-2270025</w:t>
      </w:r>
    </w:p>
    <w:p w14:paraId="0539C4B1">
      <w:pPr>
        <w:pStyle w:val="207"/>
        <w:spacing w:line="460" w:lineRule="exact"/>
        <w:rPr>
          <w:rFonts w:hint="eastAsia" w:ascii="宋体" w:hAnsi="宋体" w:eastAsia="宋体" w:cs="宋体"/>
          <w:color w:val="000000" w:themeColor="text1"/>
          <w:sz w:val="24"/>
          <w:szCs w:val="24"/>
        </w:rPr>
      </w:pPr>
    </w:p>
    <w:p w14:paraId="31D75FC1">
      <w:pPr>
        <w:spacing w:line="460" w:lineRule="exact"/>
        <w:ind w:left="420" w:leftChars="200"/>
        <w:jc w:val="right"/>
        <w:rPr>
          <w:rFonts w:hint="eastAsia" w:ascii="宋体" w:hAnsi="宋体" w:eastAsia="宋体" w:cs="宋体"/>
          <w:color w:val="000000" w:themeColor="text1"/>
          <w:sz w:val="24"/>
        </w:rPr>
      </w:pPr>
    </w:p>
    <w:p w14:paraId="6781A603">
      <w:pPr>
        <w:spacing w:line="460" w:lineRule="exact"/>
        <w:ind w:left="420" w:leftChars="200"/>
        <w:jc w:val="right"/>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采购人：河池市卫生学校      </w:t>
      </w:r>
    </w:p>
    <w:p w14:paraId="29891D10">
      <w:pPr>
        <w:spacing w:line="460" w:lineRule="exact"/>
        <w:ind w:left="420" w:leftChars="200"/>
        <w:jc w:val="right"/>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rPr>
        <w:t>采购代理机构：</w:t>
      </w:r>
      <w:r>
        <w:rPr>
          <w:rFonts w:hint="eastAsia" w:ascii="宋体" w:hAnsi="宋体" w:cs="宋体"/>
          <w:color w:val="000000" w:themeColor="text1"/>
          <w:spacing w:val="0"/>
          <w:position w:val="0"/>
          <w:sz w:val="24"/>
          <w:highlight w:val="none"/>
          <w:lang w:eastAsia="zh-CN"/>
        </w:rPr>
        <w:t>广西国立工程咨询有限公司</w:t>
      </w:r>
    </w:p>
    <w:p w14:paraId="23F9075E">
      <w:pPr>
        <w:spacing w:line="460" w:lineRule="exact"/>
        <w:jc w:val="right"/>
        <w:rPr>
          <w:rFonts w:hint="eastAsia" w:ascii="宋体" w:hAnsi="宋体" w:eastAsia="宋体" w:cs="宋体"/>
          <w:color w:val="000000" w:themeColor="text1"/>
        </w:rPr>
      </w:pPr>
      <w:r>
        <w:rPr>
          <w:rFonts w:hint="eastAsia" w:ascii="宋体" w:hAnsi="宋体" w:eastAsia="宋体" w:cs="宋体"/>
          <w:color w:val="000000" w:themeColor="text1"/>
          <w:sz w:val="24"/>
        </w:rPr>
        <w:t>202</w:t>
      </w:r>
      <w:r>
        <w:rPr>
          <w:rFonts w:hint="eastAsia" w:ascii="宋体" w:hAnsi="宋体" w:cs="宋体"/>
          <w:color w:val="000000" w:themeColor="text1"/>
          <w:sz w:val="24"/>
          <w:lang w:val="en-US" w:eastAsia="zh-CN"/>
        </w:rPr>
        <w:t>6</w:t>
      </w:r>
      <w:r>
        <w:rPr>
          <w:rFonts w:hint="eastAsia" w:ascii="宋体" w:hAnsi="宋体" w:eastAsia="宋体" w:cs="宋体"/>
          <w:color w:val="000000" w:themeColor="text1"/>
          <w:sz w:val="24"/>
        </w:rPr>
        <w:t>年</w:t>
      </w:r>
      <w:r>
        <w:rPr>
          <w:rFonts w:hint="eastAsia" w:ascii="宋体" w:hAnsi="宋体" w:cs="宋体"/>
          <w:color w:val="000000" w:themeColor="text1"/>
          <w:sz w:val="24"/>
          <w:lang w:val="en-US" w:eastAsia="zh-CN"/>
        </w:rPr>
        <w:t>06</w:t>
      </w:r>
      <w:r>
        <w:rPr>
          <w:rFonts w:hint="eastAsia" w:ascii="宋体" w:hAnsi="宋体" w:eastAsia="宋体" w:cs="宋体"/>
          <w:color w:val="000000" w:themeColor="text1"/>
          <w:sz w:val="24"/>
        </w:rPr>
        <w:t>月</w:t>
      </w:r>
      <w:r>
        <w:rPr>
          <w:rFonts w:hint="eastAsia" w:ascii="宋体" w:hAnsi="宋体" w:cs="宋体"/>
          <w:color w:val="000000" w:themeColor="text1"/>
          <w:sz w:val="24"/>
          <w:lang w:val="en-US" w:eastAsia="zh-CN"/>
        </w:rPr>
        <w:t>03</w:t>
      </w:r>
      <w:r>
        <w:rPr>
          <w:rFonts w:hint="eastAsia" w:ascii="宋体" w:hAnsi="宋体" w:eastAsia="宋体" w:cs="宋体"/>
          <w:color w:val="000000" w:themeColor="text1"/>
          <w:sz w:val="24"/>
        </w:rPr>
        <w:t>日</w:t>
      </w:r>
    </w:p>
    <w:p w14:paraId="5F5904A2">
      <w:pPr>
        <w:spacing w:line="440" w:lineRule="exact"/>
        <w:ind w:left="420" w:leftChars="200"/>
        <w:rPr>
          <w:rFonts w:hint="eastAsia" w:ascii="宋体" w:hAnsi="宋体" w:eastAsia="宋体" w:cs="宋体"/>
          <w:color w:val="000000" w:themeColor="text1"/>
          <w:sz w:val="24"/>
        </w:rPr>
      </w:pPr>
    </w:p>
    <w:p w14:paraId="1F94AE5E">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3A4693AF">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46FC2F7D">
      <w:pPr>
        <w:pStyle w:val="2"/>
        <w:keepNext w:val="0"/>
        <w:keepLines w:val="0"/>
        <w:wordWrap w:val="0"/>
        <w:spacing w:before="0" w:after="0" w:line="240" w:lineRule="auto"/>
        <w:rPr>
          <w:rFonts w:hint="eastAsia" w:ascii="宋体" w:hAnsi="宋体" w:eastAsia="宋体" w:cs="宋体"/>
          <w:color w:val="000000" w:themeColor="text1"/>
          <w:sz w:val="36"/>
          <w:szCs w:val="36"/>
        </w:rPr>
      </w:pPr>
    </w:p>
    <w:p w14:paraId="520137DE">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6F031DC2">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0B615BDD">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0CD7CB5F">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1A0D5AE4">
      <w:pPr>
        <w:rPr>
          <w:rFonts w:hint="eastAsia" w:ascii="宋体" w:hAnsi="宋体" w:eastAsia="宋体" w:cs="宋体"/>
          <w:color w:val="000000" w:themeColor="text1"/>
          <w:sz w:val="36"/>
          <w:szCs w:val="36"/>
        </w:rPr>
      </w:pPr>
    </w:p>
    <w:p w14:paraId="362B3E51">
      <w:pPr>
        <w:pStyle w:val="29"/>
        <w:rPr>
          <w:rFonts w:hint="eastAsia" w:ascii="宋体" w:hAnsi="宋体" w:eastAsia="宋体" w:cs="宋体"/>
          <w:color w:val="000000" w:themeColor="text1"/>
          <w:sz w:val="36"/>
          <w:szCs w:val="36"/>
        </w:rPr>
      </w:pPr>
    </w:p>
    <w:p w14:paraId="3C20EDDC">
      <w:pPr>
        <w:pStyle w:val="29"/>
        <w:rPr>
          <w:rFonts w:hint="eastAsia" w:ascii="宋体" w:hAnsi="宋体" w:eastAsia="宋体" w:cs="宋体"/>
          <w:color w:val="000000" w:themeColor="text1"/>
          <w:sz w:val="36"/>
          <w:szCs w:val="36"/>
        </w:rPr>
      </w:pPr>
    </w:p>
    <w:p w14:paraId="57615CCE">
      <w:pPr>
        <w:pStyle w:val="29"/>
        <w:rPr>
          <w:rFonts w:hint="eastAsia" w:ascii="宋体" w:hAnsi="宋体" w:eastAsia="宋体" w:cs="宋体"/>
          <w:color w:val="000000" w:themeColor="text1"/>
          <w:sz w:val="36"/>
          <w:szCs w:val="36"/>
        </w:rPr>
      </w:pPr>
    </w:p>
    <w:p w14:paraId="129099B6">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52CF52DA">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732DF795">
      <w:pPr>
        <w:rPr>
          <w:rFonts w:hint="eastAsia" w:ascii="宋体" w:hAnsi="宋体" w:eastAsia="宋体" w:cs="宋体"/>
          <w:color w:val="000000" w:themeColor="text1"/>
          <w:sz w:val="36"/>
          <w:szCs w:val="36"/>
        </w:rPr>
      </w:pPr>
    </w:p>
    <w:p w14:paraId="53101016">
      <w:pPr>
        <w:pStyle w:val="29"/>
        <w:rPr>
          <w:rFonts w:hint="eastAsia" w:ascii="宋体" w:hAnsi="宋体" w:eastAsia="宋体" w:cs="宋体"/>
          <w:color w:val="000000" w:themeColor="text1"/>
          <w:sz w:val="36"/>
          <w:szCs w:val="36"/>
        </w:rPr>
      </w:pPr>
    </w:p>
    <w:p w14:paraId="3B7047A4">
      <w:pPr>
        <w:pStyle w:val="29"/>
        <w:rPr>
          <w:rFonts w:hint="eastAsia" w:ascii="宋体" w:hAnsi="宋体" w:eastAsia="宋体" w:cs="宋体"/>
          <w:color w:val="000000" w:themeColor="text1"/>
          <w:sz w:val="36"/>
          <w:szCs w:val="36"/>
        </w:rPr>
      </w:pPr>
    </w:p>
    <w:p w14:paraId="6BEF8635">
      <w:pPr>
        <w:pStyle w:val="29"/>
        <w:rPr>
          <w:rFonts w:hint="eastAsia" w:ascii="宋体" w:hAnsi="宋体" w:eastAsia="宋体" w:cs="宋体"/>
          <w:color w:val="000000" w:themeColor="text1"/>
          <w:sz w:val="36"/>
          <w:szCs w:val="36"/>
        </w:rPr>
      </w:pPr>
    </w:p>
    <w:p w14:paraId="36AE176E">
      <w:pPr>
        <w:pStyle w:val="29"/>
        <w:rPr>
          <w:rFonts w:hint="eastAsia" w:ascii="宋体" w:hAnsi="宋体" w:eastAsia="宋体" w:cs="宋体"/>
          <w:color w:val="000000" w:themeColor="text1"/>
          <w:sz w:val="36"/>
          <w:szCs w:val="36"/>
        </w:rPr>
      </w:pPr>
    </w:p>
    <w:p w14:paraId="425CCAF9">
      <w:pPr>
        <w:pStyle w:val="29"/>
        <w:rPr>
          <w:rFonts w:hint="eastAsia" w:ascii="宋体" w:hAnsi="宋体" w:eastAsia="宋体" w:cs="宋体"/>
          <w:color w:val="000000" w:themeColor="text1"/>
          <w:sz w:val="36"/>
          <w:szCs w:val="36"/>
        </w:rPr>
      </w:pPr>
    </w:p>
    <w:p w14:paraId="61224421">
      <w:pPr>
        <w:pStyle w:val="29"/>
        <w:rPr>
          <w:rFonts w:hint="eastAsia" w:ascii="宋体" w:hAnsi="宋体" w:eastAsia="宋体" w:cs="宋体"/>
          <w:color w:val="000000" w:themeColor="text1"/>
          <w:sz w:val="36"/>
          <w:szCs w:val="36"/>
        </w:rPr>
      </w:pPr>
    </w:p>
    <w:p w14:paraId="5BB544A3">
      <w:pPr>
        <w:pStyle w:val="29"/>
        <w:rPr>
          <w:rFonts w:hint="eastAsia" w:ascii="宋体" w:hAnsi="宋体" w:eastAsia="宋体" w:cs="宋体"/>
          <w:color w:val="000000" w:themeColor="text1"/>
          <w:sz w:val="36"/>
          <w:szCs w:val="36"/>
        </w:rPr>
      </w:pPr>
    </w:p>
    <w:p w14:paraId="6ADC7B5F">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bookmarkStart w:id="69" w:name="_Toc14361"/>
    </w:p>
    <w:p w14:paraId="5FA613DB">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p>
    <w:p w14:paraId="70B6095F">
      <w:pPr>
        <w:pStyle w:val="2"/>
        <w:keepNext w:val="0"/>
        <w:keepLines w:val="0"/>
        <w:wordWrap w:val="0"/>
        <w:spacing w:before="0" w:after="0" w:line="240" w:lineRule="auto"/>
        <w:jc w:val="center"/>
        <w:rPr>
          <w:rFonts w:hint="eastAsia" w:ascii="宋体" w:hAnsi="宋体" w:eastAsia="宋体" w:cs="宋体"/>
          <w:color w:val="000000" w:themeColor="text1"/>
          <w:sz w:val="36"/>
          <w:szCs w:val="36"/>
        </w:rPr>
      </w:pPr>
      <w:r>
        <w:rPr>
          <w:rFonts w:hint="eastAsia" w:ascii="宋体" w:hAnsi="宋体" w:eastAsia="宋体" w:cs="宋体"/>
          <w:color w:val="000000" w:themeColor="text1"/>
          <w:sz w:val="36"/>
          <w:szCs w:val="36"/>
        </w:rPr>
        <w:t>第二章 竞标人须知</w:t>
      </w:r>
      <w:bookmarkEnd w:id="11"/>
      <w:bookmarkEnd w:id="12"/>
      <w:bookmarkEnd w:id="13"/>
      <w:bookmarkEnd w:id="14"/>
      <w:bookmarkEnd w:id="15"/>
      <w:bookmarkEnd w:id="16"/>
      <w:bookmarkEnd w:id="17"/>
      <w:bookmarkEnd w:id="18"/>
      <w:bookmarkEnd w:id="69"/>
    </w:p>
    <w:p w14:paraId="5C446A6C">
      <w:pPr>
        <w:wordWrap w:val="0"/>
        <w:jc w:val="center"/>
        <w:rPr>
          <w:rFonts w:hint="eastAsia" w:ascii="宋体" w:hAnsi="宋体" w:eastAsia="宋体" w:cs="宋体"/>
          <w:color w:val="000000" w:themeColor="text1"/>
          <w:sz w:val="36"/>
          <w:szCs w:val="36"/>
        </w:rPr>
      </w:pPr>
      <w:bookmarkStart w:id="70" w:name="_Toc494118805"/>
    </w:p>
    <w:p w14:paraId="2653FE1E">
      <w:pPr>
        <w:wordWrap w:val="0"/>
        <w:jc w:val="center"/>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rPr>
        <w:t>竞标人须知前附表</w:t>
      </w:r>
      <w:bookmarkEnd w:id="70"/>
    </w:p>
    <w:p w14:paraId="03FCC975">
      <w:pPr>
        <w:pStyle w:val="29"/>
        <w:rPr>
          <w:rFonts w:hint="eastAsia" w:ascii="宋体" w:hAnsi="宋体" w:eastAsia="宋体" w:cs="宋体"/>
          <w:color w:val="000000" w:themeColor="text1"/>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3950"/>
        <w:gridCol w:w="4628"/>
      </w:tblGrid>
      <w:tr w14:paraId="77B3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982" w:type="dxa"/>
            <w:shd w:val="clear" w:color="auto" w:fill="E6E6E6"/>
            <w:vAlign w:val="center"/>
          </w:tcPr>
          <w:p w14:paraId="6F3E4D52">
            <w:pPr>
              <w:spacing w:line="36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条款号</w:t>
            </w:r>
          </w:p>
        </w:tc>
        <w:tc>
          <w:tcPr>
            <w:tcW w:w="3950" w:type="dxa"/>
            <w:shd w:val="clear" w:color="auto" w:fill="E6E6E6"/>
            <w:vAlign w:val="center"/>
          </w:tcPr>
          <w:p w14:paraId="003BCD6A">
            <w:pPr>
              <w:spacing w:line="36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条  款  名  称</w:t>
            </w:r>
          </w:p>
        </w:tc>
        <w:tc>
          <w:tcPr>
            <w:tcW w:w="4628" w:type="dxa"/>
            <w:shd w:val="clear" w:color="auto" w:fill="E6E6E6"/>
            <w:vAlign w:val="center"/>
          </w:tcPr>
          <w:p w14:paraId="067B5789">
            <w:pPr>
              <w:spacing w:line="36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编  列  内  容</w:t>
            </w:r>
          </w:p>
        </w:tc>
      </w:tr>
      <w:tr w14:paraId="17BE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82" w:type="dxa"/>
            <w:vAlign w:val="center"/>
          </w:tcPr>
          <w:p w14:paraId="67CE2CDD">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1.1.2</w:t>
            </w:r>
          </w:p>
        </w:tc>
        <w:tc>
          <w:tcPr>
            <w:tcW w:w="3950" w:type="dxa"/>
            <w:vAlign w:val="center"/>
          </w:tcPr>
          <w:p w14:paraId="51DAB80E">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采购人</w:t>
            </w:r>
          </w:p>
        </w:tc>
        <w:tc>
          <w:tcPr>
            <w:tcW w:w="4628" w:type="dxa"/>
            <w:vAlign w:val="center"/>
          </w:tcPr>
          <w:p w14:paraId="5CA6FB8D">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名    称：河池市卫生学校</w:t>
            </w:r>
          </w:p>
          <w:p w14:paraId="20DA5EFC">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 xml:space="preserve">地    址：河池市金城江区中山路534号 </w:t>
            </w:r>
          </w:p>
          <w:p w14:paraId="1D9654F6">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联系方式：</w:t>
            </w:r>
            <w:r>
              <w:rPr>
                <w:rFonts w:hint="eastAsia" w:ascii="宋体" w:hAnsi="宋体" w:eastAsia="宋体" w:cs="宋体"/>
                <w:color w:val="000000" w:themeColor="text1"/>
                <w:lang w:eastAsia="zh-CN"/>
              </w:rPr>
              <w:t>兰剑</w:t>
            </w:r>
            <w:r>
              <w:rPr>
                <w:rFonts w:hint="eastAsia" w:ascii="宋体" w:hAnsi="宋体" w:eastAsia="宋体" w:cs="宋体"/>
                <w:color w:val="000000" w:themeColor="text1"/>
              </w:rPr>
              <w:t xml:space="preserve">    </w:t>
            </w:r>
          </w:p>
          <w:p w14:paraId="12139E3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电话:</w:t>
            </w:r>
            <w:r>
              <w:rPr>
                <w:rFonts w:hint="eastAsia" w:ascii="宋体" w:hAnsi="宋体" w:cs="宋体"/>
                <w:color w:val="000000" w:themeColor="text1"/>
                <w:lang w:val="en-US" w:eastAsia="zh-CN"/>
              </w:rPr>
              <w:t xml:space="preserve"> </w:t>
            </w:r>
            <w:r>
              <w:rPr>
                <w:rFonts w:hint="eastAsia" w:ascii="宋体" w:hAnsi="宋体" w:eastAsia="宋体" w:cs="宋体"/>
                <w:color w:val="000000" w:themeColor="text1"/>
              </w:rPr>
              <w:t>0778-2297004</w:t>
            </w:r>
          </w:p>
        </w:tc>
      </w:tr>
      <w:tr w14:paraId="18DE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82" w:type="dxa"/>
            <w:vAlign w:val="center"/>
          </w:tcPr>
          <w:p w14:paraId="638684EB">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1.1.3</w:t>
            </w:r>
          </w:p>
        </w:tc>
        <w:tc>
          <w:tcPr>
            <w:tcW w:w="3950" w:type="dxa"/>
            <w:vAlign w:val="center"/>
          </w:tcPr>
          <w:p w14:paraId="593BB923">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采购代理机构</w:t>
            </w:r>
          </w:p>
        </w:tc>
        <w:tc>
          <w:tcPr>
            <w:tcW w:w="4628" w:type="dxa"/>
            <w:vAlign w:val="center"/>
          </w:tcPr>
          <w:p w14:paraId="7A6042F8">
            <w:pPr>
              <w:spacing w:line="360" w:lineRule="exact"/>
              <w:rPr>
                <w:rFonts w:hint="eastAsia" w:ascii="宋体" w:hAnsi="宋体" w:eastAsia="宋体" w:cs="宋体"/>
                <w:color w:val="000000" w:themeColor="text1"/>
                <w:lang w:eastAsia="zh-CN"/>
              </w:rPr>
            </w:pPr>
            <w:r>
              <w:rPr>
                <w:rFonts w:hint="eastAsia" w:ascii="宋体" w:hAnsi="宋体" w:eastAsia="宋体" w:cs="宋体"/>
                <w:color w:val="000000" w:themeColor="text1"/>
              </w:rPr>
              <w:t>名称：</w:t>
            </w:r>
            <w:r>
              <w:rPr>
                <w:rFonts w:hint="eastAsia" w:ascii="宋体" w:hAnsi="宋体" w:cs="宋体"/>
                <w:color w:val="000000" w:themeColor="text1"/>
                <w:lang w:eastAsia="zh-CN"/>
              </w:rPr>
              <w:t>广西国立工程咨询有限公司</w:t>
            </w:r>
          </w:p>
          <w:p w14:paraId="41F2B4A1">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地址：</w:t>
            </w:r>
            <w:r>
              <w:rPr>
                <w:rFonts w:hint="eastAsia" w:ascii="宋体" w:hAnsi="宋体" w:cs="宋体"/>
                <w:color w:val="000000" w:themeColor="text1"/>
                <w:lang w:eastAsia="zh-CN"/>
              </w:rPr>
              <w:t>河池市金城江区金城中路8-22号</w:t>
            </w:r>
            <w:r>
              <w:rPr>
                <w:rFonts w:hint="eastAsia" w:ascii="宋体" w:hAnsi="宋体" w:eastAsia="宋体" w:cs="宋体"/>
                <w:color w:val="000000" w:themeColor="text1"/>
              </w:rPr>
              <w:t xml:space="preserve">  </w:t>
            </w:r>
          </w:p>
          <w:p w14:paraId="7ED78402">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联系人：</w:t>
            </w:r>
            <w:r>
              <w:rPr>
                <w:rFonts w:hint="eastAsia" w:ascii="宋体" w:hAnsi="宋体" w:cs="宋体"/>
                <w:color w:val="000000" w:themeColor="text1"/>
                <w:lang w:eastAsia="zh-CN"/>
              </w:rPr>
              <w:t>陈雪梅</w:t>
            </w:r>
            <w:r>
              <w:rPr>
                <w:rFonts w:hint="eastAsia" w:ascii="宋体" w:hAnsi="宋体" w:eastAsia="宋体" w:cs="宋体"/>
                <w:color w:val="000000" w:themeColor="text1"/>
              </w:rPr>
              <w:t xml:space="preserve"> </w:t>
            </w:r>
          </w:p>
          <w:p w14:paraId="42A295A8">
            <w:pPr>
              <w:spacing w:line="360" w:lineRule="exact"/>
              <w:rPr>
                <w:rFonts w:hint="eastAsia" w:ascii="宋体" w:hAnsi="宋体" w:eastAsia="宋体" w:cs="宋体"/>
                <w:color w:val="000000" w:themeColor="text1"/>
                <w:lang w:eastAsia="zh-CN"/>
              </w:rPr>
            </w:pPr>
            <w:r>
              <w:rPr>
                <w:rFonts w:hint="eastAsia" w:ascii="宋体" w:hAnsi="宋体" w:eastAsia="宋体" w:cs="宋体"/>
                <w:color w:val="000000" w:themeColor="text1"/>
              </w:rPr>
              <w:t>电话：</w:t>
            </w:r>
            <w:r>
              <w:rPr>
                <w:rFonts w:hint="eastAsia" w:ascii="宋体" w:hAnsi="宋体" w:cs="宋体"/>
                <w:color w:val="000000" w:themeColor="text1"/>
                <w:lang w:eastAsia="zh-CN"/>
              </w:rPr>
              <w:t>0771-3353050</w:t>
            </w:r>
          </w:p>
        </w:tc>
      </w:tr>
      <w:tr w14:paraId="176E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982" w:type="dxa"/>
            <w:vAlign w:val="center"/>
          </w:tcPr>
          <w:p w14:paraId="7D5B0678">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1.1.4</w:t>
            </w:r>
          </w:p>
        </w:tc>
        <w:tc>
          <w:tcPr>
            <w:tcW w:w="3950" w:type="dxa"/>
            <w:vAlign w:val="center"/>
          </w:tcPr>
          <w:p w14:paraId="01F60F8E">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项目名称及项目采购编号</w:t>
            </w:r>
          </w:p>
        </w:tc>
        <w:tc>
          <w:tcPr>
            <w:tcW w:w="4628" w:type="dxa"/>
            <w:vAlign w:val="center"/>
          </w:tcPr>
          <w:p w14:paraId="6E2BE6C2">
            <w:pPr>
              <w:wordWrap w:val="0"/>
              <w:spacing w:line="360" w:lineRule="exact"/>
              <w:rPr>
                <w:rFonts w:hint="eastAsia" w:ascii="宋体" w:hAnsi="宋体" w:cs="宋体"/>
                <w:color w:val="000000" w:themeColor="text1"/>
                <w:lang w:eastAsia="zh-CN"/>
              </w:rPr>
            </w:pPr>
            <w:r>
              <w:rPr>
                <w:rFonts w:hint="eastAsia" w:ascii="宋体" w:hAnsi="宋体" w:cs="宋体"/>
                <w:color w:val="000000" w:themeColor="text1"/>
                <w:lang w:eastAsia="zh-CN"/>
              </w:rPr>
              <w:t>河池市卫生学校实训大楼三期装修工程项目</w:t>
            </w:r>
          </w:p>
          <w:p w14:paraId="7F779F17">
            <w:pPr>
              <w:wordWrap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（项目编号：HCZC2026-J2-990059-GXGL）</w:t>
            </w:r>
          </w:p>
        </w:tc>
      </w:tr>
      <w:tr w14:paraId="2671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982" w:type="dxa"/>
            <w:vAlign w:val="center"/>
          </w:tcPr>
          <w:p w14:paraId="15D8B7F0">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1.1.5</w:t>
            </w:r>
          </w:p>
        </w:tc>
        <w:tc>
          <w:tcPr>
            <w:tcW w:w="3950" w:type="dxa"/>
            <w:vAlign w:val="center"/>
          </w:tcPr>
          <w:p w14:paraId="1EF02B7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建设地点</w:t>
            </w:r>
          </w:p>
        </w:tc>
        <w:tc>
          <w:tcPr>
            <w:tcW w:w="4628" w:type="dxa"/>
            <w:vAlign w:val="center"/>
          </w:tcPr>
          <w:p w14:paraId="64FA4DD2">
            <w:pPr>
              <w:spacing w:line="36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河池市卫生学校</w:t>
            </w:r>
          </w:p>
        </w:tc>
      </w:tr>
      <w:tr w14:paraId="1B29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982" w:type="dxa"/>
            <w:vAlign w:val="center"/>
          </w:tcPr>
          <w:p w14:paraId="55080ACD">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1.2.1</w:t>
            </w:r>
          </w:p>
        </w:tc>
        <w:tc>
          <w:tcPr>
            <w:tcW w:w="3950" w:type="dxa"/>
            <w:vAlign w:val="center"/>
          </w:tcPr>
          <w:p w14:paraId="6B16533F">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资金来源</w:t>
            </w:r>
          </w:p>
        </w:tc>
        <w:tc>
          <w:tcPr>
            <w:tcW w:w="4628" w:type="dxa"/>
            <w:vAlign w:val="center"/>
          </w:tcPr>
          <w:p w14:paraId="3F75379F">
            <w:pPr>
              <w:spacing w:line="360" w:lineRule="exact"/>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政府专项资金</w:t>
            </w:r>
          </w:p>
        </w:tc>
      </w:tr>
      <w:tr w14:paraId="05F1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982" w:type="dxa"/>
            <w:vAlign w:val="center"/>
          </w:tcPr>
          <w:p w14:paraId="68C2EF7A">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1.2.2</w:t>
            </w:r>
          </w:p>
        </w:tc>
        <w:tc>
          <w:tcPr>
            <w:tcW w:w="3950" w:type="dxa"/>
            <w:vAlign w:val="center"/>
          </w:tcPr>
          <w:p w14:paraId="1259C5EE">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出资比例</w:t>
            </w:r>
          </w:p>
        </w:tc>
        <w:tc>
          <w:tcPr>
            <w:tcW w:w="4628" w:type="dxa"/>
            <w:vAlign w:val="center"/>
          </w:tcPr>
          <w:p w14:paraId="7C05289C">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100%</w:t>
            </w:r>
          </w:p>
        </w:tc>
      </w:tr>
      <w:tr w14:paraId="672D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82" w:type="dxa"/>
            <w:vAlign w:val="center"/>
          </w:tcPr>
          <w:p w14:paraId="0E65AA0C">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1.2.3</w:t>
            </w:r>
          </w:p>
        </w:tc>
        <w:tc>
          <w:tcPr>
            <w:tcW w:w="3950" w:type="dxa"/>
            <w:vAlign w:val="center"/>
          </w:tcPr>
          <w:p w14:paraId="6B11FC8E">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资金落实情况</w:t>
            </w:r>
          </w:p>
        </w:tc>
        <w:tc>
          <w:tcPr>
            <w:tcW w:w="4628" w:type="dxa"/>
            <w:vAlign w:val="center"/>
          </w:tcPr>
          <w:p w14:paraId="38FADCEC">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已落实</w:t>
            </w:r>
          </w:p>
        </w:tc>
      </w:tr>
      <w:tr w14:paraId="5DDE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982" w:type="dxa"/>
            <w:vAlign w:val="center"/>
          </w:tcPr>
          <w:p w14:paraId="4A13F07C">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1.2.4</w:t>
            </w:r>
          </w:p>
        </w:tc>
        <w:tc>
          <w:tcPr>
            <w:tcW w:w="3950" w:type="dxa"/>
            <w:vAlign w:val="center"/>
          </w:tcPr>
          <w:p w14:paraId="250CFF2D">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本工程增值税计税方法</w:t>
            </w:r>
          </w:p>
        </w:tc>
        <w:tc>
          <w:tcPr>
            <w:tcW w:w="4628" w:type="dxa"/>
            <w:vAlign w:val="center"/>
          </w:tcPr>
          <w:p w14:paraId="42A7E6F1">
            <w:pPr>
              <w:spacing w:line="360" w:lineRule="exact"/>
              <w:rPr>
                <w:rFonts w:hint="eastAsia" w:ascii="宋体" w:hAnsi="宋体" w:eastAsia="宋体" w:cs="宋体"/>
                <w:color w:val="000000" w:themeColor="text1"/>
              </w:rPr>
            </w:pPr>
            <w:r>
              <w:rPr>
                <w:rFonts w:hint="eastAsia" w:ascii="宋体" w:hAnsi="宋体" w:eastAsia="宋体" w:cs="宋体"/>
                <w:b/>
                <w:bCs/>
                <w:color w:val="000000" w:themeColor="text1"/>
              </w:rPr>
              <w:fldChar w:fldCharType="begin"/>
            </w:r>
            <w:r>
              <w:rPr>
                <w:rFonts w:hint="eastAsia" w:ascii="宋体" w:hAnsi="宋体" w:eastAsia="宋体" w:cs="宋体"/>
                <w:b/>
                <w:bCs/>
                <w:color w:val="000000" w:themeColor="text1"/>
              </w:rPr>
              <w:instrText xml:space="preserve"> EQ \o\ac(□,</w:instrText>
            </w:r>
            <w:r>
              <w:rPr>
                <w:rFonts w:hint="eastAsia" w:ascii="宋体" w:hAnsi="宋体" w:eastAsia="宋体" w:cs="宋体"/>
                <w:b/>
                <w:bCs/>
                <w:color w:val="000000" w:themeColor="text1"/>
                <w:position w:val="2"/>
                <w:sz w:val="14"/>
              </w:rPr>
              <w:instrText xml:space="preserve">√</w:instrText>
            </w:r>
            <w:r>
              <w:rPr>
                <w:rFonts w:hint="eastAsia" w:ascii="宋体" w:hAnsi="宋体" w:eastAsia="宋体" w:cs="宋体"/>
                <w:b/>
                <w:bCs/>
                <w:color w:val="000000" w:themeColor="text1"/>
              </w:rPr>
              <w:instrText xml:space="preserve">)</w:instrText>
            </w:r>
            <w:r>
              <w:rPr>
                <w:rFonts w:hint="eastAsia" w:ascii="宋体" w:hAnsi="宋体" w:eastAsia="宋体" w:cs="宋体"/>
                <w:b/>
                <w:bCs/>
                <w:color w:val="000000" w:themeColor="text1"/>
              </w:rPr>
              <w:fldChar w:fldCharType="end"/>
            </w:r>
            <w:r>
              <w:rPr>
                <w:rFonts w:hint="eastAsia" w:ascii="宋体" w:hAnsi="宋体" w:eastAsia="宋体" w:cs="宋体"/>
                <w:color w:val="000000" w:themeColor="text1"/>
              </w:rPr>
              <w:t xml:space="preserve">一般计税法         </w:t>
            </w:r>
          </w:p>
        </w:tc>
      </w:tr>
      <w:tr w14:paraId="7A39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tcPr>
          <w:p w14:paraId="525C06D3">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1.3.1</w:t>
            </w:r>
          </w:p>
        </w:tc>
        <w:tc>
          <w:tcPr>
            <w:tcW w:w="3950" w:type="dxa"/>
          </w:tcPr>
          <w:p w14:paraId="369247EF">
            <w:pPr>
              <w:spacing w:line="360" w:lineRule="exact"/>
              <w:jc w:val="center"/>
              <w:rPr>
                <w:rFonts w:hint="eastAsia" w:ascii="宋体" w:hAnsi="宋体" w:eastAsia="宋体" w:cs="宋体"/>
                <w:color w:val="000000" w:themeColor="text1"/>
              </w:rPr>
            </w:pPr>
          </w:p>
          <w:p w14:paraId="434959C7">
            <w:pPr>
              <w:spacing w:line="360" w:lineRule="exact"/>
              <w:jc w:val="both"/>
              <w:rPr>
                <w:rFonts w:hint="eastAsia" w:ascii="宋体" w:hAnsi="宋体" w:eastAsia="宋体" w:cs="宋体"/>
                <w:color w:val="000000" w:themeColor="text1"/>
              </w:rPr>
            </w:pPr>
            <w:r>
              <w:rPr>
                <w:rFonts w:hint="eastAsia" w:ascii="宋体" w:hAnsi="宋体" w:eastAsia="宋体" w:cs="宋体"/>
                <w:color w:val="000000" w:themeColor="text1"/>
              </w:rPr>
              <w:t>采购范围</w:t>
            </w:r>
          </w:p>
        </w:tc>
        <w:tc>
          <w:tcPr>
            <w:tcW w:w="4628" w:type="dxa"/>
          </w:tcPr>
          <w:p w14:paraId="5637B03B">
            <w:pPr>
              <w:spacing w:line="360" w:lineRule="exact"/>
              <w:rPr>
                <w:rFonts w:hint="eastAsia" w:ascii="宋体" w:hAnsi="宋体" w:eastAsia="宋体" w:cs="宋体"/>
                <w:color w:val="000000" w:themeColor="text1"/>
              </w:rPr>
            </w:pPr>
            <w:r>
              <w:rPr>
                <w:rFonts w:hint="eastAsia" w:ascii="宋体" w:hAnsi="宋体" w:cs="宋体"/>
                <w:color w:val="000000" w:themeColor="text1"/>
                <w:lang w:eastAsia="zh-CN"/>
              </w:rPr>
              <w:t>河池市卫生学校实训大楼三期装修工程项目</w:t>
            </w:r>
            <w:r>
              <w:rPr>
                <w:rFonts w:hint="eastAsia" w:ascii="宋体" w:hAnsi="宋体" w:eastAsia="宋体" w:cs="宋体"/>
                <w:color w:val="000000" w:themeColor="text1"/>
              </w:rPr>
              <w:t>，详见经评审的招标控制价及工程量清单，施工图包含</w:t>
            </w:r>
            <w:r>
              <w:rPr>
                <w:rFonts w:hint="eastAsia" w:ascii="宋体" w:hAnsi="宋体" w:cs="宋体"/>
                <w:color w:val="000000" w:themeColor="text1"/>
                <w:lang w:eastAsia="zh-CN"/>
              </w:rPr>
              <w:t>的</w:t>
            </w:r>
            <w:r>
              <w:rPr>
                <w:rFonts w:hint="eastAsia" w:ascii="宋体" w:hAnsi="宋体" w:eastAsia="宋体" w:cs="宋体"/>
                <w:color w:val="000000" w:themeColor="text1"/>
              </w:rPr>
              <w:t>全部内容。</w:t>
            </w:r>
          </w:p>
        </w:tc>
      </w:tr>
      <w:tr w14:paraId="02CC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7547A344">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1.3.2</w:t>
            </w:r>
          </w:p>
        </w:tc>
        <w:tc>
          <w:tcPr>
            <w:tcW w:w="3950" w:type="dxa"/>
            <w:vAlign w:val="center"/>
          </w:tcPr>
          <w:p w14:paraId="3F30335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要求工期</w:t>
            </w:r>
          </w:p>
        </w:tc>
        <w:tc>
          <w:tcPr>
            <w:tcW w:w="4628" w:type="dxa"/>
          </w:tcPr>
          <w:p w14:paraId="289DCEB1">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要求工期：</w:t>
            </w:r>
            <w:r>
              <w:rPr>
                <w:rFonts w:hint="eastAsia" w:ascii="宋体" w:hAnsi="宋体" w:cs="宋体"/>
                <w:color w:val="000000" w:themeColor="text1"/>
                <w:u w:val="single"/>
                <w:lang w:val="en-US" w:eastAsia="zh-CN"/>
              </w:rPr>
              <w:t>60</w:t>
            </w:r>
            <w:r>
              <w:rPr>
                <w:rFonts w:hint="eastAsia" w:ascii="宋体" w:hAnsi="宋体" w:eastAsia="宋体" w:cs="宋体"/>
                <w:color w:val="000000" w:themeColor="text1"/>
              </w:rPr>
              <w:t>日历天</w:t>
            </w:r>
          </w:p>
        </w:tc>
      </w:tr>
      <w:tr w14:paraId="4637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tcPr>
          <w:p w14:paraId="242F01C1">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1.3.3</w:t>
            </w:r>
          </w:p>
        </w:tc>
        <w:tc>
          <w:tcPr>
            <w:tcW w:w="3950" w:type="dxa"/>
          </w:tcPr>
          <w:p w14:paraId="099ECCD9">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质量要求</w:t>
            </w:r>
          </w:p>
        </w:tc>
        <w:tc>
          <w:tcPr>
            <w:tcW w:w="4628" w:type="dxa"/>
          </w:tcPr>
          <w:p w14:paraId="0DD82D8B">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质量标准：达到国家施工验收规范合格标准</w:t>
            </w:r>
          </w:p>
        </w:tc>
      </w:tr>
      <w:tr w14:paraId="1DE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0A162B92">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1.4.1</w:t>
            </w:r>
          </w:p>
        </w:tc>
        <w:tc>
          <w:tcPr>
            <w:tcW w:w="3950" w:type="dxa"/>
            <w:vAlign w:val="center"/>
          </w:tcPr>
          <w:p w14:paraId="7A0B75C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竞标人资质条件、能力、诚信要求</w:t>
            </w:r>
          </w:p>
        </w:tc>
        <w:tc>
          <w:tcPr>
            <w:tcW w:w="4628" w:type="dxa"/>
          </w:tcPr>
          <w:p w14:paraId="0EE5C269">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资质条件：具备</w:t>
            </w:r>
            <w:r>
              <w:rPr>
                <w:rFonts w:hint="eastAsia" w:ascii="宋体" w:hAnsi="宋体" w:cs="宋体"/>
                <w:color w:val="000000" w:themeColor="text1"/>
                <w:lang w:eastAsia="zh-CN"/>
              </w:rPr>
              <w:t>建筑装修装饰工程专业承包二级及以上资质</w:t>
            </w:r>
            <w:r>
              <w:rPr>
                <w:rFonts w:hint="eastAsia" w:ascii="宋体" w:hAnsi="宋体" w:eastAsia="宋体" w:cs="宋体"/>
                <w:color w:val="000000" w:themeColor="text1"/>
              </w:rPr>
              <w:t>，具有有效的安全生产许可证，并在人员、设备、资金等方面具有相应能力的施工企业。</w:t>
            </w:r>
          </w:p>
          <w:p w14:paraId="03FA49B2">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财务要求：竞标人</w:t>
            </w:r>
            <w:r>
              <w:rPr>
                <w:rFonts w:hint="eastAsia" w:ascii="宋体" w:hAnsi="宋体" w:cs="宋体"/>
                <w:color w:val="000000" w:themeColor="text1"/>
                <w:lang w:eastAsia="zh-CN"/>
              </w:rPr>
              <w:t>2025年的财务报表</w:t>
            </w:r>
            <w:r>
              <w:rPr>
                <w:rFonts w:hint="eastAsia" w:ascii="宋体" w:hAnsi="宋体" w:eastAsia="宋体" w:cs="宋体"/>
                <w:color w:val="000000" w:themeColor="text1"/>
              </w:rPr>
              <w:t>，包括资产负债表、现金流量表、利润表复印件或供应商基本开户银行出具的应能反映供应商在资金结算、信贷业务、执行结算、银行纪律等方面无不良记录的资信证明复印件，原件备查；【备注：对于从取得营业执照时间起到谈判截止时间为止不足要求年数的企业，只需提交企业取得营业执照年份至所要求最近年份的财务报表】。</w:t>
            </w:r>
          </w:p>
          <w:p w14:paraId="2E32E72A">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业绩要求：无要求。</w:t>
            </w:r>
          </w:p>
          <w:p w14:paraId="6C341A71">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诚信要求：在“信用中国”网站、中国政府采购网等渠道未被列入失信被执行人、重大税收违法案件当事人名单、政府采购严重违法失信行为记录名单。</w:t>
            </w:r>
          </w:p>
          <w:p w14:paraId="258B9ED9">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项目经理资格：须具有</w:t>
            </w:r>
            <w:r>
              <w:rPr>
                <w:rFonts w:hint="eastAsia" w:ascii="宋体" w:hAnsi="宋体" w:cs="宋体"/>
                <w:color w:val="000000" w:themeColor="text1"/>
                <w:lang w:eastAsia="zh-CN"/>
              </w:rPr>
              <w:t>建筑工程专业注册建造师二级（含二级）以上资质及安全生产考核合格证书（B类）</w:t>
            </w:r>
            <w:r>
              <w:rPr>
                <w:rFonts w:hint="eastAsia" w:ascii="宋体" w:hAnsi="宋体" w:eastAsia="宋体" w:cs="宋体"/>
                <w:color w:val="000000" w:themeColor="text1"/>
              </w:rPr>
              <w:t>。</w:t>
            </w:r>
          </w:p>
          <w:p w14:paraId="39DEC96A">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专职安全员要求：拟派专职安全员1名，专职安全员须具备有效的安全生产考核合格证书（C类）。</w:t>
            </w:r>
          </w:p>
          <w:p w14:paraId="1E66E904">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 xml:space="preserve">其他要求：     </w:t>
            </w:r>
          </w:p>
          <w:p w14:paraId="3D186C42">
            <w:pPr>
              <w:spacing w:line="340" w:lineRule="exact"/>
              <w:rPr>
                <w:rFonts w:hint="eastAsia" w:ascii="宋体" w:hAnsi="宋体" w:eastAsia="宋体" w:cs="宋体"/>
                <w:color w:val="000000" w:themeColor="text1"/>
                <w:kern w:val="0"/>
                <w:szCs w:val="21"/>
              </w:rPr>
            </w:pPr>
            <w:r>
              <w:rPr>
                <w:rFonts w:hint="eastAsia" w:ascii="宋体" w:hAnsi="宋体" w:eastAsia="宋体" w:cs="宋体"/>
                <w:color w:val="000000" w:themeColor="text1"/>
              </w:rPr>
              <w:t>（1）</w:t>
            </w:r>
            <w:r>
              <w:rPr>
                <w:rFonts w:hint="eastAsia" w:ascii="宋体" w:hAnsi="宋体" w:eastAsia="宋体" w:cs="宋体"/>
                <w:color w:val="000000" w:themeColor="text1"/>
                <w:kern w:val="0"/>
                <w:szCs w:val="21"/>
              </w:rPr>
              <w:t>拟派驻本项目的技术负责人应具有中级及以上职称。</w:t>
            </w:r>
          </w:p>
          <w:p w14:paraId="05D9630E">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kern w:val="0"/>
                <w:szCs w:val="21"/>
              </w:rPr>
              <w:t>（2）施工员、质量员、材料员、机械员应具有相应岗位资格证书。</w:t>
            </w:r>
            <w:r>
              <w:rPr>
                <w:rFonts w:hint="eastAsia" w:ascii="宋体" w:hAnsi="宋体" w:eastAsia="宋体" w:cs="宋体"/>
                <w:color w:val="000000" w:themeColor="text1"/>
              </w:rPr>
              <w:t xml:space="preserve">                   </w:t>
            </w:r>
          </w:p>
        </w:tc>
      </w:tr>
      <w:tr w14:paraId="3397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2" w:type="dxa"/>
            <w:vAlign w:val="center"/>
          </w:tcPr>
          <w:p w14:paraId="2CB724D1">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1.4.2</w:t>
            </w:r>
          </w:p>
        </w:tc>
        <w:tc>
          <w:tcPr>
            <w:tcW w:w="3950" w:type="dxa"/>
            <w:vAlign w:val="center"/>
          </w:tcPr>
          <w:p w14:paraId="05C380B9">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是否接受联合体竞标</w:t>
            </w:r>
          </w:p>
        </w:tc>
        <w:tc>
          <w:tcPr>
            <w:tcW w:w="4628" w:type="dxa"/>
            <w:vAlign w:val="center"/>
          </w:tcPr>
          <w:p w14:paraId="5C197384">
            <w:pPr>
              <w:spacing w:line="360" w:lineRule="exact"/>
              <w:rPr>
                <w:rFonts w:hint="eastAsia" w:ascii="宋体" w:hAnsi="宋体" w:eastAsia="宋体" w:cs="宋体"/>
                <w:color w:val="000000" w:themeColor="text1"/>
              </w:rPr>
            </w:pPr>
            <w:r>
              <w:rPr>
                <w:rFonts w:hint="eastAsia" w:ascii="宋体" w:hAnsi="宋体" w:eastAsia="宋体" w:cs="宋体"/>
                <w:b/>
                <w:bCs/>
                <w:color w:val="000000" w:themeColor="text1"/>
              </w:rPr>
              <w:fldChar w:fldCharType="begin"/>
            </w:r>
            <w:r>
              <w:rPr>
                <w:rFonts w:hint="eastAsia" w:ascii="宋体" w:hAnsi="宋体" w:eastAsia="宋体" w:cs="宋体"/>
                <w:b/>
                <w:bCs/>
                <w:color w:val="000000" w:themeColor="text1"/>
              </w:rPr>
              <w:instrText xml:space="preserve"> EQ \o\ac(□,</w:instrText>
            </w:r>
            <w:r>
              <w:rPr>
                <w:rFonts w:hint="eastAsia" w:ascii="宋体" w:hAnsi="宋体" w:eastAsia="宋体" w:cs="宋体"/>
                <w:b/>
                <w:bCs/>
                <w:color w:val="000000" w:themeColor="text1"/>
                <w:position w:val="2"/>
                <w:sz w:val="14"/>
              </w:rPr>
              <w:instrText xml:space="preserve">√</w:instrText>
            </w:r>
            <w:r>
              <w:rPr>
                <w:rFonts w:hint="eastAsia" w:ascii="宋体" w:hAnsi="宋体" w:eastAsia="宋体" w:cs="宋体"/>
                <w:b/>
                <w:bCs/>
                <w:color w:val="000000" w:themeColor="text1"/>
              </w:rPr>
              <w:instrText xml:space="preserve">)</w:instrText>
            </w:r>
            <w:r>
              <w:rPr>
                <w:rFonts w:hint="eastAsia" w:ascii="宋体" w:hAnsi="宋体" w:eastAsia="宋体" w:cs="宋体"/>
                <w:b/>
                <w:bCs/>
                <w:color w:val="000000" w:themeColor="text1"/>
              </w:rPr>
              <w:fldChar w:fldCharType="end"/>
            </w:r>
            <w:r>
              <w:rPr>
                <w:rFonts w:hint="eastAsia" w:ascii="宋体" w:hAnsi="宋体" w:eastAsia="宋体" w:cs="宋体"/>
                <w:color w:val="000000" w:themeColor="text1"/>
              </w:rPr>
              <w:t xml:space="preserve">不接受 </w:t>
            </w:r>
          </w:p>
        </w:tc>
      </w:tr>
      <w:tr w14:paraId="0C9F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82" w:type="dxa"/>
            <w:vAlign w:val="center"/>
          </w:tcPr>
          <w:p w14:paraId="28CB5F60">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1.9.1</w:t>
            </w:r>
          </w:p>
        </w:tc>
        <w:tc>
          <w:tcPr>
            <w:tcW w:w="3950" w:type="dxa"/>
            <w:vAlign w:val="center"/>
          </w:tcPr>
          <w:p w14:paraId="54DA5FA3">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踏勘现场</w:t>
            </w:r>
          </w:p>
        </w:tc>
        <w:tc>
          <w:tcPr>
            <w:tcW w:w="4628" w:type="dxa"/>
            <w:vAlign w:val="center"/>
          </w:tcPr>
          <w:p w14:paraId="6D61D6FE">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不组织</w:t>
            </w:r>
          </w:p>
        </w:tc>
      </w:tr>
      <w:tr w14:paraId="03C3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2" w:type="dxa"/>
            <w:vAlign w:val="center"/>
          </w:tcPr>
          <w:p w14:paraId="1B427183">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1.10</w:t>
            </w:r>
          </w:p>
        </w:tc>
        <w:tc>
          <w:tcPr>
            <w:tcW w:w="3950" w:type="dxa"/>
            <w:vAlign w:val="center"/>
          </w:tcPr>
          <w:p w14:paraId="6C0CD358">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竞标预备会</w:t>
            </w:r>
          </w:p>
        </w:tc>
        <w:tc>
          <w:tcPr>
            <w:tcW w:w="4628" w:type="dxa"/>
            <w:vAlign w:val="center"/>
          </w:tcPr>
          <w:p w14:paraId="1BF17B42">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不召开</w:t>
            </w:r>
          </w:p>
        </w:tc>
      </w:tr>
      <w:tr w14:paraId="3708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526CD254">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1.11</w:t>
            </w:r>
          </w:p>
        </w:tc>
        <w:tc>
          <w:tcPr>
            <w:tcW w:w="3950" w:type="dxa"/>
            <w:vAlign w:val="center"/>
          </w:tcPr>
          <w:p w14:paraId="6FF50FF3">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分  包</w:t>
            </w:r>
          </w:p>
        </w:tc>
        <w:tc>
          <w:tcPr>
            <w:tcW w:w="4628" w:type="dxa"/>
            <w:vAlign w:val="center"/>
          </w:tcPr>
          <w:p w14:paraId="7E99E118">
            <w:pPr>
              <w:spacing w:line="360" w:lineRule="exact"/>
              <w:rPr>
                <w:rFonts w:hint="eastAsia" w:ascii="宋体" w:hAnsi="宋体" w:eastAsia="宋体" w:cs="宋体"/>
                <w:color w:val="000000" w:themeColor="text1"/>
              </w:rPr>
            </w:pPr>
            <w:r>
              <w:rPr>
                <w:rFonts w:hint="eastAsia" w:ascii="宋体" w:hAnsi="宋体" w:eastAsia="宋体" w:cs="宋体"/>
                <w:b/>
                <w:bCs/>
                <w:color w:val="000000" w:themeColor="text1"/>
              </w:rPr>
              <w:fldChar w:fldCharType="begin"/>
            </w:r>
            <w:r>
              <w:rPr>
                <w:rFonts w:hint="eastAsia" w:ascii="宋体" w:hAnsi="宋体" w:eastAsia="宋体" w:cs="宋体"/>
                <w:b/>
                <w:bCs/>
                <w:color w:val="000000" w:themeColor="text1"/>
              </w:rPr>
              <w:instrText xml:space="preserve"> EQ \o\ac(□,</w:instrText>
            </w:r>
            <w:r>
              <w:rPr>
                <w:rFonts w:hint="eastAsia" w:ascii="宋体" w:hAnsi="宋体" w:eastAsia="宋体" w:cs="宋体"/>
                <w:b/>
                <w:bCs/>
                <w:color w:val="000000" w:themeColor="text1"/>
                <w:position w:val="2"/>
                <w:sz w:val="14"/>
              </w:rPr>
              <w:instrText xml:space="preserve">√</w:instrText>
            </w:r>
            <w:r>
              <w:rPr>
                <w:rFonts w:hint="eastAsia" w:ascii="宋体" w:hAnsi="宋体" w:eastAsia="宋体" w:cs="宋体"/>
                <w:b/>
                <w:bCs/>
                <w:color w:val="000000" w:themeColor="text1"/>
              </w:rPr>
              <w:instrText xml:space="preserve">)</w:instrText>
            </w:r>
            <w:r>
              <w:rPr>
                <w:rFonts w:hint="eastAsia" w:ascii="宋体" w:hAnsi="宋体" w:eastAsia="宋体" w:cs="宋体"/>
                <w:b/>
                <w:bCs/>
                <w:color w:val="000000" w:themeColor="text1"/>
              </w:rPr>
              <w:fldChar w:fldCharType="end"/>
            </w:r>
            <w:r>
              <w:rPr>
                <w:rFonts w:hint="eastAsia" w:ascii="宋体" w:hAnsi="宋体" w:eastAsia="宋体" w:cs="宋体"/>
                <w:color w:val="000000" w:themeColor="text1"/>
              </w:rPr>
              <w:t>不允许</w:t>
            </w:r>
          </w:p>
        </w:tc>
      </w:tr>
      <w:tr w14:paraId="1E54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2" w:type="dxa"/>
            <w:vAlign w:val="center"/>
          </w:tcPr>
          <w:p w14:paraId="68581930">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1.12</w:t>
            </w:r>
          </w:p>
        </w:tc>
        <w:tc>
          <w:tcPr>
            <w:tcW w:w="3950" w:type="dxa"/>
            <w:vAlign w:val="center"/>
          </w:tcPr>
          <w:p w14:paraId="566D6186">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偏  离</w:t>
            </w:r>
          </w:p>
        </w:tc>
        <w:tc>
          <w:tcPr>
            <w:tcW w:w="4628" w:type="dxa"/>
            <w:vAlign w:val="center"/>
          </w:tcPr>
          <w:p w14:paraId="7E7C2AD9">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szCs w:val="21"/>
              </w:rPr>
              <w:t>不允许</w:t>
            </w:r>
          </w:p>
        </w:tc>
      </w:tr>
      <w:tr w14:paraId="3EB6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82" w:type="dxa"/>
            <w:vAlign w:val="center"/>
          </w:tcPr>
          <w:p w14:paraId="7405CB69">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2.1.1（10）</w:t>
            </w:r>
          </w:p>
        </w:tc>
        <w:tc>
          <w:tcPr>
            <w:tcW w:w="3950" w:type="dxa"/>
            <w:vAlign w:val="center"/>
          </w:tcPr>
          <w:p w14:paraId="2EDA7711">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构成竞争性谈判文件的其他材料</w:t>
            </w:r>
          </w:p>
        </w:tc>
        <w:tc>
          <w:tcPr>
            <w:tcW w:w="4628" w:type="dxa"/>
            <w:vAlign w:val="center"/>
          </w:tcPr>
          <w:p w14:paraId="5991AB64">
            <w:pPr>
              <w:tabs>
                <w:tab w:val="left" w:pos="826"/>
              </w:tabs>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竞争性谈判文件的澄清、修改、补充通知等内容</w:t>
            </w:r>
          </w:p>
        </w:tc>
      </w:tr>
      <w:tr w14:paraId="52F4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dxa"/>
            <w:vAlign w:val="center"/>
          </w:tcPr>
          <w:p w14:paraId="04C3FCF0">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2.2.1</w:t>
            </w:r>
          </w:p>
        </w:tc>
        <w:tc>
          <w:tcPr>
            <w:tcW w:w="3950" w:type="dxa"/>
            <w:vAlign w:val="center"/>
          </w:tcPr>
          <w:p w14:paraId="7363E8DD">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竞标人要求澄清竞争性谈判文件的截止时间</w:t>
            </w:r>
          </w:p>
        </w:tc>
        <w:tc>
          <w:tcPr>
            <w:tcW w:w="4628" w:type="dxa"/>
            <w:vAlign w:val="center"/>
          </w:tcPr>
          <w:p w14:paraId="57FA3CB4">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highlight w:val="none"/>
              </w:rPr>
              <w:t>知道或者应知其权益受到损害之日起7个工作日内</w:t>
            </w:r>
          </w:p>
        </w:tc>
      </w:tr>
      <w:tr w14:paraId="0103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dxa"/>
            <w:vMerge w:val="restart"/>
            <w:vAlign w:val="center"/>
          </w:tcPr>
          <w:p w14:paraId="71E03346">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2.2.2</w:t>
            </w:r>
          </w:p>
        </w:tc>
        <w:tc>
          <w:tcPr>
            <w:tcW w:w="3950" w:type="dxa"/>
            <w:vAlign w:val="center"/>
          </w:tcPr>
          <w:p w14:paraId="0BEA74A6">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竞标截止时间</w:t>
            </w:r>
          </w:p>
        </w:tc>
        <w:tc>
          <w:tcPr>
            <w:tcW w:w="4628" w:type="dxa"/>
            <w:vAlign w:val="center"/>
          </w:tcPr>
          <w:p w14:paraId="5A13463F">
            <w:pPr>
              <w:spacing w:line="360" w:lineRule="exact"/>
              <w:rPr>
                <w:rFonts w:hint="eastAsia" w:ascii="宋体" w:hAnsi="宋体" w:eastAsia="宋体" w:cs="宋体"/>
                <w:color w:val="000000" w:themeColor="text1"/>
                <w:lang w:eastAsia="zh-CN"/>
              </w:rPr>
            </w:pPr>
            <w:r>
              <w:rPr>
                <w:rFonts w:hint="eastAsia" w:ascii="宋体" w:hAnsi="宋体" w:cs="宋体"/>
                <w:color w:val="000000" w:themeColor="text1"/>
                <w:lang w:eastAsia="zh-CN"/>
              </w:rPr>
              <w:t>2026年06月10日10时00分</w:t>
            </w:r>
          </w:p>
        </w:tc>
      </w:tr>
      <w:tr w14:paraId="7F63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982" w:type="dxa"/>
            <w:vMerge w:val="continue"/>
            <w:vAlign w:val="center"/>
          </w:tcPr>
          <w:p w14:paraId="2B9E1590">
            <w:pPr>
              <w:spacing w:line="360" w:lineRule="exact"/>
              <w:jc w:val="center"/>
              <w:rPr>
                <w:rFonts w:hint="eastAsia" w:ascii="宋体" w:hAnsi="宋体" w:eastAsia="宋体" w:cs="宋体"/>
                <w:color w:val="000000" w:themeColor="text1"/>
              </w:rPr>
            </w:pPr>
          </w:p>
        </w:tc>
        <w:tc>
          <w:tcPr>
            <w:tcW w:w="3950" w:type="dxa"/>
            <w:vAlign w:val="center"/>
          </w:tcPr>
          <w:p w14:paraId="5BEADB6C">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竞争性谈判文件澄清发布方式</w:t>
            </w:r>
          </w:p>
        </w:tc>
        <w:tc>
          <w:tcPr>
            <w:tcW w:w="4628" w:type="dxa"/>
          </w:tcPr>
          <w:p w14:paraId="134B07FE">
            <w:pPr>
              <w:keepNext w:val="0"/>
              <w:keepLines w:val="0"/>
              <w:pageBreakBefore w:val="0"/>
              <w:widowControl w:val="0"/>
              <w:kinsoku/>
              <w:wordWrap w:val="0"/>
              <w:overflowPunct/>
              <w:topLinePunct/>
              <w:autoSpaceDE/>
              <w:autoSpaceDN/>
              <w:bidi w:val="0"/>
              <w:adjustRightInd/>
              <w:snapToGrid/>
              <w:spacing w:line="340" w:lineRule="exact"/>
              <w:textAlignment w:val="auto"/>
              <w:rPr>
                <w:rFonts w:hint="eastAsia" w:ascii="宋体" w:hAnsi="宋体" w:eastAsia="宋体" w:cs="宋体"/>
                <w:b/>
                <w:color w:val="000000" w:themeColor="text1"/>
                <w:szCs w:val="21"/>
              </w:rPr>
            </w:pPr>
            <w:r>
              <w:rPr>
                <w:rFonts w:hint="eastAsia" w:ascii="宋体" w:hAnsi="宋体" w:eastAsia="宋体" w:cs="宋体"/>
                <w:color w:val="000000" w:themeColor="text1"/>
                <w:highlight w:val="none"/>
              </w:rPr>
              <w:t>在中国政府采购网（http://www.ccgp.gov.cn）、广西壮族自治区政府采购网（http://zfcg.gxzf.gov.cn）、全国公共资源交易平台(广西•河池)（http://ggzy.jgswj.gxzf.gov.cn/hcggzy/）发布</w:t>
            </w:r>
          </w:p>
        </w:tc>
      </w:tr>
      <w:tr w14:paraId="3B54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dxa"/>
            <w:vAlign w:val="center"/>
          </w:tcPr>
          <w:p w14:paraId="7A5BCC0D">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2.2.3</w:t>
            </w:r>
          </w:p>
        </w:tc>
        <w:tc>
          <w:tcPr>
            <w:tcW w:w="3950" w:type="dxa"/>
            <w:vAlign w:val="center"/>
          </w:tcPr>
          <w:p w14:paraId="0A0FA004">
            <w:pPr>
              <w:spacing w:line="26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采购人书面澄清的时间</w:t>
            </w:r>
          </w:p>
        </w:tc>
        <w:tc>
          <w:tcPr>
            <w:tcW w:w="4628" w:type="dxa"/>
            <w:vAlign w:val="center"/>
          </w:tcPr>
          <w:p w14:paraId="7A9A8949">
            <w:pPr>
              <w:spacing w:line="30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递交竞标文件截止之日</w:t>
            </w:r>
            <w:r>
              <w:rPr>
                <w:rFonts w:hint="eastAsia" w:ascii="宋体" w:hAnsi="宋体" w:eastAsia="宋体" w:cs="宋体"/>
                <w:color w:val="000000" w:themeColor="text1"/>
                <w:szCs w:val="21"/>
                <w:lang w:val="en-US" w:eastAsia="zh-CN"/>
              </w:rPr>
              <w:t>5</w:t>
            </w:r>
            <w:r>
              <w:rPr>
                <w:rFonts w:hint="eastAsia" w:ascii="宋体" w:hAnsi="宋体" w:eastAsia="宋体" w:cs="宋体"/>
                <w:color w:val="000000" w:themeColor="text1"/>
                <w:szCs w:val="21"/>
              </w:rPr>
              <w:t>天前</w:t>
            </w:r>
          </w:p>
        </w:tc>
      </w:tr>
      <w:tr w14:paraId="1E1F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6" w:hRule="atLeast"/>
          <w:jc w:val="center"/>
        </w:trPr>
        <w:tc>
          <w:tcPr>
            <w:tcW w:w="982" w:type="dxa"/>
            <w:vAlign w:val="center"/>
          </w:tcPr>
          <w:p w14:paraId="6B2D10D3">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3.1.1</w:t>
            </w:r>
          </w:p>
        </w:tc>
        <w:tc>
          <w:tcPr>
            <w:tcW w:w="3950" w:type="dxa"/>
            <w:vAlign w:val="center"/>
          </w:tcPr>
          <w:p w14:paraId="5C6ED354">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构成竞争性谈判文件的材料</w:t>
            </w:r>
          </w:p>
          <w:p w14:paraId="13B09B38">
            <w:pPr>
              <w:spacing w:line="360" w:lineRule="exact"/>
              <w:rPr>
                <w:rFonts w:hint="eastAsia" w:ascii="宋体" w:hAnsi="宋体" w:eastAsia="宋体" w:cs="宋体"/>
                <w:color w:val="000000" w:themeColor="text1"/>
              </w:rPr>
            </w:pPr>
          </w:p>
        </w:tc>
        <w:tc>
          <w:tcPr>
            <w:tcW w:w="4628" w:type="dxa"/>
            <w:vAlign w:val="center"/>
          </w:tcPr>
          <w:p w14:paraId="4E26D64C">
            <w:pPr>
              <w:spacing w:line="340" w:lineRule="exact"/>
              <w:rPr>
                <w:rFonts w:hint="eastAsia" w:ascii="宋体" w:hAnsi="宋体" w:eastAsia="宋体" w:cs="宋体"/>
                <w:color w:val="000000" w:themeColor="text1"/>
                <w:lang w:eastAsia="zh-CN"/>
              </w:rPr>
            </w:pPr>
            <w:r>
              <w:rPr>
                <w:rFonts w:hint="eastAsia" w:ascii="宋体" w:hAnsi="宋体" w:eastAsia="宋体" w:cs="宋体"/>
                <w:color w:val="000000" w:themeColor="text1"/>
              </w:rPr>
              <w:t>竞争性谈判文件的组成部分：资格审查部分、商务标部分</w:t>
            </w:r>
            <w:r>
              <w:rPr>
                <w:rFonts w:hint="eastAsia" w:ascii="宋体" w:hAnsi="宋体" w:eastAsia="宋体" w:cs="宋体"/>
                <w:color w:val="000000" w:themeColor="text1"/>
                <w:lang w:eastAsia="zh-CN"/>
              </w:rPr>
              <w:t>、技术标部分组成</w:t>
            </w:r>
          </w:p>
          <w:p w14:paraId="7CA3BB7A">
            <w:pPr>
              <w:spacing w:line="340" w:lineRule="exact"/>
              <w:rPr>
                <w:rFonts w:hint="eastAsia" w:ascii="宋体" w:hAnsi="宋体" w:eastAsia="宋体" w:cs="宋体"/>
                <w:color w:val="000000" w:themeColor="text1"/>
              </w:rPr>
            </w:pPr>
            <w:r>
              <w:rPr>
                <w:rFonts w:hint="eastAsia" w:ascii="宋体" w:hAnsi="宋体" w:eastAsia="宋体" w:cs="宋体"/>
                <w:b/>
                <w:bCs/>
                <w:color w:val="000000" w:themeColor="text1"/>
              </w:rPr>
              <w:t>资格审查部分</w:t>
            </w:r>
            <w:r>
              <w:rPr>
                <w:rFonts w:hint="eastAsia" w:ascii="宋体" w:hAnsi="宋体" w:eastAsia="宋体" w:cs="宋体"/>
                <w:color w:val="000000" w:themeColor="text1"/>
              </w:rPr>
              <w:t>【备注：以下复印件均须加盖竞标人单位公章】：</w:t>
            </w:r>
          </w:p>
          <w:p w14:paraId="659ABC6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（1）法定代表人身份证明原件及身份证复印件（法定代表人签署</w:t>
            </w:r>
            <w:r>
              <w:rPr>
                <w:rFonts w:hint="eastAsia" w:ascii="宋体" w:hAnsi="宋体" w:eastAsia="宋体" w:cs="宋体"/>
                <w:color w:val="000000" w:themeColor="text1"/>
                <w:highlight w:val="none"/>
                <w:lang w:eastAsia="zh-CN"/>
              </w:rPr>
              <w:t>竞标文件</w:t>
            </w:r>
            <w:r>
              <w:rPr>
                <w:rFonts w:hint="eastAsia" w:ascii="宋体" w:hAnsi="宋体" w:eastAsia="宋体" w:cs="宋体"/>
                <w:color w:val="000000" w:themeColor="text1"/>
                <w:highlight w:val="none"/>
              </w:rPr>
              <w:t>时提供）或者</w:t>
            </w:r>
            <w:r>
              <w:rPr>
                <w:rFonts w:hint="eastAsia" w:ascii="宋体" w:hAnsi="宋体" w:eastAsia="宋体" w:cs="宋体"/>
                <w:color w:val="000000" w:themeColor="text1"/>
                <w:highlight w:val="none"/>
                <w:lang w:eastAsia="zh-CN"/>
              </w:rPr>
              <w:t>竞标文件</w:t>
            </w:r>
            <w:r>
              <w:rPr>
                <w:rFonts w:hint="eastAsia" w:ascii="宋体" w:hAnsi="宋体" w:eastAsia="宋体" w:cs="宋体"/>
                <w:color w:val="000000" w:themeColor="text1"/>
                <w:highlight w:val="none"/>
              </w:rPr>
              <w:t>签署授权委托书（原件），附：法定代表人身份证明及身份证、委托代理的</w:t>
            </w:r>
            <w:r>
              <w:rPr>
                <w:rFonts w:hint="eastAsia" w:ascii="宋体" w:hAnsi="宋体" w:eastAsia="宋体" w:cs="宋体"/>
                <w:color w:val="000000" w:themeColor="text1"/>
                <w:highlight w:val="none"/>
                <w:lang w:eastAsia="zh-CN"/>
              </w:rPr>
              <w:t>委托代理人</w:t>
            </w:r>
            <w:r>
              <w:rPr>
                <w:rFonts w:hint="eastAsia" w:ascii="宋体" w:hAnsi="宋体" w:eastAsia="宋体" w:cs="宋体"/>
                <w:color w:val="000000" w:themeColor="text1"/>
                <w:highlight w:val="none"/>
              </w:rPr>
              <w:t>身份证的复印件（委托代理人签署</w:t>
            </w:r>
            <w:r>
              <w:rPr>
                <w:rFonts w:hint="eastAsia" w:ascii="宋体" w:hAnsi="宋体" w:eastAsia="宋体" w:cs="宋体"/>
                <w:color w:val="000000" w:themeColor="text1"/>
                <w:highlight w:val="none"/>
                <w:lang w:eastAsia="zh-CN"/>
              </w:rPr>
              <w:t>竞标文件</w:t>
            </w:r>
            <w:r>
              <w:rPr>
                <w:rFonts w:hint="eastAsia" w:ascii="宋体" w:hAnsi="宋体" w:eastAsia="宋体" w:cs="宋体"/>
                <w:color w:val="000000" w:themeColor="text1"/>
                <w:highlight w:val="none"/>
              </w:rPr>
              <w:t>时提供）；</w:t>
            </w:r>
          </w:p>
          <w:p w14:paraId="51EE39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竞标人</w:t>
            </w:r>
            <w:r>
              <w:rPr>
                <w:rFonts w:hint="eastAsia" w:ascii="宋体" w:hAnsi="宋体" w:eastAsia="宋体" w:cs="宋体"/>
                <w:color w:val="000000" w:themeColor="text1"/>
                <w:highlight w:val="none"/>
              </w:rPr>
              <w:t>基本情况表（附有效的企业营业执照、企业资质证书副本和安全生产许可证副本等的</w:t>
            </w:r>
            <w:r>
              <w:rPr>
                <w:rFonts w:hint="eastAsia" w:ascii="宋体" w:hAnsi="宋体" w:eastAsia="宋体" w:cs="宋体"/>
                <w:color w:val="000000" w:themeColor="text1"/>
                <w:highlight w:val="none"/>
                <w:lang w:eastAsia="zh-CN"/>
              </w:rPr>
              <w:t>复印件</w:t>
            </w:r>
            <w:r>
              <w:rPr>
                <w:rFonts w:hint="eastAsia" w:ascii="宋体" w:hAnsi="宋体" w:eastAsia="宋体" w:cs="宋体"/>
                <w:color w:val="000000" w:themeColor="text1"/>
                <w:highlight w:val="none"/>
              </w:rPr>
              <w:t>）；</w:t>
            </w:r>
          </w:p>
          <w:p w14:paraId="4D6FDA4D">
            <w:pPr>
              <w:pStyle w:val="24"/>
              <w:keepNext w:val="0"/>
              <w:keepLines w:val="0"/>
              <w:pageBreakBefore w:val="0"/>
              <w:widowControl w:val="0"/>
              <w:kinsoku/>
              <w:wordWrap/>
              <w:overflowPunct/>
              <w:topLinePunct w:val="0"/>
              <w:autoSpaceDE/>
              <w:autoSpaceDN/>
              <w:bidi w:val="0"/>
              <w:adjustRightInd/>
              <w:spacing w:line="380" w:lineRule="exact"/>
              <w:textAlignment w:val="auto"/>
              <w:rPr>
                <w:rFonts w:hint="eastAsia" w:eastAsia="宋体"/>
                <w:color w:val="000000" w:themeColor="text1"/>
                <w:lang w:eastAsia="zh-CN"/>
              </w:rPr>
            </w:pPr>
            <w:r>
              <w:rPr>
                <w:rFonts w:hint="eastAsia" w:hAnsi="宋体" w:eastAsia="宋体" w:cs="宋体"/>
                <w:color w:val="000000" w:themeColor="text1"/>
                <w:highlight w:val="none"/>
                <w:lang w:eastAsia="zh-CN"/>
              </w:rPr>
              <w:t>（</w:t>
            </w:r>
            <w:r>
              <w:rPr>
                <w:rFonts w:hint="eastAsia" w:hAnsi="宋体" w:eastAsia="宋体" w:cs="宋体"/>
                <w:color w:val="000000" w:themeColor="text1"/>
                <w:highlight w:val="none"/>
                <w:lang w:val="en-US" w:eastAsia="zh-CN"/>
              </w:rPr>
              <w:t>3</w:t>
            </w:r>
            <w:r>
              <w:rPr>
                <w:rFonts w:hint="eastAsia" w:hAnsi="宋体" w:eastAsia="宋体" w:cs="宋体"/>
                <w:color w:val="000000" w:themeColor="text1"/>
                <w:highlight w:val="none"/>
                <w:lang w:eastAsia="zh-CN"/>
              </w:rPr>
              <w:t>）</w:t>
            </w:r>
            <w:r>
              <w:rPr>
                <w:rFonts w:hint="eastAsia" w:hAnsi="宋体"/>
                <w:color w:val="000000" w:themeColor="text1"/>
              </w:rPr>
              <w:t>建设工程项目管理承诺书</w:t>
            </w:r>
            <w:r>
              <w:rPr>
                <w:rFonts w:hint="eastAsia" w:hAnsi="宋体"/>
                <w:color w:val="000000" w:themeColor="text1"/>
                <w:lang w:eastAsia="zh-CN"/>
              </w:rPr>
              <w:t>；</w:t>
            </w:r>
          </w:p>
          <w:p w14:paraId="612AA60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）项目经理简历表；（</w:t>
            </w:r>
            <w:r>
              <w:rPr>
                <w:rFonts w:hint="eastAsia" w:hAnsi="宋体" w:eastAsia="宋体" w:cs="宋体"/>
                <w:color w:val="000000" w:themeColor="text1"/>
                <w:highlight w:val="none"/>
                <w:lang w:eastAsia="zh-CN"/>
              </w:rPr>
              <w:t>附项目经理注册建造师证书和安全生产考核合格证书（B类）、身份证的复印件</w:t>
            </w:r>
            <w:r>
              <w:rPr>
                <w:rFonts w:hint="eastAsia" w:ascii="宋体" w:hAnsi="宋体" w:eastAsia="宋体" w:cs="宋体"/>
                <w:color w:val="000000" w:themeColor="text1"/>
                <w:highlight w:val="none"/>
              </w:rPr>
              <w:t>）；</w:t>
            </w:r>
          </w:p>
          <w:p w14:paraId="06123C95">
            <w:pPr>
              <w:pStyle w:val="24"/>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w:t>
            </w:r>
            <w:r>
              <w:rPr>
                <w:rFonts w:hint="eastAsia" w:hAnsi="宋体"/>
                <w:color w:val="000000" w:themeColor="text1"/>
              </w:rPr>
              <w:t>专职安全员简历表；（</w:t>
            </w:r>
            <w:r>
              <w:rPr>
                <w:rFonts w:hint="eastAsia" w:hAnsi="宋体"/>
                <w:color w:val="000000" w:themeColor="text1"/>
                <w:lang w:eastAsia="zh-CN"/>
              </w:rPr>
              <w:t>附专职安全员安全生产考核合格证书（C类）和身份证的复印件</w:t>
            </w:r>
            <w:r>
              <w:rPr>
                <w:rFonts w:hint="eastAsia" w:hAnsi="宋体"/>
                <w:color w:val="000000" w:themeColor="text1"/>
              </w:rPr>
              <w:t>）；</w:t>
            </w:r>
          </w:p>
          <w:p w14:paraId="2601CBC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themeColor="text1"/>
                <w:highlight w:val="none"/>
                <w:lang w:eastAsia="zh-CN"/>
              </w:rPr>
            </w:pPr>
            <w:r>
              <w:rPr>
                <w:rFonts w:hint="eastAsia" w:hAnsi="宋体" w:eastAsia="宋体" w:cs="宋体"/>
                <w:color w:val="000000" w:themeColor="text1"/>
                <w:highlight w:val="none"/>
                <w:lang w:eastAsia="zh-CN"/>
              </w:rPr>
              <w:t>（</w:t>
            </w:r>
            <w:r>
              <w:rPr>
                <w:rFonts w:hint="eastAsia" w:hAnsi="宋体" w:eastAsia="宋体" w:cs="宋体"/>
                <w:color w:val="000000" w:themeColor="text1"/>
                <w:highlight w:val="none"/>
                <w:lang w:val="en-US" w:eastAsia="zh-CN"/>
              </w:rPr>
              <w:t>6</w:t>
            </w:r>
            <w:r>
              <w:rPr>
                <w:rFonts w:hint="eastAsia" w:hAnsi="宋体" w:eastAsia="宋体" w:cs="宋体"/>
                <w:color w:val="000000" w:themeColor="text1"/>
                <w:highlight w:val="none"/>
                <w:lang w:eastAsia="zh-CN"/>
              </w:rPr>
              <w:t>）</w:t>
            </w:r>
            <w:r>
              <w:rPr>
                <w:rFonts w:hint="eastAsia" w:ascii="宋体" w:hAnsi="宋体" w:eastAsia="宋体" w:cs="宋体"/>
                <w:color w:val="000000" w:themeColor="text1"/>
                <w:highlight w:val="none"/>
                <w:lang w:eastAsia="zh-CN"/>
              </w:rPr>
              <w:t>竞标人</w:t>
            </w:r>
            <w:r>
              <w:rPr>
                <w:rFonts w:hint="eastAsia" w:ascii="宋体" w:hAnsi="宋体" w:cs="宋体"/>
                <w:color w:val="000000" w:themeColor="text1"/>
                <w:highlight w:val="none"/>
                <w:lang w:val="en-US" w:eastAsia="zh-CN"/>
              </w:rPr>
              <w:t>2026年2月-4月</w:t>
            </w:r>
            <w:r>
              <w:rPr>
                <w:rFonts w:hint="eastAsia" w:ascii="宋体" w:hAnsi="宋体" w:eastAsia="宋体" w:cs="宋体"/>
                <w:color w:val="000000" w:themeColor="text1"/>
                <w:highlight w:val="none"/>
              </w:rPr>
              <w:t>为拟投入本项目的主要管理人员依法缴纳社保费的缴费证明（复印件，格式自拟）；无缴费记录的，应提供由</w:t>
            </w:r>
            <w:r>
              <w:rPr>
                <w:rFonts w:hint="eastAsia" w:ascii="宋体" w:hAnsi="宋体" w:eastAsia="宋体" w:cs="宋体"/>
                <w:color w:val="000000" w:themeColor="text1"/>
                <w:highlight w:val="none"/>
                <w:lang w:eastAsia="zh-CN"/>
              </w:rPr>
              <w:t>竞标人</w:t>
            </w:r>
            <w:r>
              <w:rPr>
                <w:rFonts w:hint="eastAsia" w:ascii="宋体" w:hAnsi="宋体" w:eastAsia="宋体" w:cs="宋体"/>
                <w:color w:val="000000" w:themeColor="text1"/>
                <w:highlight w:val="none"/>
              </w:rPr>
              <w:t>所在地社保部门出具的《依法缴纳或依法免缴社保费证明》。（社保证明要求列明的缴纳社保人员名单应包含主要施工管理人员名单）</w:t>
            </w:r>
            <w:r>
              <w:rPr>
                <w:rFonts w:hint="eastAsia" w:ascii="宋体" w:hAnsi="宋体" w:eastAsia="宋体" w:cs="宋体"/>
                <w:color w:val="000000" w:themeColor="text1"/>
                <w:highlight w:val="none"/>
                <w:lang w:eastAsia="zh-CN"/>
              </w:rPr>
              <w:t>；</w:t>
            </w:r>
          </w:p>
          <w:p w14:paraId="4083C4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hAnsi="宋体" w:eastAsia="宋体" w:cs="宋体"/>
                <w:color w:val="000000" w:themeColor="text1"/>
                <w:highlight w:val="none"/>
                <w:lang w:eastAsia="zh-CN"/>
              </w:rPr>
            </w:pPr>
            <w:r>
              <w:rPr>
                <w:rFonts w:hint="eastAsia" w:ascii="宋体" w:hAnsi="宋体" w:eastAsia="宋体" w:cs="宋体"/>
                <w:color w:val="000000" w:themeColor="text1"/>
                <w:highlight w:val="none"/>
              </w:rPr>
              <w:t>（</w:t>
            </w:r>
            <w:r>
              <w:rPr>
                <w:rFonts w:hint="eastAsia" w:hAnsi="宋体" w:eastAsia="宋体" w:cs="宋体"/>
                <w:color w:val="000000" w:themeColor="text1"/>
                <w:highlight w:val="none"/>
                <w:lang w:val="en-US" w:eastAsia="zh-CN"/>
              </w:rPr>
              <w:t>7</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lang w:eastAsia="zh-CN"/>
              </w:rPr>
              <w:t>竞标人</w:t>
            </w:r>
            <w:r>
              <w:rPr>
                <w:rFonts w:hint="eastAsia" w:ascii="宋体" w:hAnsi="宋体" w:cs="宋体"/>
                <w:color w:val="000000" w:themeColor="text1"/>
                <w:highlight w:val="none"/>
                <w:lang w:val="en-US" w:eastAsia="zh-CN"/>
              </w:rPr>
              <w:t>2026年1月-3月</w:t>
            </w:r>
            <w:r>
              <w:rPr>
                <w:rFonts w:hint="eastAsia" w:ascii="宋体" w:hAnsi="宋体" w:eastAsia="宋体" w:cs="宋体"/>
                <w:color w:val="000000" w:themeColor="text1"/>
                <w:highlight w:val="none"/>
              </w:rPr>
              <w:t>依法缴纳税费或依法免缴税费的证明（复印件，格式自拟）；无纳税记录的，应提供由</w:t>
            </w:r>
            <w:r>
              <w:rPr>
                <w:rFonts w:hint="eastAsia" w:ascii="宋体" w:hAnsi="宋体" w:eastAsia="宋体" w:cs="宋体"/>
                <w:color w:val="000000" w:themeColor="text1"/>
                <w:highlight w:val="none"/>
                <w:lang w:eastAsia="zh-CN"/>
              </w:rPr>
              <w:t>竞标人</w:t>
            </w:r>
            <w:r>
              <w:rPr>
                <w:rFonts w:hint="eastAsia" w:ascii="宋体" w:hAnsi="宋体" w:eastAsia="宋体" w:cs="宋体"/>
                <w:color w:val="000000" w:themeColor="text1"/>
                <w:highlight w:val="none"/>
              </w:rPr>
              <w:t>所在地主管国税、地税部门出具的《依法纳税或依法免税证明》）</w:t>
            </w:r>
            <w:r>
              <w:rPr>
                <w:rFonts w:hint="eastAsia" w:hAnsi="宋体" w:eastAsia="宋体" w:cs="宋体"/>
                <w:color w:val="000000" w:themeColor="text1"/>
                <w:highlight w:val="none"/>
                <w:lang w:eastAsia="zh-CN"/>
              </w:rPr>
              <w:t>；</w:t>
            </w:r>
          </w:p>
          <w:p w14:paraId="18614618">
            <w:pPr>
              <w:pStyle w:val="29"/>
              <w:keepNext w:val="0"/>
              <w:keepLines w:val="0"/>
              <w:pageBreakBefore w:val="0"/>
              <w:widowControl w:val="0"/>
              <w:kinsoku/>
              <w:wordWrap/>
              <w:overflowPunct/>
              <w:topLinePunct w:val="0"/>
              <w:autoSpaceDE/>
              <w:autoSpaceDN/>
              <w:bidi w:val="0"/>
              <w:adjustRightInd/>
              <w:spacing w:line="380" w:lineRule="exact"/>
              <w:textAlignment w:val="auto"/>
              <w:rPr>
                <w:rFonts w:hint="eastAsia" w:hAnsi="宋体" w:eastAsia="宋体" w:cs="宋体"/>
                <w:b w:val="0"/>
                <w:bCs w:val="0"/>
                <w:color w:val="000000" w:themeColor="text1"/>
                <w:sz w:val="21"/>
                <w:szCs w:val="21"/>
                <w:highlight w:val="none"/>
                <w:lang w:eastAsia="zh-CN"/>
              </w:rPr>
            </w:pPr>
            <w:r>
              <w:rPr>
                <w:rFonts w:hint="eastAsia" w:ascii="宋体" w:hAnsi="宋体" w:eastAsia="宋体" w:cs="宋体"/>
                <w:color w:val="000000" w:themeColor="text1"/>
                <w:highlight w:val="none"/>
              </w:rPr>
              <w:t>（</w:t>
            </w:r>
            <w:r>
              <w:rPr>
                <w:rFonts w:hint="eastAsia" w:hAnsi="宋体" w:eastAsia="宋体" w:cs="宋体"/>
                <w:color w:val="000000" w:themeColor="text1"/>
                <w:highlight w:val="none"/>
                <w:lang w:val="en-US" w:eastAsia="zh-CN"/>
              </w:rPr>
              <w:t>8</w:t>
            </w:r>
            <w:r>
              <w:rPr>
                <w:rFonts w:hint="eastAsia" w:ascii="宋体" w:hAnsi="宋体" w:eastAsia="宋体" w:cs="宋体"/>
                <w:color w:val="000000" w:themeColor="text1"/>
                <w:highlight w:val="none"/>
                <w:lang w:val="en-US" w:eastAsia="zh-CN"/>
              </w:rPr>
              <w:t>）</w:t>
            </w:r>
            <w:r>
              <w:rPr>
                <w:rFonts w:hint="eastAsia" w:hAnsi="宋体" w:eastAsia="宋体" w:cs="宋体"/>
                <w:b w:val="0"/>
                <w:bCs w:val="0"/>
                <w:color w:val="000000" w:themeColor="text1"/>
                <w:sz w:val="21"/>
                <w:szCs w:val="21"/>
                <w:highlight w:val="none"/>
                <w:lang w:eastAsia="zh-CN"/>
              </w:rPr>
              <w:t>中小企业声明函（如竞标人为中小微型企业的必须提供，格式见附件，竞标人对出具的声明函真实性负责，成交结果将同时公告企业《中小企业声明函》，接受社会监督）；</w:t>
            </w:r>
          </w:p>
          <w:p w14:paraId="2EE2024E">
            <w:pPr>
              <w:pStyle w:val="29"/>
              <w:keepNext w:val="0"/>
              <w:keepLines w:val="0"/>
              <w:pageBreakBefore w:val="0"/>
              <w:widowControl w:val="0"/>
              <w:kinsoku/>
              <w:wordWrap/>
              <w:overflowPunct/>
              <w:topLinePunct w:val="0"/>
              <w:autoSpaceDE/>
              <w:autoSpaceDN/>
              <w:bidi w:val="0"/>
              <w:adjustRightInd/>
              <w:spacing w:line="380" w:lineRule="exact"/>
              <w:textAlignment w:val="auto"/>
              <w:rPr>
                <w:rFonts w:hint="eastAsia" w:hAnsi="宋体" w:eastAsia="宋体" w:cs="宋体"/>
                <w:b w:val="0"/>
                <w:bCs w:val="0"/>
                <w:color w:val="000000" w:themeColor="text1"/>
                <w:sz w:val="21"/>
                <w:szCs w:val="21"/>
                <w:highlight w:val="none"/>
                <w:lang w:eastAsia="zh-CN"/>
              </w:rPr>
            </w:pPr>
            <w:r>
              <w:rPr>
                <w:rFonts w:hint="eastAsia" w:hAnsi="宋体" w:eastAsia="宋体" w:cs="宋体"/>
                <w:b w:val="0"/>
                <w:bCs w:val="0"/>
                <w:color w:val="000000" w:themeColor="text1"/>
                <w:sz w:val="21"/>
                <w:szCs w:val="21"/>
                <w:highlight w:val="none"/>
                <w:lang w:eastAsia="zh-CN"/>
              </w:rPr>
              <w:t>（</w:t>
            </w:r>
            <w:r>
              <w:rPr>
                <w:rFonts w:hint="eastAsia" w:hAnsi="宋体" w:eastAsia="宋体" w:cs="宋体"/>
                <w:b w:val="0"/>
                <w:bCs w:val="0"/>
                <w:color w:val="000000" w:themeColor="text1"/>
                <w:sz w:val="21"/>
                <w:szCs w:val="21"/>
                <w:highlight w:val="none"/>
                <w:lang w:val="en-US" w:eastAsia="zh-CN"/>
              </w:rPr>
              <w:t>9</w:t>
            </w:r>
            <w:r>
              <w:rPr>
                <w:rFonts w:hint="eastAsia" w:hAnsi="宋体" w:eastAsia="宋体" w:cs="宋体"/>
                <w:b w:val="0"/>
                <w:bCs w:val="0"/>
                <w:color w:val="000000" w:themeColor="text1"/>
                <w:sz w:val="21"/>
                <w:szCs w:val="21"/>
                <w:highlight w:val="none"/>
                <w:lang w:eastAsia="zh-CN"/>
              </w:rPr>
              <w:t>）监狱企业的证明文件[竞标人如为监狱企业的必须提供，应当提供由省级以上监狱管理局、戒毒管理局（含新疆生产建设兵团）出具的属于监狱企业的证明文件, 否则不予享受优惠政策] ；</w:t>
            </w:r>
          </w:p>
          <w:p w14:paraId="5CE321C5">
            <w:pPr>
              <w:pStyle w:val="29"/>
              <w:keepNext w:val="0"/>
              <w:keepLines w:val="0"/>
              <w:pageBreakBefore w:val="0"/>
              <w:widowControl w:val="0"/>
              <w:kinsoku/>
              <w:wordWrap/>
              <w:overflowPunct/>
              <w:topLinePunct w:val="0"/>
              <w:autoSpaceDE/>
              <w:autoSpaceDN/>
              <w:bidi w:val="0"/>
              <w:adjustRightInd/>
              <w:spacing w:line="380" w:lineRule="exact"/>
              <w:textAlignment w:val="auto"/>
              <w:rPr>
                <w:rFonts w:hint="eastAsia"/>
                <w:color w:val="000000" w:themeColor="text1"/>
                <w:lang w:eastAsia="zh-CN"/>
              </w:rPr>
            </w:pPr>
            <w:r>
              <w:rPr>
                <w:rFonts w:hint="eastAsia" w:hAnsi="宋体" w:eastAsia="宋体" w:cs="宋体"/>
                <w:b w:val="0"/>
                <w:bCs w:val="0"/>
                <w:color w:val="000000" w:themeColor="text1"/>
                <w:sz w:val="21"/>
                <w:szCs w:val="21"/>
                <w:highlight w:val="none"/>
                <w:lang w:eastAsia="zh-CN"/>
              </w:rPr>
              <w:t>（</w:t>
            </w:r>
            <w:r>
              <w:rPr>
                <w:rFonts w:hint="eastAsia" w:hAnsi="宋体" w:eastAsia="宋体" w:cs="宋体"/>
                <w:b w:val="0"/>
                <w:bCs w:val="0"/>
                <w:color w:val="000000" w:themeColor="text1"/>
                <w:sz w:val="21"/>
                <w:szCs w:val="21"/>
                <w:highlight w:val="none"/>
                <w:lang w:val="en-US" w:eastAsia="zh-CN"/>
              </w:rPr>
              <w:t>10</w:t>
            </w:r>
            <w:r>
              <w:rPr>
                <w:rFonts w:hint="eastAsia" w:hAnsi="宋体" w:eastAsia="宋体" w:cs="宋体"/>
                <w:b w:val="0"/>
                <w:bCs w:val="0"/>
                <w:color w:val="000000" w:themeColor="text1"/>
                <w:sz w:val="21"/>
                <w:szCs w:val="21"/>
                <w:highlight w:val="none"/>
                <w:lang w:eastAsia="zh-CN"/>
              </w:rPr>
              <w:t>）《残疾人福利性单位声明函》【符合条件的残疾人福利性单位在参加政府采购活动时，必须提供《残疾人福利性单位声明函》（格式见附件），并对声明的真实性负责，成交结果将同时公告企业《残疾人福利性单位声明函》，接受社会监督】；</w:t>
            </w:r>
          </w:p>
          <w:p w14:paraId="36D2D280">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宋体"/>
                <w:color w:val="000000" w:themeColor="text1"/>
                <w:highlight w:val="none"/>
              </w:rPr>
            </w:pPr>
            <w:r>
              <w:rPr>
                <w:rFonts w:hint="eastAsia" w:ascii="宋体" w:hAnsi="宋体" w:eastAsia="宋体" w:cs="宋体"/>
                <w:color w:val="000000" w:themeColor="text1"/>
                <w:highlight w:val="none"/>
              </w:rPr>
              <w:t>（</w:t>
            </w:r>
            <w:r>
              <w:rPr>
                <w:rFonts w:hint="eastAsia" w:hAnsi="宋体" w:eastAsia="宋体" w:cs="宋体"/>
                <w:color w:val="000000" w:themeColor="text1"/>
                <w:highlight w:val="none"/>
                <w:lang w:val="en-US" w:eastAsia="zh-CN"/>
              </w:rPr>
              <w:t>11</w:t>
            </w:r>
            <w:r>
              <w:rPr>
                <w:rFonts w:hint="eastAsia" w:ascii="宋体" w:hAnsi="宋体" w:eastAsia="宋体" w:cs="宋体"/>
                <w:color w:val="000000" w:themeColor="text1"/>
                <w:highlight w:val="none"/>
              </w:rPr>
              <w:t>）</w:t>
            </w:r>
            <w:r>
              <w:rPr>
                <w:rFonts w:hint="eastAsia" w:ascii="宋体" w:hAnsi="宋体" w:cs="宋体"/>
                <w:color w:val="000000" w:themeColor="text1"/>
                <w:highlight w:val="none"/>
              </w:rPr>
              <w:t>资格审查需要的其他材料：项目管理机构配备情况表、拟投入施工机械设备情况表、企业近年已完成类似项目一览表、企业近年信誉实力一览表、</w:t>
            </w:r>
            <w:r>
              <w:rPr>
                <w:rFonts w:hint="eastAsia" w:hAnsi="宋体" w:cs="宋体"/>
                <w:color w:val="000000" w:themeColor="text1"/>
                <w:highlight w:val="none"/>
                <w:lang w:eastAsia="zh-CN"/>
              </w:rPr>
              <w:t>竞标人202</w:t>
            </w:r>
            <w:r>
              <w:rPr>
                <w:rFonts w:hint="eastAsia" w:hAnsi="宋体" w:cs="宋体"/>
                <w:color w:val="000000" w:themeColor="text1"/>
                <w:highlight w:val="none"/>
                <w:lang w:val="en-US" w:eastAsia="zh-CN"/>
              </w:rPr>
              <w:t>5</w:t>
            </w:r>
            <w:r>
              <w:rPr>
                <w:rFonts w:hint="eastAsia" w:hAnsi="宋体" w:cs="宋体"/>
                <w:color w:val="000000" w:themeColor="text1"/>
                <w:highlight w:val="none"/>
                <w:lang w:eastAsia="zh-CN"/>
              </w:rPr>
              <w:t>年的财务报表，包括资产负债表、现金流量表、利润表复印件或竞标人基本开户银行出具的应能反映竞标人在资金结算、信贷业务、执行结算、银行纪律等方面无不良记录的资信证明复印件，原件备查；（注：对于从取得营业执照时间起到磋商截止时间为止不足要求年数的企业，只需提交企业取得营业执照年份至磋商截止之日前一个月的财务报表）</w:t>
            </w:r>
            <w:r>
              <w:rPr>
                <w:rFonts w:hint="eastAsia" w:ascii="宋体" w:hAnsi="宋体" w:cs="宋体"/>
                <w:color w:val="000000" w:themeColor="text1"/>
                <w:highlight w:val="none"/>
              </w:rPr>
              <w:t>、</w:t>
            </w:r>
            <w:r>
              <w:rPr>
                <w:rFonts w:hint="eastAsia" w:hAnsi="宋体" w:cs="宋体"/>
                <w:color w:val="000000" w:themeColor="text1"/>
                <w:highlight w:val="none"/>
                <w:lang w:eastAsia="zh-CN"/>
              </w:rPr>
              <w:t>竞标人</w:t>
            </w:r>
            <w:r>
              <w:rPr>
                <w:rFonts w:hint="eastAsia" w:ascii="宋体" w:hAnsi="宋体" w:cs="宋体"/>
                <w:color w:val="000000" w:themeColor="text1"/>
                <w:highlight w:val="none"/>
                <w:lang w:eastAsia="zh-CN"/>
              </w:rPr>
              <w:t>在“信用中国”网站、中国政府采购网等渠道列入失信被执行人、重大税收违法案件当事人名单、政府采购严重违法失信行为记录名单查询记录</w:t>
            </w:r>
            <w:r>
              <w:rPr>
                <w:rFonts w:hint="eastAsia" w:ascii="宋体" w:hAnsi="宋体" w:cs="宋体"/>
                <w:color w:val="000000" w:themeColor="text1"/>
                <w:highlight w:val="none"/>
              </w:rPr>
              <w:t>等；</w:t>
            </w:r>
          </w:p>
          <w:p w14:paraId="3BFFBA99">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highlight w:val="none"/>
                <w:lang w:eastAsia="zh-CN"/>
              </w:rPr>
              <w:t>（</w:t>
            </w:r>
            <w:r>
              <w:rPr>
                <w:rFonts w:hint="eastAsia" w:hAnsi="宋体" w:eastAsia="宋体" w:cs="宋体"/>
                <w:color w:val="000000" w:themeColor="text1"/>
                <w:highlight w:val="none"/>
                <w:lang w:val="en-US" w:eastAsia="zh-CN"/>
              </w:rPr>
              <w:t>12</w:t>
            </w:r>
            <w:r>
              <w:rPr>
                <w:rFonts w:hint="eastAsia" w:ascii="宋体" w:hAnsi="宋体" w:eastAsia="宋体" w:cs="宋体"/>
                <w:color w:val="000000" w:themeColor="text1"/>
                <w:highlight w:val="none"/>
                <w:lang w:eastAsia="zh-CN"/>
              </w:rPr>
              <w:t>）竞标人认为必要提供的其他资格文件。</w:t>
            </w:r>
          </w:p>
          <w:p w14:paraId="41895FBD">
            <w:pPr>
              <w:spacing w:line="340" w:lineRule="exact"/>
              <w:rPr>
                <w:rFonts w:hint="eastAsia" w:ascii="宋体" w:hAnsi="宋体" w:eastAsia="宋体" w:cs="宋体"/>
                <w:color w:val="000000" w:themeColor="text1"/>
              </w:rPr>
            </w:pPr>
            <w:r>
              <w:rPr>
                <w:rFonts w:hint="eastAsia" w:ascii="宋体" w:hAnsi="宋体" w:eastAsia="宋体" w:cs="宋体"/>
                <w:b/>
                <w:bCs/>
                <w:color w:val="000000" w:themeColor="text1"/>
              </w:rPr>
              <w:t>商务标部分</w:t>
            </w:r>
            <w:r>
              <w:rPr>
                <w:rFonts w:hint="eastAsia" w:ascii="宋体" w:hAnsi="宋体" w:eastAsia="宋体" w:cs="宋体"/>
                <w:color w:val="000000" w:themeColor="text1"/>
              </w:rPr>
              <w:t>：</w:t>
            </w:r>
          </w:p>
          <w:p w14:paraId="2AA5A34F">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（1）竞标函；</w:t>
            </w:r>
          </w:p>
          <w:p w14:paraId="5CC52087">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（2）竞标函附录；</w:t>
            </w:r>
          </w:p>
          <w:p w14:paraId="634D832B">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rPr>
              <w:t>（3）竞标报价表；</w:t>
            </w:r>
          </w:p>
          <w:p w14:paraId="729B6CE6">
            <w:pPr>
              <w:spacing w:line="340" w:lineRule="exact"/>
              <w:rPr>
                <w:rFonts w:hint="eastAsia" w:ascii="宋体" w:hAnsi="宋体" w:eastAsia="宋体" w:cs="宋体"/>
                <w:color w:val="000000" w:themeColor="text1"/>
                <w:lang w:eastAsia="zh-CN"/>
              </w:rPr>
            </w:pPr>
            <w:r>
              <w:rPr>
                <w:rFonts w:hint="eastAsia" w:ascii="宋体" w:hAnsi="宋体" w:eastAsia="宋体" w:cs="宋体"/>
                <w:color w:val="000000" w:themeColor="text1"/>
              </w:rPr>
              <w:t>（4）已标价工程量清单</w:t>
            </w:r>
            <w:r>
              <w:rPr>
                <w:rFonts w:hint="eastAsia" w:ascii="宋体" w:hAnsi="宋体" w:cs="宋体"/>
                <w:color w:val="000000" w:themeColor="text1"/>
                <w:lang w:eastAsia="zh-CN"/>
              </w:rPr>
              <w:t>。</w:t>
            </w:r>
          </w:p>
        </w:tc>
      </w:tr>
      <w:tr w14:paraId="4C00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2" w:type="dxa"/>
            <w:vMerge w:val="restart"/>
            <w:vAlign w:val="center"/>
          </w:tcPr>
          <w:p w14:paraId="6A68D749">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3.1.4</w:t>
            </w:r>
          </w:p>
        </w:tc>
        <w:tc>
          <w:tcPr>
            <w:tcW w:w="3950" w:type="dxa"/>
            <w:vAlign w:val="center"/>
          </w:tcPr>
          <w:p w14:paraId="62937A9D">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近年财务状况的年份要求</w:t>
            </w:r>
          </w:p>
        </w:tc>
        <w:tc>
          <w:tcPr>
            <w:tcW w:w="4628" w:type="dxa"/>
            <w:vAlign w:val="center"/>
          </w:tcPr>
          <w:p w14:paraId="3AD6D6BB">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u w:val="single"/>
              </w:rPr>
              <w:t xml:space="preserve">一 </w:t>
            </w:r>
            <w:r>
              <w:rPr>
                <w:rFonts w:hint="eastAsia" w:ascii="宋体" w:hAnsi="宋体" w:eastAsia="宋体" w:cs="宋体"/>
                <w:color w:val="000000" w:themeColor="text1"/>
              </w:rPr>
              <w:t>年（一般为</w:t>
            </w:r>
            <w:r>
              <w:rPr>
                <w:rFonts w:hint="eastAsia" w:ascii="宋体" w:hAnsi="宋体" w:eastAsia="宋体" w:cs="宋体"/>
                <w:color w:val="000000" w:themeColor="text1"/>
                <w:u w:val="single"/>
              </w:rPr>
              <w:t>一</w:t>
            </w:r>
            <w:r>
              <w:rPr>
                <w:rFonts w:hint="eastAsia" w:ascii="宋体" w:hAnsi="宋体" w:eastAsia="宋体" w:cs="宋体"/>
                <w:color w:val="000000" w:themeColor="text1"/>
              </w:rPr>
              <w:t>年），指</w:t>
            </w:r>
            <w:r>
              <w:rPr>
                <w:rFonts w:hint="eastAsia" w:ascii="宋体" w:hAnsi="宋体" w:eastAsia="宋体" w:cs="宋体"/>
                <w:color w:val="000000" w:themeColor="text1"/>
                <w:u w:val="single"/>
              </w:rPr>
              <w:t xml:space="preserve"> 202</w:t>
            </w:r>
            <w:r>
              <w:rPr>
                <w:rFonts w:hint="eastAsia" w:ascii="宋体" w:hAnsi="宋体" w:cs="宋体"/>
                <w:color w:val="000000" w:themeColor="text1"/>
                <w:u w:val="single"/>
                <w:lang w:val="en-US" w:eastAsia="zh-CN"/>
              </w:rPr>
              <w:t>5</w:t>
            </w:r>
            <w:r>
              <w:rPr>
                <w:rFonts w:hint="eastAsia" w:ascii="宋体" w:hAnsi="宋体" w:eastAsia="宋体" w:cs="宋体"/>
                <w:color w:val="000000" w:themeColor="text1"/>
              </w:rPr>
              <w:t>年度（对于从取得营业执照时间起到竞标截止时间为止不足要求年数的企业，只需提交企业取得营业执照年份至所要求最近年份的财务报表）。</w:t>
            </w:r>
          </w:p>
        </w:tc>
      </w:tr>
      <w:tr w14:paraId="4D35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2" w:type="dxa"/>
            <w:vMerge w:val="continue"/>
          </w:tcPr>
          <w:p w14:paraId="716246F7">
            <w:pPr>
              <w:spacing w:line="360" w:lineRule="exact"/>
              <w:jc w:val="center"/>
              <w:rPr>
                <w:rFonts w:hint="eastAsia" w:ascii="宋体" w:hAnsi="宋体" w:eastAsia="宋体" w:cs="宋体"/>
                <w:color w:val="000000" w:themeColor="text1"/>
              </w:rPr>
            </w:pPr>
          </w:p>
        </w:tc>
        <w:tc>
          <w:tcPr>
            <w:tcW w:w="3950" w:type="dxa"/>
            <w:vAlign w:val="center"/>
          </w:tcPr>
          <w:p w14:paraId="3AEF0703">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近年完成的类似项目的年份要求</w:t>
            </w:r>
          </w:p>
        </w:tc>
        <w:tc>
          <w:tcPr>
            <w:tcW w:w="4628" w:type="dxa"/>
            <w:vAlign w:val="center"/>
          </w:tcPr>
          <w:p w14:paraId="2701D1E5">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u w:val="single"/>
              </w:rPr>
              <w:t xml:space="preserve">  三   </w:t>
            </w:r>
            <w:r>
              <w:rPr>
                <w:rFonts w:hint="eastAsia" w:ascii="宋体" w:hAnsi="宋体" w:eastAsia="宋体" w:cs="宋体"/>
                <w:color w:val="000000" w:themeColor="text1"/>
              </w:rPr>
              <w:t>年（一般为三年），指项目竣工时间至竞标截止时间止不超过</w:t>
            </w:r>
            <w:r>
              <w:rPr>
                <w:rFonts w:hint="eastAsia" w:ascii="宋体" w:hAnsi="宋体" w:eastAsia="宋体" w:cs="宋体"/>
                <w:color w:val="000000" w:themeColor="text1"/>
                <w:u w:val="single"/>
              </w:rPr>
              <w:t xml:space="preserve">  三 </w:t>
            </w:r>
            <w:r>
              <w:rPr>
                <w:rFonts w:hint="eastAsia" w:ascii="宋体" w:hAnsi="宋体" w:eastAsia="宋体" w:cs="宋体"/>
                <w:color w:val="000000" w:themeColor="text1"/>
              </w:rPr>
              <w:t>年</w:t>
            </w:r>
          </w:p>
        </w:tc>
      </w:tr>
      <w:tr w14:paraId="5F15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vAlign w:val="center"/>
          </w:tcPr>
          <w:p w14:paraId="159D6B8B">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3.3.1</w:t>
            </w:r>
          </w:p>
        </w:tc>
        <w:tc>
          <w:tcPr>
            <w:tcW w:w="3950" w:type="dxa"/>
            <w:vAlign w:val="center"/>
          </w:tcPr>
          <w:p w14:paraId="5D0B12A5">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竞标有效期</w:t>
            </w:r>
          </w:p>
        </w:tc>
        <w:tc>
          <w:tcPr>
            <w:tcW w:w="4628" w:type="dxa"/>
            <w:vAlign w:val="center"/>
          </w:tcPr>
          <w:p w14:paraId="1A4673AE">
            <w:pPr>
              <w:spacing w:line="360" w:lineRule="exact"/>
              <w:rPr>
                <w:rFonts w:hint="eastAsia" w:ascii="宋体" w:hAnsi="宋体" w:eastAsia="宋体" w:cs="宋体"/>
                <w:color w:val="000000" w:themeColor="text1"/>
              </w:rPr>
            </w:pPr>
            <w:r>
              <w:rPr>
                <w:rFonts w:hint="eastAsia" w:ascii="宋体" w:hAnsi="宋体" w:eastAsia="宋体" w:cs="宋体"/>
                <w:b/>
                <w:bCs/>
                <w:color w:val="000000" w:themeColor="text1"/>
              </w:rPr>
              <w:fldChar w:fldCharType="begin"/>
            </w:r>
            <w:r>
              <w:rPr>
                <w:rFonts w:hint="eastAsia" w:ascii="宋体" w:hAnsi="宋体" w:eastAsia="宋体" w:cs="宋体"/>
                <w:b/>
                <w:bCs/>
                <w:color w:val="000000" w:themeColor="text1"/>
              </w:rPr>
              <w:instrText xml:space="preserve"> EQ \o\ac(□,</w:instrText>
            </w:r>
            <w:r>
              <w:rPr>
                <w:rFonts w:hint="eastAsia" w:ascii="宋体" w:hAnsi="宋体" w:eastAsia="宋体" w:cs="宋体"/>
                <w:b/>
                <w:bCs/>
                <w:color w:val="000000" w:themeColor="text1"/>
                <w:position w:val="2"/>
                <w:sz w:val="14"/>
              </w:rPr>
              <w:instrText xml:space="preserve">√</w:instrText>
            </w:r>
            <w:r>
              <w:rPr>
                <w:rFonts w:hint="eastAsia" w:ascii="宋体" w:hAnsi="宋体" w:eastAsia="宋体" w:cs="宋体"/>
                <w:b/>
                <w:bCs/>
                <w:color w:val="000000" w:themeColor="text1"/>
              </w:rPr>
              <w:instrText xml:space="preserve">)</w:instrText>
            </w:r>
            <w:r>
              <w:rPr>
                <w:rFonts w:hint="eastAsia" w:ascii="宋体" w:hAnsi="宋体" w:eastAsia="宋体" w:cs="宋体"/>
                <w:b/>
                <w:bCs/>
                <w:color w:val="000000" w:themeColor="text1"/>
              </w:rPr>
              <w:fldChar w:fldCharType="end"/>
            </w:r>
            <w:r>
              <w:rPr>
                <w:rFonts w:hint="eastAsia" w:ascii="宋体" w:hAnsi="宋体" w:eastAsia="宋体" w:cs="宋体"/>
                <w:color w:val="000000" w:themeColor="text1"/>
              </w:rPr>
              <w:t xml:space="preserve">60天  </w:t>
            </w:r>
          </w:p>
        </w:tc>
      </w:tr>
      <w:tr w14:paraId="1E68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2" w:type="dxa"/>
            <w:vAlign w:val="center"/>
          </w:tcPr>
          <w:p w14:paraId="6F469C46">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3.4.1</w:t>
            </w:r>
          </w:p>
        </w:tc>
        <w:tc>
          <w:tcPr>
            <w:tcW w:w="3950" w:type="dxa"/>
            <w:vAlign w:val="center"/>
          </w:tcPr>
          <w:p w14:paraId="774C211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竞标保证金</w:t>
            </w:r>
          </w:p>
        </w:tc>
        <w:tc>
          <w:tcPr>
            <w:tcW w:w="4628" w:type="dxa"/>
            <w:vAlign w:val="center"/>
          </w:tcPr>
          <w:p w14:paraId="7BF161E1">
            <w:pPr>
              <w:spacing w:line="340" w:lineRule="exac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不需要缴纳</w:t>
            </w:r>
          </w:p>
        </w:tc>
      </w:tr>
      <w:tr w14:paraId="3D84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2" w:type="dxa"/>
            <w:vAlign w:val="center"/>
          </w:tcPr>
          <w:p w14:paraId="532F8B48">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3.5</w:t>
            </w:r>
          </w:p>
        </w:tc>
        <w:tc>
          <w:tcPr>
            <w:tcW w:w="3950" w:type="dxa"/>
            <w:vAlign w:val="center"/>
          </w:tcPr>
          <w:p w14:paraId="72D45D75">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是否允许递交备选竞标方案</w:t>
            </w:r>
          </w:p>
        </w:tc>
        <w:tc>
          <w:tcPr>
            <w:tcW w:w="4628" w:type="dxa"/>
            <w:vAlign w:val="center"/>
          </w:tcPr>
          <w:p w14:paraId="1A6BBECD">
            <w:pPr>
              <w:spacing w:line="360" w:lineRule="exact"/>
              <w:rPr>
                <w:rFonts w:hint="eastAsia" w:ascii="宋体" w:hAnsi="宋体" w:eastAsia="宋体" w:cs="宋体"/>
                <w:color w:val="000000" w:themeColor="text1"/>
                <w:u w:val="single"/>
              </w:rPr>
            </w:pPr>
            <w:r>
              <w:rPr>
                <w:rFonts w:hint="eastAsia" w:ascii="宋体" w:hAnsi="宋体" w:eastAsia="宋体" w:cs="宋体"/>
                <w:color w:val="000000" w:themeColor="text1"/>
              </w:rPr>
              <w:t>不允许</w:t>
            </w:r>
          </w:p>
        </w:tc>
      </w:tr>
      <w:tr w14:paraId="1728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 w:type="dxa"/>
            <w:vAlign w:val="center"/>
          </w:tcPr>
          <w:p w14:paraId="719F6B72">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3.6.3</w:t>
            </w:r>
          </w:p>
        </w:tc>
        <w:tc>
          <w:tcPr>
            <w:tcW w:w="3950" w:type="dxa"/>
            <w:vAlign w:val="center"/>
          </w:tcPr>
          <w:p w14:paraId="47590CFD">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签字和（或）盖章要求</w:t>
            </w:r>
          </w:p>
        </w:tc>
        <w:tc>
          <w:tcPr>
            <w:tcW w:w="4628" w:type="dxa"/>
            <w:vAlign w:val="center"/>
          </w:tcPr>
          <w:p w14:paraId="35EFCE26">
            <w:pPr>
              <w:spacing w:line="340" w:lineRule="exact"/>
              <w:rPr>
                <w:rFonts w:hint="eastAsia" w:ascii="宋体" w:hAnsi="宋体" w:eastAsia="宋体" w:cs="宋体"/>
                <w:color w:val="000000" w:themeColor="text1"/>
              </w:rPr>
            </w:pPr>
            <w:r>
              <w:rPr>
                <w:rFonts w:hint="eastAsia" w:ascii="宋体" w:hAnsi="宋体" w:eastAsia="宋体" w:cs="宋体"/>
                <w:color w:val="000000" w:themeColor="text1"/>
                <w:sz w:val="21"/>
              </w:rPr>
              <w:t>电子</w:t>
            </w:r>
            <w:r>
              <w:rPr>
                <w:rFonts w:hint="eastAsia" w:ascii="宋体" w:hAnsi="宋体" w:eastAsia="宋体" w:cs="宋体"/>
                <w:color w:val="000000" w:themeColor="text1"/>
                <w:sz w:val="21"/>
                <w:lang w:eastAsia="zh-CN"/>
              </w:rPr>
              <w:t>竞标</w:t>
            </w:r>
            <w:r>
              <w:rPr>
                <w:rFonts w:hint="eastAsia" w:ascii="宋体" w:hAnsi="宋体" w:eastAsia="宋体" w:cs="宋体"/>
                <w:color w:val="000000" w:themeColor="text1"/>
                <w:sz w:val="21"/>
              </w:rPr>
              <w:t>文件中须加盖供应商公章部分均采用CA签章</w:t>
            </w:r>
            <w:r>
              <w:rPr>
                <w:rFonts w:hint="eastAsia" w:ascii="宋体" w:hAnsi="宋体" w:eastAsia="宋体" w:cs="宋体"/>
                <w:color w:val="000000" w:themeColor="text1"/>
                <w:sz w:val="21"/>
                <w:lang w:eastAsia="zh-CN"/>
              </w:rPr>
              <w:t>，CA签章上关于法人（负责人）或授权代表签字信息，竞标人在竞标文件中涉及到签字的位置线下签好字然后扫描或者拍照做成PDF的格式，或</w:t>
            </w:r>
            <w:r>
              <w:rPr>
                <w:rFonts w:hint="eastAsia" w:ascii="宋体" w:hAnsi="宋体" w:cs="宋体"/>
                <w:color w:val="000000" w:themeColor="text1"/>
                <w:sz w:val="21"/>
                <w:lang w:val="en-US" w:eastAsia="zh-CN"/>
              </w:rPr>
              <w:t>通</w:t>
            </w:r>
            <w:r>
              <w:rPr>
                <w:rFonts w:hint="eastAsia" w:ascii="宋体" w:hAnsi="宋体" w:eastAsia="宋体" w:cs="宋体"/>
                <w:color w:val="000000" w:themeColor="text1"/>
                <w:sz w:val="21"/>
                <w:lang w:eastAsia="zh-CN"/>
              </w:rPr>
              <w:t>过</w:t>
            </w:r>
            <w:r>
              <w:rPr>
                <w:rFonts w:hint="eastAsia" w:hAnsi="宋体" w:eastAsia="宋体" w:cs="宋体"/>
                <w:color w:val="000000" w:themeColor="text1"/>
                <w:sz w:val="21"/>
                <w:lang w:eastAsia="zh-CN"/>
              </w:rPr>
              <w:t>广西政府采购云平台</w:t>
            </w:r>
            <w:r>
              <w:rPr>
                <w:rFonts w:hint="eastAsia" w:ascii="宋体" w:hAnsi="宋体" w:eastAsia="宋体" w:cs="宋体"/>
                <w:color w:val="000000" w:themeColor="text1"/>
                <w:sz w:val="21"/>
                <w:lang w:eastAsia="zh-CN"/>
              </w:rPr>
              <w:t>电子交易客户端使用CA法人（负责人）或授权代表签章均可。</w:t>
            </w:r>
          </w:p>
        </w:tc>
      </w:tr>
      <w:tr w14:paraId="655F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7C1D8671">
            <w:pPr>
              <w:spacing w:line="360" w:lineRule="exact"/>
              <w:jc w:val="center"/>
              <w:rPr>
                <w:rFonts w:hint="eastAsia" w:ascii="宋体" w:hAnsi="宋体" w:eastAsia="宋体" w:cs="宋体"/>
                <w:color w:val="000000" w:themeColor="text1"/>
                <w:lang w:eastAsia="zh-CN"/>
              </w:rPr>
            </w:pPr>
            <w:r>
              <w:rPr>
                <w:rFonts w:hint="eastAsia" w:ascii="宋体" w:hAnsi="宋体" w:eastAsia="宋体" w:cs="宋体"/>
                <w:color w:val="000000" w:themeColor="text1"/>
              </w:rPr>
              <w:t>4.</w:t>
            </w:r>
            <w:r>
              <w:rPr>
                <w:rFonts w:hint="eastAsia" w:ascii="宋体" w:hAnsi="宋体" w:eastAsia="宋体" w:cs="宋体"/>
                <w:color w:val="000000" w:themeColor="text1"/>
                <w:lang w:val="en-US" w:eastAsia="zh-CN"/>
              </w:rPr>
              <w:t>1</w:t>
            </w:r>
            <w:r>
              <w:rPr>
                <w:rFonts w:hint="eastAsia" w:ascii="宋体" w:hAnsi="宋体" w:eastAsia="宋体" w:cs="宋体"/>
                <w:color w:val="000000" w:themeColor="text1"/>
              </w:rPr>
              <w:t>.</w:t>
            </w:r>
            <w:r>
              <w:rPr>
                <w:rFonts w:hint="eastAsia" w:ascii="宋体" w:hAnsi="宋体" w:eastAsia="宋体" w:cs="宋体"/>
                <w:color w:val="000000" w:themeColor="text1"/>
                <w:lang w:val="en-US" w:eastAsia="zh-CN"/>
              </w:rPr>
              <w:t>1</w:t>
            </w:r>
          </w:p>
        </w:tc>
        <w:tc>
          <w:tcPr>
            <w:tcW w:w="3950" w:type="dxa"/>
            <w:vAlign w:val="center"/>
          </w:tcPr>
          <w:p w14:paraId="1BA9E5ED">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递交竞标文件地点</w:t>
            </w:r>
          </w:p>
        </w:tc>
        <w:tc>
          <w:tcPr>
            <w:tcW w:w="4628" w:type="dxa"/>
            <w:vAlign w:val="center"/>
          </w:tcPr>
          <w:p w14:paraId="03A49653">
            <w:pPr>
              <w:spacing w:line="360" w:lineRule="exact"/>
              <w:rPr>
                <w:rFonts w:hint="eastAsia" w:ascii="宋体" w:hAnsi="宋体" w:eastAsia="宋体" w:cs="宋体"/>
                <w:color w:val="000000" w:themeColor="text1"/>
                <w:szCs w:val="21"/>
              </w:rPr>
            </w:pPr>
            <w:r>
              <w:rPr>
                <w:rFonts w:hint="eastAsia" w:ascii="宋体" w:hAnsi="宋体" w:eastAsia="宋体" w:cs="宋体"/>
                <w:color w:val="000000" w:themeColor="text1"/>
                <w:highlight w:val="none"/>
                <w:lang w:val="en-US" w:eastAsia="zh-CN"/>
              </w:rPr>
              <w:t>电子竞标文件递交地点：通过网络上传至</w:t>
            </w:r>
            <w:r>
              <w:rPr>
                <w:rFonts w:hint="eastAsia" w:hAnsi="宋体" w:eastAsia="宋体" w:cs="宋体"/>
                <w:color w:val="000000" w:themeColor="text1"/>
                <w:sz w:val="21"/>
                <w:lang w:eastAsia="zh-CN"/>
              </w:rPr>
              <w:t>广西政府采购云平台</w:t>
            </w:r>
            <w:r>
              <w:rPr>
                <w:rFonts w:hint="eastAsia" w:ascii="宋体" w:hAnsi="宋体" w:eastAsia="宋体" w:cs="宋体"/>
                <w:color w:val="000000" w:themeColor="text1"/>
                <w:highlight w:val="none"/>
                <w:lang w:val="en-US" w:eastAsia="zh-CN"/>
              </w:rPr>
              <w:t>。</w:t>
            </w:r>
          </w:p>
        </w:tc>
      </w:tr>
      <w:tr w14:paraId="0B84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59425267">
            <w:pPr>
              <w:spacing w:line="360" w:lineRule="exact"/>
              <w:jc w:val="center"/>
              <w:rPr>
                <w:rFonts w:hint="eastAsia" w:ascii="宋体" w:hAnsi="宋体" w:eastAsia="宋体" w:cs="宋体"/>
                <w:color w:val="000000" w:themeColor="text1"/>
                <w:lang w:eastAsia="zh-CN"/>
              </w:rPr>
            </w:pPr>
            <w:r>
              <w:rPr>
                <w:rFonts w:hint="eastAsia" w:ascii="宋体" w:hAnsi="宋体" w:eastAsia="宋体" w:cs="宋体"/>
                <w:color w:val="000000" w:themeColor="text1"/>
              </w:rPr>
              <w:t>4.2.</w:t>
            </w:r>
            <w:r>
              <w:rPr>
                <w:rFonts w:hint="eastAsia" w:ascii="宋体" w:hAnsi="宋体" w:eastAsia="宋体" w:cs="宋体"/>
                <w:color w:val="000000" w:themeColor="text1"/>
                <w:lang w:val="en-US" w:eastAsia="zh-CN"/>
              </w:rPr>
              <w:t>1</w:t>
            </w:r>
          </w:p>
        </w:tc>
        <w:tc>
          <w:tcPr>
            <w:tcW w:w="3950" w:type="dxa"/>
            <w:vAlign w:val="center"/>
          </w:tcPr>
          <w:p w14:paraId="7402E873">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是否退还竞标文件</w:t>
            </w:r>
          </w:p>
        </w:tc>
        <w:tc>
          <w:tcPr>
            <w:tcW w:w="4628" w:type="dxa"/>
            <w:vAlign w:val="center"/>
          </w:tcPr>
          <w:p w14:paraId="2E3D810B">
            <w:pPr>
              <w:spacing w:line="360" w:lineRule="exact"/>
              <w:rPr>
                <w:rFonts w:hint="eastAsia" w:ascii="宋体" w:hAnsi="宋体" w:eastAsia="宋体" w:cs="宋体"/>
                <w:color w:val="000000" w:themeColor="text1"/>
                <w:u w:val="single"/>
              </w:rPr>
            </w:pPr>
            <w:r>
              <w:rPr>
                <w:rFonts w:hint="eastAsia" w:ascii="宋体" w:hAnsi="宋体" w:eastAsia="宋体" w:cs="宋体"/>
                <w:color w:val="000000" w:themeColor="text1"/>
              </w:rPr>
              <w:t>否</w:t>
            </w:r>
          </w:p>
        </w:tc>
      </w:tr>
      <w:tr w14:paraId="36E2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82" w:type="dxa"/>
            <w:vAlign w:val="center"/>
          </w:tcPr>
          <w:p w14:paraId="6F2EBAF0">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5.1</w:t>
            </w:r>
          </w:p>
        </w:tc>
        <w:tc>
          <w:tcPr>
            <w:tcW w:w="3950" w:type="dxa"/>
            <w:vAlign w:val="center"/>
          </w:tcPr>
          <w:p w14:paraId="4FD5B4FA">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highlight w:val="none"/>
                <w:lang w:eastAsia="zh-CN"/>
              </w:rPr>
              <w:t>竞标文件的递交时间</w:t>
            </w:r>
          </w:p>
        </w:tc>
        <w:tc>
          <w:tcPr>
            <w:tcW w:w="4628" w:type="dxa"/>
            <w:vAlign w:val="center"/>
          </w:tcPr>
          <w:p w14:paraId="549DB3B7">
            <w:pPr>
              <w:spacing w:line="36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电子</w:t>
            </w:r>
            <w:r>
              <w:rPr>
                <w:rFonts w:hint="eastAsia" w:ascii="宋体" w:hAnsi="宋体" w:eastAsia="宋体" w:cs="宋体"/>
                <w:color w:val="000000" w:themeColor="text1"/>
                <w:highlight w:val="none"/>
                <w:lang w:eastAsia="zh-CN"/>
              </w:rPr>
              <w:t>竞标</w:t>
            </w:r>
            <w:r>
              <w:rPr>
                <w:rFonts w:hint="eastAsia" w:ascii="宋体" w:hAnsi="宋体" w:eastAsia="宋体" w:cs="宋体"/>
                <w:color w:val="000000" w:themeColor="text1"/>
                <w:highlight w:val="none"/>
              </w:rPr>
              <w:t>文件提交截止时间：</w:t>
            </w:r>
            <w:r>
              <w:rPr>
                <w:rFonts w:hint="eastAsia" w:ascii="宋体" w:hAnsi="宋体" w:cs="宋体"/>
                <w:color w:val="000000" w:themeColor="text1"/>
                <w:highlight w:val="none"/>
                <w:lang w:eastAsia="zh-CN"/>
              </w:rPr>
              <w:t>2026年06月10日10时00分</w:t>
            </w:r>
          </w:p>
          <w:p w14:paraId="216EE829">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电子</w:t>
            </w:r>
            <w:r>
              <w:rPr>
                <w:rFonts w:hint="eastAsia" w:ascii="宋体" w:hAnsi="宋体" w:eastAsia="宋体" w:cs="宋体"/>
                <w:color w:val="000000" w:themeColor="text1"/>
                <w:highlight w:val="none"/>
                <w:lang w:eastAsia="zh-CN"/>
              </w:rPr>
              <w:t>竞标</w:t>
            </w:r>
            <w:r>
              <w:rPr>
                <w:rFonts w:hint="eastAsia" w:ascii="宋体" w:hAnsi="宋体" w:eastAsia="宋体" w:cs="宋体"/>
                <w:color w:val="000000" w:themeColor="text1"/>
                <w:highlight w:val="none"/>
              </w:rPr>
              <w:t>文件解密时间：首次</w:t>
            </w:r>
            <w:r>
              <w:rPr>
                <w:rFonts w:hint="eastAsia" w:ascii="宋体" w:hAnsi="宋体" w:eastAsia="宋体" w:cs="宋体"/>
                <w:color w:val="000000" w:themeColor="text1"/>
                <w:highlight w:val="none"/>
                <w:lang w:eastAsia="zh-CN"/>
              </w:rPr>
              <w:t>竞标</w:t>
            </w:r>
            <w:r>
              <w:rPr>
                <w:rFonts w:hint="eastAsia" w:ascii="宋体" w:hAnsi="宋体" w:eastAsia="宋体" w:cs="宋体"/>
                <w:color w:val="000000" w:themeColor="text1"/>
                <w:highlight w:val="none"/>
              </w:rPr>
              <w:t>文件提交截止时间后30分钟内，</w:t>
            </w:r>
            <w:r>
              <w:rPr>
                <w:rFonts w:hint="eastAsia" w:ascii="宋体" w:hAnsi="宋体" w:eastAsia="宋体" w:cs="宋体"/>
                <w:color w:val="000000" w:themeColor="text1"/>
                <w:highlight w:val="none"/>
                <w:lang w:eastAsia="zh-CN"/>
              </w:rPr>
              <w:t>竞标人</w:t>
            </w:r>
            <w:r>
              <w:rPr>
                <w:rFonts w:hint="eastAsia" w:ascii="宋体" w:hAnsi="宋体" w:eastAsia="宋体" w:cs="宋体"/>
                <w:color w:val="000000" w:themeColor="text1"/>
                <w:highlight w:val="none"/>
              </w:rPr>
              <w:t>必须在此时间段内登录</w:t>
            </w:r>
            <w:r>
              <w:rPr>
                <w:rFonts w:hint="eastAsia" w:hAnsi="宋体" w:eastAsia="宋体" w:cs="宋体"/>
                <w:color w:val="000000" w:themeColor="text1"/>
                <w:sz w:val="21"/>
                <w:lang w:eastAsia="zh-CN"/>
              </w:rPr>
              <w:t>广西政府采购云平台</w:t>
            </w:r>
            <w:r>
              <w:rPr>
                <w:rFonts w:hint="eastAsia" w:ascii="宋体" w:hAnsi="宋体" w:eastAsia="宋体" w:cs="宋体"/>
                <w:color w:val="000000" w:themeColor="text1"/>
                <w:highlight w:val="none"/>
              </w:rPr>
              <w:t>，用“项目采购-开标评标”功能完成电子</w:t>
            </w:r>
            <w:r>
              <w:rPr>
                <w:rFonts w:hint="eastAsia" w:ascii="宋体" w:hAnsi="宋体" w:eastAsia="宋体" w:cs="宋体"/>
                <w:color w:val="000000" w:themeColor="text1"/>
                <w:highlight w:val="none"/>
                <w:lang w:eastAsia="zh-CN"/>
              </w:rPr>
              <w:t>竞标</w:t>
            </w:r>
            <w:r>
              <w:rPr>
                <w:rFonts w:hint="eastAsia" w:ascii="宋体" w:hAnsi="宋体" w:eastAsia="宋体" w:cs="宋体"/>
                <w:color w:val="000000" w:themeColor="text1"/>
                <w:highlight w:val="none"/>
              </w:rPr>
              <w:t>文件的解密。若竞标供应商在规定时间内未按时解密的，视为</w:t>
            </w:r>
            <w:r>
              <w:rPr>
                <w:rFonts w:hint="eastAsia" w:ascii="宋体" w:hAnsi="宋体" w:eastAsia="宋体" w:cs="宋体"/>
                <w:color w:val="000000" w:themeColor="text1"/>
                <w:highlight w:val="none"/>
                <w:lang w:eastAsia="zh-CN"/>
              </w:rPr>
              <w:t>竞标</w:t>
            </w:r>
            <w:r>
              <w:rPr>
                <w:rFonts w:hint="eastAsia" w:ascii="宋体" w:hAnsi="宋体" w:eastAsia="宋体" w:cs="宋体"/>
                <w:color w:val="000000" w:themeColor="text1"/>
                <w:highlight w:val="none"/>
              </w:rPr>
              <w:t>文件撤回。</w:t>
            </w:r>
          </w:p>
        </w:tc>
      </w:tr>
      <w:tr w14:paraId="1294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6336E583">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5.2</w:t>
            </w:r>
          </w:p>
        </w:tc>
        <w:tc>
          <w:tcPr>
            <w:tcW w:w="3950" w:type="dxa"/>
            <w:vAlign w:val="center"/>
          </w:tcPr>
          <w:p w14:paraId="2600409E">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竞标程序</w:t>
            </w:r>
          </w:p>
        </w:tc>
        <w:tc>
          <w:tcPr>
            <w:tcW w:w="4628" w:type="dxa"/>
            <w:vAlign w:val="center"/>
          </w:tcPr>
          <w:p w14:paraId="1224176C">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竞标顺序：随机</w:t>
            </w:r>
          </w:p>
        </w:tc>
      </w:tr>
      <w:tr w14:paraId="7192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82" w:type="dxa"/>
            <w:vAlign w:val="center"/>
          </w:tcPr>
          <w:p w14:paraId="7BEC40D8">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6.1.1</w:t>
            </w:r>
          </w:p>
        </w:tc>
        <w:tc>
          <w:tcPr>
            <w:tcW w:w="3950" w:type="dxa"/>
            <w:vAlign w:val="center"/>
          </w:tcPr>
          <w:p w14:paraId="338A309C">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谈判小组会的组建</w:t>
            </w:r>
          </w:p>
        </w:tc>
        <w:tc>
          <w:tcPr>
            <w:tcW w:w="4628" w:type="dxa"/>
            <w:vAlign w:val="center"/>
          </w:tcPr>
          <w:p w14:paraId="5942AF61">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szCs w:val="21"/>
              </w:rPr>
              <w:t>谈判小组会构成：</w:t>
            </w: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人</w:t>
            </w:r>
          </w:p>
        </w:tc>
      </w:tr>
      <w:tr w14:paraId="2105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5C1AC6FC">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6.3</w:t>
            </w:r>
          </w:p>
        </w:tc>
        <w:tc>
          <w:tcPr>
            <w:tcW w:w="3950" w:type="dxa"/>
            <w:vAlign w:val="center"/>
          </w:tcPr>
          <w:p w14:paraId="15DE9654">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评标方式</w:t>
            </w:r>
          </w:p>
        </w:tc>
        <w:tc>
          <w:tcPr>
            <w:tcW w:w="4628" w:type="dxa"/>
            <w:vAlign w:val="center"/>
          </w:tcPr>
          <w:p w14:paraId="0A275BBB">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EQ \o\ac(□</w:instrText>
            </w:r>
            <w:r>
              <w:rPr>
                <w:rFonts w:hint="eastAsia" w:ascii="宋体" w:hAnsi="宋体" w:eastAsia="宋体" w:cs="宋体"/>
                <w:color w:val="000000" w:themeColor="text1"/>
                <w:lang w:eastAsia="zh-CN"/>
              </w:rPr>
              <w:instrText xml:space="preserve">,√</w:instrText>
            </w:r>
            <w:r>
              <w:rPr>
                <w:rFonts w:hint="eastAsia" w:ascii="宋体" w:hAnsi="宋体" w:eastAsia="宋体" w:cs="宋体"/>
                <w:color w:val="000000" w:themeColor="text1"/>
              </w:rPr>
              <w:instrText xml:space="preserve">)</w:instrText>
            </w:r>
            <w:r>
              <w:rPr>
                <w:rFonts w:hint="eastAsia" w:ascii="宋体" w:hAnsi="宋体" w:eastAsia="宋体" w:cs="宋体"/>
                <w:color w:val="000000" w:themeColor="text1"/>
              </w:rPr>
              <w:fldChar w:fldCharType="end"/>
            </w:r>
            <w:r>
              <w:rPr>
                <w:rFonts w:hint="eastAsia" w:ascii="宋体" w:hAnsi="宋体" w:eastAsia="宋体" w:cs="宋体"/>
                <w:color w:val="000000" w:themeColor="text1"/>
              </w:rPr>
              <w:t>最低评标价法</w:t>
            </w:r>
          </w:p>
        </w:tc>
      </w:tr>
      <w:tr w14:paraId="433D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2A779785">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6.6.1</w:t>
            </w:r>
          </w:p>
        </w:tc>
        <w:tc>
          <w:tcPr>
            <w:tcW w:w="3950" w:type="dxa"/>
            <w:vAlign w:val="center"/>
          </w:tcPr>
          <w:p w14:paraId="6E5E2E78">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szCs w:val="21"/>
              </w:rPr>
              <w:t>成交人公告的媒介</w:t>
            </w:r>
          </w:p>
        </w:tc>
        <w:tc>
          <w:tcPr>
            <w:tcW w:w="4628" w:type="dxa"/>
            <w:vAlign w:val="center"/>
          </w:tcPr>
          <w:p w14:paraId="43FC7953">
            <w:pPr>
              <w:spacing w:line="360" w:lineRule="exact"/>
              <w:rPr>
                <w:rFonts w:hint="eastAsia" w:ascii="宋体" w:hAnsi="宋体" w:eastAsia="宋体" w:cs="宋体"/>
                <w:color w:val="000000" w:themeColor="text1"/>
              </w:rPr>
            </w:pPr>
            <w:r>
              <w:rPr>
                <w:rFonts w:hint="eastAsia" w:ascii="宋体" w:hAnsi="宋体" w:eastAsia="宋体" w:cs="宋体"/>
                <w:b/>
                <w:bCs/>
                <w:color w:val="000000" w:themeColor="text1"/>
              </w:rPr>
              <w:fldChar w:fldCharType="begin"/>
            </w:r>
            <w:r>
              <w:rPr>
                <w:rFonts w:hint="eastAsia" w:ascii="宋体" w:hAnsi="宋体" w:eastAsia="宋体" w:cs="宋体"/>
                <w:b/>
                <w:bCs/>
                <w:color w:val="000000" w:themeColor="text1"/>
              </w:rPr>
              <w:instrText xml:space="preserve"> EQ \o\ac(□</w:instrText>
            </w:r>
            <w:r>
              <w:rPr>
                <w:rFonts w:hint="eastAsia" w:ascii="宋体" w:hAnsi="宋体" w:eastAsia="宋体" w:cs="宋体"/>
                <w:b/>
                <w:bCs/>
                <w:color w:val="000000" w:themeColor="text1"/>
                <w:lang w:eastAsia="zh-CN"/>
              </w:rPr>
              <w:instrText xml:space="preserve">,</w:instrText>
            </w:r>
            <w:r>
              <w:rPr>
                <w:rFonts w:hint="eastAsia" w:ascii="宋体" w:hAnsi="宋体" w:eastAsia="宋体" w:cs="宋体"/>
                <w:b/>
                <w:bCs/>
                <w:color w:val="000000" w:themeColor="text1"/>
                <w:position w:val="2"/>
                <w:sz w:val="13"/>
                <w:lang w:eastAsia="zh-CN"/>
              </w:rPr>
              <w:instrText xml:space="preserve">√</w:instrText>
            </w:r>
            <w:r>
              <w:rPr>
                <w:rFonts w:hint="eastAsia" w:ascii="宋体" w:hAnsi="宋体" w:eastAsia="宋体" w:cs="宋体"/>
                <w:b/>
                <w:bCs/>
                <w:color w:val="000000" w:themeColor="text1"/>
              </w:rPr>
              <w:instrText xml:space="preserve">)</w:instrText>
            </w:r>
            <w:r>
              <w:rPr>
                <w:rFonts w:hint="eastAsia" w:ascii="宋体" w:hAnsi="宋体" w:eastAsia="宋体" w:cs="宋体"/>
                <w:b/>
                <w:bCs/>
                <w:color w:val="000000" w:themeColor="text1"/>
              </w:rPr>
              <w:fldChar w:fldCharType="end"/>
            </w:r>
            <w:r>
              <w:rPr>
                <w:rFonts w:hint="eastAsia" w:ascii="宋体" w:hAnsi="宋体" w:eastAsia="宋体" w:cs="宋体"/>
                <w:color w:val="000000" w:themeColor="text1"/>
              </w:rPr>
              <w:t>在竞标公告发布的同一媒介上公示</w:t>
            </w:r>
          </w:p>
        </w:tc>
      </w:tr>
      <w:tr w14:paraId="7B8D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6E83C14C">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6.7</w:t>
            </w:r>
          </w:p>
        </w:tc>
        <w:tc>
          <w:tcPr>
            <w:tcW w:w="3950" w:type="dxa"/>
            <w:vAlign w:val="center"/>
          </w:tcPr>
          <w:p w14:paraId="0B66CD89">
            <w:pPr>
              <w:spacing w:line="36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履约能力审查的标准和方法</w:t>
            </w:r>
          </w:p>
        </w:tc>
        <w:tc>
          <w:tcPr>
            <w:tcW w:w="4628" w:type="dxa"/>
            <w:vAlign w:val="center"/>
          </w:tcPr>
          <w:p w14:paraId="3F6C7109">
            <w:pPr>
              <w:numPr>
                <w:ilvl w:val="0"/>
                <w:numId w:val="1"/>
              </w:num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在成交通知书发出前，如果成交人的经营、财务状况发生较大变化，可能造成不能履行合同、无法按照竞争性谈判文件要求提交履约保证金等情形，不符合成交条件的，应及时书面告知采购人。</w:t>
            </w:r>
          </w:p>
          <w:p w14:paraId="01196210">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2、如采购人认为成交人的经营、财务状况发生较大变化或者存在违法行为可能影响其履约能力的，应当在成交通知书发出前由原谈判小组会按照竞争性谈判文件规定的标准和方法审查确认。</w:t>
            </w:r>
          </w:p>
        </w:tc>
      </w:tr>
      <w:tr w14:paraId="70C3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2" w:type="dxa"/>
            <w:vAlign w:val="center"/>
          </w:tcPr>
          <w:p w14:paraId="5779D463">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7.1</w:t>
            </w:r>
          </w:p>
        </w:tc>
        <w:tc>
          <w:tcPr>
            <w:tcW w:w="3950" w:type="dxa"/>
            <w:vAlign w:val="center"/>
          </w:tcPr>
          <w:p w14:paraId="79FE75E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是否授权谈判小组会确定成交人</w:t>
            </w:r>
          </w:p>
        </w:tc>
        <w:tc>
          <w:tcPr>
            <w:tcW w:w="4628" w:type="dxa"/>
            <w:vAlign w:val="center"/>
          </w:tcPr>
          <w:p w14:paraId="3899A104">
            <w:pPr>
              <w:spacing w:line="360" w:lineRule="exact"/>
              <w:rPr>
                <w:rFonts w:hint="eastAsia" w:ascii="宋体" w:hAnsi="宋体" w:eastAsia="宋体" w:cs="宋体"/>
                <w:color w:val="000000" w:themeColor="text1"/>
              </w:rPr>
            </w:pPr>
            <w:r>
              <w:rPr>
                <w:rFonts w:hint="eastAsia" w:ascii="宋体" w:hAnsi="宋体" w:eastAsia="宋体" w:cs="宋体"/>
                <w:b/>
                <w:bCs/>
                <w:color w:val="000000" w:themeColor="text1"/>
              </w:rPr>
              <w:fldChar w:fldCharType="begin"/>
            </w:r>
            <w:r>
              <w:rPr>
                <w:rFonts w:hint="eastAsia" w:ascii="宋体" w:hAnsi="宋体" w:eastAsia="宋体" w:cs="宋体"/>
                <w:b/>
                <w:bCs/>
                <w:color w:val="000000" w:themeColor="text1"/>
              </w:rPr>
              <w:instrText xml:space="preserve"> EQ \o\ac(□,</w:instrText>
            </w:r>
            <w:r>
              <w:rPr>
                <w:rFonts w:hint="eastAsia" w:ascii="宋体" w:hAnsi="宋体" w:eastAsia="宋体" w:cs="宋体"/>
                <w:b/>
                <w:bCs/>
                <w:color w:val="000000" w:themeColor="text1"/>
                <w:position w:val="2"/>
                <w:sz w:val="14"/>
              </w:rPr>
              <w:instrText xml:space="preserve">√</w:instrText>
            </w:r>
            <w:r>
              <w:rPr>
                <w:rFonts w:hint="eastAsia" w:ascii="宋体" w:hAnsi="宋体" w:eastAsia="宋体" w:cs="宋体"/>
                <w:b/>
                <w:bCs/>
                <w:color w:val="000000" w:themeColor="text1"/>
              </w:rPr>
              <w:instrText xml:space="preserve">)</w:instrText>
            </w:r>
            <w:r>
              <w:rPr>
                <w:rFonts w:hint="eastAsia" w:ascii="宋体" w:hAnsi="宋体" w:eastAsia="宋体" w:cs="宋体"/>
                <w:b/>
                <w:bCs/>
                <w:color w:val="000000" w:themeColor="text1"/>
              </w:rPr>
              <w:fldChar w:fldCharType="end"/>
            </w:r>
            <w:r>
              <w:rPr>
                <w:rFonts w:hint="eastAsia" w:ascii="宋体" w:hAnsi="宋体" w:eastAsia="宋体" w:cs="宋体"/>
                <w:color w:val="000000" w:themeColor="text1"/>
              </w:rPr>
              <w:t>否，推荐的成交人数：</w:t>
            </w:r>
            <w:r>
              <w:rPr>
                <w:rFonts w:hint="eastAsia" w:ascii="宋体" w:hAnsi="宋体" w:eastAsia="宋体" w:cs="宋体"/>
                <w:color w:val="000000" w:themeColor="text1"/>
                <w:u w:val="single"/>
              </w:rPr>
              <w:t xml:space="preserve">  3 </w:t>
            </w:r>
            <w:r>
              <w:rPr>
                <w:rFonts w:hint="eastAsia" w:ascii="宋体" w:hAnsi="宋体" w:eastAsia="宋体" w:cs="宋体"/>
                <w:color w:val="000000" w:themeColor="text1"/>
                <w:u w:val="single"/>
                <w:lang w:eastAsia="zh-CN"/>
              </w:rPr>
              <w:t>名</w:t>
            </w:r>
            <w:r>
              <w:rPr>
                <w:rFonts w:hint="eastAsia" w:ascii="宋体" w:hAnsi="宋体" w:eastAsia="宋体" w:cs="宋体"/>
                <w:color w:val="000000" w:themeColor="text1"/>
                <w:u w:val="single"/>
              </w:rPr>
              <w:t xml:space="preserve"> </w:t>
            </w:r>
          </w:p>
        </w:tc>
      </w:tr>
      <w:tr w14:paraId="378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82" w:type="dxa"/>
            <w:vAlign w:val="center"/>
          </w:tcPr>
          <w:p w14:paraId="3BE9FD8C">
            <w:pPr>
              <w:spacing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7.3.1</w:t>
            </w:r>
          </w:p>
        </w:tc>
        <w:tc>
          <w:tcPr>
            <w:tcW w:w="3950" w:type="dxa"/>
            <w:vAlign w:val="center"/>
          </w:tcPr>
          <w:p w14:paraId="1655ABE0">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履约保证金</w:t>
            </w:r>
          </w:p>
        </w:tc>
        <w:tc>
          <w:tcPr>
            <w:tcW w:w="4628" w:type="dxa"/>
            <w:vAlign w:val="center"/>
          </w:tcPr>
          <w:p w14:paraId="5CE62D0E">
            <w:pPr>
              <w:spacing w:line="360" w:lineRule="exact"/>
              <w:rPr>
                <w:rFonts w:hint="eastAsia" w:ascii="宋体" w:hAnsi="宋体" w:eastAsia="宋体" w:cs="宋体"/>
                <w:color w:val="000000" w:themeColor="text1"/>
                <w:lang w:eastAsia="zh-CN"/>
              </w:rPr>
            </w:pPr>
            <w:r>
              <w:rPr>
                <w:rFonts w:hint="eastAsia" w:ascii="宋体" w:hAnsi="宋体" w:cs="宋体"/>
                <w:color w:val="000000" w:themeColor="text1"/>
                <w:lang w:eastAsia="zh-CN"/>
              </w:rPr>
              <w:t>无</w:t>
            </w:r>
          </w:p>
        </w:tc>
      </w:tr>
      <w:tr w14:paraId="1083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560" w:type="dxa"/>
            <w:gridSpan w:val="3"/>
          </w:tcPr>
          <w:p w14:paraId="65A8C222">
            <w:pPr>
              <w:spacing w:line="36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10. 需要补充的其他内容</w:t>
            </w:r>
          </w:p>
        </w:tc>
      </w:tr>
      <w:tr w14:paraId="72BB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60" w:type="dxa"/>
            <w:gridSpan w:val="3"/>
          </w:tcPr>
          <w:p w14:paraId="4B66E545">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10.1 词语定义</w:t>
            </w:r>
          </w:p>
        </w:tc>
      </w:tr>
      <w:tr w14:paraId="4996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2" w:type="dxa"/>
            <w:vAlign w:val="center"/>
          </w:tcPr>
          <w:p w14:paraId="35452828">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10.1.1</w:t>
            </w:r>
          </w:p>
        </w:tc>
        <w:tc>
          <w:tcPr>
            <w:tcW w:w="3950" w:type="dxa"/>
            <w:vAlign w:val="center"/>
          </w:tcPr>
          <w:p w14:paraId="4D8C29D5">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类似项目</w:t>
            </w:r>
          </w:p>
        </w:tc>
        <w:tc>
          <w:tcPr>
            <w:tcW w:w="4628" w:type="dxa"/>
            <w:vAlign w:val="center"/>
          </w:tcPr>
          <w:p w14:paraId="767F494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类似项目是指：/</w:t>
            </w:r>
          </w:p>
        </w:tc>
      </w:tr>
      <w:tr w14:paraId="5015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2" w:type="dxa"/>
            <w:vAlign w:val="center"/>
          </w:tcPr>
          <w:p w14:paraId="3372FA61">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10.1.2</w:t>
            </w:r>
          </w:p>
        </w:tc>
        <w:tc>
          <w:tcPr>
            <w:tcW w:w="3950" w:type="dxa"/>
            <w:vAlign w:val="center"/>
          </w:tcPr>
          <w:p w14:paraId="7658D6C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不良行为记录</w:t>
            </w:r>
          </w:p>
        </w:tc>
        <w:tc>
          <w:tcPr>
            <w:tcW w:w="4628" w:type="dxa"/>
            <w:vAlign w:val="center"/>
          </w:tcPr>
          <w:p w14:paraId="2B50FC5D">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不良行为记录是指：/</w:t>
            </w:r>
          </w:p>
        </w:tc>
      </w:tr>
      <w:tr w14:paraId="5EA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2" w:type="dxa"/>
            <w:vAlign w:val="center"/>
          </w:tcPr>
          <w:p w14:paraId="40FDEAE5">
            <w:pPr>
              <w:spacing w:line="360" w:lineRule="exact"/>
              <w:rPr>
                <w:rFonts w:hint="eastAsia" w:ascii="宋体" w:hAnsi="宋体" w:eastAsia="宋体" w:cs="宋体"/>
                <w:color w:val="000000" w:themeColor="text1"/>
              </w:rPr>
            </w:pPr>
          </w:p>
        </w:tc>
        <w:tc>
          <w:tcPr>
            <w:tcW w:w="3950" w:type="dxa"/>
            <w:vAlign w:val="center"/>
          </w:tcPr>
          <w:p w14:paraId="1580C890">
            <w:pPr>
              <w:spacing w:line="360" w:lineRule="exact"/>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监督部门</w:t>
            </w:r>
          </w:p>
        </w:tc>
        <w:tc>
          <w:tcPr>
            <w:tcW w:w="4628" w:type="dxa"/>
            <w:vAlign w:val="center"/>
          </w:tcPr>
          <w:p w14:paraId="3242B991">
            <w:pPr>
              <w:spacing w:line="360" w:lineRule="exact"/>
              <w:rPr>
                <w:rFonts w:hint="eastAsia" w:ascii="宋体" w:hAnsi="宋体" w:eastAsia="宋体" w:cs="宋体"/>
                <w:color w:val="000000" w:themeColor="text1"/>
                <w:lang w:eastAsia="zh-CN"/>
              </w:rPr>
            </w:pPr>
            <w:r>
              <w:rPr>
                <w:rFonts w:hint="eastAsia" w:ascii="宋体" w:hAnsi="宋体" w:eastAsia="宋体" w:cs="宋体"/>
                <w:color w:val="000000" w:themeColor="text1"/>
              </w:rPr>
              <w:t>河池市财政局政府采购监督管理</w:t>
            </w:r>
            <w:r>
              <w:rPr>
                <w:rFonts w:hint="eastAsia" w:ascii="宋体" w:hAnsi="宋体" w:cs="宋体"/>
                <w:color w:val="000000" w:themeColor="text1"/>
                <w:lang w:eastAsia="zh-CN"/>
              </w:rPr>
              <w:t>科</w:t>
            </w:r>
          </w:p>
        </w:tc>
      </w:tr>
      <w:tr w14:paraId="1DCE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60" w:type="dxa"/>
            <w:gridSpan w:val="3"/>
          </w:tcPr>
          <w:p w14:paraId="1883D783">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10.2 采购控制价</w:t>
            </w:r>
          </w:p>
        </w:tc>
      </w:tr>
      <w:tr w14:paraId="066C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2" w:type="dxa"/>
            <w:vAlign w:val="center"/>
          </w:tcPr>
          <w:p w14:paraId="17290963">
            <w:pPr>
              <w:spacing w:line="360" w:lineRule="exact"/>
              <w:rPr>
                <w:rFonts w:hint="eastAsia" w:ascii="宋体" w:hAnsi="宋体" w:eastAsia="宋体" w:cs="宋体"/>
                <w:color w:val="000000" w:themeColor="text1"/>
              </w:rPr>
            </w:pPr>
          </w:p>
        </w:tc>
        <w:tc>
          <w:tcPr>
            <w:tcW w:w="3950" w:type="dxa"/>
            <w:vAlign w:val="center"/>
          </w:tcPr>
          <w:p w14:paraId="2FE7FC3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采购控制价</w:t>
            </w:r>
          </w:p>
        </w:tc>
        <w:tc>
          <w:tcPr>
            <w:tcW w:w="4628" w:type="dxa"/>
            <w:vAlign w:val="center"/>
          </w:tcPr>
          <w:p w14:paraId="1265BD6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EQ \o\ac(□,√)</w:instrText>
            </w:r>
            <w:r>
              <w:rPr>
                <w:rFonts w:hint="eastAsia" w:ascii="宋体" w:hAnsi="宋体" w:eastAsia="宋体" w:cs="宋体"/>
                <w:color w:val="000000" w:themeColor="text1"/>
              </w:rPr>
              <w:fldChar w:fldCharType="end"/>
            </w:r>
            <w:r>
              <w:rPr>
                <w:rFonts w:hint="eastAsia" w:ascii="宋体" w:hAnsi="宋体" w:eastAsia="宋体" w:cs="宋体"/>
                <w:color w:val="000000" w:themeColor="text1"/>
              </w:rPr>
              <w:t>设采购控制价：</w:t>
            </w:r>
          </w:p>
          <w:p w14:paraId="3A38ECE6">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本项目采购控制价为：</w:t>
            </w:r>
            <w:r>
              <w:rPr>
                <w:rFonts w:hint="eastAsia" w:ascii="宋体" w:hAnsi="宋体" w:cs="宋体"/>
                <w:color w:val="000000" w:themeColor="text1"/>
                <w:lang w:eastAsia="zh-CN"/>
              </w:rPr>
              <w:t>柒拾叁万肆仟叁佰陆拾陆元叁角伍分</w:t>
            </w:r>
            <w:r>
              <w:rPr>
                <w:rFonts w:hint="eastAsia" w:ascii="宋体" w:hAnsi="宋体" w:eastAsia="宋体" w:cs="宋体"/>
                <w:color w:val="000000" w:themeColor="text1"/>
              </w:rPr>
              <w:t>（￥</w:t>
            </w:r>
            <w:r>
              <w:rPr>
                <w:rFonts w:hint="eastAsia" w:ascii="宋体" w:hAnsi="宋体" w:cs="宋体"/>
                <w:color w:val="000000" w:themeColor="text1"/>
                <w:lang w:val="en-US" w:eastAsia="zh-CN"/>
              </w:rPr>
              <w:t>734366.35</w:t>
            </w:r>
            <w:r>
              <w:rPr>
                <w:rFonts w:hint="eastAsia" w:ascii="宋体" w:hAnsi="宋体" w:eastAsia="宋体" w:cs="宋体"/>
                <w:color w:val="000000" w:themeColor="text1"/>
              </w:rPr>
              <w:t>元）</w:t>
            </w:r>
          </w:p>
          <w:p w14:paraId="146F0393">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竞标报价必须小于采购控制价，大于或等于上限控制价的为无效报价。</w:t>
            </w:r>
          </w:p>
          <w:p w14:paraId="6E3CD40A">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1、本项目由竞标人自主报价。</w:t>
            </w:r>
          </w:p>
          <w:p w14:paraId="2D228D41">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2、竞标人应结合自身因素进行报价。</w:t>
            </w:r>
          </w:p>
          <w:p w14:paraId="60A5EA3C">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3、竞标报价应考虑的其他风险。</w:t>
            </w:r>
          </w:p>
        </w:tc>
      </w:tr>
      <w:tr w14:paraId="0B52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60" w:type="dxa"/>
            <w:gridSpan w:val="3"/>
          </w:tcPr>
          <w:p w14:paraId="07516E87">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10.3技术标 “暗标”评审方式</w:t>
            </w:r>
          </w:p>
        </w:tc>
      </w:tr>
      <w:tr w14:paraId="02A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2" w:type="dxa"/>
            <w:vAlign w:val="center"/>
          </w:tcPr>
          <w:p w14:paraId="750E9803">
            <w:pPr>
              <w:spacing w:line="360" w:lineRule="exact"/>
              <w:rPr>
                <w:rFonts w:hint="eastAsia" w:ascii="宋体" w:hAnsi="宋体" w:eastAsia="宋体" w:cs="宋体"/>
                <w:color w:val="000000" w:themeColor="text1"/>
              </w:rPr>
            </w:pPr>
          </w:p>
        </w:tc>
        <w:tc>
          <w:tcPr>
            <w:tcW w:w="3950" w:type="dxa"/>
            <w:vAlign w:val="center"/>
          </w:tcPr>
          <w:p w14:paraId="6436C4EE">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施工组织设计是否采用“暗标”评审方式</w:t>
            </w:r>
          </w:p>
        </w:tc>
        <w:tc>
          <w:tcPr>
            <w:tcW w:w="4628" w:type="dxa"/>
            <w:vAlign w:val="center"/>
          </w:tcPr>
          <w:p w14:paraId="00B0B9D4">
            <w:pPr>
              <w:spacing w:line="360" w:lineRule="exact"/>
              <w:rPr>
                <w:rFonts w:hint="eastAsia" w:ascii="宋体" w:hAnsi="宋体" w:eastAsia="宋体" w:cs="宋体"/>
                <w:color w:val="000000" w:themeColor="text1"/>
              </w:rPr>
            </w:pPr>
            <w:r>
              <w:rPr>
                <w:rFonts w:hint="eastAsia" w:ascii="宋体" w:hAnsi="宋体" w:eastAsia="宋体" w:cs="宋体"/>
                <w:b/>
                <w:bCs/>
                <w:color w:val="000000" w:themeColor="text1"/>
              </w:rPr>
              <w:fldChar w:fldCharType="begin"/>
            </w:r>
            <w:r>
              <w:rPr>
                <w:rFonts w:hint="eastAsia" w:ascii="宋体" w:hAnsi="宋体" w:eastAsia="宋体" w:cs="宋体"/>
                <w:b/>
                <w:bCs/>
                <w:color w:val="000000" w:themeColor="text1"/>
              </w:rPr>
              <w:instrText xml:space="preserve"> EQ \o\ac(□,</w:instrText>
            </w:r>
            <w:r>
              <w:rPr>
                <w:rFonts w:hint="eastAsia" w:ascii="宋体" w:hAnsi="宋体" w:eastAsia="宋体" w:cs="宋体"/>
                <w:b/>
                <w:bCs/>
                <w:color w:val="000000" w:themeColor="text1"/>
                <w:position w:val="2"/>
                <w:sz w:val="14"/>
              </w:rPr>
              <w:instrText xml:space="preserve">√</w:instrText>
            </w:r>
            <w:r>
              <w:rPr>
                <w:rFonts w:hint="eastAsia" w:ascii="宋体" w:hAnsi="宋体" w:eastAsia="宋体" w:cs="宋体"/>
                <w:b/>
                <w:bCs/>
                <w:color w:val="000000" w:themeColor="text1"/>
              </w:rPr>
              <w:instrText xml:space="preserve">)</w:instrText>
            </w:r>
            <w:r>
              <w:rPr>
                <w:rFonts w:hint="eastAsia" w:ascii="宋体" w:hAnsi="宋体" w:eastAsia="宋体" w:cs="宋体"/>
                <w:b/>
                <w:bCs/>
                <w:color w:val="000000" w:themeColor="text1"/>
              </w:rPr>
              <w:fldChar w:fldCharType="end"/>
            </w:r>
            <w:r>
              <w:rPr>
                <w:rFonts w:hint="eastAsia" w:ascii="宋体" w:hAnsi="宋体" w:eastAsia="宋体" w:cs="宋体"/>
                <w:color w:val="000000" w:themeColor="text1"/>
              </w:rPr>
              <w:t>不采用</w:t>
            </w:r>
          </w:p>
        </w:tc>
      </w:tr>
      <w:tr w14:paraId="14CE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560" w:type="dxa"/>
            <w:gridSpan w:val="3"/>
          </w:tcPr>
          <w:p w14:paraId="3EEBF891">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10.4 竞标文件电子版</w:t>
            </w:r>
          </w:p>
        </w:tc>
      </w:tr>
      <w:tr w14:paraId="2118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560" w:type="dxa"/>
            <w:gridSpan w:val="3"/>
          </w:tcPr>
          <w:p w14:paraId="6A1FD40A">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10.5 知识产权</w:t>
            </w:r>
          </w:p>
        </w:tc>
      </w:tr>
      <w:tr w14:paraId="5EBE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2" w:type="dxa"/>
          </w:tcPr>
          <w:p w14:paraId="0382AA52">
            <w:pPr>
              <w:spacing w:line="360" w:lineRule="exact"/>
              <w:rPr>
                <w:rFonts w:hint="eastAsia" w:ascii="宋体" w:hAnsi="宋体" w:eastAsia="宋体" w:cs="宋体"/>
                <w:color w:val="000000" w:themeColor="text1"/>
              </w:rPr>
            </w:pPr>
          </w:p>
        </w:tc>
        <w:tc>
          <w:tcPr>
            <w:tcW w:w="8578" w:type="dxa"/>
            <w:gridSpan w:val="2"/>
          </w:tcPr>
          <w:p w14:paraId="452CBE7D">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构成本竞争性谈判文件各个组成部分的文件，未经采购人书面同意，竞标人不得擅自复印和用于非本采购项目所需的其他目的。采购人全部或者部分使用未成交人竞标文件中的技术成果或技术方案时，需征得其书面同意，并不得擅自复印或提供给第三人。</w:t>
            </w:r>
          </w:p>
        </w:tc>
      </w:tr>
      <w:tr w14:paraId="279A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60" w:type="dxa"/>
            <w:gridSpan w:val="3"/>
          </w:tcPr>
          <w:p w14:paraId="270EAAA6">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10.6 重新采购的其他情形</w:t>
            </w:r>
          </w:p>
        </w:tc>
      </w:tr>
      <w:tr w14:paraId="0218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82" w:type="dxa"/>
          </w:tcPr>
          <w:p w14:paraId="02E25148">
            <w:pPr>
              <w:spacing w:line="360" w:lineRule="exact"/>
              <w:rPr>
                <w:rFonts w:hint="eastAsia" w:ascii="宋体" w:hAnsi="宋体" w:eastAsia="宋体" w:cs="宋体"/>
                <w:color w:val="000000" w:themeColor="text1"/>
              </w:rPr>
            </w:pPr>
          </w:p>
        </w:tc>
        <w:tc>
          <w:tcPr>
            <w:tcW w:w="8578" w:type="dxa"/>
            <w:gridSpan w:val="2"/>
          </w:tcPr>
          <w:p w14:paraId="452B1579">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除竞标人须知正文第8条规定的情形外，除非已经产生成交人，在竞标有效期内同意延长竞标有效期的竞标人少于三个的，采购人在分析采购失败的原因并采取相应措施后，应当依法重新采购。</w:t>
            </w:r>
          </w:p>
        </w:tc>
      </w:tr>
      <w:tr w14:paraId="108E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560" w:type="dxa"/>
            <w:gridSpan w:val="3"/>
            <w:vAlign w:val="center"/>
          </w:tcPr>
          <w:p w14:paraId="72C983C8">
            <w:pPr>
              <w:spacing w:line="360" w:lineRule="exact"/>
              <w:ind w:left="210" w:hanging="210" w:hangingChars="100"/>
              <w:rPr>
                <w:rFonts w:hint="eastAsia" w:ascii="宋体" w:hAnsi="宋体" w:eastAsia="宋体" w:cs="宋体"/>
                <w:color w:val="000000" w:themeColor="text1"/>
              </w:rPr>
            </w:pPr>
            <w:r>
              <w:rPr>
                <w:rFonts w:hint="eastAsia" w:ascii="宋体" w:hAnsi="宋体" w:eastAsia="宋体" w:cs="宋体"/>
                <w:color w:val="000000" w:themeColor="text1"/>
              </w:rPr>
              <w:t>10.7 同义词语</w:t>
            </w:r>
          </w:p>
        </w:tc>
      </w:tr>
      <w:tr w14:paraId="3C90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82" w:type="dxa"/>
            <w:vAlign w:val="center"/>
          </w:tcPr>
          <w:p w14:paraId="2C85BD6B">
            <w:pPr>
              <w:spacing w:line="360" w:lineRule="exact"/>
              <w:rPr>
                <w:rFonts w:hint="eastAsia" w:ascii="宋体" w:hAnsi="宋体" w:eastAsia="宋体" w:cs="宋体"/>
                <w:color w:val="000000" w:themeColor="text1"/>
              </w:rPr>
            </w:pPr>
          </w:p>
        </w:tc>
        <w:tc>
          <w:tcPr>
            <w:tcW w:w="8578" w:type="dxa"/>
            <w:gridSpan w:val="2"/>
            <w:vAlign w:val="center"/>
          </w:tcPr>
          <w:p w14:paraId="43359982">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构成竞争性谈判文件组成部分的“通用合同条款”、“专用合同条款”、“技术标准和要求”和“工程量清单”等章节中出现的措辞“发包人”和“承包人”，在采购竞标阶段应当分别按“采购人”和“竞标人”进行理解。</w:t>
            </w:r>
          </w:p>
        </w:tc>
      </w:tr>
      <w:tr w14:paraId="0E79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560" w:type="dxa"/>
            <w:gridSpan w:val="3"/>
            <w:vAlign w:val="center"/>
          </w:tcPr>
          <w:p w14:paraId="744DA103">
            <w:pPr>
              <w:spacing w:line="360" w:lineRule="exact"/>
              <w:ind w:left="210" w:hanging="210" w:hangingChars="100"/>
              <w:rPr>
                <w:rFonts w:hint="eastAsia" w:ascii="宋体" w:hAnsi="宋体" w:eastAsia="宋体" w:cs="宋体"/>
                <w:color w:val="000000" w:themeColor="text1"/>
              </w:rPr>
            </w:pPr>
            <w:r>
              <w:rPr>
                <w:rFonts w:hint="eastAsia" w:ascii="宋体" w:hAnsi="宋体" w:eastAsia="宋体" w:cs="宋体"/>
                <w:color w:val="000000" w:themeColor="text1"/>
              </w:rPr>
              <w:t>10.8 监督</w:t>
            </w:r>
          </w:p>
        </w:tc>
      </w:tr>
      <w:tr w14:paraId="5824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82" w:type="dxa"/>
            <w:vAlign w:val="center"/>
          </w:tcPr>
          <w:p w14:paraId="7D28EFA5">
            <w:pPr>
              <w:spacing w:line="360" w:lineRule="exact"/>
              <w:rPr>
                <w:rFonts w:hint="eastAsia" w:ascii="宋体" w:hAnsi="宋体" w:eastAsia="宋体" w:cs="宋体"/>
                <w:color w:val="000000" w:themeColor="text1"/>
              </w:rPr>
            </w:pPr>
          </w:p>
        </w:tc>
        <w:tc>
          <w:tcPr>
            <w:tcW w:w="8578" w:type="dxa"/>
            <w:gridSpan w:val="2"/>
            <w:vAlign w:val="center"/>
          </w:tcPr>
          <w:p w14:paraId="2962A6C4">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本项目的采购竞标活动及其相关当事人应当接受有管辖权的行政监督部门依法实施的监督。</w:t>
            </w:r>
          </w:p>
        </w:tc>
      </w:tr>
      <w:tr w14:paraId="525B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560" w:type="dxa"/>
            <w:gridSpan w:val="3"/>
            <w:vAlign w:val="center"/>
          </w:tcPr>
          <w:p w14:paraId="6C4E425B">
            <w:pPr>
              <w:spacing w:line="360" w:lineRule="exact"/>
              <w:ind w:left="210" w:hanging="210" w:hangingChars="100"/>
              <w:rPr>
                <w:rFonts w:hint="eastAsia" w:ascii="宋体" w:hAnsi="宋体" w:eastAsia="宋体" w:cs="宋体"/>
                <w:color w:val="000000" w:themeColor="text1"/>
              </w:rPr>
            </w:pPr>
            <w:r>
              <w:rPr>
                <w:rFonts w:hint="eastAsia" w:ascii="宋体" w:hAnsi="宋体" w:eastAsia="宋体" w:cs="宋体"/>
                <w:color w:val="000000" w:themeColor="text1"/>
              </w:rPr>
              <w:t>10.9 解释权</w:t>
            </w:r>
          </w:p>
        </w:tc>
      </w:tr>
      <w:tr w14:paraId="75FC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82" w:type="dxa"/>
            <w:vAlign w:val="center"/>
          </w:tcPr>
          <w:p w14:paraId="181B2356">
            <w:pPr>
              <w:spacing w:line="360" w:lineRule="exact"/>
              <w:rPr>
                <w:rFonts w:hint="eastAsia" w:ascii="宋体" w:hAnsi="宋体" w:eastAsia="宋体" w:cs="宋体"/>
                <w:color w:val="000000" w:themeColor="text1"/>
              </w:rPr>
            </w:pPr>
          </w:p>
        </w:tc>
        <w:tc>
          <w:tcPr>
            <w:tcW w:w="8578" w:type="dxa"/>
            <w:gridSpan w:val="2"/>
            <w:vAlign w:val="center"/>
          </w:tcPr>
          <w:p w14:paraId="4524FE68">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构成本竞争性谈判文件的各个组成文件应互为解释，互为说明；如有不明确或不一致，构成合同文件组成内容的，以合同文件约定内容为准，且以专用合同条款约定的合同文件优先顺序解释；除竞争性谈判文件中有特别规定外，仅适用于竞标阶段的规定，按竞标补遗或澄清文件、竞标公告、竞标人须知、评标办法、竞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F31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560" w:type="dxa"/>
            <w:gridSpan w:val="3"/>
            <w:vAlign w:val="center"/>
          </w:tcPr>
          <w:p w14:paraId="6A63C750">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10.10 采购人补充的其他内容</w:t>
            </w:r>
          </w:p>
        </w:tc>
      </w:tr>
      <w:tr w14:paraId="6C05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82" w:type="dxa"/>
            <w:vAlign w:val="center"/>
          </w:tcPr>
          <w:p w14:paraId="1459FB96">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10.10.1</w:t>
            </w:r>
          </w:p>
        </w:tc>
        <w:tc>
          <w:tcPr>
            <w:tcW w:w="3950" w:type="dxa"/>
            <w:vAlign w:val="center"/>
          </w:tcPr>
          <w:p w14:paraId="0750308A">
            <w:pPr>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采购代理服务费的计算与收取</w:t>
            </w:r>
          </w:p>
        </w:tc>
        <w:tc>
          <w:tcPr>
            <w:tcW w:w="4628" w:type="dxa"/>
            <w:vAlign w:val="center"/>
          </w:tcPr>
          <w:p w14:paraId="6E43754E">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szCs w:val="20"/>
              </w:rPr>
              <w:sym w:font="Wingdings" w:char="F0FE"/>
            </w:r>
            <w:r>
              <w:rPr>
                <w:rFonts w:hint="eastAsia" w:ascii="宋体" w:hAnsi="宋体" w:eastAsia="宋体" w:cs="宋体"/>
                <w:color w:val="000000" w:themeColor="text1"/>
              </w:rPr>
              <w:t>成交人支付</w:t>
            </w:r>
          </w:p>
          <w:p w14:paraId="4223C0AE">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rPr>
              <w:t>具体为：</w:t>
            </w:r>
            <w:r>
              <w:rPr>
                <w:rFonts w:hint="eastAsia" w:ascii="宋体" w:hAnsi="宋体" w:cs="宋体"/>
                <w:color w:val="000000" w:themeColor="text1"/>
                <w:lang w:eastAsia="zh-CN"/>
              </w:rPr>
              <w:t>参</w:t>
            </w:r>
            <w:r>
              <w:rPr>
                <w:rFonts w:hint="eastAsia" w:ascii="宋体" w:hAnsi="宋体" w:cs="宋体"/>
                <w:color w:val="000000" w:themeColor="text1"/>
              </w:rPr>
              <w:t>照“计价格</w:t>
            </w:r>
            <w:r>
              <w:rPr>
                <w:rFonts w:hint="eastAsia" w:ascii="宋体" w:hAnsi="宋体" w:cs="宋体"/>
                <w:color w:val="000000" w:themeColor="text1"/>
                <w:lang w:eastAsia="zh-CN"/>
              </w:rPr>
              <w:t>〔2002〕1980号</w:t>
            </w:r>
            <w:r>
              <w:rPr>
                <w:rFonts w:hint="eastAsia" w:ascii="宋体" w:hAnsi="宋体" w:cs="宋体"/>
                <w:color w:val="000000" w:themeColor="text1"/>
              </w:rPr>
              <w:t>文”以及“发改价格</w:t>
            </w:r>
            <w:r>
              <w:rPr>
                <w:rFonts w:hint="eastAsia" w:ascii="宋体" w:hAnsi="宋体" w:cs="宋体"/>
                <w:color w:val="000000" w:themeColor="text1"/>
                <w:lang w:eastAsia="zh-CN"/>
              </w:rPr>
              <w:t>〔2011〕534号</w:t>
            </w:r>
            <w:r>
              <w:rPr>
                <w:rFonts w:hint="eastAsia" w:ascii="宋体" w:hAnsi="宋体" w:cs="宋体"/>
                <w:color w:val="000000" w:themeColor="text1"/>
              </w:rPr>
              <w:t>文”收费标准</w:t>
            </w:r>
            <w:r>
              <w:rPr>
                <w:rFonts w:hint="eastAsia" w:ascii="宋体" w:hAnsi="宋体" w:cs="宋体"/>
                <w:color w:val="000000" w:themeColor="text1"/>
                <w:lang w:eastAsia="zh-CN"/>
              </w:rPr>
              <w:t>（工程类）</w:t>
            </w:r>
            <w:r>
              <w:rPr>
                <w:rFonts w:hint="eastAsia" w:ascii="宋体" w:hAnsi="宋体" w:cs="宋体"/>
                <w:color w:val="000000" w:themeColor="text1"/>
              </w:rPr>
              <w:t>，</w:t>
            </w:r>
            <w:r>
              <w:rPr>
                <w:rFonts w:hint="eastAsia" w:ascii="宋体" w:hAnsi="宋体" w:cs="宋体"/>
                <w:color w:val="000000" w:themeColor="text1"/>
                <w:lang w:val="en-US" w:eastAsia="zh-CN"/>
              </w:rPr>
              <w:t>下浮12%，</w:t>
            </w:r>
            <w:r>
              <w:rPr>
                <w:rFonts w:hint="eastAsia" w:ascii="宋体" w:hAnsi="宋体" w:eastAsia="宋体" w:cs="宋体"/>
                <w:color w:val="000000" w:themeColor="text1"/>
              </w:rPr>
              <w:t>如按此标准收取不足叁仟元（¥3000.00元）的则按叁仟元计算</w:t>
            </w:r>
            <w:r>
              <w:rPr>
                <w:rFonts w:hint="eastAsia" w:ascii="宋体" w:hAnsi="宋体" w:cs="宋体"/>
                <w:color w:val="000000" w:themeColor="text1"/>
                <w:lang w:eastAsia="zh-CN"/>
              </w:rPr>
              <w:t>。</w:t>
            </w:r>
            <w:r>
              <w:rPr>
                <w:rFonts w:hint="eastAsia" w:ascii="宋体" w:hAnsi="宋体" w:cs="宋体"/>
                <w:color w:val="000000" w:themeColor="text1"/>
              </w:rPr>
              <w:t>在成交单位领取成交通知书时，由成交单位一次性向采购代理机构支付完毕。</w:t>
            </w:r>
          </w:p>
        </w:tc>
      </w:tr>
    </w:tbl>
    <w:p w14:paraId="48819671">
      <w:pPr>
        <w:rPr>
          <w:rFonts w:hint="eastAsia" w:ascii="宋体" w:hAnsi="宋体" w:eastAsia="宋体" w:cs="宋体"/>
          <w:color w:val="000000" w:themeColor="text1"/>
        </w:rPr>
      </w:pPr>
      <w:bookmarkStart w:id="71" w:name="_Toc179632546"/>
      <w:bookmarkStart w:id="72" w:name="_Toc246996175"/>
      <w:bookmarkStart w:id="73" w:name="_Toc144974497"/>
      <w:bookmarkStart w:id="74" w:name="_Toc152042305"/>
      <w:bookmarkStart w:id="75" w:name="_Toc247085689"/>
      <w:bookmarkStart w:id="76" w:name="_Toc494118806"/>
      <w:bookmarkStart w:id="77" w:name="_Toc152045529"/>
      <w:bookmarkStart w:id="78" w:name="_Toc246996918"/>
    </w:p>
    <w:p w14:paraId="0B8E8064">
      <w:pPr>
        <w:pStyle w:val="29"/>
        <w:rPr>
          <w:rFonts w:hint="eastAsia" w:ascii="宋体" w:hAnsi="宋体" w:eastAsia="宋体" w:cs="宋体"/>
          <w:color w:val="000000" w:themeColor="text1"/>
        </w:rPr>
      </w:pPr>
    </w:p>
    <w:p w14:paraId="53135DE3">
      <w:pPr>
        <w:pStyle w:val="3"/>
        <w:keepNext w:val="0"/>
        <w:keepLines w:val="0"/>
        <w:wordWrap w:val="0"/>
        <w:topLinePunct/>
        <w:spacing w:before="0" w:after="0" w:line="360" w:lineRule="exact"/>
        <w:jc w:val="center"/>
        <w:rPr>
          <w:rFonts w:hint="eastAsia" w:ascii="宋体" w:hAnsi="宋体" w:eastAsia="宋体" w:cs="宋体"/>
          <w:color w:val="000000" w:themeColor="text1"/>
        </w:rPr>
      </w:pPr>
    </w:p>
    <w:p w14:paraId="4A0B12E1">
      <w:pPr>
        <w:pStyle w:val="3"/>
        <w:keepNext w:val="0"/>
        <w:keepLines w:val="0"/>
        <w:wordWrap w:val="0"/>
        <w:topLinePunct/>
        <w:spacing w:before="0" w:after="0" w:line="360" w:lineRule="exact"/>
        <w:jc w:val="center"/>
        <w:rPr>
          <w:rFonts w:hint="eastAsia" w:ascii="宋体" w:hAnsi="宋体" w:eastAsia="宋体" w:cs="宋体"/>
          <w:color w:val="000000" w:themeColor="text1"/>
        </w:rPr>
      </w:pPr>
    </w:p>
    <w:p w14:paraId="3ACE745B">
      <w:pPr>
        <w:pStyle w:val="3"/>
        <w:keepNext w:val="0"/>
        <w:keepLines w:val="0"/>
        <w:wordWrap w:val="0"/>
        <w:topLinePunct/>
        <w:spacing w:before="0" w:after="0" w:line="360" w:lineRule="exact"/>
        <w:jc w:val="center"/>
        <w:rPr>
          <w:rFonts w:hint="eastAsia" w:ascii="宋体" w:hAnsi="宋体" w:eastAsia="宋体" w:cs="宋体"/>
          <w:color w:val="000000" w:themeColor="text1"/>
        </w:rPr>
      </w:pPr>
    </w:p>
    <w:p w14:paraId="249B93CA">
      <w:pPr>
        <w:pStyle w:val="3"/>
        <w:keepNext w:val="0"/>
        <w:keepLines w:val="0"/>
        <w:wordWrap w:val="0"/>
        <w:topLinePunct/>
        <w:spacing w:before="0" w:after="0" w:line="360" w:lineRule="exact"/>
        <w:jc w:val="center"/>
        <w:rPr>
          <w:rFonts w:hint="eastAsia" w:ascii="宋体" w:hAnsi="宋体" w:eastAsia="宋体" w:cs="宋体"/>
          <w:color w:val="000000" w:themeColor="text1"/>
        </w:rPr>
      </w:pPr>
    </w:p>
    <w:p w14:paraId="16DD1DC6">
      <w:pPr>
        <w:rPr>
          <w:rFonts w:hint="eastAsia" w:ascii="宋体" w:hAnsi="宋体" w:eastAsia="宋体" w:cs="宋体"/>
          <w:color w:val="000000" w:themeColor="text1"/>
        </w:rPr>
      </w:pPr>
    </w:p>
    <w:p w14:paraId="595A6D1F">
      <w:pPr>
        <w:pStyle w:val="29"/>
        <w:rPr>
          <w:rFonts w:hint="eastAsia" w:ascii="宋体" w:hAnsi="宋体" w:eastAsia="宋体" w:cs="宋体"/>
          <w:color w:val="000000" w:themeColor="text1"/>
        </w:rPr>
      </w:pPr>
    </w:p>
    <w:p w14:paraId="521C3421">
      <w:pPr>
        <w:pStyle w:val="29"/>
        <w:rPr>
          <w:rFonts w:hint="eastAsia" w:ascii="宋体" w:hAnsi="宋体" w:eastAsia="宋体" w:cs="宋体"/>
          <w:color w:val="000000" w:themeColor="text1"/>
        </w:rPr>
      </w:pPr>
    </w:p>
    <w:p w14:paraId="10B8A7E9">
      <w:pPr>
        <w:pStyle w:val="29"/>
        <w:rPr>
          <w:rFonts w:hint="eastAsia" w:ascii="宋体" w:hAnsi="宋体" w:eastAsia="宋体" w:cs="宋体"/>
          <w:color w:val="000000" w:themeColor="text1"/>
        </w:rPr>
      </w:pPr>
    </w:p>
    <w:p w14:paraId="3DA55C98">
      <w:pPr>
        <w:pStyle w:val="29"/>
        <w:rPr>
          <w:rFonts w:hint="eastAsia" w:ascii="宋体" w:hAnsi="宋体" w:eastAsia="宋体" w:cs="宋体"/>
          <w:color w:val="000000" w:themeColor="text1"/>
        </w:rPr>
      </w:pPr>
    </w:p>
    <w:p w14:paraId="2C8A3A80">
      <w:pPr>
        <w:pStyle w:val="29"/>
        <w:rPr>
          <w:rFonts w:hint="eastAsia" w:ascii="宋体" w:hAnsi="宋体" w:eastAsia="宋体" w:cs="宋体"/>
          <w:color w:val="000000" w:themeColor="text1"/>
        </w:rPr>
      </w:pPr>
    </w:p>
    <w:p w14:paraId="21720A7D">
      <w:pPr>
        <w:pStyle w:val="29"/>
        <w:rPr>
          <w:rFonts w:hint="eastAsia" w:ascii="宋体" w:hAnsi="宋体" w:eastAsia="宋体" w:cs="宋体"/>
          <w:color w:val="000000" w:themeColor="text1"/>
        </w:rPr>
      </w:pPr>
    </w:p>
    <w:p w14:paraId="4F525DB0">
      <w:pPr>
        <w:pStyle w:val="29"/>
        <w:rPr>
          <w:rFonts w:hint="eastAsia" w:ascii="宋体" w:hAnsi="宋体" w:eastAsia="宋体" w:cs="宋体"/>
          <w:color w:val="000000" w:themeColor="text1"/>
        </w:rPr>
      </w:pPr>
    </w:p>
    <w:p w14:paraId="5B3B0CA4">
      <w:pPr>
        <w:pStyle w:val="29"/>
        <w:rPr>
          <w:rFonts w:hint="eastAsia" w:ascii="宋体" w:hAnsi="宋体" w:eastAsia="宋体" w:cs="宋体"/>
          <w:color w:val="000000" w:themeColor="text1"/>
        </w:rPr>
      </w:pPr>
    </w:p>
    <w:p w14:paraId="2E85A8B9">
      <w:pPr>
        <w:pStyle w:val="29"/>
        <w:rPr>
          <w:rFonts w:hint="eastAsia" w:ascii="宋体" w:hAnsi="宋体" w:eastAsia="宋体" w:cs="宋体"/>
          <w:color w:val="000000" w:themeColor="text1"/>
        </w:rPr>
      </w:pPr>
    </w:p>
    <w:p w14:paraId="2F9C8770">
      <w:pPr>
        <w:pStyle w:val="29"/>
        <w:rPr>
          <w:rFonts w:hint="eastAsia" w:ascii="宋体" w:hAnsi="宋体" w:eastAsia="宋体" w:cs="宋体"/>
          <w:color w:val="000000" w:themeColor="text1"/>
        </w:rPr>
      </w:pPr>
    </w:p>
    <w:p w14:paraId="6440B4A3">
      <w:pPr>
        <w:pStyle w:val="29"/>
        <w:rPr>
          <w:rFonts w:hint="eastAsia" w:ascii="宋体" w:hAnsi="宋体" w:eastAsia="宋体" w:cs="宋体"/>
          <w:color w:val="000000" w:themeColor="text1"/>
        </w:rPr>
      </w:pPr>
    </w:p>
    <w:p w14:paraId="05523D3D">
      <w:pPr>
        <w:pStyle w:val="29"/>
        <w:rPr>
          <w:rFonts w:hint="eastAsia" w:ascii="宋体" w:hAnsi="宋体" w:eastAsia="宋体" w:cs="宋体"/>
          <w:color w:val="000000" w:themeColor="text1"/>
        </w:rPr>
      </w:pPr>
    </w:p>
    <w:p w14:paraId="42C678C9">
      <w:pPr>
        <w:pStyle w:val="29"/>
        <w:rPr>
          <w:rFonts w:hint="eastAsia" w:ascii="宋体" w:hAnsi="宋体" w:eastAsia="宋体" w:cs="宋体"/>
          <w:color w:val="000000" w:themeColor="text1"/>
        </w:rPr>
      </w:pPr>
    </w:p>
    <w:p w14:paraId="077128D3">
      <w:pPr>
        <w:pStyle w:val="29"/>
        <w:rPr>
          <w:rFonts w:hint="eastAsia" w:ascii="宋体" w:hAnsi="宋体" w:eastAsia="宋体" w:cs="宋体"/>
          <w:color w:val="000000" w:themeColor="text1"/>
        </w:rPr>
      </w:pPr>
    </w:p>
    <w:p w14:paraId="5220F9D9">
      <w:pPr>
        <w:pStyle w:val="29"/>
        <w:rPr>
          <w:rFonts w:hint="eastAsia" w:ascii="宋体" w:hAnsi="宋体" w:eastAsia="宋体" w:cs="宋体"/>
          <w:color w:val="000000" w:themeColor="text1"/>
        </w:rPr>
      </w:pPr>
    </w:p>
    <w:p w14:paraId="614455FD">
      <w:pPr>
        <w:pStyle w:val="29"/>
        <w:rPr>
          <w:rFonts w:hint="eastAsia" w:ascii="宋体" w:hAnsi="宋体" w:eastAsia="宋体" w:cs="宋体"/>
          <w:color w:val="000000" w:themeColor="text1"/>
        </w:rPr>
      </w:pPr>
    </w:p>
    <w:p w14:paraId="105E33AD">
      <w:pPr>
        <w:pStyle w:val="29"/>
        <w:rPr>
          <w:rFonts w:hint="eastAsia" w:ascii="宋体" w:hAnsi="宋体" w:eastAsia="宋体" w:cs="宋体"/>
          <w:color w:val="000000" w:themeColor="text1"/>
        </w:rPr>
      </w:pPr>
    </w:p>
    <w:p w14:paraId="13572BE3">
      <w:pPr>
        <w:pStyle w:val="29"/>
        <w:rPr>
          <w:rFonts w:hint="eastAsia" w:ascii="宋体" w:hAnsi="宋体" w:eastAsia="宋体" w:cs="宋体"/>
          <w:color w:val="000000" w:themeColor="text1"/>
        </w:rPr>
      </w:pPr>
    </w:p>
    <w:p w14:paraId="4D5BBC72">
      <w:pPr>
        <w:pStyle w:val="29"/>
        <w:rPr>
          <w:rFonts w:hint="eastAsia" w:ascii="宋体" w:hAnsi="宋体" w:eastAsia="宋体" w:cs="宋体"/>
          <w:color w:val="000000" w:themeColor="text1"/>
        </w:rPr>
      </w:pPr>
    </w:p>
    <w:p w14:paraId="20D8AD82">
      <w:pPr>
        <w:pStyle w:val="29"/>
        <w:rPr>
          <w:rFonts w:hint="eastAsia" w:ascii="宋体" w:hAnsi="宋体" w:eastAsia="宋体" w:cs="宋体"/>
          <w:color w:val="000000" w:themeColor="text1"/>
        </w:rPr>
      </w:pPr>
    </w:p>
    <w:p w14:paraId="157003EC">
      <w:pPr>
        <w:pStyle w:val="29"/>
        <w:rPr>
          <w:rFonts w:hint="eastAsia" w:ascii="宋体" w:hAnsi="宋体" w:eastAsia="宋体" w:cs="宋体"/>
          <w:color w:val="000000" w:themeColor="text1"/>
        </w:rPr>
      </w:pPr>
    </w:p>
    <w:p w14:paraId="2380FB43">
      <w:pPr>
        <w:pStyle w:val="29"/>
        <w:rPr>
          <w:rFonts w:hint="eastAsia" w:ascii="宋体" w:hAnsi="宋体" w:eastAsia="宋体" w:cs="宋体"/>
          <w:color w:val="000000" w:themeColor="text1"/>
        </w:rPr>
      </w:pPr>
    </w:p>
    <w:p w14:paraId="5F6C71E3">
      <w:pPr>
        <w:pStyle w:val="29"/>
        <w:rPr>
          <w:rFonts w:hint="eastAsia" w:ascii="宋体" w:hAnsi="宋体" w:eastAsia="宋体" w:cs="宋体"/>
          <w:color w:val="000000" w:themeColor="text1"/>
        </w:rPr>
      </w:pPr>
    </w:p>
    <w:p w14:paraId="0382B959">
      <w:pPr>
        <w:pStyle w:val="29"/>
        <w:rPr>
          <w:rFonts w:hint="eastAsia" w:ascii="宋体" w:hAnsi="宋体" w:eastAsia="宋体" w:cs="宋体"/>
          <w:color w:val="000000" w:themeColor="text1"/>
        </w:rPr>
      </w:pPr>
    </w:p>
    <w:p w14:paraId="32E4C945">
      <w:pPr>
        <w:pStyle w:val="29"/>
        <w:rPr>
          <w:rFonts w:hint="eastAsia" w:ascii="宋体" w:hAnsi="宋体" w:eastAsia="宋体" w:cs="宋体"/>
          <w:color w:val="000000" w:themeColor="text1"/>
        </w:rPr>
      </w:pPr>
    </w:p>
    <w:p w14:paraId="70AD2997">
      <w:pPr>
        <w:pStyle w:val="29"/>
        <w:rPr>
          <w:rFonts w:hint="eastAsia" w:ascii="宋体" w:hAnsi="宋体" w:eastAsia="宋体" w:cs="宋体"/>
          <w:color w:val="000000" w:themeColor="text1"/>
        </w:rPr>
      </w:pPr>
    </w:p>
    <w:p w14:paraId="2AFC990E">
      <w:pPr>
        <w:pStyle w:val="29"/>
        <w:rPr>
          <w:rFonts w:hint="eastAsia" w:ascii="宋体" w:hAnsi="宋体" w:eastAsia="宋体" w:cs="宋体"/>
          <w:color w:val="000000" w:themeColor="text1"/>
        </w:rPr>
      </w:pPr>
    </w:p>
    <w:p w14:paraId="6B191150">
      <w:pPr>
        <w:pStyle w:val="29"/>
        <w:rPr>
          <w:rFonts w:hint="eastAsia" w:ascii="宋体" w:hAnsi="宋体" w:eastAsia="宋体" w:cs="宋体"/>
          <w:color w:val="000000" w:themeColor="text1"/>
        </w:rPr>
      </w:pPr>
    </w:p>
    <w:p w14:paraId="1FD78A1F">
      <w:pPr>
        <w:pStyle w:val="29"/>
        <w:rPr>
          <w:rFonts w:hint="eastAsia" w:ascii="宋体" w:hAnsi="宋体" w:eastAsia="宋体" w:cs="宋体"/>
          <w:color w:val="000000" w:themeColor="text1"/>
        </w:rPr>
      </w:pPr>
    </w:p>
    <w:p w14:paraId="60FD5948">
      <w:pPr>
        <w:pStyle w:val="29"/>
        <w:rPr>
          <w:rFonts w:hint="eastAsia" w:ascii="宋体" w:hAnsi="宋体" w:eastAsia="宋体" w:cs="宋体"/>
          <w:color w:val="000000" w:themeColor="text1"/>
        </w:rPr>
      </w:pPr>
    </w:p>
    <w:p w14:paraId="125585FF">
      <w:pPr>
        <w:pStyle w:val="29"/>
        <w:rPr>
          <w:rFonts w:hint="eastAsia" w:ascii="宋体" w:hAnsi="宋体" w:eastAsia="宋体" w:cs="宋体"/>
          <w:color w:val="000000" w:themeColor="text1"/>
        </w:rPr>
      </w:pPr>
    </w:p>
    <w:p w14:paraId="65B0DBDD">
      <w:pPr>
        <w:pStyle w:val="29"/>
        <w:rPr>
          <w:rFonts w:hint="eastAsia" w:ascii="宋体" w:hAnsi="宋体" w:eastAsia="宋体" w:cs="宋体"/>
          <w:color w:val="000000" w:themeColor="text1"/>
        </w:rPr>
      </w:pPr>
    </w:p>
    <w:p w14:paraId="5E193546">
      <w:pPr>
        <w:pStyle w:val="29"/>
        <w:rPr>
          <w:rFonts w:hint="eastAsia" w:ascii="宋体" w:hAnsi="宋体" w:eastAsia="宋体" w:cs="宋体"/>
          <w:color w:val="000000" w:themeColor="text1"/>
        </w:rPr>
      </w:pPr>
    </w:p>
    <w:p w14:paraId="281743BB">
      <w:pPr>
        <w:pStyle w:val="29"/>
        <w:rPr>
          <w:rFonts w:hint="eastAsia" w:ascii="宋体" w:hAnsi="宋体" w:eastAsia="宋体" w:cs="宋体"/>
          <w:color w:val="000000" w:themeColor="text1"/>
        </w:rPr>
      </w:pPr>
    </w:p>
    <w:p w14:paraId="6D0446D7">
      <w:pPr>
        <w:pStyle w:val="29"/>
        <w:rPr>
          <w:rFonts w:hint="eastAsia" w:ascii="宋体" w:hAnsi="宋体" w:eastAsia="宋体" w:cs="宋体"/>
          <w:color w:val="000000" w:themeColor="text1"/>
        </w:rPr>
      </w:pPr>
    </w:p>
    <w:p w14:paraId="3728CFF9">
      <w:pPr>
        <w:pStyle w:val="29"/>
        <w:rPr>
          <w:rFonts w:hint="eastAsia" w:ascii="宋体" w:hAnsi="宋体" w:eastAsia="宋体" w:cs="宋体"/>
          <w:color w:val="000000" w:themeColor="text1"/>
        </w:rPr>
      </w:pPr>
    </w:p>
    <w:p w14:paraId="36B2F9BB">
      <w:pPr>
        <w:pStyle w:val="29"/>
        <w:rPr>
          <w:rFonts w:hint="eastAsia" w:ascii="宋体" w:hAnsi="宋体" w:eastAsia="宋体" w:cs="宋体"/>
          <w:color w:val="000000" w:themeColor="text1"/>
        </w:rPr>
      </w:pPr>
    </w:p>
    <w:p w14:paraId="342C13CC">
      <w:pPr>
        <w:pStyle w:val="3"/>
        <w:keepNext w:val="0"/>
        <w:keepLines w:val="0"/>
        <w:wordWrap w:val="0"/>
        <w:topLinePunct/>
        <w:spacing w:before="0" w:after="0" w:line="36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1.总则</w:t>
      </w:r>
      <w:bookmarkEnd w:id="71"/>
      <w:bookmarkEnd w:id="72"/>
      <w:bookmarkEnd w:id="73"/>
      <w:bookmarkEnd w:id="74"/>
      <w:bookmarkEnd w:id="75"/>
      <w:bookmarkEnd w:id="76"/>
      <w:bookmarkEnd w:id="77"/>
      <w:bookmarkEnd w:id="78"/>
    </w:p>
    <w:p w14:paraId="5FC5DA7E">
      <w:pPr>
        <w:pStyle w:val="3"/>
        <w:keepNext w:val="0"/>
        <w:keepLines w:val="0"/>
        <w:wordWrap w:val="0"/>
        <w:topLinePunct/>
        <w:spacing w:before="0" w:after="0" w:line="420" w:lineRule="exact"/>
        <w:rPr>
          <w:rFonts w:hint="eastAsia" w:ascii="宋体" w:hAnsi="宋体" w:eastAsia="宋体" w:cs="宋体"/>
          <w:color w:val="000000" w:themeColor="text1"/>
          <w:sz w:val="28"/>
          <w:szCs w:val="28"/>
        </w:rPr>
      </w:pPr>
      <w:bookmarkStart w:id="79" w:name="_Toc494118807"/>
      <w:bookmarkStart w:id="80" w:name="_Toc5085"/>
      <w:bookmarkStart w:id="81" w:name="_Toc246996973"/>
      <w:bookmarkStart w:id="82" w:name="_Toc144974554"/>
      <w:bookmarkStart w:id="83" w:name="_Toc152042364"/>
      <w:bookmarkStart w:id="84" w:name="_Toc179632605"/>
      <w:bookmarkStart w:id="85" w:name="_Toc152045587"/>
      <w:bookmarkStart w:id="86" w:name="_Toc246996230"/>
      <w:bookmarkStart w:id="87" w:name="_Toc247085745"/>
      <w:r>
        <w:rPr>
          <w:rFonts w:hint="eastAsia" w:ascii="宋体" w:hAnsi="宋体" w:eastAsia="宋体" w:cs="宋体"/>
          <w:color w:val="000000" w:themeColor="text1"/>
          <w:sz w:val="28"/>
          <w:szCs w:val="28"/>
        </w:rPr>
        <w:t>1 总则</w:t>
      </w:r>
      <w:bookmarkEnd w:id="79"/>
      <w:bookmarkEnd w:id="80"/>
    </w:p>
    <w:p w14:paraId="347DFD65">
      <w:pPr>
        <w:pStyle w:val="4"/>
        <w:spacing w:before="0" w:after="0" w:line="420" w:lineRule="exact"/>
        <w:rPr>
          <w:rFonts w:hint="eastAsia" w:ascii="宋体" w:hAnsi="宋体" w:eastAsia="宋体" w:cs="宋体"/>
          <w:color w:val="000000" w:themeColor="text1"/>
          <w:sz w:val="28"/>
          <w:szCs w:val="28"/>
        </w:rPr>
      </w:pPr>
      <w:bookmarkStart w:id="88" w:name="_Toc8702"/>
      <w:bookmarkStart w:id="89" w:name="_Toc389065146"/>
      <w:r>
        <w:rPr>
          <w:rFonts w:hint="eastAsia" w:ascii="宋体" w:hAnsi="宋体" w:eastAsia="宋体" w:cs="宋体"/>
          <w:color w:val="000000" w:themeColor="text1"/>
          <w:sz w:val="28"/>
          <w:szCs w:val="28"/>
        </w:rPr>
        <w:t>1.1 项目概况</w:t>
      </w:r>
      <w:bookmarkEnd w:id="88"/>
      <w:bookmarkEnd w:id="89"/>
    </w:p>
    <w:p w14:paraId="4BE67A1D">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1.1.1 根据《中华人民共和国政府采购法》等有关法律、法规和规章的规定，本项目已具备竞标条件，现对本标段施工进行采购。</w:t>
      </w:r>
    </w:p>
    <w:p w14:paraId="66B339B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1.1.2 本采购项目采购人：见“竞标人须知前附表”。</w:t>
      </w:r>
    </w:p>
    <w:p w14:paraId="37F74B9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1.1.3 本标段采购代理机构：见“竞标人须知前附表”。</w:t>
      </w:r>
    </w:p>
    <w:p w14:paraId="4AA235A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1.1.4 本采购项目名称及项目采购编号：见“竞标人须知前附表”。</w:t>
      </w:r>
    </w:p>
    <w:p w14:paraId="71ADDBC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1.1.5 本标段建设地点：见“竞标人须知前附表”。</w:t>
      </w:r>
    </w:p>
    <w:p w14:paraId="6B71E615">
      <w:pPr>
        <w:pStyle w:val="4"/>
        <w:spacing w:before="0" w:after="0" w:line="420" w:lineRule="exact"/>
        <w:rPr>
          <w:rFonts w:hint="eastAsia" w:ascii="宋体" w:hAnsi="宋体" w:eastAsia="宋体" w:cs="宋体"/>
          <w:color w:val="000000" w:themeColor="text1"/>
          <w:sz w:val="28"/>
          <w:szCs w:val="28"/>
        </w:rPr>
      </w:pPr>
      <w:bookmarkStart w:id="90" w:name="_Toc389065147"/>
      <w:bookmarkStart w:id="91" w:name="_Toc19284"/>
      <w:r>
        <w:rPr>
          <w:rFonts w:hint="eastAsia" w:ascii="宋体" w:hAnsi="宋体" w:eastAsia="宋体" w:cs="宋体"/>
          <w:color w:val="000000" w:themeColor="text1"/>
          <w:sz w:val="28"/>
          <w:szCs w:val="28"/>
        </w:rPr>
        <w:t>1.2 资金来源和落实及增值税计税方法情况</w:t>
      </w:r>
      <w:bookmarkEnd w:id="90"/>
      <w:bookmarkEnd w:id="91"/>
    </w:p>
    <w:p w14:paraId="5FE269B1">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1.2.1 本采购项目的资金来源：见“竞标人须知前附表”。</w:t>
      </w:r>
    </w:p>
    <w:p w14:paraId="395A295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1.2.2 本采购项目的出资比例：见“竞标人须知前附表”。</w:t>
      </w:r>
    </w:p>
    <w:p w14:paraId="659F3FD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1.2.3 本采购项目的资金落实情况：见“竞标人须知前附表”。</w:t>
      </w:r>
    </w:p>
    <w:p w14:paraId="560EF2F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1.2.4 本采购项目的增值税计税方法：见“竞标人须知前附表”。</w:t>
      </w:r>
    </w:p>
    <w:p w14:paraId="7BEDE53B">
      <w:pPr>
        <w:pStyle w:val="4"/>
        <w:spacing w:before="0" w:after="0" w:line="420" w:lineRule="exact"/>
        <w:rPr>
          <w:rFonts w:hint="eastAsia" w:ascii="宋体" w:hAnsi="宋体" w:eastAsia="宋体" w:cs="宋体"/>
          <w:color w:val="000000" w:themeColor="text1"/>
          <w:sz w:val="28"/>
          <w:szCs w:val="28"/>
        </w:rPr>
      </w:pPr>
      <w:bookmarkStart w:id="92" w:name="_Toc389065148"/>
      <w:bookmarkStart w:id="93" w:name="_Toc4692"/>
      <w:r>
        <w:rPr>
          <w:rFonts w:hint="eastAsia" w:ascii="宋体" w:hAnsi="宋体" w:eastAsia="宋体" w:cs="宋体"/>
          <w:color w:val="000000" w:themeColor="text1"/>
          <w:sz w:val="28"/>
          <w:szCs w:val="28"/>
        </w:rPr>
        <w:t>1.3 采购范围、计划工期和质量要求</w:t>
      </w:r>
      <w:bookmarkEnd w:id="92"/>
      <w:bookmarkEnd w:id="93"/>
    </w:p>
    <w:p w14:paraId="7213056F">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1.3.1 本次采购范围：见“竞标人须知前附表”。</w:t>
      </w:r>
    </w:p>
    <w:p w14:paraId="21E705E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1.3.2 本标段的要求工期：见“竞标人须知前附表”。</w:t>
      </w:r>
    </w:p>
    <w:p w14:paraId="115A2A3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1.3.3 本标段的质量要求：见“竞标人须知前附表”。</w:t>
      </w:r>
    </w:p>
    <w:p w14:paraId="2C77B0CA">
      <w:pPr>
        <w:pStyle w:val="4"/>
        <w:spacing w:before="0" w:after="0" w:line="420" w:lineRule="exact"/>
        <w:rPr>
          <w:rFonts w:hint="eastAsia" w:ascii="宋体" w:hAnsi="宋体" w:eastAsia="宋体" w:cs="宋体"/>
          <w:color w:val="000000" w:themeColor="text1"/>
          <w:sz w:val="28"/>
          <w:szCs w:val="28"/>
        </w:rPr>
      </w:pPr>
      <w:bookmarkStart w:id="94" w:name="_Toc31165"/>
      <w:bookmarkStart w:id="95" w:name="_Toc389065149"/>
      <w:r>
        <w:rPr>
          <w:rFonts w:hint="eastAsia" w:ascii="宋体" w:hAnsi="宋体" w:eastAsia="宋体" w:cs="宋体"/>
          <w:color w:val="000000" w:themeColor="text1"/>
          <w:sz w:val="28"/>
          <w:szCs w:val="28"/>
        </w:rPr>
        <w:t>1.4 竞标人资格要求</w:t>
      </w:r>
      <w:bookmarkEnd w:id="94"/>
      <w:bookmarkEnd w:id="95"/>
    </w:p>
    <w:p w14:paraId="41DC073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1.4.1 竞标人应具备承担本项目施工的资质条件、能力、诚信等要求。</w:t>
      </w:r>
    </w:p>
    <w:p w14:paraId="53F8032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（1）资质条件：见“竞标人须知前附表”；</w:t>
      </w:r>
    </w:p>
    <w:p w14:paraId="262DF5E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（2）财务要求：见“竞标人须知前附表”；</w:t>
      </w:r>
    </w:p>
    <w:p w14:paraId="00AF496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（3）业绩要求：见“竞标人须知前附表”；</w:t>
      </w:r>
    </w:p>
    <w:p w14:paraId="2B54A9A6">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（4）诚信要求：见“竞标人须知前附表”；</w:t>
      </w:r>
    </w:p>
    <w:p w14:paraId="2E43FDC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（5）项目经理资格：见“竞标人须知前附表”；</w:t>
      </w:r>
    </w:p>
    <w:p w14:paraId="7CC02CE1">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（6）专职安全员要求：见“竞标人须知前附表”；</w:t>
      </w:r>
    </w:p>
    <w:p w14:paraId="59ECDAA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（7）其他要求：见“竞标人须知前附表”。</w:t>
      </w:r>
    </w:p>
    <w:p w14:paraId="704FAC4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1.4.3 竞标人不得存在下列情形之一：</w:t>
      </w:r>
    </w:p>
    <w:p w14:paraId="08F844C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（1）与采购人存在利害关系可能影响采购公正性的法人、其他组织；；</w:t>
      </w:r>
    </w:p>
    <w:p w14:paraId="22B0025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（2）为本标段前期准备提供设计或咨询服务的，但设计施工总承包的除外；</w:t>
      </w:r>
    </w:p>
    <w:p w14:paraId="6828E26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（3）为本标段的监理人；</w:t>
      </w:r>
    </w:p>
    <w:p w14:paraId="59E6468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（4）为本标段的代建人；</w:t>
      </w:r>
    </w:p>
    <w:p w14:paraId="4EC18F8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（5）为本标段提供采购代理服务的；</w:t>
      </w:r>
    </w:p>
    <w:p w14:paraId="7E82771D">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（6）与本标段的监理人或代建人或采购代理机构同为一个法定代表人的；</w:t>
      </w:r>
    </w:p>
    <w:p w14:paraId="2D9AE9D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（7）与本标段的监理人或代建人或采购代理机构相互控股或参股的；</w:t>
      </w:r>
    </w:p>
    <w:p w14:paraId="51C0ABF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（8）与本标段的监理人或代建人或采购代理机构相互任职或工作的；</w:t>
      </w:r>
    </w:p>
    <w:p w14:paraId="2B2744A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（9）被责令停业整顿的；</w:t>
      </w:r>
    </w:p>
    <w:p w14:paraId="2D69F11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（10）被暂停或取消竞标资格的；</w:t>
      </w:r>
    </w:p>
    <w:p w14:paraId="508E18D0">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（11）财产被接管或基本账户被冻结的；</w:t>
      </w:r>
    </w:p>
    <w:p w14:paraId="45234C2F">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（12）有骗取中标或严重违约或工程质量安全问题，正处在停业整顿或暂停竞标期间的。</w:t>
      </w:r>
    </w:p>
    <w:p w14:paraId="160A1BD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1.4.4 单位负责人为同一人或者存在控股、管理关系的不同单位，不得参加同一标段竞标或者未划分标段的同一采购项目竞标，违反本规定的，相关竞标均无效。</w:t>
      </w:r>
    </w:p>
    <w:p w14:paraId="2B919A6F">
      <w:pPr>
        <w:pStyle w:val="4"/>
        <w:spacing w:before="0" w:after="0" w:line="420" w:lineRule="exact"/>
        <w:rPr>
          <w:rFonts w:hint="eastAsia" w:ascii="宋体" w:hAnsi="宋体" w:eastAsia="宋体" w:cs="宋体"/>
          <w:color w:val="000000" w:themeColor="text1"/>
          <w:sz w:val="28"/>
          <w:szCs w:val="28"/>
        </w:rPr>
      </w:pPr>
      <w:bookmarkStart w:id="96" w:name="_Toc389065150"/>
      <w:bookmarkStart w:id="97" w:name="_Toc15866"/>
      <w:r>
        <w:rPr>
          <w:rFonts w:hint="eastAsia" w:ascii="宋体" w:hAnsi="宋体" w:eastAsia="宋体" w:cs="宋体"/>
          <w:color w:val="000000" w:themeColor="text1"/>
          <w:sz w:val="28"/>
          <w:szCs w:val="28"/>
        </w:rPr>
        <w:t>1.5 费用承担</w:t>
      </w:r>
      <w:bookmarkEnd w:id="96"/>
      <w:bookmarkEnd w:id="97"/>
    </w:p>
    <w:p w14:paraId="422C5926">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竞标人准备和参加竞标活动发生的费用自理。</w:t>
      </w:r>
    </w:p>
    <w:p w14:paraId="494F4910">
      <w:pPr>
        <w:pStyle w:val="4"/>
        <w:spacing w:before="0" w:after="0" w:line="420" w:lineRule="exact"/>
        <w:rPr>
          <w:rFonts w:hint="eastAsia" w:ascii="宋体" w:hAnsi="宋体" w:eastAsia="宋体" w:cs="宋体"/>
          <w:color w:val="000000" w:themeColor="text1"/>
          <w:sz w:val="28"/>
          <w:szCs w:val="28"/>
        </w:rPr>
      </w:pPr>
      <w:bookmarkStart w:id="98" w:name="_Toc13004"/>
      <w:bookmarkStart w:id="99" w:name="_Toc389065151"/>
      <w:r>
        <w:rPr>
          <w:rFonts w:hint="eastAsia" w:ascii="宋体" w:hAnsi="宋体" w:eastAsia="宋体" w:cs="宋体"/>
          <w:color w:val="000000" w:themeColor="text1"/>
          <w:sz w:val="28"/>
          <w:szCs w:val="28"/>
        </w:rPr>
        <w:t>1.6 保密</w:t>
      </w:r>
      <w:bookmarkEnd w:id="98"/>
      <w:bookmarkEnd w:id="99"/>
    </w:p>
    <w:p w14:paraId="5DDA29CB">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参与采购竞标活动的各方应对竞争性谈判文件和竞标文件中的商业和技术等秘密保密，违者应对由此造成的后果承担法律责任。</w:t>
      </w:r>
    </w:p>
    <w:p w14:paraId="54D3D4DA">
      <w:pPr>
        <w:pStyle w:val="4"/>
        <w:spacing w:before="0" w:after="0" w:line="420" w:lineRule="exact"/>
        <w:rPr>
          <w:rFonts w:hint="eastAsia" w:ascii="宋体" w:hAnsi="宋体" w:eastAsia="宋体" w:cs="宋体"/>
          <w:color w:val="000000" w:themeColor="text1"/>
          <w:sz w:val="28"/>
          <w:szCs w:val="28"/>
        </w:rPr>
      </w:pPr>
      <w:bookmarkStart w:id="100" w:name="_Toc389065152"/>
      <w:bookmarkStart w:id="101" w:name="_Toc15591"/>
      <w:r>
        <w:rPr>
          <w:rFonts w:hint="eastAsia" w:ascii="宋体" w:hAnsi="宋体" w:eastAsia="宋体" w:cs="宋体"/>
          <w:color w:val="000000" w:themeColor="text1"/>
          <w:sz w:val="28"/>
          <w:szCs w:val="28"/>
        </w:rPr>
        <w:t>1.7 语言文字</w:t>
      </w:r>
      <w:bookmarkEnd w:id="100"/>
      <w:bookmarkEnd w:id="101"/>
    </w:p>
    <w:p w14:paraId="48D7D8A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除专用术语外，与采购竞标有关的语言均使用中文。必要时专用术语应附有中文注释。</w:t>
      </w:r>
    </w:p>
    <w:p w14:paraId="677DC9A5">
      <w:pPr>
        <w:pStyle w:val="4"/>
        <w:spacing w:before="0" w:after="0" w:line="420" w:lineRule="exact"/>
        <w:rPr>
          <w:rFonts w:hint="eastAsia" w:ascii="宋体" w:hAnsi="宋体" w:eastAsia="宋体" w:cs="宋体"/>
          <w:color w:val="000000" w:themeColor="text1"/>
          <w:sz w:val="28"/>
          <w:szCs w:val="28"/>
        </w:rPr>
      </w:pPr>
      <w:bookmarkStart w:id="102" w:name="_Toc7501"/>
      <w:bookmarkStart w:id="103" w:name="_Toc389065153"/>
      <w:r>
        <w:rPr>
          <w:rFonts w:hint="eastAsia" w:ascii="宋体" w:hAnsi="宋体" w:eastAsia="宋体" w:cs="宋体"/>
          <w:color w:val="000000" w:themeColor="text1"/>
          <w:sz w:val="28"/>
          <w:szCs w:val="28"/>
        </w:rPr>
        <w:t>1.8 计量单位</w:t>
      </w:r>
      <w:bookmarkEnd w:id="102"/>
      <w:bookmarkEnd w:id="103"/>
    </w:p>
    <w:p w14:paraId="6D76FB0B">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所有计量均采用中华人民共和国法定计量单位。</w:t>
      </w:r>
    </w:p>
    <w:p w14:paraId="6F8337A8">
      <w:pPr>
        <w:pStyle w:val="4"/>
        <w:spacing w:before="0" w:after="0" w:line="420" w:lineRule="exact"/>
        <w:rPr>
          <w:rFonts w:hint="eastAsia" w:ascii="宋体" w:hAnsi="宋体" w:eastAsia="宋体" w:cs="宋体"/>
          <w:color w:val="000000" w:themeColor="text1"/>
          <w:sz w:val="28"/>
          <w:szCs w:val="28"/>
        </w:rPr>
      </w:pPr>
      <w:bookmarkStart w:id="104" w:name="_Toc5800"/>
      <w:bookmarkStart w:id="105" w:name="_Toc389065154"/>
      <w:r>
        <w:rPr>
          <w:rFonts w:hint="eastAsia" w:ascii="宋体" w:hAnsi="宋体" w:eastAsia="宋体" w:cs="宋体"/>
          <w:color w:val="000000" w:themeColor="text1"/>
          <w:sz w:val="28"/>
          <w:szCs w:val="28"/>
        </w:rPr>
        <w:t>1.9 踏勘现场</w:t>
      </w:r>
      <w:bookmarkEnd w:id="104"/>
      <w:bookmarkEnd w:id="105"/>
    </w:p>
    <w:p w14:paraId="0BD1A0DB">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不组织。</w:t>
      </w:r>
    </w:p>
    <w:p w14:paraId="75772368">
      <w:pPr>
        <w:pStyle w:val="4"/>
        <w:spacing w:before="0" w:after="0" w:line="420" w:lineRule="exact"/>
        <w:rPr>
          <w:rFonts w:hint="eastAsia" w:ascii="宋体" w:hAnsi="宋体" w:eastAsia="宋体" w:cs="宋体"/>
          <w:color w:val="000000" w:themeColor="text1"/>
          <w:sz w:val="28"/>
          <w:szCs w:val="28"/>
        </w:rPr>
      </w:pPr>
      <w:bookmarkStart w:id="106" w:name="_Toc389065155"/>
      <w:bookmarkStart w:id="107" w:name="_Toc22237"/>
      <w:r>
        <w:rPr>
          <w:rFonts w:hint="eastAsia" w:ascii="宋体" w:hAnsi="宋体" w:eastAsia="宋体" w:cs="宋体"/>
          <w:color w:val="000000" w:themeColor="text1"/>
          <w:sz w:val="28"/>
          <w:szCs w:val="28"/>
        </w:rPr>
        <w:t>1.10 竞标预备会</w:t>
      </w:r>
      <w:bookmarkEnd w:id="106"/>
      <w:bookmarkEnd w:id="107"/>
    </w:p>
    <w:p w14:paraId="3CF78E9E">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不召开。</w:t>
      </w:r>
    </w:p>
    <w:p w14:paraId="10A53C46">
      <w:pPr>
        <w:pStyle w:val="4"/>
        <w:spacing w:before="0" w:after="0" w:line="420" w:lineRule="exact"/>
        <w:rPr>
          <w:rFonts w:hint="eastAsia" w:ascii="宋体" w:hAnsi="宋体" w:eastAsia="宋体" w:cs="宋体"/>
          <w:color w:val="000000" w:themeColor="text1"/>
          <w:sz w:val="28"/>
          <w:szCs w:val="28"/>
        </w:rPr>
      </w:pPr>
      <w:bookmarkStart w:id="108" w:name="_Toc389065156"/>
      <w:bookmarkStart w:id="109" w:name="_Toc23967"/>
      <w:r>
        <w:rPr>
          <w:rFonts w:hint="eastAsia" w:ascii="宋体" w:hAnsi="宋体" w:eastAsia="宋体" w:cs="宋体"/>
          <w:color w:val="000000" w:themeColor="text1"/>
          <w:sz w:val="28"/>
          <w:szCs w:val="28"/>
        </w:rPr>
        <w:t>1.11 分包</w:t>
      </w:r>
      <w:bookmarkEnd w:id="108"/>
      <w:bookmarkEnd w:id="109"/>
    </w:p>
    <w:p w14:paraId="639A53A5">
      <w:pPr>
        <w:pStyle w:val="4"/>
        <w:spacing w:before="0" w:after="0" w:line="420" w:lineRule="exact"/>
        <w:ind w:firstLine="480" w:firstLineChars="200"/>
        <w:rPr>
          <w:rFonts w:hint="eastAsia" w:ascii="宋体" w:hAnsi="宋体" w:eastAsia="宋体" w:cs="宋体"/>
          <w:b w:val="0"/>
          <w:bCs w:val="0"/>
          <w:color w:val="000000" w:themeColor="text1"/>
          <w:sz w:val="24"/>
          <w:szCs w:val="24"/>
        </w:rPr>
      </w:pPr>
      <w:bookmarkStart w:id="110" w:name="_Toc20137"/>
      <w:bookmarkStart w:id="111" w:name="_Toc389065157"/>
      <w:r>
        <w:rPr>
          <w:rFonts w:hint="eastAsia" w:ascii="宋体" w:hAnsi="宋体" w:eastAsia="宋体" w:cs="宋体"/>
          <w:b w:val="0"/>
          <w:bCs w:val="0"/>
          <w:color w:val="000000" w:themeColor="text1"/>
          <w:sz w:val="24"/>
          <w:szCs w:val="24"/>
        </w:rPr>
        <w:t>不允许</w:t>
      </w:r>
      <w:bookmarkEnd w:id="110"/>
      <w:r>
        <w:rPr>
          <w:rFonts w:hint="eastAsia" w:ascii="宋体" w:hAnsi="宋体" w:eastAsia="宋体" w:cs="宋体"/>
          <w:b w:val="0"/>
          <w:bCs w:val="0"/>
          <w:color w:val="000000" w:themeColor="text1"/>
          <w:sz w:val="24"/>
          <w:szCs w:val="24"/>
        </w:rPr>
        <w:t>。</w:t>
      </w:r>
    </w:p>
    <w:p w14:paraId="0ED74752">
      <w:pPr>
        <w:pStyle w:val="4"/>
        <w:spacing w:before="0" w:after="0" w:line="420" w:lineRule="exact"/>
        <w:rPr>
          <w:rFonts w:hint="eastAsia" w:ascii="宋体" w:hAnsi="宋体" w:eastAsia="宋体" w:cs="宋体"/>
          <w:color w:val="000000" w:themeColor="text1"/>
          <w:sz w:val="28"/>
          <w:szCs w:val="28"/>
        </w:rPr>
      </w:pPr>
      <w:bookmarkStart w:id="112" w:name="_Toc6476"/>
      <w:r>
        <w:rPr>
          <w:rFonts w:hint="eastAsia" w:ascii="宋体" w:hAnsi="宋体" w:eastAsia="宋体" w:cs="宋体"/>
          <w:color w:val="000000" w:themeColor="text1"/>
          <w:sz w:val="28"/>
          <w:szCs w:val="28"/>
        </w:rPr>
        <w:t>1.12 偏离</w:t>
      </w:r>
      <w:bookmarkEnd w:id="111"/>
      <w:bookmarkEnd w:id="112"/>
    </w:p>
    <w:p w14:paraId="14F7BAC9">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szCs w:val="21"/>
        </w:rPr>
        <w:t>不允许。</w:t>
      </w:r>
    </w:p>
    <w:p w14:paraId="6DB3A988">
      <w:pPr>
        <w:pStyle w:val="3"/>
        <w:spacing w:before="0" w:after="0" w:line="420" w:lineRule="exact"/>
        <w:rPr>
          <w:rFonts w:hint="eastAsia" w:ascii="宋体" w:hAnsi="宋体" w:eastAsia="宋体" w:cs="宋体"/>
          <w:color w:val="000000" w:themeColor="text1"/>
          <w:sz w:val="28"/>
          <w:szCs w:val="28"/>
        </w:rPr>
      </w:pPr>
      <w:bookmarkStart w:id="113" w:name="_Toc494118808"/>
      <w:bookmarkStart w:id="114" w:name="_Toc389065158"/>
      <w:bookmarkStart w:id="115" w:name="_Toc5905"/>
      <w:r>
        <w:rPr>
          <w:rFonts w:hint="eastAsia" w:ascii="宋体" w:hAnsi="宋体" w:eastAsia="宋体" w:cs="宋体"/>
          <w:color w:val="000000" w:themeColor="text1"/>
          <w:sz w:val="28"/>
          <w:szCs w:val="28"/>
        </w:rPr>
        <w:t>2 竞争性谈判文件</w:t>
      </w:r>
      <w:bookmarkEnd w:id="113"/>
      <w:bookmarkEnd w:id="114"/>
      <w:bookmarkEnd w:id="115"/>
    </w:p>
    <w:p w14:paraId="54DE7F18">
      <w:pPr>
        <w:pStyle w:val="4"/>
        <w:spacing w:before="0" w:after="0" w:line="420" w:lineRule="exact"/>
        <w:rPr>
          <w:rFonts w:hint="eastAsia" w:ascii="宋体" w:hAnsi="宋体" w:eastAsia="宋体" w:cs="宋体"/>
          <w:color w:val="000000" w:themeColor="text1"/>
          <w:sz w:val="28"/>
          <w:szCs w:val="28"/>
        </w:rPr>
      </w:pPr>
      <w:bookmarkStart w:id="116" w:name="_Toc389065159"/>
      <w:bookmarkStart w:id="117" w:name="_Toc8170"/>
      <w:r>
        <w:rPr>
          <w:rFonts w:hint="eastAsia" w:ascii="宋体" w:hAnsi="宋体" w:eastAsia="宋体" w:cs="宋体"/>
          <w:color w:val="000000" w:themeColor="text1"/>
          <w:sz w:val="28"/>
          <w:szCs w:val="28"/>
        </w:rPr>
        <w:t>2.1 竞争性谈判文件的组成</w:t>
      </w:r>
      <w:bookmarkEnd w:id="116"/>
      <w:bookmarkEnd w:id="117"/>
    </w:p>
    <w:p w14:paraId="415A396E">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2.1.1 本竞争性谈判文件包括：</w:t>
      </w:r>
    </w:p>
    <w:p w14:paraId="15CD8C4E">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（1）采购公告；</w:t>
      </w:r>
    </w:p>
    <w:p w14:paraId="7B675D7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（2）竞标人须知；</w:t>
      </w:r>
    </w:p>
    <w:p w14:paraId="224F8C46">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（3）评标办法；</w:t>
      </w:r>
    </w:p>
    <w:p w14:paraId="278D19C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（4）合同条款及格式；</w:t>
      </w:r>
    </w:p>
    <w:p w14:paraId="2177952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（5）工程量清单；</w:t>
      </w:r>
    </w:p>
    <w:p w14:paraId="45CAD91F">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（6）采购控制价；</w:t>
      </w:r>
    </w:p>
    <w:p w14:paraId="1DBCCA0E">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（7）图纸；</w:t>
      </w:r>
    </w:p>
    <w:p w14:paraId="0D3D3E1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（8）技术标准和要求；</w:t>
      </w:r>
    </w:p>
    <w:p w14:paraId="1414EAFE">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（9）竞标文件格式；</w:t>
      </w:r>
    </w:p>
    <w:p w14:paraId="4446CCB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（10）“竞标人须知前附表”规定的其他材料。</w:t>
      </w:r>
    </w:p>
    <w:p w14:paraId="12C6A6FD">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2.1.2 根据本章第2.2款和第2.3款对竞争性谈判文件所作的澄清、修改，构成竞争性谈判文件的组成部分。当竞争性谈判文件及其澄清、修改或补充文件对于同一内容表述不一致时，以最后发出的书面文件为准。</w:t>
      </w:r>
    </w:p>
    <w:p w14:paraId="5CFD44C6">
      <w:pPr>
        <w:pStyle w:val="4"/>
        <w:spacing w:before="0" w:after="0" w:line="420" w:lineRule="exact"/>
        <w:rPr>
          <w:rFonts w:hint="eastAsia" w:ascii="宋体" w:hAnsi="宋体" w:eastAsia="宋体" w:cs="宋体"/>
          <w:color w:val="000000" w:themeColor="text1"/>
          <w:sz w:val="28"/>
          <w:szCs w:val="28"/>
        </w:rPr>
      </w:pPr>
      <w:bookmarkStart w:id="118" w:name="_Toc27989"/>
      <w:bookmarkStart w:id="119" w:name="_Toc389065160"/>
      <w:r>
        <w:rPr>
          <w:rFonts w:hint="eastAsia" w:ascii="宋体" w:hAnsi="宋体" w:eastAsia="宋体" w:cs="宋体"/>
          <w:color w:val="000000" w:themeColor="text1"/>
          <w:sz w:val="28"/>
          <w:szCs w:val="28"/>
        </w:rPr>
        <w:t>2.2 竞争性谈判文件的澄清</w:t>
      </w:r>
      <w:bookmarkEnd w:id="118"/>
      <w:bookmarkEnd w:id="119"/>
    </w:p>
    <w:p w14:paraId="4FE36A32">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bookmarkStart w:id="120" w:name="_Toc389065161"/>
      <w:bookmarkStart w:id="121" w:name="_Toc16867"/>
      <w:r>
        <w:rPr>
          <w:rFonts w:hint="eastAsia" w:ascii="宋体" w:hAnsi="宋体" w:eastAsia="宋体" w:cs="宋体"/>
          <w:color w:val="000000" w:themeColor="text1"/>
          <w:szCs w:val="21"/>
          <w:highlight w:val="none"/>
        </w:rPr>
        <w:t xml:space="preserve">2.2.1 </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应仔细阅读和检查</w:t>
      </w:r>
      <w:r>
        <w:rPr>
          <w:rFonts w:hint="eastAsia" w:ascii="宋体" w:hAnsi="宋体" w:eastAsia="宋体" w:cs="宋体"/>
          <w:color w:val="000000" w:themeColor="text1"/>
          <w:szCs w:val="21"/>
          <w:highlight w:val="none"/>
          <w:lang w:eastAsia="zh-CN"/>
        </w:rPr>
        <w:t>竞争性谈判文件</w:t>
      </w:r>
      <w:r>
        <w:rPr>
          <w:rFonts w:hint="eastAsia" w:ascii="宋体" w:hAnsi="宋体" w:eastAsia="宋体" w:cs="宋体"/>
          <w:color w:val="000000" w:themeColor="text1"/>
          <w:szCs w:val="21"/>
          <w:highlight w:val="none"/>
        </w:rPr>
        <w:t>的全部内容。如发现缺页或附件不全，应及时向采购人提出，以便补齐。如有疑问或异议，应在“</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须知前附表”规定的时间前书面要求（包括信函、电报、传真等可以有形地表现所载内容的形式，下同）采购人对</w:t>
      </w:r>
      <w:r>
        <w:rPr>
          <w:rFonts w:hint="eastAsia" w:ascii="宋体" w:hAnsi="宋体" w:eastAsia="宋体" w:cs="宋体"/>
          <w:color w:val="000000" w:themeColor="text1"/>
          <w:szCs w:val="21"/>
          <w:highlight w:val="none"/>
          <w:lang w:eastAsia="zh-CN"/>
        </w:rPr>
        <w:t>竞争性谈判文件</w:t>
      </w:r>
      <w:r>
        <w:rPr>
          <w:rFonts w:hint="eastAsia" w:ascii="宋体" w:hAnsi="宋体" w:eastAsia="宋体" w:cs="宋体"/>
          <w:color w:val="000000" w:themeColor="text1"/>
          <w:szCs w:val="21"/>
          <w:highlight w:val="none"/>
        </w:rPr>
        <w:t>予以澄清。</w:t>
      </w:r>
    </w:p>
    <w:p w14:paraId="76F44CDA">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2.2.2 </w:t>
      </w:r>
      <w:r>
        <w:rPr>
          <w:rFonts w:hint="eastAsia" w:ascii="宋体" w:hAnsi="宋体" w:eastAsia="宋体" w:cs="宋体"/>
          <w:color w:val="000000" w:themeColor="text1"/>
          <w:szCs w:val="21"/>
          <w:highlight w:val="none"/>
          <w:lang w:eastAsia="zh-CN"/>
        </w:rPr>
        <w:t>竞争性谈判文件</w:t>
      </w:r>
      <w:r>
        <w:rPr>
          <w:rFonts w:hint="eastAsia" w:ascii="宋体" w:hAnsi="宋体" w:eastAsia="宋体" w:cs="宋体"/>
          <w:color w:val="000000" w:themeColor="text1"/>
          <w:szCs w:val="21"/>
          <w:highlight w:val="none"/>
        </w:rPr>
        <w:t>的澄清应在“</w:t>
      </w:r>
      <w:r>
        <w:rPr>
          <w:rFonts w:hint="eastAsia" w:ascii="宋体" w:hAnsi="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须知前附表”规定的</w:t>
      </w:r>
      <w:r>
        <w:rPr>
          <w:rFonts w:hint="eastAsia" w:ascii="宋体" w:hAnsi="宋体" w:eastAsia="宋体" w:cs="宋体"/>
          <w:color w:val="000000" w:themeColor="text1"/>
          <w:szCs w:val="21"/>
          <w:highlight w:val="none"/>
          <w:lang w:eastAsia="zh-CN"/>
        </w:rPr>
        <w:t>谈判</w:t>
      </w:r>
      <w:r>
        <w:rPr>
          <w:rFonts w:hint="eastAsia" w:ascii="宋体" w:hAnsi="宋体" w:eastAsia="宋体" w:cs="宋体"/>
          <w:color w:val="000000" w:themeColor="text1"/>
          <w:szCs w:val="21"/>
          <w:highlight w:val="none"/>
        </w:rPr>
        <w:t>截止时间</w:t>
      </w:r>
      <w:r>
        <w:rPr>
          <w:rFonts w:hint="eastAsia" w:ascii="宋体" w:hAnsi="宋体" w:cs="宋体"/>
          <w:color w:val="000000" w:themeColor="text1"/>
          <w:szCs w:val="21"/>
          <w:highlight w:val="none"/>
          <w:lang w:val="en-US" w:eastAsia="zh-CN"/>
        </w:rPr>
        <w:t>3个工作日</w:t>
      </w:r>
      <w:r>
        <w:rPr>
          <w:rFonts w:hint="eastAsia" w:ascii="宋体" w:hAnsi="宋体" w:eastAsia="宋体" w:cs="宋体"/>
          <w:color w:val="000000" w:themeColor="text1"/>
          <w:szCs w:val="21"/>
          <w:highlight w:val="none"/>
        </w:rPr>
        <w:t>前，以“</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须知前附表”2.2.2规定的形式向</w:t>
      </w:r>
      <w:r>
        <w:rPr>
          <w:rFonts w:hint="eastAsia" w:ascii="宋体" w:hAnsi="宋体" w:eastAsia="宋体" w:cs="宋体"/>
          <w:color w:val="000000" w:themeColor="text1"/>
          <w:szCs w:val="21"/>
          <w:highlight w:val="none"/>
          <w:lang w:eastAsia="zh-CN"/>
        </w:rPr>
        <w:t>获取竞争性谈判文件</w:t>
      </w:r>
      <w:r>
        <w:rPr>
          <w:rFonts w:hint="eastAsia" w:ascii="宋体" w:hAnsi="宋体" w:eastAsia="宋体" w:cs="宋体"/>
          <w:color w:val="000000" w:themeColor="text1"/>
          <w:szCs w:val="21"/>
          <w:highlight w:val="none"/>
        </w:rPr>
        <w:t>的</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发布，但不指明澄清问题的来源。如果澄清发出的时间距</w:t>
      </w:r>
      <w:r>
        <w:rPr>
          <w:rFonts w:hint="eastAsia" w:ascii="宋体" w:hAnsi="宋体" w:eastAsia="宋体" w:cs="宋体"/>
          <w:color w:val="000000" w:themeColor="text1"/>
          <w:szCs w:val="21"/>
          <w:highlight w:val="none"/>
          <w:lang w:eastAsia="zh-CN"/>
        </w:rPr>
        <w:t>谈判</w:t>
      </w:r>
      <w:r>
        <w:rPr>
          <w:rFonts w:hint="eastAsia" w:ascii="宋体" w:hAnsi="宋体" w:eastAsia="宋体" w:cs="宋体"/>
          <w:color w:val="000000" w:themeColor="text1"/>
          <w:szCs w:val="21"/>
          <w:highlight w:val="none"/>
        </w:rPr>
        <w:t>截止时间不足</w:t>
      </w:r>
      <w:r>
        <w:rPr>
          <w:rFonts w:hint="eastAsia" w:ascii="宋体" w:hAnsi="宋体" w:cs="宋体"/>
          <w:color w:val="000000" w:themeColor="text1"/>
          <w:szCs w:val="21"/>
          <w:highlight w:val="none"/>
          <w:lang w:val="en-US" w:eastAsia="zh-CN"/>
        </w:rPr>
        <w:t>3个工作日</w:t>
      </w:r>
      <w:r>
        <w:rPr>
          <w:rFonts w:hint="eastAsia" w:ascii="宋体" w:hAnsi="宋体" w:eastAsia="宋体" w:cs="宋体"/>
          <w:color w:val="000000" w:themeColor="text1"/>
          <w:szCs w:val="21"/>
          <w:highlight w:val="none"/>
        </w:rPr>
        <w:t>可能影响</w:t>
      </w:r>
      <w:r>
        <w:rPr>
          <w:rFonts w:hint="eastAsia" w:ascii="宋体" w:hAnsi="宋体" w:eastAsia="宋体" w:cs="宋体"/>
          <w:color w:val="000000" w:themeColor="text1"/>
          <w:szCs w:val="21"/>
          <w:highlight w:val="none"/>
          <w:lang w:eastAsia="zh-CN"/>
        </w:rPr>
        <w:t>竞标文件</w:t>
      </w:r>
      <w:r>
        <w:rPr>
          <w:rFonts w:hint="eastAsia" w:ascii="宋体" w:hAnsi="宋体" w:eastAsia="宋体" w:cs="宋体"/>
          <w:color w:val="000000" w:themeColor="text1"/>
          <w:szCs w:val="21"/>
          <w:highlight w:val="none"/>
        </w:rPr>
        <w:t>编制的，相应延长</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截止时间。</w:t>
      </w:r>
    </w:p>
    <w:p w14:paraId="5DE3D5DE">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2.2.3 </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在收到澄清后，应按“</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须知前附表”2.2.3规定的形式确认已收到该澄清。</w:t>
      </w:r>
    </w:p>
    <w:p w14:paraId="6FECD6C6">
      <w:pPr>
        <w:pStyle w:val="4"/>
        <w:spacing w:before="0" w:after="0" w:line="42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2.3 竞争性谈判文件的修改</w:t>
      </w:r>
      <w:bookmarkEnd w:id="120"/>
      <w:bookmarkEnd w:id="121"/>
    </w:p>
    <w:p w14:paraId="01A1B8C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2.3.1 在竞标截止时间</w:t>
      </w:r>
      <w:r>
        <w:rPr>
          <w:rFonts w:hint="eastAsia" w:ascii="宋体" w:hAnsi="宋体" w:cs="宋体"/>
          <w:color w:val="000000" w:themeColor="text1"/>
          <w:szCs w:val="21"/>
          <w:highlight w:val="none"/>
          <w:lang w:val="en-US" w:eastAsia="zh-CN"/>
        </w:rPr>
        <w:t>3个工作日</w:t>
      </w:r>
      <w:r>
        <w:rPr>
          <w:rFonts w:hint="eastAsia" w:ascii="宋体" w:hAnsi="宋体" w:eastAsia="宋体" w:cs="宋体"/>
          <w:color w:val="000000" w:themeColor="text1"/>
          <w:szCs w:val="21"/>
        </w:rPr>
        <w:t>前，采购人可以书面形式修改竞争性谈判文件，并以“竞标人须知前附表”2.2.2规定的澄清文件发布的相同形式，通知所有已</w:t>
      </w:r>
      <w:r>
        <w:rPr>
          <w:rFonts w:hint="eastAsia" w:ascii="宋体" w:hAnsi="宋体" w:eastAsia="宋体" w:cs="宋体"/>
          <w:color w:val="000000" w:themeColor="text1"/>
          <w:szCs w:val="21"/>
          <w:lang w:eastAsia="zh-CN"/>
        </w:rPr>
        <w:t>获取</w:t>
      </w:r>
      <w:r>
        <w:rPr>
          <w:rFonts w:hint="eastAsia" w:ascii="宋体" w:hAnsi="宋体" w:eastAsia="宋体" w:cs="宋体"/>
          <w:color w:val="000000" w:themeColor="text1"/>
          <w:szCs w:val="21"/>
        </w:rPr>
        <w:t>竞争性谈判文件的竞标人。如果修改竞争性谈判文件的时间距竞标截止时间不足</w:t>
      </w:r>
      <w:r>
        <w:rPr>
          <w:rFonts w:hint="eastAsia" w:ascii="宋体" w:hAnsi="宋体" w:cs="宋体"/>
          <w:color w:val="000000" w:themeColor="text1"/>
          <w:szCs w:val="21"/>
          <w:highlight w:val="none"/>
          <w:lang w:val="en-US" w:eastAsia="zh-CN"/>
        </w:rPr>
        <w:t>3个工作日</w:t>
      </w:r>
      <w:r>
        <w:rPr>
          <w:rFonts w:hint="eastAsia" w:ascii="宋体" w:hAnsi="宋体" w:eastAsia="宋体" w:cs="宋体"/>
          <w:color w:val="000000" w:themeColor="text1"/>
          <w:szCs w:val="21"/>
        </w:rPr>
        <w:t>可能影响竞标文件编制的，相应延长竞标截止时间。</w:t>
      </w:r>
    </w:p>
    <w:p w14:paraId="2C68FBDD">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2.3.2 竞标人在收到竞争性谈判文件的修改后，应按“竞标人须知前附表”2.2.3规定的澄清文件确认的相同形式，确认已收到该修改。</w:t>
      </w:r>
    </w:p>
    <w:p w14:paraId="1E27F1B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2.3.3 为使竞标人在编制竞标文件时有充分的时间对竞争性谈判文件的修改、补充等内容进行研究并做出响应，采购人可酌情延长提交竞标文件的截止时间，具体时间在竞争性谈判文件的修改、补充等通知中予以明确。</w:t>
      </w:r>
    </w:p>
    <w:p w14:paraId="24B9EA46">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2.3.4 竞争性谈判文件的修改或补充的内容由招标代理机构在同采购公告媒介网站发布，修改或补充的内容文件在采购公告同一网站上发布之日起，视为</w:t>
      </w:r>
      <w:r>
        <w:rPr>
          <w:rFonts w:hint="eastAsia" w:ascii="宋体" w:hAnsi="宋体" w:eastAsia="宋体" w:cs="宋体"/>
          <w:color w:val="000000" w:themeColor="text1"/>
          <w:szCs w:val="21"/>
          <w:lang w:eastAsia="zh-CN"/>
        </w:rPr>
        <w:t>竞</w:t>
      </w:r>
      <w:r>
        <w:rPr>
          <w:rFonts w:hint="eastAsia" w:ascii="宋体" w:hAnsi="宋体" w:eastAsia="宋体" w:cs="宋体"/>
          <w:color w:val="000000" w:themeColor="text1"/>
          <w:szCs w:val="21"/>
        </w:rPr>
        <w:t>标人已收到该修改或补充内容文件。</w:t>
      </w:r>
      <w:r>
        <w:rPr>
          <w:rFonts w:hint="eastAsia" w:ascii="宋体" w:hAnsi="宋体" w:eastAsia="宋体" w:cs="宋体"/>
          <w:color w:val="000000" w:themeColor="text1"/>
          <w:szCs w:val="21"/>
          <w:lang w:eastAsia="zh-CN"/>
        </w:rPr>
        <w:t>竞</w:t>
      </w:r>
      <w:r>
        <w:rPr>
          <w:rFonts w:hint="eastAsia" w:ascii="宋体" w:hAnsi="宋体" w:eastAsia="宋体" w:cs="宋体"/>
          <w:color w:val="000000" w:themeColor="text1"/>
          <w:szCs w:val="21"/>
        </w:rPr>
        <w:t>标人未及时关注招标人在网站上发布的修改或补充的内容文件造成的损失，由</w:t>
      </w:r>
      <w:r>
        <w:rPr>
          <w:rFonts w:hint="eastAsia" w:ascii="宋体" w:hAnsi="宋体" w:eastAsia="宋体" w:cs="宋体"/>
          <w:color w:val="000000" w:themeColor="text1"/>
          <w:szCs w:val="21"/>
          <w:lang w:eastAsia="zh-CN"/>
        </w:rPr>
        <w:t>竞</w:t>
      </w:r>
      <w:r>
        <w:rPr>
          <w:rFonts w:hint="eastAsia" w:ascii="宋体" w:hAnsi="宋体" w:eastAsia="宋体" w:cs="宋体"/>
          <w:color w:val="000000" w:themeColor="text1"/>
          <w:szCs w:val="21"/>
        </w:rPr>
        <w:t xml:space="preserve">标人自行负责。 </w:t>
      </w:r>
    </w:p>
    <w:p w14:paraId="7F6B400A">
      <w:pPr>
        <w:pStyle w:val="3"/>
        <w:spacing w:before="0" w:after="0" w:line="420" w:lineRule="exact"/>
        <w:rPr>
          <w:rFonts w:hint="eastAsia" w:ascii="宋体" w:hAnsi="宋体" w:eastAsia="宋体" w:cs="宋体"/>
          <w:color w:val="000000" w:themeColor="text1"/>
          <w:sz w:val="28"/>
          <w:szCs w:val="28"/>
        </w:rPr>
      </w:pPr>
      <w:bookmarkStart w:id="122" w:name="_Toc389065162"/>
      <w:bookmarkStart w:id="123" w:name="_Toc28601"/>
      <w:bookmarkStart w:id="124" w:name="_Toc494118809"/>
      <w:r>
        <w:rPr>
          <w:rFonts w:hint="eastAsia" w:ascii="宋体" w:hAnsi="宋体" w:eastAsia="宋体" w:cs="宋体"/>
          <w:color w:val="000000" w:themeColor="text1"/>
          <w:sz w:val="28"/>
          <w:szCs w:val="28"/>
        </w:rPr>
        <w:t>3 竞标文件</w:t>
      </w:r>
      <w:bookmarkEnd w:id="122"/>
      <w:bookmarkEnd w:id="123"/>
      <w:bookmarkEnd w:id="124"/>
    </w:p>
    <w:p w14:paraId="3C087729">
      <w:pPr>
        <w:pStyle w:val="4"/>
        <w:spacing w:before="0" w:after="0" w:line="420" w:lineRule="exact"/>
        <w:rPr>
          <w:rFonts w:hint="eastAsia" w:ascii="宋体" w:hAnsi="宋体" w:eastAsia="宋体" w:cs="宋体"/>
          <w:color w:val="000000" w:themeColor="text1"/>
          <w:sz w:val="28"/>
          <w:szCs w:val="28"/>
        </w:rPr>
      </w:pPr>
      <w:bookmarkStart w:id="125" w:name="_Toc32230"/>
      <w:bookmarkStart w:id="126" w:name="_Toc389065163"/>
      <w:r>
        <w:rPr>
          <w:rFonts w:hint="eastAsia" w:ascii="宋体" w:hAnsi="宋体" w:eastAsia="宋体" w:cs="宋体"/>
          <w:color w:val="000000" w:themeColor="text1"/>
          <w:sz w:val="28"/>
          <w:szCs w:val="28"/>
        </w:rPr>
        <w:t>3.1 竞标文件的组成</w:t>
      </w:r>
      <w:bookmarkEnd w:id="125"/>
      <w:bookmarkEnd w:id="126"/>
    </w:p>
    <w:p w14:paraId="0D7F29F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3.1.1 竞标文件应包括下列内容：</w:t>
      </w:r>
    </w:p>
    <w:p w14:paraId="535736B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（1）资格审查部分：具体材料见“竞标人须知前附表”；</w:t>
      </w:r>
    </w:p>
    <w:p w14:paraId="5EB7A86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（2）商务标部分：具体材料见“竞标人须知前附表”</w:t>
      </w:r>
    </w:p>
    <w:p w14:paraId="2A575055">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3</w:t>
      </w:r>
      <w:r>
        <w:rPr>
          <w:rFonts w:hint="eastAsia" w:ascii="宋体" w:hAnsi="宋体" w:eastAsia="宋体" w:cs="宋体"/>
          <w:color w:val="000000" w:themeColor="text1"/>
          <w:szCs w:val="21"/>
          <w:highlight w:val="none"/>
          <w:lang w:eastAsia="zh-CN"/>
        </w:rPr>
        <w:t>）技术部分：</w:t>
      </w:r>
      <w:r>
        <w:rPr>
          <w:rFonts w:hint="eastAsia" w:ascii="宋体" w:hAnsi="宋体" w:eastAsia="宋体" w:cs="宋体"/>
          <w:color w:val="000000" w:themeColor="text1"/>
          <w:szCs w:val="21"/>
          <w:highlight w:val="none"/>
        </w:rPr>
        <w:t>具体材料见“</w:t>
      </w:r>
      <w:r>
        <w:rPr>
          <w:rFonts w:hint="eastAsia" w:ascii="宋体" w:hAnsi="宋体" w:eastAsia="宋体" w:cs="宋体"/>
          <w:color w:val="000000" w:themeColor="text1"/>
          <w:szCs w:val="21"/>
          <w:highlight w:val="none"/>
          <w:lang w:eastAsia="zh-CN"/>
        </w:rPr>
        <w:t>供应商</w:t>
      </w:r>
      <w:r>
        <w:rPr>
          <w:rFonts w:hint="eastAsia" w:ascii="宋体" w:hAnsi="宋体" w:eastAsia="宋体" w:cs="宋体"/>
          <w:color w:val="000000" w:themeColor="text1"/>
          <w:szCs w:val="21"/>
          <w:highlight w:val="none"/>
        </w:rPr>
        <w:t>须知前附表”。</w:t>
      </w:r>
    </w:p>
    <w:p w14:paraId="050FD5F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3.1.2 竞争性谈判文件“第八章 竞标文件格式”有规定格式要求的，竞标人应按规定的格式填写并按要求提交相关的证明材料。</w:t>
      </w:r>
    </w:p>
    <w:p w14:paraId="5AE6FB8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3.1.3 “竞标人须知前附表”规定不接受联合体竞标的，或竞标人没有组成联合体的，竞标文件不包括本章第3.1.1（1）中所指的联合体协议书。</w:t>
      </w:r>
    </w:p>
    <w:p w14:paraId="21CBA896">
      <w:pPr>
        <w:pStyle w:val="4"/>
        <w:spacing w:before="0" w:after="0" w:line="420" w:lineRule="exact"/>
        <w:ind w:firstLine="420" w:firstLineChars="200"/>
        <w:rPr>
          <w:rFonts w:hint="eastAsia" w:ascii="宋体" w:hAnsi="宋体" w:eastAsia="宋体" w:cs="宋体"/>
          <w:b w:val="0"/>
          <w:bCs w:val="0"/>
          <w:color w:val="000000" w:themeColor="text1"/>
          <w:sz w:val="21"/>
          <w:szCs w:val="21"/>
        </w:rPr>
      </w:pPr>
      <w:bookmarkStart w:id="127" w:name="_Toc32197"/>
      <w:bookmarkStart w:id="128" w:name="_Toc389065164"/>
      <w:r>
        <w:rPr>
          <w:rFonts w:hint="eastAsia" w:ascii="宋体" w:hAnsi="宋体" w:eastAsia="宋体" w:cs="宋体"/>
          <w:b w:val="0"/>
          <w:bCs w:val="0"/>
          <w:color w:val="000000" w:themeColor="text1"/>
          <w:sz w:val="21"/>
          <w:szCs w:val="21"/>
        </w:rPr>
        <w:t>3.1.4 近年财务状况、完成的类似项目的年份要求：见“</w:t>
      </w:r>
      <w:r>
        <w:rPr>
          <w:rFonts w:hint="eastAsia" w:ascii="宋体" w:hAnsi="宋体" w:eastAsia="宋体" w:cs="宋体"/>
          <w:b w:val="0"/>
          <w:bCs w:val="0"/>
          <w:color w:val="000000" w:themeColor="text1"/>
          <w:sz w:val="21"/>
          <w:szCs w:val="21"/>
          <w:lang w:eastAsia="zh-CN"/>
        </w:rPr>
        <w:t>供应商</w:t>
      </w:r>
      <w:r>
        <w:rPr>
          <w:rFonts w:hint="eastAsia" w:ascii="宋体" w:hAnsi="宋体" w:eastAsia="宋体" w:cs="宋体"/>
          <w:b w:val="0"/>
          <w:bCs w:val="0"/>
          <w:color w:val="000000" w:themeColor="text1"/>
          <w:sz w:val="21"/>
          <w:szCs w:val="21"/>
        </w:rPr>
        <w:t>须知前附表”。</w:t>
      </w:r>
    </w:p>
    <w:p w14:paraId="7C83AAEA">
      <w:pPr>
        <w:pStyle w:val="4"/>
        <w:spacing w:before="0" w:after="0" w:line="42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3.2 竞标报价</w:t>
      </w:r>
      <w:bookmarkEnd w:id="127"/>
      <w:bookmarkEnd w:id="128"/>
    </w:p>
    <w:p w14:paraId="5585DCD6">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szCs w:val="21"/>
        </w:rPr>
        <w:t>3.2.1 竞标人应按第五章“工程量清单”的要求填入不得对采购工程量清单项目进行增减调整。</w:t>
      </w:r>
    </w:p>
    <w:p w14:paraId="2CCBD0F2">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3.2.1.2竞标人已标价工程量清单纸质竞标文件应符合第八章“竞标文件格式”的要求。</w:t>
      </w:r>
    </w:p>
    <w:p w14:paraId="5BCEF8CB">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3.2.1.3竞标人提交的已标价工程量清单纸质文件应符合第八章“竞标文件格式”格式要求的相应表格，不得弄虚作假。</w:t>
      </w:r>
    </w:p>
    <w:p w14:paraId="1C5F37AB">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3.2.2 竞标人在竞标截止时间前修改竞标函中的竞标总报价，应同时修改第八章“竞标文件格式”中的相应报价。此修改须符合本章第4.3款的有关要求。</w:t>
      </w:r>
    </w:p>
    <w:p w14:paraId="0F83884F">
      <w:pPr>
        <w:pStyle w:val="4"/>
        <w:spacing w:before="0" w:after="0" w:line="420" w:lineRule="exact"/>
        <w:rPr>
          <w:rFonts w:hint="eastAsia" w:ascii="宋体" w:hAnsi="宋体" w:eastAsia="宋体" w:cs="宋体"/>
          <w:color w:val="000000" w:themeColor="text1"/>
          <w:sz w:val="28"/>
          <w:szCs w:val="28"/>
        </w:rPr>
      </w:pPr>
      <w:bookmarkStart w:id="129" w:name="_Toc27297"/>
      <w:bookmarkStart w:id="130" w:name="_Toc389065165"/>
      <w:r>
        <w:rPr>
          <w:rFonts w:hint="eastAsia" w:ascii="宋体" w:hAnsi="宋体" w:eastAsia="宋体" w:cs="宋体"/>
          <w:color w:val="000000" w:themeColor="text1"/>
          <w:sz w:val="28"/>
          <w:szCs w:val="28"/>
        </w:rPr>
        <w:t>3.3 竞标有效期</w:t>
      </w:r>
      <w:bookmarkEnd w:id="129"/>
      <w:bookmarkEnd w:id="130"/>
    </w:p>
    <w:p w14:paraId="5E7D25F0">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3.3.1 在“竞标人须知前附表”规定的竞标有效期内，竞标人不得要求撤销或修改其竞标文件。</w:t>
      </w:r>
    </w:p>
    <w:p w14:paraId="1025B42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3.3.2 出现特殊情况需要延长竞标有效期的，采购人以书面形式通知所有竞标人延长竞标有效期。竞标人同意延长的，不得要求或被允许修改或撤销其竞标文件；竞标人拒绝延长的，其竞标失效。</w:t>
      </w:r>
    </w:p>
    <w:p w14:paraId="541E2EFC">
      <w:pPr>
        <w:pStyle w:val="4"/>
        <w:spacing w:before="0" w:after="0" w:line="420" w:lineRule="exact"/>
        <w:rPr>
          <w:rFonts w:hint="eastAsia" w:ascii="宋体" w:hAnsi="宋体" w:eastAsia="宋体" w:cs="宋体"/>
          <w:color w:val="000000" w:themeColor="text1"/>
          <w:sz w:val="28"/>
          <w:szCs w:val="28"/>
        </w:rPr>
      </w:pPr>
      <w:bookmarkStart w:id="131" w:name="_Toc389065166"/>
      <w:bookmarkStart w:id="132" w:name="_Toc23438"/>
      <w:r>
        <w:rPr>
          <w:rFonts w:hint="eastAsia" w:ascii="宋体" w:hAnsi="宋体" w:eastAsia="宋体" w:cs="宋体"/>
          <w:color w:val="000000" w:themeColor="text1"/>
          <w:sz w:val="28"/>
          <w:szCs w:val="28"/>
        </w:rPr>
        <w:t>3.4 竞标保证金</w:t>
      </w:r>
      <w:bookmarkEnd w:id="131"/>
      <w:bookmarkEnd w:id="132"/>
    </w:p>
    <w:p w14:paraId="12D67638">
      <w:pPr>
        <w:pStyle w:val="4"/>
        <w:spacing w:before="0" w:after="0" w:line="420" w:lineRule="exact"/>
        <w:ind w:firstLine="420" w:firstLineChars="200"/>
        <w:rPr>
          <w:rFonts w:hint="eastAsia" w:ascii="宋体" w:hAnsi="宋体" w:eastAsia="宋体" w:cs="宋体"/>
          <w:b w:val="0"/>
          <w:bCs w:val="0"/>
          <w:color w:val="000000" w:themeColor="text1"/>
          <w:sz w:val="21"/>
          <w:szCs w:val="21"/>
        </w:rPr>
      </w:pPr>
      <w:bookmarkStart w:id="133" w:name="_Toc389065167"/>
      <w:bookmarkStart w:id="134" w:name="_Toc11126"/>
      <w:r>
        <w:rPr>
          <w:rFonts w:hint="eastAsia" w:ascii="宋体" w:hAnsi="宋体" w:eastAsia="宋体" w:cs="宋体"/>
          <w:b w:val="0"/>
          <w:bCs w:val="0"/>
          <w:color w:val="000000" w:themeColor="text1"/>
          <w:sz w:val="21"/>
          <w:szCs w:val="21"/>
        </w:rPr>
        <w:t>不需要缴纳。</w:t>
      </w:r>
    </w:p>
    <w:p w14:paraId="58A38B3D">
      <w:pPr>
        <w:pStyle w:val="4"/>
        <w:spacing w:before="0" w:after="0" w:line="42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3.5 备选竞标方案</w:t>
      </w:r>
      <w:bookmarkEnd w:id="133"/>
      <w:bookmarkEnd w:id="134"/>
    </w:p>
    <w:p w14:paraId="78AE1C70">
      <w:pPr>
        <w:pStyle w:val="4"/>
        <w:spacing w:before="0" w:after="0" w:line="420" w:lineRule="exact"/>
        <w:ind w:firstLine="420" w:firstLineChars="200"/>
        <w:rPr>
          <w:rFonts w:hint="eastAsia" w:ascii="宋体" w:hAnsi="宋体" w:eastAsia="宋体" w:cs="宋体"/>
          <w:b w:val="0"/>
          <w:bCs w:val="0"/>
          <w:color w:val="000000" w:themeColor="text1"/>
          <w:sz w:val="21"/>
          <w:szCs w:val="21"/>
        </w:rPr>
      </w:pPr>
      <w:bookmarkStart w:id="135" w:name="_Toc14371"/>
      <w:bookmarkStart w:id="136" w:name="_Toc389065168"/>
      <w:r>
        <w:rPr>
          <w:rFonts w:hint="eastAsia" w:ascii="宋体" w:hAnsi="宋体" w:eastAsia="宋体" w:cs="宋体"/>
          <w:b w:val="0"/>
          <w:bCs w:val="0"/>
          <w:color w:val="000000" w:themeColor="text1"/>
          <w:sz w:val="21"/>
          <w:szCs w:val="21"/>
        </w:rPr>
        <w:t>不允许</w:t>
      </w:r>
      <w:bookmarkEnd w:id="135"/>
    </w:p>
    <w:bookmarkEnd w:id="136"/>
    <w:p w14:paraId="3966005C">
      <w:pPr>
        <w:pStyle w:val="4"/>
        <w:pageBreakBefore w:val="0"/>
        <w:kinsoku/>
        <w:wordWrap/>
        <w:overflowPunct/>
        <w:topLinePunct w:val="0"/>
        <w:bidi w:val="0"/>
        <w:spacing w:before="0" w:beforeLines="0" w:after="0" w:afterLines="0" w:line="420" w:lineRule="exact"/>
        <w:ind w:left="0" w:leftChars="0" w:right="0" w:rightChars="0"/>
        <w:textAlignment w:val="auto"/>
        <w:rPr>
          <w:rFonts w:hint="eastAsia" w:ascii="宋体" w:hAnsi="宋体" w:eastAsia="宋体" w:cs="宋体"/>
          <w:color w:val="000000" w:themeColor="text1"/>
          <w:sz w:val="28"/>
          <w:szCs w:val="28"/>
          <w:highlight w:val="none"/>
        </w:rPr>
      </w:pPr>
      <w:bookmarkStart w:id="137" w:name="_Toc19150"/>
      <w:bookmarkStart w:id="138" w:name="_Toc18759"/>
      <w:bookmarkStart w:id="139" w:name="_Toc12190"/>
      <w:bookmarkStart w:id="140" w:name="_Toc5916"/>
      <w:bookmarkStart w:id="141" w:name="_Toc389065175"/>
      <w:r>
        <w:rPr>
          <w:rFonts w:hint="eastAsia" w:ascii="宋体" w:hAnsi="宋体" w:eastAsia="宋体" w:cs="宋体"/>
          <w:color w:val="000000" w:themeColor="text1"/>
          <w:sz w:val="28"/>
          <w:szCs w:val="28"/>
          <w:highlight w:val="none"/>
        </w:rPr>
        <w:t xml:space="preserve">3.6 </w:t>
      </w:r>
      <w:r>
        <w:rPr>
          <w:rFonts w:hint="eastAsia" w:ascii="宋体" w:hAnsi="宋体" w:eastAsia="宋体" w:cs="宋体"/>
          <w:color w:val="000000" w:themeColor="text1"/>
          <w:sz w:val="28"/>
          <w:szCs w:val="28"/>
          <w:highlight w:val="none"/>
          <w:lang w:eastAsia="zh-CN"/>
        </w:rPr>
        <w:t>竞标文件</w:t>
      </w:r>
      <w:r>
        <w:rPr>
          <w:rFonts w:hint="eastAsia" w:ascii="宋体" w:hAnsi="宋体" w:eastAsia="宋体" w:cs="宋体"/>
          <w:color w:val="000000" w:themeColor="text1"/>
          <w:sz w:val="28"/>
          <w:szCs w:val="28"/>
          <w:highlight w:val="none"/>
        </w:rPr>
        <w:t>的编制</w:t>
      </w:r>
      <w:bookmarkEnd w:id="137"/>
      <w:bookmarkEnd w:id="138"/>
      <w:bookmarkEnd w:id="139"/>
    </w:p>
    <w:p w14:paraId="13300350">
      <w:pPr>
        <w:pageBreakBefore w:val="0"/>
        <w:kinsoku/>
        <w:wordWrap/>
        <w:overflowPunct/>
        <w:topLinePunct w:val="0"/>
        <w:bidi w:val="0"/>
        <w:spacing w:line="420" w:lineRule="exact"/>
        <w:ind w:left="0" w:leftChars="0" w:right="0" w:rightChars="0" w:firstLine="422" w:firstLineChars="2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文件编制基本要求</w:t>
      </w:r>
    </w:p>
    <w:p w14:paraId="5B7E6BF3">
      <w:pPr>
        <w:pageBreakBefore w:val="0"/>
        <w:kinsoku/>
        <w:wordWrap/>
        <w:overflowPunct/>
        <w:topLinePunct w:val="0"/>
        <w:bidi w:val="0"/>
        <w:spacing w:line="420" w:lineRule="exact"/>
        <w:ind w:left="0" w:leftChars="0" w:right="0" w:rightChars="0" w:firstLine="422" w:firstLineChars="2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本项目实行电子竞标，</w:t>
      </w:r>
      <w:r>
        <w:rPr>
          <w:rFonts w:hint="eastAsia" w:ascii="宋体" w:hAnsi="宋体" w:eastAsia="宋体" w:cs="宋体"/>
          <w:b/>
          <w:bCs/>
          <w:color w:val="000000" w:themeColor="text1"/>
          <w:szCs w:val="21"/>
          <w:highlight w:val="none"/>
          <w:lang w:eastAsia="zh-CN"/>
        </w:rPr>
        <w:t>竞标人</w:t>
      </w:r>
      <w:r>
        <w:rPr>
          <w:rFonts w:hint="eastAsia" w:ascii="宋体" w:hAnsi="宋体" w:eastAsia="宋体" w:cs="宋体"/>
          <w:b/>
          <w:bCs/>
          <w:color w:val="000000" w:themeColor="text1"/>
          <w:szCs w:val="21"/>
          <w:highlight w:val="none"/>
        </w:rPr>
        <w:t>应准备电子</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文件、电文形式的电子备份</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文件两类：</w:t>
      </w:r>
    </w:p>
    <w:p w14:paraId="79C621E8">
      <w:pPr>
        <w:pageBreakBefore w:val="0"/>
        <w:kinsoku/>
        <w:wordWrap/>
        <w:overflowPunct/>
        <w:topLinePunct w:val="0"/>
        <w:bidi w:val="0"/>
        <w:spacing w:line="420" w:lineRule="exact"/>
        <w:ind w:left="0" w:leftChars="0" w:right="0" w:rightChars="0" w:firstLine="422" w:firstLineChars="2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电子</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文件按</w:t>
      </w:r>
      <w:r>
        <w:rPr>
          <w:rFonts w:hint="eastAsia" w:ascii="宋体" w:hAnsi="宋体" w:eastAsia="宋体" w:cs="宋体"/>
          <w:b/>
          <w:bCs/>
          <w:color w:val="000000" w:themeColor="text1"/>
          <w:szCs w:val="21"/>
          <w:highlight w:val="none"/>
          <w:lang w:eastAsia="zh-CN"/>
        </w:rPr>
        <w:t>广西政府采购云平台</w:t>
      </w:r>
      <w:r>
        <w:rPr>
          <w:rFonts w:hint="eastAsia" w:ascii="宋体" w:hAnsi="宋体" w:eastAsia="宋体" w:cs="宋体"/>
          <w:b/>
          <w:bCs/>
          <w:color w:val="000000" w:themeColor="text1"/>
          <w:szCs w:val="21"/>
          <w:highlight w:val="none"/>
        </w:rPr>
        <w:t>要求及本竞争性</w:t>
      </w:r>
      <w:r>
        <w:rPr>
          <w:rFonts w:hint="eastAsia" w:ascii="宋体" w:hAnsi="宋体" w:eastAsia="宋体" w:cs="宋体"/>
          <w:b/>
          <w:bCs/>
          <w:color w:val="000000" w:themeColor="text1"/>
          <w:szCs w:val="21"/>
          <w:highlight w:val="none"/>
          <w:lang w:eastAsia="zh-CN"/>
        </w:rPr>
        <w:t>谈判</w:t>
      </w:r>
      <w:r>
        <w:rPr>
          <w:rFonts w:hint="eastAsia" w:ascii="宋体" w:hAnsi="宋体" w:eastAsia="宋体" w:cs="宋体"/>
          <w:b/>
          <w:bCs/>
          <w:color w:val="000000" w:themeColor="text1"/>
          <w:szCs w:val="21"/>
          <w:highlight w:val="none"/>
        </w:rPr>
        <w:t>文件要求制作、加密并递交。具体操作流程可参考《政府采购项目电子交易管理操作指南-供应商》，指南可在“政府采购云平台（https://www.zcygov.cn/）服务中心-帮助文档-最新指南”下载。</w:t>
      </w:r>
    </w:p>
    <w:p w14:paraId="667FC597">
      <w:pPr>
        <w:pageBreakBefore w:val="0"/>
        <w:kinsoku/>
        <w:wordWrap/>
        <w:overflowPunct/>
        <w:topLinePunct w:val="0"/>
        <w:bidi w:val="0"/>
        <w:spacing w:line="420" w:lineRule="exact"/>
        <w:ind w:left="0" w:leftChars="0" w:right="0" w:rightChars="0" w:firstLine="422" w:firstLineChars="2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文件启用顺序和效力：</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文件的启用，按先后顺位分别为电子</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文件、电文形式的电子备份</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文件。全部</w:t>
      </w:r>
      <w:r>
        <w:rPr>
          <w:rFonts w:hint="eastAsia" w:ascii="宋体" w:hAnsi="宋体" w:eastAsia="宋体" w:cs="宋体"/>
          <w:b/>
          <w:bCs/>
          <w:color w:val="000000" w:themeColor="text1"/>
          <w:szCs w:val="21"/>
          <w:highlight w:val="none"/>
          <w:lang w:eastAsia="zh-CN"/>
        </w:rPr>
        <w:t>竞标人</w:t>
      </w:r>
      <w:r>
        <w:rPr>
          <w:rFonts w:hint="eastAsia" w:ascii="宋体" w:hAnsi="宋体" w:eastAsia="宋体" w:cs="宋体"/>
          <w:b/>
          <w:bCs/>
          <w:color w:val="000000" w:themeColor="text1"/>
          <w:szCs w:val="21"/>
          <w:highlight w:val="none"/>
        </w:rPr>
        <w:t>的电子</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文件均已按时解密的，以介质存储的数据电文形式的电子备份</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文件自动失效。如果某位供应商的电子</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w:t>
      </w:r>
      <w:r>
        <w:rPr>
          <w:rFonts w:hint="eastAsia" w:ascii="宋体" w:hAnsi="宋体" w:eastAsia="宋体" w:cs="宋体"/>
          <w:b/>
          <w:bCs/>
          <w:color w:val="000000" w:themeColor="text1"/>
          <w:szCs w:val="21"/>
          <w:highlight w:val="none"/>
          <w:lang w:eastAsia="zh-CN"/>
        </w:rPr>
        <w:t>解密不成功</w:t>
      </w:r>
      <w:r>
        <w:rPr>
          <w:rFonts w:hint="eastAsia" w:ascii="宋体" w:hAnsi="宋体" w:eastAsia="宋体" w:cs="宋体"/>
          <w:b/>
          <w:bCs/>
          <w:color w:val="000000" w:themeColor="text1"/>
          <w:szCs w:val="21"/>
          <w:highlight w:val="none"/>
        </w:rPr>
        <w:t>，</w:t>
      </w:r>
      <w:r>
        <w:rPr>
          <w:rFonts w:hint="eastAsia" w:ascii="宋体" w:hAnsi="宋体" w:eastAsia="宋体" w:cs="宋体"/>
          <w:b/>
          <w:bCs/>
          <w:color w:val="000000" w:themeColor="text1"/>
          <w:szCs w:val="21"/>
          <w:highlight w:val="none"/>
          <w:lang w:eastAsia="zh-CN"/>
        </w:rPr>
        <w:t>在</w:t>
      </w:r>
      <w:r>
        <w:rPr>
          <w:rFonts w:hint="eastAsia" w:ascii="宋体" w:hAnsi="宋体" w:eastAsia="宋体" w:cs="宋体"/>
          <w:b/>
          <w:bCs/>
          <w:color w:val="000000" w:themeColor="text1"/>
          <w:szCs w:val="21"/>
          <w:highlight w:val="none"/>
        </w:rPr>
        <w:t>与项目归属监督部门备案后</w:t>
      </w:r>
      <w:r>
        <w:rPr>
          <w:rFonts w:hint="eastAsia" w:ascii="宋体" w:hAnsi="宋体" w:eastAsia="宋体" w:cs="宋体"/>
          <w:b/>
          <w:bCs/>
          <w:color w:val="000000" w:themeColor="text1"/>
          <w:szCs w:val="21"/>
          <w:highlight w:val="none"/>
          <w:lang w:eastAsia="zh-CN"/>
        </w:rPr>
        <w:t>，供应商</w:t>
      </w:r>
      <w:r>
        <w:rPr>
          <w:rFonts w:hint="eastAsia" w:ascii="宋体" w:hAnsi="宋体" w:eastAsia="宋体" w:cs="宋体"/>
          <w:b/>
          <w:bCs/>
          <w:color w:val="000000" w:themeColor="text1"/>
          <w:szCs w:val="21"/>
          <w:highlight w:val="none"/>
        </w:rPr>
        <w:t>通过邮件或者其他方式提交电子备份文件</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b/>
          <w:bCs/>
          <w:color w:val="000000" w:themeColor="text1"/>
          <w:szCs w:val="21"/>
          <w:highlight w:val="none"/>
        </w:rPr>
        <w:t>启用电子备份</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w:t>
      </w:r>
      <w:r>
        <w:rPr>
          <w:rFonts w:hint="eastAsia" w:ascii="宋体" w:hAnsi="宋体" w:eastAsia="宋体" w:cs="宋体"/>
          <w:b/>
          <w:bCs/>
          <w:color w:val="000000" w:themeColor="text1"/>
          <w:szCs w:val="21"/>
          <w:highlight w:val="none"/>
          <w:lang w:eastAsia="zh-CN"/>
        </w:rPr>
        <w:t>竞标人</w:t>
      </w:r>
      <w:r>
        <w:rPr>
          <w:rFonts w:hint="eastAsia" w:ascii="宋体" w:hAnsi="宋体" w:eastAsia="宋体" w:cs="宋体"/>
          <w:b/>
          <w:bCs/>
          <w:color w:val="000000" w:themeColor="text1"/>
          <w:szCs w:val="21"/>
          <w:highlight w:val="none"/>
        </w:rPr>
        <w:t>仅递交电子备份</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文件的，</w:t>
      </w:r>
      <w:r>
        <w:rPr>
          <w:rFonts w:hint="eastAsia" w:ascii="宋体" w:hAnsi="宋体" w:eastAsia="宋体" w:cs="宋体"/>
          <w:b/>
          <w:bCs/>
          <w:color w:val="000000" w:themeColor="text1"/>
          <w:szCs w:val="21"/>
          <w:highlight w:val="none"/>
          <w:lang w:eastAsia="zh-CN"/>
        </w:rPr>
        <w:t>竞标</w:t>
      </w:r>
      <w:r>
        <w:rPr>
          <w:rFonts w:hint="eastAsia" w:ascii="宋体" w:hAnsi="宋体" w:eastAsia="宋体" w:cs="宋体"/>
          <w:b/>
          <w:bCs/>
          <w:color w:val="000000" w:themeColor="text1"/>
          <w:szCs w:val="21"/>
          <w:highlight w:val="none"/>
        </w:rPr>
        <w:t>无效。</w:t>
      </w:r>
    </w:p>
    <w:p w14:paraId="3C22EF8A">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3.6.1 </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应根据“政府采购项目电子交易管理操作指南-供应商”及本竞争性</w:t>
      </w:r>
      <w:r>
        <w:rPr>
          <w:rFonts w:hint="eastAsia" w:ascii="宋体" w:hAnsi="宋体" w:eastAsia="宋体" w:cs="宋体"/>
          <w:color w:val="000000" w:themeColor="text1"/>
          <w:szCs w:val="21"/>
          <w:highlight w:val="none"/>
          <w:lang w:eastAsia="zh-CN"/>
        </w:rPr>
        <w:t>谈判</w:t>
      </w:r>
      <w:r>
        <w:rPr>
          <w:rFonts w:hint="eastAsia" w:ascii="宋体" w:hAnsi="宋体" w:eastAsia="宋体" w:cs="宋体"/>
          <w:color w:val="000000" w:themeColor="text1"/>
          <w:szCs w:val="21"/>
          <w:highlight w:val="none"/>
        </w:rPr>
        <w:t>文件规定的格式和顺序编制</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文件内容不完整、编排混乱导致</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文件被误读、漏读或者查找不到相关内容的，是</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的责任。其中，</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函附录在满足</w:t>
      </w:r>
      <w:r>
        <w:rPr>
          <w:rFonts w:hint="eastAsia" w:ascii="宋体" w:hAnsi="宋体" w:eastAsia="宋体" w:cs="宋体"/>
          <w:color w:val="000000" w:themeColor="text1"/>
          <w:szCs w:val="21"/>
          <w:highlight w:val="none"/>
          <w:lang w:eastAsia="zh-CN"/>
        </w:rPr>
        <w:t>竞争性谈判文件</w:t>
      </w:r>
      <w:r>
        <w:rPr>
          <w:rFonts w:hint="eastAsia" w:ascii="宋体" w:hAnsi="宋体" w:eastAsia="宋体" w:cs="宋体"/>
          <w:color w:val="000000" w:themeColor="text1"/>
          <w:szCs w:val="21"/>
          <w:highlight w:val="none"/>
        </w:rPr>
        <w:t>实质性要求的基础上，可以提出比</w:t>
      </w:r>
      <w:r>
        <w:rPr>
          <w:rFonts w:hint="eastAsia" w:ascii="宋体" w:hAnsi="宋体" w:eastAsia="宋体" w:cs="宋体"/>
          <w:color w:val="000000" w:themeColor="text1"/>
          <w:szCs w:val="21"/>
          <w:highlight w:val="none"/>
          <w:lang w:eastAsia="zh-CN"/>
        </w:rPr>
        <w:t>竞争性谈判文件</w:t>
      </w:r>
      <w:r>
        <w:rPr>
          <w:rFonts w:hint="eastAsia" w:ascii="宋体" w:hAnsi="宋体" w:eastAsia="宋体" w:cs="宋体"/>
          <w:color w:val="000000" w:themeColor="text1"/>
          <w:szCs w:val="21"/>
          <w:highlight w:val="none"/>
        </w:rPr>
        <w:t>要求更有利于采购人的承诺。</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文件中标注的</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名称应与营业执照（事业单位法人证书、执业许可证、自然人身份证）及公章一致，否则其</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文件按无效</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处理。</w:t>
      </w:r>
    </w:p>
    <w:p w14:paraId="358FF73E">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3.6.2 </w:t>
      </w:r>
      <w:r>
        <w:rPr>
          <w:rFonts w:hint="eastAsia" w:ascii="宋体" w:hAnsi="宋体" w:eastAsia="宋体" w:cs="宋体"/>
          <w:color w:val="000000" w:themeColor="text1"/>
          <w:szCs w:val="21"/>
          <w:highlight w:val="none"/>
          <w:lang w:eastAsia="zh-CN"/>
        </w:rPr>
        <w:t>竞标文件</w:t>
      </w:r>
      <w:r>
        <w:rPr>
          <w:rFonts w:hint="eastAsia" w:ascii="宋体" w:hAnsi="宋体" w:eastAsia="宋体" w:cs="宋体"/>
          <w:color w:val="000000" w:themeColor="text1"/>
          <w:szCs w:val="21"/>
          <w:highlight w:val="none"/>
        </w:rPr>
        <w:t>应当对</w:t>
      </w:r>
      <w:r>
        <w:rPr>
          <w:rFonts w:hint="eastAsia" w:ascii="宋体" w:hAnsi="宋体" w:eastAsia="宋体" w:cs="宋体"/>
          <w:color w:val="000000" w:themeColor="text1"/>
          <w:szCs w:val="21"/>
          <w:highlight w:val="none"/>
          <w:lang w:eastAsia="zh-CN"/>
        </w:rPr>
        <w:t>竞争性谈判文件</w:t>
      </w:r>
      <w:r>
        <w:rPr>
          <w:rFonts w:hint="eastAsia" w:ascii="宋体" w:hAnsi="宋体" w:eastAsia="宋体" w:cs="宋体"/>
          <w:color w:val="000000" w:themeColor="text1"/>
          <w:szCs w:val="21"/>
          <w:highlight w:val="none"/>
        </w:rPr>
        <w:t>有关工期、</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 xml:space="preserve">有效期、质量要求、技术标准和要求、采购范围等实质性内容作出响应。 </w:t>
      </w:r>
    </w:p>
    <w:p w14:paraId="49868EC6">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3.6.3 </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文件须由</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在规定位置盖公章并由法定代表人或委托代理人签字或签章，否则其</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文件按无效</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处理。CA签章上关于法人（负责人）或授权代表签字信息，</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在</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文件中涉及到签字的位置线下【签好字然后扫描或者拍照做成PDF的格式】或【通过</w:t>
      </w:r>
      <w:r>
        <w:rPr>
          <w:rFonts w:hint="eastAsia" w:hAnsi="宋体" w:eastAsia="宋体" w:cs="宋体"/>
          <w:color w:val="000000" w:themeColor="text1"/>
          <w:sz w:val="21"/>
          <w:lang w:eastAsia="zh-CN"/>
        </w:rPr>
        <w:t>广西政府采购云平台</w:t>
      </w:r>
      <w:r>
        <w:rPr>
          <w:rFonts w:hint="eastAsia" w:ascii="宋体" w:hAnsi="宋体" w:eastAsia="宋体" w:cs="宋体"/>
          <w:color w:val="000000" w:themeColor="text1"/>
          <w:szCs w:val="21"/>
          <w:highlight w:val="none"/>
        </w:rPr>
        <w:t>电子交易客户端使用CA法人（负责人）或授权代表签章】亦可。</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文件中涉及到签字的位置未按要求签字的，提供的材料视为无效。</w:t>
      </w:r>
    </w:p>
    <w:p w14:paraId="0E0A7ED2">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3.6.4</w:t>
      </w:r>
      <w:r>
        <w:rPr>
          <w:rFonts w:hint="eastAsia" w:ascii="宋体" w:hAnsi="宋体" w:eastAsia="宋体" w:cs="宋体"/>
          <w:color w:val="000000" w:themeColor="text1"/>
          <w:szCs w:val="21"/>
          <w:highlight w:val="none"/>
        </w:rPr>
        <w:t>电子</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文件中须加盖</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公章部分均采用CA签章，并根据“政府采购项目电子交易管理操作指南-供应商” 及本竞争性</w:t>
      </w:r>
      <w:r>
        <w:rPr>
          <w:rFonts w:hint="eastAsia" w:ascii="宋体" w:hAnsi="宋体" w:eastAsia="宋体" w:cs="宋体"/>
          <w:color w:val="000000" w:themeColor="text1"/>
          <w:szCs w:val="21"/>
          <w:highlight w:val="none"/>
          <w:lang w:eastAsia="zh-CN"/>
        </w:rPr>
        <w:t>谈判</w:t>
      </w:r>
      <w:r>
        <w:rPr>
          <w:rFonts w:hint="eastAsia" w:ascii="宋体" w:hAnsi="宋体" w:eastAsia="宋体" w:cs="宋体"/>
          <w:color w:val="000000" w:themeColor="text1"/>
          <w:szCs w:val="21"/>
          <w:highlight w:val="none"/>
        </w:rPr>
        <w:t>文件规定的格式和顺序编制电子</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文件并进行关联定位，以便评标委员会在评审时，点击评分项可直接定位到该评分项内容。如对竞争性</w:t>
      </w:r>
      <w:r>
        <w:rPr>
          <w:rFonts w:hint="eastAsia" w:ascii="宋体" w:hAnsi="宋体" w:eastAsia="宋体" w:cs="宋体"/>
          <w:color w:val="000000" w:themeColor="text1"/>
          <w:szCs w:val="21"/>
          <w:highlight w:val="none"/>
          <w:lang w:eastAsia="zh-CN"/>
        </w:rPr>
        <w:t>谈判</w:t>
      </w:r>
      <w:r>
        <w:rPr>
          <w:rFonts w:hint="eastAsia" w:ascii="宋体" w:hAnsi="宋体" w:eastAsia="宋体" w:cs="宋体"/>
          <w:color w:val="000000" w:themeColor="text1"/>
          <w:szCs w:val="21"/>
          <w:highlight w:val="none"/>
        </w:rPr>
        <w:t>文件的某项要求，</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的电子</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文件未能关联定位提供相应的内容与其对应，则</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小组在评审时如做出对</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不利的评审由</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自行承担。电子</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文件如内容不完整、编排混乱导致</w:t>
      </w:r>
      <w:r>
        <w:rPr>
          <w:rFonts w:hint="eastAsia" w:ascii="宋体" w:hAnsi="宋体" w:eastAsia="宋体" w:cs="宋体"/>
          <w:color w:val="000000" w:themeColor="text1"/>
          <w:szCs w:val="21"/>
          <w:highlight w:val="none"/>
          <w:lang w:eastAsia="zh-CN"/>
        </w:rPr>
        <w:t>竞标</w:t>
      </w:r>
      <w:r>
        <w:rPr>
          <w:rFonts w:hint="eastAsia" w:ascii="宋体" w:hAnsi="宋体" w:eastAsia="宋体" w:cs="宋体"/>
          <w:color w:val="000000" w:themeColor="text1"/>
          <w:szCs w:val="21"/>
          <w:highlight w:val="none"/>
        </w:rPr>
        <w:t>文件被误读、漏读，或者在按采购文件规定的部位查找不到相关内容的，由</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自行承担。</w:t>
      </w:r>
    </w:p>
    <w:p w14:paraId="33F37F7F">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 xml:space="preserve">3.6.5 </w:t>
      </w:r>
      <w:r>
        <w:rPr>
          <w:rFonts w:hint="eastAsia" w:ascii="宋体" w:hAnsi="宋体" w:eastAsia="宋体" w:cs="宋体"/>
          <w:color w:val="000000" w:themeColor="text1"/>
          <w:szCs w:val="21"/>
          <w:highlight w:val="none"/>
          <w:lang w:eastAsia="zh-CN"/>
        </w:rPr>
        <w:t>竞标文件应尽量避免涂改、行间插字或删除。如果出现上述情况，改动之处应由竞标人的法定代表人或其委托代理人签字或加盖公章。竞标文件因涂改、行间插字或删除导致字迹潦草或表达不清所引起的后果由竞标人承担。</w:t>
      </w:r>
    </w:p>
    <w:p w14:paraId="0FA261C0">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3.6.6 根据合同条款对竞标函附录中的约定内容和合同条款号等进行约定和补充，否则按实质性未响应竞争性谈判文件处理。</w:t>
      </w:r>
    </w:p>
    <w:p w14:paraId="163BCCB5">
      <w:pPr>
        <w:pStyle w:val="3"/>
        <w:pageBreakBefore w:val="0"/>
        <w:kinsoku/>
        <w:wordWrap/>
        <w:overflowPunct/>
        <w:topLinePunct w:val="0"/>
        <w:bidi w:val="0"/>
        <w:spacing w:before="0" w:beforeLines="0" w:after="0" w:afterLines="0" w:line="420" w:lineRule="exact"/>
        <w:ind w:left="0" w:leftChars="0" w:right="0" w:rightChars="0"/>
        <w:textAlignment w:val="auto"/>
        <w:rPr>
          <w:rFonts w:hint="eastAsia" w:ascii="宋体" w:hAnsi="宋体" w:eastAsia="宋体" w:cs="宋体"/>
          <w:color w:val="000000" w:themeColor="text1"/>
          <w:sz w:val="28"/>
          <w:szCs w:val="28"/>
          <w:highlight w:val="none"/>
          <w:lang w:eastAsia="zh-CN"/>
        </w:rPr>
      </w:pPr>
      <w:bookmarkStart w:id="142" w:name="_Toc389065169"/>
      <w:bookmarkStart w:id="143" w:name="_Toc30872"/>
      <w:bookmarkStart w:id="144" w:name="_Toc494118810"/>
      <w:bookmarkStart w:id="145" w:name="_Toc32414"/>
      <w:bookmarkStart w:id="146" w:name="_Toc5821"/>
      <w:r>
        <w:rPr>
          <w:rFonts w:hint="eastAsia" w:ascii="宋体" w:hAnsi="宋体" w:eastAsia="宋体" w:cs="宋体"/>
          <w:color w:val="000000" w:themeColor="text1"/>
          <w:sz w:val="28"/>
          <w:szCs w:val="28"/>
          <w:highlight w:val="none"/>
        </w:rPr>
        <w:t xml:space="preserve">4 </w:t>
      </w:r>
      <w:bookmarkEnd w:id="142"/>
      <w:bookmarkEnd w:id="143"/>
      <w:bookmarkEnd w:id="144"/>
      <w:bookmarkEnd w:id="145"/>
      <w:bookmarkEnd w:id="146"/>
      <w:r>
        <w:rPr>
          <w:rFonts w:hint="eastAsia" w:ascii="宋体" w:hAnsi="宋体" w:eastAsia="宋体" w:cs="宋体"/>
          <w:color w:val="000000" w:themeColor="text1"/>
          <w:sz w:val="28"/>
          <w:szCs w:val="28"/>
          <w:highlight w:val="none"/>
          <w:lang w:eastAsia="zh-CN"/>
        </w:rPr>
        <w:t>谈判</w:t>
      </w:r>
    </w:p>
    <w:p w14:paraId="07097755">
      <w:pPr>
        <w:pStyle w:val="4"/>
        <w:pageBreakBefore w:val="0"/>
        <w:kinsoku/>
        <w:wordWrap/>
        <w:overflowPunct/>
        <w:topLinePunct w:val="0"/>
        <w:bidi w:val="0"/>
        <w:spacing w:before="0" w:beforeLines="0" w:after="0" w:afterLines="0" w:line="420" w:lineRule="exact"/>
        <w:ind w:left="0" w:leftChars="0" w:right="0" w:rightChars="0"/>
        <w:textAlignment w:val="auto"/>
        <w:rPr>
          <w:rFonts w:hint="eastAsia" w:ascii="宋体" w:hAnsi="宋体" w:eastAsia="宋体" w:cs="宋体"/>
          <w:color w:val="000000" w:themeColor="text1"/>
          <w:sz w:val="28"/>
          <w:szCs w:val="28"/>
          <w:highlight w:val="none"/>
        </w:rPr>
      </w:pPr>
      <w:bookmarkStart w:id="147" w:name="_Toc29772"/>
      <w:bookmarkStart w:id="148" w:name="_Toc389065171"/>
      <w:bookmarkStart w:id="149" w:name="_Toc21949"/>
      <w:bookmarkStart w:id="150" w:name="_Toc9251"/>
      <w:r>
        <w:rPr>
          <w:rFonts w:hint="eastAsia" w:ascii="宋体" w:hAnsi="宋体" w:eastAsia="宋体" w:cs="宋体"/>
          <w:color w:val="000000" w:themeColor="text1"/>
          <w:sz w:val="28"/>
          <w:szCs w:val="28"/>
          <w:highlight w:val="none"/>
        </w:rPr>
        <w:t>4.</w:t>
      </w: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 xml:space="preserve"> </w:t>
      </w:r>
      <w:r>
        <w:rPr>
          <w:rFonts w:hint="eastAsia" w:ascii="宋体" w:hAnsi="宋体" w:eastAsia="宋体" w:cs="宋体"/>
          <w:color w:val="000000" w:themeColor="text1"/>
          <w:sz w:val="28"/>
          <w:szCs w:val="28"/>
          <w:highlight w:val="none"/>
          <w:lang w:eastAsia="zh-CN"/>
        </w:rPr>
        <w:t>竞标文件</w:t>
      </w:r>
      <w:r>
        <w:rPr>
          <w:rFonts w:hint="eastAsia" w:ascii="宋体" w:hAnsi="宋体" w:eastAsia="宋体" w:cs="宋体"/>
          <w:color w:val="000000" w:themeColor="text1"/>
          <w:sz w:val="28"/>
          <w:szCs w:val="28"/>
          <w:highlight w:val="none"/>
        </w:rPr>
        <w:t>的递交</w:t>
      </w:r>
      <w:bookmarkEnd w:id="147"/>
      <w:bookmarkEnd w:id="148"/>
      <w:bookmarkEnd w:id="149"/>
      <w:bookmarkEnd w:id="150"/>
    </w:p>
    <w:p w14:paraId="049DCEC5">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4.1.1 竞标人应在本章第2.2.2项规定的竞标截止时间前递交竞标文件。</w:t>
      </w:r>
    </w:p>
    <w:p w14:paraId="2C99B2FA">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4.1.2 竞标人递交竞标文件的地点：见“供应商须知前附表”。</w:t>
      </w:r>
    </w:p>
    <w:p w14:paraId="19C51964">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4.1.3 除“竞标人须知前附表”另有规定外，竞标人所递交的竞标文件不予退还。</w:t>
      </w:r>
    </w:p>
    <w:p w14:paraId="52A58157">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4.1.4 逾期送达的或者未送达指定地点的竞标文件，采购人不予受理。</w:t>
      </w:r>
    </w:p>
    <w:p w14:paraId="7A2C7C0D">
      <w:pPr>
        <w:pStyle w:val="24"/>
        <w:pageBreakBefore w:val="0"/>
        <w:kinsoku/>
        <w:wordWrap/>
        <w:overflowPunct/>
        <w:topLinePunct w:val="0"/>
        <w:bidi w:val="0"/>
        <w:spacing w:line="420" w:lineRule="exact"/>
        <w:ind w:left="0" w:leftChars="0" w:right="0" w:rightChars="0"/>
        <w:textAlignment w:val="auto"/>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4.2 竞标文件的修改与撤回</w:t>
      </w:r>
    </w:p>
    <w:p w14:paraId="0FF6F55B">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4.2.1 在本章第2.2.2 款规定的竞标截止时间前，竞标人可以修改或撤回已递交的电子竞标文件。</w:t>
      </w:r>
    </w:p>
    <w:p w14:paraId="0C22285E">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4.2.2 补充或者修改电子竞标文件的，应当先行撤回原文件，补充、修改后重新传输递交，竞标文件递交截止时间前未完成传输的，视为撤回竞标文件。</w:t>
      </w:r>
    </w:p>
    <w:p w14:paraId="1F0A6F8B">
      <w:pPr>
        <w:pStyle w:val="24"/>
        <w:pageBreakBefore w:val="0"/>
        <w:kinsoku/>
        <w:wordWrap/>
        <w:overflowPunct/>
        <w:topLinePunct w:val="0"/>
        <w:bidi w:val="0"/>
        <w:spacing w:line="420" w:lineRule="exact"/>
        <w:ind w:left="0" w:leftChars="0" w:right="0" w:rightChars="0"/>
        <w:textAlignment w:val="auto"/>
        <w:rPr>
          <w:rFonts w:hint="eastAsia" w:ascii="宋体" w:hAnsi="宋体" w:eastAsia="宋体" w:cs="宋体"/>
          <w:b/>
          <w:bCs/>
          <w:color w:val="000000" w:themeColor="text1"/>
          <w:sz w:val="28"/>
          <w:szCs w:val="28"/>
          <w:highlight w:val="none"/>
        </w:rPr>
      </w:pPr>
      <w:r>
        <w:rPr>
          <w:rFonts w:hint="eastAsia" w:ascii="宋体" w:hAnsi="宋体" w:eastAsia="宋体" w:cs="宋体"/>
          <w:b/>
          <w:bCs/>
          <w:color w:val="000000" w:themeColor="text1"/>
          <w:sz w:val="28"/>
          <w:szCs w:val="28"/>
          <w:highlight w:val="none"/>
        </w:rPr>
        <w:t>5 竞标文件递交</w:t>
      </w:r>
    </w:p>
    <w:p w14:paraId="19F5668B">
      <w:pPr>
        <w:pStyle w:val="24"/>
        <w:pageBreakBefore w:val="0"/>
        <w:kinsoku/>
        <w:wordWrap/>
        <w:overflowPunct/>
        <w:topLinePunct w:val="0"/>
        <w:bidi w:val="0"/>
        <w:spacing w:line="420" w:lineRule="exact"/>
        <w:ind w:left="0" w:leftChars="0" w:right="0" w:rightChars="0"/>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5.1竞标文件的递交时间</w:t>
      </w:r>
    </w:p>
    <w:p w14:paraId="1692A876">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所有竞标文件应于竞争性谈判文件中规定的时间上传递交至</w:t>
      </w:r>
      <w:r>
        <w:rPr>
          <w:rFonts w:hint="eastAsia" w:hAnsi="宋体" w:eastAsia="宋体" w:cs="宋体"/>
          <w:color w:val="000000" w:themeColor="text1"/>
          <w:sz w:val="21"/>
          <w:lang w:eastAsia="zh-CN"/>
        </w:rPr>
        <w:t>广西政府采购云平台</w:t>
      </w:r>
      <w:r>
        <w:rPr>
          <w:rFonts w:hint="eastAsia" w:ascii="宋体" w:hAnsi="宋体" w:eastAsia="宋体" w:cs="宋体"/>
          <w:b w:val="0"/>
          <w:bCs w:val="0"/>
          <w:color w:val="000000" w:themeColor="text1"/>
          <w:sz w:val="21"/>
          <w:szCs w:val="21"/>
          <w:highlight w:val="none"/>
        </w:rPr>
        <w:t>。</w:t>
      </w:r>
    </w:p>
    <w:p w14:paraId="02FD2558">
      <w:pPr>
        <w:pStyle w:val="24"/>
        <w:pageBreakBefore w:val="0"/>
        <w:kinsoku/>
        <w:wordWrap/>
        <w:overflowPunct/>
        <w:topLinePunct w:val="0"/>
        <w:bidi w:val="0"/>
        <w:spacing w:line="420" w:lineRule="exact"/>
        <w:ind w:left="0" w:leftChars="0" w:right="0" w:rightChars="0"/>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5.2电子竞标文件的相关说明</w:t>
      </w:r>
    </w:p>
    <w:p w14:paraId="360D046C">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5.2.1竞标人进行电子竞标应安装客户端软件，并按照采购文件和电子交易平台的要求编制并加密竞标文件。竞标人未按规定加密的竞标文件，电子交易平台将拒收。竞标人应当在竞标文件递交截止时间前完成竞标文件的传输递交，并可以补充、修改或者撤回竞标文件。补充或者修改竞标文件的，应当先行撤回原文件，补充、修改后重新传输递交。竞标文件递交截止时间前未完成传输的，视为撤回竞标文件。竞标文件递交截止时间后递交的竞标文件，电子交易平台将拒收。</w:t>
      </w:r>
    </w:p>
    <w:p w14:paraId="000A033D">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5.2.2竞标人在规定的竞标截止时间前在电子交易平台传输递交竞标文件，在竞标文件解密阶段解密不成功时，在与项目归属监督部门备案后，竞标人通过邮件或者其他方式提交电子备份文件，启用电子备份竞标文件，若竞标人未提交电子备份竞标文件，其后果由竞标人自行承担。</w:t>
      </w:r>
    </w:p>
    <w:p w14:paraId="6A035C0D">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rPr>
        <w:t>5.2.3如有特殊情况，本项目延长截止时间和开标时间，采购人、采购代理机构和竞标人的权利和义务将受到新的截止时间和开标时间的约束。</w:t>
      </w:r>
    </w:p>
    <w:p w14:paraId="408B97D7">
      <w:pPr>
        <w:pStyle w:val="24"/>
        <w:pageBreakBefore w:val="0"/>
        <w:kinsoku/>
        <w:wordWrap/>
        <w:overflowPunct/>
        <w:topLinePunct w:val="0"/>
        <w:bidi w:val="0"/>
        <w:spacing w:line="420" w:lineRule="exact"/>
        <w:ind w:left="0" w:leftChars="0" w:right="0" w:rightChars="0"/>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5.3首次竞标文件的补充、修改与撤回</w:t>
      </w:r>
    </w:p>
    <w:p w14:paraId="772230FC">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b/>
          <w:bCs/>
          <w:color w:val="000000" w:themeColor="text1"/>
          <w:sz w:val="32"/>
          <w:szCs w:val="32"/>
          <w:highlight w:val="none"/>
        </w:rPr>
      </w:pPr>
      <w:r>
        <w:rPr>
          <w:rFonts w:hint="eastAsia" w:ascii="宋体" w:hAnsi="宋体" w:eastAsia="宋体" w:cs="宋体"/>
          <w:b w:val="0"/>
          <w:bCs w:val="0"/>
          <w:color w:val="000000" w:themeColor="text1"/>
          <w:sz w:val="21"/>
          <w:szCs w:val="21"/>
          <w:highlight w:val="none"/>
        </w:rPr>
        <w:t>竞标人在首次竞标文件提交截止时间前，可以对所提交的电子备份竞标文件进行补充、修改或者撤回。</w:t>
      </w:r>
      <w:r>
        <w:rPr>
          <w:rFonts w:hint="eastAsia" w:ascii="宋体" w:hAnsi="宋体" w:eastAsia="宋体" w:cs="宋体"/>
          <w:b/>
          <w:bCs/>
          <w:color w:val="000000" w:themeColor="text1"/>
          <w:sz w:val="32"/>
          <w:szCs w:val="32"/>
          <w:highlight w:val="none"/>
        </w:rPr>
        <w:t>5.2</w:t>
      </w:r>
      <w:r>
        <w:rPr>
          <w:rFonts w:hint="eastAsia" w:ascii="宋体" w:hAnsi="宋体" w:eastAsia="宋体" w:cs="宋体"/>
          <w:b/>
          <w:bCs/>
          <w:color w:val="000000" w:themeColor="text1"/>
          <w:sz w:val="32"/>
          <w:szCs w:val="32"/>
          <w:highlight w:val="none"/>
          <w:lang w:eastAsia="zh-CN"/>
        </w:rPr>
        <w:t>竞标</w:t>
      </w:r>
      <w:r>
        <w:rPr>
          <w:rFonts w:hint="eastAsia" w:ascii="宋体" w:hAnsi="宋体" w:eastAsia="宋体" w:cs="宋体"/>
          <w:b/>
          <w:bCs/>
          <w:color w:val="000000" w:themeColor="text1"/>
          <w:sz w:val="32"/>
          <w:szCs w:val="32"/>
          <w:highlight w:val="none"/>
        </w:rPr>
        <w:t>说明</w:t>
      </w:r>
    </w:p>
    <w:p w14:paraId="63FCD8A5">
      <w:pPr>
        <w:pStyle w:val="24"/>
        <w:pageBreakBefore w:val="0"/>
        <w:kinsoku/>
        <w:wordWrap/>
        <w:overflowPunct/>
        <w:topLinePunct w:val="0"/>
        <w:bidi w:val="0"/>
        <w:spacing w:line="420" w:lineRule="exact"/>
        <w:ind w:right="0" w:rightChars="0" w:firstLine="422" w:firstLineChars="200"/>
        <w:textAlignment w:val="auto"/>
        <w:rPr>
          <w:rFonts w:hint="eastAsia" w:ascii="宋体" w:hAnsi="宋体" w:eastAsia="宋体" w:cs="宋体"/>
          <w:b/>
          <w:bCs/>
          <w:color w:val="000000" w:themeColor="text1"/>
          <w:kern w:val="0"/>
          <w:highlight w:val="none"/>
          <w:lang w:val="en-US" w:eastAsia="zh-CN"/>
        </w:rPr>
      </w:pPr>
      <w:r>
        <w:rPr>
          <w:rFonts w:hint="eastAsia" w:ascii="宋体" w:hAnsi="宋体" w:eastAsia="宋体" w:cs="宋体"/>
          <w:b/>
          <w:bCs/>
          <w:color w:val="000000" w:themeColor="text1"/>
          <w:kern w:val="0"/>
          <w:highlight w:val="none"/>
          <w:lang w:val="en-US" w:eastAsia="zh-CN"/>
        </w:rPr>
        <w:t>5.2.1竞标小组成立</w:t>
      </w:r>
    </w:p>
    <w:p w14:paraId="16C2D2D8">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kern w:val="0"/>
          <w:highlight w:val="none"/>
        </w:rPr>
      </w:pPr>
      <w:r>
        <w:rPr>
          <w:rFonts w:hint="eastAsia" w:ascii="宋体" w:hAnsi="宋体" w:eastAsia="宋体" w:cs="宋体"/>
          <w:color w:val="000000" w:themeColor="text1"/>
          <w:kern w:val="0"/>
          <w:highlight w:val="none"/>
          <w:lang w:eastAsia="zh-CN"/>
        </w:rPr>
        <w:t>竞标</w:t>
      </w:r>
      <w:r>
        <w:rPr>
          <w:rFonts w:hint="eastAsia" w:ascii="宋体" w:hAnsi="宋体" w:eastAsia="宋体" w:cs="宋体"/>
          <w:color w:val="000000" w:themeColor="text1"/>
          <w:kern w:val="0"/>
          <w:highlight w:val="none"/>
        </w:rPr>
        <w:t>小组由采购人代表和评审专家共3人以上单数组成，具体人数见“</w:t>
      </w:r>
      <w:r>
        <w:rPr>
          <w:rFonts w:hint="eastAsia" w:ascii="宋体" w:hAnsi="宋体" w:eastAsia="宋体" w:cs="宋体"/>
          <w:color w:val="000000" w:themeColor="text1"/>
          <w:kern w:val="0"/>
          <w:highlight w:val="none"/>
          <w:lang w:eastAsia="zh-CN"/>
        </w:rPr>
        <w:t>竞标人</w:t>
      </w:r>
      <w:r>
        <w:rPr>
          <w:rFonts w:hint="eastAsia" w:ascii="宋体" w:hAnsi="宋体" w:eastAsia="宋体" w:cs="宋体"/>
          <w:color w:val="000000" w:themeColor="text1"/>
          <w:kern w:val="0"/>
          <w:highlight w:val="none"/>
        </w:rPr>
        <w:t>须知前附表”，其中评审专家人数不得少于</w:t>
      </w:r>
      <w:r>
        <w:rPr>
          <w:rFonts w:hint="eastAsia" w:ascii="宋体" w:hAnsi="宋体" w:eastAsia="宋体" w:cs="宋体"/>
          <w:color w:val="000000" w:themeColor="text1"/>
          <w:kern w:val="0"/>
          <w:highlight w:val="none"/>
          <w:lang w:eastAsia="zh-CN"/>
        </w:rPr>
        <w:t>竞标</w:t>
      </w:r>
      <w:r>
        <w:rPr>
          <w:rFonts w:hint="eastAsia" w:ascii="宋体" w:hAnsi="宋体" w:eastAsia="宋体" w:cs="宋体"/>
          <w:color w:val="000000" w:themeColor="text1"/>
          <w:kern w:val="0"/>
          <w:highlight w:val="none"/>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w:t>
      </w:r>
      <w:r>
        <w:rPr>
          <w:rFonts w:hint="eastAsia" w:ascii="宋体" w:hAnsi="宋体" w:eastAsia="宋体" w:cs="宋体"/>
          <w:color w:val="000000" w:themeColor="text1"/>
          <w:kern w:val="0"/>
          <w:highlight w:val="none"/>
          <w:lang w:eastAsia="zh-CN"/>
        </w:rPr>
        <w:t>谈判</w:t>
      </w:r>
      <w:r>
        <w:rPr>
          <w:rFonts w:hint="eastAsia" w:ascii="宋体" w:hAnsi="宋体" w:eastAsia="宋体" w:cs="宋体"/>
          <w:color w:val="000000" w:themeColor="text1"/>
          <w:kern w:val="0"/>
          <w:highlight w:val="none"/>
        </w:rPr>
        <w:t>方式采购的，</w:t>
      </w:r>
      <w:r>
        <w:rPr>
          <w:rFonts w:hint="eastAsia" w:ascii="宋体" w:hAnsi="宋体" w:eastAsia="宋体" w:cs="宋体"/>
          <w:color w:val="000000" w:themeColor="text1"/>
          <w:kern w:val="0"/>
          <w:highlight w:val="none"/>
          <w:lang w:eastAsia="zh-CN"/>
        </w:rPr>
        <w:t>竞标</w:t>
      </w:r>
      <w:r>
        <w:rPr>
          <w:rFonts w:hint="eastAsia" w:ascii="宋体" w:hAnsi="宋体" w:eastAsia="宋体" w:cs="宋体"/>
          <w:color w:val="000000" w:themeColor="text1"/>
          <w:kern w:val="0"/>
          <w:highlight w:val="none"/>
        </w:rPr>
        <w:t>小组由5人以上单数组成。</w:t>
      </w:r>
    </w:p>
    <w:p w14:paraId="12DAFCAA">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kern w:val="0"/>
          <w:highlight w:val="none"/>
          <w:lang w:val="en-US" w:eastAsia="zh-CN"/>
        </w:rPr>
      </w:pPr>
      <w:r>
        <w:rPr>
          <w:rFonts w:hint="eastAsia" w:ascii="宋体" w:hAnsi="宋体" w:eastAsia="宋体" w:cs="宋体"/>
          <w:color w:val="000000" w:themeColor="text1"/>
          <w:kern w:val="0"/>
          <w:highlight w:val="none"/>
          <w:lang w:val="en-US" w:eastAsia="zh-CN"/>
        </w:rPr>
        <w:t>5.2.2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ADE9567">
      <w:pPr>
        <w:pStyle w:val="24"/>
        <w:pageBreakBefore w:val="0"/>
        <w:kinsoku/>
        <w:wordWrap/>
        <w:overflowPunct/>
        <w:topLinePunct w:val="0"/>
        <w:bidi w:val="0"/>
        <w:spacing w:line="420" w:lineRule="exact"/>
        <w:ind w:left="0" w:leftChars="0" w:right="0" w:rightChars="0" w:firstLine="422" w:firstLineChars="200"/>
        <w:textAlignment w:val="auto"/>
        <w:rPr>
          <w:rFonts w:hint="eastAsia" w:ascii="宋体" w:hAnsi="宋体" w:eastAsia="宋体" w:cs="宋体"/>
          <w:b/>
          <w:bCs/>
          <w:color w:val="000000" w:themeColor="text1"/>
          <w:kern w:val="0"/>
          <w:highlight w:val="none"/>
          <w:lang w:val="en-US" w:eastAsia="zh-CN"/>
        </w:rPr>
      </w:pPr>
      <w:r>
        <w:rPr>
          <w:rFonts w:hint="eastAsia" w:ascii="宋体" w:hAnsi="宋体" w:eastAsia="宋体" w:cs="宋体"/>
          <w:b/>
          <w:bCs/>
          <w:color w:val="000000" w:themeColor="text1"/>
          <w:kern w:val="0"/>
          <w:highlight w:val="none"/>
          <w:lang w:val="en-US" w:eastAsia="zh-CN"/>
        </w:rPr>
        <w:t>5.2.2竞标文件的解密</w:t>
      </w:r>
    </w:p>
    <w:p w14:paraId="3C0BAF2A">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kern w:val="0"/>
          <w:highlight w:val="none"/>
          <w:lang w:val="en-US" w:eastAsia="zh-CN"/>
        </w:rPr>
      </w:pPr>
      <w:r>
        <w:rPr>
          <w:rFonts w:hint="eastAsia" w:ascii="宋体" w:hAnsi="宋体" w:eastAsia="宋体" w:cs="宋体"/>
          <w:color w:val="000000" w:themeColor="text1"/>
          <w:kern w:val="0"/>
          <w:highlight w:val="none"/>
          <w:lang w:val="en-US" w:eastAsia="zh-CN"/>
        </w:rPr>
        <w:t>5.2.2.1采购代理机构向各竞标人发出电子加密竞标文件【开始解密】通知，由竞标人按竞争性谈判文件规定的时间内自行进行竞标文件解密。竞标人在规定的时间内无法完成已递交的“电子加密竞标文件”解密的，应向招标代理机构申请递交电子备份文件，在与项目归属监督部门备案后，竞标人应通过邮件或者其他方式提交电子备份文件，如已按规定递交了电子备份竞标文件的，将由采购组织机构按“政府采购云平台”操作规范将备份竞标文件上传至“政府采购云平台”，上传成功后，“电子加密竞标文件”自动失效。如未提供备份电子竞标文件，将不进行再次解密程序。无法按时解密，竞标人递交了电子备份竞标文件的，以电子备份竞标文件为依据，否则视为竞标文件撤回。在线解密时间为30分钟。</w:t>
      </w:r>
    </w:p>
    <w:p w14:paraId="205C41AF">
      <w:pPr>
        <w:pStyle w:val="24"/>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kern w:val="0"/>
          <w:highlight w:val="none"/>
          <w:lang w:val="en-US" w:eastAsia="zh-CN"/>
        </w:rPr>
      </w:pPr>
      <w:r>
        <w:rPr>
          <w:rFonts w:hint="eastAsia" w:ascii="宋体" w:hAnsi="宋体" w:eastAsia="宋体" w:cs="宋体"/>
          <w:color w:val="000000" w:themeColor="text1"/>
          <w:kern w:val="0"/>
          <w:highlight w:val="none"/>
          <w:lang w:val="en-US" w:eastAsia="zh-CN"/>
        </w:rPr>
        <w:t>5.2.2.2竞标文件解密结束后，采购活动组织人员在线开启竞标文件。</w:t>
      </w:r>
    </w:p>
    <w:p w14:paraId="2FC81DA1">
      <w:pPr>
        <w:pStyle w:val="4"/>
        <w:spacing w:before="0" w:after="0" w:line="420" w:lineRule="exact"/>
        <w:ind w:firstLine="420" w:firstLineChars="200"/>
        <w:rPr>
          <w:rFonts w:hint="eastAsia" w:ascii="宋体" w:hAnsi="宋体" w:eastAsia="宋体" w:cs="宋体"/>
          <w:b w:val="0"/>
          <w:bCs w:val="0"/>
          <w:color w:val="000000" w:themeColor="text1"/>
          <w:kern w:val="0"/>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rPr>
        <w:t>特别说明：如遇“政府采购云平台”电子化开标或评审程序调整的，按调整后程序执行。</w:t>
      </w:r>
    </w:p>
    <w:p w14:paraId="76D0B374">
      <w:pPr>
        <w:pStyle w:val="4"/>
        <w:spacing w:before="0" w:after="0" w:line="42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5.3 谈判程序</w:t>
      </w:r>
      <w:bookmarkEnd w:id="140"/>
      <w:bookmarkEnd w:id="141"/>
    </w:p>
    <w:p w14:paraId="71DE54F4">
      <w:pPr>
        <w:pStyle w:val="24"/>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eastAsia" w:ascii="宋体" w:hAnsi="宋体" w:eastAsia="宋体" w:cs="宋体"/>
          <w:color w:val="000000" w:themeColor="text1"/>
          <w:kern w:val="0"/>
          <w:highlight w:val="none"/>
          <w:lang w:eastAsia="zh-CN"/>
        </w:rPr>
      </w:pPr>
      <w:bookmarkStart w:id="151" w:name="_Toc389065176"/>
      <w:bookmarkStart w:id="152" w:name="_Toc3117"/>
      <w:r>
        <w:rPr>
          <w:rFonts w:hint="eastAsia" w:ascii="宋体" w:hAnsi="宋体" w:eastAsia="宋体" w:cs="宋体"/>
          <w:color w:val="000000" w:themeColor="text1"/>
          <w:kern w:val="0"/>
          <w:highlight w:val="none"/>
          <w:lang w:val="en-US" w:eastAsia="zh-CN"/>
        </w:rPr>
        <w:t>（1）</w:t>
      </w:r>
      <w:r>
        <w:rPr>
          <w:rFonts w:hint="eastAsia" w:ascii="宋体" w:hAnsi="宋体" w:eastAsia="宋体" w:cs="宋体"/>
          <w:color w:val="000000" w:themeColor="text1"/>
          <w:kern w:val="0"/>
          <w:highlight w:val="none"/>
          <w:lang w:eastAsia="zh-CN"/>
        </w:rPr>
        <w:t>本项目的评审方法为最低评标价法。</w:t>
      </w:r>
    </w:p>
    <w:p w14:paraId="4B92D60E">
      <w:pPr>
        <w:pStyle w:val="24"/>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eastAsia" w:ascii="宋体" w:hAnsi="宋体" w:eastAsia="宋体" w:cs="宋体"/>
          <w:color w:val="000000" w:themeColor="text1"/>
          <w:kern w:val="0"/>
          <w:highlight w:val="none"/>
          <w:lang w:eastAsia="zh-CN"/>
        </w:rPr>
      </w:pPr>
      <w:r>
        <w:rPr>
          <w:rFonts w:hint="eastAsia" w:ascii="宋体" w:hAnsi="宋体" w:eastAsia="宋体" w:cs="宋体"/>
          <w:color w:val="000000" w:themeColor="text1"/>
          <w:kern w:val="0"/>
          <w:highlight w:val="none"/>
          <w:lang w:val="en-US" w:eastAsia="zh-CN"/>
        </w:rPr>
        <w:t>（2）</w:t>
      </w:r>
      <w:r>
        <w:rPr>
          <w:rFonts w:hint="eastAsia" w:ascii="宋体" w:hAnsi="宋体" w:eastAsia="宋体" w:cs="宋体"/>
          <w:color w:val="000000" w:themeColor="text1"/>
          <w:kern w:val="0"/>
          <w:highlight w:val="none"/>
          <w:lang w:eastAsia="zh-CN"/>
        </w:rPr>
        <w:t>谈判小组按照“第三章 评标方法”规定的方法、评审因素、标准和程序对竞标文件进行评审。</w:t>
      </w:r>
    </w:p>
    <w:p w14:paraId="7F90D655">
      <w:pPr>
        <w:pStyle w:val="24"/>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eastAsia" w:ascii="宋体" w:hAnsi="宋体" w:eastAsia="宋体" w:cs="宋体"/>
          <w:color w:val="000000" w:themeColor="text1"/>
          <w:kern w:val="0"/>
        </w:rPr>
      </w:pPr>
      <w:r>
        <w:rPr>
          <w:rFonts w:hint="eastAsia" w:ascii="宋体" w:hAnsi="宋体" w:eastAsia="宋体" w:cs="宋体"/>
          <w:color w:val="000000" w:themeColor="text1"/>
          <w:kern w:val="0"/>
          <w:highlight w:val="none"/>
          <w:lang w:val="en-US" w:eastAsia="zh-CN"/>
        </w:rPr>
        <w:t>（3）</w:t>
      </w:r>
      <w:r>
        <w:rPr>
          <w:rFonts w:hint="eastAsia" w:ascii="宋体" w:hAnsi="宋体" w:eastAsia="宋体" w:cs="宋体"/>
          <w:color w:val="000000" w:themeColor="text1"/>
          <w:kern w:val="0"/>
          <w:highlight w:val="none"/>
          <w:lang w:eastAsia="zh-CN"/>
        </w:rPr>
        <w:t>谈判小组按照“竞标人须知前附表” 确定的顺序，集中与单一竞标人分别进行谈判，并给予所有参加谈判的竞标人平等的竞标机会。竞标人应当在采购人或采购代理机构发出谈判通知（开启新一轮报价）后在</w:t>
      </w:r>
      <w:r>
        <w:rPr>
          <w:rFonts w:hint="eastAsia" w:hAnsi="宋体" w:eastAsia="宋体" w:cs="宋体"/>
          <w:color w:val="000000" w:themeColor="text1"/>
          <w:sz w:val="21"/>
          <w:lang w:eastAsia="zh-CN"/>
        </w:rPr>
        <w:t>广西政府采购云平台</w:t>
      </w:r>
      <w:r>
        <w:rPr>
          <w:rFonts w:hint="eastAsia" w:ascii="宋体" w:hAnsi="宋体" w:eastAsia="宋体" w:cs="宋体"/>
          <w:color w:val="000000" w:themeColor="text1"/>
          <w:kern w:val="0"/>
          <w:highlight w:val="none"/>
          <w:lang w:eastAsia="zh-CN"/>
        </w:rPr>
        <w:t>设定的时间内进行响应，否则视同放弃参加谈判权利，其竞标文件按无效竞标处理。</w:t>
      </w:r>
    </w:p>
    <w:p w14:paraId="4CBD9CAC">
      <w:pPr>
        <w:pStyle w:val="24"/>
        <w:keepNext w:val="0"/>
        <w:keepLines w:val="0"/>
        <w:pageBreakBefore w:val="0"/>
        <w:widowControl w:val="0"/>
        <w:kinsoku/>
        <w:wordWrap/>
        <w:overflowPunct/>
        <w:topLinePunct w:val="0"/>
        <w:autoSpaceDE/>
        <w:autoSpaceDN/>
        <w:bidi w:val="0"/>
        <w:adjustRightInd/>
        <w:snapToGrid/>
        <w:spacing w:line="420" w:lineRule="exact"/>
        <w:ind w:right="0" w:rightChars="0" w:firstLine="422" w:firstLineChars="200"/>
        <w:textAlignment w:val="auto"/>
        <w:outlineLvl w:val="9"/>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本项目采用多次报价方式，作最终报价时各</w:t>
      </w:r>
      <w:r>
        <w:rPr>
          <w:rFonts w:hint="eastAsia" w:ascii="宋体" w:hAnsi="宋体" w:eastAsia="宋体" w:cs="宋体"/>
          <w:b/>
          <w:color w:val="000000" w:themeColor="text1"/>
          <w:highlight w:val="none"/>
          <w:lang w:eastAsia="zh-CN"/>
        </w:rPr>
        <w:t>竞标人</w:t>
      </w:r>
      <w:r>
        <w:rPr>
          <w:rFonts w:hint="eastAsia" w:ascii="宋体" w:hAnsi="宋体" w:eastAsia="宋体" w:cs="宋体"/>
          <w:b/>
          <w:color w:val="000000" w:themeColor="text1"/>
          <w:highlight w:val="none"/>
        </w:rPr>
        <w:t>的最终报价文件必须以</w:t>
      </w:r>
      <w:r>
        <w:rPr>
          <w:rFonts w:hint="eastAsia" w:ascii="宋体" w:hAnsi="宋体" w:eastAsia="宋体" w:cs="宋体"/>
          <w:b/>
          <w:color w:val="000000" w:themeColor="text1"/>
          <w:highlight w:val="none"/>
          <w:u w:val="single"/>
        </w:rPr>
        <w:t>工程量清单报价表</w:t>
      </w:r>
      <w:r>
        <w:rPr>
          <w:rFonts w:hint="eastAsia" w:ascii="宋体" w:hAnsi="宋体" w:eastAsia="宋体" w:cs="宋体"/>
          <w:b/>
          <w:color w:val="000000" w:themeColor="text1"/>
          <w:highlight w:val="none"/>
        </w:rPr>
        <w:t>的格式编制</w:t>
      </w:r>
      <w:r>
        <w:rPr>
          <w:rFonts w:hint="eastAsia" w:ascii="宋体" w:hAnsi="宋体" w:eastAsia="宋体" w:cs="宋体"/>
          <w:b/>
          <w:color w:val="000000" w:themeColor="text1"/>
          <w:highlight w:val="none"/>
          <w:lang w:eastAsia="zh-CN"/>
        </w:rPr>
        <w:t>并上传至广西政府采购云平台</w:t>
      </w:r>
      <w:r>
        <w:rPr>
          <w:rFonts w:hint="eastAsia" w:ascii="宋体" w:hAnsi="宋体" w:eastAsia="宋体" w:cs="宋体"/>
          <w:b/>
          <w:color w:val="000000" w:themeColor="text1"/>
          <w:highlight w:val="none"/>
        </w:rPr>
        <w:t>，不得以总价下浮的方式做最终报价，否则，作无效标处理。</w:t>
      </w:r>
      <w:r>
        <w:rPr>
          <w:rFonts w:hint="eastAsia" w:ascii="宋体" w:hAnsi="宋体" w:eastAsia="宋体" w:cs="宋体"/>
          <w:b/>
          <w:color w:val="000000" w:themeColor="text1"/>
          <w:highlight w:val="none"/>
          <w:lang w:eastAsia="zh-CN"/>
        </w:rPr>
        <w:t>谈判小组</w:t>
      </w:r>
      <w:r>
        <w:rPr>
          <w:rFonts w:hint="eastAsia" w:ascii="宋体" w:hAnsi="宋体" w:eastAsia="宋体" w:cs="宋体"/>
          <w:b/>
          <w:color w:val="000000" w:themeColor="text1"/>
          <w:highlight w:val="none"/>
        </w:rPr>
        <w:t>要求所有继续参加</w:t>
      </w:r>
      <w:r>
        <w:rPr>
          <w:rFonts w:hint="eastAsia" w:ascii="宋体" w:hAnsi="宋体" w:eastAsia="宋体" w:cs="宋体"/>
          <w:b/>
          <w:color w:val="000000" w:themeColor="text1"/>
          <w:highlight w:val="none"/>
          <w:lang w:eastAsia="zh-CN"/>
        </w:rPr>
        <w:t>谈判</w:t>
      </w:r>
      <w:r>
        <w:rPr>
          <w:rFonts w:hint="eastAsia" w:ascii="宋体" w:hAnsi="宋体" w:eastAsia="宋体" w:cs="宋体"/>
          <w:b/>
          <w:color w:val="000000" w:themeColor="text1"/>
          <w:highlight w:val="none"/>
        </w:rPr>
        <w:t>的</w:t>
      </w:r>
      <w:r>
        <w:rPr>
          <w:rFonts w:hint="eastAsia" w:ascii="宋体" w:hAnsi="宋体" w:eastAsia="宋体" w:cs="宋体"/>
          <w:b/>
          <w:color w:val="000000" w:themeColor="text1"/>
          <w:highlight w:val="none"/>
          <w:lang w:eastAsia="zh-CN"/>
        </w:rPr>
        <w:t>竞标人</w:t>
      </w:r>
      <w:r>
        <w:rPr>
          <w:rFonts w:hint="eastAsia" w:ascii="宋体" w:hAnsi="宋体" w:eastAsia="宋体" w:cs="宋体"/>
          <w:b/>
          <w:color w:val="000000" w:themeColor="text1"/>
          <w:highlight w:val="none"/>
        </w:rPr>
        <w:t>在规定时间内(一般情况规定时间不超过半个小时)提交最终报价，因此各</w:t>
      </w:r>
      <w:r>
        <w:rPr>
          <w:rFonts w:hint="eastAsia" w:ascii="宋体" w:hAnsi="宋体" w:eastAsia="宋体" w:cs="宋体"/>
          <w:b/>
          <w:color w:val="000000" w:themeColor="text1"/>
          <w:highlight w:val="none"/>
          <w:lang w:eastAsia="zh-CN"/>
        </w:rPr>
        <w:t>竞标人</w:t>
      </w:r>
      <w:r>
        <w:rPr>
          <w:rFonts w:hint="eastAsia" w:ascii="宋体" w:hAnsi="宋体" w:eastAsia="宋体" w:cs="宋体"/>
          <w:b/>
          <w:color w:val="000000" w:themeColor="text1"/>
          <w:highlight w:val="none"/>
        </w:rPr>
        <w:t>必须提前做好相关准备并按时递交最终报价文件，最终报价高于</w:t>
      </w:r>
      <w:r>
        <w:rPr>
          <w:rFonts w:hint="eastAsia" w:ascii="宋体" w:hAnsi="宋体" w:eastAsia="宋体" w:cs="宋体"/>
          <w:b/>
          <w:color w:val="000000" w:themeColor="text1"/>
          <w:highlight w:val="none"/>
          <w:lang w:eastAsia="zh-CN"/>
        </w:rPr>
        <w:t>采购控制价</w:t>
      </w:r>
      <w:r>
        <w:rPr>
          <w:rFonts w:hint="eastAsia" w:ascii="宋体" w:hAnsi="宋体" w:eastAsia="宋体" w:cs="宋体"/>
          <w:b/>
          <w:color w:val="000000" w:themeColor="text1"/>
          <w:highlight w:val="none"/>
        </w:rPr>
        <w:t>的响应文件作无效标处理。</w:t>
      </w:r>
    </w:p>
    <w:p w14:paraId="2EE10827">
      <w:pPr>
        <w:pStyle w:val="24"/>
        <w:spacing w:line="420" w:lineRule="exact"/>
        <w:ind w:firstLine="420" w:firstLineChars="200"/>
        <w:rPr>
          <w:rFonts w:hint="eastAsia" w:ascii="宋体" w:hAnsi="宋体" w:eastAsia="宋体" w:cs="宋体"/>
          <w:color w:val="000000" w:themeColor="text1"/>
          <w:kern w:val="0"/>
        </w:rPr>
      </w:pPr>
      <w:r>
        <w:rPr>
          <w:rFonts w:hint="eastAsia" w:ascii="宋体" w:hAnsi="宋体" w:eastAsia="宋体" w:cs="宋体"/>
          <w:color w:val="000000" w:themeColor="text1"/>
          <w:kern w:val="0"/>
        </w:rPr>
        <w:t>（</w:t>
      </w:r>
      <w:r>
        <w:rPr>
          <w:rFonts w:hint="eastAsia" w:ascii="宋体" w:hAnsi="宋体" w:eastAsia="宋体" w:cs="宋体"/>
          <w:color w:val="000000" w:themeColor="text1"/>
          <w:kern w:val="0"/>
          <w:lang w:val="en-US" w:eastAsia="zh-CN"/>
        </w:rPr>
        <w:t>4</w:t>
      </w:r>
      <w:r>
        <w:rPr>
          <w:rFonts w:hint="eastAsia" w:ascii="宋体" w:hAnsi="宋体" w:eastAsia="宋体" w:cs="宋体"/>
          <w:color w:val="000000" w:themeColor="text1"/>
          <w:kern w:val="0"/>
        </w:rPr>
        <w:t>）</w:t>
      </w:r>
      <w:r>
        <w:rPr>
          <w:rFonts w:hint="eastAsia" w:ascii="宋体" w:hAnsi="宋体" w:eastAsia="宋体" w:cs="宋体"/>
          <w:color w:val="000000" w:themeColor="text1"/>
          <w:kern w:val="0"/>
          <w:highlight w:val="none"/>
          <w:lang w:eastAsia="zh-CN"/>
        </w:rPr>
        <w:t>谈判小组</w:t>
      </w:r>
      <w:r>
        <w:rPr>
          <w:rFonts w:hint="eastAsia" w:ascii="宋体" w:hAnsi="宋体" w:eastAsia="宋体" w:cs="宋体"/>
          <w:color w:val="000000" w:themeColor="text1"/>
          <w:kern w:val="0"/>
          <w:highlight w:val="none"/>
        </w:rPr>
        <w:t>对各</w:t>
      </w:r>
      <w:r>
        <w:rPr>
          <w:rFonts w:hint="eastAsia" w:ascii="宋体" w:hAnsi="宋体" w:eastAsia="宋体" w:cs="宋体"/>
          <w:color w:val="000000" w:themeColor="text1"/>
          <w:kern w:val="0"/>
          <w:highlight w:val="none"/>
          <w:lang w:eastAsia="zh-CN"/>
        </w:rPr>
        <w:t>竞标人</w:t>
      </w:r>
      <w:r>
        <w:rPr>
          <w:rFonts w:hint="eastAsia" w:ascii="宋体" w:hAnsi="宋体" w:eastAsia="宋体" w:cs="宋体"/>
          <w:color w:val="000000" w:themeColor="text1"/>
          <w:kern w:val="0"/>
          <w:highlight w:val="none"/>
        </w:rPr>
        <w:t>递交的应答文件统一开启，并进行评审后，认为有必要再次进行</w:t>
      </w:r>
      <w:r>
        <w:rPr>
          <w:rFonts w:hint="eastAsia" w:ascii="宋体" w:hAnsi="宋体" w:eastAsia="宋体" w:cs="宋体"/>
          <w:color w:val="000000" w:themeColor="text1"/>
          <w:kern w:val="0"/>
          <w:highlight w:val="none"/>
          <w:lang w:eastAsia="zh-CN"/>
        </w:rPr>
        <w:t>谈判</w:t>
      </w:r>
      <w:r>
        <w:rPr>
          <w:rFonts w:hint="eastAsia" w:ascii="宋体" w:hAnsi="宋体" w:eastAsia="宋体" w:cs="宋体"/>
          <w:color w:val="000000" w:themeColor="text1"/>
          <w:kern w:val="0"/>
          <w:highlight w:val="none"/>
        </w:rPr>
        <w:t>的，可再次与</w:t>
      </w:r>
      <w:r>
        <w:rPr>
          <w:rFonts w:hint="eastAsia" w:ascii="宋体" w:hAnsi="宋体" w:eastAsia="宋体" w:cs="宋体"/>
          <w:color w:val="000000" w:themeColor="text1"/>
          <w:kern w:val="0"/>
          <w:highlight w:val="none"/>
          <w:lang w:eastAsia="zh-CN"/>
        </w:rPr>
        <w:t>竞标人</w:t>
      </w:r>
      <w:r>
        <w:rPr>
          <w:rFonts w:hint="eastAsia" w:ascii="宋体" w:hAnsi="宋体" w:eastAsia="宋体" w:cs="宋体"/>
          <w:color w:val="000000" w:themeColor="text1"/>
          <w:kern w:val="0"/>
          <w:highlight w:val="none"/>
        </w:rPr>
        <w:t>进行</w:t>
      </w:r>
      <w:r>
        <w:rPr>
          <w:rFonts w:hint="eastAsia" w:ascii="宋体" w:hAnsi="宋体" w:eastAsia="宋体" w:cs="宋体"/>
          <w:color w:val="000000" w:themeColor="text1"/>
          <w:kern w:val="0"/>
          <w:highlight w:val="none"/>
          <w:lang w:eastAsia="zh-CN"/>
        </w:rPr>
        <w:t>谈判</w:t>
      </w:r>
      <w:r>
        <w:rPr>
          <w:rFonts w:hint="eastAsia" w:ascii="宋体" w:hAnsi="宋体" w:eastAsia="宋体" w:cs="宋体"/>
          <w:color w:val="000000" w:themeColor="text1"/>
          <w:kern w:val="0"/>
          <w:highlight w:val="none"/>
        </w:rPr>
        <w:t>，直至</w:t>
      </w:r>
      <w:r>
        <w:rPr>
          <w:rFonts w:hint="eastAsia" w:ascii="宋体" w:hAnsi="宋体" w:eastAsia="宋体" w:cs="宋体"/>
          <w:color w:val="000000" w:themeColor="text1"/>
          <w:kern w:val="0"/>
          <w:highlight w:val="none"/>
          <w:lang w:eastAsia="zh-CN"/>
        </w:rPr>
        <w:t>谈判小组</w:t>
      </w:r>
      <w:r>
        <w:rPr>
          <w:rFonts w:hint="eastAsia" w:ascii="宋体" w:hAnsi="宋体" w:eastAsia="宋体" w:cs="宋体"/>
          <w:color w:val="000000" w:themeColor="text1"/>
          <w:kern w:val="0"/>
          <w:highlight w:val="none"/>
        </w:rPr>
        <w:t>认为没有必要再进行</w:t>
      </w:r>
      <w:r>
        <w:rPr>
          <w:rFonts w:hint="eastAsia" w:ascii="宋体" w:hAnsi="宋体" w:eastAsia="宋体" w:cs="宋体"/>
          <w:color w:val="000000" w:themeColor="text1"/>
          <w:kern w:val="0"/>
          <w:highlight w:val="none"/>
          <w:lang w:eastAsia="zh-CN"/>
        </w:rPr>
        <w:t>谈判</w:t>
      </w:r>
      <w:r>
        <w:rPr>
          <w:rFonts w:hint="eastAsia" w:ascii="宋体" w:hAnsi="宋体" w:eastAsia="宋体" w:cs="宋体"/>
          <w:color w:val="000000" w:themeColor="text1"/>
          <w:kern w:val="0"/>
          <w:highlight w:val="none"/>
        </w:rPr>
        <w:t>，</w:t>
      </w:r>
      <w:r>
        <w:rPr>
          <w:rFonts w:hint="eastAsia" w:ascii="宋体" w:hAnsi="宋体" w:eastAsia="宋体" w:cs="宋体"/>
          <w:color w:val="000000" w:themeColor="text1"/>
          <w:kern w:val="0"/>
          <w:highlight w:val="none"/>
          <w:lang w:eastAsia="zh-CN"/>
        </w:rPr>
        <w:t>谈判</w:t>
      </w:r>
      <w:r>
        <w:rPr>
          <w:rFonts w:hint="eastAsia" w:ascii="宋体" w:hAnsi="宋体" w:eastAsia="宋体" w:cs="宋体"/>
          <w:color w:val="000000" w:themeColor="text1"/>
          <w:kern w:val="0"/>
          <w:highlight w:val="none"/>
        </w:rPr>
        <w:t>方可结束。对最后一轮</w:t>
      </w:r>
      <w:r>
        <w:rPr>
          <w:rFonts w:hint="eastAsia" w:ascii="宋体" w:hAnsi="宋体" w:eastAsia="宋体" w:cs="宋体"/>
          <w:color w:val="000000" w:themeColor="text1"/>
          <w:kern w:val="0"/>
          <w:highlight w:val="none"/>
          <w:lang w:eastAsia="zh-CN"/>
        </w:rPr>
        <w:t>谈判</w:t>
      </w:r>
      <w:r>
        <w:rPr>
          <w:rFonts w:hint="eastAsia" w:ascii="宋体" w:hAnsi="宋体" w:eastAsia="宋体" w:cs="宋体"/>
          <w:color w:val="000000" w:themeColor="text1"/>
          <w:kern w:val="0"/>
          <w:highlight w:val="none"/>
        </w:rPr>
        <w:t>，</w:t>
      </w:r>
      <w:r>
        <w:rPr>
          <w:rFonts w:hint="eastAsia" w:ascii="宋体" w:hAnsi="宋体" w:eastAsia="宋体" w:cs="宋体"/>
          <w:color w:val="000000" w:themeColor="text1"/>
          <w:kern w:val="0"/>
          <w:highlight w:val="none"/>
          <w:lang w:eastAsia="zh-CN"/>
        </w:rPr>
        <w:t>谈判小组</w:t>
      </w:r>
      <w:r>
        <w:rPr>
          <w:rFonts w:hint="eastAsia" w:ascii="宋体" w:hAnsi="宋体" w:eastAsia="宋体" w:cs="宋体"/>
          <w:color w:val="000000" w:themeColor="text1"/>
          <w:kern w:val="0"/>
          <w:highlight w:val="none"/>
        </w:rPr>
        <w:t>应明确告知</w:t>
      </w:r>
      <w:r>
        <w:rPr>
          <w:rFonts w:hint="eastAsia" w:ascii="宋体" w:hAnsi="宋体" w:eastAsia="宋体" w:cs="宋体"/>
          <w:color w:val="000000" w:themeColor="text1"/>
          <w:kern w:val="0"/>
          <w:highlight w:val="none"/>
          <w:lang w:eastAsia="zh-CN"/>
        </w:rPr>
        <w:t>竞标人</w:t>
      </w:r>
      <w:r>
        <w:rPr>
          <w:rFonts w:hint="eastAsia" w:ascii="宋体" w:hAnsi="宋体" w:eastAsia="宋体" w:cs="宋体"/>
          <w:color w:val="000000" w:themeColor="text1"/>
          <w:kern w:val="0"/>
          <w:highlight w:val="none"/>
        </w:rPr>
        <w:t>，并要求所有</w:t>
      </w:r>
      <w:r>
        <w:rPr>
          <w:rFonts w:hint="eastAsia" w:ascii="宋体" w:hAnsi="宋体" w:eastAsia="宋体" w:cs="宋体"/>
          <w:color w:val="000000" w:themeColor="text1"/>
          <w:kern w:val="0"/>
          <w:highlight w:val="none"/>
          <w:lang w:eastAsia="zh-CN"/>
        </w:rPr>
        <w:t>竞标人在</w:t>
      </w:r>
      <w:r>
        <w:rPr>
          <w:rFonts w:hint="eastAsia" w:hAnsi="宋体" w:eastAsia="宋体" w:cs="宋体"/>
          <w:color w:val="000000" w:themeColor="text1"/>
          <w:sz w:val="21"/>
          <w:lang w:eastAsia="zh-CN"/>
        </w:rPr>
        <w:t>广西政府采购云平台</w:t>
      </w:r>
      <w:r>
        <w:rPr>
          <w:rFonts w:hint="eastAsia" w:ascii="宋体" w:hAnsi="宋体" w:eastAsia="宋体" w:cs="宋体"/>
          <w:color w:val="000000" w:themeColor="text1"/>
          <w:kern w:val="0"/>
          <w:highlight w:val="none"/>
          <w:lang w:eastAsia="zh-CN"/>
        </w:rPr>
        <w:t>设定的时间内进行响应，否则视同放弃参加谈判权利，其竞标文件按无效竞标处理</w:t>
      </w:r>
      <w:r>
        <w:rPr>
          <w:rFonts w:hint="eastAsia" w:ascii="宋体" w:hAnsi="宋体" w:eastAsia="宋体" w:cs="宋体"/>
          <w:color w:val="000000" w:themeColor="text1"/>
          <w:kern w:val="0"/>
          <w:highlight w:val="none"/>
        </w:rPr>
        <w:t>。</w:t>
      </w:r>
    </w:p>
    <w:p w14:paraId="439EFD6C">
      <w:pPr>
        <w:pStyle w:val="24"/>
        <w:spacing w:line="420" w:lineRule="exact"/>
        <w:ind w:firstLine="420" w:firstLineChars="200"/>
        <w:rPr>
          <w:rFonts w:hint="eastAsia" w:ascii="宋体" w:hAnsi="宋体" w:eastAsia="宋体" w:cs="宋体"/>
          <w:color w:val="000000" w:themeColor="text1"/>
          <w:kern w:val="0"/>
        </w:rPr>
      </w:pPr>
      <w:r>
        <w:rPr>
          <w:rFonts w:hint="eastAsia" w:ascii="宋体" w:hAnsi="宋体" w:eastAsia="宋体" w:cs="宋体"/>
          <w:color w:val="000000" w:themeColor="text1"/>
          <w:kern w:val="0"/>
        </w:rPr>
        <w:t>（</w:t>
      </w:r>
      <w:r>
        <w:rPr>
          <w:rFonts w:hint="eastAsia" w:ascii="宋体" w:hAnsi="宋体" w:eastAsia="宋体" w:cs="宋体"/>
          <w:color w:val="000000" w:themeColor="text1"/>
          <w:kern w:val="0"/>
          <w:lang w:val="en-US" w:eastAsia="zh-CN"/>
        </w:rPr>
        <w:t>5</w:t>
      </w:r>
      <w:r>
        <w:rPr>
          <w:rFonts w:hint="eastAsia" w:ascii="宋体" w:hAnsi="宋体" w:eastAsia="宋体" w:cs="宋体"/>
          <w:color w:val="000000" w:themeColor="text1"/>
          <w:kern w:val="0"/>
        </w:rPr>
        <w:t>）最终谈判结束后,谈判小组不得再与竞标人进行任何形式的商谈。</w:t>
      </w:r>
    </w:p>
    <w:p w14:paraId="6D2727CD">
      <w:pPr>
        <w:pStyle w:val="24"/>
        <w:spacing w:line="420" w:lineRule="exact"/>
        <w:ind w:firstLine="420" w:firstLineChars="200"/>
        <w:rPr>
          <w:rFonts w:hint="eastAsia" w:ascii="宋体" w:hAnsi="宋体" w:eastAsia="宋体" w:cs="宋体"/>
          <w:color w:val="000000" w:themeColor="text1"/>
          <w:kern w:val="0"/>
        </w:rPr>
      </w:pPr>
      <w:r>
        <w:rPr>
          <w:rFonts w:hint="eastAsia" w:ascii="宋体" w:hAnsi="宋体" w:eastAsia="宋体" w:cs="宋体"/>
          <w:color w:val="000000" w:themeColor="text1"/>
          <w:kern w:val="0"/>
        </w:rPr>
        <w:t>（</w:t>
      </w:r>
      <w:r>
        <w:rPr>
          <w:rFonts w:hint="eastAsia" w:ascii="宋体" w:hAnsi="宋体" w:eastAsia="宋体" w:cs="宋体"/>
          <w:color w:val="000000" w:themeColor="text1"/>
          <w:kern w:val="0"/>
          <w:lang w:val="en-US" w:eastAsia="zh-CN"/>
        </w:rPr>
        <w:t>6</w:t>
      </w:r>
      <w:r>
        <w:rPr>
          <w:rFonts w:hint="eastAsia" w:ascii="宋体" w:hAnsi="宋体" w:eastAsia="宋体" w:cs="宋体"/>
          <w:color w:val="000000" w:themeColor="text1"/>
          <w:kern w:val="0"/>
        </w:rPr>
        <w:t>）谈判的任何一方不得透露与谈判有关的其他竞标人的技术资料、价格和其他信息。</w:t>
      </w:r>
    </w:p>
    <w:p w14:paraId="61BD9676">
      <w:pPr>
        <w:pStyle w:val="24"/>
        <w:spacing w:line="420" w:lineRule="exact"/>
        <w:ind w:firstLine="420" w:firstLineChars="200"/>
        <w:rPr>
          <w:rFonts w:hint="eastAsia" w:ascii="宋体" w:hAnsi="宋体" w:eastAsia="宋体" w:cs="宋体"/>
          <w:color w:val="000000" w:themeColor="text1"/>
          <w:kern w:val="0"/>
        </w:rPr>
      </w:pPr>
      <w:bookmarkStart w:id="153" w:name="_Toc269595331"/>
      <w:bookmarkStart w:id="154" w:name="_Toc5369"/>
      <w:r>
        <w:rPr>
          <w:rFonts w:hint="eastAsia" w:ascii="宋体" w:hAnsi="宋体" w:eastAsia="宋体" w:cs="宋体"/>
          <w:color w:val="000000" w:themeColor="text1"/>
          <w:kern w:val="0"/>
        </w:rPr>
        <w:t>（</w:t>
      </w:r>
      <w:r>
        <w:rPr>
          <w:rFonts w:hint="eastAsia" w:ascii="宋体" w:hAnsi="宋体" w:eastAsia="宋体" w:cs="宋体"/>
          <w:color w:val="000000" w:themeColor="text1"/>
          <w:kern w:val="0"/>
          <w:lang w:val="en-US" w:eastAsia="zh-CN"/>
        </w:rPr>
        <w:t>7</w:t>
      </w:r>
      <w:r>
        <w:rPr>
          <w:rFonts w:hint="eastAsia" w:ascii="宋体" w:hAnsi="宋体" w:eastAsia="宋体" w:cs="宋体"/>
          <w:color w:val="000000" w:themeColor="text1"/>
          <w:kern w:val="0"/>
        </w:rPr>
        <w:t>）评标过程中代表不得在竞标会场内外喧哗。</w:t>
      </w:r>
      <w:bookmarkEnd w:id="153"/>
      <w:bookmarkEnd w:id="154"/>
    </w:p>
    <w:p w14:paraId="367BC41D">
      <w:pPr>
        <w:pStyle w:val="4"/>
        <w:spacing w:before="0" w:after="0" w:line="42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5.4谈判结果确认</w:t>
      </w:r>
    </w:p>
    <w:p w14:paraId="651ACC6B">
      <w:pPr>
        <w:pStyle w:val="24"/>
        <w:adjustRightInd w:val="0"/>
        <w:snapToGrid w:val="0"/>
        <w:spacing w:line="420" w:lineRule="exact"/>
        <w:rPr>
          <w:rFonts w:hint="eastAsia" w:ascii="宋体" w:hAnsi="宋体" w:eastAsia="宋体" w:cs="宋体"/>
          <w:color w:val="000000" w:themeColor="text1"/>
        </w:rPr>
      </w:pPr>
      <w:r>
        <w:rPr>
          <w:rFonts w:hint="eastAsia" w:ascii="宋体" w:hAnsi="宋体" w:eastAsia="宋体" w:cs="宋体"/>
          <w:color w:val="000000" w:themeColor="text1"/>
          <w:kern w:val="0"/>
          <w:szCs w:val="21"/>
        </w:rPr>
        <w:t>　　（1）</w:t>
      </w:r>
      <w:r>
        <w:rPr>
          <w:rFonts w:hint="eastAsia" w:ascii="宋体" w:hAnsi="宋体" w:eastAsia="宋体" w:cs="宋体"/>
          <w:color w:val="000000" w:themeColor="text1"/>
        </w:rPr>
        <w:t>谈判小组应当从工期、竞标单位质量和报价等实质性内容均能满足谈判文件实质性响应要求的竞标单位中，按照竞标最终报价由低到高的顺序推荐3名成交候选人（报价相同时，</w:t>
      </w:r>
      <w:r>
        <w:rPr>
          <w:rFonts w:hint="eastAsia" w:ascii="宋体" w:hAnsi="宋体" w:eastAsia="宋体" w:cs="宋体"/>
          <w:color w:val="000000" w:themeColor="text1"/>
          <w:szCs w:val="21"/>
        </w:rPr>
        <w:t>以企业用于该项工程竞标的资质高的优先；企业用于该项工程竞标的资质也同等的，由谈判小组会采用记名投票方式确定</w:t>
      </w:r>
      <w:r>
        <w:rPr>
          <w:rFonts w:hint="eastAsia" w:ascii="宋体" w:hAnsi="宋体" w:eastAsia="宋体" w:cs="宋体"/>
          <w:color w:val="000000" w:themeColor="text1"/>
        </w:rPr>
        <w:t>）,并编写评审报告。</w:t>
      </w:r>
    </w:p>
    <w:p w14:paraId="6FC784C6">
      <w:pPr>
        <w:pStyle w:val="24"/>
        <w:adjustRightInd w:val="0"/>
        <w:snapToGrid w:val="0"/>
        <w:spacing w:line="420" w:lineRule="exact"/>
        <w:ind w:firstLine="443" w:firstLineChars="211"/>
        <w:rPr>
          <w:rFonts w:hint="eastAsia" w:ascii="宋体" w:hAnsi="宋体" w:eastAsia="宋体" w:cs="宋体"/>
          <w:color w:val="000000" w:themeColor="text1"/>
        </w:rPr>
      </w:pPr>
      <w:r>
        <w:rPr>
          <w:rFonts w:hint="eastAsia" w:ascii="宋体" w:hAnsi="宋体" w:eastAsia="宋体" w:cs="宋体"/>
          <w:color w:val="000000" w:themeColor="text1"/>
          <w:kern w:val="0"/>
          <w:szCs w:val="21"/>
        </w:rPr>
        <w:t>（2）</w:t>
      </w:r>
      <w:r>
        <w:rPr>
          <w:rFonts w:hint="eastAsia" w:ascii="宋体" w:hAnsi="宋体" w:eastAsia="宋体" w:cs="宋体"/>
          <w:color w:val="000000" w:themeColor="text1"/>
        </w:rPr>
        <w:t>响应竞标单位的报价均超过了政府采购预算，采购人不能支付的，谈判活动终止；终止后，采购人需要采取调整采购预算等，或采取其他采购方式的，应当在采购活动开始前获得财政部门批准。</w:t>
      </w:r>
    </w:p>
    <w:p w14:paraId="025D3057">
      <w:pPr>
        <w:widowControl/>
        <w:tabs>
          <w:tab w:val="left" w:pos="540"/>
        </w:tabs>
        <w:spacing w:line="420" w:lineRule="exact"/>
        <w:ind w:firstLine="422" w:firstLineChars="200"/>
        <w:jc w:val="left"/>
        <w:rPr>
          <w:rFonts w:hint="eastAsia" w:ascii="宋体" w:hAnsi="宋体" w:eastAsia="宋体" w:cs="宋体"/>
          <w:b/>
          <w:bCs/>
          <w:color w:val="000000" w:themeColor="text1"/>
        </w:rPr>
      </w:pPr>
      <w:r>
        <w:rPr>
          <w:rFonts w:hint="eastAsia" w:ascii="宋体" w:hAnsi="宋体" w:eastAsia="宋体" w:cs="宋体"/>
          <w:b/>
          <w:bCs/>
          <w:color w:val="000000" w:themeColor="text1"/>
        </w:rPr>
        <w:t>在谈判过程中出现法律法规和谈判文件均没有明确规定的情形时，由谈判小组现场协商解决，协商不一致的，由全体谈判小组投票表决，以得票率二分之一以上专家的意见为准。</w:t>
      </w:r>
    </w:p>
    <w:p w14:paraId="3890AB92">
      <w:pPr>
        <w:pStyle w:val="4"/>
        <w:spacing w:before="0" w:after="0" w:line="42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5.5不予竞标</w:t>
      </w:r>
      <w:bookmarkEnd w:id="151"/>
      <w:bookmarkEnd w:id="152"/>
    </w:p>
    <w:p w14:paraId="45119B9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符合下列情况之一的竞标，采购人拒绝受理或在竞标时当场拒绝其竞标，不得进入评标：</w:t>
      </w:r>
    </w:p>
    <w:p w14:paraId="7E281CF1">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（1）竞标文件逾期送达的或者未送达指定地点的；</w:t>
      </w:r>
    </w:p>
    <w:p w14:paraId="15049CC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（2）竞标文件未按竞争性谈判文件</w:t>
      </w:r>
      <w:r>
        <w:rPr>
          <w:rFonts w:hint="eastAsia" w:ascii="宋体" w:hAnsi="宋体" w:eastAsia="宋体" w:cs="宋体"/>
          <w:color w:val="000000" w:themeColor="text1"/>
          <w:szCs w:val="21"/>
          <w:lang w:eastAsia="zh-CN"/>
        </w:rPr>
        <w:t>格式</w:t>
      </w:r>
      <w:r>
        <w:rPr>
          <w:rFonts w:hint="eastAsia" w:ascii="宋体" w:hAnsi="宋体" w:eastAsia="宋体" w:cs="宋体"/>
          <w:color w:val="000000" w:themeColor="text1"/>
          <w:szCs w:val="21"/>
        </w:rPr>
        <w:t>要求</w:t>
      </w:r>
      <w:r>
        <w:rPr>
          <w:rFonts w:hint="eastAsia" w:ascii="宋体" w:hAnsi="宋体" w:eastAsia="宋体" w:cs="宋体"/>
          <w:color w:val="000000" w:themeColor="text1"/>
          <w:szCs w:val="21"/>
          <w:lang w:eastAsia="zh-CN"/>
        </w:rPr>
        <w:t>编制</w:t>
      </w:r>
      <w:r>
        <w:rPr>
          <w:rFonts w:hint="eastAsia" w:ascii="宋体" w:hAnsi="宋体" w:eastAsia="宋体" w:cs="宋体"/>
          <w:color w:val="000000" w:themeColor="text1"/>
          <w:szCs w:val="21"/>
        </w:rPr>
        <w:t>的；</w:t>
      </w:r>
    </w:p>
    <w:p w14:paraId="5681700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（3）竞标人法定代表人或其授权的专职投标员未按时出席竞标会。</w:t>
      </w:r>
    </w:p>
    <w:p w14:paraId="3DCADAC4">
      <w:pPr>
        <w:pStyle w:val="4"/>
        <w:spacing w:before="0" w:after="0" w:line="420" w:lineRule="exact"/>
        <w:rPr>
          <w:rFonts w:hint="eastAsia" w:ascii="宋体" w:hAnsi="宋体" w:eastAsia="宋体" w:cs="宋体"/>
          <w:b w:val="0"/>
          <w:bCs w:val="0"/>
          <w:color w:val="000000" w:themeColor="text1"/>
          <w:sz w:val="28"/>
          <w:szCs w:val="28"/>
        </w:rPr>
      </w:pPr>
      <w:bookmarkStart w:id="155" w:name="_Toc769"/>
      <w:r>
        <w:rPr>
          <w:rFonts w:hint="eastAsia" w:ascii="宋体" w:hAnsi="宋体" w:eastAsia="宋体" w:cs="宋体"/>
          <w:color w:val="000000" w:themeColor="text1"/>
          <w:sz w:val="28"/>
          <w:szCs w:val="28"/>
        </w:rPr>
        <w:t>5.6竞标异议</w:t>
      </w:r>
      <w:bookmarkEnd w:id="155"/>
      <w:r>
        <w:rPr>
          <w:rFonts w:hint="eastAsia" w:ascii="宋体" w:hAnsi="宋体" w:eastAsia="宋体" w:cs="宋体"/>
          <w:color w:val="000000" w:themeColor="text1"/>
          <w:sz w:val="28"/>
          <w:szCs w:val="28"/>
        </w:rPr>
        <w:t xml:space="preserve">  </w:t>
      </w:r>
    </w:p>
    <w:p w14:paraId="490FA923">
      <w:pPr>
        <w:pStyle w:val="24"/>
        <w:spacing w:line="420" w:lineRule="exact"/>
        <w:ind w:firstLine="420"/>
        <w:rPr>
          <w:rFonts w:hint="eastAsia" w:ascii="宋体" w:hAnsi="宋体" w:eastAsia="宋体" w:cs="宋体"/>
          <w:color w:val="000000" w:themeColor="text1"/>
          <w:szCs w:val="21"/>
        </w:rPr>
      </w:pPr>
      <w:r>
        <w:rPr>
          <w:rFonts w:hint="eastAsia" w:ascii="宋体" w:hAnsi="宋体" w:eastAsia="宋体" w:cs="宋体"/>
          <w:color w:val="000000" w:themeColor="text1"/>
          <w:kern w:val="0"/>
        </w:rPr>
        <w:t>竞标人对竞标有异议的，应当在竞标现场提出，采购人应当场作出答复，并制作记录。</w:t>
      </w:r>
    </w:p>
    <w:p w14:paraId="759EEB64">
      <w:pPr>
        <w:pStyle w:val="3"/>
        <w:spacing w:before="0" w:after="0" w:line="420" w:lineRule="exact"/>
        <w:rPr>
          <w:rFonts w:hint="eastAsia" w:ascii="宋体" w:hAnsi="宋体" w:eastAsia="宋体" w:cs="宋体"/>
          <w:color w:val="000000" w:themeColor="text1"/>
          <w:sz w:val="28"/>
          <w:szCs w:val="28"/>
        </w:rPr>
      </w:pPr>
      <w:bookmarkStart w:id="156" w:name="_Toc494118812"/>
      <w:bookmarkStart w:id="157" w:name="_Toc4766"/>
      <w:bookmarkStart w:id="158" w:name="_Toc389065177"/>
      <w:r>
        <w:rPr>
          <w:rFonts w:hint="eastAsia" w:ascii="宋体" w:hAnsi="宋体" w:eastAsia="宋体" w:cs="宋体"/>
          <w:color w:val="000000" w:themeColor="text1"/>
          <w:sz w:val="28"/>
          <w:szCs w:val="28"/>
        </w:rPr>
        <w:t>6 评标</w:t>
      </w:r>
      <w:bookmarkEnd w:id="156"/>
      <w:bookmarkEnd w:id="157"/>
      <w:bookmarkEnd w:id="158"/>
    </w:p>
    <w:p w14:paraId="3ED0ACBA">
      <w:pPr>
        <w:pStyle w:val="4"/>
        <w:spacing w:before="0" w:after="0" w:line="420" w:lineRule="exact"/>
        <w:rPr>
          <w:rFonts w:hint="eastAsia" w:ascii="宋体" w:hAnsi="宋体" w:eastAsia="宋体" w:cs="宋体"/>
          <w:color w:val="000000" w:themeColor="text1"/>
          <w:sz w:val="28"/>
          <w:szCs w:val="28"/>
        </w:rPr>
      </w:pPr>
      <w:bookmarkStart w:id="159" w:name="_Toc389065178"/>
      <w:bookmarkStart w:id="160" w:name="_Toc25835"/>
      <w:r>
        <w:rPr>
          <w:rFonts w:hint="eastAsia" w:ascii="宋体" w:hAnsi="宋体" w:eastAsia="宋体" w:cs="宋体"/>
          <w:color w:val="000000" w:themeColor="text1"/>
          <w:sz w:val="28"/>
          <w:szCs w:val="28"/>
        </w:rPr>
        <w:t>6.1 谈判小组会</w:t>
      </w:r>
      <w:bookmarkEnd w:id="159"/>
      <w:bookmarkEnd w:id="160"/>
    </w:p>
    <w:p w14:paraId="009BD711">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6.1.1 竞谈小组由采购人代表和有关技术、经济等方面的专家组成。评审专家从政府采购评审专家库内相关专业的专家名单中随机抽取确定。。</w:t>
      </w:r>
    </w:p>
    <w:p w14:paraId="1080ED0F">
      <w:pPr>
        <w:spacing w:line="420" w:lineRule="exact"/>
        <w:ind w:firstLine="420" w:firstLineChars="200"/>
        <w:rPr>
          <w:rFonts w:hint="eastAsia" w:ascii="宋体" w:hAnsi="宋体" w:eastAsia="宋体" w:cs="宋体"/>
          <w:color w:val="000000" w:themeColor="text1"/>
          <w:szCs w:val="21"/>
          <w:shd w:val="clear" w:color="auto" w:fill="FFFFFF"/>
        </w:rPr>
      </w:pPr>
      <w:r>
        <w:rPr>
          <w:rFonts w:hint="eastAsia" w:ascii="宋体" w:hAnsi="宋体" w:eastAsia="宋体" w:cs="宋体"/>
          <w:color w:val="000000" w:themeColor="text1"/>
          <w:szCs w:val="21"/>
        </w:rPr>
        <w:t xml:space="preserve">6.1.2 </w:t>
      </w:r>
      <w:r>
        <w:rPr>
          <w:rFonts w:hint="eastAsia" w:ascii="宋体" w:hAnsi="宋体" w:eastAsia="宋体" w:cs="宋体"/>
          <w:color w:val="000000" w:themeColor="text1"/>
          <w:szCs w:val="21"/>
          <w:shd w:val="clear" w:color="auto" w:fill="FFFFFF"/>
        </w:rPr>
        <w:t>有下列情形之一的，不得担任谈判小组会成员：</w:t>
      </w:r>
    </w:p>
    <w:p w14:paraId="47CF1833">
      <w:pPr>
        <w:spacing w:line="420" w:lineRule="exact"/>
        <w:ind w:firstLine="420" w:firstLineChars="200"/>
        <w:rPr>
          <w:rFonts w:hint="eastAsia" w:ascii="宋体" w:hAnsi="宋体" w:eastAsia="宋体" w:cs="宋体"/>
          <w:color w:val="000000" w:themeColor="text1"/>
          <w:szCs w:val="21"/>
          <w:shd w:val="clear" w:color="auto" w:fill="FFFFFF"/>
        </w:rPr>
      </w:pPr>
      <w:r>
        <w:rPr>
          <w:rFonts w:hint="eastAsia" w:ascii="宋体" w:hAnsi="宋体" w:eastAsia="宋体" w:cs="宋体"/>
          <w:color w:val="000000" w:themeColor="text1"/>
          <w:szCs w:val="21"/>
          <w:shd w:val="clear" w:color="auto" w:fill="FFFFFF"/>
        </w:rPr>
        <w:t>（一）竞标人或者竞标人主要负责人的近亲属；</w:t>
      </w:r>
    </w:p>
    <w:p w14:paraId="322EF72A">
      <w:pPr>
        <w:spacing w:line="420" w:lineRule="exact"/>
        <w:ind w:firstLine="420" w:firstLineChars="200"/>
        <w:rPr>
          <w:rFonts w:hint="eastAsia" w:ascii="宋体" w:hAnsi="宋体" w:eastAsia="宋体" w:cs="宋体"/>
          <w:color w:val="000000" w:themeColor="text1"/>
          <w:szCs w:val="21"/>
          <w:shd w:val="clear" w:color="auto" w:fill="FFFFFF"/>
        </w:rPr>
      </w:pPr>
      <w:r>
        <w:rPr>
          <w:rFonts w:hint="eastAsia" w:ascii="宋体" w:hAnsi="宋体" w:eastAsia="宋体" w:cs="宋体"/>
          <w:color w:val="000000" w:themeColor="text1"/>
          <w:szCs w:val="21"/>
          <w:shd w:val="clear" w:color="auto" w:fill="FFFFFF"/>
        </w:rPr>
        <w:t>（二）采购项目主管部门或者采购竞标行政监督部门的工作人员；</w:t>
      </w:r>
    </w:p>
    <w:p w14:paraId="74CCA9AD">
      <w:pPr>
        <w:spacing w:line="420" w:lineRule="exact"/>
        <w:ind w:firstLine="420" w:firstLineChars="200"/>
        <w:rPr>
          <w:rFonts w:hint="eastAsia" w:ascii="宋体" w:hAnsi="宋体" w:eastAsia="宋体" w:cs="宋体"/>
          <w:color w:val="000000" w:themeColor="text1"/>
          <w:szCs w:val="21"/>
          <w:shd w:val="clear" w:color="auto" w:fill="FFFFFF"/>
        </w:rPr>
      </w:pPr>
      <w:r>
        <w:rPr>
          <w:rFonts w:hint="eastAsia" w:ascii="宋体" w:hAnsi="宋体" w:eastAsia="宋体" w:cs="宋体"/>
          <w:color w:val="000000" w:themeColor="text1"/>
          <w:szCs w:val="21"/>
          <w:shd w:val="clear" w:color="auto" w:fill="FFFFFF"/>
        </w:rPr>
        <w:t>（三）与竞标人有经济利益关系，可能影响对竞标公正评审的人员；</w:t>
      </w:r>
    </w:p>
    <w:p w14:paraId="3C9DD786">
      <w:pPr>
        <w:spacing w:line="420" w:lineRule="exact"/>
        <w:ind w:firstLine="420" w:firstLineChars="200"/>
        <w:rPr>
          <w:rFonts w:hint="eastAsia" w:ascii="宋体" w:hAnsi="宋体" w:eastAsia="宋体" w:cs="宋体"/>
          <w:color w:val="000000" w:themeColor="text1"/>
          <w:szCs w:val="21"/>
          <w:shd w:val="clear" w:color="auto" w:fill="FFFFFF"/>
        </w:rPr>
      </w:pPr>
      <w:r>
        <w:rPr>
          <w:rFonts w:hint="eastAsia" w:ascii="宋体" w:hAnsi="宋体" w:eastAsia="宋体" w:cs="宋体"/>
          <w:color w:val="000000" w:themeColor="text1"/>
          <w:szCs w:val="21"/>
          <w:shd w:val="clear" w:color="auto" w:fill="FFFFFF"/>
        </w:rPr>
        <w:t>（四）在采购竞标活动中从事违法行为而受过行政处罚或者刑事处罚的人员；</w:t>
      </w:r>
    </w:p>
    <w:p w14:paraId="2CB96ECE">
      <w:pPr>
        <w:spacing w:line="420" w:lineRule="exact"/>
        <w:ind w:firstLine="420" w:firstLineChars="200"/>
        <w:rPr>
          <w:rFonts w:hint="eastAsia" w:ascii="宋体" w:hAnsi="宋体" w:eastAsia="宋体" w:cs="宋体"/>
          <w:color w:val="000000" w:themeColor="text1"/>
          <w:szCs w:val="21"/>
          <w:shd w:val="clear" w:color="auto" w:fill="FFFFFF"/>
        </w:rPr>
      </w:pPr>
      <w:r>
        <w:rPr>
          <w:rFonts w:hint="eastAsia" w:ascii="宋体" w:hAnsi="宋体" w:eastAsia="宋体" w:cs="宋体"/>
          <w:color w:val="000000" w:themeColor="text1"/>
          <w:szCs w:val="21"/>
          <w:shd w:val="clear" w:color="auto" w:fill="FFFFFF"/>
        </w:rPr>
        <w:t>（五）与竞标人有其他利害关系的人；</w:t>
      </w:r>
    </w:p>
    <w:p w14:paraId="30016162">
      <w:pPr>
        <w:pStyle w:val="4"/>
        <w:spacing w:before="0" w:after="0" w:line="420" w:lineRule="exact"/>
        <w:rPr>
          <w:rFonts w:hint="eastAsia" w:ascii="宋体" w:hAnsi="宋体" w:eastAsia="宋体" w:cs="宋体"/>
          <w:color w:val="000000" w:themeColor="text1"/>
          <w:sz w:val="28"/>
          <w:szCs w:val="28"/>
        </w:rPr>
      </w:pPr>
      <w:bookmarkStart w:id="161" w:name="_Toc4675"/>
      <w:bookmarkStart w:id="162" w:name="_Toc389065179"/>
      <w:r>
        <w:rPr>
          <w:rFonts w:hint="eastAsia" w:ascii="宋体" w:hAnsi="宋体" w:eastAsia="宋体" w:cs="宋体"/>
          <w:color w:val="000000" w:themeColor="text1"/>
          <w:sz w:val="28"/>
          <w:szCs w:val="28"/>
        </w:rPr>
        <w:t>6.2 评标原则</w:t>
      </w:r>
      <w:bookmarkEnd w:id="161"/>
      <w:bookmarkEnd w:id="162"/>
    </w:p>
    <w:p w14:paraId="43D2091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评标活动遵循公平、公正、科学和择优的原则。</w:t>
      </w:r>
    </w:p>
    <w:p w14:paraId="39302BE9">
      <w:pPr>
        <w:pStyle w:val="4"/>
        <w:spacing w:before="0" w:after="0" w:line="420" w:lineRule="exact"/>
        <w:rPr>
          <w:rFonts w:hint="eastAsia" w:ascii="宋体" w:hAnsi="宋体" w:eastAsia="宋体" w:cs="宋体"/>
          <w:color w:val="000000" w:themeColor="text1"/>
          <w:sz w:val="28"/>
          <w:szCs w:val="28"/>
        </w:rPr>
      </w:pPr>
      <w:bookmarkStart w:id="163" w:name="_Toc389065180"/>
      <w:bookmarkStart w:id="164" w:name="_Toc26227"/>
      <w:r>
        <w:rPr>
          <w:rFonts w:hint="eastAsia" w:ascii="宋体" w:hAnsi="宋体" w:eastAsia="宋体" w:cs="宋体"/>
          <w:color w:val="000000" w:themeColor="text1"/>
          <w:sz w:val="28"/>
          <w:szCs w:val="28"/>
        </w:rPr>
        <w:t>6.3 评标</w:t>
      </w:r>
      <w:bookmarkEnd w:id="163"/>
      <w:r>
        <w:rPr>
          <w:rFonts w:hint="eastAsia" w:ascii="宋体" w:hAnsi="宋体" w:eastAsia="宋体" w:cs="宋体"/>
          <w:color w:val="000000" w:themeColor="text1"/>
          <w:sz w:val="28"/>
          <w:szCs w:val="28"/>
        </w:rPr>
        <w:t>方式</w:t>
      </w:r>
      <w:bookmarkEnd w:id="164"/>
    </w:p>
    <w:p w14:paraId="0192845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谈判小组会按照第三章“评标办法”规定的方法、评审因素、标准和程序对竞标文件进行评审。第三章“评标办法”没有规定的方法、评审因素和标准，不作为评标依据。具体评标方式见“竞标人须知前附表”。</w:t>
      </w:r>
    </w:p>
    <w:p w14:paraId="5D68BEF9">
      <w:pPr>
        <w:pStyle w:val="4"/>
        <w:spacing w:before="0" w:after="0" w:line="420" w:lineRule="exact"/>
        <w:rPr>
          <w:rFonts w:hint="eastAsia" w:ascii="宋体" w:hAnsi="宋体" w:eastAsia="宋体" w:cs="宋体"/>
          <w:color w:val="000000" w:themeColor="text1"/>
          <w:sz w:val="28"/>
          <w:szCs w:val="28"/>
        </w:rPr>
      </w:pPr>
      <w:bookmarkStart w:id="165" w:name="_Toc389065181"/>
      <w:bookmarkStart w:id="166" w:name="_Toc14955"/>
      <w:r>
        <w:rPr>
          <w:rFonts w:hint="eastAsia" w:ascii="宋体" w:hAnsi="宋体" w:eastAsia="宋体" w:cs="宋体"/>
          <w:color w:val="000000" w:themeColor="text1"/>
          <w:sz w:val="28"/>
          <w:szCs w:val="28"/>
        </w:rPr>
        <w:t>6.4 移交评标资料</w:t>
      </w:r>
      <w:bookmarkEnd w:id="165"/>
      <w:bookmarkEnd w:id="166"/>
    </w:p>
    <w:p w14:paraId="05E985F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谈判小组会完成评标后，立即向采购人提交书面评标报告和成交人名单（授权谈判小组会确定成交人时为成交人名单），并同时移交所有评标涉及资料。</w:t>
      </w:r>
    </w:p>
    <w:p w14:paraId="10B61F24">
      <w:pPr>
        <w:pStyle w:val="4"/>
        <w:spacing w:before="0" w:after="0" w:line="420" w:lineRule="exact"/>
        <w:rPr>
          <w:rFonts w:hint="eastAsia" w:ascii="宋体" w:hAnsi="宋体" w:eastAsia="宋体" w:cs="宋体"/>
          <w:color w:val="000000" w:themeColor="text1"/>
          <w:sz w:val="28"/>
          <w:szCs w:val="28"/>
        </w:rPr>
      </w:pPr>
      <w:bookmarkStart w:id="167" w:name="_Toc389065182"/>
      <w:bookmarkStart w:id="168" w:name="_Toc23895"/>
      <w:r>
        <w:rPr>
          <w:rFonts w:hint="eastAsia" w:ascii="宋体" w:hAnsi="宋体" w:eastAsia="宋体" w:cs="宋体"/>
          <w:color w:val="000000" w:themeColor="text1"/>
          <w:sz w:val="28"/>
          <w:szCs w:val="28"/>
        </w:rPr>
        <w:t xml:space="preserve">6.5 </w:t>
      </w:r>
      <w:bookmarkEnd w:id="167"/>
      <w:bookmarkEnd w:id="168"/>
      <w:bookmarkStart w:id="169" w:name="_Toc9927"/>
      <w:bookmarkStart w:id="170" w:name="_Toc389065183"/>
      <w:r>
        <w:rPr>
          <w:rFonts w:hint="eastAsia" w:ascii="宋体" w:hAnsi="宋体" w:eastAsia="宋体" w:cs="宋体"/>
          <w:color w:val="000000" w:themeColor="text1"/>
          <w:sz w:val="28"/>
          <w:szCs w:val="28"/>
        </w:rPr>
        <w:t>成交人公示</w:t>
      </w:r>
      <w:bookmarkEnd w:id="169"/>
      <w:bookmarkEnd w:id="170"/>
    </w:p>
    <w:p w14:paraId="791B5D9D">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bookmarkStart w:id="171" w:name="_Toc18379"/>
      <w:r>
        <w:rPr>
          <w:rFonts w:hint="eastAsia" w:ascii="宋体" w:hAnsi="宋体" w:eastAsia="宋体" w:cs="宋体"/>
          <w:color w:val="000000" w:themeColor="text1"/>
          <w:szCs w:val="21"/>
          <w:highlight w:val="none"/>
          <w:lang w:val="en-US" w:eastAsia="zh-CN"/>
        </w:rPr>
        <w:t>6.5.1</w:t>
      </w:r>
      <w:r>
        <w:rPr>
          <w:rFonts w:hint="eastAsia" w:ascii="宋体" w:hAnsi="宋体" w:eastAsia="宋体" w:cs="宋体"/>
          <w:color w:val="000000" w:themeColor="text1"/>
          <w:szCs w:val="21"/>
          <w:highlight w:val="none"/>
        </w:rPr>
        <w:t xml:space="preserve"> 采购代理机构应当在评审结束后2个工作日内将评审报告送采购人确认。采购人应当在收到评审报告后5个工作日内，从评审报告提出的成交候选</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中，按照排序由高到低的原则确定成交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，也可以书面授权</w:t>
      </w:r>
      <w:r>
        <w:rPr>
          <w:rFonts w:hint="eastAsia" w:ascii="宋体" w:hAnsi="宋体" w:eastAsia="宋体" w:cs="宋体"/>
          <w:color w:val="000000" w:themeColor="text1"/>
          <w:szCs w:val="21"/>
          <w:highlight w:val="none"/>
          <w:lang w:eastAsia="zh-CN"/>
        </w:rPr>
        <w:t>谈判</w:t>
      </w:r>
      <w:r>
        <w:rPr>
          <w:rFonts w:hint="eastAsia" w:ascii="宋体" w:hAnsi="宋体" w:eastAsia="宋体" w:cs="宋体"/>
          <w:color w:val="000000" w:themeColor="text1"/>
          <w:szCs w:val="21"/>
          <w:highlight w:val="none"/>
        </w:rPr>
        <w:t>小组直接确定成交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。采购人逾期未确定成交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且不提出异议的，视为确定评审报告提出的排序第一的</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为成交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w:t>
      </w:r>
    </w:p>
    <w:p w14:paraId="70DC6C8F">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6.5.2</w:t>
      </w:r>
      <w:r>
        <w:rPr>
          <w:rFonts w:hint="eastAsia" w:ascii="宋体" w:hAnsi="宋体" w:eastAsia="宋体" w:cs="宋体"/>
          <w:color w:val="000000" w:themeColor="text1"/>
          <w:szCs w:val="21"/>
          <w:highlight w:val="none"/>
        </w:rPr>
        <w:t>采购代理机构应当在成交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确定后2个工作日内，在省级以上财政部门指定的媒体上公告成交结果，同时向成交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发出成交通知书。采购人或者采购代理机构发出成交通知书前，应当对成交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信用进行查询，对列入失信被执行人、重大税收违法案件当事人名单、政府采购严重违法失信行为记录名单及其他不符合《中华人民共和国政府采购法》第二十二条规定条件的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，取消其成交资格，并确定排名第二的成交候选人为成交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。排名第二的成交候选人因上述规定的同样原因被取消成交资格的，采购人可以确定排名第三的成交候选人为成交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，以此类推。以上信息查询记录及相关证据与</w:t>
      </w:r>
      <w:r>
        <w:rPr>
          <w:rFonts w:hint="eastAsia" w:ascii="宋体" w:hAnsi="宋体" w:eastAsia="宋体" w:cs="宋体"/>
          <w:color w:val="000000" w:themeColor="text1"/>
          <w:szCs w:val="21"/>
          <w:highlight w:val="none"/>
          <w:lang w:eastAsia="zh-CN"/>
        </w:rPr>
        <w:t>谈判</w:t>
      </w:r>
      <w:r>
        <w:rPr>
          <w:rFonts w:hint="eastAsia" w:ascii="宋体" w:hAnsi="宋体" w:eastAsia="宋体" w:cs="宋体"/>
          <w:color w:val="000000" w:themeColor="text1"/>
          <w:szCs w:val="21"/>
          <w:highlight w:val="none"/>
        </w:rPr>
        <w:t>文件一并保存。成交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享受《政府采购促进中小企业发展管理办法》（财库〔2020〕46号）规定的中小企业扶持政策的，采购人、采购代理机构应当随成交结果公开成交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的《中小企业声明函》。</w:t>
      </w:r>
    </w:p>
    <w:p w14:paraId="6387528A">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6.5</w:t>
      </w:r>
      <w:r>
        <w:rPr>
          <w:rFonts w:hint="eastAsia" w:ascii="宋体" w:hAnsi="宋体" w:eastAsia="宋体" w:cs="宋体"/>
          <w:color w:val="000000" w:themeColor="text1"/>
          <w:szCs w:val="21"/>
          <w:highlight w:val="none"/>
        </w:rPr>
        <w:t>.3 采购人、采购代理机构认为</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对采购过程、成交结果提出的质疑成立且影响或者可能影响成交结果的，合格</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符合法定数量时，可以从合格的成交候选人中另行确定成交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的，应当依法另行确定成交</w:t>
      </w:r>
      <w:r>
        <w:rPr>
          <w:rFonts w:hint="eastAsia" w:ascii="宋体" w:hAnsi="宋体" w:eastAsia="宋体" w:cs="宋体"/>
          <w:color w:val="000000" w:themeColor="text1"/>
          <w:szCs w:val="21"/>
          <w:highlight w:val="none"/>
          <w:lang w:eastAsia="zh-CN"/>
        </w:rPr>
        <w:t>竞标人</w:t>
      </w:r>
      <w:r>
        <w:rPr>
          <w:rFonts w:hint="eastAsia" w:ascii="宋体" w:hAnsi="宋体" w:eastAsia="宋体" w:cs="宋体"/>
          <w:color w:val="000000" w:themeColor="text1"/>
          <w:szCs w:val="21"/>
          <w:highlight w:val="none"/>
        </w:rPr>
        <w:t>；否则应当重新开展采购活动。</w:t>
      </w:r>
    </w:p>
    <w:p w14:paraId="5CFE23DB">
      <w:pPr>
        <w:pageBreakBefore w:val="0"/>
        <w:kinsoku/>
        <w:wordWrap/>
        <w:overflowPunct/>
        <w:topLinePunct w:val="0"/>
        <w:bidi w:val="0"/>
        <w:spacing w:line="420" w:lineRule="exact"/>
        <w:ind w:left="0" w:leftChars="0" w:right="0" w:rightChars="0" w:firstLine="420" w:firstLineChars="200"/>
        <w:textAlignment w:val="auto"/>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lang w:val="en-US" w:eastAsia="zh-CN"/>
        </w:rPr>
        <w:t>6.5</w:t>
      </w:r>
      <w:r>
        <w:rPr>
          <w:rFonts w:hint="eastAsia" w:ascii="宋体" w:hAnsi="宋体" w:eastAsia="宋体" w:cs="宋体"/>
          <w:color w:val="000000" w:themeColor="text1"/>
          <w:szCs w:val="21"/>
          <w:highlight w:val="none"/>
        </w:rPr>
        <w:t>.4排名第一的成交候选人放弃成交、因不可抗力提出不能履行合同，采购人可以确定排名</w:t>
      </w:r>
      <w:r>
        <w:rPr>
          <w:rFonts w:hint="eastAsia" w:ascii="宋体" w:hAnsi="宋体" w:eastAsia="宋体" w:cs="宋体"/>
          <w:color w:val="000000" w:themeColor="text1"/>
          <w:szCs w:val="21"/>
          <w:highlight w:val="none"/>
          <w:lang w:eastAsia="zh-CN"/>
        </w:rPr>
        <w:t>第二的成交候选人为成交竞标人。排名第二的成交候选人因前款规定的同样原因不能签订合同的，采购人可以确定排名第三的成交候选人为成交竞标人，以此类推。</w:t>
      </w:r>
    </w:p>
    <w:p w14:paraId="75BAE9BC">
      <w:pPr>
        <w:pStyle w:val="4"/>
        <w:spacing w:before="0" w:after="0" w:line="42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6.</w:t>
      </w:r>
      <w:r>
        <w:rPr>
          <w:rFonts w:hint="eastAsia" w:ascii="宋体" w:hAnsi="宋体" w:eastAsia="宋体" w:cs="宋体"/>
          <w:color w:val="000000" w:themeColor="text1"/>
          <w:sz w:val="28"/>
          <w:szCs w:val="28"/>
          <w:lang w:val="en-US" w:eastAsia="zh-CN"/>
        </w:rPr>
        <w:t>6</w:t>
      </w:r>
      <w:r>
        <w:rPr>
          <w:rFonts w:hint="eastAsia" w:ascii="宋体" w:hAnsi="宋体" w:eastAsia="宋体" w:cs="宋体"/>
          <w:color w:val="000000" w:themeColor="text1"/>
          <w:sz w:val="28"/>
          <w:szCs w:val="28"/>
        </w:rPr>
        <w:t>履约能力审查</w:t>
      </w:r>
      <w:bookmarkEnd w:id="171"/>
    </w:p>
    <w:p w14:paraId="498F44C6">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在成交通知书发出前，如果成交人的经营、财务状况发生较大变化，可能造成不能履行合同、无法按照竞争性谈判文件要求提交履约保证金等情形，不符合中标条件的，应在中标公示期及时书面告知采购人。</w:t>
      </w:r>
    </w:p>
    <w:p w14:paraId="1DB550F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如采购人认为成交人的经营、财务状况发生较大变化或者存在违法行为可能影响其履约能力的，应当在成交通知书发出前由原谈判小组会按照竞争性谈判文件规定的标准和方法审查确认。</w:t>
      </w:r>
    </w:p>
    <w:p w14:paraId="782E915E">
      <w:pPr>
        <w:pStyle w:val="3"/>
        <w:spacing w:before="0" w:after="0" w:line="420" w:lineRule="exact"/>
        <w:rPr>
          <w:rFonts w:hint="eastAsia" w:ascii="宋体" w:hAnsi="宋体" w:eastAsia="宋体" w:cs="宋体"/>
          <w:color w:val="000000" w:themeColor="text1"/>
          <w:sz w:val="28"/>
          <w:szCs w:val="28"/>
        </w:rPr>
      </w:pPr>
      <w:bookmarkStart w:id="172" w:name="_Toc494118813"/>
      <w:bookmarkStart w:id="173" w:name="_Toc28917"/>
      <w:bookmarkStart w:id="174" w:name="_Toc389065184"/>
      <w:r>
        <w:rPr>
          <w:rFonts w:hint="eastAsia" w:ascii="宋体" w:hAnsi="宋体" w:eastAsia="宋体" w:cs="宋体"/>
          <w:color w:val="000000" w:themeColor="text1"/>
          <w:sz w:val="28"/>
          <w:szCs w:val="28"/>
        </w:rPr>
        <w:t>7 合同授予</w:t>
      </w:r>
      <w:bookmarkEnd w:id="172"/>
      <w:bookmarkEnd w:id="173"/>
      <w:bookmarkEnd w:id="174"/>
    </w:p>
    <w:p w14:paraId="3EAF3D6A">
      <w:pPr>
        <w:pStyle w:val="4"/>
        <w:spacing w:before="0" w:after="0" w:line="420" w:lineRule="exact"/>
        <w:rPr>
          <w:rFonts w:hint="eastAsia" w:ascii="宋体" w:hAnsi="宋体" w:eastAsia="宋体" w:cs="宋体"/>
          <w:color w:val="000000" w:themeColor="text1"/>
          <w:sz w:val="28"/>
          <w:szCs w:val="28"/>
        </w:rPr>
      </w:pPr>
      <w:bookmarkStart w:id="175" w:name="_Toc1092"/>
      <w:bookmarkStart w:id="176" w:name="_Toc389065185"/>
      <w:r>
        <w:rPr>
          <w:rFonts w:hint="eastAsia" w:ascii="宋体" w:hAnsi="宋体" w:eastAsia="宋体" w:cs="宋体"/>
          <w:color w:val="000000" w:themeColor="text1"/>
          <w:sz w:val="28"/>
          <w:szCs w:val="28"/>
        </w:rPr>
        <w:t>7.1 定标方式</w:t>
      </w:r>
      <w:bookmarkEnd w:id="175"/>
      <w:bookmarkEnd w:id="176"/>
    </w:p>
    <w:p w14:paraId="5B448DA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除“竞标人须知前附表”规定谈判小组会直接确定成交人外，采购人依据谈判小组会推荐的成交人确定成交人，谈判小组会推荐成交人的人数见“竞标人须知前附表”。</w:t>
      </w:r>
    </w:p>
    <w:p w14:paraId="2137B31B">
      <w:pPr>
        <w:pStyle w:val="24"/>
        <w:spacing w:line="420" w:lineRule="exact"/>
        <w:rPr>
          <w:rFonts w:hint="eastAsia" w:ascii="宋体" w:hAnsi="宋体" w:eastAsia="宋体" w:cs="宋体"/>
          <w:b/>
          <w:color w:val="000000" w:themeColor="text1"/>
          <w:sz w:val="28"/>
          <w:szCs w:val="28"/>
        </w:rPr>
      </w:pPr>
      <w:bookmarkStart w:id="177" w:name="_Toc389065186"/>
      <w:bookmarkStart w:id="178" w:name="_Toc17310"/>
      <w:r>
        <w:rPr>
          <w:rFonts w:hint="eastAsia" w:ascii="宋体" w:hAnsi="宋体" w:eastAsia="宋体" w:cs="宋体"/>
          <w:color w:val="000000" w:themeColor="text1"/>
          <w:sz w:val="28"/>
          <w:szCs w:val="28"/>
        </w:rPr>
        <w:t>7.2</w:t>
      </w:r>
      <w:r>
        <w:rPr>
          <w:rFonts w:hint="eastAsia" w:ascii="宋体" w:hAnsi="宋体" w:eastAsia="宋体" w:cs="宋体"/>
          <w:b/>
          <w:color w:val="000000" w:themeColor="text1"/>
          <w:sz w:val="28"/>
          <w:szCs w:val="28"/>
        </w:rPr>
        <w:t>成交通知</w:t>
      </w:r>
    </w:p>
    <w:p w14:paraId="73EA1F99">
      <w:pPr>
        <w:pStyle w:val="24"/>
        <w:snapToGrid w:val="0"/>
        <w:spacing w:line="420" w:lineRule="exact"/>
        <w:ind w:left="420" w:leftChars="200" w:firstLine="0" w:firstLineChars="0"/>
        <w:rPr>
          <w:rFonts w:hint="eastAsia" w:ascii="宋体" w:hAnsi="宋体" w:eastAsia="宋体" w:cs="宋体"/>
          <w:color w:val="000000" w:themeColor="text1"/>
        </w:rPr>
      </w:pPr>
      <w:r>
        <w:rPr>
          <w:rFonts w:hint="eastAsia" w:ascii="宋体" w:hAnsi="宋体" w:cs="宋体"/>
          <w:color w:val="000000" w:themeColor="text1"/>
          <w:lang w:val="en-US" w:eastAsia="zh-CN"/>
        </w:rPr>
        <w:t>1、</w:t>
      </w:r>
      <w:r>
        <w:rPr>
          <w:rFonts w:hint="eastAsia" w:ascii="宋体" w:hAnsi="宋体" w:eastAsia="宋体" w:cs="宋体"/>
          <w:color w:val="000000" w:themeColor="text1"/>
        </w:rPr>
        <w:t>在发布成交结果公告的同时，采购代理机构将以《成交通知书》通知成交人确认其</w:t>
      </w:r>
      <w:r>
        <w:rPr>
          <w:rFonts w:hint="eastAsia" w:ascii="宋体" w:hAnsi="宋体" w:cs="宋体"/>
          <w:color w:val="000000" w:themeColor="text1"/>
          <w:lang w:eastAsia="zh-CN"/>
        </w:rPr>
        <w:t>竞标</w:t>
      </w:r>
      <w:r>
        <w:rPr>
          <w:rFonts w:hint="eastAsia" w:ascii="宋体" w:hAnsi="宋体" w:eastAsia="宋体" w:cs="宋体"/>
          <w:color w:val="000000" w:themeColor="text1"/>
        </w:rPr>
        <w:t>被接受。</w:t>
      </w:r>
      <w:r>
        <w:rPr>
          <w:rFonts w:hint="eastAsia" w:ascii="宋体" w:hAnsi="宋体" w:eastAsia="宋体" w:cs="宋体"/>
          <w:color w:val="000000" w:themeColor="text1"/>
        </w:rPr>
        <w:br w:type="textWrapping"/>
      </w:r>
      <w:r>
        <w:rPr>
          <w:rFonts w:hint="eastAsia" w:ascii="宋体" w:hAnsi="宋体" w:eastAsia="宋体" w:cs="宋体"/>
          <w:color w:val="000000" w:themeColor="text1"/>
        </w:rPr>
        <w:t>2</w:t>
      </w:r>
      <w:r>
        <w:rPr>
          <w:rFonts w:hint="eastAsia" w:ascii="宋体" w:hAnsi="宋体" w:cs="宋体"/>
          <w:color w:val="000000" w:themeColor="text1"/>
          <w:lang w:eastAsia="zh-CN"/>
        </w:rPr>
        <w:t>、</w:t>
      </w:r>
      <w:r>
        <w:rPr>
          <w:rFonts w:hint="eastAsia" w:ascii="宋体" w:hAnsi="宋体" w:eastAsia="宋体" w:cs="宋体"/>
          <w:color w:val="000000" w:themeColor="text1"/>
        </w:rPr>
        <w:t>在按照本须知第7.4条签署了合同协议书后，该成交通知书将成为合同的组成部分。</w:t>
      </w:r>
    </w:p>
    <w:bookmarkEnd w:id="177"/>
    <w:bookmarkEnd w:id="178"/>
    <w:p w14:paraId="6B3B3E49">
      <w:pPr>
        <w:pStyle w:val="4"/>
        <w:spacing w:before="0" w:after="0" w:line="420" w:lineRule="exact"/>
        <w:rPr>
          <w:rFonts w:hint="eastAsia" w:ascii="宋体" w:hAnsi="宋体" w:eastAsia="宋体" w:cs="宋体"/>
          <w:color w:val="000000" w:themeColor="text1"/>
          <w:sz w:val="28"/>
          <w:szCs w:val="28"/>
        </w:rPr>
      </w:pPr>
      <w:bookmarkStart w:id="179" w:name="_Toc389065187"/>
      <w:bookmarkStart w:id="180" w:name="_Toc26797"/>
      <w:r>
        <w:rPr>
          <w:rFonts w:hint="eastAsia" w:ascii="宋体" w:hAnsi="宋体" w:eastAsia="宋体" w:cs="宋体"/>
          <w:color w:val="000000" w:themeColor="text1"/>
          <w:sz w:val="28"/>
          <w:szCs w:val="28"/>
        </w:rPr>
        <w:t>7.3 履约</w:t>
      </w:r>
      <w:bookmarkEnd w:id="179"/>
      <w:r>
        <w:rPr>
          <w:rFonts w:hint="eastAsia" w:ascii="宋体" w:hAnsi="宋体" w:eastAsia="宋体" w:cs="宋体"/>
          <w:color w:val="000000" w:themeColor="text1"/>
          <w:sz w:val="28"/>
          <w:szCs w:val="28"/>
        </w:rPr>
        <w:t>保证金</w:t>
      </w:r>
      <w:bookmarkEnd w:id="180"/>
    </w:p>
    <w:p w14:paraId="4F5BFBB3">
      <w:pPr>
        <w:spacing w:line="420" w:lineRule="exact"/>
        <w:ind w:firstLine="420" w:firstLineChars="200"/>
        <w:rPr>
          <w:rFonts w:hint="eastAsia" w:ascii="宋体" w:hAnsi="宋体" w:eastAsia="宋体" w:cs="宋体"/>
          <w:color w:val="000000" w:themeColor="text1"/>
          <w:szCs w:val="21"/>
        </w:rPr>
      </w:pPr>
      <w:bookmarkStart w:id="181" w:name="_Toc389065188"/>
      <w:bookmarkStart w:id="182" w:name="_Toc9053"/>
      <w:r>
        <w:rPr>
          <w:rFonts w:hint="eastAsia" w:ascii="宋体" w:hAnsi="宋体" w:eastAsia="宋体" w:cs="宋体"/>
          <w:color w:val="000000" w:themeColor="text1"/>
          <w:szCs w:val="21"/>
        </w:rPr>
        <w:t>7.3.1 在签订合同前，成交人应按“竞标人须知前附表”规定的金额、担保形式和竞争性谈判文件第四章“合同条款及格式”规定的履约担保格式向采购人提交履约保证金。联合体中标的，其履约保证金由牵头人递交，并应符合“竞标人须知前附表”规定的金额、担保形式和竞争性谈判文件第四章“合同条款及格式”规定的履约担保格式要求。</w:t>
      </w:r>
    </w:p>
    <w:p w14:paraId="3D8191F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7.3.2 成交人不能按本章第7.3.1项要求提交履约保证金的，视为放弃中标，采购人有权没收其竞标保证金，给采购人造成的损失超过竞标保证金数额的，成交人还应当对超过部分予以赔偿。</w:t>
      </w:r>
    </w:p>
    <w:p w14:paraId="73FA3FC9">
      <w:pPr>
        <w:pStyle w:val="4"/>
        <w:spacing w:before="0" w:after="0" w:line="42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7.4 签订合同</w:t>
      </w:r>
      <w:bookmarkEnd w:id="181"/>
      <w:bookmarkEnd w:id="182"/>
    </w:p>
    <w:p w14:paraId="36049E2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7.4.1 采购人和成交人应当在竞标有效期内以及成交通知书发出之日起</w:t>
      </w:r>
      <w:r>
        <w:rPr>
          <w:rFonts w:hint="eastAsia" w:ascii="宋体" w:hAnsi="宋体" w:eastAsia="宋体" w:cs="宋体"/>
          <w:color w:val="000000" w:themeColor="text1"/>
          <w:szCs w:val="21"/>
          <w:lang w:val="en-US" w:eastAsia="zh-CN"/>
        </w:rPr>
        <w:t>15</w:t>
      </w:r>
      <w:r>
        <w:rPr>
          <w:rFonts w:hint="eastAsia" w:ascii="宋体" w:hAnsi="宋体" w:eastAsia="宋体" w:cs="宋体"/>
          <w:color w:val="000000" w:themeColor="text1"/>
          <w:szCs w:val="21"/>
        </w:rPr>
        <w:t>天内，根据竞争性谈判文件和排名第一的成交候选人的订立书面合同。排名第一的成交候选人无正当理由拒签合同的，采购人取消其中标资格，采购人有权没收其竞标保证金；给采购人造成的损失超过竞标保证金数额的，还应当对超过部分予以赔偿。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w:t>
      </w:r>
    </w:p>
    <w:p w14:paraId="335CC1B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7.4.2 发出成交通知书后，采购人无正当理由拒签合同的，由有关行政监督部门给予警告，责令改正。同时采购人向成交人退还竞标保证金；给成交人造成损失的，还应当赔偿损失。</w:t>
      </w:r>
    </w:p>
    <w:p w14:paraId="40933962">
      <w:pPr>
        <w:pStyle w:val="3"/>
        <w:spacing w:before="0" w:after="0" w:line="420" w:lineRule="exact"/>
        <w:rPr>
          <w:rFonts w:hint="eastAsia" w:ascii="宋体" w:hAnsi="宋体" w:eastAsia="宋体" w:cs="宋体"/>
          <w:color w:val="000000" w:themeColor="text1"/>
          <w:sz w:val="28"/>
          <w:szCs w:val="28"/>
        </w:rPr>
      </w:pPr>
      <w:bookmarkStart w:id="183" w:name="_Toc15394"/>
      <w:bookmarkStart w:id="184" w:name="_Toc494118814"/>
      <w:bookmarkStart w:id="185" w:name="_Toc389065189"/>
      <w:r>
        <w:rPr>
          <w:rFonts w:hint="eastAsia" w:ascii="宋体" w:hAnsi="宋体" w:eastAsia="宋体" w:cs="宋体"/>
          <w:color w:val="000000" w:themeColor="text1"/>
          <w:sz w:val="28"/>
          <w:szCs w:val="28"/>
        </w:rPr>
        <w:t>8 重新采购和不再采购</w:t>
      </w:r>
      <w:bookmarkEnd w:id="183"/>
      <w:bookmarkEnd w:id="184"/>
      <w:bookmarkEnd w:id="185"/>
    </w:p>
    <w:p w14:paraId="1465E68E">
      <w:pPr>
        <w:pStyle w:val="4"/>
        <w:spacing w:before="0" w:after="0" w:line="420" w:lineRule="exact"/>
        <w:rPr>
          <w:rFonts w:hint="eastAsia" w:ascii="宋体" w:hAnsi="宋体" w:eastAsia="宋体" w:cs="宋体"/>
          <w:color w:val="000000" w:themeColor="text1"/>
          <w:sz w:val="28"/>
          <w:szCs w:val="28"/>
        </w:rPr>
      </w:pPr>
      <w:bookmarkStart w:id="186" w:name="_Toc389065190"/>
      <w:bookmarkStart w:id="187" w:name="_Toc1032"/>
      <w:r>
        <w:rPr>
          <w:rFonts w:hint="eastAsia" w:ascii="宋体" w:hAnsi="宋体" w:eastAsia="宋体" w:cs="宋体"/>
          <w:color w:val="000000" w:themeColor="text1"/>
          <w:sz w:val="28"/>
          <w:szCs w:val="28"/>
        </w:rPr>
        <w:t>8.1 重新采购</w:t>
      </w:r>
      <w:bookmarkEnd w:id="186"/>
      <w:bookmarkEnd w:id="187"/>
    </w:p>
    <w:p w14:paraId="52238BA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有下列情形之一的，采购人将重新采购：</w:t>
      </w:r>
    </w:p>
    <w:p w14:paraId="4F05D8A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（1）竞标截止时，竞标人少于3个的；</w:t>
      </w:r>
    </w:p>
    <w:p w14:paraId="6FACA08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r>
        <w:rPr>
          <w:rFonts w:hint="eastAsia" w:ascii="宋体" w:hAnsi="宋体" w:eastAsia="宋体" w:cs="宋体"/>
          <w:color w:val="000000" w:themeColor="text1"/>
          <w:szCs w:val="21"/>
          <w:shd w:val="clear" w:color="auto" w:fill="FFFFFF"/>
        </w:rPr>
        <w:t>经谈判小组会评审，所有竞标被否决或者部分竞标被否决后，有效竞标不足3个</w:t>
      </w:r>
      <w:r>
        <w:rPr>
          <w:rFonts w:hint="eastAsia" w:ascii="宋体" w:hAnsi="宋体" w:eastAsia="宋体" w:cs="宋体"/>
          <w:color w:val="000000" w:themeColor="text1"/>
          <w:szCs w:val="21"/>
        </w:rPr>
        <w:t>；</w:t>
      </w:r>
    </w:p>
    <w:p w14:paraId="7F3F95B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（3）其他有关法规和文件规定的应当重新采购的情形。</w:t>
      </w:r>
    </w:p>
    <w:p w14:paraId="2B0EA93C">
      <w:pPr>
        <w:pStyle w:val="3"/>
        <w:spacing w:before="0" w:after="0" w:line="420" w:lineRule="exact"/>
        <w:rPr>
          <w:rFonts w:hint="eastAsia" w:ascii="宋体" w:hAnsi="宋体" w:eastAsia="宋体" w:cs="宋体"/>
          <w:color w:val="000000" w:themeColor="text1"/>
          <w:sz w:val="28"/>
          <w:szCs w:val="28"/>
        </w:rPr>
      </w:pPr>
      <w:bookmarkStart w:id="188" w:name="_Toc494118815"/>
      <w:bookmarkStart w:id="189" w:name="_Toc13586"/>
      <w:bookmarkStart w:id="190" w:name="_Toc389065192"/>
      <w:r>
        <w:rPr>
          <w:rFonts w:hint="eastAsia" w:ascii="宋体" w:hAnsi="宋体" w:eastAsia="宋体" w:cs="宋体"/>
          <w:color w:val="000000" w:themeColor="text1"/>
          <w:sz w:val="28"/>
          <w:szCs w:val="28"/>
        </w:rPr>
        <w:t>9 纪律和监督</w:t>
      </w:r>
      <w:bookmarkEnd w:id="188"/>
      <w:bookmarkEnd w:id="189"/>
      <w:bookmarkEnd w:id="190"/>
    </w:p>
    <w:p w14:paraId="47B2D115">
      <w:pPr>
        <w:pStyle w:val="4"/>
        <w:spacing w:before="0" w:after="0" w:line="420" w:lineRule="exact"/>
        <w:rPr>
          <w:rFonts w:hint="eastAsia" w:ascii="宋体" w:hAnsi="宋体" w:eastAsia="宋体" w:cs="宋体"/>
          <w:color w:val="000000" w:themeColor="text1"/>
          <w:sz w:val="28"/>
          <w:szCs w:val="28"/>
        </w:rPr>
      </w:pPr>
      <w:bookmarkStart w:id="191" w:name="_Toc5487"/>
      <w:bookmarkStart w:id="192" w:name="_Toc389065193"/>
      <w:r>
        <w:rPr>
          <w:rFonts w:hint="eastAsia" w:ascii="宋体" w:hAnsi="宋体" w:eastAsia="宋体" w:cs="宋体"/>
          <w:color w:val="000000" w:themeColor="text1"/>
          <w:sz w:val="28"/>
          <w:szCs w:val="28"/>
        </w:rPr>
        <w:t>9.1 对采购人的纪律要求</w:t>
      </w:r>
      <w:bookmarkEnd w:id="191"/>
      <w:bookmarkEnd w:id="192"/>
    </w:p>
    <w:p w14:paraId="1DB4625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采购人不得泄漏采购竞标活动中应当保密的情况和资料，不得与竞标人串通损害国家利益、社会公共利益或者他人合法权益。有下列情形之一的，属于采购人与竞标人串通竞标：</w:t>
      </w:r>
    </w:p>
    <w:p w14:paraId="60717DA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（1）采购人在竞标前开启竞标文件并将有关信息泄露给其他竞标人；</w:t>
      </w:r>
    </w:p>
    <w:p w14:paraId="4F64ACF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（2）采购人直接或者间接向竞标人泄露标底、谈判小组会成员等信息；</w:t>
      </w:r>
    </w:p>
    <w:p w14:paraId="26CF2E0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（3）采购人明示或者暗示竞标人压低或者抬高竞标报价；</w:t>
      </w:r>
    </w:p>
    <w:p w14:paraId="3CEB553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（4）采购人授意竞标人撤换、修改竞标文件；</w:t>
      </w:r>
    </w:p>
    <w:p w14:paraId="2D82251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（5）采购人明示或者暗示竞标人为特定竞标人中标提供方便；</w:t>
      </w:r>
    </w:p>
    <w:p w14:paraId="630355CC">
      <w:pPr>
        <w:spacing w:line="42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（6）采购人与竞标人为谋求特定竞标人中标而采取的其他串通行为。</w:t>
      </w:r>
    </w:p>
    <w:p w14:paraId="7F5BC7A8">
      <w:pPr>
        <w:pStyle w:val="4"/>
        <w:spacing w:before="0" w:after="0" w:line="420" w:lineRule="exact"/>
        <w:rPr>
          <w:rFonts w:hint="eastAsia" w:ascii="宋体" w:hAnsi="宋体" w:eastAsia="宋体" w:cs="宋体"/>
          <w:color w:val="000000" w:themeColor="text1"/>
          <w:sz w:val="28"/>
          <w:szCs w:val="28"/>
        </w:rPr>
      </w:pPr>
      <w:bookmarkStart w:id="193" w:name="_Toc17947"/>
      <w:r>
        <w:rPr>
          <w:rFonts w:hint="eastAsia" w:ascii="宋体" w:hAnsi="宋体" w:eastAsia="宋体" w:cs="宋体"/>
          <w:color w:val="000000" w:themeColor="text1"/>
          <w:sz w:val="28"/>
          <w:szCs w:val="28"/>
        </w:rPr>
        <w:t>9.2 对竞标人的纪律要求</w:t>
      </w:r>
      <w:bookmarkEnd w:id="193"/>
    </w:p>
    <w:p w14:paraId="434B078E">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竞标人不得相互串通竞标或者与采购人串通竞标，不得向采购人或者谈判小组会成员行贿谋取中标，不得以他人名义竞标或者以其他方式弄虚作假骗取中标；竞标人不得以任何方式干扰、影响评标工作。有下列情形之一的，属于竞标人相互串通竞标：</w:t>
      </w:r>
    </w:p>
    <w:p w14:paraId="35F1146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（1）竞标人之间协商竞标报价等竞标文件的实质性内容；</w:t>
      </w:r>
    </w:p>
    <w:p w14:paraId="2307A23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（2）竞标人之间约定成交人；</w:t>
      </w:r>
    </w:p>
    <w:p w14:paraId="620C6DC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（3）竞标人之间约定部分竞标人放弃竞标；</w:t>
      </w:r>
    </w:p>
    <w:p w14:paraId="11384C6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（4）属于同一集团、协会、商会等组织成员的竞标人按照该组织要求协同竞标；</w:t>
      </w:r>
    </w:p>
    <w:p w14:paraId="7754580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（5）竞标人之间为谋取中标或者排斥特定竞标人而采取的其他联合行动；</w:t>
      </w:r>
    </w:p>
    <w:p w14:paraId="6B3424E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（6）不同竞标人的竞标文件由同一单位或者个人编制；</w:t>
      </w:r>
    </w:p>
    <w:p w14:paraId="4E602151">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（7）不同竞标人委托同一单位或者个人办理竞标事宜；</w:t>
      </w:r>
    </w:p>
    <w:p w14:paraId="60B8501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（8）不同竞标人的竞标文件载明的项目管理成员为同一人；</w:t>
      </w:r>
    </w:p>
    <w:p w14:paraId="0DA36F7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（9）不同竞标人的竞标文件异常一致或者竞标报价呈规律性差异；</w:t>
      </w:r>
    </w:p>
    <w:p w14:paraId="66CBDA3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（10）不同竞标人的竞标文件相互混装；</w:t>
      </w:r>
    </w:p>
    <w:p w14:paraId="7A8E43B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（11）不同竞标人购买竞争性谈判文件、图纸等费用，从同一单位或个人的账户转出。</w:t>
      </w:r>
    </w:p>
    <w:p w14:paraId="683A177E">
      <w:pPr>
        <w:pStyle w:val="4"/>
        <w:spacing w:before="0" w:after="0" w:line="420" w:lineRule="exact"/>
        <w:rPr>
          <w:rFonts w:hint="eastAsia" w:ascii="宋体" w:hAnsi="宋体" w:eastAsia="宋体" w:cs="宋体"/>
          <w:color w:val="000000" w:themeColor="text1"/>
          <w:sz w:val="28"/>
          <w:szCs w:val="28"/>
        </w:rPr>
      </w:pPr>
      <w:bookmarkStart w:id="194" w:name="_Toc21445"/>
      <w:bookmarkStart w:id="195" w:name="_Toc389065194"/>
      <w:r>
        <w:rPr>
          <w:rFonts w:hint="eastAsia" w:ascii="宋体" w:hAnsi="宋体" w:eastAsia="宋体" w:cs="宋体"/>
          <w:color w:val="000000" w:themeColor="text1"/>
          <w:sz w:val="28"/>
          <w:szCs w:val="28"/>
        </w:rPr>
        <w:t>9.3 对谈判小组会成员的纪律要求</w:t>
      </w:r>
      <w:bookmarkEnd w:id="194"/>
      <w:bookmarkEnd w:id="195"/>
    </w:p>
    <w:p w14:paraId="3BD904E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小组会成员不得收受他人的财物或者其他好处，不得向他人透漏对竞标文件的评审和比较、成交人的推荐情况以及评标有关的其他情况。在评标活动中，谈判小组会成员不得擅离职守，影响评标程序正常进行，不得使用第三章“评标办法”没有规定的评审因素和标准进行评标。</w:t>
      </w:r>
    </w:p>
    <w:p w14:paraId="11F1CCC6">
      <w:pPr>
        <w:pStyle w:val="4"/>
        <w:spacing w:before="0" w:after="0" w:line="420" w:lineRule="exact"/>
        <w:rPr>
          <w:rFonts w:hint="eastAsia" w:ascii="宋体" w:hAnsi="宋体" w:eastAsia="宋体" w:cs="宋体"/>
          <w:color w:val="000000" w:themeColor="text1"/>
          <w:sz w:val="28"/>
          <w:szCs w:val="28"/>
        </w:rPr>
      </w:pPr>
      <w:bookmarkStart w:id="196" w:name="_Toc389065195"/>
      <w:bookmarkStart w:id="197" w:name="_Toc19691"/>
      <w:r>
        <w:rPr>
          <w:rFonts w:hint="eastAsia" w:ascii="宋体" w:hAnsi="宋体" w:eastAsia="宋体" w:cs="宋体"/>
          <w:color w:val="000000" w:themeColor="text1"/>
          <w:sz w:val="28"/>
          <w:szCs w:val="28"/>
        </w:rPr>
        <w:t>9.4 对与评标活动有关的工作人员的纪律要求</w:t>
      </w:r>
      <w:bookmarkEnd w:id="196"/>
      <w:bookmarkEnd w:id="197"/>
    </w:p>
    <w:p w14:paraId="0579E987">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与</w:t>
      </w:r>
      <w:r>
        <w:rPr>
          <w:rFonts w:hint="eastAsia" w:ascii="宋体" w:hAnsi="宋体" w:eastAsia="宋体" w:cs="宋体"/>
          <w:color w:val="000000" w:themeColor="text1"/>
          <w:szCs w:val="21"/>
        </w:rPr>
        <w:t>评标活动有关的工作人员不得收受他人的财物或者其他好处，不得向他人透漏对竞标文件的评审和比较、成交人的推荐情况以及评标有关的其他情况。在评标活动中，与评标活动有关的工作人员不得擅离职守，影响评标程序正常进行。</w:t>
      </w:r>
      <w:bookmarkStart w:id="198" w:name="_Toc389065196"/>
    </w:p>
    <w:p w14:paraId="4A0F9D41">
      <w:pPr>
        <w:pStyle w:val="4"/>
        <w:spacing w:before="0" w:after="0" w:line="420" w:lineRule="exact"/>
        <w:rPr>
          <w:rFonts w:hint="eastAsia" w:ascii="宋体" w:hAnsi="宋体" w:eastAsia="宋体" w:cs="宋体"/>
          <w:color w:val="000000" w:themeColor="text1"/>
          <w:sz w:val="28"/>
          <w:szCs w:val="28"/>
        </w:rPr>
      </w:pPr>
      <w:bookmarkStart w:id="199" w:name="_Toc14204"/>
      <w:r>
        <w:rPr>
          <w:rFonts w:hint="eastAsia" w:ascii="宋体" w:hAnsi="宋体" w:eastAsia="宋体" w:cs="宋体"/>
          <w:color w:val="000000" w:themeColor="text1"/>
          <w:sz w:val="28"/>
          <w:szCs w:val="28"/>
        </w:rPr>
        <w:t>9.5 质疑与投诉</w:t>
      </w:r>
      <w:bookmarkEnd w:id="198"/>
      <w:bookmarkEnd w:id="199"/>
      <w:bookmarkStart w:id="200" w:name="_Toc389065197"/>
    </w:p>
    <w:p w14:paraId="6C32D599">
      <w:pPr>
        <w:pStyle w:val="24"/>
        <w:snapToGrid w:val="0"/>
        <w:spacing w:line="420" w:lineRule="exact"/>
        <w:rPr>
          <w:rFonts w:hint="eastAsia" w:ascii="宋体" w:hAnsi="宋体" w:eastAsia="宋体" w:cs="宋体"/>
          <w:b/>
          <w:color w:val="000000" w:themeColor="text1"/>
        </w:rPr>
      </w:pPr>
      <w:bookmarkStart w:id="201" w:name="_Toc112"/>
      <w:r>
        <w:rPr>
          <w:rFonts w:hint="eastAsia" w:ascii="宋体" w:hAnsi="宋体" w:eastAsia="宋体" w:cs="宋体"/>
          <w:b/>
          <w:color w:val="000000" w:themeColor="text1"/>
        </w:rPr>
        <w:t>质疑</w:t>
      </w:r>
    </w:p>
    <w:p w14:paraId="5A6C8F32">
      <w:pPr>
        <w:pStyle w:val="24"/>
        <w:snapToGrid w:val="0"/>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9.5.1竞标单位认为本竞标活动损害其权益的，应在知道其权益受到损害之日起七个工作日内，以书面形式向采购代理单位提出质疑并及时索要书面回执。电话：</w:t>
      </w:r>
      <w:r>
        <w:rPr>
          <w:rFonts w:hint="eastAsia" w:ascii="宋体" w:hAnsi="宋体" w:cs="宋体"/>
          <w:color w:val="000000" w:themeColor="text1"/>
          <w:lang w:eastAsia="zh-CN"/>
        </w:rPr>
        <w:t>0771-3353050</w:t>
      </w:r>
      <w:r>
        <w:rPr>
          <w:rFonts w:hint="eastAsia" w:ascii="宋体" w:hAnsi="宋体" w:eastAsia="宋体" w:cs="宋体"/>
          <w:color w:val="000000" w:themeColor="text1"/>
        </w:rPr>
        <w:t>。</w:t>
      </w:r>
    </w:p>
    <w:p w14:paraId="12930255">
      <w:pPr>
        <w:pStyle w:val="24"/>
        <w:snapToGrid w:val="0"/>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9.5.2 采购代理单位将按规定在收到竞标单位的书面质疑后七个工作日内做出答复，但答复的内容不涉及商业秘密。</w:t>
      </w:r>
    </w:p>
    <w:p w14:paraId="1FE7629D">
      <w:pPr>
        <w:pStyle w:val="24"/>
        <w:snapToGrid w:val="0"/>
        <w:spacing w:line="420" w:lineRule="exact"/>
        <w:rPr>
          <w:rFonts w:hint="eastAsia" w:ascii="宋体" w:hAnsi="宋体" w:eastAsia="宋体" w:cs="宋体"/>
          <w:b/>
          <w:color w:val="000000" w:themeColor="text1"/>
        </w:rPr>
      </w:pPr>
      <w:r>
        <w:rPr>
          <w:rFonts w:hint="eastAsia" w:ascii="宋体" w:hAnsi="宋体" w:eastAsia="宋体" w:cs="宋体"/>
          <w:b/>
          <w:color w:val="000000" w:themeColor="text1"/>
        </w:rPr>
        <w:t>投诉</w:t>
      </w:r>
    </w:p>
    <w:p w14:paraId="106428AA">
      <w:pPr>
        <w:pStyle w:val="24"/>
        <w:snapToGrid w:val="0"/>
        <w:spacing w:line="420" w:lineRule="exact"/>
        <w:ind w:firstLine="415" w:firstLineChars="198"/>
        <w:rPr>
          <w:rFonts w:hint="eastAsia" w:ascii="宋体" w:hAnsi="宋体" w:eastAsia="宋体" w:cs="宋体"/>
          <w:b/>
          <w:color w:val="000000" w:themeColor="text1"/>
        </w:rPr>
      </w:pPr>
      <w:r>
        <w:rPr>
          <w:rFonts w:hint="eastAsia" w:ascii="宋体" w:hAnsi="宋体" w:eastAsia="宋体" w:cs="宋体"/>
          <w:color w:val="000000" w:themeColor="text1"/>
        </w:rPr>
        <w:t xml:space="preserve">质疑竞标单位首先经过质疑程序，若对采购代理单位的答复不满意或者采购代理单位未在规定的时间内做出答复的，竞标单位可以在答复期满后十五个工作日内向相关主管部门投诉。 </w:t>
      </w:r>
    </w:p>
    <w:p w14:paraId="09A2FCB3">
      <w:pPr>
        <w:pStyle w:val="3"/>
        <w:spacing w:before="0" w:after="0" w:line="420" w:lineRule="exact"/>
        <w:rPr>
          <w:rFonts w:hint="eastAsia" w:ascii="宋体" w:hAnsi="宋体" w:eastAsia="宋体" w:cs="宋体"/>
          <w:color w:val="000000" w:themeColor="text1"/>
          <w:sz w:val="28"/>
          <w:szCs w:val="28"/>
        </w:rPr>
      </w:pPr>
      <w:bookmarkStart w:id="202" w:name="_Toc494118816"/>
      <w:r>
        <w:rPr>
          <w:rFonts w:hint="eastAsia" w:ascii="宋体" w:hAnsi="宋体" w:eastAsia="宋体" w:cs="宋体"/>
          <w:color w:val="000000" w:themeColor="text1"/>
          <w:sz w:val="28"/>
          <w:szCs w:val="28"/>
        </w:rPr>
        <w:t>10 需要补充的其他内容</w:t>
      </w:r>
      <w:bookmarkEnd w:id="200"/>
      <w:bookmarkEnd w:id="201"/>
      <w:bookmarkEnd w:id="202"/>
    </w:p>
    <w:p w14:paraId="114475CD">
      <w:pPr>
        <w:pStyle w:val="4"/>
        <w:spacing w:before="0" w:after="0" w:line="420" w:lineRule="exact"/>
        <w:rPr>
          <w:rFonts w:hint="eastAsia" w:ascii="宋体" w:hAnsi="宋体" w:eastAsia="宋体" w:cs="宋体"/>
          <w:color w:val="000000" w:themeColor="text1"/>
          <w:sz w:val="28"/>
          <w:szCs w:val="28"/>
        </w:rPr>
      </w:pPr>
      <w:bookmarkStart w:id="203" w:name="_Toc11151"/>
      <w:r>
        <w:rPr>
          <w:rFonts w:hint="eastAsia" w:ascii="宋体" w:hAnsi="宋体" w:eastAsia="宋体" w:cs="宋体"/>
          <w:color w:val="000000" w:themeColor="text1"/>
          <w:sz w:val="28"/>
          <w:szCs w:val="28"/>
        </w:rPr>
        <w:t>10.1 词语定义</w:t>
      </w:r>
      <w:bookmarkEnd w:id="203"/>
    </w:p>
    <w:p w14:paraId="6619859C">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见“竞标人须知前附表”。</w:t>
      </w:r>
    </w:p>
    <w:p w14:paraId="78FCE911">
      <w:pPr>
        <w:pStyle w:val="4"/>
        <w:spacing w:before="0" w:after="0" w:line="420" w:lineRule="exact"/>
        <w:rPr>
          <w:rFonts w:hint="eastAsia" w:ascii="宋体" w:hAnsi="宋体" w:eastAsia="宋体" w:cs="宋体"/>
          <w:color w:val="000000" w:themeColor="text1"/>
          <w:sz w:val="28"/>
          <w:szCs w:val="28"/>
        </w:rPr>
      </w:pPr>
      <w:bookmarkStart w:id="204" w:name="_Toc30835"/>
      <w:bookmarkStart w:id="205" w:name="_Toc389065198"/>
      <w:r>
        <w:rPr>
          <w:rFonts w:hint="eastAsia" w:ascii="宋体" w:hAnsi="宋体" w:eastAsia="宋体" w:cs="宋体"/>
          <w:color w:val="000000" w:themeColor="text1"/>
          <w:sz w:val="28"/>
          <w:szCs w:val="28"/>
        </w:rPr>
        <w:t>10.2 采购控制价</w:t>
      </w:r>
      <w:bookmarkEnd w:id="204"/>
      <w:bookmarkEnd w:id="205"/>
    </w:p>
    <w:p w14:paraId="64884B2A">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采购控制价设置要求见“竞标人须知前附表”。</w:t>
      </w:r>
    </w:p>
    <w:p w14:paraId="5217F26B">
      <w:pPr>
        <w:pStyle w:val="4"/>
        <w:spacing w:before="0" w:after="0" w:line="420" w:lineRule="exact"/>
        <w:rPr>
          <w:rFonts w:hint="eastAsia" w:ascii="宋体" w:hAnsi="宋体" w:eastAsia="宋体" w:cs="宋体"/>
          <w:color w:val="000000" w:themeColor="text1"/>
          <w:sz w:val="28"/>
          <w:szCs w:val="28"/>
        </w:rPr>
      </w:pPr>
      <w:bookmarkStart w:id="206" w:name="_Toc18035"/>
      <w:r>
        <w:rPr>
          <w:rFonts w:hint="eastAsia" w:ascii="宋体" w:hAnsi="宋体" w:eastAsia="宋体" w:cs="宋体"/>
          <w:color w:val="000000" w:themeColor="text1"/>
          <w:sz w:val="28"/>
          <w:szCs w:val="28"/>
        </w:rPr>
        <w:t>10.3 技术标“暗标”评审方式</w:t>
      </w:r>
      <w:bookmarkEnd w:id="206"/>
    </w:p>
    <w:p w14:paraId="2DA557AD">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见“竞标人须知前附表”。</w:t>
      </w:r>
    </w:p>
    <w:p w14:paraId="6A53536C">
      <w:pPr>
        <w:pStyle w:val="4"/>
        <w:spacing w:before="0" w:after="0" w:line="420" w:lineRule="exact"/>
        <w:rPr>
          <w:rFonts w:hint="eastAsia" w:ascii="宋体" w:hAnsi="宋体" w:eastAsia="宋体" w:cs="宋体"/>
          <w:color w:val="000000" w:themeColor="text1"/>
          <w:sz w:val="28"/>
          <w:szCs w:val="28"/>
        </w:rPr>
      </w:pPr>
      <w:bookmarkStart w:id="207" w:name="_Toc8220"/>
      <w:r>
        <w:rPr>
          <w:rFonts w:hint="eastAsia" w:ascii="宋体" w:hAnsi="宋体" w:eastAsia="宋体" w:cs="宋体"/>
          <w:color w:val="000000" w:themeColor="text1"/>
          <w:sz w:val="28"/>
          <w:szCs w:val="28"/>
        </w:rPr>
        <w:t>10.4 竞标文件电子版</w:t>
      </w:r>
      <w:bookmarkEnd w:id="207"/>
    </w:p>
    <w:p w14:paraId="42F3B64F">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竞标文件电子版的具体内容要求见“竞标人须知前附表”。</w:t>
      </w:r>
    </w:p>
    <w:p w14:paraId="5C3BD5A0">
      <w:pPr>
        <w:pStyle w:val="4"/>
        <w:spacing w:before="0" w:after="0" w:line="420" w:lineRule="exact"/>
        <w:rPr>
          <w:rFonts w:hint="eastAsia" w:ascii="宋体" w:hAnsi="宋体" w:eastAsia="宋体" w:cs="宋体"/>
          <w:color w:val="000000" w:themeColor="text1"/>
          <w:sz w:val="28"/>
          <w:szCs w:val="28"/>
        </w:rPr>
      </w:pPr>
      <w:bookmarkStart w:id="208" w:name="_Toc25365"/>
      <w:r>
        <w:rPr>
          <w:rFonts w:hint="eastAsia" w:ascii="宋体" w:hAnsi="宋体" w:eastAsia="宋体" w:cs="宋体"/>
          <w:color w:val="000000" w:themeColor="text1"/>
          <w:sz w:val="28"/>
          <w:szCs w:val="28"/>
        </w:rPr>
        <w:t>10.5 知识产权</w:t>
      </w:r>
      <w:bookmarkEnd w:id="208"/>
    </w:p>
    <w:p w14:paraId="62D55BE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采购人对其知识产权的具体要求见“竞标人须知前附表”。</w:t>
      </w:r>
    </w:p>
    <w:p w14:paraId="3FD5CC04">
      <w:pPr>
        <w:pStyle w:val="4"/>
        <w:spacing w:before="0" w:after="0" w:line="420" w:lineRule="exact"/>
        <w:rPr>
          <w:rFonts w:hint="eastAsia" w:ascii="宋体" w:hAnsi="宋体" w:eastAsia="宋体" w:cs="宋体"/>
          <w:color w:val="000000" w:themeColor="text1"/>
          <w:sz w:val="28"/>
          <w:szCs w:val="28"/>
        </w:rPr>
      </w:pPr>
      <w:bookmarkStart w:id="209" w:name="_Toc6532"/>
      <w:r>
        <w:rPr>
          <w:rFonts w:hint="eastAsia" w:ascii="宋体" w:hAnsi="宋体" w:eastAsia="宋体" w:cs="宋体"/>
          <w:color w:val="000000" w:themeColor="text1"/>
          <w:sz w:val="28"/>
          <w:szCs w:val="28"/>
        </w:rPr>
        <w:t>10.6 重新采购的其他情形</w:t>
      </w:r>
      <w:bookmarkEnd w:id="209"/>
    </w:p>
    <w:p w14:paraId="51C3D97D">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见“竞标人须知前附表”。</w:t>
      </w:r>
    </w:p>
    <w:p w14:paraId="21C7A750">
      <w:pPr>
        <w:pStyle w:val="4"/>
        <w:spacing w:before="0" w:after="0" w:line="420" w:lineRule="exact"/>
        <w:rPr>
          <w:rFonts w:hint="eastAsia" w:ascii="宋体" w:hAnsi="宋体" w:eastAsia="宋体" w:cs="宋体"/>
          <w:color w:val="000000" w:themeColor="text1"/>
          <w:sz w:val="28"/>
          <w:szCs w:val="28"/>
        </w:rPr>
      </w:pPr>
      <w:bookmarkStart w:id="210" w:name="_Toc27289"/>
      <w:r>
        <w:rPr>
          <w:rFonts w:hint="eastAsia" w:ascii="宋体" w:hAnsi="宋体" w:eastAsia="宋体" w:cs="宋体"/>
          <w:color w:val="000000" w:themeColor="text1"/>
          <w:sz w:val="28"/>
          <w:szCs w:val="28"/>
        </w:rPr>
        <w:t>10.7 同义词语</w:t>
      </w:r>
      <w:bookmarkEnd w:id="210"/>
    </w:p>
    <w:p w14:paraId="1F2406D2">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见“竞标人须知前附表”。</w:t>
      </w:r>
    </w:p>
    <w:p w14:paraId="16022DFA">
      <w:pPr>
        <w:pStyle w:val="4"/>
        <w:spacing w:before="0" w:after="0" w:line="420" w:lineRule="exact"/>
        <w:rPr>
          <w:rFonts w:hint="eastAsia" w:ascii="宋体" w:hAnsi="宋体" w:eastAsia="宋体" w:cs="宋体"/>
          <w:color w:val="000000" w:themeColor="text1"/>
          <w:sz w:val="28"/>
          <w:szCs w:val="28"/>
        </w:rPr>
      </w:pPr>
      <w:bookmarkStart w:id="211" w:name="_Toc737"/>
      <w:r>
        <w:rPr>
          <w:rFonts w:hint="eastAsia" w:ascii="宋体" w:hAnsi="宋体" w:eastAsia="宋体" w:cs="宋体"/>
          <w:color w:val="000000" w:themeColor="text1"/>
          <w:sz w:val="28"/>
          <w:szCs w:val="28"/>
        </w:rPr>
        <w:t>10.8 监督</w:t>
      </w:r>
      <w:bookmarkEnd w:id="211"/>
    </w:p>
    <w:p w14:paraId="57F1A779">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本项目采购的监督部门见“竞标人须知前附表”。</w:t>
      </w:r>
    </w:p>
    <w:p w14:paraId="7F27CCA3">
      <w:pPr>
        <w:pStyle w:val="4"/>
        <w:spacing w:before="0" w:after="0" w:line="420" w:lineRule="exact"/>
        <w:rPr>
          <w:rFonts w:hint="eastAsia" w:ascii="宋体" w:hAnsi="宋体" w:eastAsia="宋体" w:cs="宋体"/>
          <w:color w:val="000000" w:themeColor="text1"/>
          <w:sz w:val="28"/>
          <w:szCs w:val="28"/>
        </w:rPr>
      </w:pPr>
      <w:bookmarkStart w:id="212" w:name="_Toc7518"/>
      <w:r>
        <w:rPr>
          <w:rFonts w:hint="eastAsia" w:ascii="宋体" w:hAnsi="宋体" w:eastAsia="宋体" w:cs="宋体"/>
          <w:color w:val="000000" w:themeColor="text1"/>
          <w:sz w:val="28"/>
          <w:szCs w:val="28"/>
        </w:rPr>
        <w:t>10.9 解释权</w:t>
      </w:r>
      <w:bookmarkEnd w:id="212"/>
    </w:p>
    <w:p w14:paraId="78E7BB07">
      <w:pPr>
        <w:spacing w:line="42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见“竞标人须知前附表”。</w:t>
      </w:r>
    </w:p>
    <w:p w14:paraId="3ED876A9">
      <w:pPr>
        <w:pStyle w:val="4"/>
        <w:spacing w:before="0" w:after="0" w:line="420" w:lineRule="exact"/>
        <w:rPr>
          <w:rFonts w:hint="eastAsia" w:ascii="宋体" w:hAnsi="宋体" w:eastAsia="宋体" w:cs="宋体"/>
          <w:color w:val="000000" w:themeColor="text1"/>
          <w:sz w:val="28"/>
          <w:szCs w:val="28"/>
        </w:rPr>
      </w:pPr>
      <w:bookmarkStart w:id="213" w:name="_Toc21015"/>
      <w:r>
        <w:rPr>
          <w:rFonts w:hint="eastAsia" w:ascii="宋体" w:hAnsi="宋体" w:eastAsia="宋体" w:cs="宋体"/>
          <w:color w:val="000000" w:themeColor="text1"/>
          <w:sz w:val="28"/>
          <w:szCs w:val="28"/>
        </w:rPr>
        <w:t>10.10 采购人补充的其他内容</w:t>
      </w:r>
      <w:bookmarkEnd w:id="213"/>
    </w:p>
    <w:p w14:paraId="688B80EF">
      <w:pPr>
        <w:wordWrap w:val="0"/>
        <w:spacing w:line="420" w:lineRule="exac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见“竞标人须知前附表”。</w:t>
      </w:r>
    </w:p>
    <w:p w14:paraId="665FD662">
      <w:pPr>
        <w:pStyle w:val="2"/>
        <w:keepNext w:val="0"/>
        <w:keepLines w:val="0"/>
        <w:wordWrap w:val="0"/>
        <w:spacing w:before="0" w:after="0"/>
        <w:jc w:val="center"/>
        <w:rPr>
          <w:rFonts w:hint="eastAsia" w:ascii="宋体" w:hAnsi="宋体" w:eastAsia="宋体" w:cs="宋体"/>
          <w:color w:val="000000" w:themeColor="text1"/>
          <w:sz w:val="36"/>
          <w:szCs w:val="36"/>
        </w:rPr>
      </w:pPr>
      <w:bookmarkStart w:id="214" w:name="_Toc494118817"/>
    </w:p>
    <w:p w14:paraId="716D12F0">
      <w:pPr>
        <w:pStyle w:val="2"/>
        <w:keepNext w:val="0"/>
        <w:keepLines w:val="0"/>
        <w:wordWrap w:val="0"/>
        <w:spacing w:before="0" w:after="0"/>
        <w:jc w:val="center"/>
        <w:rPr>
          <w:rFonts w:hint="eastAsia" w:ascii="宋体" w:hAnsi="宋体" w:eastAsia="宋体" w:cs="宋体"/>
          <w:color w:val="000000" w:themeColor="text1"/>
          <w:sz w:val="36"/>
          <w:szCs w:val="36"/>
        </w:rPr>
      </w:pPr>
    </w:p>
    <w:p w14:paraId="66A8F876">
      <w:pPr>
        <w:pStyle w:val="2"/>
        <w:keepNext w:val="0"/>
        <w:keepLines w:val="0"/>
        <w:wordWrap w:val="0"/>
        <w:spacing w:before="0" w:after="0"/>
        <w:jc w:val="center"/>
        <w:rPr>
          <w:rFonts w:hint="eastAsia" w:ascii="宋体" w:hAnsi="宋体" w:eastAsia="宋体" w:cs="宋体"/>
          <w:color w:val="000000" w:themeColor="text1"/>
          <w:sz w:val="36"/>
          <w:szCs w:val="36"/>
        </w:rPr>
      </w:pPr>
    </w:p>
    <w:p w14:paraId="72D81263">
      <w:pPr>
        <w:rPr>
          <w:rFonts w:hint="eastAsia" w:ascii="宋体" w:hAnsi="宋体" w:eastAsia="宋体" w:cs="宋体"/>
          <w:color w:val="000000" w:themeColor="text1"/>
          <w:sz w:val="36"/>
          <w:szCs w:val="36"/>
        </w:rPr>
      </w:pPr>
    </w:p>
    <w:p w14:paraId="6628D210">
      <w:pPr>
        <w:pStyle w:val="29"/>
        <w:rPr>
          <w:rFonts w:hint="eastAsia" w:ascii="宋体" w:hAnsi="宋体" w:eastAsia="宋体" w:cs="宋体"/>
          <w:color w:val="000000" w:themeColor="text1"/>
          <w:sz w:val="36"/>
          <w:szCs w:val="36"/>
        </w:rPr>
      </w:pPr>
    </w:p>
    <w:p w14:paraId="752D0A2A">
      <w:pPr>
        <w:pStyle w:val="29"/>
        <w:rPr>
          <w:rFonts w:hint="eastAsia" w:ascii="宋体" w:hAnsi="宋体" w:eastAsia="宋体" w:cs="宋体"/>
          <w:color w:val="000000" w:themeColor="text1"/>
          <w:sz w:val="36"/>
          <w:szCs w:val="36"/>
        </w:rPr>
      </w:pPr>
    </w:p>
    <w:p w14:paraId="10E40339">
      <w:pPr>
        <w:pStyle w:val="29"/>
        <w:rPr>
          <w:rFonts w:hint="eastAsia" w:ascii="宋体" w:hAnsi="宋体" w:eastAsia="宋体" w:cs="宋体"/>
          <w:color w:val="000000" w:themeColor="text1"/>
          <w:sz w:val="36"/>
          <w:szCs w:val="36"/>
        </w:rPr>
      </w:pPr>
    </w:p>
    <w:p w14:paraId="51804ACA">
      <w:pPr>
        <w:pStyle w:val="29"/>
        <w:rPr>
          <w:rFonts w:hint="eastAsia" w:ascii="宋体" w:hAnsi="宋体" w:eastAsia="宋体" w:cs="宋体"/>
          <w:color w:val="000000" w:themeColor="text1"/>
          <w:sz w:val="36"/>
          <w:szCs w:val="36"/>
        </w:rPr>
      </w:pPr>
    </w:p>
    <w:p w14:paraId="6615ED5A">
      <w:pPr>
        <w:pStyle w:val="29"/>
        <w:rPr>
          <w:rFonts w:hint="eastAsia" w:ascii="宋体" w:hAnsi="宋体" w:eastAsia="宋体" w:cs="宋体"/>
          <w:color w:val="000000" w:themeColor="text1"/>
          <w:sz w:val="36"/>
          <w:szCs w:val="36"/>
        </w:rPr>
      </w:pPr>
    </w:p>
    <w:p w14:paraId="56489ADF">
      <w:pPr>
        <w:pStyle w:val="29"/>
        <w:rPr>
          <w:rFonts w:hint="eastAsia" w:ascii="宋体" w:hAnsi="宋体" w:eastAsia="宋体" w:cs="宋体"/>
          <w:color w:val="000000" w:themeColor="text1"/>
          <w:sz w:val="36"/>
          <w:szCs w:val="36"/>
        </w:rPr>
      </w:pPr>
    </w:p>
    <w:p w14:paraId="107AA54A">
      <w:pPr>
        <w:pStyle w:val="29"/>
        <w:rPr>
          <w:rFonts w:hint="eastAsia" w:ascii="宋体" w:hAnsi="宋体" w:eastAsia="宋体" w:cs="宋体"/>
          <w:color w:val="000000" w:themeColor="text1"/>
          <w:sz w:val="36"/>
          <w:szCs w:val="36"/>
        </w:rPr>
      </w:pPr>
    </w:p>
    <w:p w14:paraId="75D20EFC">
      <w:pPr>
        <w:pStyle w:val="29"/>
        <w:rPr>
          <w:rFonts w:hint="eastAsia" w:ascii="宋体" w:hAnsi="宋体" w:eastAsia="宋体" w:cs="宋体"/>
          <w:color w:val="000000" w:themeColor="text1"/>
          <w:sz w:val="36"/>
          <w:szCs w:val="36"/>
        </w:rPr>
      </w:pPr>
    </w:p>
    <w:p w14:paraId="0CBB3E06">
      <w:pPr>
        <w:pStyle w:val="29"/>
        <w:rPr>
          <w:rFonts w:hint="eastAsia" w:ascii="宋体" w:hAnsi="宋体" w:eastAsia="宋体" w:cs="宋体"/>
          <w:color w:val="000000" w:themeColor="text1"/>
          <w:sz w:val="36"/>
          <w:szCs w:val="36"/>
        </w:rPr>
      </w:pPr>
    </w:p>
    <w:p w14:paraId="070B8A82">
      <w:pPr>
        <w:pStyle w:val="29"/>
        <w:rPr>
          <w:rFonts w:hint="eastAsia" w:ascii="宋体" w:hAnsi="宋体" w:eastAsia="宋体" w:cs="宋体"/>
          <w:color w:val="000000" w:themeColor="text1"/>
          <w:sz w:val="36"/>
          <w:szCs w:val="36"/>
        </w:rPr>
      </w:pPr>
    </w:p>
    <w:p w14:paraId="244F1FBD">
      <w:pPr>
        <w:pStyle w:val="29"/>
        <w:rPr>
          <w:rFonts w:hint="eastAsia" w:ascii="宋体" w:hAnsi="宋体" w:eastAsia="宋体" w:cs="宋体"/>
          <w:color w:val="000000" w:themeColor="text1"/>
          <w:sz w:val="36"/>
          <w:szCs w:val="36"/>
        </w:rPr>
      </w:pPr>
    </w:p>
    <w:p w14:paraId="2A0D0477">
      <w:pPr>
        <w:pStyle w:val="29"/>
        <w:rPr>
          <w:rFonts w:hint="eastAsia" w:ascii="宋体" w:hAnsi="宋体" w:eastAsia="宋体" w:cs="宋体"/>
          <w:color w:val="000000" w:themeColor="text1"/>
          <w:sz w:val="36"/>
          <w:szCs w:val="36"/>
        </w:rPr>
      </w:pPr>
    </w:p>
    <w:p w14:paraId="305FAD13">
      <w:pPr>
        <w:pStyle w:val="29"/>
        <w:rPr>
          <w:rFonts w:hint="eastAsia" w:ascii="宋体" w:hAnsi="宋体" w:eastAsia="宋体" w:cs="宋体"/>
          <w:color w:val="000000" w:themeColor="text1"/>
          <w:sz w:val="36"/>
          <w:szCs w:val="36"/>
        </w:rPr>
      </w:pPr>
    </w:p>
    <w:p w14:paraId="2F6221E7">
      <w:pPr>
        <w:pStyle w:val="2"/>
        <w:keepNext w:val="0"/>
        <w:keepLines w:val="0"/>
        <w:wordWrap w:val="0"/>
        <w:topLinePunct/>
        <w:adjustRightInd w:val="0"/>
        <w:snapToGrid w:val="0"/>
        <w:spacing w:before="0" w:after="0" w:line="360" w:lineRule="exact"/>
        <w:jc w:val="center"/>
        <w:rPr>
          <w:rFonts w:hint="eastAsia" w:ascii="宋体" w:hAnsi="宋体" w:eastAsia="宋体" w:cs="宋体"/>
          <w:color w:val="000000" w:themeColor="text1"/>
          <w:sz w:val="36"/>
          <w:szCs w:val="36"/>
        </w:rPr>
      </w:pPr>
      <w:bookmarkStart w:id="215" w:name="_Toc30041"/>
      <w:r>
        <w:rPr>
          <w:rFonts w:hint="eastAsia" w:ascii="宋体" w:hAnsi="宋体" w:eastAsia="宋体" w:cs="宋体"/>
          <w:color w:val="000000" w:themeColor="text1"/>
          <w:sz w:val="36"/>
          <w:szCs w:val="36"/>
        </w:rPr>
        <w:t>第三章 评标办法</w:t>
      </w:r>
      <w:bookmarkEnd w:id="81"/>
      <w:bookmarkEnd w:id="82"/>
      <w:bookmarkEnd w:id="83"/>
      <w:bookmarkEnd w:id="84"/>
      <w:bookmarkEnd w:id="85"/>
      <w:bookmarkEnd w:id="86"/>
      <w:bookmarkEnd w:id="87"/>
      <w:bookmarkEnd w:id="214"/>
      <w:bookmarkEnd w:id="215"/>
    </w:p>
    <w:p w14:paraId="2ABA20C3">
      <w:pPr>
        <w:wordWrap w:val="0"/>
        <w:topLinePunct/>
        <w:adjustRightInd w:val="0"/>
        <w:snapToGrid w:val="0"/>
        <w:spacing w:line="360" w:lineRule="exact"/>
        <w:jc w:val="center"/>
        <w:rPr>
          <w:rFonts w:hint="eastAsia" w:ascii="宋体" w:hAnsi="宋体" w:eastAsia="宋体" w:cs="宋体"/>
          <w:b/>
          <w:color w:val="000000" w:themeColor="text1"/>
          <w:sz w:val="32"/>
          <w:szCs w:val="32"/>
        </w:rPr>
      </w:pPr>
      <w:bookmarkStart w:id="216" w:name="_Toc152042365"/>
      <w:bookmarkStart w:id="217" w:name="_Toc246996231"/>
      <w:bookmarkStart w:id="218" w:name="_Toc152045588"/>
      <w:bookmarkStart w:id="219" w:name="_Toc494118818"/>
      <w:bookmarkStart w:id="220" w:name="_Toc247085746"/>
      <w:bookmarkStart w:id="221" w:name="_Toc144974555"/>
      <w:bookmarkStart w:id="222" w:name="_Toc246996974"/>
      <w:bookmarkStart w:id="223" w:name="_Toc179632606"/>
    </w:p>
    <w:p w14:paraId="71C05F26">
      <w:pPr>
        <w:wordWrap w:val="0"/>
        <w:topLinePunct/>
        <w:adjustRightInd w:val="0"/>
        <w:snapToGrid w:val="0"/>
        <w:spacing w:line="360" w:lineRule="exact"/>
        <w:jc w:val="center"/>
        <w:rPr>
          <w:rFonts w:hint="eastAsia" w:ascii="宋体" w:hAnsi="宋体" w:eastAsia="宋体" w:cs="宋体"/>
          <w:b/>
          <w:color w:val="000000" w:themeColor="text1"/>
          <w:sz w:val="32"/>
          <w:szCs w:val="32"/>
        </w:rPr>
      </w:pPr>
      <w:r>
        <w:rPr>
          <w:rFonts w:hint="eastAsia" w:ascii="宋体" w:hAnsi="宋体" w:eastAsia="宋体" w:cs="宋体"/>
          <w:b/>
          <w:color w:val="000000" w:themeColor="text1"/>
          <w:sz w:val="32"/>
          <w:szCs w:val="32"/>
        </w:rPr>
        <w:t>评标办法前附表</w:t>
      </w:r>
      <w:bookmarkEnd w:id="216"/>
      <w:bookmarkEnd w:id="217"/>
      <w:bookmarkEnd w:id="218"/>
      <w:bookmarkEnd w:id="219"/>
      <w:bookmarkEnd w:id="220"/>
      <w:bookmarkEnd w:id="221"/>
      <w:bookmarkEnd w:id="222"/>
      <w:bookmarkEnd w:id="223"/>
    </w:p>
    <w:tbl>
      <w:tblPr>
        <w:tblStyle w:val="46"/>
        <w:tblpPr w:topFromText="180" w:bottomFromText="180" w:vertAnchor="text" w:horzAnchor="page" w:tblpXSpec="center" w:tblpY="513"/>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9"/>
        <w:gridCol w:w="854"/>
        <w:gridCol w:w="1669"/>
        <w:gridCol w:w="1081"/>
        <w:gridCol w:w="4685"/>
      </w:tblGrid>
      <w:tr w14:paraId="7FA98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gridSpan w:val="2"/>
            <w:tcBorders>
              <w:top w:val="single" w:color="auto" w:sz="4" w:space="0"/>
              <w:bottom w:val="single" w:color="auto" w:sz="4" w:space="0"/>
              <w:right w:val="single" w:color="auto" w:sz="4" w:space="0"/>
            </w:tcBorders>
            <w:vAlign w:val="center"/>
          </w:tcPr>
          <w:p w14:paraId="77A7E300">
            <w:pPr>
              <w:wordWrap w:val="0"/>
              <w:topLinePunct/>
              <w:adjustRightInd w:val="0"/>
              <w:snapToGrid w:val="0"/>
              <w:spacing w:line="360" w:lineRule="exact"/>
              <w:rPr>
                <w:rFonts w:hint="eastAsia" w:ascii="宋体" w:hAnsi="宋体" w:eastAsia="宋体" w:cs="宋体"/>
                <w:b/>
                <w:color w:val="000000" w:themeColor="text1"/>
              </w:rPr>
            </w:pPr>
            <w:r>
              <w:rPr>
                <w:rFonts w:hint="eastAsia" w:ascii="宋体" w:hAnsi="宋体" w:eastAsia="宋体" w:cs="宋体"/>
                <w:b/>
                <w:color w:val="000000" w:themeColor="text1"/>
              </w:rPr>
              <w:t>条款号</w:t>
            </w: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2994DBB3">
            <w:pPr>
              <w:wordWrap w:val="0"/>
              <w:topLinePunct/>
              <w:adjustRightInd w:val="0"/>
              <w:snapToGrid w:val="0"/>
              <w:spacing w:line="360" w:lineRule="exact"/>
              <w:rPr>
                <w:rFonts w:hint="eastAsia" w:ascii="宋体" w:hAnsi="宋体" w:eastAsia="宋体" w:cs="宋体"/>
                <w:b/>
                <w:color w:val="000000" w:themeColor="text1"/>
              </w:rPr>
            </w:pPr>
            <w:r>
              <w:rPr>
                <w:rFonts w:hint="eastAsia" w:ascii="宋体" w:hAnsi="宋体" w:eastAsia="宋体" w:cs="宋体"/>
                <w:b/>
                <w:color w:val="000000" w:themeColor="text1"/>
              </w:rPr>
              <w:t>评审因素</w:t>
            </w:r>
          </w:p>
        </w:tc>
        <w:tc>
          <w:tcPr>
            <w:tcW w:w="4685" w:type="dxa"/>
            <w:tcBorders>
              <w:top w:val="single" w:color="auto" w:sz="4" w:space="0"/>
              <w:left w:val="single" w:color="auto" w:sz="4" w:space="0"/>
              <w:bottom w:val="single" w:color="auto" w:sz="4" w:space="0"/>
              <w:right w:val="single" w:color="auto" w:sz="4" w:space="0"/>
            </w:tcBorders>
            <w:vAlign w:val="center"/>
          </w:tcPr>
          <w:p w14:paraId="4E7102DF">
            <w:pPr>
              <w:wordWrap w:val="0"/>
              <w:topLinePunct/>
              <w:adjustRightInd w:val="0"/>
              <w:snapToGrid w:val="0"/>
              <w:spacing w:line="360" w:lineRule="exact"/>
              <w:rPr>
                <w:rFonts w:hint="eastAsia" w:ascii="宋体" w:hAnsi="宋体" w:eastAsia="宋体" w:cs="宋体"/>
                <w:b/>
                <w:color w:val="000000" w:themeColor="text1"/>
              </w:rPr>
            </w:pPr>
            <w:r>
              <w:rPr>
                <w:rFonts w:hint="eastAsia" w:ascii="宋体" w:hAnsi="宋体" w:eastAsia="宋体" w:cs="宋体"/>
                <w:b/>
                <w:color w:val="000000" w:themeColor="text1"/>
              </w:rPr>
              <w:t>评审标准</w:t>
            </w:r>
          </w:p>
        </w:tc>
      </w:tr>
      <w:tr w14:paraId="65396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restart"/>
            <w:tcBorders>
              <w:top w:val="nil"/>
              <w:right w:val="single" w:color="auto" w:sz="4" w:space="0"/>
            </w:tcBorders>
            <w:vAlign w:val="center"/>
          </w:tcPr>
          <w:p w14:paraId="38B5D62F">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2.1.1</w:t>
            </w:r>
          </w:p>
        </w:tc>
        <w:tc>
          <w:tcPr>
            <w:tcW w:w="854" w:type="dxa"/>
            <w:vMerge w:val="restart"/>
            <w:tcBorders>
              <w:top w:val="nil"/>
              <w:right w:val="single" w:color="auto" w:sz="4" w:space="0"/>
            </w:tcBorders>
            <w:vAlign w:val="center"/>
          </w:tcPr>
          <w:p w14:paraId="56D4BEDC">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资格评审标准</w:t>
            </w: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74067771">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法定代表人身份证明原件及身份证复印件或授权委托人的授权委托书原件及委托代理人的身份证复印件</w:t>
            </w:r>
          </w:p>
        </w:tc>
        <w:tc>
          <w:tcPr>
            <w:tcW w:w="4685" w:type="dxa"/>
            <w:tcBorders>
              <w:top w:val="single" w:color="auto" w:sz="4" w:space="0"/>
              <w:left w:val="single" w:color="auto" w:sz="4" w:space="0"/>
              <w:bottom w:val="single" w:color="auto" w:sz="4" w:space="0"/>
              <w:right w:val="single" w:color="auto" w:sz="4" w:space="0"/>
            </w:tcBorders>
            <w:vAlign w:val="center"/>
          </w:tcPr>
          <w:p w14:paraId="61E894F5">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有效的</w:t>
            </w:r>
          </w:p>
        </w:tc>
      </w:tr>
      <w:tr w14:paraId="346B0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27EFD924">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12A32FD3">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2EB61CD1">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营业执照</w:t>
            </w:r>
          </w:p>
        </w:tc>
        <w:tc>
          <w:tcPr>
            <w:tcW w:w="4685" w:type="dxa"/>
            <w:tcBorders>
              <w:top w:val="single" w:color="auto" w:sz="4" w:space="0"/>
              <w:left w:val="single" w:color="auto" w:sz="4" w:space="0"/>
              <w:bottom w:val="single" w:color="auto" w:sz="4" w:space="0"/>
              <w:right w:val="single" w:color="auto" w:sz="4" w:space="0"/>
            </w:tcBorders>
            <w:vAlign w:val="center"/>
          </w:tcPr>
          <w:p w14:paraId="69FC4EFC">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具备有效的营业执照</w:t>
            </w:r>
          </w:p>
        </w:tc>
      </w:tr>
      <w:tr w14:paraId="14E08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5BF02817">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5C9BDB06">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38A46BB4">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资质证书</w:t>
            </w:r>
          </w:p>
        </w:tc>
        <w:tc>
          <w:tcPr>
            <w:tcW w:w="4685" w:type="dxa"/>
            <w:tcBorders>
              <w:top w:val="single" w:color="auto" w:sz="4" w:space="0"/>
              <w:left w:val="single" w:color="auto" w:sz="4" w:space="0"/>
              <w:bottom w:val="single" w:color="auto" w:sz="4" w:space="0"/>
              <w:right w:val="single" w:color="auto" w:sz="4" w:space="0"/>
            </w:tcBorders>
            <w:vAlign w:val="center"/>
          </w:tcPr>
          <w:p w14:paraId="25FA39AD">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符合第二章“竞标人须知”第1.4.1项规定</w:t>
            </w:r>
          </w:p>
        </w:tc>
      </w:tr>
      <w:tr w14:paraId="71069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72CE8972">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07335E98">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6CA0A886">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企业安全生产许可证</w:t>
            </w:r>
          </w:p>
        </w:tc>
        <w:tc>
          <w:tcPr>
            <w:tcW w:w="4685" w:type="dxa"/>
            <w:tcBorders>
              <w:top w:val="single" w:color="auto" w:sz="4" w:space="0"/>
              <w:left w:val="single" w:color="auto" w:sz="4" w:space="0"/>
              <w:bottom w:val="single" w:color="auto" w:sz="4" w:space="0"/>
              <w:right w:val="single" w:color="auto" w:sz="4" w:space="0"/>
            </w:tcBorders>
            <w:vAlign w:val="center"/>
          </w:tcPr>
          <w:p w14:paraId="4E128243">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具备有效的安全生产许可证</w:t>
            </w:r>
          </w:p>
        </w:tc>
      </w:tr>
      <w:tr w14:paraId="5E0D6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4F640F90">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12BE3875">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1DF46A69">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财务状况</w:t>
            </w:r>
          </w:p>
        </w:tc>
        <w:tc>
          <w:tcPr>
            <w:tcW w:w="4685" w:type="dxa"/>
            <w:tcBorders>
              <w:top w:val="single" w:color="auto" w:sz="4" w:space="0"/>
              <w:left w:val="single" w:color="auto" w:sz="4" w:space="0"/>
              <w:bottom w:val="single" w:color="auto" w:sz="4" w:space="0"/>
              <w:right w:val="single" w:color="auto" w:sz="4" w:space="0"/>
            </w:tcBorders>
            <w:vAlign w:val="center"/>
          </w:tcPr>
          <w:p w14:paraId="6DB81BB9">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符合第二章“竞标人须知”第1.4.1项规定</w:t>
            </w:r>
          </w:p>
        </w:tc>
      </w:tr>
      <w:tr w14:paraId="7BB91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506BE2CA">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4C655FF0">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7B89F107">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项目经理</w:t>
            </w:r>
          </w:p>
        </w:tc>
        <w:tc>
          <w:tcPr>
            <w:tcW w:w="4685" w:type="dxa"/>
            <w:tcBorders>
              <w:top w:val="single" w:color="auto" w:sz="4" w:space="0"/>
              <w:left w:val="single" w:color="auto" w:sz="4" w:space="0"/>
              <w:bottom w:val="single" w:color="auto" w:sz="4" w:space="0"/>
              <w:right w:val="single" w:color="auto" w:sz="4" w:space="0"/>
            </w:tcBorders>
            <w:vAlign w:val="center"/>
          </w:tcPr>
          <w:p w14:paraId="03E8DA22">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符合第二章“竞标人须知”第1.4.1项规定</w:t>
            </w:r>
          </w:p>
        </w:tc>
      </w:tr>
      <w:tr w14:paraId="7EA3D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0DAD6E84">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78A62558">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67055BAB">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诚信</w:t>
            </w:r>
          </w:p>
        </w:tc>
        <w:tc>
          <w:tcPr>
            <w:tcW w:w="4685" w:type="dxa"/>
            <w:tcBorders>
              <w:top w:val="single" w:color="auto" w:sz="4" w:space="0"/>
              <w:left w:val="single" w:color="auto" w:sz="4" w:space="0"/>
              <w:bottom w:val="single" w:color="auto" w:sz="4" w:space="0"/>
              <w:right w:val="single" w:color="auto" w:sz="4" w:space="0"/>
            </w:tcBorders>
            <w:vAlign w:val="center"/>
          </w:tcPr>
          <w:p w14:paraId="5A4C0ECC">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在“信用中国”网站、中国政府采购网等渠道未被列入失信被执行人、重大税收违法案件当事人名单、政府采购严重违法失信行为记录名单</w:t>
            </w:r>
          </w:p>
        </w:tc>
      </w:tr>
      <w:tr w14:paraId="4AF3F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3EE322E7">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343FEABA">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648574A1">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其他要求</w:t>
            </w:r>
          </w:p>
        </w:tc>
        <w:tc>
          <w:tcPr>
            <w:tcW w:w="4685" w:type="dxa"/>
            <w:tcBorders>
              <w:top w:val="single" w:color="auto" w:sz="4" w:space="0"/>
              <w:left w:val="single" w:color="auto" w:sz="4" w:space="0"/>
              <w:bottom w:val="single" w:color="auto" w:sz="4" w:space="0"/>
              <w:right w:val="single" w:color="auto" w:sz="4" w:space="0"/>
            </w:tcBorders>
            <w:vAlign w:val="center"/>
          </w:tcPr>
          <w:p w14:paraId="2E59C631">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符合第二章“竞标人须知”第 1.4.1 项规定且按规定提交了第二章“</w:t>
            </w:r>
            <w:r>
              <w:rPr>
                <w:rFonts w:hint="eastAsia" w:ascii="宋体" w:hAnsi="宋体" w:cs="宋体"/>
                <w:color w:val="000000" w:themeColor="text1"/>
                <w:lang w:eastAsia="zh-CN"/>
              </w:rPr>
              <w:t>竞标人</w:t>
            </w:r>
            <w:r>
              <w:rPr>
                <w:rFonts w:hint="eastAsia" w:ascii="宋体" w:hAnsi="宋体" w:eastAsia="宋体" w:cs="宋体"/>
                <w:color w:val="000000" w:themeColor="text1"/>
              </w:rPr>
              <w:t>须知前附表”3.1.1 项资格审查部分（1）～（</w:t>
            </w:r>
            <w:r>
              <w:rPr>
                <w:rFonts w:hint="eastAsia" w:ascii="宋体" w:hAnsi="宋体" w:cs="宋体"/>
                <w:color w:val="000000" w:themeColor="text1"/>
                <w:lang w:val="en-US" w:eastAsia="zh-CN"/>
              </w:rPr>
              <w:t>11</w:t>
            </w:r>
            <w:r>
              <w:rPr>
                <w:rFonts w:hint="eastAsia" w:ascii="宋体" w:hAnsi="宋体" w:eastAsia="宋体" w:cs="宋体"/>
                <w:color w:val="000000" w:themeColor="text1"/>
              </w:rPr>
              <w:t>）项内容的。</w:t>
            </w:r>
          </w:p>
        </w:tc>
      </w:tr>
      <w:tr w14:paraId="37A05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restart"/>
            <w:tcBorders>
              <w:top w:val="single" w:color="auto" w:sz="4" w:space="0"/>
              <w:right w:val="single" w:color="auto" w:sz="4" w:space="0"/>
            </w:tcBorders>
            <w:vAlign w:val="center"/>
          </w:tcPr>
          <w:p w14:paraId="6CCF9ACD">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2.1.2</w:t>
            </w:r>
          </w:p>
        </w:tc>
        <w:tc>
          <w:tcPr>
            <w:tcW w:w="854" w:type="dxa"/>
            <w:vMerge w:val="restart"/>
            <w:tcBorders>
              <w:top w:val="single" w:color="auto" w:sz="4" w:space="0"/>
              <w:right w:val="single" w:color="auto" w:sz="4" w:space="0"/>
            </w:tcBorders>
            <w:vAlign w:val="center"/>
          </w:tcPr>
          <w:p w14:paraId="3F7314B8">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符合性评审标准</w:t>
            </w: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52C0661C">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竞标人名称</w:t>
            </w:r>
          </w:p>
        </w:tc>
        <w:tc>
          <w:tcPr>
            <w:tcW w:w="4685" w:type="dxa"/>
            <w:tcBorders>
              <w:top w:val="single" w:color="auto" w:sz="4" w:space="0"/>
              <w:left w:val="single" w:color="auto" w:sz="4" w:space="0"/>
              <w:bottom w:val="single" w:color="auto" w:sz="4" w:space="0"/>
              <w:right w:val="single" w:color="auto" w:sz="4" w:space="0"/>
            </w:tcBorders>
            <w:vAlign w:val="center"/>
          </w:tcPr>
          <w:p w14:paraId="3450BDBC">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与营业执照、资质证书、安全生产许可证一致</w:t>
            </w:r>
          </w:p>
        </w:tc>
      </w:tr>
      <w:tr w14:paraId="0399A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0EE2926B">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1A9FB1C3">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56D991EE">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竞标函签字盖章</w:t>
            </w:r>
          </w:p>
        </w:tc>
        <w:tc>
          <w:tcPr>
            <w:tcW w:w="4685" w:type="dxa"/>
            <w:tcBorders>
              <w:top w:val="single" w:color="auto" w:sz="4" w:space="0"/>
              <w:left w:val="single" w:color="auto" w:sz="4" w:space="0"/>
              <w:bottom w:val="single" w:color="auto" w:sz="4" w:space="0"/>
              <w:right w:val="single" w:color="auto" w:sz="4" w:space="0"/>
            </w:tcBorders>
            <w:vAlign w:val="center"/>
          </w:tcPr>
          <w:p w14:paraId="6C2E7B6B">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有法定代表人或其委托代理人签字或加盖单位章</w:t>
            </w:r>
          </w:p>
        </w:tc>
      </w:tr>
      <w:tr w14:paraId="6BFB6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35A60EE7">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0D011225">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40461C8B">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竞标文件格式</w:t>
            </w:r>
          </w:p>
        </w:tc>
        <w:tc>
          <w:tcPr>
            <w:tcW w:w="4685" w:type="dxa"/>
            <w:tcBorders>
              <w:top w:val="single" w:color="auto" w:sz="4" w:space="0"/>
              <w:left w:val="single" w:color="auto" w:sz="4" w:space="0"/>
              <w:bottom w:val="single" w:color="auto" w:sz="4" w:space="0"/>
              <w:right w:val="single" w:color="auto" w:sz="4" w:space="0"/>
            </w:tcBorders>
            <w:vAlign w:val="center"/>
          </w:tcPr>
          <w:p w14:paraId="7F6D3D85">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符合第八章“竞标文件格式”的要求</w:t>
            </w:r>
          </w:p>
        </w:tc>
      </w:tr>
      <w:tr w14:paraId="3E64C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522A2E1C">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3B01B375">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2A39EF66">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竞标报价唯一</w:t>
            </w:r>
          </w:p>
        </w:tc>
        <w:tc>
          <w:tcPr>
            <w:tcW w:w="4685" w:type="dxa"/>
            <w:tcBorders>
              <w:top w:val="single" w:color="auto" w:sz="4" w:space="0"/>
              <w:left w:val="single" w:color="auto" w:sz="4" w:space="0"/>
              <w:bottom w:val="single" w:color="auto" w:sz="4" w:space="0"/>
              <w:right w:val="single" w:color="auto" w:sz="4" w:space="0"/>
            </w:tcBorders>
            <w:vAlign w:val="center"/>
          </w:tcPr>
          <w:p w14:paraId="27765C00">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只能有一个有效竞标报价</w:t>
            </w:r>
          </w:p>
        </w:tc>
      </w:tr>
      <w:tr w14:paraId="646C6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68AC24FA">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19C93C6A">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4AB4C96A">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竞标报价</w:t>
            </w:r>
          </w:p>
        </w:tc>
        <w:tc>
          <w:tcPr>
            <w:tcW w:w="4685" w:type="dxa"/>
            <w:tcBorders>
              <w:top w:val="single" w:color="auto" w:sz="4" w:space="0"/>
              <w:left w:val="single" w:color="auto" w:sz="4" w:space="0"/>
              <w:bottom w:val="single" w:color="auto" w:sz="4" w:space="0"/>
              <w:right w:val="single" w:color="auto" w:sz="4" w:space="0"/>
            </w:tcBorders>
            <w:vAlign w:val="center"/>
          </w:tcPr>
          <w:p w14:paraId="31A78CC7">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符合第二章“竞标人须知”第3.2项规定</w:t>
            </w:r>
          </w:p>
        </w:tc>
      </w:tr>
      <w:tr w14:paraId="0D5C0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531591FE">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301431DC">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61025944">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竞标内容</w:t>
            </w:r>
          </w:p>
        </w:tc>
        <w:tc>
          <w:tcPr>
            <w:tcW w:w="4685" w:type="dxa"/>
            <w:tcBorders>
              <w:top w:val="single" w:color="auto" w:sz="4" w:space="0"/>
              <w:left w:val="single" w:color="auto" w:sz="4" w:space="0"/>
              <w:bottom w:val="single" w:color="auto" w:sz="4" w:space="0"/>
              <w:right w:val="single" w:color="auto" w:sz="4" w:space="0"/>
            </w:tcBorders>
            <w:vAlign w:val="center"/>
          </w:tcPr>
          <w:p w14:paraId="5E49960F">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符合第二章“竞标人须知”第1.3.1项规定</w:t>
            </w:r>
          </w:p>
        </w:tc>
      </w:tr>
      <w:tr w14:paraId="26E24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0CE185A6">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3A8DCC18">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019694A6">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工  期</w:t>
            </w:r>
          </w:p>
        </w:tc>
        <w:tc>
          <w:tcPr>
            <w:tcW w:w="4685" w:type="dxa"/>
            <w:tcBorders>
              <w:top w:val="single" w:color="auto" w:sz="4" w:space="0"/>
              <w:left w:val="single" w:color="auto" w:sz="4" w:space="0"/>
              <w:bottom w:val="single" w:color="auto" w:sz="4" w:space="0"/>
              <w:right w:val="single" w:color="auto" w:sz="4" w:space="0"/>
            </w:tcBorders>
            <w:vAlign w:val="center"/>
          </w:tcPr>
          <w:p w14:paraId="6D484B49">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符合第二章“竞标人须知”第1.3.2项规定</w:t>
            </w:r>
          </w:p>
        </w:tc>
      </w:tr>
      <w:tr w14:paraId="55FCA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0749A8BE">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50925658">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5C173B04">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工程质量</w:t>
            </w:r>
          </w:p>
        </w:tc>
        <w:tc>
          <w:tcPr>
            <w:tcW w:w="4685" w:type="dxa"/>
            <w:tcBorders>
              <w:top w:val="single" w:color="auto" w:sz="4" w:space="0"/>
              <w:left w:val="single" w:color="auto" w:sz="4" w:space="0"/>
              <w:bottom w:val="single" w:color="auto" w:sz="4" w:space="0"/>
              <w:right w:val="single" w:color="auto" w:sz="4" w:space="0"/>
            </w:tcBorders>
            <w:vAlign w:val="center"/>
          </w:tcPr>
          <w:p w14:paraId="76493AF6">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符合第二章“竞标人须知”第1.3.3项规定</w:t>
            </w:r>
          </w:p>
        </w:tc>
      </w:tr>
      <w:tr w14:paraId="7CA70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9" w:type="dxa"/>
            <w:vMerge w:val="continue"/>
            <w:tcBorders>
              <w:right w:val="single" w:color="auto" w:sz="4" w:space="0"/>
            </w:tcBorders>
            <w:vAlign w:val="center"/>
          </w:tcPr>
          <w:p w14:paraId="36FF84EC">
            <w:pPr>
              <w:wordWrap w:val="0"/>
              <w:topLinePunct/>
              <w:adjustRightInd w:val="0"/>
              <w:snapToGrid w:val="0"/>
              <w:spacing w:line="360" w:lineRule="exact"/>
              <w:rPr>
                <w:rFonts w:hint="eastAsia" w:ascii="宋体" w:hAnsi="宋体" w:eastAsia="宋体" w:cs="宋体"/>
                <w:color w:val="000000" w:themeColor="text1"/>
              </w:rPr>
            </w:pPr>
          </w:p>
        </w:tc>
        <w:tc>
          <w:tcPr>
            <w:tcW w:w="854" w:type="dxa"/>
            <w:vMerge w:val="continue"/>
            <w:tcBorders>
              <w:right w:val="single" w:color="auto" w:sz="4" w:space="0"/>
            </w:tcBorders>
            <w:vAlign w:val="center"/>
          </w:tcPr>
          <w:p w14:paraId="2095B76C">
            <w:pPr>
              <w:wordWrap w:val="0"/>
              <w:topLinePunct/>
              <w:adjustRightInd w:val="0"/>
              <w:snapToGrid w:val="0"/>
              <w:spacing w:line="360" w:lineRule="exact"/>
              <w:rPr>
                <w:rFonts w:hint="eastAsia" w:ascii="宋体" w:hAnsi="宋体" w:eastAsia="宋体" w:cs="宋体"/>
                <w:color w:val="000000" w:themeColor="text1"/>
              </w:rPr>
            </w:pPr>
          </w:p>
        </w:tc>
        <w:tc>
          <w:tcPr>
            <w:tcW w:w="2750" w:type="dxa"/>
            <w:gridSpan w:val="2"/>
            <w:tcBorders>
              <w:top w:val="single" w:color="auto" w:sz="4" w:space="0"/>
              <w:left w:val="single" w:color="auto" w:sz="4" w:space="0"/>
              <w:bottom w:val="single" w:color="auto" w:sz="4" w:space="0"/>
              <w:right w:val="single" w:color="auto" w:sz="4" w:space="0"/>
            </w:tcBorders>
            <w:vAlign w:val="center"/>
          </w:tcPr>
          <w:p w14:paraId="41A61745">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已标价工程量清单</w:t>
            </w:r>
          </w:p>
        </w:tc>
        <w:tc>
          <w:tcPr>
            <w:tcW w:w="4685" w:type="dxa"/>
            <w:tcBorders>
              <w:top w:val="single" w:color="auto" w:sz="4" w:space="0"/>
              <w:left w:val="single" w:color="auto" w:sz="4" w:space="0"/>
              <w:bottom w:val="single" w:color="auto" w:sz="4" w:space="0"/>
              <w:right w:val="single" w:color="auto" w:sz="4" w:space="0"/>
            </w:tcBorders>
            <w:vAlign w:val="center"/>
          </w:tcPr>
          <w:p w14:paraId="5BD8F1AC">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符合第五章“工程量清单”给出的范围及数量</w:t>
            </w:r>
          </w:p>
        </w:tc>
      </w:tr>
      <w:tr w14:paraId="05268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83" w:type="dxa"/>
            <w:gridSpan w:val="2"/>
            <w:tcBorders>
              <w:top w:val="single" w:color="auto" w:sz="4" w:space="0"/>
              <w:bottom w:val="single" w:color="auto" w:sz="4" w:space="0"/>
              <w:right w:val="single" w:color="auto" w:sz="4" w:space="0"/>
            </w:tcBorders>
            <w:vAlign w:val="center"/>
          </w:tcPr>
          <w:p w14:paraId="7F2B48F5">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条款号</w:t>
            </w:r>
          </w:p>
        </w:tc>
        <w:tc>
          <w:tcPr>
            <w:tcW w:w="1669" w:type="dxa"/>
            <w:tcBorders>
              <w:top w:val="single" w:color="auto" w:sz="4" w:space="0"/>
              <w:left w:val="single" w:color="auto" w:sz="4" w:space="0"/>
              <w:bottom w:val="single" w:color="auto" w:sz="4" w:space="0"/>
              <w:right w:val="single" w:color="auto" w:sz="4" w:space="0"/>
            </w:tcBorders>
            <w:vAlign w:val="center"/>
          </w:tcPr>
          <w:p w14:paraId="21D5241B">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量化因素</w:t>
            </w:r>
          </w:p>
        </w:tc>
        <w:tc>
          <w:tcPr>
            <w:tcW w:w="5766" w:type="dxa"/>
            <w:gridSpan w:val="2"/>
            <w:tcBorders>
              <w:top w:val="single" w:color="auto" w:sz="4" w:space="0"/>
              <w:left w:val="single" w:color="auto" w:sz="4" w:space="0"/>
              <w:bottom w:val="single" w:color="auto" w:sz="4" w:space="0"/>
              <w:right w:val="single" w:color="auto" w:sz="4" w:space="0"/>
            </w:tcBorders>
            <w:vAlign w:val="center"/>
          </w:tcPr>
          <w:p w14:paraId="7BDB9774">
            <w:pPr>
              <w:wordWrap w:val="0"/>
              <w:topLinePunct/>
              <w:adjustRightInd w:val="0"/>
              <w:snapToGrid w:val="0"/>
              <w:spacing w:line="360" w:lineRule="exact"/>
              <w:rPr>
                <w:rFonts w:hint="eastAsia" w:ascii="宋体" w:hAnsi="宋体" w:eastAsia="宋体" w:cs="宋体"/>
                <w:color w:val="000000" w:themeColor="text1"/>
              </w:rPr>
            </w:pPr>
            <w:r>
              <w:rPr>
                <w:rFonts w:hint="eastAsia" w:ascii="宋体" w:hAnsi="宋体" w:eastAsia="宋体" w:cs="宋体"/>
                <w:color w:val="000000" w:themeColor="text1"/>
              </w:rPr>
              <w:t>量化标准</w:t>
            </w:r>
          </w:p>
        </w:tc>
      </w:tr>
      <w:tr w14:paraId="28B6C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18" w:type="dxa"/>
            <w:gridSpan w:val="5"/>
            <w:tcBorders>
              <w:top w:val="single" w:color="auto" w:sz="4" w:space="0"/>
              <w:right w:val="single" w:color="auto" w:sz="4" w:space="0"/>
            </w:tcBorders>
            <w:vAlign w:val="center"/>
          </w:tcPr>
          <w:p w14:paraId="2101427A">
            <w:pPr>
              <w:wordWrap w:val="0"/>
              <w:topLinePunct/>
              <w:adjustRightInd w:val="0"/>
              <w:snapToGrid w:val="0"/>
              <w:spacing w:line="360" w:lineRule="exact"/>
              <w:ind w:firstLine="411" w:firstLineChars="196"/>
              <w:rPr>
                <w:rFonts w:hint="eastAsia" w:ascii="宋体" w:hAnsi="宋体" w:cs="宋体"/>
                <w:color w:val="000000" w:themeColor="text1"/>
              </w:rPr>
            </w:pPr>
            <w:r>
              <w:rPr>
                <w:rFonts w:hint="eastAsia" w:ascii="宋体" w:hAnsi="宋体" w:cs="宋体"/>
                <w:color w:val="000000" w:themeColor="text1"/>
              </w:rPr>
              <w:t>本工程有效竞标报价为：竞标总报价小于采购控制价，且通过资格审查、符合性评审，经谈判小组会审定不存在严重不平衡、不合理、不低于其企业成本的竞标人竞标总价。当竞标人的竞标报价高于采购控制价时，做废标处理。</w:t>
            </w:r>
          </w:p>
          <w:p w14:paraId="3FB22D5B">
            <w:pPr>
              <w:wordWrap w:val="0"/>
              <w:topLinePunct/>
              <w:adjustRightInd w:val="0"/>
              <w:snapToGrid w:val="0"/>
              <w:spacing w:line="360" w:lineRule="exact"/>
              <w:ind w:firstLine="413" w:firstLineChars="196"/>
              <w:rPr>
                <w:rFonts w:hint="eastAsia" w:ascii="宋体" w:hAnsi="宋体" w:eastAsia="宋体" w:cs="宋体"/>
                <w:b/>
                <w:color w:val="000000" w:themeColor="text1"/>
                <w:lang w:eastAsia="zh-CN"/>
              </w:rPr>
            </w:pPr>
            <w:r>
              <w:rPr>
                <w:rFonts w:hint="eastAsia" w:ascii="宋体" w:hAnsi="宋体" w:cs="宋体"/>
                <w:b/>
                <w:color w:val="000000" w:themeColor="text1"/>
              </w:rPr>
              <w:t>本工程不做技术标，由成交人在成交后编制施工组织设计。</w:t>
            </w:r>
          </w:p>
        </w:tc>
      </w:tr>
    </w:tbl>
    <w:p w14:paraId="2C59A6FD">
      <w:pPr>
        <w:pStyle w:val="29"/>
        <w:wordWrap w:val="0"/>
        <w:topLinePunct/>
        <w:adjustRightInd w:val="0"/>
        <w:rPr>
          <w:rFonts w:hint="eastAsia" w:ascii="宋体" w:hAnsi="宋体" w:eastAsia="宋体" w:cs="宋体"/>
          <w:b/>
          <w:color w:val="000000" w:themeColor="text1"/>
          <w:sz w:val="32"/>
          <w:szCs w:val="32"/>
        </w:rPr>
      </w:pPr>
    </w:p>
    <w:p w14:paraId="746A214B">
      <w:pPr>
        <w:pStyle w:val="29"/>
        <w:rPr>
          <w:rFonts w:hint="eastAsia" w:ascii="宋体" w:hAnsi="宋体" w:eastAsia="宋体" w:cs="宋体"/>
          <w:b/>
          <w:color w:val="000000" w:themeColor="text1"/>
          <w:sz w:val="32"/>
          <w:szCs w:val="32"/>
        </w:rPr>
      </w:pPr>
    </w:p>
    <w:p w14:paraId="30172E78">
      <w:pPr>
        <w:pStyle w:val="29"/>
        <w:rPr>
          <w:rFonts w:hint="eastAsia" w:ascii="宋体" w:hAnsi="宋体" w:eastAsia="宋体" w:cs="宋体"/>
          <w:b/>
          <w:color w:val="000000" w:themeColor="text1"/>
          <w:sz w:val="32"/>
          <w:szCs w:val="32"/>
        </w:rPr>
      </w:pPr>
    </w:p>
    <w:p w14:paraId="61535F67">
      <w:pPr>
        <w:pStyle w:val="29"/>
        <w:rPr>
          <w:rFonts w:hint="eastAsia" w:ascii="宋体" w:hAnsi="宋体" w:eastAsia="宋体" w:cs="宋体"/>
          <w:b/>
          <w:color w:val="000000" w:themeColor="text1"/>
          <w:sz w:val="32"/>
          <w:szCs w:val="32"/>
        </w:rPr>
      </w:pPr>
    </w:p>
    <w:p w14:paraId="584D959D">
      <w:pPr>
        <w:pStyle w:val="29"/>
        <w:rPr>
          <w:rFonts w:hint="eastAsia" w:ascii="宋体" w:hAnsi="宋体" w:eastAsia="宋体" w:cs="宋体"/>
          <w:b/>
          <w:color w:val="000000" w:themeColor="text1"/>
          <w:sz w:val="32"/>
          <w:szCs w:val="32"/>
        </w:rPr>
      </w:pPr>
    </w:p>
    <w:p w14:paraId="5D83F6C8">
      <w:pPr>
        <w:pStyle w:val="29"/>
        <w:rPr>
          <w:rFonts w:hint="eastAsia" w:ascii="宋体" w:hAnsi="宋体" w:eastAsia="宋体" w:cs="宋体"/>
          <w:b/>
          <w:color w:val="000000" w:themeColor="text1"/>
          <w:sz w:val="32"/>
          <w:szCs w:val="32"/>
        </w:rPr>
      </w:pPr>
    </w:p>
    <w:p w14:paraId="59E0EFFA">
      <w:pPr>
        <w:pStyle w:val="29"/>
        <w:rPr>
          <w:rFonts w:hint="eastAsia" w:ascii="宋体" w:hAnsi="宋体" w:eastAsia="宋体" w:cs="宋体"/>
          <w:b/>
          <w:color w:val="000000" w:themeColor="text1"/>
          <w:sz w:val="32"/>
          <w:szCs w:val="32"/>
        </w:rPr>
      </w:pPr>
    </w:p>
    <w:p w14:paraId="49A336DC">
      <w:pPr>
        <w:pStyle w:val="29"/>
        <w:rPr>
          <w:rFonts w:hint="eastAsia" w:ascii="宋体" w:hAnsi="宋体" w:eastAsia="宋体" w:cs="宋体"/>
          <w:b/>
          <w:color w:val="000000" w:themeColor="text1"/>
          <w:sz w:val="32"/>
          <w:szCs w:val="32"/>
        </w:rPr>
      </w:pPr>
    </w:p>
    <w:p w14:paraId="1093E627">
      <w:pPr>
        <w:pStyle w:val="29"/>
        <w:rPr>
          <w:rFonts w:hint="eastAsia" w:ascii="宋体" w:hAnsi="宋体" w:eastAsia="宋体" w:cs="宋体"/>
          <w:b/>
          <w:color w:val="000000" w:themeColor="text1"/>
          <w:sz w:val="32"/>
          <w:szCs w:val="32"/>
        </w:rPr>
      </w:pPr>
    </w:p>
    <w:p w14:paraId="4333A9BA">
      <w:pPr>
        <w:pStyle w:val="29"/>
        <w:rPr>
          <w:rFonts w:hint="eastAsia" w:ascii="宋体" w:hAnsi="宋体" w:eastAsia="宋体" w:cs="宋体"/>
          <w:b/>
          <w:color w:val="000000" w:themeColor="text1"/>
          <w:sz w:val="32"/>
          <w:szCs w:val="32"/>
        </w:rPr>
      </w:pPr>
    </w:p>
    <w:p w14:paraId="6A6938D4">
      <w:pPr>
        <w:pStyle w:val="29"/>
        <w:rPr>
          <w:rFonts w:hint="eastAsia" w:ascii="宋体" w:hAnsi="宋体" w:eastAsia="宋体" w:cs="宋体"/>
          <w:b/>
          <w:color w:val="000000" w:themeColor="text1"/>
          <w:sz w:val="32"/>
          <w:szCs w:val="32"/>
        </w:rPr>
      </w:pPr>
    </w:p>
    <w:p w14:paraId="36CD2EEC">
      <w:pPr>
        <w:pStyle w:val="29"/>
        <w:rPr>
          <w:rFonts w:hint="eastAsia" w:ascii="宋体" w:hAnsi="宋体" w:eastAsia="宋体" w:cs="宋体"/>
          <w:b/>
          <w:color w:val="000000" w:themeColor="text1"/>
          <w:sz w:val="32"/>
          <w:szCs w:val="32"/>
        </w:rPr>
      </w:pPr>
    </w:p>
    <w:p w14:paraId="6C8E3107">
      <w:pPr>
        <w:pStyle w:val="29"/>
        <w:rPr>
          <w:rFonts w:hint="eastAsia" w:ascii="宋体" w:hAnsi="宋体" w:eastAsia="宋体" w:cs="宋体"/>
          <w:b/>
          <w:color w:val="000000" w:themeColor="text1"/>
          <w:sz w:val="32"/>
          <w:szCs w:val="32"/>
        </w:rPr>
      </w:pPr>
    </w:p>
    <w:p w14:paraId="2FC66D9E">
      <w:pPr>
        <w:pStyle w:val="29"/>
        <w:rPr>
          <w:rFonts w:hint="eastAsia" w:ascii="宋体" w:hAnsi="宋体" w:eastAsia="宋体" w:cs="宋体"/>
          <w:b/>
          <w:color w:val="000000" w:themeColor="text1"/>
          <w:sz w:val="32"/>
          <w:szCs w:val="32"/>
        </w:rPr>
      </w:pPr>
    </w:p>
    <w:p w14:paraId="368023D4">
      <w:pPr>
        <w:pStyle w:val="29"/>
        <w:rPr>
          <w:rFonts w:hint="eastAsia" w:ascii="宋体" w:hAnsi="宋体" w:eastAsia="宋体" w:cs="宋体"/>
          <w:b/>
          <w:color w:val="000000" w:themeColor="text1"/>
          <w:sz w:val="32"/>
          <w:szCs w:val="32"/>
        </w:rPr>
      </w:pPr>
    </w:p>
    <w:p w14:paraId="52D62F4F">
      <w:pPr>
        <w:pStyle w:val="29"/>
        <w:rPr>
          <w:rFonts w:hint="eastAsia" w:ascii="宋体" w:hAnsi="宋体" w:eastAsia="宋体" w:cs="宋体"/>
          <w:b/>
          <w:color w:val="000000" w:themeColor="text1"/>
          <w:sz w:val="32"/>
          <w:szCs w:val="32"/>
        </w:rPr>
      </w:pPr>
    </w:p>
    <w:p w14:paraId="576EBEE7">
      <w:pPr>
        <w:pStyle w:val="29"/>
        <w:rPr>
          <w:rFonts w:hint="eastAsia" w:ascii="宋体" w:hAnsi="宋体" w:eastAsia="宋体" w:cs="宋体"/>
          <w:b/>
          <w:color w:val="000000" w:themeColor="text1"/>
          <w:sz w:val="32"/>
          <w:szCs w:val="32"/>
        </w:rPr>
      </w:pPr>
    </w:p>
    <w:p w14:paraId="2BA8F4A6">
      <w:pPr>
        <w:pStyle w:val="29"/>
        <w:rPr>
          <w:rFonts w:hint="eastAsia" w:ascii="宋体" w:hAnsi="宋体" w:eastAsia="宋体" w:cs="宋体"/>
          <w:b/>
          <w:color w:val="000000" w:themeColor="text1"/>
          <w:sz w:val="32"/>
          <w:szCs w:val="32"/>
        </w:rPr>
      </w:pPr>
    </w:p>
    <w:p w14:paraId="2DCD4305">
      <w:pPr>
        <w:pStyle w:val="29"/>
        <w:rPr>
          <w:rFonts w:hint="eastAsia" w:ascii="宋体" w:hAnsi="宋体" w:eastAsia="宋体" w:cs="宋体"/>
          <w:b/>
          <w:color w:val="000000" w:themeColor="text1"/>
          <w:sz w:val="32"/>
          <w:szCs w:val="32"/>
        </w:rPr>
      </w:pPr>
    </w:p>
    <w:p w14:paraId="31DFEBE4">
      <w:pPr>
        <w:pStyle w:val="29"/>
        <w:rPr>
          <w:rFonts w:hint="eastAsia" w:ascii="宋体" w:hAnsi="宋体" w:eastAsia="宋体" w:cs="宋体"/>
          <w:b/>
          <w:color w:val="000000" w:themeColor="text1"/>
          <w:sz w:val="32"/>
          <w:szCs w:val="32"/>
        </w:rPr>
      </w:pPr>
    </w:p>
    <w:p w14:paraId="23A6C0FB">
      <w:pPr>
        <w:pStyle w:val="29"/>
        <w:rPr>
          <w:rFonts w:hint="eastAsia" w:ascii="宋体" w:hAnsi="宋体" w:eastAsia="宋体" w:cs="宋体"/>
          <w:b/>
          <w:color w:val="000000" w:themeColor="text1"/>
          <w:sz w:val="32"/>
          <w:szCs w:val="32"/>
        </w:rPr>
      </w:pPr>
    </w:p>
    <w:p w14:paraId="70A529D2">
      <w:pPr>
        <w:pStyle w:val="29"/>
        <w:rPr>
          <w:rFonts w:hint="eastAsia" w:ascii="宋体" w:hAnsi="宋体" w:eastAsia="宋体" w:cs="宋体"/>
          <w:b/>
          <w:color w:val="000000" w:themeColor="text1"/>
          <w:sz w:val="32"/>
          <w:szCs w:val="32"/>
        </w:rPr>
      </w:pPr>
    </w:p>
    <w:p w14:paraId="62C37C28">
      <w:pPr>
        <w:pStyle w:val="29"/>
        <w:rPr>
          <w:rFonts w:hint="eastAsia" w:ascii="宋体" w:hAnsi="宋体" w:eastAsia="宋体" w:cs="宋体"/>
          <w:b/>
          <w:color w:val="000000" w:themeColor="text1"/>
          <w:sz w:val="32"/>
          <w:szCs w:val="32"/>
        </w:rPr>
      </w:pPr>
    </w:p>
    <w:p w14:paraId="3E865DAE">
      <w:pPr>
        <w:pStyle w:val="29"/>
        <w:rPr>
          <w:rFonts w:hint="eastAsia" w:ascii="宋体" w:hAnsi="宋体" w:eastAsia="宋体" w:cs="宋体"/>
          <w:b/>
          <w:color w:val="000000" w:themeColor="text1"/>
          <w:sz w:val="32"/>
          <w:szCs w:val="32"/>
        </w:rPr>
      </w:pPr>
    </w:p>
    <w:p w14:paraId="429EEF4D">
      <w:pPr>
        <w:pStyle w:val="29"/>
        <w:rPr>
          <w:rFonts w:hint="eastAsia" w:ascii="宋体" w:hAnsi="宋体" w:eastAsia="宋体" w:cs="宋体"/>
          <w:b/>
          <w:color w:val="000000" w:themeColor="text1"/>
          <w:sz w:val="32"/>
          <w:szCs w:val="32"/>
        </w:rPr>
      </w:pPr>
    </w:p>
    <w:p w14:paraId="2AA1E9C1">
      <w:pPr>
        <w:pStyle w:val="29"/>
        <w:rPr>
          <w:rFonts w:hint="eastAsia" w:ascii="宋体" w:hAnsi="宋体" w:eastAsia="宋体" w:cs="宋体"/>
          <w:b/>
          <w:color w:val="000000" w:themeColor="text1"/>
          <w:sz w:val="32"/>
          <w:szCs w:val="32"/>
        </w:rPr>
      </w:pPr>
    </w:p>
    <w:p w14:paraId="19AA1838">
      <w:pPr>
        <w:pStyle w:val="3"/>
        <w:keepNext w:val="0"/>
        <w:keepLines w:val="0"/>
        <w:wordWrap w:val="0"/>
        <w:topLinePunct/>
        <w:spacing w:before="0" w:after="0" w:line="500" w:lineRule="exact"/>
        <w:rPr>
          <w:rFonts w:hint="eastAsia" w:ascii="宋体" w:hAnsi="宋体" w:eastAsia="宋体" w:cs="宋体"/>
          <w:color w:val="000000" w:themeColor="text1"/>
        </w:rPr>
      </w:pPr>
      <w:r>
        <w:rPr>
          <w:rFonts w:hint="eastAsia" w:ascii="宋体" w:hAnsi="宋体" w:eastAsia="宋体" w:cs="宋体"/>
          <w:color w:val="000000" w:themeColor="text1"/>
        </w:rPr>
        <w:t>1评标方法</w:t>
      </w:r>
    </w:p>
    <w:p w14:paraId="22A20E22">
      <w:pPr>
        <w:pStyle w:val="24"/>
        <w:wordWrap w:val="0"/>
        <w:topLinePunct/>
        <w:adjustRightInd w:val="0"/>
        <w:snapToGrid w:val="0"/>
        <w:spacing w:line="500" w:lineRule="exact"/>
        <w:ind w:firstLine="443" w:firstLineChars="211"/>
        <w:rPr>
          <w:rFonts w:hint="eastAsia" w:ascii="宋体" w:hAnsi="宋体" w:eastAsia="宋体" w:cs="宋体"/>
          <w:color w:val="000000" w:themeColor="text1"/>
        </w:rPr>
      </w:pPr>
      <w:r>
        <w:rPr>
          <w:rFonts w:hint="eastAsia" w:ascii="宋体" w:hAnsi="宋体" w:eastAsia="宋体" w:cs="宋体"/>
          <w:color w:val="000000" w:themeColor="text1"/>
          <w:szCs w:val="21"/>
        </w:rPr>
        <w:t>本次评标采用最低评标法。谈判小组会对满足竞争性谈判文件实质要求的竞标文件，按照本章2.2条款进行评审，</w:t>
      </w:r>
      <w:r>
        <w:rPr>
          <w:rFonts w:hint="eastAsia" w:ascii="宋体" w:hAnsi="宋体" w:eastAsia="宋体" w:cs="宋体"/>
          <w:color w:val="000000" w:themeColor="text1"/>
        </w:rPr>
        <w:t>谈判小组应当从工期、竞标单位质量和报价等实质性内容均能满足谈判文件实质性响应要求的竞标单位中，按照竞标最终报价由低到高的顺序推荐3名成交候选人（报价相同时，</w:t>
      </w:r>
      <w:r>
        <w:rPr>
          <w:rFonts w:hint="eastAsia" w:ascii="宋体" w:hAnsi="宋体" w:eastAsia="宋体" w:cs="宋体"/>
          <w:color w:val="000000" w:themeColor="text1"/>
          <w:szCs w:val="21"/>
        </w:rPr>
        <w:t>以企业用于该项工程投标的资质高的优先；企业用于该项工程投标的资质也同等的，由谈判小组会采用记名投票方式确定</w:t>
      </w:r>
      <w:r>
        <w:rPr>
          <w:rFonts w:hint="eastAsia" w:ascii="宋体" w:hAnsi="宋体" w:eastAsia="宋体" w:cs="宋体"/>
          <w:color w:val="000000" w:themeColor="text1"/>
        </w:rPr>
        <w:t>）,并编写评审报告。</w:t>
      </w:r>
    </w:p>
    <w:p w14:paraId="0ACF5D73">
      <w:pPr>
        <w:pStyle w:val="3"/>
        <w:spacing w:before="0" w:after="0" w:line="500" w:lineRule="exact"/>
        <w:rPr>
          <w:rFonts w:hint="eastAsia" w:ascii="宋体" w:hAnsi="宋体" w:eastAsia="宋体" w:cs="宋体"/>
          <w:color w:val="000000" w:themeColor="text1"/>
        </w:rPr>
      </w:pPr>
      <w:bookmarkStart w:id="224" w:name="_Toc389065202"/>
      <w:bookmarkStart w:id="225" w:name="_Toc494118820"/>
      <w:bookmarkStart w:id="226" w:name="_Toc17676"/>
      <w:bookmarkStart w:id="227" w:name="_Toc465114807"/>
      <w:bookmarkStart w:id="228" w:name="_Toc184635090"/>
      <w:r>
        <w:rPr>
          <w:rFonts w:hint="eastAsia" w:ascii="宋体" w:hAnsi="宋体" w:eastAsia="宋体" w:cs="宋体"/>
          <w:color w:val="000000" w:themeColor="text1"/>
        </w:rPr>
        <w:t>2 评审标准</w:t>
      </w:r>
      <w:bookmarkEnd w:id="224"/>
      <w:bookmarkEnd w:id="225"/>
      <w:bookmarkEnd w:id="226"/>
      <w:bookmarkEnd w:id="227"/>
      <w:bookmarkEnd w:id="228"/>
    </w:p>
    <w:p w14:paraId="21F463B8">
      <w:pPr>
        <w:pStyle w:val="4"/>
        <w:spacing w:before="0" w:after="0" w:line="500" w:lineRule="exact"/>
        <w:rPr>
          <w:rFonts w:hint="eastAsia" w:ascii="宋体" w:hAnsi="宋体" w:eastAsia="宋体" w:cs="宋体"/>
          <w:color w:val="000000" w:themeColor="text1"/>
        </w:rPr>
      </w:pPr>
      <w:bookmarkStart w:id="229" w:name="_Toc25178"/>
      <w:bookmarkStart w:id="230" w:name="_Toc389065203"/>
      <w:bookmarkStart w:id="231" w:name="_Toc465114808"/>
      <w:r>
        <w:rPr>
          <w:rFonts w:hint="eastAsia" w:ascii="宋体" w:hAnsi="宋体" w:eastAsia="宋体" w:cs="宋体"/>
          <w:color w:val="000000" w:themeColor="text1"/>
        </w:rPr>
        <w:t>2.1 初步评审标准</w:t>
      </w:r>
      <w:bookmarkEnd w:id="229"/>
      <w:bookmarkEnd w:id="230"/>
      <w:bookmarkEnd w:id="231"/>
    </w:p>
    <w:p w14:paraId="601D14CB">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2.1.1资格评审标准：见“评标办法前附表”。所有在竞标截止时间前提交竞标文件的竞标人均有资格参加资格评审。</w:t>
      </w:r>
    </w:p>
    <w:p w14:paraId="4AC3961B">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2.1.2 符合性评审标准：见“评标办法前附表”。</w:t>
      </w:r>
    </w:p>
    <w:p w14:paraId="0027D46E">
      <w:pPr>
        <w:pStyle w:val="4"/>
        <w:spacing w:before="0" w:after="0" w:line="500" w:lineRule="exact"/>
        <w:rPr>
          <w:rFonts w:hint="eastAsia" w:ascii="宋体" w:hAnsi="宋体" w:eastAsia="宋体" w:cs="宋体"/>
          <w:color w:val="000000" w:themeColor="text1"/>
        </w:rPr>
      </w:pPr>
      <w:bookmarkStart w:id="232" w:name="_Toc7266"/>
      <w:bookmarkStart w:id="233" w:name="_Toc465114809"/>
      <w:bookmarkStart w:id="234" w:name="_Toc389065204"/>
      <w:r>
        <w:rPr>
          <w:rFonts w:hint="eastAsia" w:ascii="宋体" w:hAnsi="宋体" w:eastAsia="宋体" w:cs="宋体"/>
          <w:color w:val="000000" w:themeColor="text1"/>
        </w:rPr>
        <w:t>2.2 详细评审标准</w:t>
      </w:r>
      <w:bookmarkEnd w:id="232"/>
      <w:bookmarkEnd w:id="233"/>
      <w:bookmarkEnd w:id="234"/>
    </w:p>
    <w:p w14:paraId="5BD6193F">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2.2.1商务标评分标准：见“评标办法前附表”。</w:t>
      </w:r>
    </w:p>
    <w:p w14:paraId="650EB21B">
      <w:pPr>
        <w:pStyle w:val="3"/>
        <w:spacing w:before="0" w:after="0" w:line="500" w:lineRule="exact"/>
        <w:rPr>
          <w:rFonts w:hint="eastAsia" w:ascii="宋体" w:hAnsi="宋体" w:eastAsia="宋体" w:cs="宋体"/>
          <w:color w:val="000000" w:themeColor="text1"/>
        </w:rPr>
      </w:pPr>
      <w:bookmarkStart w:id="235" w:name="_Toc465114810"/>
      <w:bookmarkStart w:id="236" w:name="_Toc389065205"/>
      <w:bookmarkStart w:id="237" w:name="_Toc494118821"/>
      <w:bookmarkStart w:id="238" w:name="_Toc16165"/>
      <w:bookmarkStart w:id="239" w:name="_Toc184635091"/>
      <w:r>
        <w:rPr>
          <w:rFonts w:hint="eastAsia" w:ascii="宋体" w:hAnsi="宋体" w:eastAsia="宋体" w:cs="宋体"/>
          <w:color w:val="000000" w:themeColor="text1"/>
        </w:rPr>
        <w:t>3 评标程序</w:t>
      </w:r>
      <w:bookmarkEnd w:id="235"/>
      <w:bookmarkEnd w:id="236"/>
      <w:bookmarkEnd w:id="237"/>
      <w:bookmarkEnd w:id="238"/>
      <w:bookmarkEnd w:id="239"/>
    </w:p>
    <w:p w14:paraId="59CD3C27">
      <w:pPr>
        <w:pStyle w:val="4"/>
        <w:spacing w:before="0" w:after="0" w:line="500" w:lineRule="exact"/>
        <w:rPr>
          <w:rFonts w:hint="eastAsia" w:ascii="宋体" w:hAnsi="宋体" w:eastAsia="宋体" w:cs="宋体"/>
          <w:color w:val="000000" w:themeColor="text1"/>
        </w:rPr>
      </w:pPr>
      <w:bookmarkStart w:id="240" w:name="_Toc4156"/>
      <w:bookmarkStart w:id="241" w:name="_Toc389065206"/>
      <w:bookmarkStart w:id="242" w:name="_Toc465114811"/>
      <w:r>
        <w:rPr>
          <w:rFonts w:hint="eastAsia" w:ascii="宋体" w:hAnsi="宋体" w:eastAsia="宋体" w:cs="宋体"/>
          <w:color w:val="000000" w:themeColor="text1"/>
        </w:rPr>
        <w:t>3.1 初步评审</w:t>
      </w:r>
      <w:bookmarkEnd w:id="240"/>
      <w:bookmarkEnd w:id="241"/>
      <w:bookmarkEnd w:id="242"/>
    </w:p>
    <w:p w14:paraId="4320035A">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3.1.1 谈判小组会依据本章第2.1款规定的标准对竞标文件进行初步评审。有一项不符合评审标准的，作否决竞标处理。</w:t>
      </w:r>
    </w:p>
    <w:p w14:paraId="74EAB84D">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3.1.2 竞标人有以下情形之一的，其竞标作否决竞标处理：</w:t>
      </w:r>
    </w:p>
    <w:p w14:paraId="514B2280">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（1）第二章“竞标人须知”第1.4.3项规定的任何一种情形的；</w:t>
      </w:r>
    </w:p>
    <w:p w14:paraId="670B3349">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（2）串通竞标或弄虚作假或有其他违法行为的；</w:t>
      </w:r>
    </w:p>
    <w:p w14:paraId="79B8D322">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（3）不按谈判小组会要求澄清、说明或补正的。</w:t>
      </w:r>
    </w:p>
    <w:p w14:paraId="4A92282F">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3.1.3 竞标报价有算术错误的，谈判小组会按以下原则对竞标报价进行修正，修正的价格经竞标人书面确认后具有约束力。竞标人不接受修正价格的，其竞标作否决竞标处理。</w:t>
      </w:r>
    </w:p>
    <w:p w14:paraId="315141FC">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（1）竞标文件中的大写金额与小写金额不一致的，以大写金额为准；</w:t>
      </w:r>
    </w:p>
    <w:p w14:paraId="4A0735A2">
      <w:pPr>
        <w:spacing w:line="50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szCs w:val="21"/>
        </w:rPr>
        <w:t>（2）总价金额与依据单价计算出的结果不一致的，以单价金额为准修正总价，但单价金额小数点有明显错误的除外。</w:t>
      </w:r>
    </w:p>
    <w:p w14:paraId="79AFF273">
      <w:pPr>
        <w:pStyle w:val="4"/>
        <w:spacing w:before="0" w:after="0" w:line="500" w:lineRule="exact"/>
        <w:rPr>
          <w:rFonts w:hint="eastAsia" w:ascii="宋体" w:hAnsi="宋体" w:eastAsia="宋体" w:cs="宋体"/>
          <w:color w:val="000000" w:themeColor="text1"/>
        </w:rPr>
      </w:pPr>
      <w:bookmarkStart w:id="243" w:name="_Toc465114812"/>
      <w:bookmarkStart w:id="244" w:name="_Toc11523"/>
      <w:r>
        <w:rPr>
          <w:rFonts w:hint="eastAsia" w:ascii="宋体" w:hAnsi="宋体" w:eastAsia="宋体" w:cs="宋体"/>
          <w:color w:val="000000" w:themeColor="text1"/>
        </w:rPr>
        <w:t>3.2 详细评审</w:t>
      </w:r>
      <w:bookmarkEnd w:id="243"/>
      <w:bookmarkEnd w:id="244"/>
    </w:p>
    <w:p w14:paraId="01656BAF">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小组会发现竞标人的报价明显低于其他竞标报价，或者在设有标底时明显低于标底，使得其竞标报价可能低于其成本的，应当要求该竞标人作出书面说明并提供相应的证明材料。竞标人不能合理说明或者不能提供相应证明材料的，由谈判小组会认定该竞标人以低于成本报价竞标。</w:t>
      </w:r>
    </w:p>
    <w:p w14:paraId="3855A0F9">
      <w:pPr>
        <w:pStyle w:val="4"/>
        <w:spacing w:before="0" w:after="0" w:line="500" w:lineRule="exact"/>
        <w:rPr>
          <w:rFonts w:hint="eastAsia" w:ascii="宋体" w:hAnsi="宋体" w:eastAsia="宋体" w:cs="宋体"/>
          <w:color w:val="000000" w:themeColor="text1"/>
        </w:rPr>
      </w:pPr>
      <w:bookmarkStart w:id="245" w:name="_Toc389065207"/>
      <w:bookmarkStart w:id="246" w:name="_Toc465114813"/>
      <w:bookmarkStart w:id="247" w:name="_Toc12793"/>
      <w:r>
        <w:rPr>
          <w:rFonts w:hint="eastAsia" w:ascii="宋体" w:hAnsi="宋体" w:eastAsia="宋体" w:cs="宋体"/>
          <w:color w:val="000000" w:themeColor="text1"/>
        </w:rPr>
        <w:t>3.3 竞标文件的澄清、说明和补正</w:t>
      </w:r>
      <w:bookmarkEnd w:id="245"/>
      <w:bookmarkEnd w:id="246"/>
      <w:bookmarkEnd w:id="247"/>
    </w:p>
    <w:p w14:paraId="62AC3423">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3.3.1 在评标过程中，谈判小组会可以书面形式要求竞标人对所提交的竞标文件中不明确的内容进行书面澄清或说明，也可以要求竞标人对细微偏差进行补正。澄清、说明和补正必须由谈判小组会书面提出、竞标人书面答复，否则无效。谈判小组会不接受竞标人主动提出的澄清、说明或补正。</w:t>
      </w:r>
    </w:p>
    <w:p w14:paraId="4C7DC291">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3.3.2 澄清、说明和补正不得改变竞标文件的实质性内容（算术性错误修正的除外）。竞标人的书面澄清、说明和补正属于竞标文件的组成部分。</w:t>
      </w:r>
    </w:p>
    <w:p w14:paraId="3F9A50A6">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3.3.3 谈判小组会对竞标人提交的澄清、说明或补正有疑问的，可以要求竞标人进一步澄清、说明或补正，直至满足谈判小组会的要求。</w:t>
      </w:r>
    </w:p>
    <w:p w14:paraId="7CE9202A">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3.3.4 对竞标文件进行澄清、说明和补正时来往的书面材料传递，必须在监督管理部门的监督下，由采购代理机构的专职代理员进行。</w:t>
      </w:r>
    </w:p>
    <w:p w14:paraId="7A5E0B37">
      <w:pPr>
        <w:pStyle w:val="4"/>
        <w:spacing w:before="0" w:after="0" w:line="500" w:lineRule="exact"/>
        <w:rPr>
          <w:rFonts w:hint="eastAsia" w:ascii="宋体" w:hAnsi="宋体" w:eastAsia="宋体" w:cs="宋体"/>
          <w:color w:val="000000" w:themeColor="text1"/>
        </w:rPr>
      </w:pPr>
      <w:bookmarkStart w:id="248" w:name="_Toc12004"/>
      <w:bookmarkStart w:id="249" w:name="_Toc465114814"/>
      <w:bookmarkStart w:id="250" w:name="_Toc389065208"/>
      <w:r>
        <w:rPr>
          <w:rFonts w:hint="eastAsia" w:ascii="宋体" w:hAnsi="宋体" w:eastAsia="宋体" w:cs="宋体"/>
          <w:color w:val="000000" w:themeColor="text1"/>
        </w:rPr>
        <w:t>3.4 评标结果</w:t>
      </w:r>
      <w:bookmarkEnd w:id="248"/>
      <w:bookmarkEnd w:id="249"/>
      <w:bookmarkEnd w:id="250"/>
    </w:p>
    <w:p w14:paraId="585B98B9">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3.4.1 除第二章“竞标人须知前附表”授权直接确定成交人外，谈判小组会按照本章规定的顺序推荐成交人。</w:t>
      </w:r>
    </w:p>
    <w:p w14:paraId="15EE69D2">
      <w:pPr>
        <w:spacing w:line="5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3.4.2 谈判小组会完成评标后，应当向采购人提交书面评标报告。</w:t>
      </w:r>
    </w:p>
    <w:p w14:paraId="23C4CACC">
      <w:pPr>
        <w:spacing w:line="50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szCs w:val="21"/>
        </w:rPr>
        <w:t>3.4.3 谈判小组会应将评标过程中使用的文件、表格以及其他材料即时归还采购人。采购人应当按照“竞标人须知前附表”规定的封存方式封存评标资料。</w:t>
      </w:r>
    </w:p>
    <w:p w14:paraId="4AE04B7B">
      <w:pPr>
        <w:widowControl/>
        <w:spacing w:line="500" w:lineRule="exact"/>
        <w:jc w:val="center"/>
        <w:outlineLvl w:val="0"/>
        <w:rPr>
          <w:rFonts w:hint="eastAsia" w:ascii="宋体" w:hAnsi="宋体" w:eastAsia="宋体" w:cs="宋体"/>
          <w:b/>
          <w:bCs/>
          <w:color w:val="000000" w:themeColor="text1"/>
          <w:sz w:val="36"/>
          <w:szCs w:val="36"/>
        </w:rPr>
      </w:pPr>
    </w:p>
    <w:p w14:paraId="3B38100D">
      <w:pPr>
        <w:widowControl/>
        <w:jc w:val="center"/>
        <w:outlineLvl w:val="0"/>
        <w:rPr>
          <w:rFonts w:hint="eastAsia" w:ascii="宋体" w:hAnsi="宋体" w:eastAsia="宋体" w:cs="宋体"/>
          <w:b/>
          <w:bCs/>
          <w:color w:val="000000" w:themeColor="text1"/>
          <w:sz w:val="36"/>
          <w:szCs w:val="36"/>
        </w:rPr>
      </w:pPr>
    </w:p>
    <w:p w14:paraId="115C7467">
      <w:pPr>
        <w:widowControl/>
        <w:spacing w:line="360" w:lineRule="auto"/>
        <w:outlineLvl w:val="0"/>
        <w:rPr>
          <w:rFonts w:hint="eastAsia" w:ascii="宋体" w:hAnsi="宋体" w:eastAsia="宋体" w:cs="宋体"/>
          <w:b/>
          <w:bCs/>
          <w:color w:val="000000" w:themeColor="text1"/>
          <w:sz w:val="36"/>
          <w:szCs w:val="36"/>
        </w:rPr>
      </w:pPr>
    </w:p>
    <w:p w14:paraId="679D932D">
      <w:pPr>
        <w:pStyle w:val="2"/>
        <w:spacing w:before="0" w:after="0" w:line="360" w:lineRule="auto"/>
        <w:jc w:val="center"/>
        <w:rPr>
          <w:rFonts w:hint="eastAsia" w:ascii="宋体" w:hAnsi="宋体" w:eastAsia="宋体" w:cs="宋体"/>
          <w:color w:val="000000" w:themeColor="text1"/>
        </w:rPr>
      </w:pPr>
      <w:bookmarkStart w:id="251" w:name="_Toc389065209"/>
      <w:bookmarkStart w:id="252" w:name="_Toc494118822"/>
      <w:bookmarkStart w:id="253" w:name="_Toc31662"/>
      <w:bookmarkStart w:id="254" w:name="_Toc6225"/>
      <w:bookmarkStart w:id="255" w:name="_Toc465114815"/>
      <w:bookmarkStart w:id="256" w:name="_Toc24076"/>
    </w:p>
    <w:p w14:paraId="1919CFF0">
      <w:pPr>
        <w:pStyle w:val="2"/>
        <w:keepNext w:val="0"/>
        <w:wordWrap w:val="0"/>
        <w:topLinePunct/>
        <w:spacing w:before="0" w:after="0" w:line="360" w:lineRule="auto"/>
        <w:jc w:val="center"/>
        <w:rPr>
          <w:rFonts w:hint="eastAsia" w:ascii="宋体" w:hAnsi="宋体" w:eastAsia="宋体" w:cs="宋体"/>
          <w:color w:val="000000" w:themeColor="text1"/>
        </w:rPr>
      </w:pPr>
    </w:p>
    <w:p w14:paraId="57D7D165">
      <w:pPr>
        <w:pStyle w:val="2"/>
        <w:keepNext w:val="0"/>
        <w:wordWrap w:val="0"/>
        <w:topLinePunct/>
        <w:spacing w:before="0" w:after="0" w:line="360" w:lineRule="auto"/>
        <w:jc w:val="center"/>
        <w:rPr>
          <w:rFonts w:hint="eastAsia" w:ascii="宋体" w:hAnsi="宋体" w:eastAsia="宋体" w:cs="宋体"/>
          <w:color w:val="000000" w:themeColor="text1"/>
        </w:rPr>
      </w:pPr>
    </w:p>
    <w:p w14:paraId="41E8DB06">
      <w:pPr>
        <w:pStyle w:val="2"/>
        <w:keepNext w:val="0"/>
        <w:wordWrap w:val="0"/>
        <w:topLinePunct/>
        <w:spacing w:before="0" w:after="0" w:line="360" w:lineRule="auto"/>
        <w:jc w:val="center"/>
        <w:rPr>
          <w:rFonts w:hint="eastAsia" w:ascii="宋体" w:hAnsi="宋体" w:eastAsia="宋体" w:cs="宋体"/>
          <w:b w:val="0"/>
          <w:bCs w:val="0"/>
          <w:color w:val="000000" w:themeColor="text1"/>
          <w:sz w:val="32"/>
          <w:szCs w:val="32"/>
        </w:rPr>
      </w:pPr>
      <w:bookmarkStart w:id="257" w:name="_Toc14750"/>
      <w:r>
        <w:rPr>
          <w:rFonts w:hint="eastAsia" w:ascii="宋体" w:hAnsi="宋体" w:eastAsia="宋体" w:cs="宋体"/>
          <w:color w:val="000000" w:themeColor="text1"/>
          <w:sz w:val="32"/>
          <w:szCs w:val="32"/>
        </w:rPr>
        <w:t>附件A</w:t>
      </w:r>
      <w:bookmarkEnd w:id="251"/>
      <w:r>
        <w:rPr>
          <w:rFonts w:hint="eastAsia" w:ascii="宋体" w:hAnsi="宋体" w:eastAsia="宋体" w:cs="宋体"/>
          <w:color w:val="000000" w:themeColor="text1"/>
          <w:sz w:val="32"/>
          <w:szCs w:val="32"/>
        </w:rPr>
        <w:t xml:space="preserve">  评标详细</w:t>
      </w:r>
      <w:bookmarkEnd w:id="252"/>
      <w:bookmarkEnd w:id="253"/>
      <w:bookmarkEnd w:id="254"/>
      <w:bookmarkEnd w:id="255"/>
      <w:bookmarkEnd w:id="256"/>
      <w:r>
        <w:rPr>
          <w:rFonts w:hint="eastAsia" w:ascii="宋体" w:hAnsi="宋体" w:eastAsia="宋体" w:cs="宋体"/>
          <w:color w:val="000000" w:themeColor="text1"/>
          <w:sz w:val="32"/>
          <w:szCs w:val="32"/>
        </w:rPr>
        <w:t>程序</w:t>
      </w:r>
      <w:bookmarkEnd w:id="257"/>
    </w:p>
    <w:p w14:paraId="309B316C">
      <w:pPr>
        <w:pStyle w:val="3"/>
        <w:spacing w:before="0" w:after="0" w:line="420" w:lineRule="exact"/>
        <w:rPr>
          <w:rFonts w:hint="eastAsia" w:ascii="宋体" w:hAnsi="宋体" w:eastAsia="宋体" w:cs="宋体"/>
          <w:color w:val="000000" w:themeColor="text1"/>
          <w:sz w:val="21"/>
          <w:szCs w:val="21"/>
        </w:rPr>
      </w:pPr>
      <w:bookmarkStart w:id="258" w:name="_Toc465114816"/>
      <w:bookmarkStart w:id="259" w:name="_Toc494118823"/>
      <w:bookmarkStart w:id="260" w:name="_Toc21988"/>
      <w:bookmarkStart w:id="261" w:name="_Toc389065230"/>
      <w:bookmarkStart w:id="262" w:name="_Toc465114824"/>
      <w:r>
        <w:rPr>
          <w:rFonts w:hint="eastAsia" w:ascii="宋体" w:hAnsi="宋体" w:eastAsia="宋体" w:cs="宋体"/>
          <w:color w:val="000000" w:themeColor="text1"/>
          <w:sz w:val="21"/>
          <w:szCs w:val="21"/>
        </w:rPr>
        <w:t>A0 总  则</w:t>
      </w:r>
      <w:bookmarkEnd w:id="258"/>
      <w:bookmarkEnd w:id="259"/>
      <w:bookmarkEnd w:id="260"/>
    </w:p>
    <w:p w14:paraId="164DED5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本附件是本章“评标办法”的组成部分，是对本章第3条所规定的评标程序的进一步细化，谈判小组会应当按照本附件所规定的详细程序开展并完成评标工作。</w:t>
      </w:r>
    </w:p>
    <w:p w14:paraId="0DE2D5AB">
      <w:pPr>
        <w:pStyle w:val="3"/>
        <w:spacing w:before="0" w:after="0" w:line="420" w:lineRule="exact"/>
        <w:rPr>
          <w:rFonts w:hint="eastAsia" w:ascii="宋体" w:hAnsi="宋体" w:eastAsia="宋体" w:cs="宋体"/>
          <w:color w:val="000000" w:themeColor="text1"/>
          <w:sz w:val="21"/>
          <w:szCs w:val="21"/>
        </w:rPr>
      </w:pPr>
      <w:bookmarkStart w:id="263" w:name="_Toc465114817"/>
      <w:bookmarkStart w:id="264" w:name="_Toc389065211"/>
      <w:bookmarkStart w:id="265" w:name="_Toc9202"/>
      <w:bookmarkStart w:id="266" w:name="_Toc494118824"/>
      <w:r>
        <w:rPr>
          <w:rFonts w:hint="eastAsia" w:ascii="宋体" w:hAnsi="宋体" w:eastAsia="宋体" w:cs="宋体"/>
          <w:color w:val="000000" w:themeColor="text1"/>
          <w:sz w:val="21"/>
          <w:szCs w:val="21"/>
        </w:rPr>
        <w:t>A1 基本程序</w:t>
      </w:r>
      <w:bookmarkEnd w:id="263"/>
      <w:bookmarkEnd w:id="264"/>
      <w:bookmarkEnd w:id="265"/>
      <w:bookmarkEnd w:id="266"/>
    </w:p>
    <w:p w14:paraId="0DAE731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谈判活动将按以下五个步骤进行：</w:t>
      </w:r>
    </w:p>
    <w:p w14:paraId="1915B04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（1）谈判准备；</w:t>
      </w:r>
    </w:p>
    <w:p w14:paraId="197CC718">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（2）资格审查；</w:t>
      </w:r>
    </w:p>
    <w:p w14:paraId="0AA5FF49">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（3）符合性鉴定；</w:t>
      </w:r>
    </w:p>
    <w:p w14:paraId="5F4BE861">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（4）澄清、说明或补正；</w:t>
      </w:r>
    </w:p>
    <w:p w14:paraId="57A3E74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（5）推荐成交人或者直接确定成交人及提交评标报告。</w:t>
      </w:r>
    </w:p>
    <w:p w14:paraId="1AE37E10">
      <w:pPr>
        <w:pStyle w:val="3"/>
        <w:spacing w:before="0" w:after="0" w:line="420" w:lineRule="exact"/>
        <w:rPr>
          <w:rFonts w:hint="eastAsia" w:ascii="宋体" w:hAnsi="宋体" w:eastAsia="宋体" w:cs="宋体"/>
          <w:color w:val="000000" w:themeColor="text1"/>
          <w:sz w:val="21"/>
          <w:szCs w:val="21"/>
        </w:rPr>
      </w:pPr>
      <w:bookmarkStart w:id="267" w:name="_Toc465114818"/>
      <w:bookmarkStart w:id="268" w:name="_Toc389065212"/>
      <w:bookmarkStart w:id="269" w:name="_Toc494118825"/>
      <w:bookmarkStart w:id="270" w:name="_Toc2150"/>
      <w:r>
        <w:rPr>
          <w:rFonts w:hint="eastAsia" w:ascii="宋体" w:hAnsi="宋体" w:eastAsia="宋体" w:cs="宋体"/>
          <w:color w:val="000000" w:themeColor="text1"/>
          <w:sz w:val="21"/>
          <w:szCs w:val="21"/>
        </w:rPr>
        <w:t>A2 评标准备</w:t>
      </w:r>
      <w:bookmarkEnd w:id="267"/>
      <w:bookmarkEnd w:id="268"/>
      <w:bookmarkEnd w:id="269"/>
      <w:bookmarkEnd w:id="270"/>
    </w:p>
    <w:p w14:paraId="240B581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A2.1 谈判小组会成员签到</w:t>
      </w:r>
    </w:p>
    <w:p w14:paraId="5443274E">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谈判小组会成员到达评标现场时应在签到表上签到以证明其出席。</w:t>
      </w:r>
    </w:p>
    <w:p w14:paraId="182BF2CD">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A2.2 谈判小组会的组建和分工</w:t>
      </w:r>
    </w:p>
    <w:p w14:paraId="0E9183E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谈判小组会应按照“竞标人须知前附表”第6.1条的规定组建。首先以记名方式推选一名谈判小组会主任。谈判小组会主任负责评标活动的组织工作。</w:t>
      </w:r>
    </w:p>
    <w:p w14:paraId="5D86746E">
      <w:pPr>
        <w:spacing w:line="420" w:lineRule="exact"/>
        <w:ind w:firstLine="420" w:firstLineChars="200"/>
        <w:rPr>
          <w:rFonts w:hint="eastAsia" w:ascii="宋体" w:hAnsi="宋体" w:eastAsia="宋体" w:cs="宋体"/>
          <w:color w:val="000000" w:themeColor="text1"/>
          <w:szCs w:val="21"/>
        </w:rPr>
      </w:pPr>
      <w:bookmarkStart w:id="271" w:name="_Toc389065213"/>
      <w:r>
        <w:rPr>
          <w:rFonts w:hint="eastAsia" w:ascii="宋体" w:hAnsi="宋体" w:eastAsia="宋体" w:cs="宋体"/>
          <w:color w:val="000000" w:themeColor="text1"/>
          <w:szCs w:val="21"/>
        </w:rPr>
        <w:t>A2.3 熟悉文件资料</w:t>
      </w:r>
      <w:bookmarkEnd w:id="271"/>
    </w:p>
    <w:p w14:paraId="47449C01">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A2.3.1 谈判小组会主任应组织谈判小组会成员认真研究竞争性谈判文件，了解和熟悉采购目的、采购范围、主要合同条件、技术标准和要求、质量标准和工期要求等，掌握评标标准和方法，熟悉本章及附件中包括的评标表格的使用。</w:t>
      </w:r>
    </w:p>
    <w:p w14:paraId="49F3F10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A2.3.2 采购人或采购代理机构应向谈判小组会提供评标所需的信息和数据。</w:t>
      </w:r>
    </w:p>
    <w:p w14:paraId="43A9EEB2">
      <w:pPr>
        <w:pStyle w:val="3"/>
        <w:spacing w:before="0" w:after="0" w:line="420" w:lineRule="exact"/>
        <w:rPr>
          <w:rFonts w:hint="eastAsia" w:ascii="宋体" w:hAnsi="宋体" w:eastAsia="宋体" w:cs="宋体"/>
          <w:color w:val="000000" w:themeColor="text1"/>
          <w:sz w:val="21"/>
          <w:szCs w:val="21"/>
        </w:rPr>
      </w:pPr>
      <w:bookmarkStart w:id="272" w:name="_Toc465114819"/>
      <w:bookmarkStart w:id="273" w:name="_Toc389065214"/>
      <w:bookmarkStart w:id="274" w:name="_Toc294"/>
      <w:bookmarkStart w:id="275" w:name="_Toc494118826"/>
      <w:r>
        <w:rPr>
          <w:rFonts w:hint="eastAsia" w:ascii="宋体" w:hAnsi="宋体" w:eastAsia="宋体" w:cs="宋体"/>
          <w:color w:val="000000" w:themeColor="text1"/>
          <w:sz w:val="21"/>
          <w:szCs w:val="21"/>
        </w:rPr>
        <w:t>A3 初步评审</w:t>
      </w:r>
      <w:bookmarkEnd w:id="272"/>
      <w:bookmarkEnd w:id="273"/>
      <w:bookmarkEnd w:id="274"/>
      <w:bookmarkEnd w:id="275"/>
    </w:p>
    <w:p w14:paraId="7DF0DC94">
      <w:pPr>
        <w:spacing w:line="420" w:lineRule="exact"/>
        <w:ind w:firstLine="420" w:firstLineChars="200"/>
        <w:rPr>
          <w:rFonts w:hint="eastAsia" w:ascii="宋体" w:hAnsi="宋体" w:eastAsia="宋体" w:cs="宋体"/>
          <w:color w:val="000000" w:themeColor="text1"/>
          <w:szCs w:val="21"/>
        </w:rPr>
      </w:pPr>
      <w:bookmarkStart w:id="276" w:name="_Toc389065215"/>
      <w:r>
        <w:rPr>
          <w:rFonts w:hint="eastAsia" w:ascii="宋体" w:hAnsi="宋体" w:eastAsia="宋体" w:cs="宋体"/>
          <w:color w:val="000000" w:themeColor="text1"/>
          <w:szCs w:val="21"/>
        </w:rPr>
        <w:t>A3.1 资格审</w:t>
      </w:r>
      <w:bookmarkEnd w:id="276"/>
      <w:r>
        <w:rPr>
          <w:rFonts w:hint="eastAsia" w:ascii="宋体" w:hAnsi="宋体" w:eastAsia="宋体" w:cs="宋体"/>
          <w:color w:val="000000" w:themeColor="text1"/>
          <w:szCs w:val="21"/>
        </w:rPr>
        <w:t>查</w:t>
      </w:r>
    </w:p>
    <w:p w14:paraId="2ABC7F0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谈判小组会所有评委根据“评标办法前附表”中规定的评审因素和评审标准，对竞标人的竞标文件进行资格审查。</w:t>
      </w:r>
    </w:p>
    <w:p w14:paraId="29C1BAEF">
      <w:pPr>
        <w:spacing w:line="420" w:lineRule="exact"/>
        <w:ind w:firstLine="420" w:firstLineChars="200"/>
        <w:rPr>
          <w:rFonts w:hint="eastAsia" w:ascii="宋体" w:hAnsi="宋体" w:eastAsia="宋体" w:cs="宋体"/>
          <w:color w:val="000000" w:themeColor="text1"/>
          <w:szCs w:val="21"/>
        </w:rPr>
      </w:pPr>
      <w:bookmarkStart w:id="277" w:name="_Toc389065216"/>
      <w:r>
        <w:rPr>
          <w:rFonts w:hint="eastAsia" w:ascii="宋体" w:hAnsi="宋体" w:eastAsia="宋体" w:cs="宋体"/>
          <w:color w:val="000000" w:themeColor="text1"/>
          <w:szCs w:val="21"/>
        </w:rPr>
        <w:t>A3.</w:t>
      </w:r>
      <w:bookmarkEnd w:id="277"/>
      <w:r>
        <w:rPr>
          <w:rFonts w:hint="eastAsia" w:ascii="宋体" w:hAnsi="宋体" w:eastAsia="宋体" w:cs="宋体"/>
          <w:color w:val="000000" w:themeColor="text1"/>
          <w:szCs w:val="21"/>
        </w:rPr>
        <w:t>2符合性鉴定</w:t>
      </w:r>
    </w:p>
    <w:p w14:paraId="75C8B97D">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A3.2.1 谈判小组会所有评委根据“评标办法前附表”中规定的评审因素和评审标准，对竞标人的竞标文件进行符合性鉴定。</w:t>
      </w:r>
    </w:p>
    <w:p w14:paraId="6290F5EF">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A3.2.2 竞标人竞标总价不得超出（含等于）采购人公布的采购控制价。凡竞标人的竞标总价超出（含等于）采购控制价的，该竞标人的竞标文件不能通过符合性鉴定。</w:t>
      </w:r>
    </w:p>
    <w:p w14:paraId="0DE5BC84">
      <w:pPr>
        <w:spacing w:line="420" w:lineRule="exact"/>
        <w:ind w:firstLine="420" w:firstLineChars="200"/>
        <w:rPr>
          <w:rFonts w:hint="eastAsia" w:ascii="宋体" w:hAnsi="宋体" w:eastAsia="宋体" w:cs="宋体"/>
          <w:color w:val="000000" w:themeColor="text1"/>
          <w:szCs w:val="21"/>
        </w:rPr>
      </w:pPr>
      <w:bookmarkStart w:id="278" w:name="_Toc389065217"/>
      <w:r>
        <w:rPr>
          <w:rFonts w:hint="eastAsia" w:ascii="宋体" w:hAnsi="宋体" w:eastAsia="宋体" w:cs="宋体"/>
          <w:color w:val="000000" w:themeColor="text1"/>
          <w:szCs w:val="21"/>
        </w:rPr>
        <w:t>A3.3 判断竞标是否为否决竞标</w:t>
      </w:r>
      <w:bookmarkEnd w:id="278"/>
    </w:p>
    <w:p w14:paraId="5EB6509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A3.3.1 判断竞标人的竞标是否为否决竞标的全部条件（包括本章第3.1.2项中规定的条件），在本章附件B中集中列示。</w:t>
      </w:r>
    </w:p>
    <w:p w14:paraId="3588178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A3.3.2 本章附件B集中列示的否决竞标条件不应与第二章“竞标人须知”和本章正文部分包括的否决竞标条件抵触，如果出现相互矛盾的情况，以第二章“竞标人须知”和本章正文部分的规定为准。</w:t>
      </w:r>
    </w:p>
    <w:p w14:paraId="600E11B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A3.3.3 谈判小组会在评标过程中，依据本章附件B中规定的否决竞标条件判断竞标人的竞标是否为否决竞标。</w:t>
      </w:r>
    </w:p>
    <w:p w14:paraId="314C9599">
      <w:pPr>
        <w:spacing w:line="420" w:lineRule="exact"/>
        <w:ind w:firstLine="420" w:firstLineChars="200"/>
        <w:rPr>
          <w:rFonts w:hint="eastAsia" w:ascii="宋体" w:hAnsi="宋体" w:eastAsia="宋体" w:cs="宋体"/>
          <w:color w:val="000000" w:themeColor="text1"/>
          <w:szCs w:val="21"/>
        </w:rPr>
      </w:pPr>
      <w:bookmarkStart w:id="279" w:name="_Toc368940638"/>
      <w:bookmarkStart w:id="280" w:name="_Toc368939871"/>
      <w:bookmarkStart w:id="281" w:name="_Toc368930207"/>
      <w:bookmarkStart w:id="282" w:name="_Toc373227527"/>
      <w:bookmarkStart w:id="283" w:name="_Toc368945498"/>
      <w:bookmarkStart w:id="284" w:name="_Toc373478175"/>
      <w:r>
        <w:rPr>
          <w:rFonts w:hint="eastAsia" w:ascii="宋体" w:hAnsi="宋体" w:eastAsia="宋体" w:cs="宋体"/>
          <w:color w:val="000000" w:themeColor="text1"/>
          <w:szCs w:val="21"/>
        </w:rPr>
        <w:t>A3.4 澄清、说明或补正</w:t>
      </w:r>
      <w:bookmarkEnd w:id="279"/>
      <w:bookmarkEnd w:id="280"/>
      <w:bookmarkEnd w:id="281"/>
      <w:bookmarkEnd w:id="282"/>
      <w:bookmarkEnd w:id="283"/>
      <w:bookmarkEnd w:id="284"/>
    </w:p>
    <w:p w14:paraId="7C14A31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在初步评审过程中，谈判小组会应当就竞标文件中不明确的内容要求竞标人进行澄清、说明或者补正。竞标人应当根据问题澄清通知要求，以书面形式予以澄清、说明或者补正。澄清、说明或补正根据本章第3.3款的规定进行。</w:t>
      </w:r>
    </w:p>
    <w:p w14:paraId="3B9947A2">
      <w:pPr>
        <w:pStyle w:val="3"/>
        <w:spacing w:before="0" w:after="0" w:line="420" w:lineRule="exact"/>
        <w:rPr>
          <w:rFonts w:hint="eastAsia" w:ascii="宋体" w:hAnsi="宋体" w:eastAsia="宋体" w:cs="宋体"/>
          <w:color w:val="000000" w:themeColor="text1"/>
          <w:sz w:val="21"/>
          <w:szCs w:val="21"/>
        </w:rPr>
      </w:pPr>
      <w:bookmarkStart w:id="285" w:name="_Toc32723"/>
      <w:bookmarkStart w:id="286" w:name="_Toc389065222"/>
      <w:bookmarkStart w:id="287" w:name="_Toc494118827"/>
      <w:bookmarkStart w:id="288" w:name="_Toc465114821"/>
      <w:r>
        <w:rPr>
          <w:rFonts w:hint="eastAsia" w:ascii="宋体" w:hAnsi="宋体" w:eastAsia="宋体" w:cs="宋体"/>
          <w:color w:val="000000" w:themeColor="text1"/>
          <w:sz w:val="21"/>
          <w:szCs w:val="21"/>
        </w:rPr>
        <w:t>A4 推荐成交人或者直接确定成交人</w:t>
      </w:r>
      <w:bookmarkEnd w:id="285"/>
      <w:bookmarkEnd w:id="286"/>
      <w:bookmarkEnd w:id="287"/>
      <w:bookmarkEnd w:id="288"/>
    </w:p>
    <w:p w14:paraId="51BCB34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A4.1 汇总评标结果</w:t>
      </w:r>
    </w:p>
    <w:p w14:paraId="24BD4F4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资格审查和符合性鉴定结束后，谈判小组会对评标结果进行汇总。</w:t>
      </w:r>
    </w:p>
    <w:p w14:paraId="06229CB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A4.2 推荐成交人</w:t>
      </w:r>
    </w:p>
    <w:p w14:paraId="456415D6">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A4.2.1 除第二章“竞标人须知前附表”授权直接确定成交人外，谈判小组会在推荐成交人时，应遵照以下原则：</w:t>
      </w:r>
    </w:p>
    <w:p w14:paraId="0EE9A283">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（1）谈判小组会按照最终报价由高到底的次序排列，根据第二章“竞标人须知前附表”第7.1款的规定及本章的规定推荐成交人。</w:t>
      </w:r>
    </w:p>
    <w:p w14:paraId="5749527F">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（2）如果谈判小组会根据本章的规定作否决竞标处理后，有效竞标不足三个，谈判小组会可以否决所有竞标。</w:t>
      </w:r>
    </w:p>
    <w:p w14:paraId="3A764D1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A4.2.2 竞标截止时间前递交竞标文件的竞标人数量少于三个或者所有竞标被否决的，采购人应当依法重新采购。</w:t>
      </w:r>
      <w:bookmarkStart w:id="289" w:name="_Toc389065223"/>
    </w:p>
    <w:p w14:paraId="19D233D6">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A4.3 直接确定成交人</w:t>
      </w:r>
      <w:bookmarkEnd w:id="289"/>
    </w:p>
    <w:p w14:paraId="2D698FE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第二章“竞标人须知前附表”授权谈判小组会直接确定成交人的，谈判小组会对有效的竞标按照竞评报价由高至低的次序排列，按照本章的规定直接确定成交人。</w:t>
      </w:r>
      <w:bookmarkStart w:id="290" w:name="_Toc389065224"/>
    </w:p>
    <w:p w14:paraId="3728DB3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A4.4 编制及提交评标报告</w:t>
      </w:r>
      <w:bookmarkEnd w:id="290"/>
    </w:p>
    <w:p w14:paraId="3AE802FD">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谈判小组会应向采购人提交评标报告。评标报告应当由全体谈判小组会成员签字。评标报告应当包括但不限于以下内容：</w:t>
      </w:r>
    </w:p>
    <w:p w14:paraId="5B82E33B">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（1）基本情况和数据表；</w:t>
      </w:r>
    </w:p>
    <w:p w14:paraId="0A9BAE6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（2）谈判小组会成员名单；</w:t>
      </w:r>
    </w:p>
    <w:p w14:paraId="08B8D12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（3）竞标记录；</w:t>
      </w:r>
    </w:p>
    <w:p w14:paraId="1A23C916">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（4）符合要求的竞标一览表；</w:t>
      </w:r>
    </w:p>
    <w:p w14:paraId="76FEB78C">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（5）否决竞标情况说明；</w:t>
      </w:r>
    </w:p>
    <w:p w14:paraId="645343E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（6）竞标标准、竞标方法或者竞标因素一览表；</w:t>
      </w:r>
    </w:p>
    <w:p w14:paraId="70B189C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（7）报价一览表（包括谈判小组会在评标过程中所形成的所有记载评标结果、结论的表格、说明、记录等文件）：</w:t>
      </w:r>
      <w:bookmarkStart w:id="291" w:name="_Toc389065225"/>
    </w:p>
    <w:p w14:paraId="5F31B2C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（8）经评审的竞标人排序；</w:t>
      </w:r>
      <w:bookmarkEnd w:id="291"/>
    </w:p>
    <w:p w14:paraId="2F3EC8A4">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（9）推荐的成交人名单（如果第二章“竞标人须知”前附表授权谈判小组会直接确定成交人，则为“确定的成交人”）与签订合同前要处理的事宜；</w:t>
      </w:r>
    </w:p>
    <w:p w14:paraId="0BC4573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（10）澄清、说明或补正事项纪要。</w:t>
      </w:r>
      <w:bookmarkStart w:id="292" w:name="_Toc389065226"/>
    </w:p>
    <w:p w14:paraId="19A84B65">
      <w:pPr>
        <w:pStyle w:val="3"/>
        <w:spacing w:before="0" w:after="0" w:line="420" w:lineRule="exact"/>
        <w:rPr>
          <w:rFonts w:hint="eastAsia" w:ascii="宋体" w:hAnsi="宋体" w:eastAsia="宋体" w:cs="宋体"/>
          <w:color w:val="000000" w:themeColor="text1"/>
          <w:sz w:val="21"/>
          <w:szCs w:val="21"/>
        </w:rPr>
      </w:pPr>
      <w:bookmarkStart w:id="293" w:name="_Toc23202"/>
      <w:bookmarkStart w:id="294" w:name="_Toc494118828"/>
      <w:bookmarkStart w:id="295" w:name="_Toc465114822"/>
      <w:r>
        <w:rPr>
          <w:rFonts w:hint="eastAsia" w:ascii="宋体" w:hAnsi="宋体" w:eastAsia="宋体" w:cs="宋体"/>
          <w:color w:val="000000" w:themeColor="text1"/>
          <w:sz w:val="21"/>
          <w:szCs w:val="21"/>
        </w:rPr>
        <w:t>A5 特殊情况的处置程序</w:t>
      </w:r>
      <w:bookmarkEnd w:id="292"/>
      <w:bookmarkEnd w:id="293"/>
      <w:bookmarkEnd w:id="294"/>
      <w:bookmarkEnd w:id="295"/>
    </w:p>
    <w:p w14:paraId="6F138FC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A5.1 关于评标活动暂停</w:t>
      </w:r>
    </w:p>
    <w:p w14:paraId="00F179D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A5.1.1 谈判小组会应当执行连续评标的原则，按竞标办法中规定的程序、内容、方法、标准完成全部竞标工作。只有发生不可抗力导致竞标工作无法继续时，竞标活动方可暂停。</w:t>
      </w:r>
    </w:p>
    <w:p w14:paraId="178CC280">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A5.1.2 发生竞标暂停情况时，谈判小组会应当封存全部竞标文件和竞标记录，待不可抗力的影响结束且具备继续竞标的条件时，由原谈判小组会继续评标。</w:t>
      </w:r>
      <w:bookmarkStart w:id="296" w:name="_Toc389065227"/>
    </w:p>
    <w:p w14:paraId="17352D5F">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A5.2 关于评标中途更换谈判小组会成员</w:t>
      </w:r>
      <w:bookmarkEnd w:id="296"/>
    </w:p>
    <w:p w14:paraId="2E758A4E">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A5.2.1 除非发生下列情况之一，谈判小组会成员不得在评标中途更换：</w:t>
      </w:r>
    </w:p>
    <w:p w14:paraId="6BC8CBE5">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（1）因不可抗拒的客观原因，不能到场或需在评标中途退出评标活动。</w:t>
      </w:r>
    </w:p>
    <w:p w14:paraId="19BBB407">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（2）根据法律法规规定，某个或某几个谈判小组会成员需要回避。</w:t>
      </w:r>
    </w:p>
    <w:p w14:paraId="6A6ECA11">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A5.2.2 退出评标的谈判小组会成员，其已完成的评标行为无效。由采购人根据本竞争性谈判文件规定的谈判小组会成员产生方式另行确定替代者进行评标。</w:t>
      </w:r>
      <w:bookmarkStart w:id="297" w:name="_Toc389065228"/>
    </w:p>
    <w:p w14:paraId="444CB2C2">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A5.3 记名投票</w:t>
      </w:r>
      <w:bookmarkEnd w:id="297"/>
    </w:p>
    <w:p w14:paraId="2BF7BE5A">
      <w:pPr>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在任何评标环节中，需谈判小组会就某项定性的评审结论做出表决的，由谈判小组会全体成员按照少数服从多数的原则，以记名投票方式表决。</w:t>
      </w:r>
      <w:bookmarkStart w:id="298" w:name="_Toc389065229"/>
    </w:p>
    <w:p w14:paraId="5622C2E0">
      <w:pPr>
        <w:pStyle w:val="3"/>
        <w:spacing w:before="0" w:after="0" w:line="420" w:lineRule="exact"/>
        <w:rPr>
          <w:rFonts w:hint="eastAsia" w:ascii="宋体" w:hAnsi="宋体" w:eastAsia="宋体" w:cs="宋体"/>
          <w:color w:val="000000" w:themeColor="text1"/>
          <w:sz w:val="21"/>
          <w:szCs w:val="21"/>
        </w:rPr>
      </w:pPr>
      <w:bookmarkStart w:id="299" w:name="_Toc494118829"/>
      <w:bookmarkStart w:id="300" w:name="_Toc3345"/>
      <w:bookmarkStart w:id="301" w:name="_Toc465114823"/>
      <w:r>
        <w:rPr>
          <w:rFonts w:hint="eastAsia" w:ascii="宋体" w:hAnsi="宋体" w:eastAsia="宋体" w:cs="宋体"/>
          <w:color w:val="000000" w:themeColor="text1"/>
          <w:sz w:val="21"/>
          <w:szCs w:val="21"/>
        </w:rPr>
        <w:t>A6 补充条款</w:t>
      </w:r>
      <w:bookmarkEnd w:id="298"/>
      <w:bookmarkEnd w:id="299"/>
      <w:bookmarkEnd w:id="300"/>
      <w:bookmarkEnd w:id="301"/>
    </w:p>
    <w:p w14:paraId="4E9D22EF">
      <w:pPr>
        <w:spacing w:line="420" w:lineRule="exact"/>
        <w:ind w:firstLine="420" w:firstLineChars="200"/>
        <w:rPr>
          <w:rFonts w:hint="eastAsia" w:ascii="宋体" w:hAnsi="宋体" w:eastAsia="宋体" w:cs="宋体"/>
          <w:color w:val="000000" w:themeColor="text1"/>
        </w:rPr>
        <w:sectPr>
          <w:headerReference r:id="rId3" w:type="default"/>
          <w:footerReference r:id="rId4" w:type="default"/>
          <w:pgSz w:w="11906" w:h="16838"/>
          <w:pgMar w:top="1440" w:right="1080" w:bottom="1440" w:left="1080" w:header="851" w:footer="850" w:gutter="0"/>
          <w:pgNumType w:start="2"/>
          <w:cols w:space="720" w:num="1"/>
          <w:docGrid w:linePitch="312" w:charSpace="0"/>
        </w:sectPr>
      </w:pPr>
      <w:r>
        <w:rPr>
          <w:rFonts w:hint="eastAsia" w:ascii="宋体" w:hAnsi="宋体" w:eastAsia="宋体" w:cs="宋体"/>
          <w:color w:val="000000" w:themeColor="text1"/>
        </w:rPr>
        <w:t>……</w:t>
      </w:r>
    </w:p>
    <w:p w14:paraId="11E09D70">
      <w:pPr>
        <w:pStyle w:val="2"/>
        <w:spacing w:before="0" w:after="0" w:line="460" w:lineRule="exact"/>
        <w:jc w:val="center"/>
        <w:rPr>
          <w:rFonts w:hint="eastAsia" w:ascii="宋体" w:hAnsi="宋体" w:eastAsia="宋体" w:cs="宋体"/>
          <w:color w:val="000000" w:themeColor="text1"/>
          <w:sz w:val="32"/>
          <w:szCs w:val="32"/>
        </w:rPr>
      </w:pPr>
      <w:bookmarkStart w:id="302" w:name="_Toc494118830"/>
      <w:bookmarkStart w:id="303" w:name="_Toc21677"/>
      <w:bookmarkStart w:id="304" w:name="_Toc30195"/>
      <w:bookmarkStart w:id="305" w:name="_Toc26206"/>
      <w:bookmarkStart w:id="306" w:name="_Toc27970"/>
      <w:r>
        <w:rPr>
          <w:rFonts w:hint="eastAsia" w:ascii="宋体" w:hAnsi="宋体" w:eastAsia="宋体" w:cs="宋体"/>
          <w:color w:val="000000" w:themeColor="text1"/>
          <w:sz w:val="32"/>
          <w:szCs w:val="32"/>
        </w:rPr>
        <w:t>附件B</w:t>
      </w:r>
      <w:bookmarkEnd w:id="261"/>
      <w:r>
        <w:rPr>
          <w:rFonts w:hint="eastAsia" w:ascii="宋体" w:hAnsi="宋体" w:eastAsia="宋体" w:cs="宋体"/>
          <w:color w:val="000000" w:themeColor="text1"/>
          <w:sz w:val="32"/>
          <w:szCs w:val="32"/>
        </w:rPr>
        <w:t xml:space="preserve">  否决竞标条件</w:t>
      </w:r>
      <w:bookmarkEnd w:id="262"/>
      <w:bookmarkEnd w:id="302"/>
      <w:bookmarkEnd w:id="303"/>
      <w:bookmarkEnd w:id="304"/>
      <w:bookmarkEnd w:id="305"/>
      <w:bookmarkEnd w:id="306"/>
    </w:p>
    <w:p w14:paraId="7818A4B6">
      <w:pPr>
        <w:pStyle w:val="3"/>
        <w:spacing w:before="0" w:after="0" w:line="460" w:lineRule="exact"/>
        <w:rPr>
          <w:rFonts w:hint="eastAsia" w:ascii="宋体" w:hAnsi="宋体" w:eastAsia="宋体" w:cs="宋体"/>
          <w:color w:val="000000" w:themeColor="text1"/>
          <w:sz w:val="21"/>
          <w:szCs w:val="21"/>
        </w:rPr>
      </w:pPr>
      <w:bookmarkStart w:id="307" w:name="_Toc7449"/>
      <w:bookmarkStart w:id="308" w:name="_Toc494118831"/>
      <w:bookmarkStart w:id="309" w:name="_Toc465114825"/>
      <w:bookmarkStart w:id="310" w:name="_Toc389065231"/>
      <w:r>
        <w:rPr>
          <w:rFonts w:hint="eastAsia" w:ascii="宋体" w:hAnsi="宋体" w:eastAsia="宋体" w:cs="宋体"/>
          <w:color w:val="000000" w:themeColor="text1"/>
          <w:sz w:val="21"/>
          <w:szCs w:val="21"/>
        </w:rPr>
        <w:t>B0 总  则</w:t>
      </w:r>
      <w:bookmarkEnd w:id="307"/>
      <w:bookmarkEnd w:id="308"/>
      <w:bookmarkEnd w:id="309"/>
    </w:p>
    <w:p w14:paraId="0788F8FE">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本附件所集中列示的否决竞标条件，是本章“评标办法”的组成部分，是对第二章“竞标人须知”和本章正文部分所规定的否决竞标条件的总结和补充，如果出现相互矛盾的情况，以第二章“竞标人须知”和本章正文部分的规定为准。</w:t>
      </w:r>
    </w:p>
    <w:p w14:paraId="6F257E98">
      <w:pPr>
        <w:pStyle w:val="3"/>
        <w:spacing w:before="0" w:after="0" w:line="460" w:lineRule="exact"/>
        <w:rPr>
          <w:rFonts w:hint="eastAsia" w:ascii="宋体" w:hAnsi="宋体" w:eastAsia="宋体" w:cs="宋体"/>
          <w:color w:val="000000" w:themeColor="text1"/>
          <w:sz w:val="21"/>
          <w:szCs w:val="21"/>
        </w:rPr>
      </w:pPr>
      <w:bookmarkStart w:id="311" w:name="_Toc13236"/>
      <w:bookmarkStart w:id="312" w:name="_Toc465114826"/>
      <w:bookmarkStart w:id="313" w:name="_Toc494118832"/>
      <w:r>
        <w:rPr>
          <w:rFonts w:hint="eastAsia" w:ascii="宋体" w:hAnsi="宋体" w:eastAsia="宋体" w:cs="宋体"/>
          <w:color w:val="000000" w:themeColor="text1"/>
          <w:sz w:val="21"/>
          <w:szCs w:val="21"/>
        </w:rPr>
        <w:t>B1 否决竞标条件</w:t>
      </w:r>
      <w:bookmarkEnd w:id="311"/>
      <w:bookmarkEnd w:id="312"/>
      <w:bookmarkEnd w:id="313"/>
    </w:p>
    <w:p w14:paraId="43629B51">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竞标人或其竞标文件有下列情形之一的，其竞标作否决竞标处理：</w:t>
      </w:r>
    </w:p>
    <w:p w14:paraId="2A59EC67">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 有第二章“竞标人须知”第1.4.3项规定的任何一种情形的；</w:t>
      </w:r>
    </w:p>
    <w:p w14:paraId="3DD6D20E">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B1.2 有串通竞标或弄虚作假或有其他违法行为的；</w:t>
      </w:r>
    </w:p>
    <w:p w14:paraId="52506583">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B1.3 不按谈判小组会要求澄清、说明或补正的；</w:t>
      </w:r>
    </w:p>
    <w:p w14:paraId="57897B93">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B1.4 在资格评审、符合性评审中，谈判小组会认定竞标人的竞标文件不符合“评标办法前附表”中规定的任何一项评审标准的； </w:t>
      </w:r>
    </w:p>
    <w:p w14:paraId="6766F76E">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B1.5 在技术标评审中，谈判小组会认定竞标人的竞标未能通过此项评审的；</w:t>
      </w:r>
    </w:p>
    <w:p w14:paraId="020DE766">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B1.6 不按第二章竞标须知前附表第3.1.1条内容提供资料的；</w:t>
      </w:r>
    </w:p>
    <w:p w14:paraId="439C62E4">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B1.7 由委托代理人签字或盖章，但未随竞标文件一起提交有效的“授权委托书”原件的；</w:t>
      </w:r>
    </w:p>
    <w:p w14:paraId="5A9300C5">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B1.8 竞标文件的关键内容字迹模糊、辨认不清的；</w:t>
      </w:r>
    </w:p>
    <w:p w14:paraId="692AECA5">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B1.9 竞标人不接受谈判小组会按第三章“评标办法”第3.1.3条的原则对竞标报价进行修正的；</w:t>
      </w:r>
    </w:p>
    <w:p w14:paraId="6D536B24">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B1.10 竞标人不具备独立法人资格或作为独立法人资格但就本工程提交一个以上的竞标文件的；</w:t>
      </w:r>
    </w:p>
    <w:p w14:paraId="5D7B158A">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B1.11 竞标人没有提供建设工程项目管理承诺书的；</w:t>
      </w:r>
    </w:p>
    <w:p w14:paraId="30D23C35">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B1.12 竞标人采用总价优惠或以总价百分比优惠的方式进行竞标报价的；</w:t>
      </w:r>
    </w:p>
    <w:p w14:paraId="61E8C2D4">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B1.13 安全文明施工费和规费、增值税不按我区费用定额及造价管理相关文件规定报价的；</w:t>
      </w:r>
    </w:p>
    <w:p w14:paraId="11875492">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B1.14 竞标人已标价工程量清单的项目编码（12位）、计量单位、工程量任何一处与采购工程量清单不一致的；</w:t>
      </w:r>
    </w:p>
    <w:p w14:paraId="1FC14582">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B1.15 竞标人已标价工程量清单的项目名称或项目特征与采购工程量清单不一致，谈判小组会要求澄清、说明或补正，但竞标人拒绝澄清、说明或补正的；</w:t>
      </w:r>
    </w:p>
    <w:p w14:paraId="13D5D2FA">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B1.16 竞标函中的总报价与已标价的工程量清单汇总表不一致的；不按招标文件第五章第3 点竞标报价（已标价工程量清单）编制说明编制的。</w:t>
      </w:r>
    </w:p>
    <w:p w14:paraId="7B82E935">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B1.17 设有暂估价、暂列金额的，竞标时未按采购人工程量清单给出的暂估价总价、暂列金额总价计入竞标总报价中的；</w:t>
      </w:r>
    </w:p>
    <w:p w14:paraId="5513057E">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B1.18 竞标文件实质上没有响应竞争性谈判文件的要求的；</w:t>
      </w:r>
    </w:p>
    <w:bookmarkEnd w:id="310"/>
    <w:p w14:paraId="735FBF03">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B1.19 竞标报价文件的编制不符合第五章规定的；</w:t>
      </w:r>
    </w:p>
    <w:p w14:paraId="62B10FA5">
      <w:pPr>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B1.20 法规规定的其他否决竞标条款。</w:t>
      </w:r>
    </w:p>
    <w:p w14:paraId="6128A305">
      <w:pPr>
        <w:pStyle w:val="153"/>
        <w:spacing w:line="46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备注：</w:t>
      </w:r>
    </w:p>
    <w:p w14:paraId="1C2759B6">
      <w:pPr>
        <w:pStyle w:val="153"/>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如果工程所在地相关主管部门要求谈判小组会对判定为否决竞标的竞标文件说明否决竞标情况的，应增加“否决竞标情况说明表”格式，否决竞标情况说明应当对照竞争性谈判文件规定的否决竞标条件以及竞标文件存在的具体问题，并在成交人公示时予以公开。</w:t>
      </w:r>
    </w:p>
    <w:p w14:paraId="39536646">
      <w:pPr>
        <w:pStyle w:val="153"/>
        <w:spacing w:line="46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采购人可根据采购项目实际情况对上述否决竞标情况进行调整，但不应与第二章“竞标人须知”和本章正文部分包括的否决竞标条件抵触，如果出现相互矛盾的情况，以第二章“竞标人须知”和本章正文部分的规定为准。</w:t>
      </w:r>
    </w:p>
    <w:p w14:paraId="4405AF54">
      <w:pPr>
        <w:spacing w:line="440" w:lineRule="exact"/>
        <w:ind w:firstLine="420" w:firstLineChars="200"/>
        <w:rPr>
          <w:rFonts w:hint="eastAsia" w:ascii="宋体" w:hAnsi="宋体" w:eastAsia="宋体" w:cs="宋体"/>
          <w:color w:val="000000" w:themeColor="text1"/>
        </w:rPr>
      </w:pPr>
    </w:p>
    <w:p w14:paraId="0009C4DC">
      <w:pPr>
        <w:spacing w:line="440" w:lineRule="exact"/>
        <w:rPr>
          <w:rFonts w:hint="eastAsia" w:ascii="宋体" w:hAnsi="宋体" w:eastAsia="宋体" w:cs="宋体"/>
          <w:color w:val="000000" w:themeColor="text1"/>
        </w:rPr>
        <w:sectPr>
          <w:pgSz w:w="11906" w:h="16838"/>
          <w:pgMar w:top="1440" w:right="1080" w:bottom="1440" w:left="1080" w:header="851" w:footer="850" w:gutter="0"/>
          <w:cols w:space="720" w:num="1"/>
          <w:docGrid w:linePitch="312" w:charSpace="0"/>
        </w:sectPr>
      </w:pPr>
    </w:p>
    <w:p w14:paraId="17C5A078">
      <w:pPr>
        <w:pStyle w:val="2"/>
        <w:widowControl/>
        <w:spacing w:before="120" w:after="120" w:line="400" w:lineRule="exact"/>
        <w:jc w:val="center"/>
        <w:rPr>
          <w:rFonts w:hint="eastAsia" w:ascii="宋体" w:hAnsi="宋体" w:eastAsia="宋体" w:cs="宋体"/>
          <w:bCs w:val="0"/>
          <w:color w:val="000000" w:themeColor="text1"/>
          <w:sz w:val="36"/>
          <w:szCs w:val="36"/>
        </w:rPr>
      </w:pPr>
      <w:bookmarkStart w:id="314" w:name="_Toc16781"/>
      <w:bookmarkStart w:id="315" w:name="_Toc28749"/>
      <w:bookmarkStart w:id="316" w:name="_Toc16845"/>
      <w:bookmarkStart w:id="317" w:name="_Toc18936"/>
      <w:bookmarkStart w:id="318" w:name="_Toc11774"/>
      <w:bookmarkStart w:id="319" w:name="_Toc12600"/>
      <w:bookmarkStart w:id="320" w:name="_Toc30809"/>
      <w:bookmarkStart w:id="321" w:name="_Toc26330"/>
      <w:bookmarkStart w:id="322" w:name="_Toc19012"/>
      <w:bookmarkStart w:id="323" w:name="_Toc494118857"/>
      <w:bookmarkStart w:id="324" w:name="_Toc358569765"/>
      <w:bookmarkStart w:id="325" w:name="_Toc494118862"/>
      <w:bookmarkStart w:id="326" w:name="_Toc389065346"/>
      <w:bookmarkStart w:id="327" w:name="_Toc6472"/>
      <w:r>
        <w:rPr>
          <w:rFonts w:hint="eastAsia" w:ascii="宋体" w:hAnsi="宋体" w:eastAsia="宋体" w:cs="宋体"/>
          <w:bCs w:val="0"/>
          <w:color w:val="000000" w:themeColor="text1"/>
          <w:sz w:val="36"/>
          <w:szCs w:val="36"/>
        </w:rPr>
        <w:t>第四部分  合同条款及格式</w:t>
      </w:r>
      <w:bookmarkEnd w:id="314"/>
      <w:bookmarkEnd w:id="315"/>
      <w:bookmarkEnd w:id="316"/>
      <w:bookmarkEnd w:id="317"/>
      <w:bookmarkEnd w:id="318"/>
      <w:bookmarkEnd w:id="319"/>
      <w:bookmarkEnd w:id="320"/>
      <w:bookmarkEnd w:id="321"/>
    </w:p>
    <w:p w14:paraId="43BEB389">
      <w:pPr>
        <w:pStyle w:val="181"/>
        <w:jc w:val="center"/>
        <w:rPr>
          <w:rFonts w:hint="eastAsia" w:ascii="宋体" w:hAnsi="宋体" w:eastAsia="宋体" w:cs="宋体"/>
          <w:b w:val="0"/>
          <w:color w:val="000000" w:themeColor="text1"/>
        </w:rPr>
      </w:pPr>
      <w:bookmarkStart w:id="328" w:name="_Toc5139"/>
      <w:bookmarkStart w:id="329" w:name="_Toc12739"/>
      <w:bookmarkStart w:id="330" w:name="_Toc9621"/>
      <w:bookmarkStart w:id="331" w:name="_Toc20329"/>
      <w:bookmarkStart w:id="332" w:name="_Toc296890982"/>
      <w:bookmarkStart w:id="333" w:name="_Toc27257"/>
      <w:bookmarkStart w:id="334" w:name="_Toc18574464"/>
      <w:bookmarkStart w:id="335" w:name="_Toc11186"/>
      <w:bookmarkStart w:id="336" w:name="_Toc22608"/>
      <w:bookmarkStart w:id="337" w:name="_Toc351203480"/>
      <w:bookmarkStart w:id="338" w:name="_Toc296503025"/>
      <w:r>
        <w:rPr>
          <w:rFonts w:hint="eastAsia" w:ascii="宋体" w:hAnsi="宋体" w:eastAsia="宋体" w:cs="宋体"/>
          <w:color w:val="000000" w:themeColor="text1"/>
        </w:rPr>
        <w:t>第一部分 合同协议书</w:t>
      </w:r>
      <w:bookmarkEnd w:id="328"/>
      <w:bookmarkEnd w:id="329"/>
      <w:bookmarkEnd w:id="330"/>
      <w:bookmarkEnd w:id="331"/>
      <w:bookmarkEnd w:id="332"/>
      <w:bookmarkEnd w:id="333"/>
      <w:bookmarkEnd w:id="334"/>
      <w:bookmarkEnd w:id="335"/>
      <w:bookmarkEnd w:id="336"/>
      <w:bookmarkEnd w:id="337"/>
      <w:bookmarkEnd w:id="338"/>
    </w:p>
    <w:p w14:paraId="63F00D99">
      <w:pPr>
        <w:pStyle w:val="180"/>
        <w:spacing w:line="420" w:lineRule="exact"/>
        <w:rPr>
          <w:rFonts w:hint="eastAsia" w:ascii="宋体" w:hAnsi="宋体" w:eastAsia="宋体" w:cs="宋体"/>
          <w:b/>
          <w:color w:val="000000" w:themeColor="text1"/>
          <w:szCs w:val="21"/>
          <w:u w:val="single"/>
        </w:rPr>
      </w:pPr>
      <w:r>
        <w:rPr>
          <w:rFonts w:hint="eastAsia" w:ascii="宋体" w:hAnsi="宋体" w:eastAsia="宋体" w:cs="宋体"/>
          <w:b/>
          <w:color w:val="000000" w:themeColor="text1"/>
          <w:szCs w:val="21"/>
        </w:rPr>
        <w:t>发包人（全称）：</w:t>
      </w:r>
      <w:r>
        <w:rPr>
          <w:rFonts w:hint="eastAsia" w:ascii="宋体" w:hAnsi="宋体" w:eastAsia="宋体" w:cs="宋体"/>
          <w:b/>
          <w:color w:val="000000" w:themeColor="text1"/>
          <w:szCs w:val="21"/>
          <w:u w:val="single"/>
        </w:rPr>
        <w:t>河池市卫生学校    </w:t>
      </w:r>
    </w:p>
    <w:p w14:paraId="44F8090B">
      <w:pPr>
        <w:pStyle w:val="180"/>
        <w:spacing w:line="420" w:lineRule="exact"/>
        <w:rPr>
          <w:rFonts w:hint="eastAsia" w:ascii="宋体" w:hAnsi="宋体" w:eastAsia="宋体" w:cs="宋体"/>
          <w:b/>
          <w:color w:val="000000" w:themeColor="text1"/>
          <w:szCs w:val="21"/>
          <w:u w:val="single"/>
        </w:rPr>
      </w:pPr>
      <w:r>
        <w:rPr>
          <w:rFonts w:hint="eastAsia" w:ascii="宋体" w:hAnsi="宋体" w:eastAsia="宋体" w:cs="宋体"/>
          <w:b/>
          <w:color w:val="000000" w:themeColor="text1"/>
          <w:szCs w:val="21"/>
        </w:rPr>
        <w:t>承包人（全称）：</w:t>
      </w:r>
      <w:r>
        <w:rPr>
          <w:rFonts w:hint="eastAsia" w:ascii="宋体" w:hAnsi="宋体" w:eastAsia="宋体" w:cs="宋体"/>
          <w:b/>
          <w:color w:val="000000" w:themeColor="text1"/>
          <w:szCs w:val="21"/>
          <w:u w:val="single"/>
        </w:rPr>
        <w:t>                      </w:t>
      </w:r>
    </w:p>
    <w:p w14:paraId="1F711125">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根据《中华人民共和国民法典》、《中华人民共和国建筑法》及有关法律规定，遵循平等、自愿、公平和诚实信用的原则，双方就</w:t>
      </w:r>
      <w:r>
        <w:rPr>
          <w:rFonts w:hint="eastAsia" w:ascii="宋体" w:hAnsi="宋体" w:eastAsia="宋体" w:cs="宋体"/>
          <w:color w:val="000000" w:themeColor="text1"/>
          <w:szCs w:val="21"/>
          <w:u w:val="single"/>
        </w:rPr>
        <w:t xml:space="preserve">  </w:t>
      </w:r>
      <w:r>
        <w:rPr>
          <w:rFonts w:hint="eastAsia" w:ascii="宋体" w:hAnsi="宋体" w:cs="宋体"/>
          <w:color w:val="000000" w:themeColor="text1"/>
          <w:szCs w:val="21"/>
          <w:u w:val="single"/>
          <w:lang w:eastAsia="zh-CN"/>
        </w:rPr>
        <w:t>河池市卫生学校实训大楼三期装修工程项目</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工程施工及有关事项协商一致，共同达成如下协议：</w:t>
      </w:r>
    </w:p>
    <w:p w14:paraId="31544F4C">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bookmarkStart w:id="339" w:name="_Toc17863"/>
      <w:bookmarkStart w:id="340" w:name="_Toc4331"/>
      <w:bookmarkStart w:id="341" w:name="_Toc6538"/>
      <w:bookmarkStart w:id="342" w:name="_Toc18753"/>
      <w:bookmarkStart w:id="343" w:name="_Toc11776"/>
      <w:bookmarkStart w:id="344" w:name="_Toc351203481"/>
      <w:bookmarkStart w:id="345" w:name="_Toc15293"/>
      <w:bookmarkStart w:id="346" w:name="_Toc28257"/>
      <w:r>
        <w:rPr>
          <w:rFonts w:hint="eastAsia" w:ascii="宋体" w:hAnsi="宋体" w:eastAsia="宋体" w:cs="宋体"/>
          <w:bCs w:val="0"/>
          <w:color w:val="000000" w:themeColor="text1"/>
          <w:sz w:val="21"/>
          <w:szCs w:val="21"/>
        </w:rPr>
        <w:t>一、工程概况</w:t>
      </w:r>
      <w:bookmarkEnd w:id="339"/>
      <w:bookmarkEnd w:id="340"/>
      <w:bookmarkEnd w:id="341"/>
      <w:bookmarkEnd w:id="342"/>
      <w:bookmarkEnd w:id="343"/>
      <w:bookmarkEnd w:id="344"/>
      <w:bookmarkEnd w:id="345"/>
      <w:bookmarkEnd w:id="346"/>
    </w:p>
    <w:p w14:paraId="0FE30D6A">
      <w:pPr>
        <w:spacing w:line="420" w:lineRule="exact"/>
        <w:ind w:firstLine="420" w:firstLineChars="200"/>
        <w:rPr>
          <w:rFonts w:hint="eastAsia" w:ascii="宋体" w:hAnsi="宋体" w:eastAsia="宋体" w:cs="宋体"/>
          <w:color w:val="000000" w:themeColor="text1"/>
          <w:szCs w:val="21"/>
          <w:u w:val="single"/>
        </w:rPr>
      </w:pPr>
      <w:r>
        <w:rPr>
          <w:rFonts w:hint="eastAsia" w:ascii="宋体" w:hAnsi="宋体" w:eastAsia="宋体" w:cs="宋体"/>
          <w:bCs/>
          <w:color w:val="000000" w:themeColor="text1"/>
          <w:szCs w:val="21"/>
        </w:rPr>
        <w:t>1.工程名称</w:t>
      </w:r>
      <w:r>
        <w:rPr>
          <w:rFonts w:hint="eastAsia" w:ascii="宋体" w:hAnsi="宋体" w:eastAsia="宋体" w:cs="宋体"/>
          <w:color w:val="000000" w:themeColor="text1"/>
          <w:szCs w:val="21"/>
        </w:rPr>
        <w:t>：</w:t>
      </w:r>
      <w:r>
        <w:rPr>
          <w:rFonts w:hint="eastAsia" w:ascii="宋体" w:hAnsi="宋体" w:cs="宋体"/>
          <w:color w:val="000000" w:themeColor="text1"/>
          <w:szCs w:val="21"/>
          <w:u w:val="single"/>
          <w:lang w:eastAsia="zh-CN"/>
        </w:rPr>
        <w:t>河池市卫生学校实训大楼三期装修工程项目</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049139EC">
      <w:pPr>
        <w:pStyle w:val="180"/>
        <w:spacing w:line="420" w:lineRule="exact"/>
        <w:ind w:firstLine="411" w:firstLineChars="196"/>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2.工程地点：</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pacing w:val="-2"/>
          <w:szCs w:val="21"/>
          <w:u w:val="single"/>
        </w:rPr>
        <w:t>河池市卫生学校</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47CF730A">
      <w:pPr>
        <w:pStyle w:val="180"/>
        <w:spacing w:line="420" w:lineRule="exact"/>
        <w:ind w:firstLine="411" w:firstLineChars="196"/>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3.工程立项批准文号：</w:t>
      </w:r>
      <w:r>
        <w:rPr>
          <w:rFonts w:hint="eastAsia" w:ascii="宋体" w:hAnsi="宋体" w:eastAsia="宋体" w:cs="宋体"/>
          <w:color w:val="000000" w:themeColor="text1"/>
          <w:szCs w:val="21"/>
          <w:u w:val="single"/>
        </w:rPr>
        <w:t xml:space="preserve">                 </w:t>
      </w:r>
      <w:r>
        <w:rPr>
          <w:rFonts w:hint="eastAsia" w:ascii="宋体" w:hAnsi="宋体" w:eastAsia="宋体" w:cs="宋体"/>
          <w:bCs/>
          <w:color w:val="000000" w:themeColor="text1"/>
          <w:szCs w:val="21"/>
        </w:rPr>
        <w:t>。</w:t>
      </w:r>
    </w:p>
    <w:p w14:paraId="25779AE1">
      <w:pPr>
        <w:pStyle w:val="180"/>
        <w:spacing w:line="420" w:lineRule="exact"/>
        <w:ind w:firstLine="411" w:firstLineChars="196"/>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4.资金来源：</w:t>
      </w:r>
      <w:r>
        <w:rPr>
          <w:rFonts w:hint="eastAsia" w:ascii="宋体" w:hAnsi="宋体" w:eastAsia="宋体" w:cs="宋体"/>
          <w:color w:val="000000" w:themeColor="text1"/>
          <w:szCs w:val="21"/>
          <w:u w:val="single"/>
        </w:rPr>
        <w:t></w:t>
      </w:r>
      <w:r>
        <w:rPr>
          <w:rFonts w:hint="eastAsia" w:ascii="宋体" w:hAnsi="宋体" w:cs="宋体"/>
          <w:color w:val="000000" w:themeColor="text1"/>
          <w:szCs w:val="21"/>
          <w:u w:val="single"/>
        </w:rPr>
        <w:t>政府专项资金</w:t>
      </w:r>
      <w:r>
        <w:rPr>
          <w:rFonts w:hint="eastAsia" w:ascii="宋体" w:hAnsi="宋体" w:eastAsia="宋体" w:cs="宋体"/>
          <w:color w:val="000000" w:themeColor="text1"/>
          <w:szCs w:val="21"/>
          <w:u w:val="single"/>
        </w:rPr>
        <w:t xml:space="preserve">   </w:t>
      </w:r>
      <w:r>
        <w:rPr>
          <w:rFonts w:hint="eastAsia" w:ascii="宋体" w:hAnsi="宋体" w:eastAsia="宋体" w:cs="宋体"/>
          <w:bCs/>
          <w:color w:val="000000" w:themeColor="text1"/>
          <w:szCs w:val="21"/>
        </w:rPr>
        <w:t>。</w:t>
      </w:r>
    </w:p>
    <w:p w14:paraId="166CF160">
      <w:pPr>
        <w:pStyle w:val="180"/>
        <w:spacing w:line="420" w:lineRule="exact"/>
        <w:ind w:firstLine="411" w:firstLineChars="196"/>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5.工程内容：</w:t>
      </w:r>
      <w:r>
        <w:rPr>
          <w:rFonts w:hint="eastAsia" w:ascii="宋体" w:hAnsi="宋体" w:eastAsia="宋体" w:cs="宋体"/>
          <w:color w:val="000000" w:themeColor="text1"/>
          <w:szCs w:val="21"/>
          <w:u w:val="single"/>
        </w:rPr>
        <w:t></w:t>
      </w:r>
      <w:r>
        <w:rPr>
          <w:rFonts w:hint="eastAsia" w:ascii="宋体" w:hAnsi="宋体" w:cs="宋体"/>
          <w:color w:val="000000" w:themeColor="text1"/>
          <w:szCs w:val="21"/>
          <w:u w:val="single"/>
          <w:lang w:eastAsia="zh-CN"/>
        </w:rPr>
        <w:t>河池市卫生学校实训大楼三期装修工程项目</w:t>
      </w:r>
      <w:r>
        <w:rPr>
          <w:rFonts w:hint="eastAsia" w:ascii="宋体" w:hAnsi="宋体" w:eastAsia="宋体" w:cs="宋体"/>
          <w:color w:val="000000" w:themeColor="text1"/>
          <w:szCs w:val="21"/>
          <w:u w:val="single"/>
        </w:rPr>
        <w:t xml:space="preserve"> ，详见经评审的招标控制价及工程量清单，施工图包含全部内容 </w:t>
      </w:r>
      <w:r>
        <w:rPr>
          <w:rFonts w:hint="eastAsia" w:ascii="宋体" w:hAnsi="宋体" w:eastAsia="宋体" w:cs="宋体"/>
          <w:bCs/>
          <w:color w:val="000000" w:themeColor="text1"/>
          <w:szCs w:val="21"/>
        </w:rPr>
        <w:t>。</w:t>
      </w:r>
    </w:p>
    <w:p w14:paraId="28BF5FA6">
      <w:pPr>
        <w:pStyle w:val="180"/>
        <w:spacing w:line="420" w:lineRule="exact"/>
        <w:ind w:firstLine="411" w:firstLineChars="196"/>
        <w:rPr>
          <w:rFonts w:hint="eastAsia" w:ascii="宋体" w:hAnsi="宋体" w:eastAsia="宋体" w:cs="宋体"/>
          <w:bCs/>
          <w:color w:val="000000" w:themeColor="text1"/>
          <w:szCs w:val="21"/>
        </w:rPr>
      </w:pPr>
      <w:r>
        <w:rPr>
          <w:rFonts w:hint="eastAsia" w:ascii="宋体" w:hAnsi="宋体" w:eastAsia="宋体" w:cs="宋体"/>
          <w:color w:val="000000" w:themeColor="text1"/>
          <w:szCs w:val="21"/>
        </w:rPr>
        <w:t>群体工程应附《承包人承揽工程项目一览表》（附件1）。</w:t>
      </w:r>
    </w:p>
    <w:p w14:paraId="1BB1A6E9">
      <w:pPr>
        <w:pStyle w:val="180"/>
        <w:spacing w:line="420" w:lineRule="exact"/>
        <w:ind w:firstLine="411" w:firstLineChars="196"/>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6.工程承包范围：</w:t>
      </w:r>
    </w:p>
    <w:p w14:paraId="68AA4458">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经评审备案的施工图纸包含的内容（详见工程量清单与施工图纸） </w:t>
      </w:r>
      <w:r>
        <w:rPr>
          <w:rFonts w:hint="eastAsia" w:ascii="宋体" w:hAnsi="宋体" w:eastAsia="宋体" w:cs="宋体"/>
          <w:color w:val="000000" w:themeColor="text1"/>
          <w:szCs w:val="21"/>
        </w:rPr>
        <w:t>。</w:t>
      </w:r>
    </w:p>
    <w:p w14:paraId="10A4A783">
      <w:pPr>
        <w:pStyle w:val="176"/>
        <w:spacing w:before="120" w:after="120" w:line="420" w:lineRule="exact"/>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 xml:space="preserve">   </w:t>
      </w:r>
      <w:bookmarkStart w:id="347" w:name="_Toc351203482"/>
      <w:bookmarkStart w:id="348" w:name="_Toc25251"/>
      <w:bookmarkStart w:id="349" w:name="_Toc16497"/>
      <w:bookmarkStart w:id="350" w:name="_Toc13549"/>
      <w:bookmarkStart w:id="351" w:name="_Toc20319"/>
      <w:bookmarkStart w:id="352" w:name="_Toc14656"/>
      <w:bookmarkStart w:id="353" w:name="_Toc22628"/>
      <w:bookmarkStart w:id="354" w:name="_Toc4525"/>
      <w:r>
        <w:rPr>
          <w:rFonts w:hint="eastAsia" w:ascii="宋体" w:hAnsi="宋体" w:eastAsia="宋体" w:cs="宋体"/>
          <w:bCs w:val="0"/>
          <w:color w:val="000000" w:themeColor="text1"/>
          <w:sz w:val="21"/>
          <w:szCs w:val="21"/>
        </w:rPr>
        <w:t>二、合同工期</w:t>
      </w:r>
      <w:bookmarkEnd w:id="347"/>
      <w:bookmarkEnd w:id="348"/>
      <w:bookmarkEnd w:id="349"/>
      <w:bookmarkEnd w:id="350"/>
      <w:bookmarkEnd w:id="351"/>
      <w:bookmarkEnd w:id="352"/>
      <w:bookmarkEnd w:id="353"/>
      <w:bookmarkEnd w:id="354"/>
    </w:p>
    <w:p w14:paraId="4693BA3D">
      <w:pPr>
        <w:pStyle w:val="180"/>
        <w:spacing w:line="420" w:lineRule="exact"/>
        <w:ind w:firstLine="459"/>
        <w:rPr>
          <w:rFonts w:hint="eastAsia" w:ascii="宋体" w:hAnsi="宋体" w:eastAsia="宋体" w:cs="宋体"/>
          <w:color w:val="000000" w:themeColor="text1"/>
          <w:szCs w:val="21"/>
        </w:rPr>
      </w:pPr>
      <w:r>
        <w:rPr>
          <w:rFonts w:hint="eastAsia" w:ascii="宋体" w:hAnsi="宋体" w:eastAsia="宋体" w:cs="宋体"/>
          <w:color w:val="000000" w:themeColor="text1"/>
          <w:szCs w:val="21"/>
        </w:rPr>
        <w:t>计划开工日期：</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日。</w:t>
      </w:r>
    </w:p>
    <w:p w14:paraId="66335384">
      <w:pPr>
        <w:pStyle w:val="180"/>
        <w:spacing w:line="420" w:lineRule="exact"/>
        <w:ind w:firstLine="459"/>
        <w:rPr>
          <w:rFonts w:hint="eastAsia" w:ascii="宋体" w:hAnsi="宋体" w:eastAsia="宋体" w:cs="宋体"/>
          <w:color w:val="000000" w:themeColor="text1"/>
          <w:szCs w:val="21"/>
        </w:rPr>
      </w:pPr>
      <w:r>
        <w:rPr>
          <w:rFonts w:hint="eastAsia" w:ascii="宋体" w:hAnsi="宋体" w:eastAsia="宋体" w:cs="宋体"/>
          <w:color w:val="000000" w:themeColor="text1"/>
          <w:szCs w:val="21"/>
        </w:rPr>
        <w:t>计划竣工日期：</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日。</w:t>
      </w:r>
    </w:p>
    <w:p w14:paraId="29AA1989">
      <w:pPr>
        <w:pStyle w:val="180"/>
        <w:spacing w:line="420" w:lineRule="exact"/>
        <w:ind w:firstLine="459"/>
        <w:rPr>
          <w:rFonts w:hint="eastAsia" w:ascii="宋体" w:hAnsi="宋体" w:eastAsia="宋体" w:cs="宋体"/>
          <w:color w:val="000000" w:themeColor="text1"/>
          <w:szCs w:val="21"/>
        </w:rPr>
      </w:pPr>
      <w:r>
        <w:rPr>
          <w:rFonts w:hint="eastAsia" w:ascii="宋体" w:hAnsi="宋体" w:eastAsia="宋体" w:cs="宋体"/>
          <w:color w:val="000000" w:themeColor="text1"/>
          <w:szCs w:val="21"/>
        </w:rPr>
        <w:t>工期总日历天数：</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天。工期总日历天数与根据前述计划开竣工日期计算的工期天数不一致的，以工期总日历天数为准。</w:t>
      </w:r>
    </w:p>
    <w:p w14:paraId="1DAF92C2">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r>
        <w:rPr>
          <w:rFonts w:hint="eastAsia" w:ascii="宋体" w:hAnsi="宋体" w:eastAsia="宋体" w:cs="宋体"/>
          <w:b w:val="0"/>
          <w:color w:val="000000" w:themeColor="text1"/>
          <w:sz w:val="21"/>
          <w:szCs w:val="21"/>
        </w:rPr>
        <w:t xml:space="preserve"> </w:t>
      </w:r>
      <w:bookmarkStart w:id="355" w:name="_Toc23541"/>
      <w:bookmarkStart w:id="356" w:name="_Toc25243"/>
      <w:bookmarkStart w:id="357" w:name="_Toc351203483"/>
      <w:bookmarkStart w:id="358" w:name="_Toc15727"/>
      <w:bookmarkStart w:id="359" w:name="_Toc26381"/>
      <w:bookmarkStart w:id="360" w:name="_Toc27400"/>
      <w:bookmarkStart w:id="361" w:name="_Toc27238"/>
      <w:bookmarkStart w:id="362" w:name="_Toc15578"/>
      <w:r>
        <w:rPr>
          <w:rFonts w:hint="eastAsia" w:ascii="宋体" w:hAnsi="宋体" w:eastAsia="宋体" w:cs="宋体"/>
          <w:bCs w:val="0"/>
          <w:color w:val="000000" w:themeColor="text1"/>
          <w:sz w:val="21"/>
          <w:szCs w:val="21"/>
        </w:rPr>
        <w:t>三、质量标准</w:t>
      </w:r>
      <w:bookmarkEnd w:id="355"/>
      <w:bookmarkEnd w:id="356"/>
      <w:bookmarkEnd w:id="357"/>
      <w:bookmarkEnd w:id="358"/>
      <w:bookmarkEnd w:id="359"/>
      <w:bookmarkEnd w:id="360"/>
      <w:bookmarkEnd w:id="361"/>
      <w:bookmarkEnd w:id="362"/>
    </w:p>
    <w:p w14:paraId="29E141C5">
      <w:pPr>
        <w:pStyle w:val="180"/>
        <w:spacing w:line="420" w:lineRule="exact"/>
        <w:ind w:firstLine="459"/>
        <w:rPr>
          <w:rFonts w:hint="eastAsia" w:ascii="宋体" w:hAnsi="宋体" w:eastAsia="宋体" w:cs="宋体"/>
          <w:color w:val="000000" w:themeColor="text1"/>
          <w:szCs w:val="21"/>
        </w:rPr>
      </w:pPr>
      <w:r>
        <w:rPr>
          <w:rFonts w:hint="eastAsia" w:ascii="宋体" w:hAnsi="宋体" w:eastAsia="宋体" w:cs="宋体"/>
          <w:color w:val="000000" w:themeColor="text1"/>
          <w:szCs w:val="21"/>
        </w:rPr>
        <w:t>工程质量符合</w:t>
      </w:r>
      <w:r>
        <w:rPr>
          <w:rFonts w:hint="eastAsia" w:ascii="宋体" w:hAnsi="宋体" w:eastAsia="宋体" w:cs="宋体"/>
          <w:color w:val="000000" w:themeColor="text1"/>
          <w:szCs w:val="21"/>
          <w:u w:val="single"/>
        </w:rPr>
        <w:t>国家施工验收规范合格</w:t>
      </w:r>
      <w:r>
        <w:rPr>
          <w:rFonts w:hint="eastAsia" w:ascii="宋体" w:hAnsi="宋体" w:eastAsia="宋体" w:cs="宋体"/>
          <w:color w:val="000000" w:themeColor="text1"/>
          <w:szCs w:val="21"/>
        </w:rPr>
        <w:t>标准。</w:t>
      </w:r>
    </w:p>
    <w:p w14:paraId="11D9AA87">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r>
        <w:rPr>
          <w:rFonts w:hint="eastAsia" w:ascii="宋体" w:hAnsi="宋体" w:eastAsia="宋体" w:cs="宋体"/>
          <w:b w:val="0"/>
          <w:color w:val="000000" w:themeColor="text1"/>
          <w:sz w:val="21"/>
          <w:szCs w:val="21"/>
        </w:rPr>
        <w:t xml:space="preserve"> </w:t>
      </w:r>
      <w:bookmarkStart w:id="363" w:name="_Toc26485"/>
      <w:bookmarkStart w:id="364" w:name="_Toc351203484"/>
      <w:bookmarkStart w:id="365" w:name="_Toc732"/>
      <w:bookmarkStart w:id="366" w:name="_Toc23397"/>
      <w:bookmarkStart w:id="367" w:name="_Toc27505"/>
      <w:bookmarkStart w:id="368" w:name="_Toc27350"/>
      <w:bookmarkStart w:id="369" w:name="_Toc13087"/>
      <w:bookmarkStart w:id="370" w:name="_Toc24873"/>
      <w:r>
        <w:rPr>
          <w:rFonts w:hint="eastAsia" w:ascii="宋体" w:hAnsi="宋体" w:eastAsia="宋体" w:cs="宋体"/>
          <w:bCs w:val="0"/>
          <w:color w:val="000000" w:themeColor="text1"/>
          <w:sz w:val="21"/>
          <w:szCs w:val="21"/>
        </w:rPr>
        <w:t>四、签约合同价与合同价格形式</w:t>
      </w:r>
      <w:bookmarkEnd w:id="363"/>
      <w:bookmarkEnd w:id="364"/>
      <w:bookmarkEnd w:id="365"/>
      <w:bookmarkEnd w:id="366"/>
      <w:bookmarkEnd w:id="367"/>
      <w:bookmarkEnd w:id="368"/>
      <w:bookmarkEnd w:id="369"/>
      <w:bookmarkEnd w:id="370"/>
      <w:r>
        <w:rPr>
          <w:rFonts w:hint="eastAsia" w:ascii="宋体" w:hAnsi="宋体" w:eastAsia="宋体" w:cs="宋体"/>
          <w:b w:val="0"/>
          <w:color w:val="000000" w:themeColor="text1"/>
          <w:sz w:val="21"/>
          <w:szCs w:val="21"/>
        </w:rPr>
        <w:tab/>
      </w:r>
    </w:p>
    <w:p w14:paraId="24268D18">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1.签约合同价为：</w:t>
      </w:r>
    </w:p>
    <w:p w14:paraId="3C496428">
      <w:pPr>
        <w:pStyle w:val="180"/>
        <w:spacing w:line="420" w:lineRule="exact"/>
        <w:ind w:firstLine="525" w:firstLineChars="250"/>
        <w:rPr>
          <w:rFonts w:hint="eastAsia" w:ascii="宋体" w:hAnsi="宋体" w:eastAsia="宋体" w:cs="宋体"/>
          <w:color w:val="000000" w:themeColor="text1"/>
          <w:szCs w:val="21"/>
        </w:rPr>
      </w:pPr>
      <w:r>
        <w:rPr>
          <w:rFonts w:hint="eastAsia" w:ascii="宋体" w:hAnsi="宋体" w:eastAsia="宋体" w:cs="宋体"/>
          <w:color w:val="000000" w:themeColor="text1"/>
          <w:szCs w:val="21"/>
        </w:rPr>
        <w:t>人民币（大写）</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元)；</w:t>
      </w:r>
    </w:p>
    <w:p w14:paraId="0CCAA6C9">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其中：</w:t>
      </w:r>
    </w:p>
    <w:p w14:paraId="78AA7F57">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（1）安全文明施工费：</w:t>
      </w:r>
    </w:p>
    <w:p w14:paraId="72D3EF42">
      <w:pPr>
        <w:pStyle w:val="180"/>
        <w:spacing w:line="420" w:lineRule="exact"/>
        <w:ind w:firstLine="945" w:firstLineChars="450"/>
        <w:rPr>
          <w:rFonts w:hint="eastAsia" w:ascii="宋体" w:hAnsi="宋体" w:eastAsia="宋体" w:cs="宋体"/>
          <w:color w:val="000000" w:themeColor="text1"/>
          <w:szCs w:val="21"/>
        </w:rPr>
      </w:pPr>
      <w:r>
        <w:rPr>
          <w:rFonts w:hint="eastAsia" w:ascii="宋体" w:hAnsi="宋体" w:eastAsia="宋体" w:cs="宋体"/>
          <w:color w:val="000000" w:themeColor="text1"/>
          <w:szCs w:val="21"/>
        </w:rPr>
        <w:t>人民币（大写）</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元)；</w:t>
      </w:r>
    </w:p>
    <w:p w14:paraId="1AA32E1F">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（2）材料和工程设备暂估价金额：</w:t>
      </w:r>
    </w:p>
    <w:p w14:paraId="07EE0F61">
      <w:pPr>
        <w:pStyle w:val="180"/>
        <w:spacing w:line="420" w:lineRule="exact"/>
        <w:ind w:firstLine="945" w:firstLineChars="450"/>
        <w:rPr>
          <w:rFonts w:hint="eastAsia" w:ascii="宋体" w:hAnsi="宋体" w:eastAsia="宋体" w:cs="宋体"/>
          <w:color w:val="000000" w:themeColor="text1"/>
          <w:szCs w:val="21"/>
        </w:rPr>
      </w:pPr>
      <w:r>
        <w:rPr>
          <w:rFonts w:hint="eastAsia" w:ascii="宋体" w:hAnsi="宋体" w:eastAsia="宋体" w:cs="宋体"/>
          <w:color w:val="000000" w:themeColor="text1"/>
          <w:szCs w:val="21"/>
        </w:rPr>
        <w:t>人民币（大写）</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元)；</w:t>
      </w:r>
    </w:p>
    <w:p w14:paraId="7C7CC09B">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（3）专业工程暂估价金额：</w:t>
      </w:r>
    </w:p>
    <w:p w14:paraId="35A5D614">
      <w:pPr>
        <w:pStyle w:val="180"/>
        <w:spacing w:line="420" w:lineRule="exact"/>
        <w:ind w:firstLine="945" w:firstLineChars="450"/>
        <w:rPr>
          <w:rFonts w:hint="eastAsia" w:ascii="宋体" w:hAnsi="宋体" w:eastAsia="宋体" w:cs="宋体"/>
          <w:color w:val="000000" w:themeColor="text1"/>
          <w:szCs w:val="21"/>
        </w:rPr>
      </w:pPr>
      <w:r>
        <w:rPr>
          <w:rFonts w:hint="eastAsia" w:ascii="宋体" w:hAnsi="宋体" w:eastAsia="宋体" w:cs="宋体"/>
          <w:color w:val="000000" w:themeColor="text1"/>
          <w:szCs w:val="21"/>
        </w:rPr>
        <w:t>人民币（大写）</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元)；</w:t>
      </w:r>
    </w:p>
    <w:p w14:paraId="25CA83D0">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（4）暂列金额：</w:t>
      </w:r>
    </w:p>
    <w:p w14:paraId="11E36CB6">
      <w:pPr>
        <w:pStyle w:val="180"/>
        <w:spacing w:line="420" w:lineRule="exact"/>
        <w:ind w:firstLine="945" w:firstLineChars="450"/>
        <w:rPr>
          <w:rFonts w:hint="eastAsia" w:ascii="宋体" w:hAnsi="宋体" w:eastAsia="宋体" w:cs="宋体"/>
          <w:color w:val="000000" w:themeColor="text1"/>
          <w:szCs w:val="21"/>
        </w:rPr>
      </w:pPr>
      <w:r>
        <w:rPr>
          <w:rFonts w:hint="eastAsia" w:ascii="宋体" w:hAnsi="宋体" w:eastAsia="宋体" w:cs="宋体"/>
          <w:color w:val="000000" w:themeColor="text1"/>
          <w:szCs w:val="21"/>
        </w:rPr>
        <w:t>人民币（大写）</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元)。</w:t>
      </w:r>
    </w:p>
    <w:p w14:paraId="60EBBE69">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2.合同价格形式：</w:t>
      </w:r>
      <w:r>
        <w:rPr>
          <w:rFonts w:hint="eastAsia" w:ascii="宋体" w:hAnsi="宋体" w:eastAsia="宋体" w:cs="宋体"/>
          <w:color w:val="000000" w:themeColor="text1"/>
          <w:szCs w:val="21"/>
          <w:u w:val="single"/>
        </w:rPr>
        <w:t>固定综合单价合同  </w:t>
      </w:r>
      <w:r>
        <w:rPr>
          <w:rFonts w:hint="eastAsia" w:ascii="宋体" w:hAnsi="宋体" w:eastAsia="宋体" w:cs="宋体"/>
          <w:color w:val="000000" w:themeColor="text1"/>
          <w:szCs w:val="21"/>
        </w:rPr>
        <w:t>。</w:t>
      </w:r>
    </w:p>
    <w:p w14:paraId="51790237">
      <w:pPr>
        <w:pStyle w:val="176"/>
        <w:spacing w:before="120" w:after="120" w:line="420" w:lineRule="exact"/>
        <w:rPr>
          <w:rFonts w:hint="eastAsia" w:ascii="宋体" w:hAnsi="宋体" w:eastAsia="宋体" w:cs="宋体"/>
          <w:b w:val="0"/>
          <w:color w:val="000000" w:themeColor="text1"/>
          <w:sz w:val="21"/>
          <w:szCs w:val="21"/>
        </w:rPr>
      </w:pPr>
      <w:r>
        <w:rPr>
          <w:rFonts w:hint="eastAsia" w:ascii="宋体" w:hAnsi="宋体" w:eastAsia="宋体" w:cs="宋体"/>
          <w:bCs w:val="0"/>
          <w:color w:val="000000" w:themeColor="text1"/>
          <w:sz w:val="21"/>
          <w:szCs w:val="21"/>
        </w:rPr>
        <w:t xml:space="preserve">    </w:t>
      </w:r>
      <w:bookmarkStart w:id="371" w:name="_Toc351203485"/>
      <w:bookmarkStart w:id="372" w:name="_Toc24575"/>
      <w:bookmarkStart w:id="373" w:name="_Toc2024"/>
      <w:bookmarkStart w:id="374" w:name="_Toc22275"/>
      <w:bookmarkStart w:id="375" w:name="_Toc12637"/>
      <w:bookmarkStart w:id="376" w:name="_Toc21434"/>
      <w:bookmarkStart w:id="377" w:name="_Toc11249"/>
      <w:bookmarkStart w:id="378" w:name="_Toc26933"/>
      <w:r>
        <w:rPr>
          <w:rFonts w:hint="eastAsia" w:ascii="宋体" w:hAnsi="宋体" w:eastAsia="宋体" w:cs="宋体"/>
          <w:bCs w:val="0"/>
          <w:color w:val="000000" w:themeColor="text1"/>
          <w:sz w:val="21"/>
          <w:szCs w:val="21"/>
        </w:rPr>
        <w:t>五、</w:t>
      </w:r>
      <w:bookmarkEnd w:id="371"/>
      <w:r>
        <w:rPr>
          <w:rFonts w:hint="eastAsia" w:ascii="宋体" w:hAnsi="宋体" w:eastAsia="宋体" w:cs="宋体"/>
          <w:bCs w:val="0"/>
          <w:color w:val="000000" w:themeColor="text1"/>
          <w:sz w:val="21"/>
          <w:szCs w:val="21"/>
        </w:rPr>
        <w:t>项目经理</w:t>
      </w:r>
      <w:bookmarkEnd w:id="372"/>
      <w:bookmarkEnd w:id="373"/>
      <w:bookmarkEnd w:id="374"/>
      <w:bookmarkEnd w:id="375"/>
      <w:bookmarkEnd w:id="376"/>
      <w:bookmarkEnd w:id="377"/>
      <w:bookmarkEnd w:id="378"/>
    </w:p>
    <w:p w14:paraId="341D59B7">
      <w:pPr>
        <w:pStyle w:val="180"/>
        <w:spacing w:line="42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承包人项目经理：</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7C02319F">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bookmarkStart w:id="379" w:name="_Toc17745"/>
      <w:bookmarkStart w:id="380" w:name="_Toc12263"/>
      <w:bookmarkStart w:id="381" w:name="_Toc6440"/>
      <w:bookmarkStart w:id="382" w:name="_Toc351203486"/>
      <w:bookmarkStart w:id="383" w:name="_Toc19930"/>
      <w:bookmarkStart w:id="384" w:name="_Toc22285"/>
      <w:bookmarkStart w:id="385" w:name="_Toc26608"/>
      <w:r>
        <w:rPr>
          <w:rFonts w:hint="eastAsia" w:ascii="宋体" w:hAnsi="宋体" w:eastAsia="宋体" w:cs="宋体"/>
          <w:bCs w:val="0"/>
          <w:color w:val="000000" w:themeColor="text1"/>
          <w:sz w:val="21"/>
          <w:szCs w:val="21"/>
        </w:rPr>
        <w:t>六、合同文件构成</w:t>
      </w:r>
      <w:bookmarkEnd w:id="379"/>
      <w:bookmarkEnd w:id="380"/>
      <w:bookmarkEnd w:id="381"/>
      <w:bookmarkEnd w:id="382"/>
      <w:bookmarkEnd w:id="383"/>
      <w:bookmarkEnd w:id="384"/>
      <w:bookmarkEnd w:id="385"/>
    </w:p>
    <w:p w14:paraId="6C11A78C">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本协议书与下列文件一起构成合同文件：</w:t>
      </w:r>
    </w:p>
    <w:p w14:paraId="038CB11C">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（1）中标通知书（如果有）；</w:t>
      </w:r>
    </w:p>
    <w:p w14:paraId="2A79148F">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（2）投标函及其附录（如果有）； </w:t>
      </w:r>
    </w:p>
    <w:p w14:paraId="4E0892A9">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（3）专用合同条款及其附件；</w:t>
      </w:r>
    </w:p>
    <w:p w14:paraId="191A8CB6">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（4）通用合同条款；</w:t>
      </w:r>
    </w:p>
    <w:p w14:paraId="15753925">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（5）技术标准和要求；</w:t>
      </w:r>
    </w:p>
    <w:p w14:paraId="3C94D633">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（6）图纸；</w:t>
      </w:r>
    </w:p>
    <w:p w14:paraId="6130D8F8">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（7）已标价工程量清单或预算书；</w:t>
      </w:r>
    </w:p>
    <w:p w14:paraId="1CB8FBC9">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（8）其他合同文件。</w:t>
      </w:r>
    </w:p>
    <w:p w14:paraId="3AFC5071">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在合同订立及履行过程中形成的与合同有关的文件均构成合同文件组成部分。</w:t>
      </w:r>
    </w:p>
    <w:p w14:paraId="51071F68">
      <w:pPr>
        <w:pStyle w:val="180"/>
        <w:adjustRightInd w:val="0"/>
        <w:spacing w:line="420" w:lineRule="exac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上述各项合同文件包括合同当事人就该项合同文件所作出的补充和修改，属于同一类内容的文件，应以最新签署的为准。专用合同条款及其附件须经合同当事人签字或盖章。</w:t>
      </w:r>
    </w:p>
    <w:p w14:paraId="6BB994C0">
      <w:pPr>
        <w:pStyle w:val="176"/>
        <w:spacing w:before="120" w:after="120" w:line="42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 xml:space="preserve">   </w:t>
      </w:r>
      <w:r>
        <w:rPr>
          <w:rFonts w:hint="eastAsia" w:ascii="宋体" w:hAnsi="宋体" w:eastAsia="宋体" w:cs="宋体"/>
          <w:b w:val="0"/>
          <w:color w:val="000000" w:themeColor="text1"/>
          <w:sz w:val="21"/>
          <w:szCs w:val="21"/>
        </w:rPr>
        <w:t xml:space="preserve"> </w:t>
      </w:r>
      <w:bookmarkStart w:id="386" w:name="_Toc31126"/>
      <w:bookmarkStart w:id="387" w:name="_Toc21233"/>
      <w:bookmarkStart w:id="388" w:name="_Toc15180"/>
      <w:bookmarkStart w:id="389" w:name="_Toc2932"/>
      <w:bookmarkStart w:id="390" w:name="_Toc8496"/>
      <w:bookmarkStart w:id="391" w:name="_Toc351203487"/>
      <w:bookmarkStart w:id="392" w:name="_Toc757"/>
      <w:bookmarkStart w:id="393" w:name="_Toc4127"/>
      <w:r>
        <w:rPr>
          <w:rFonts w:hint="eastAsia" w:ascii="宋体" w:hAnsi="宋体" w:eastAsia="宋体" w:cs="宋体"/>
          <w:bCs w:val="0"/>
          <w:color w:val="000000" w:themeColor="text1"/>
          <w:sz w:val="21"/>
          <w:szCs w:val="21"/>
        </w:rPr>
        <w:t>七、承诺</w:t>
      </w:r>
      <w:bookmarkEnd w:id="386"/>
      <w:bookmarkEnd w:id="387"/>
      <w:bookmarkEnd w:id="388"/>
      <w:bookmarkEnd w:id="389"/>
      <w:bookmarkEnd w:id="390"/>
      <w:bookmarkEnd w:id="391"/>
      <w:bookmarkEnd w:id="392"/>
      <w:bookmarkEnd w:id="393"/>
    </w:p>
    <w:p w14:paraId="6D0F650F">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1.发包人承诺按照法律规定履行项目审批手续、筹集工程建设资金并按照合同约定的期限和方式支付合同价款。</w:t>
      </w:r>
    </w:p>
    <w:p w14:paraId="493470F1">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2.承包人承诺按照法律规定及合同约定组织完成工程施工，确保工程质量和安全，不进行转包及违法分包，并在缺陷责任期及保修期内承担相应的工程维修责任。</w:t>
      </w:r>
    </w:p>
    <w:p w14:paraId="5F9F5EF7">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3.发包人和承包人通过招投标形式签订合同的，双方理解并承诺不再就同一工程另行签订与合同实质性内容相背离的协议。</w:t>
      </w:r>
    </w:p>
    <w:p w14:paraId="188C9A69">
      <w:pPr>
        <w:pStyle w:val="180"/>
        <w:spacing w:line="420" w:lineRule="exact"/>
        <w:rPr>
          <w:rFonts w:hint="eastAsia" w:ascii="宋体" w:hAnsi="宋体" w:eastAsia="宋体" w:cs="宋体"/>
          <w:bCs/>
          <w:color w:val="000000" w:themeColor="text1"/>
          <w:szCs w:val="21"/>
        </w:rPr>
      </w:pPr>
      <w:bookmarkStart w:id="394" w:name="_Toc351203488"/>
      <w:r>
        <w:rPr>
          <w:rFonts w:hint="eastAsia" w:ascii="宋体" w:hAnsi="宋体" w:eastAsia="宋体" w:cs="宋体"/>
          <w:b/>
          <w:color w:val="000000" w:themeColor="text1"/>
          <w:szCs w:val="21"/>
        </w:rPr>
        <w:t xml:space="preserve">    八、词语含义</w:t>
      </w:r>
      <w:bookmarkEnd w:id="394"/>
    </w:p>
    <w:p w14:paraId="301788B4">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本协议书中词语含义与第二部分通用合同条款中赋予的含义相同。</w:t>
      </w:r>
    </w:p>
    <w:p w14:paraId="4A411D83">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r>
        <w:rPr>
          <w:rFonts w:hint="eastAsia" w:ascii="宋体" w:hAnsi="宋体" w:eastAsia="宋体" w:cs="宋体"/>
          <w:b w:val="0"/>
          <w:color w:val="000000" w:themeColor="text1"/>
          <w:sz w:val="21"/>
          <w:szCs w:val="21"/>
        </w:rPr>
        <w:t xml:space="preserve">  </w:t>
      </w:r>
      <w:bookmarkStart w:id="395" w:name="_Toc30702"/>
      <w:bookmarkStart w:id="396" w:name="_Toc18634"/>
      <w:bookmarkStart w:id="397" w:name="_Toc351203489"/>
      <w:bookmarkStart w:id="398" w:name="_Toc16112"/>
      <w:bookmarkStart w:id="399" w:name="_Toc9566"/>
      <w:bookmarkStart w:id="400" w:name="_Toc23327"/>
      <w:bookmarkStart w:id="401" w:name="_Toc14942"/>
      <w:bookmarkStart w:id="402" w:name="_Toc21600"/>
      <w:r>
        <w:rPr>
          <w:rFonts w:hint="eastAsia" w:ascii="宋体" w:hAnsi="宋体" w:eastAsia="宋体" w:cs="宋体"/>
          <w:bCs w:val="0"/>
          <w:color w:val="000000" w:themeColor="text1"/>
          <w:sz w:val="21"/>
          <w:szCs w:val="21"/>
        </w:rPr>
        <w:t>九、签订时间</w:t>
      </w:r>
      <w:bookmarkEnd w:id="395"/>
      <w:bookmarkEnd w:id="396"/>
      <w:bookmarkEnd w:id="397"/>
      <w:bookmarkEnd w:id="398"/>
      <w:bookmarkEnd w:id="399"/>
      <w:bookmarkEnd w:id="400"/>
      <w:bookmarkEnd w:id="401"/>
      <w:bookmarkEnd w:id="402"/>
    </w:p>
    <w:p w14:paraId="6119B62E">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本合同于</w:t>
      </w:r>
      <w:r>
        <w:rPr>
          <w:rFonts w:hint="eastAsia" w:ascii="宋体" w:hAnsi="宋体" w:eastAsia="宋体" w:cs="宋体"/>
          <w:bCs/>
          <w:color w:val="000000" w:themeColor="text1"/>
          <w:szCs w:val="21"/>
          <w:u w:val="single"/>
        </w:rPr>
        <w:t xml:space="preserve">         </w:t>
      </w:r>
      <w:r>
        <w:rPr>
          <w:rFonts w:hint="eastAsia" w:ascii="宋体" w:hAnsi="宋体" w:eastAsia="宋体" w:cs="宋体"/>
          <w:bCs/>
          <w:color w:val="000000" w:themeColor="text1"/>
          <w:szCs w:val="21"/>
        </w:rPr>
        <w:t>年</w:t>
      </w:r>
      <w:r>
        <w:rPr>
          <w:rFonts w:hint="eastAsia" w:ascii="宋体" w:hAnsi="宋体" w:eastAsia="宋体" w:cs="宋体"/>
          <w:bCs/>
          <w:color w:val="000000" w:themeColor="text1"/>
          <w:szCs w:val="21"/>
          <w:u w:val="single"/>
        </w:rPr>
        <w:t xml:space="preserve">    </w:t>
      </w:r>
      <w:r>
        <w:rPr>
          <w:rFonts w:hint="eastAsia" w:ascii="宋体" w:hAnsi="宋体" w:eastAsia="宋体" w:cs="宋体"/>
          <w:bCs/>
          <w:color w:val="000000" w:themeColor="text1"/>
          <w:szCs w:val="21"/>
        </w:rPr>
        <w:t>月</w:t>
      </w:r>
      <w:r>
        <w:rPr>
          <w:rFonts w:hint="eastAsia" w:ascii="宋体" w:hAnsi="宋体" w:eastAsia="宋体" w:cs="宋体"/>
          <w:bCs/>
          <w:color w:val="000000" w:themeColor="text1"/>
          <w:szCs w:val="21"/>
          <w:u w:val="single"/>
        </w:rPr>
        <w:t xml:space="preserve">    </w:t>
      </w:r>
      <w:r>
        <w:rPr>
          <w:rFonts w:hint="eastAsia" w:ascii="宋体" w:hAnsi="宋体" w:eastAsia="宋体" w:cs="宋体"/>
          <w:bCs/>
          <w:color w:val="000000" w:themeColor="text1"/>
          <w:szCs w:val="21"/>
        </w:rPr>
        <w:t>日签订。</w:t>
      </w:r>
    </w:p>
    <w:p w14:paraId="6AAD17F0">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bookmarkStart w:id="403" w:name="_Toc351203490"/>
      <w:bookmarkStart w:id="404" w:name="_Toc5473"/>
      <w:bookmarkStart w:id="405" w:name="_Toc18588"/>
      <w:bookmarkStart w:id="406" w:name="_Toc16226"/>
      <w:bookmarkStart w:id="407" w:name="_Toc3233"/>
      <w:bookmarkStart w:id="408" w:name="_Toc927"/>
      <w:bookmarkStart w:id="409" w:name="_Toc25006"/>
      <w:bookmarkStart w:id="410" w:name="_Toc6420"/>
      <w:r>
        <w:rPr>
          <w:rFonts w:hint="eastAsia" w:ascii="宋体" w:hAnsi="宋体" w:eastAsia="宋体" w:cs="宋体"/>
          <w:bCs w:val="0"/>
          <w:color w:val="000000" w:themeColor="text1"/>
          <w:sz w:val="21"/>
          <w:szCs w:val="21"/>
        </w:rPr>
        <w:t>十、签订地点</w:t>
      </w:r>
      <w:bookmarkEnd w:id="403"/>
      <w:bookmarkEnd w:id="404"/>
      <w:bookmarkEnd w:id="405"/>
      <w:bookmarkEnd w:id="406"/>
      <w:bookmarkEnd w:id="407"/>
      <w:bookmarkEnd w:id="408"/>
      <w:bookmarkEnd w:id="409"/>
      <w:bookmarkEnd w:id="410"/>
    </w:p>
    <w:p w14:paraId="76D97A06">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本合同在</w:t>
      </w:r>
      <w:r>
        <w:rPr>
          <w:rFonts w:hint="eastAsia" w:ascii="宋体" w:hAnsi="宋体" w:eastAsia="宋体" w:cs="宋体"/>
          <w:bCs/>
          <w:color w:val="000000" w:themeColor="text1"/>
          <w:szCs w:val="21"/>
          <w:u w:val="single"/>
        </w:rPr>
        <w:t xml:space="preserve">                                    </w:t>
      </w:r>
      <w:r>
        <w:rPr>
          <w:rFonts w:hint="eastAsia" w:ascii="宋体" w:hAnsi="宋体" w:eastAsia="宋体" w:cs="宋体"/>
          <w:bCs/>
          <w:color w:val="000000" w:themeColor="text1"/>
          <w:szCs w:val="21"/>
        </w:rPr>
        <w:t>签订。</w:t>
      </w:r>
    </w:p>
    <w:p w14:paraId="5C2A9B63">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bookmarkStart w:id="411" w:name="_Toc4134"/>
      <w:bookmarkStart w:id="412" w:name="_Toc15300"/>
      <w:bookmarkStart w:id="413" w:name="_Toc458"/>
      <w:bookmarkStart w:id="414" w:name="_Toc27212"/>
      <w:bookmarkStart w:id="415" w:name="_Toc13696"/>
      <w:bookmarkStart w:id="416" w:name="_Toc351203491"/>
      <w:bookmarkStart w:id="417" w:name="_Toc1930"/>
      <w:bookmarkStart w:id="418" w:name="_Toc3674"/>
      <w:r>
        <w:rPr>
          <w:rFonts w:hint="eastAsia" w:ascii="宋体" w:hAnsi="宋体" w:eastAsia="宋体" w:cs="宋体"/>
          <w:bCs w:val="0"/>
          <w:color w:val="000000" w:themeColor="text1"/>
          <w:sz w:val="21"/>
          <w:szCs w:val="21"/>
        </w:rPr>
        <w:t>十一、补充协议</w:t>
      </w:r>
      <w:bookmarkEnd w:id="411"/>
      <w:bookmarkEnd w:id="412"/>
      <w:bookmarkEnd w:id="413"/>
      <w:bookmarkEnd w:id="414"/>
      <w:bookmarkEnd w:id="415"/>
      <w:bookmarkEnd w:id="416"/>
      <w:bookmarkEnd w:id="417"/>
      <w:bookmarkEnd w:id="418"/>
    </w:p>
    <w:p w14:paraId="69E0D6B1">
      <w:pPr>
        <w:pStyle w:val="180"/>
        <w:spacing w:line="420" w:lineRule="exact"/>
        <w:ind w:firstLine="420" w:firstLineChars="200"/>
        <w:rPr>
          <w:rFonts w:hint="eastAsia" w:ascii="宋体" w:hAnsi="宋体" w:eastAsia="宋体" w:cs="宋体"/>
          <w:b/>
          <w:bCs/>
          <w:color w:val="000000" w:themeColor="text1"/>
          <w:szCs w:val="21"/>
        </w:rPr>
      </w:pPr>
      <w:r>
        <w:rPr>
          <w:rFonts w:hint="eastAsia" w:ascii="宋体" w:hAnsi="宋体" w:eastAsia="宋体" w:cs="宋体"/>
          <w:bCs/>
          <w:color w:val="000000" w:themeColor="text1"/>
          <w:szCs w:val="21"/>
        </w:rPr>
        <w:t>合同未尽事宜，合同当事人另行签订补充协议，补充协议是合同的组成部分。</w:t>
      </w:r>
    </w:p>
    <w:p w14:paraId="19F59B28">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bookmarkStart w:id="419" w:name="_Toc351203492"/>
      <w:bookmarkStart w:id="420" w:name="_Toc12271"/>
      <w:bookmarkStart w:id="421" w:name="_Toc20824"/>
      <w:bookmarkStart w:id="422" w:name="_Toc25639"/>
      <w:bookmarkStart w:id="423" w:name="_Toc4124"/>
      <w:bookmarkStart w:id="424" w:name="_Toc25015"/>
      <w:bookmarkStart w:id="425" w:name="_Toc2408"/>
      <w:bookmarkStart w:id="426" w:name="_Toc30986"/>
      <w:r>
        <w:rPr>
          <w:rFonts w:hint="eastAsia" w:ascii="宋体" w:hAnsi="宋体" w:eastAsia="宋体" w:cs="宋体"/>
          <w:bCs w:val="0"/>
          <w:color w:val="000000" w:themeColor="text1"/>
          <w:sz w:val="21"/>
          <w:szCs w:val="21"/>
        </w:rPr>
        <w:t>十二、合同生效</w:t>
      </w:r>
      <w:bookmarkEnd w:id="419"/>
      <w:bookmarkEnd w:id="420"/>
      <w:bookmarkEnd w:id="421"/>
      <w:bookmarkEnd w:id="422"/>
      <w:bookmarkEnd w:id="423"/>
      <w:bookmarkEnd w:id="424"/>
      <w:bookmarkEnd w:id="425"/>
      <w:bookmarkEnd w:id="426"/>
    </w:p>
    <w:p w14:paraId="1F8C0ABB">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本合同自</w:t>
      </w:r>
      <w:r>
        <w:rPr>
          <w:rFonts w:hint="eastAsia" w:ascii="宋体" w:hAnsi="宋体" w:eastAsia="宋体" w:cs="宋体"/>
          <w:bCs/>
          <w:color w:val="000000" w:themeColor="text1"/>
          <w:szCs w:val="21"/>
          <w:u w:val="single"/>
        </w:rPr>
        <w:t>双方法人或委托代理人签字并加盖单位公章后</w:t>
      </w:r>
      <w:r>
        <w:rPr>
          <w:rFonts w:hint="eastAsia" w:ascii="宋体" w:hAnsi="宋体" w:eastAsia="宋体" w:cs="宋体"/>
          <w:bCs/>
          <w:color w:val="000000" w:themeColor="text1"/>
          <w:szCs w:val="21"/>
        </w:rPr>
        <w:t>生效。</w:t>
      </w:r>
    </w:p>
    <w:p w14:paraId="0BA246C4">
      <w:pPr>
        <w:pStyle w:val="176"/>
        <w:spacing w:before="120" w:after="120" w:line="420" w:lineRule="exact"/>
        <w:rPr>
          <w:rFonts w:hint="eastAsia" w:ascii="宋体" w:hAnsi="宋体" w:eastAsia="宋体" w:cs="宋体"/>
          <w:bCs w:val="0"/>
          <w:color w:val="000000" w:themeColor="text1"/>
          <w:sz w:val="21"/>
          <w:szCs w:val="21"/>
        </w:rPr>
      </w:pPr>
      <w:r>
        <w:rPr>
          <w:rFonts w:hint="eastAsia" w:ascii="宋体" w:hAnsi="宋体" w:eastAsia="宋体" w:cs="宋体"/>
          <w:bCs w:val="0"/>
          <w:color w:val="000000" w:themeColor="text1"/>
          <w:sz w:val="21"/>
          <w:szCs w:val="21"/>
        </w:rPr>
        <w:t xml:space="preserve">    </w:t>
      </w:r>
      <w:bookmarkStart w:id="427" w:name="_Toc28533"/>
      <w:bookmarkStart w:id="428" w:name="_Toc351203493"/>
      <w:bookmarkStart w:id="429" w:name="_Toc28263"/>
      <w:bookmarkStart w:id="430" w:name="_Toc22528"/>
      <w:bookmarkStart w:id="431" w:name="_Toc26133"/>
      <w:bookmarkStart w:id="432" w:name="_Toc25782"/>
      <w:bookmarkStart w:id="433" w:name="_Toc7954"/>
      <w:bookmarkStart w:id="434" w:name="_Toc10127"/>
      <w:r>
        <w:rPr>
          <w:rFonts w:hint="eastAsia" w:ascii="宋体" w:hAnsi="宋体" w:eastAsia="宋体" w:cs="宋体"/>
          <w:bCs w:val="0"/>
          <w:color w:val="000000" w:themeColor="text1"/>
          <w:sz w:val="21"/>
          <w:szCs w:val="21"/>
        </w:rPr>
        <w:t>十三、合同份数</w:t>
      </w:r>
      <w:bookmarkEnd w:id="427"/>
      <w:bookmarkEnd w:id="428"/>
      <w:bookmarkEnd w:id="429"/>
      <w:bookmarkEnd w:id="430"/>
      <w:bookmarkEnd w:id="431"/>
      <w:bookmarkEnd w:id="432"/>
      <w:bookmarkEnd w:id="433"/>
      <w:bookmarkEnd w:id="434"/>
    </w:p>
    <w:p w14:paraId="3F5FB737">
      <w:pPr>
        <w:pStyle w:val="180"/>
        <w:spacing w:line="420" w:lineRule="exact"/>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本合同一式</w:t>
      </w:r>
      <w:r>
        <w:rPr>
          <w:rFonts w:hint="eastAsia" w:ascii="宋体" w:hAnsi="宋体" w:eastAsia="宋体" w:cs="宋体"/>
          <w:bCs/>
          <w:color w:val="000000" w:themeColor="text1"/>
          <w:szCs w:val="21"/>
          <w:u w:val="single"/>
        </w:rPr>
        <w:t>陆</w:t>
      </w:r>
      <w:r>
        <w:rPr>
          <w:rFonts w:hint="eastAsia" w:ascii="宋体" w:hAnsi="宋体" w:eastAsia="宋体" w:cs="宋体"/>
          <w:bCs/>
          <w:color w:val="000000" w:themeColor="text1"/>
          <w:szCs w:val="21"/>
        </w:rPr>
        <w:t>份，均具有同等法律效力，发包人执</w:t>
      </w:r>
      <w:r>
        <w:rPr>
          <w:rFonts w:hint="eastAsia" w:ascii="宋体" w:hAnsi="宋体" w:eastAsia="宋体" w:cs="宋体"/>
          <w:bCs/>
          <w:color w:val="000000" w:themeColor="text1"/>
          <w:szCs w:val="21"/>
          <w:u w:val="single"/>
        </w:rPr>
        <w:t>叁</w:t>
      </w:r>
      <w:r>
        <w:rPr>
          <w:rFonts w:hint="eastAsia" w:ascii="宋体" w:hAnsi="宋体" w:eastAsia="宋体" w:cs="宋体"/>
          <w:bCs/>
          <w:color w:val="000000" w:themeColor="text1"/>
          <w:szCs w:val="21"/>
        </w:rPr>
        <w:t>份，承包人执</w:t>
      </w:r>
      <w:r>
        <w:rPr>
          <w:rFonts w:hint="eastAsia" w:ascii="宋体" w:hAnsi="宋体" w:eastAsia="宋体" w:cs="宋体"/>
          <w:bCs/>
          <w:color w:val="000000" w:themeColor="text1"/>
          <w:szCs w:val="21"/>
          <w:u w:val="single"/>
        </w:rPr>
        <w:t>叁</w:t>
      </w:r>
      <w:r>
        <w:rPr>
          <w:rFonts w:hint="eastAsia" w:ascii="宋体" w:hAnsi="宋体" w:eastAsia="宋体" w:cs="宋体"/>
          <w:bCs/>
          <w:color w:val="000000" w:themeColor="text1"/>
          <w:szCs w:val="21"/>
        </w:rPr>
        <w:t>份。</w:t>
      </w:r>
    </w:p>
    <w:p w14:paraId="7EC2168E">
      <w:pPr>
        <w:pStyle w:val="180"/>
        <w:spacing w:line="420" w:lineRule="exact"/>
        <w:rPr>
          <w:rFonts w:hint="eastAsia" w:ascii="宋体" w:hAnsi="宋体" w:eastAsia="宋体" w:cs="宋体"/>
          <w:bCs/>
          <w:color w:val="000000" w:themeColor="text1"/>
          <w:szCs w:val="21"/>
        </w:rPr>
      </w:pPr>
    </w:p>
    <w:p w14:paraId="2BE9F48E">
      <w:pPr>
        <w:pStyle w:val="180"/>
        <w:spacing w:line="420" w:lineRule="exact"/>
        <w:rPr>
          <w:rFonts w:hint="eastAsia" w:ascii="宋体" w:hAnsi="宋体" w:eastAsia="宋体" w:cs="宋体"/>
          <w:color w:val="000000" w:themeColor="text1"/>
          <w:szCs w:val="21"/>
        </w:rPr>
      </w:pPr>
    </w:p>
    <w:p w14:paraId="6FA83C96">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  (公章)             承包人：  (公章)</w:t>
      </w:r>
    </w:p>
    <w:p w14:paraId="176E981C">
      <w:pPr>
        <w:pStyle w:val="180"/>
        <w:spacing w:line="420" w:lineRule="exac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 xml:space="preserve">                                 </w:t>
      </w:r>
    </w:p>
    <w:p w14:paraId="1A8D7564">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法定代表人或其委托代理人：  法定代表人或其委托代理人：</w:t>
      </w:r>
    </w:p>
    <w:p w14:paraId="710C06AA">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（签字）                    （签字）</w:t>
      </w:r>
    </w:p>
    <w:p w14:paraId="1C4BAC8E">
      <w:pPr>
        <w:pStyle w:val="180"/>
        <w:tabs>
          <w:tab w:val="left" w:pos="4410"/>
        </w:tabs>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组织机构代码：</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 xml:space="preserve">  组织机构代码：</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 xml:space="preserve"> </w:t>
      </w:r>
    </w:p>
    <w:p w14:paraId="26EA96F7">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地  址：</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 xml:space="preserve">  地  址：</w:t>
      </w:r>
      <w:r>
        <w:rPr>
          <w:rFonts w:hint="eastAsia" w:ascii="宋体" w:hAnsi="宋体" w:eastAsia="宋体" w:cs="宋体"/>
          <w:color w:val="000000" w:themeColor="text1"/>
          <w:szCs w:val="21"/>
          <w:u w:val="single"/>
        </w:rPr>
        <w:t xml:space="preserve">        </w:t>
      </w:r>
    </w:p>
    <w:p w14:paraId="3BC5A7EC">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邮政编码：</w:t>
      </w:r>
      <w:r>
        <w:rPr>
          <w:rFonts w:hint="eastAsia" w:ascii="宋体" w:hAnsi="宋体" w:eastAsia="宋体" w:cs="宋体"/>
          <w:color w:val="000000" w:themeColor="text1"/>
          <w:szCs w:val="21"/>
          <w:u w:val="single"/>
        </w:rPr>
        <w:t xml:space="preserve">      </w:t>
      </w:r>
      <w:r>
        <w:rPr>
          <w:rFonts w:hint="eastAsia" w:ascii="宋体" w:hAnsi="宋体" w:eastAsia="宋体" w:cs="宋体"/>
          <w:color w:val="000000" w:themeColor="text1"/>
          <w:szCs w:val="21"/>
        </w:rPr>
        <w:t xml:space="preserve">  邮政编码：</w:t>
      </w:r>
      <w:r>
        <w:rPr>
          <w:rFonts w:hint="eastAsia" w:ascii="宋体" w:hAnsi="宋体" w:eastAsia="宋体" w:cs="宋体"/>
          <w:color w:val="000000" w:themeColor="text1"/>
          <w:szCs w:val="21"/>
          <w:u w:val="single"/>
        </w:rPr>
        <w:t xml:space="preserve">   </w:t>
      </w:r>
    </w:p>
    <w:p w14:paraId="57D10F76">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法定代表人：</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 xml:space="preserve">  法定代表人：</w:t>
      </w:r>
      <w:r>
        <w:rPr>
          <w:rFonts w:hint="eastAsia" w:ascii="宋体" w:hAnsi="宋体" w:eastAsia="宋体" w:cs="宋体"/>
          <w:color w:val="000000" w:themeColor="text1"/>
          <w:szCs w:val="21"/>
          <w:u w:val="single"/>
        </w:rPr>
        <w:t xml:space="preserve">             </w:t>
      </w:r>
    </w:p>
    <w:p w14:paraId="36CBBE0F">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委托代理人：</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委托代理人：</w:t>
      </w:r>
      <w:r>
        <w:rPr>
          <w:rFonts w:hint="eastAsia" w:ascii="宋体" w:hAnsi="宋体" w:eastAsia="宋体" w:cs="宋体"/>
          <w:color w:val="000000" w:themeColor="text1"/>
          <w:szCs w:val="21"/>
          <w:u w:val="single"/>
        </w:rPr>
        <w:t xml:space="preserve">             </w:t>
      </w:r>
    </w:p>
    <w:p w14:paraId="605A519A">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电  话：</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电  话：</w:t>
      </w:r>
      <w:r>
        <w:rPr>
          <w:rFonts w:hint="eastAsia" w:ascii="宋体" w:hAnsi="宋体" w:eastAsia="宋体" w:cs="宋体"/>
          <w:color w:val="000000" w:themeColor="text1"/>
          <w:szCs w:val="21"/>
          <w:u w:val="single"/>
        </w:rPr>
        <w:t xml:space="preserve">     </w:t>
      </w:r>
    </w:p>
    <w:p w14:paraId="1293B81F">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传  真：</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传  真：</w:t>
      </w:r>
      <w:r>
        <w:rPr>
          <w:rFonts w:hint="eastAsia" w:ascii="宋体" w:hAnsi="宋体" w:eastAsia="宋体" w:cs="宋体"/>
          <w:color w:val="000000" w:themeColor="text1"/>
          <w:szCs w:val="21"/>
          <w:u w:val="single"/>
        </w:rPr>
        <w:t xml:space="preserve">     </w:t>
      </w:r>
    </w:p>
    <w:p w14:paraId="6999F35D">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电子信箱：</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电子信箱：</w:t>
      </w:r>
      <w:r>
        <w:rPr>
          <w:rFonts w:hint="eastAsia" w:ascii="宋体" w:hAnsi="宋体" w:eastAsia="宋体" w:cs="宋体"/>
          <w:color w:val="000000" w:themeColor="text1"/>
          <w:szCs w:val="21"/>
          <w:u w:val="single"/>
        </w:rPr>
        <w:t xml:space="preserve">   </w:t>
      </w:r>
    </w:p>
    <w:p w14:paraId="22609F7D">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开户银行：</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开户银行：</w:t>
      </w:r>
      <w:r>
        <w:rPr>
          <w:rFonts w:hint="eastAsia" w:ascii="宋体" w:hAnsi="宋体" w:eastAsia="宋体" w:cs="宋体"/>
          <w:color w:val="000000" w:themeColor="text1"/>
          <w:szCs w:val="21"/>
          <w:u w:val="single"/>
        </w:rPr>
        <w:t xml:space="preserve">   </w:t>
      </w:r>
    </w:p>
    <w:p w14:paraId="2F939864">
      <w:pPr>
        <w:pStyle w:val="18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账  号：</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 xml:space="preserve">   账  号：</w:t>
      </w:r>
      <w:r>
        <w:rPr>
          <w:rFonts w:hint="eastAsia" w:ascii="宋体" w:hAnsi="宋体" w:eastAsia="宋体" w:cs="宋体"/>
          <w:color w:val="000000" w:themeColor="text1"/>
          <w:szCs w:val="21"/>
          <w:u w:val="single"/>
        </w:rPr>
        <w:t xml:space="preserve">     </w:t>
      </w:r>
    </w:p>
    <w:p w14:paraId="4F7DAFE1">
      <w:pPr>
        <w:spacing w:line="460" w:lineRule="atLeas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 </w:t>
      </w:r>
    </w:p>
    <w:p w14:paraId="6319E9B2">
      <w:pPr>
        <w:pStyle w:val="3"/>
        <w:spacing w:line="460" w:lineRule="atLeast"/>
        <w:jc w:val="center"/>
        <w:rPr>
          <w:rFonts w:hint="eastAsia" w:ascii="宋体" w:hAnsi="宋体" w:eastAsia="宋体" w:cs="宋体"/>
          <w:color w:val="000000" w:themeColor="text1"/>
          <w:sz w:val="21"/>
          <w:szCs w:val="21"/>
        </w:rPr>
      </w:pPr>
      <w:bookmarkStart w:id="435" w:name="_Toc18574465"/>
      <w:r>
        <w:rPr>
          <w:rFonts w:hint="eastAsia" w:ascii="宋体" w:hAnsi="宋体" w:eastAsia="宋体" w:cs="宋体"/>
          <w:color w:val="000000" w:themeColor="text1"/>
          <w:sz w:val="21"/>
          <w:szCs w:val="21"/>
        </w:rPr>
        <w:br w:type="page"/>
      </w:r>
      <w:bookmarkStart w:id="436" w:name="_Toc8258"/>
      <w:bookmarkStart w:id="437" w:name="_Toc7525"/>
      <w:bookmarkStart w:id="438" w:name="_Toc32224"/>
      <w:bookmarkStart w:id="439" w:name="_Toc21193"/>
      <w:bookmarkStart w:id="440" w:name="_Toc31431"/>
      <w:bookmarkStart w:id="441" w:name="_Toc9684"/>
      <w:bookmarkStart w:id="442" w:name="_Toc19033"/>
      <w:r>
        <w:rPr>
          <w:rFonts w:hint="eastAsia" w:ascii="宋体" w:hAnsi="宋体" w:eastAsia="宋体" w:cs="宋体"/>
          <w:color w:val="000000" w:themeColor="text1"/>
          <w:sz w:val="21"/>
          <w:szCs w:val="21"/>
        </w:rPr>
        <w:t>第二部分 通用合同条款</w:t>
      </w:r>
      <w:bookmarkEnd w:id="435"/>
      <w:bookmarkEnd w:id="436"/>
      <w:bookmarkEnd w:id="437"/>
      <w:bookmarkEnd w:id="438"/>
      <w:bookmarkEnd w:id="439"/>
      <w:bookmarkEnd w:id="440"/>
      <w:bookmarkEnd w:id="441"/>
      <w:bookmarkEnd w:id="442"/>
    </w:p>
    <w:p w14:paraId="0DDB1225">
      <w:pPr>
        <w:pStyle w:val="5"/>
        <w:spacing w:before="120" w:after="120" w:line="380" w:lineRule="atLeast"/>
        <w:rPr>
          <w:rFonts w:hint="eastAsia" w:ascii="宋体" w:hAnsi="宋体" w:eastAsia="宋体" w:cs="宋体"/>
          <w:b w:val="0"/>
          <w:color w:val="000000" w:themeColor="text1"/>
          <w:sz w:val="21"/>
          <w:szCs w:val="21"/>
        </w:rPr>
      </w:pPr>
      <w:bookmarkStart w:id="443" w:name="_Toc2965"/>
      <w:bookmarkStart w:id="444" w:name="_Toc17356"/>
      <w:bookmarkStart w:id="445" w:name="_Toc1506"/>
      <w:bookmarkStart w:id="446" w:name="_Toc17294"/>
      <w:bookmarkStart w:id="447" w:name="_Toc6774"/>
      <w:bookmarkStart w:id="448" w:name="_Toc29679"/>
      <w:bookmarkStart w:id="449" w:name="_Toc9974"/>
      <w:r>
        <w:rPr>
          <w:rFonts w:hint="eastAsia" w:ascii="宋体" w:hAnsi="宋体" w:eastAsia="宋体" w:cs="宋体"/>
          <w:b w:val="0"/>
          <w:color w:val="000000" w:themeColor="text1"/>
          <w:sz w:val="21"/>
          <w:szCs w:val="21"/>
        </w:rPr>
        <w:t>1. 一般约定</w:t>
      </w:r>
      <w:bookmarkEnd w:id="443"/>
      <w:bookmarkEnd w:id="444"/>
      <w:bookmarkEnd w:id="445"/>
      <w:bookmarkEnd w:id="446"/>
      <w:bookmarkEnd w:id="447"/>
      <w:bookmarkEnd w:id="448"/>
      <w:bookmarkEnd w:id="449"/>
    </w:p>
    <w:p w14:paraId="014BFD67">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1.1词语定义与解释</w:t>
      </w:r>
    </w:p>
    <w:p w14:paraId="395053C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合同协议书、通用合同条款、专用合同条款中的下列词语具有本款所赋予的含义：</w:t>
      </w:r>
    </w:p>
    <w:p w14:paraId="4C899BC2">
      <w:pPr>
        <w:adjustRightInd w:val="0"/>
        <w:spacing w:line="38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1.1.1 合同</w:t>
      </w:r>
    </w:p>
    <w:p w14:paraId="331C53E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000000" w:themeColor="text1"/>
          <w:szCs w:val="21"/>
        </w:rPr>
        <w:t>及其附件</w:t>
      </w:r>
      <w:r>
        <w:rPr>
          <w:rFonts w:hint="eastAsia" w:ascii="宋体" w:hAnsi="宋体" w:eastAsia="宋体" w:cs="宋体"/>
          <w:color w:val="000000" w:themeColor="text1"/>
          <w:kern w:val="0"/>
          <w:szCs w:val="21"/>
        </w:rPr>
        <w:t>、通用合同条款、技术标准和要求、图纸、已标价工程量清单或预算书以及其他合同文件。</w:t>
      </w:r>
    </w:p>
    <w:p w14:paraId="4CEDBFB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1.1.1.2 合同协议书：是指构成合同的由发包人和承包人共同签署的称为“合同协议书”的书面文件。</w:t>
      </w:r>
    </w:p>
    <w:p w14:paraId="0AD493F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1.1.1.3 中标通知书：是指构成合同的由发包人通知承包人中标的书面文件。</w:t>
      </w:r>
    </w:p>
    <w:p w14:paraId="666B98F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1.1.1.4 投标函：是指构成合同的由承包人填写并签署的用于投标的称为“投标函”的文件。</w:t>
      </w:r>
    </w:p>
    <w:p w14:paraId="6403D1E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1.1.1.5 投标函附录：是指构成合同的附在投标函后的称为“投标函附录”的文件。</w:t>
      </w:r>
    </w:p>
    <w:p w14:paraId="41D324A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1.1.1.6 技术标准和要求：是指构成合同的施工应当遵守的或指导施工的国家、行业或地方的技术标准和要求，以及合同约定的技术标准和要求。</w:t>
      </w:r>
    </w:p>
    <w:p w14:paraId="206CAE33">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56B82C98">
      <w:pPr>
        <w:adjustRightInd w:val="0"/>
        <w:spacing w:line="380" w:lineRule="atLeast"/>
        <w:ind w:firstLine="409" w:firstLineChars="195"/>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1.1.1.8 已标价工程量清单：是指构成合同的由承包人按照规定的格式和要求填写并标明价格的工程量清单，包括说明和表格。</w:t>
      </w:r>
    </w:p>
    <w:p w14:paraId="5F160AC7">
      <w:pPr>
        <w:adjustRightInd w:val="0"/>
        <w:spacing w:line="380" w:lineRule="atLeast"/>
        <w:ind w:firstLine="409" w:firstLineChars="195"/>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1.1.1.9 预算书：是指构成合同的由承包人按照发包人规定的格式和要求编制的工程预算文件。</w:t>
      </w:r>
    </w:p>
    <w:p w14:paraId="093A0F5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1.1.1.10 其他合同文件：是指经合同当事人约定的与工程施工有关的具有合同约束力的文件或书面协议。合同当事人可以在专用合同条款中进行约定。</w:t>
      </w:r>
    </w:p>
    <w:p w14:paraId="7CB6B72D">
      <w:pPr>
        <w:adjustRightInd w:val="0"/>
        <w:spacing w:line="38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1.1.2 合同当事人及其他相关方</w:t>
      </w:r>
    </w:p>
    <w:p w14:paraId="68CE6BF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1.1.2.1 合同当事人：是指发包人和（或）承包人。</w:t>
      </w:r>
    </w:p>
    <w:p w14:paraId="0C054AA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1.1.2.2 发包人：是指与承包人签订合同协议书的当事人及取得该当事人资格的合法继承人。</w:t>
      </w:r>
    </w:p>
    <w:p w14:paraId="036DA17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1.1.2.3 承包人：是指与发包人签订合同协议书的，具有相应工程施工承包资质的当事人及取得该当事人资格的合法继承人。</w:t>
      </w:r>
    </w:p>
    <w:p w14:paraId="0F5F448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1.1.2.4 监理人：是指在专用合同条款中指明的，受发包人委托按照法律规定进行工程监督管理的法人或其他组织。</w:t>
      </w:r>
    </w:p>
    <w:p w14:paraId="190BA05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1.1.2.5 设计人：是指在专用合同条款中指明的，受发包人委托负责工程设计并具备相应工程设计资质的法人或其他组织。</w:t>
      </w:r>
    </w:p>
    <w:p w14:paraId="663D5E70">
      <w:pPr>
        <w:spacing w:line="380" w:lineRule="atLeast"/>
        <w:ind w:firstLine="409" w:firstLineChars="195"/>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1.1.2.6 分包人：是指按照法律规定和合同约定，分包部分工程或工作，并与承包人签订分包合同的具有相应资质的法人。</w:t>
      </w:r>
    </w:p>
    <w:p w14:paraId="6C64FC2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1.1.2.7 发包人代表：是指由发包人任命并派驻施工现场在发包人授权范围内行使发包人权利的人。</w:t>
      </w:r>
    </w:p>
    <w:p w14:paraId="37D184A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1.1.2.8 项目经理：是指由承包人任命并派驻施工现场，在承包人授权范围内负责合同履行，且按照法律规定具有相应资格的项目负责人。</w:t>
      </w:r>
    </w:p>
    <w:p w14:paraId="653D23F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1.1.2.9 总监理工程师：是指由监理人任命并派驻施工现场进行工程监理的总负责人。</w:t>
      </w:r>
    </w:p>
    <w:p w14:paraId="2057E7B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 工程和设备</w:t>
      </w:r>
    </w:p>
    <w:p w14:paraId="0B5180E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1.1.3.1 工程：是指与合同协议书中工程承包范围对应的永久工程和（或）临时工程。</w:t>
      </w:r>
    </w:p>
    <w:p w14:paraId="46AB951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1.1.3.2 永久工程：是指按合同约定建造并移交给发包人的工程，包括工程设备。</w:t>
      </w:r>
    </w:p>
    <w:p w14:paraId="35D21B83">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1.1.3.3 临时工程：是指为完成合同约定的永久工程所修建的各类临时性工程，不包括施工设备。</w:t>
      </w:r>
    </w:p>
    <w:p w14:paraId="3012063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1.1.3.4 单位工程：是指在合同协议书中指明的，具备独立施工条件并能形成独立使用功能的永久工程。</w:t>
      </w:r>
    </w:p>
    <w:p w14:paraId="12C8612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1.1.3.5 工程设备：是指构成永久工程的机电设备、金属结构设备、仪器及其他类似的设备和装置。</w:t>
      </w:r>
    </w:p>
    <w:p w14:paraId="180B3C5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1.1.3.6 施工设备：是指为完成合同约定的各项工作所需的设备、器具和其他物品，但不包括工程设备、临时工程和材料。</w:t>
      </w:r>
    </w:p>
    <w:p w14:paraId="17F802F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1.1.3.7 施工现场：是指用于工程施工的场所，以及在专用合同条款中指明作为施工场所组成部分的其他场所，包括永久占地和临时占地。</w:t>
      </w:r>
    </w:p>
    <w:p w14:paraId="2150939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1.1.3.8临时设施：是指为完成合同约定的各项工作所服务的临时性生产和生活设施。</w:t>
      </w:r>
    </w:p>
    <w:p w14:paraId="1A84032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1.1.3.9 永久占地：是指专用合同条款中指明为实施工程需永久占用的土地。</w:t>
      </w:r>
    </w:p>
    <w:p w14:paraId="410238D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1.1.3.10 临时占地：是指专用合同条款中指明为实施工程需要临时占用的土地。</w:t>
      </w:r>
    </w:p>
    <w:p w14:paraId="679760D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1.1.4 日期和期限</w:t>
      </w:r>
    </w:p>
    <w:p w14:paraId="0329616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10B2B34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1.1.4.2 竣工日期：包括计划竣工日期和实际竣工日期。计划竣工日期是指合同协议书约定的竣工日期；实际竣工日期按照第13.2.3项〔竣工日期〕的约定确定。 </w:t>
      </w:r>
    </w:p>
    <w:p w14:paraId="49CFC3E0">
      <w:pPr>
        <w:spacing w:line="380" w:lineRule="atLeast"/>
        <w:ind w:firstLine="426" w:firstLineChars="203"/>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1.1.4.3 工期：是指在合同协议书约定的承包人完成工程所需的期限，包括按照合同约定所作的期限变更。</w:t>
      </w:r>
    </w:p>
    <w:p w14:paraId="3CAE433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1.1.4.4 缺陷责任期：是指承包人按照合同约定承担缺陷修复义务，且发包人预留质量保证金（已缴纳履约保证金的除外）的期限，自工程实际竣工日期起计算。</w:t>
      </w:r>
    </w:p>
    <w:p w14:paraId="5F50B33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1.1.4.5 保修期：是指承包人按照合同约定对工程承担保修责任的期限，从工程竣工验收合格之日起计算。</w:t>
      </w:r>
    </w:p>
    <w:p w14:paraId="189AF18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1.1.4.6 基准日期：招标发包的工程以投标截止日前28天的日期为基准日期，直接发包的工程以合同签订日前28天的日期为基准日期。</w:t>
      </w:r>
    </w:p>
    <w:p w14:paraId="698572E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1.1.4.7 天：除特别指明外，均指日历天。合同中按天计算时间的，开始当天不计入，从次日开始计算，期限最后一天的截止时间为当天24:00时。</w:t>
      </w:r>
    </w:p>
    <w:p w14:paraId="19535D0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1.1.5 合同价格和费用</w:t>
      </w:r>
    </w:p>
    <w:p w14:paraId="58B75095">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1.1.5.1 签约合同价：是指</w:t>
      </w:r>
      <w:r>
        <w:rPr>
          <w:rFonts w:hint="eastAsia" w:ascii="宋体" w:hAnsi="宋体" w:eastAsia="宋体" w:cs="宋体"/>
          <w:color w:val="000000" w:themeColor="text1"/>
          <w:szCs w:val="21"/>
        </w:rPr>
        <w:t>发包人和承包人在合同协议书中确定的总金额，包括安全文明施工费、暂估价及暂列金额等。</w:t>
      </w:r>
    </w:p>
    <w:p w14:paraId="718AB15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1.1.5.2 合同价格：是指发包人用于支付承包人按照合同约定完成承包范围内全部工作的金额，包括合同履行过程中按合同约定发生的价格变化。</w:t>
      </w:r>
    </w:p>
    <w:p w14:paraId="78E3B29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1.1.5.3 费用：是指为履行合同所发生的或将要发生的所有必需的开支，包括管理费和应分摊的其他费用，但不包括利润。</w:t>
      </w:r>
    </w:p>
    <w:p w14:paraId="112B509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1.1.5.4 暂估价：是指发包人在工程量清单或预算书中提供的用于支付必然发生但暂时不能确定价格的材料、工程设备的单价、专业工程以及服务工作的金额。</w:t>
      </w:r>
    </w:p>
    <w:p w14:paraId="30535A1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18AE70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1.1.5.6 计日工：是指合同履行过程中，承包人完成发包人提出的零星工作或需要采用计日工计价的变更工作时，按合同中约定的单价计价的一种方式。</w:t>
      </w:r>
    </w:p>
    <w:p w14:paraId="4676F77B">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1.1.5.7 质量保证金：是指按照第15.3款〔质量保证金〕约定承包人用于保证其在缺陷责任期内履行缺陷修补义务的担保</w:t>
      </w:r>
      <w:r>
        <w:rPr>
          <w:rFonts w:hint="eastAsia" w:ascii="宋体" w:hAnsi="宋体" w:eastAsia="宋体" w:cs="宋体"/>
          <w:color w:val="000000" w:themeColor="text1"/>
          <w:szCs w:val="21"/>
        </w:rPr>
        <w:t>。</w:t>
      </w:r>
    </w:p>
    <w:p w14:paraId="2E4B362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1.1.5.8 总价项目：是指在现行国家、行业以及地方的计量规则中无工程量计算规则，在已标价工程量清单或预算书中以总价或以费率形式计算的项目。</w:t>
      </w:r>
    </w:p>
    <w:p w14:paraId="11D606A6">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1.1.6 其他</w:t>
      </w:r>
    </w:p>
    <w:p w14:paraId="24BB0766">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1.1.6.1 书面形式：是指合同文件、信函、电报、传真等可以有形地表现所载内容的形式。</w:t>
      </w:r>
    </w:p>
    <w:p w14:paraId="49A36900">
      <w:pPr>
        <w:pStyle w:val="6"/>
        <w:spacing w:before="120" w:after="120" w:line="380" w:lineRule="atLeast"/>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 xml:space="preserve">    1.2语言文字</w:t>
      </w:r>
    </w:p>
    <w:p w14:paraId="440A26C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合同以中国的汉语简体文字编写、解释和说明。合同当事人在专用合同条款中约定使用两种以上语言时，汉语为优先解释和说明合同的语言。</w:t>
      </w:r>
    </w:p>
    <w:p w14:paraId="33FED3F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1.3法律</w:t>
      </w:r>
    </w:p>
    <w:p w14:paraId="72DA319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合同所称法律是指中华人民共和国法律、行政法规、部门规章，以及工程所在地的地方性法规、自治条例、单行条例和地方政府规章等。</w:t>
      </w:r>
    </w:p>
    <w:p w14:paraId="52A0FA5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合同当事人可以在专用合同条款中约定合同适用的其他规范性文件。</w:t>
      </w:r>
    </w:p>
    <w:p w14:paraId="173FFE5D">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1.4 标准和规范</w:t>
      </w:r>
    </w:p>
    <w:p w14:paraId="0606F0ED">
      <w:pPr>
        <w:adjustRightInd w:val="0"/>
        <w:spacing w:line="380" w:lineRule="atLeast"/>
        <w:ind w:firstLine="64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1.4.1 适用于工程的国家标准、行业标准、工程所在地的地方性标准，以及相应的规范、规程等，合同当事人有特别要求的，应在专用合同条款中约定。</w:t>
      </w:r>
    </w:p>
    <w:p w14:paraId="35CB0CE4">
      <w:pPr>
        <w:adjustRightInd w:val="0"/>
        <w:spacing w:line="380" w:lineRule="atLeast"/>
        <w:ind w:firstLine="64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1.4.2 发包人要求使用国外标准、规范的，发包人负责提供原文版本和中文译本，并在专用合同条款中约定提供标准规范的名称、份数和时间。</w:t>
      </w:r>
    </w:p>
    <w:p w14:paraId="315CBFA6">
      <w:pPr>
        <w:adjustRightInd w:val="0"/>
        <w:spacing w:line="380" w:lineRule="atLeast"/>
        <w:ind w:firstLine="64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D8FD9DE">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1.5 合同文件的优先顺序</w:t>
      </w:r>
    </w:p>
    <w:p w14:paraId="16CC6C4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组成合同的各项文件应互相解释，互为说明。除专用合同条款另有约定外，解释合同文件的优先顺序如下：</w:t>
      </w:r>
    </w:p>
    <w:p w14:paraId="0E1F913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（1）合同协议书；</w:t>
      </w:r>
    </w:p>
    <w:p w14:paraId="74F59D1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（2）中标通知书（如果有）；</w:t>
      </w:r>
    </w:p>
    <w:p w14:paraId="484818F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（3）投标函及其附录（如果有）；</w:t>
      </w:r>
    </w:p>
    <w:p w14:paraId="7B915D2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（4）专用合同条款</w:t>
      </w:r>
      <w:r>
        <w:rPr>
          <w:rFonts w:hint="eastAsia" w:ascii="宋体" w:hAnsi="宋体" w:eastAsia="宋体" w:cs="宋体"/>
          <w:color w:val="000000" w:themeColor="text1"/>
          <w:szCs w:val="21"/>
        </w:rPr>
        <w:t>及其附件</w:t>
      </w:r>
      <w:r>
        <w:rPr>
          <w:rFonts w:hint="eastAsia" w:ascii="宋体" w:hAnsi="宋体" w:eastAsia="宋体" w:cs="宋体"/>
          <w:color w:val="000000" w:themeColor="text1"/>
          <w:kern w:val="0"/>
          <w:szCs w:val="21"/>
        </w:rPr>
        <w:t>；</w:t>
      </w:r>
    </w:p>
    <w:p w14:paraId="1C200BE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（5）通用合同条款；</w:t>
      </w:r>
    </w:p>
    <w:p w14:paraId="5865DE5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（6）技术标准和要求；</w:t>
      </w:r>
    </w:p>
    <w:p w14:paraId="0C7182A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（7）图纸；</w:t>
      </w:r>
    </w:p>
    <w:p w14:paraId="6BE5515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（8）已标价工程量清单或预算书；</w:t>
      </w:r>
    </w:p>
    <w:p w14:paraId="03405522">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（9）其他合同文件。</w:t>
      </w:r>
    </w:p>
    <w:p w14:paraId="4888CEF6">
      <w:pPr>
        <w:spacing w:line="380" w:lineRule="atLeast"/>
        <w:ind w:firstLine="447" w:firstLineChars="213"/>
        <w:rPr>
          <w:rFonts w:hint="eastAsia" w:ascii="宋体" w:hAnsi="宋体" w:eastAsia="宋体" w:cs="宋体"/>
          <w:color w:val="000000" w:themeColor="text1"/>
          <w:szCs w:val="21"/>
        </w:rPr>
      </w:pPr>
      <w:r>
        <w:rPr>
          <w:rFonts w:hint="eastAsia" w:ascii="宋体" w:hAnsi="宋体" w:eastAsia="宋体" w:cs="宋体"/>
          <w:color w:val="000000" w:themeColor="text1"/>
          <w:szCs w:val="21"/>
        </w:rPr>
        <w:t>上述各项合同文件包括合同当事人就该项合同文件所作出的补充和修改，属于同一类内容的文件，应以最新签署的为准。</w:t>
      </w:r>
    </w:p>
    <w:p w14:paraId="7DA5A18C">
      <w:pPr>
        <w:spacing w:line="380" w:lineRule="atLeast"/>
        <w:ind w:firstLine="447" w:firstLineChars="213"/>
        <w:rPr>
          <w:rFonts w:hint="eastAsia" w:ascii="宋体" w:hAnsi="宋体" w:eastAsia="宋体" w:cs="宋体"/>
          <w:color w:val="000000" w:themeColor="text1"/>
          <w:szCs w:val="21"/>
        </w:rPr>
      </w:pPr>
      <w:r>
        <w:rPr>
          <w:rFonts w:hint="eastAsia" w:ascii="宋体" w:hAnsi="宋体" w:eastAsia="宋体" w:cs="宋体"/>
          <w:color w:val="000000" w:themeColor="text1"/>
          <w:szCs w:val="21"/>
        </w:rPr>
        <w:t>在合同订立及履行过程中形成的与合同有关的文件均构成合同文件组成部分，并根据其性质确定优先解释顺序。</w:t>
      </w:r>
    </w:p>
    <w:p w14:paraId="086BB20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1.6图纸和承包人文件</w:t>
      </w:r>
    </w:p>
    <w:p w14:paraId="606D83B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1.6.1 图纸的提供和交底</w:t>
      </w:r>
    </w:p>
    <w:p w14:paraId="4AE85AC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BF2085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因发包人未按合同约定提供图纸导致承包人费用增加和（或）工期延误的，按照第7.5.1项〔因发包人原因导致工期延误〕约定办理。</w:t>
      </w:r>
    </w:p>
    <w:p w14:paraId="31F971A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1.6.2 图纸的错误</w:t>
      </w:r>
    </w:p>
    <w:p w14:paraId="7CD0287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888E34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1.6.3 图纸的修改和补充</w:t>
      </w:r>
    </w:p>
    <w:p w14:paraId="5919344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7178EFB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1.6.4 承包人文件</w:t>
      </w:r>
    </w:p>
    <w:p w14:paraId="3946880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承包人应按照专用合同条款的约定提供应当由其编制的与工程施工有关的文件，并按照专用合同条款约定的期限、数量和形式提交监理人，并由监理人报送发包人。</w:t>
      </w:r>
    </w:p>
    <w:p w14:paraId="590AF99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0E9B33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1.6.5 图纸和承包人文件的保管</w:t>
      </w:r>
    </w:p>
    <w:p w14:paraId="5D483B2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除专用合同条款另有约定外，承包人应在施工现场另外保存一套完整的图纸和承包人文件，供发包人、监理人及有关人员进行工程检查时使用。</w:t>
      </w:r>
    </w:p>
    <w:p w14:paraId="502511A5">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1.7联络</w:t>
      </w:r>
    </w:p>
    <w:p w14:paraId="7A3EA55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1.7.1 与合同有关的通知、批准、证明、证书、指示、指令、要求、请求、同意、意见、确定和决定等，均应采用书面形式，并应在合同约定的期限内送达接收人和送达地点。</w:t>
      </w:r>
    </w:p>
    <w:p w14:paraId="468D6B7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1.7.2 发包人和承包人应在专用合同条款中约定各自的送达接收人和送达地点。任何一方合同当事人指定的接收人或送达地点发生变动的，应提前3天以书面形式通知对方。</w:t>
      </w:r>
    </w:p>
    <w:p w14:paraId="0DB97A4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1.7.3 发包人和承包人应当及时签收另一方送达至送达地点和指定接收人的来往信函。拒不签收的，由此增加的费用和（或）延误的工期由拒绝接收一方承担。</w:t>
      </w:r>
    </w:p>
    <w:p w14:paraId="5FE06F4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1.8严禁贿赂</w:t>
      </w:r>
    </w:p>
    <w:p w14:paraId="49E31CD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合同当事人不得以贿赂或变相贿赂的方式，谋取非法利益或损害对方权益。因一方合同当事人的贿赂造成对方损失的，应赔偿损失，并承担相应的法律责任。</w:t>
      </w:r>
    </w:p>
    <w:p w14:paraId="0BBCA66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5BC9A9ED">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1.9化石、文物</w:t>
      </w:r>
    </w:p>
    <w:p w14:paraId="73AE4C0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E91007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发包人、监理人和承包人应按有关政府行政管理部门要求采取妥善的保护措施，由此增加的费用和（或）延误的工期由发包人承担。</w:t>
      </w:r>
    </w:p>
    <w:p w14:paraId="009B077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承包人发现文物后不及时报告或隐瞒不报，致使文物丢失或损坏的，应赔偿损失，并承担相应的法律责任。</w:t>
      </w:r>
    </w:p>
    <w:p w14:paraId="43D57E6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1.10交通运输</w:t>
      </w:r>
    </w:p>
    <w:p w14:paraId="401B070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1.10.1 出入现场的权利</w:t>
      </w:r>
    </w:p>
    <w:p w14:paraId="4D49655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FB65B9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3D92012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1.10.2 场外交通</w:t>
      </w:r>
    </w:p>
    <w:p w14:paraId="6839351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C3645A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1.10.3场内交通</w:t>
      </w:r>
    </w:p>
    <w:p w14:paraId="6D4CF7C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23ABF43">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3A4691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场外交通和场内交通的边界由合同当事人在专用合同条款中约定。</w:t>
      </w:r>
    </w:p>
    <w:p w14:paraId="471B962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1.10.4 超大件和超重件的运输</w:t>
      </w:r>
    </w:p>
    <w:p w14:paraId="4CF1479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CA25DA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1.10.5 道路和桥梁的损坏责任</w:t>
      </w:r>
    </w:p>
    <w:p w14:paraId="08C2449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因承包人运输造成施工场地内外公共道路和桥梁损坏的，由承包人承担修复损坏的全部费用和可能引起的赔偿。</w:t>
      </w:r>
    </w:p>
    <w:p w14:paraId="3620BA6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1.10.6 水路和航空运输</w:t>
      </w:r>
    </w:p>
    <w:p w14:paraId="0CCFB1D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1BDD4DE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 xml:space="preserve">1.11知识产权 </w:t>
      </w:r>
    </w:p>
    <w:p w14:paraId="7554586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630B43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F25696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4C5D835">
      <w:pPr>
        <w:spacing w:line="380" w:lineRule="atLeas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 xml:space="preserve">    </w:t>
      </w:r>
      <w:r>
        <w:rPr>
          <w:rFonts w:hint="eastAsia" w:ascii="宋体" w:hAnsi="宋体" w:eastAsia="宋体" w:cs="宋体"/>
          <w:color w:val="000000" w:themeColor="text1"/>
          <w:szCs w:val="21"/>
        </w:rPr>
        <w:t>1.11.4 除专用合同条款另有约定外，承包人在合同签订前和签订时已确定采用的专利、专有技术、技术秘密的使用费已包含在签约合同价中。</w:t>
      </w:r>
    </w:p>
    <w:p w14:paraId="1FA36665">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1.12保密</w:t>
      </w:r>
    </w:p>
    <w:p w14:paraId="72D3C3D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除法律规定或合同另有约定外，未经发包人同意，承包人不得将发包人提供的图纸、文件以及声明需要保密的资料信息等商业秘密泄露给第三方。</w:t>
      </w:r>
    </w:p>
    <w:p w14:paraId="3CF68FB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除法律规定或合同另有约定外，未经承包人同意，发包人不得将承包人提供的技术秘密及声明需要保密的资料信息等商业秘密泄露给第三方。</w:t>
      </w:r>
    </w:p>
    <w:p w14:paraId="46742547">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1.13工程量清单错误的修正</w:t>
      </w:r>
    </w:p>
    <w:p w14:paraId="0B0E321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除专用合同条款另有约定外，发包人提供的工程量清单，应被认为是准确的和完整的。出现下列情形之一时，发包人应予以修正，并相应调整合同价格：</w:t>
      </w:r>
    </w:p>
    <w:p w14:paraId="358FFD7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（1）工程量清单存在缺项、漏项的；</w:t>
      </w:r>
    </w:p>
    <w:p w14:paraId="08E6AC7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（2）工程量清单偏差超出专用合同条款约定的工程量偏差范围的；</w:t>
      </w:r>
    </w:p>
    <w:p w14:paraId="799AF97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（3）未按照国家现行计量规范强制性规定计量的。</w:t>
      </w:r>
    </w:p>
    <w:p w14:paraId="1A172354">
      <w:pPr>
        <w:pStyle w:val="5"/>
        <w:spacing w:before="120" w:after="120" w:line="380" w:lineRule="atLeast"/>
        <w:rPr>
          <w:rFonts w:hint="eastAsia" w:ascii="宋体" w:hAnsi="宋体" w:eastAsia="宋体" w:cs="宋体"/>
          <w:b w:val="0"/>
          <w:color w:val="000000" w:themeColor="text1"/>
          <w:sz w:val="21"/>
          <w:szCs w:val="21"/>
        </w:rPr>
      </w:pPr>
      <w:bookmarkStart w:id="450" w:name="_Toc15554"/>
      <w:bookmarkStart w:id="451" w:name="_Toc4034"/>
      <w:bookmarkStart w:id="452" w:name="_Toc29484"/>
      <w:bookmarkStart w:id="453" w:name="_Toc6182"/>
      <w:bookmarkStart w:id="454" w:name="_Toc13467"/>
      <w:bookmarkStart w:id="455" w:name="_Toc11268"/>
      <w:bookmarkStart w:id="456" w:name="_Toc1339"/>
      <w:r>
        <w:rPr>
          <w:rFonts w:hint="eastAsia" w:ascii="宋体" w:hAnsi="宋体" w:eastAsia="宋体" w:cs="宋体"/>
          <w:b w:val="0"/>
          <w:color w:val="000000" w:themeColor="text1"/>
          <w:sz w:val="21"/>
          <w:szCs w:val="21"/>
        </w:rPr>
        <w:t>2. 发包人</w:t>
      </w:r>
      <w:bookmarkEnd w:id="450"/>
      <w:bookmarkEnd w:id="451"/>
      <w:bookmarkEnd w:id="452"/>
      <w:bookmarkEnd w:id="453"/>
      <w:bookmarkEnd w:id="454"/>
      <w:bookmarkEnd w:id="455"/>
      <w:bookmarkEnd w:id="456"/>
    </w:p>
    <w:p w14:paraId="3D34CDCC">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2.1 许可或批准</w:t>
      </w:r>
    </w:p>
    <w:p w14:paraId="414DA95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AE6EDD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因发包人原因未能及时办理完毕前述许可、批准或备案，由发包人承担由此增加的费用和（或）延误的工期，并支付承包人合理的利润。</w:t>
      </w:r>
    </w:p>
    <w:p w14:paraId="087CEFA3">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2.2 发包人代表</w:t>
      </w:r>
    </w:p>
    <w:p w14:paraId="661688B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021D214">
      <w:pPr>
        <w:spacing w:line="38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发包人代表不能按照合同约定履行其职责及义务，并导致合同无法继续正常履行的，承包人可以要求发包人撤换发包人代表。</w:t>
      </w:r>
    </w:p>
    <w:p w14:paraId="28665E5F">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不属于法定必须监理的工程，监理人的职权可以由发包人代表或发包人指定的其他人员行使。</w:t>
      </w:r>
    </w:p>
    <w:p w14:paraId="46B90CE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2.3 发包人人员</w:t>
      </w:r>
    </w:p>
    <w:p w14:paraId="1671B7C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发包人应要求在施工现场的发包人人员遵守法律及有关安全、质量、环境保护、文明施工等规定，并保障承包人免于承受因发包人人员未遵守上述要求给承包人造成的损失和责任。</w:t>
      </w:r>
    </w:p>
    <w:p w14:paraId="78FD2CEC">
      <w:pPr>
        <w:spacing w:line="380" w:lineRule="atLeast"/>
        <w:ind w:firstLine="64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发包人人员包括发包人代表及其他由发包人派驻施工现场的人员。</w:t>
      </w:r>
    </w:p>
    <w:p w14:paraId="13CFC147">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 xml:space="preserve">2.4 施工现场、施工条件和基础资料的提供  </w:t>
      </w:r>
    </w:p>
    <w:p w14:paraId="3158D7E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2.4.1 提供施工现场</w:t>
      </w:r>
    </w:p>
    <w:p w14:paraId="2E8C671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除专用合同条款另有约定外，发包人应最迟于开工日期7天前向承包人移交施工现场。</w:t>
      </w:r>
    </w:p>
    <w:p w14:paraId="05790C1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2.4.2 提供施工条件</w:t>
      </w:r>
    </w:p>
    <w:p w14:paraId="4F24231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除专用合同条款另有约定外，发包人应负责提供施工所需要的条件，包括：</w:t>
      </w:r>
    </w:p>
    <w:p w14:paraId="57C46B2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（1）将施工用水、电力、通讯线路等施工所必需的条件接至施工现场内；</w:t>
      </w:r>
    </w:p>
    <w:p w14:paraId="47C047E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（2）保证向承包人提供正常施工所需要的进入施工现场的交通条件；</w:t>
      </w:r>
    </w:p>
    <w:p w14:paraId="2CB232A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（3）协调处理施工现场周围地下管线和邻近建筑物、构筑物、古树名木的保护工作，并承担相关费用；</w:t>
      </w:r>
    </w:p>
    <w:p w14:paraId="6A1CE56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（4）按照专用合同条款约定应提供的其他设施和条件。</w:t>
      </w:r>
    </w:p>
    <w:p w14:paraId="56F25657">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2.4.3 提供基础资料</w:t>
      </w:r>
    </w:p>
    <w:p w14:paraId="40EAB01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6CBB46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按照法律规定确需在开工后方能提供的基础资料，发包人应尽其努力及时地在相应工程施工前的合理期限内提供，合理期限应以不影响承包人的正常施工为限。</w:t>
      </w:r>
    </w:p>
    <w:p w14:paraId="180B83D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2.4.4 逾期提供的责任</w:t>
      </w:r>
    </w:p>
    <w:p w14:paraId="3130EA8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因发包人原因未能按合同约定及时向承包人提供施工现场、施工条件、基础资料的，由发包人承担由此增加的费用和（或）延误的工期。</w:t>
      </w:r>
    </w:p>
    <w:p w14:paraId="66B6148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2.5 资金来源证明及支付担保</w:t>
      </w:r>
    </w:p>
    <w:p w14:paraId="61311F1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除专用合同条款另有约定外，发包人应在收到承包人要求提供资金来源证明的书面通知后28天内，向承包人提供能够按照合同约定支付合同价款的相应资金来源证明。</w:t>
      </w:r>
    </w:p>
    <w:p w14:paraId="16FD24E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024129B2">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2.6 支付合同价款</w:t>
      </w:r>
    </w:p>
    <w:p w14:paraId="57DB9F9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发包人应按合同约定向承包人及时支付合同价款。</w:t>
      </w:r>
    </w:p>
    <w:p w14:paraId="7B3C9F36">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2.7 组织竣工验收</w:t>
      </w:r>
    </w:p>
    <w:p w14:paraId="14F2E07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发包人应按合同约定及时组织竣工验收。</w:t>
      </w:r>
    </w:p>
    <w:p w14:paraId="70F749D8">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2.8 现场统一管理协议</w:t>
      </w:r>
    </w:p>
    <w:p w14:paraId="2308527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发包人应与承包人、由发包人直接发包的专业工程的承包人签订施工现场统一管理协议，明确各方的权利义务。施工现场统一管理协议作为专用合同条款的附件。</w:t>
      </w:r>
    </w:p>
    <w:p w14:paraId="5A0E1F74">
      <w:pPr>
        <w:pStyle w:val="5"/>
        <w:spacing w:before="120" w:after="120" w:line="380" w:lineRule="atLeast"/>
        <w:rPr>
          <w:rFonts w:hint="eastAsia" w:ascii="宋体" w:hAnsi="宋体" w:eastAsia="宋体" w:cs="宋体"/>
          <w:b w:val="0"/>
          <w:color w:val="000000" w:themeColor="text1"/>
          <w:sz w:val="21"/>
          <w:szCs w:val="21"/>
        </w:rPr>
      </w:pPr>
      <w:bookmarkStart w:id="457" w:name="_Toc15851"/>
      <w:bookmarkStart w:id="458" w:name="_Toc16129"/>
      <w:bookmarkStart w:id="459" w:name="_Toc18271"/>
      <w:bookmarkStart w:id="460" w:name="_Toc25819"/>
      <w:bookmarkStart w:id="461" w:name="_Toc24803"/>
      <w:bookmarkStart w:id="462" w:name="_Toc15171"/>
      <w:bookmarkStart w:id="463" w:name="_Toc4797"/>
      <w:r>
        <w:rPr>
          <w:rFonts w:hint="eastAsia" w:ascii="宋体" w:hAnsi="宋体" w:eastAsia="宋体" w:cs="宋体"/>
          <w:b w:val="0"/>
          <w:color w:val="000000" w:themeColor="text1"/>
          <w:sz w:val="21"/>
          <w:szCs w:val="21"/>
        </w:rPr>
        <w:t>3. 承包人</w:t>
      </w:r>
      <w:bookmarkEnd w:id="457"/>
      <w:bookmarkEnd w:id="458"/>
      <w:bookmarkEnd w:id="459"/>
      <w:bookmarkEnd w:id="460"/>
      <w:bookmarkEnd w:id="461"/>
      <w:bookmarkEnd w:id="462"/>
      <w:bookmarkEnd w:id="463"/>
    </w:p>
    <w:p w14:paraId="0554B32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3.1 承包人的一般义务</w:t>
      </w:r>
    </w:p>
    <w:p w14:paraId="3750075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承包人在履行合同过程中应遵守法律和工程建设标准规范，并履行以下义务：</w:t>
      </w:r>
    </w:p>
    <w:p w14:paraId="1A7F60D0">
      <w:pPr>
        <w:numPr>
          <w:ilvl w:val="0"/>
          <w:numId w:val="2"/>
        </w:num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办理法律规定应由承包人办理的许可和批准，并将办理结果书面报送发包人留存；</w:t>
      </w:r>
    </w:p>
    <w:p w14:paraId="3C758F5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（2）按法律规定和合同约定完成工程，并在保修期内承担保修义务；</w:t>
      </w:r>
    </w:p>
    <w:p w14:paraId="79798DD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（3）按法律规定和合同约定采取施工安全和环境保护措施，办理工伤保险，确保工程及人员、材料、设备和设施的安全；</w:t>
      </w:r>
    </w:p>
    <w:p w14:paraId="3EB1D9E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（4）按合同约定的工作内容和施工进度要求，编制施工组织设计和施工措施计划，并对所有施工作业和施工方法的完备性和安全可靠性负责；</w:t>
      </w:r>
    </w:p>
    <w:p w14:paraId="19FDED6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EEB5F1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（6）按照第6.3款〔环境保护〕约定负责施工场地及其周边环境与生态的保护工作；</w:t>
      </w:r>
    </w:p>
    <w:p w14:paraId="75FD09B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（7）按第6.1款〔安全文明施工〕约定采取施工安全措施，确保工程及其人员、材料、设备和设施的安全，防止因工程施工造成的人身伤害和财产损失；</w:t>
      </w:r>
    </w:p>
    <w:p w14:paraId="5B98877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（8）将发包人按合同约定支付的各项价款专用于合同工程，且应及时支付其雇用人员工资，并及时向分包人支付合同价款；</w:t>
      </w:r>
    </w:p>
    <w:p w14:paraId="1DA0E26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（9）按照法律规定和合同约定编制竣工资料，完成竣工资料立卷及归档，并按专用合同条款约定的竣工资料的套数、内容、时间等要求移交发包人；</w:t>
      </w:r>
    </w:p>
    <w:p w14:paraId="5F63689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（10）应履行的其他义务。</w:t>
      </w:r>
    </w:p>
    <w:p w14:paraId="64C4C5C5">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3.2 项目经理</w:t>
      </w:r>
    </w:p>
    <w:p w14:paraId="4185DA1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8246CC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0A16BE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承包人违反上述约定的，应按照专用合同条款的约定，承担违约责任。</w:t>
      </w:r>
    </w:p>
    <w:p w14:paraId="699A8A6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60CE41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5CED71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E7BE73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16903A2F">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3.3 承包人人员</w:t>
      </w:r>
    </w:p>
    <w:p w14:paraId="6D06701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15005B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9EAE72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特殊工种作业人员均应持有相应的资格证明，监理人可以随时检查。</w:t>
      </w:r>
    </w:p>
    <w:p w14:paraId="5F9CBA8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B69CFC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1B85B7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3.3.5 承包人擅自更换主要施工管理人员，或前述人员未经监理人或发包人同意擅自离开施工现场的，应按照专用合同条款约定承担违约责任。</w:t>
      </w:r>
    </w:p>
    <w:p w14:paraId="5D6925C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3.4 承包人现场查勘</w:t>
      </w:r>
    </w:p>
    <w:p w14:paraId="3B77A868">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承包人应对基于发包人按照第2.4.3项〔提供基础资料〕提交的基础资料所做出的解释和推断负责，但因基础资料存在错误、遗漏导致承包人解释或推断失实的，由发包人承担责任。</w:t>
      </w:r>
    </w:p>
    <w:p w14:paraId="591C408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BAAA73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3.5 分包</w:t>
      </w:r>
    </w:p>
    <w:p w14:paraId="750E91D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3.5.1 分包的一般约定</w:t>
      </w:r>
    </w:p>
    <w:p w14:paraId="4531ADE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8BCBC8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承包人不得以劳务分包的名义转包或违法分包工程。</w:t>
      </w:r>
    </w:p>
    <w:p w14:paraId="27554F6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3.5.2 分包的确定</w:t>
      </w:r>
    </w:p>
    <w:p w14:paraId="14B7D64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143301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3.5.3 分包管理</w:t>
      </w:r>
    </w:p>
    <w:p w14:paraId="37AB4E5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承包人应向监理人提交分包人的主要施工管理人员表，并对分包人的施工人员进行实名制管理，包括但不限于进出场管理、登记造册以及各种证照的办理。</w:t>
      </w:r>
    </w:p>
    <w:p w14:paraId="0C885A3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3.5.4 分包合同价款</w:t>
      </w:r>
    </w:p>
    <w:p w14:paraId="62670EF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（1）除本项第（2）目约定的情况或专用合同条款另有约定外，分包合同价款由承包人与分包人结算，未经承包人同意，发包人不得向分包人支付分包工程价款；</w:t>
      </w:r>
    </w:p>
    <w:p w14:paraId="5D095F3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（2）生效法律文书要求发包人向分包人支付分包合同价款的，发包人有权从应付承包人工程款中扣除该部分款项。</w:t>
      </w:r>
    </w:p>
    <w:p w14:paraId="068BC33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3.5.5 分包合同权益的转让</w:t>
      </w:r>
    </w:p>
    <w:p w14:paraId="2375B42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2F763AD9">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3.6 工程照管与成品、半成品保护</w:t>
      </w:r>
    </w:p>
    <w:p w14:paraId="2A1787C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（1）除专用合同条款另有约定外，自发包人向承包人移交施工现场之日起，承包人应负责照管工程及工程相关的材料、工程设备，直到颁发工程接收证书之日止。</w:t>
      </w:r>
    </w:p>
    <w:p w14:paraId="0703A51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（2）在承包人负责照管期间，因承包人原因造成工程、材料、工程设备损坏的，由承包人负责修复或更换，并承担由此增加的费用和（或）延误的工期。</w:t>
      </w:r>
    </w:p>
    <w:p w14:paraId="59CD3BB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53774BBF">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3.7 履约担保</w:t>
      </w:r>
    </w:p>
    <w:p w14:paraId="5B64045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B34D38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因承包人原因导致工期延长的，继续提供履约担保所增加的费用由承包人承担；非因承包人原因导致工期延长的，继续提供履约担保所增加的费用由发包人承担。</w:t>
      </w:r>
    </w:p>
    <w:p w14:paraId="71FCC187">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3.8 联合体</w:t>
      </w:r>
    </w:p>
    <w:p w14:paraId="1592A97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3.8.1 联合体各方应共同与发包人签订合同协议书。联合体各方应为履行合同向发包人承担连带责任。</w:t>
      </w:r>
    </w:p>
    <w:p w14:paraId="0F3F92D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3.8.2 联合体协议经发包人确认后作为合同附件。在履行合同过程中，未经发包人同意，不得修改联合体协议。</w:t>
      </w:r>
    </w:p>
    <w:p w14:paraId="475142C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3.8.3 联合体牵头人负责与发包人和监理人联系，并接受指示，负责组织联合体各成员全面履行合同。</w:t>
      </w:r>
    </w:p>
    <w:p w14:paraId="3A97F997">
      <w:pPr>
        <w:pStyle w:val="5"/>
        <w:spacing w:before="120" w:after="120" w:line="380" w:lineRule="atLeast"/>
        <w:rPr>
          <w:rFonts w:hint="eastAsia" w:ascii="宋体" w:hAnsi="宋体" w:eastAsia="宋体" w:cs="宋体"/>
          <w:b w:val="0"/>
          <w:color w:val="000000" w:themeColor="text1"/>
          <w:sz w:val="21"/>
          <w:szCs w:val="21"/>
        </w:rPr>
      </w:pPr>
      <w:bookmarkStart w:id="464" w:name="_Toc3459"/>
      <w:bookmarkStart w:id="465" w:name="_Toc8012"/>
      <w:bookmarkStart w:id="466" w:name="_Toc21682"/>
      <w:bookmarkStart w:id="467" w:name="_Toc14817"/>
      <w:bookmarkStart w:id="468" w:name="_Toc2673"/>
      <w:bookmarkStart w:id="469" w:name="_Toc13762"/>
      <w:r>
        <w:rPr>
          <w:rFonts w:hint="eastAsia" w:ascii="宋体" w:hAnsi="宋体" w:eastAsia="宋体" w:cs="宋体"/>
          <w:b w:val="0"/>
          <w:color w:val="000000" w:themeColor="text1"/>
          <w:sz w:val="21"/>
          <w:szCs w:val="21"/>
        </w:rPr>
        <w:t>4. 监理人</w:t>
      </w:r>
      <w:bookmarkEnd w:id="464"/>
      <w:bookmarkEnd w:id="465"/>
      <w:bookmarkEnd w:id="466"/>
      <w:bookmarkEnd w:id="467"/>
      <w:bookmarkEnd w:id="468"/>
      <w:bookmarkEnd w:id="469"/>
    </w:p>
    <w:p w14:paraId="0EA04EA5">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4.1监理人的一般规定</w:t>
      </w:r>
    </w:p>
    <w:p w14:paraId="674C442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222AAC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除专用合同条款另有约定外，监理人在施工现场的办公场所、生活场所由承包人提供，所发生的费用由发包人承担。</w:t>
      </w:r>
    </w:p>
    <w:p w14:paraId="19639E39">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4.2监理人员</w:t>
      </w:r>
    </w:p>
    <w:p w14:paraId="56E7F79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2853653">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4.3监理人的指示</w:t>
      </w:r>
    </w:p>
    <w:p w14:paraId="607D8B8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F1E57D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D61113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承包人对监理人发出的指示有疑问的，应向监理人提出书面异议，监理人应在48小时内对该指示予以确认、更改或撤销，监理人逾期未回复的，承包人有权拒绝执行上述指示。</w:t>
      </w:r>
    </w:p>
    <w:p w14:paraId="081561C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3CCAE24E">
      <w:pPr>
        <w:pStyle w:val="5"/>
        <w:spacing w:before="120" w:after="120" w:line="380" w:lineRule="atLeast"/>
        <w:ind w:firstLine="420" w:firstLineChars="200"/>
        <w:rPr>
          <w:rFonts w:hint="eastAsia" w:ascii="宋体" w:hAnsi="宋体" w:eastAsia="宋体" w:cs="宋体"/>
          <w:b w:val="0"/>
          <w:color w:val="000000" w:themeColor="text1"/>
          <w:sz w:val="21"/>
          <w:szCs w:val="21"/>
        </w:rPr>
      </w:pPr>
      <w:bookmarkStart w:id="470" w:name="_Toc31714"/>
      <w:bookmarkStart w:id="471" w:name="_Toc6559"/>
      <w:bookmarkStart w:id="472" w:name="_Toc20187"/>
      <w:bookmarkStart w:id="473" w:name="_Toc15283"/>
      <w:bookmarkStart w:id="474" w:name="_Toc15603"/>
      <w:bookmarkStart w:id="475" w:name="_Toc22089"/>
      <w:bookmarkStart w:id="476" w:name="_Toc32263"/>
      <w:r>
        <w:rPr>
          <w:rFonts w:hint="eastAsia" w:ascii="宋体" w:hAnsi="宋体" w:eastAsia="宋体" w:cs="宋体"/>
          <w:b w:val="0"/>
          <w:color w:val="000000" w:themeColor="text1"/>
          <w:sz w:val="21"/>
          <w:szCs w:val="21"/>
        </w:rPr>
        <w:t>4.4 商定或确定</w:t>
      </w:r>
      <w:bookmarkEnd w:id="470"/>
      <w:bookmarkEnd w:id="471"/>
      <w:bookmarkEnd w:id="472"/>
      <w:bookmarkEnd w:id="473"/>
      <w:bookmarkEnd w:id="474"/>
      <w:bookmarkEnd w:id="475"/>
      <w:bookmarkEnd w:id="476"/>
    </w:p>
    <w:p w14:paraId="0830A56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合同当事人进行商定或确定时，总监理工程师应当会同合同当事人尽量通过协商达成一致，不能达成一致的，由总监理工程师按照合同约定审慎做出公正的确定。</w:t>
      </w:r>
    </w:p>
    <w:p w14:paraId="7B95D09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4EBD9C3">
      <w:pPr>
        <w:pStyle w:val="5"/>
        <w:spacing w:before="120" w:after="120" w:line="380" w:lineRule="atLeast"/>
        <w:rPr>
          <w:rFonts w:hint="eastAsia" w:ascii="宋体" w:hAnsi="宋体" w:eastAsia="宋体" w:cs="宋体"/>
          <w:b w:val="0"/>
          <w:color w:val="000000" w:themeColor="text1"/>
          <w:sz w:val="21"/>
          <w:szCs w:val="21"/>
        </w:rPr>
      </w:pPr>
      <w:bookmarkStart w:id="477" w:name="_Toc17905"/>
      <w:bookmarkStart w:id="478" w:name="_Toc12626"/>
      <w:bookmarkStart w:id="479" w:name="_Toc12044"/>
      <w:bookmarkStart w:id="480" w:name="_Toc27268"/>
      <w:bookmarkStart w:id="481" w:name="_Toc31506"/>
      <w:bookmarkStart w:id="482" w:name="_Toc3046"/>
      <w:bookmarkStart w:id="483" w:name="_Toc32540"/>
      <w:r>
        <w:rPr>
          <w:rFonts w:hint="eastAsia" w:ascii="宋体" w:hAnsi="宋体" w:eastAsia="宋体" w:cs="宋体"/>
          <w:b w:val="0"/>
          <w:color w:val="000000" w:themeColor="text1"/>
          <w:sz w:val="21"/>
          <w:szCs w:val="21"/>
        </w:rPr>
        <w:t>5. 工程质量</w:t>
      </w:r>
      <w:bookmarkEnd w:id="477"/>
      <w:bookmarkEnd w:id="478"/>
      <w:bookmarkEnd w:id="479"/>
      <w:bookmarkEnd w:id="480"/>
      <w:bookmarkEnd w:id="481"/>
      <w:bookmarkEnd w:id="482"/>
      <w:bookmarkEnd w:id="483"/>
    </w:p>
    <w:p w14:paraId="576A6F4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5.1质量要求</w:t>
      </w:r>
    </w:p>
    <w:p w14:paraId="05FD1B2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5.1.1 工程质量标准必须符合现行国家有关工程施工质量验收规范和标准的要求。有关工程质量的特殊标准或要求由合同当事人在专用合同条款中约定。</w:t>
      </w:r>
    </w:p>
    <w:p w14:paraId="0E3659D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5.1.2 因发包人原因造成工程质量未达到合同约定标准的，由发包人承担由此增加的费用和（或）延误的工期，并支付承包人合理的利润。</w:t>
      </w:r>
    </w:p>
    <w:p w14:paraId="00765BB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5.1.3 因承包人原因造成工程质量未达到合同约定标准的，发包人有权要求承包人返工直至工程质量达到合同约定的标准为止，并由承包人承担由此增加的费用和（或）延误的工期。</w:t>
      </w:r>
    </w:p>
    <w:p w14:paraId="76591D7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5.2质量保证措施</w:t>
      </w:r>
    </w:p>
    <w:p w14:paraId="1A1928C5">
      <w:pPr>
        <w:adjustRightInd w:val="0"/>
        <w:spacing w:line="380" w:lineRule="atLeast"/>
        <w:ind w:firstLine="420" w:firstLineChars="200"/>
        <w:jc w:val="left"/>
        <w:outlineLvl w:val="0"/>
        <w:rPr>
          <w:rFonts w:hint="eastAsia" w:ascii="宋体" w:hAnsi="宋体" w:eastAsia="宋体" w:cs="宋体"/>
          <w:color w:val="000000" w:themeColor="text1"/>
          <w:kern w:val="0"/>
          <w:szCs w:val="21"/>
        </w:rPr>
      </w:pPr>
      <w:bookmarkStart w:id="484" w:name="_Toc16299"/>
      <w:bookmarkStart w:id="485" w:name="_Toc13735"/>
      <w:bookmarkStart w:id="486" w:name="_Toc13953"/>
      <w:bookmarkStart w:id="487" w:name="_Toc18574466"/>
      <w:bookmarkStart w:id="488" w:name="_Toc22530"/>
      <w:bookmarkStart w:id="489" w:name="_Toc6831"/>
      <w:bookmarkStart w:id="490" w:name="_Toc25234"/>
      <w:bookmarkStart w:id="491" w:name="_Toc22799"/>
      <w:r>
        <w:rPr>
          <w:rFonts w:hint="eastAsia" w:ascii="宋体" w:hAnsi="宋体" w:eastAsia="宋体" w:cs="宋体"/>
          <w:color w:val="000000" w:themeColor="text1"/>
          <w:kern w:val="0"/>
          <w:szCs w:val="21"/>
        </w:rPr>
        <w:t>5.2.1 发包人的质量管理</w:t>
      </w:r>
      <w:bookmarkEnd w:id="484"/>
      <w:bookmarkEnd w:id="485"/>
      <w:bookmarkEnd w:id="486"/>
      <w:bookmarkEnd w:id="487"/>
      <w:bookmarkEnd w:id="488"/>
      <w:bookmarkEnd w:id="489"/>
      <w:bookmarkEnd w:id="490"/>
      <w:bookmarkEnd w:id="491"/>
    </w:p>
    <w:p w14:paraId="6BF3EAE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发包人应按照法律规定及合同约定完成与工程质量有关的各项工作。</w:t>
      </w:r>
    </w:p>
    <w:p w14:paraId="05AFE7A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5.2.2 承包人的质量管理</w:t>
      </w:r>
    </w:p>
    <w:p w14:paraId="05761DA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36D0F59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承包人应对施工人员进行质量教育和技术培训，定期考核施工人员的劳动技能，严格执行施工规范和操作规程。</w:t>
      </w:r>
    </w:p>
    <w:p w14:paraId="6D1BAF1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01A89B9">
      <w:pPr>
        <w:adjustRightInd w:val="0"/>
        <w:spacing w:line="380" w:lineRule="atLeast"/>
        <w:ind w:firstLine="420" w:firstLineChars="200"/>
        <w:jc w:val="left"/>
        <w:outlineLvl w:val="0"/>
        <w:rPr>
          <w:rFonts w:hint="eastAsia" w:ascii="宋体" w:hAnsi="宋体" w:eastAsia="宋体" w:cs="宋体"/>
          <w:color w:val="000000" w:themeColor="text1"/>
          <w:kern w:val="0"/>
          <w:szCs w:val="21"/>
        </w:rPr>
      </w:pPr>
      <w:bookmarkStart w:id="492" w:name="_Toc22485"/>
      <w:bookmarkStart w:id="493" w:name="_Toc22935"/>
      <w:bookmarkStart w:id="494" w:name="_Toc25812"/>
      <w:bookmarkStart w:id="495" w:name="_Toc18574467"/>
      <w:bookmarkStart w:id="496" w:name="_Toc299"/>
      <w:bookmarkStart w:id="497" w:name="_Toc22929"/>
      <w:bookmarkStart w:id="498" w:name="_Toc19021"/>
      <w:bookmarkStart w:id="499" w:name="_Toc18294"/>
      <w:r>
        <w:rPr>
          <w:rFonts w:hint="eastAsia" w:ascii="宋体" w:hAnsi="宋体" w:eastAsia="宋体" w:cs="宋体"/>
          <w:color w:val="000000" w:themeColor="text1"/>
          <w:kern w:val="0"/>
          <w:szCs w:val="21"/>
        </w:rPr>
        <w:t>5.2.3 监理人的质量检查和检验</w:t>
      </w:r>
      <w:bookmarkEnd w:id="492"/>
      <w:bookmarkEnd w:id="493"/>
      <w:bookmarkEnd w:id="494"/>
      <w:bookmarkEnd w:id="495"/>
      <w:bookmarkEnd w:id="496"/>
      <w:bookmarkEnd w:id="497"/>
      <w:bookmarkEnd w:id="498"/>
      <w:bookmarkEnd w:id="499"/>
    </w:p>
    <w:p w14:paraId="0FC955F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1252E7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B06775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5.3 隐蔽工程检查</w:t>
      </w:r>
    </w:p>
    <w:p w14:paraId="117B535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5.3.1承包人自检</w:t>
      </w:r>
    </w:p>
    <w:p w14:paraId="300E9E6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承包人应当对工程隐蔽部位进行自检，并经自检确认是否具备覆盖条件。</w:t>
      </w:r>
    </w:p>
    <w:p w14:paraId="583901F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5.3.2检查程序</w:t>
      </w:r>
    </w:p>
    <w:p w14:paraId="111586C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7A1873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7BFB4B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BD6029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5.3.3 重新检查</w:t>
      </w:r>
    </w:p>
    <w:p w14:paraId="589B8BF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E4896E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5.3.4 承包人私自覆盖</w:t>
      </w:r>
    </w:p>
    <w:p w14:paraId="06417DF9">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6E7BFBCD">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5.4不合格工程的处理</w:t>
      </w:r>
    </w:p>
    <w:p w14:paraId="2617E25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FBB732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5.4.2 因发包人原因造成工程不合格的，由此增加的费用和（或）延误的工期由发包人承担，并支付承包人合理的利润。</w:t>
      </w:r>
    </w:p>
    <w:p w14:paraId="4D78099D">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5.5 质量争议检测</w:t>
      </w:r>
    </w:p>
    <w:p w14:paraId="4CCBB0F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合同当事人对工程质量有争议的，由双方协商确定的工程质量检测机构鉴定，由此产生的费用及因此造成的损失，由责任方承担。</w:t>
      </w:r>
    </w:p>
    <w:p w14:paraId="60E04D12">
      <w:pPr>
        <w:adjustRightInd w:val="0"/>
        <w:spacing w:line="38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合同当事人均有责任的，由双方根据其责任分别承担。合同当事人无法达成一致的，按照第4.4款〔商定或确定〕执行。</w:t>
      </w:r>
    </w:p>
    <w:p w14:paraId="726EED6C">
      <w:pPr>
        <w:pStyle w:val="5"/>
        <w:spacing w:before="120" w:after="120" w:line="380" w:lineRule="atLeast"/>
        <w:rPr>
          <w:rFonts w:hint="eastAsia" w:ascii="宋体" w:hAnsi="宋体" w:eastAsia="宋体" w:cs="宋体"/>
          <w:b w:val="0"/>
          <w:color w:val="000000" w:themeColor="text1"/>
          <w:sz w:val="21"/>
          <w:szCs w:val="21"/>
        </w:rPr>
      </w:pPr>
      <w:bookmarkStart w:id="500" w:name="_Toc6642"/>
      <w:bookmarkStart w:id="501" w:name="_Toc8193"/>
      <w:bookmarkStart w:id="502" w:name="_Toc6978"/>
      <w:bookmarkStart w:id="503" w:name="_Toc7853"/>
      <w:bookmarkStart w:id="504" w:name="_Toc12332"/>
      <w:bookmarkStart w:id="505" w:name="_Toc31526"/>
      <w:bookmarkStart w:id="506" w:name="_Toc30967"/>
      <w:r>
        <w:rPr>
          <w:rFonts w:hint="eastAsia" w:ascii="宋体" w:hAnsi="宋体" w:eastAsia="宋体" w:cs="宋体"/>
          <w:b w:val="0"/>
          <w:color w:val="000000" w:themeColor="text1"/>
          <w:sz w:val="21"/>
          <w:szCs w:val="21"/>
        </w:rPr>
        <w:t>6. 安全文明施工与环境保护</w:t>
      </w:r>
      <w:bookmarkEnd w:id="500"/>
      <w:bookmarkEnd w:id="501"/>
      <w:bookmarkEnd w:id="502"/>
      <w:bookmarkEnd w:id="503"/>
      <w:bookmarkEnd w:id="504"/>
      <w:bookmarkEnd w:id="505"/>
      <w:bookmarkEnd w:id="506"/>
    </w:p>
    <w:p w14:paraId="79A04F89">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6.1安全文明施工</w:t>
      </w:r>
    </w:p>
    <w:p w14:paraId="4C34A1BE">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6.1.1安全生产要求</w:t>
      </w:r>
    </w:p>
    <w:p w14:paraId="3F6DF71E">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33092C1">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000000" w:themeColor="text1"/>
          <w:kern w:val="0"/>
          <w:szCs w:val="21"/>
        </w:rPr>
        <w:t>政府有关行政管理部门</w:t>
      </w:r>
      <w:r>
        <w:rPr>
          <w:rFonts w:hint="eastAsia" w:ascii="宋体" w:hAnsi="宋体" w:eastAsia="宋体" w:cs="宋体"/>
          <w:color w:val="000000" w:themeColor="text1"/>
          <w:szCs w:val="21"/>
        </w:rPr>
        <w:t>采取应急措施。</w:t>
      </w:r>
    </w:p>
    <w:p w14:paraId="589E5623">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因安全生产需要暂停施工的，按照第7.8款〔暂停施工〕的约定执行。</w:t>
      </w:r>
    </w:p>
    <w:p w14:paraId="46A460E1">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6.1.2 安全生产保证措施</w:t>
      </w:r>
    </w:p>
    <w:p w14:paraId="39FFD4D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承包人应当按照有关</w:t>
      </w:r>
      <w:r>
        <w:rPr>
          <w:rFonts w:hint="eastAsia" w:ascii="宋体" w:hAnsi="宋体" w:eastAsia="宋体" w:cs="宋体"/>
          <w:color w:val="000000" w:themeColor="text1"/>
          <w:kern w:val="0"/>
          <w:szCs w:val="21"/>
        </w:rPr>
        <w:t>规定编制安全技术措施或者专项施工方案，</w:t>
      </w:r>
      <w:r>
        <w:rPr>
          <w:rFonts w:hint="eastAsia" w:ascii="宋体" w:hAnsi="宋体" w:eastAsia="宋体" w:cs="宋体"/>
          <w:color w:val="000000" w:themeColor="text1"/>
          <w:szCs w:val="21"/>
        </w:rPr>
        <w:t>建立安全生产责任制度、治安保卫制度及安全生产教育培训制度，并</w:t>
      </w:r>
      <w:r>
        <w:rPr>
          <w:rFonts w:hint="eastAsia" w:ascii="宋体" w:hAnsi="宋体" w:eastAsia="宋体" w:cs="宋体"/>
          <w:color w:val="000000" w:themeColor="text1"/>
          <w:kern w:val="0"/>
          <w:szCs w:val="21"/>
        </w:rPr>
        <w:t>按安全生产法律规定及合同约定履行安全职责，如实</w:t>
      </w:r>
      <w:r>
        <w:rPr>
          <w:rFonts w:hint="eastAsia" w:ascii="宋体" w:hAnsi="宋体" w:eastAsia="宋体" w:cs="宋体"/>
          <w:color w:val="000000" w:themeColor="text1"/>
          <w:szCs w:val="21"/>
        </w:rPr>
        <w:t>编制工程安全生产的有关记录，</w:t>
      </w:r>
      <w:r>
        <w:rPr>
          <w:rFonts w:hint="eastAsia" w:ascii="宋体" w:hAnsi="宋体" w:eastAsia="宋体" w:cs="宋体"/>
          <w:color w:val="000000" w:themeColor="text1"/>
          <w:kern w:val="0"/>
          <w:szCs w:val="21"/>
        </w:rPr>
        <w:t>接受发包人、监理人及政府安全监督部门的检查与监督。</w:t>
      </w:r>
    </w:p>
    <w:p w14:paraId="43A5BD81">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6.1.3特别安全生产事项</w:t>
      </w:r>
    </w:p>
    <w:p w14:paraId="72FC05C6">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25106FD">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承包人在动力设备、输电线路、地下管道、密封防震车间、易燃易爆地段以及临街交通要道附近施工时，施工开始前应向发包人和监理人提出安全防护措施，经发包人认可后实施。 </w:t>
      </w:r>
    </w:p>
    <w:p w14:paraId="3D953098">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5273A8D4">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需单独编制危险性较大分部分项专项工程施工方案的，及要求进行专家论证的超过一定规模的危险性较大的分部分项工程，承包人应及时编制和组织论证。</w:t>
      </w:r>
    </w:p>
    <w:p w14:paraId="4E8B051C">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6.1.4 治安保卫</w:t>
      </w:r>
    </w:p>
    <w:p w14:paraId="7EF6D73C">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除专用合同条款另有约定外，发包人应与当地公安部门协商，在现场建立治安管理机构或联防组织，统一管理施工场地的治安保卫事项，履行合同工程的治安保卫职责。</w:t>
      </w:r>
    </w:p>
    <w:p w14:paraId="7E2482EC">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发包人和承包人除应协助现场治安管理机构或联防组织维护施工场地的社会治安外，还应做好包括生活区在内的各自管辖区的治安保卫工作。</w:t>
      </w:r>
    </w:p>
    <w:p w14:paraId="20087D0A">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C2D231C">
      <w:pPr>
        <w:spacing w:line="38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6.1.5 文明施工</w:t>
      </w:r>
    </w:p>
    <w:p w14:paraId="4497EE1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A00C05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5A9A200">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6.1.6 安全文明施工费</w:t>
      </w:r>
    </w:p>
    <w:p w14:paraId="3E3C0A8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安全文明施工费由发包人承担，发包人不得以任何形式扣减该部分费用。因基准日期后合同所适用的法律或政府有关规定发生变化，增加的安全文明施工费由发包人承担。</w:t>
      </w:r>
    </w:p>
    <w:p w14:paraId="0F5AA49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E68D52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A8C14B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F85DDF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6.1.7 紧急情况处理</w:t>
      </w:r>
    </w:p>
    <w:p w14:paraId="766EF56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579BCC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6.1.8 事故处理</w:t>
      </w:r>
    </w:p>
    <w:p w14:paraId="56E54D2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81000D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6.1.9 安全生产责任</w:t>
      </w:r>
    </w:p>
    <w:p w14:paraId="713C189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6.1.9.1 发包人的安全责任</w:t>
      </w:r>
    </w:p>
    <w:p w14:paraId="699D734E">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发包人应负责赔偿以下各种情况造成的损失：</w:t>
      </w:r>
    </w:p>
    <w:p w14:paraId="1EB3AA46">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（1）工程或工程的任何部分对土地的占用所造成的第三者财产损失；</w:t>
      </w:r>
    </w:p>
    <w:p w14:paraId="046CEAAB">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（2）由于发包人原因在施工场地及其毗邻地带造成的第三者人身伤亡和财产损失；</w:t>
      </w:r>
    </w:p>
    <w:p w14:paraId="3DCB2655">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（3）由于发包人原因对承包人、监理人造成的人员人身伤亡和财产损失；</w:t>
      </w:r>
    </w:p>
    <w:p w14:paraId="382D2B0D">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（4）由于发包人原因造成的发包人自身人员的人身伤害以及财产损失。</w:t>
      </w:r>
    </w:p>
    <w:p w14:paraId="59774B0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6.1.9.2 承包人的安全责任</w:t>
      </w:r>
    </w:p>
    <w:p w14:paraId="3CAEE5A8">
      <w:pPr>
        <w:spacing w:line="38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由于承包人原因在施工场地内及其毗邻地带造成的发包人、监理人以及第三者人员伤亡和财产损失，由承包人负责赔偿。</w:t>
      </w:r>
    </w:p>
    <w:p w14:paraId="2B6A5C5D">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6.2 职业健康</w:t>
      </w:r>
    </w:p>
    <w:p w14:paraId="37A8CDD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6.2.1 劳动保护</w:t>
      </w:r>
    </w:p>
    <w:p w14:paraId="159F4C8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9A85AA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F9FC31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022F773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6.2.2 生活条件</w:t>
      </w:r>
    </w:p>
    <w:p w14:paraId="1E08CAE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DFC1F49">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6.3 环境保护</w:t>
      </w:r>
    </w:p>
    <w:p w14:paraId="4283E2E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C68476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承包人应当承担因其原因引起的环境污染侵权损害赔偿责任，因上述环境污染引起纠纷而导致暂停施工的，由此增加的费用和（或）延误的工期由承包人承担。</w:t>
      </w:r>
    </w:p>
    <w:p w14:paraId="01FF3D61">
      <w:pPr>
        <w:pStyle w:val="5"/>
        <w:spacing w:before="120" w:after="120" w:line="380" w:lineRule="atLeast"/>
        <w:rPr>
          <w:rFonts w:hint="eastAsia" w:ascii="宋体" w:hAnsi="宋体" w:eastAsia="宋体" w:cs="宋体"/>
          <w:b w:val="0"/>
          <w:color w:val="000000" w:themeColor="text1"/>
          <w:sz w:val="21"/>
          <w:szCs w:val="21"/>
        </w:rPr>
      </w:pPr>
      <w:bookmarkStart w:id="507" w:name="_Toc80"/>
      <w:bookmarkStart w:id="508" w:name="_Toc14777"/>
      <w:bookmarkStart w:id="509" w:name="_Toc13464"/>
      <w:bookmarkStart w:id="510" w:name="_Toc14825"/>
      <w:bookmarkStart w:id="511" w:name="_Toc9942"/>
      <w:bookmarkStart w:id="512" w:name="_Toc31497"/>
      <w:bookmarkStart w:id="513" w:name="_Toc23386"/>
      <w:r>
        <w:rPr>
          <w:rFonts w:hint="eastAsia" w:ascii="宋体" w:hAnsi="宋体" w:eastAsia="宋体" w:cs="宋体"/>
          <w:b w:val="0"/>
          <w:color w:val="000000" w:themeColor="text1"/>
          <w:sz w:val="21"/>
          <w:szCs w:val="21"/>
        </w:rPr>
        <w:t>7. 工期和进度</w:t>
      </w:r>
      <w:bookmarkEnd w:id="507"/>
      <w:bookmarkEnd w:id="508"/>
      <w:bookmarkEnd w:id="509"/>
      <w:bookmarkEnd w:id="510"/>
      <w:bookmarkEnd w:id="511"/>
      <w:bookmarkEnd w:id="512"/>
      <w:bookmarkEnd w:id="513"/>
    </w:p>
    <w:p w14:paraId="6D8CA2E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7.1施工组织设计</w:t>
      </w:r>
    </w:p>
    <w:p w14:paraId="01D1289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 xml:space="preserve">7.1.1 </w:t>
      </w:r>
      <w:r>
        <w:rPr>
          <w:rFonts w:hint="eastAsia" w:ascii="宋体" w:hAnsi="宋体" w:eastAsia="宋体" w:cs="宋体"/>
          <w:color w:val="000000" w:themeColor="text1"/>
          <w:kern w:val="0"/>
          <w:szCs w:val="21"/>
        </w:rPr>
        <w:t>施工组织设计的内容</w:t>
      </w:r>
    </w:p>
    <w:p w14:paraId="5F96BFE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施工组织设计应包含以下内容：</w:t>
      </w:r>
    </w:p>
    <w:p w14:paraId="7B7C12A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（1）施工方案； </w:t>
      </w:r>
    </w:p>
    <w:p w14:paraId="72192E0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（2）施工现场平面布置图；</w:t>
      </w:r>
    </w:p>
    <w:p w14:paraId="3A62F2D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（3）施工进度计划和保证措施； </w:t>
      </w:r>
    </w:p>
    <w:p w14:paraId="52493D1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（4）劳动力及材料供应计划；</w:t>
      </w:r>
    </w:p>
    <w:p w14:paraId="00EA603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（5）施工机械设备的选用；</w:t>
      </w:r>
    </w:p>
    <w:p w14:paraId="20935AB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（6）质量保证体系及措施；</w:t>
      </w:r>
    </w:p>
    <w:p w14:paraId="0F681C5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（7）安全生产、文明施工措施；</w:t>
      </w:r>
    </w:p>
    <w:p w14:paraId="7155260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（8）环境保护、成本控制措施；</w:t>
      </w:r>
    </w:p>
    <w:p w14:paraId="1C5FD2F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（9）合同当事人约定的其他内容。</w:t>
      </w:r>
    </w:p>
    <w:p w14:paraId="6E797AC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 xml:space="preserve">7.1.2 </w:t>
      </w:r>
      <w:r>
        <w:rPr>
          <w:rFonts w:hint="eastAsia" w:ascii="宋体" w:hAnsi="宋体" w:eastAsia="宋体" w:cs="宋体"/>
          <w:color w:val="000000" w:themeColor="text1"/>
          <w:kern w:val="0"/>
          <w:szCs w:val="21"/>
        </w:rPr>
        <w:t>施工组织设计的提交和修改</w:t>
      </w:r>
    </w:p>
    <w:p w14:paraId="0AC0F7C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C92D98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施工进度计划的编制和修改按照第7.2款〔施工进度计划〕执行。</w:t>
      </w:r>
    </w:p>
    <w:p w14:paraId="24365976">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7.2 施工进度计划</w:t>
      </w:r>
    </w:p>
    <w:p w14:paraId="3BE190E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7.2.1 施工进度计划的编制</w:t>
      </w:r>
    </w:p>
    <w:p w14:paraId="001FBED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7587BA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7.2.2 施工进度计划的修订</w:t>
      </w:r>
    </w:p>
    <w:p w14:paraId="073396E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02473EC">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7.3 开工</w:t>
      </w:r>
    </w:p>
    <w:p w14:paraId="36DB70B6">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7.3.1 开工准备</w:t>
      </w:r>
    </w:p>
    <w:p w14:paraId="37C6DFF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DB0B26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除专用合同条款另有约定外，合同当事人应按约定完成开工准备工作。</w:t>
      </w:r>
    </w:p>
    <w:p w14:paraId="2F4C8AF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7.3.2 开工通知</w:t>
      </w:r>
    </w:p>
    <w:p w14:paraId="6305EE7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263852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3E2CA2C">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7.4测量放线</w:t>
      </w:r>
    </w:p>
    <w:p w14:paraId="5D65949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CD8DB5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57212D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1B2B25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施工过程中对施工现场内水准点等测量标志物的保护工作由承包人负责。</w:t>
      </w:r>
    </w:p>
    <w:p w14:paraId="3EC52BD9">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7.5 工期延误</w:t>
      </w:r>
    </w:p>
    <w:p w14:paraId="7AFA685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7.5.1 因发包人原因导致工期延误</w:t>
      </w:r>
    </w:p>
    <w:p w14:paraId="21F53D5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在合同履行过程中，因下列情况导致工期延误和（或）费用增加的，由发包人承担由此延误的工期和（或）增加的费用，且发包人应支付承包人合理的利润： </w:t>
      </w:r>
    </w:p>
    <w:p w14:paraId="422F421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（1）发包人未能按合同约定提供图纸或所提供图纸不符合合同约定的；</w:t>
      </w:r>
    </w:p>
    <w:p w14:paraId="5081EB1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（2）发包人未能按合同约定提供施工现场、施工条件、基础资料、许可、批准等开工条件的；</w:t>
      </w:r>
    </w:p>
    <w:p w14:paraId="6DC9E0A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（3）发包人提供的测量基准点、基准线和水准点及其书面资料存在错误或疏漏的；</w:t>
      </w:r>
    </w:p>
    <w:p w14:paraId="355820F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（4）发包人未能在计划开工日期之日起7天内同意下达开工通知的；</w:t>
      </w:r>
    </w:p>
    <w:p w14:paraId="15215FD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（5）发包人未能按合同约定日期支付工程预付款、进度款或竣工结算款的；</w:t>
      </w:r>
    </w:p>
    <w:p w14:paraId="334424B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（6）监理人未按合同约定发出指示、批准等文件的；</w:t>
      </w:r>
    </w:p>
    <w:p w14:paraId="473B5FA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（7）专用合同条款中约定的其他情形。</w:t>
      </w:r>
    </w:p>
    <w:p w14:paraId="14131BB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EF62610">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7.5.2 因承包人原因导致工期延误</w:t>
      </w:r>
    </w:p>
    <w:p w14:paraId="1F92A6C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因承包人原因造成工期延误的，可以在专用合同条款中约定逾期竣工违约金的计算方法和逾期竣工违约金的上限。承包人支付逾期竣工违约金后，不免除承包人继续完成工程及修补缺陷的义务。</w:t>
      </w:r>
    </w:p>
    <w:p w14:paraId="2F4C9163">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7.6 不利物质条件</w:t>
      </w:r>
    </w:p>
    <w:p w14:paraId="17CF929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D307DA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58409AD">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7.7 异常恶劣的气候条件</w:t>
      </w:r>
    </w:p>
    <w:p w14:paraId="335B94E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E9C6AF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D6895C7">
      <w:pPr>
        <w:adjustRightInd w:val="0"/>
        <w:spacing w:line="380" w:lineRule="atLeast"/>
        <w:ind w:firstLine="420" w:firstLineChars="200"/>
        <w:jc w:val="left"/>
        <w:outlineLvl w:val="0"/>
        <w:rPr>
          <w:rFonts w:hint="eastAsia" w:ascii="宋体" w:hAnsi="宋体" w:eastAsia="宋体" w:cs="宋体"/>
          <w:bCs/>
          <w:color w:val="000000" w:themeColor="text1"/>
          <w:szCs w:val="21"/>
        </w:rPr>
      </w:pPr>
      <w:bookmarkStart w:id="514" w:name="_Toc9136"/>
      <w:bookmarkStart w:id="515" w:name="_Toc14623"/>
      <w:bookmarkStart w:id="516" w:name="_Toc24252"/>
      <w:bookmarkStart w:id="517" w:name="_Toc12438"/>
      <w:bookmarkStart w:id="518" w:name="_Toc11752"/>
      <w:bookmarkStart w:id="519" w:name="_Toc18574468"/>
      <w:bookmarkStart w:id="520" w:name="_Toc29284"/>
      <w:bookmarkStart w:id="521" w:name="_Toc9052"/>
      <w:r>
        <w:rPr>
          <w:rFonts w:hint="eastAsia" w:ascii="宋体" w:hAnsi="宋体" w:eastAsia="宋体" w:cs="宋体"/>
          <w:bCs/>
          <w:color w:val="000000" w:themeColor="text1"/>
          <w:szCs w:val="21"/>
        </w:rPr>
        <w:t>7.8 暂停施工</w:t>
      </w:r>
      <w:bookmarkEnd w:id="514"/>
      <w:bookmarkEnd w:id="515"/>
      <w:bookmarkEnd w:id="516"/>
      <w:bookmarkEnd w:id="517"/>
      <w:bookmarkEnd w:id="518"/>
      <w:bookmarkEnd w:id="519"/>
      <w:bookmarkEnd w:id="520"/>
      <w:bookmarkEnd w:id="521"/>
    </w:p>
    <w:p w14:paraId="70B7ACB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7.8.1发包人原因引起的暂停施工</w:t>
      </w:r>
    </w:p>
    <w:p w14:paraId="168CDBE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因发包人原因引起暂停施工的，监理人经发包人同意后，应及时下达暂停施工指示。情况紧急且监理人未及时下达暂停施工指示的，按照第7.8.4项〔紧急情况下的暂停施工〕执行。</w:t>
      </w:r>
    </w:p>
    <w:p w14:paraId="004DB9C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因发包人原因引起的暂停施工，发包人应承担由此增加的费用和（或）延误的工期，并支付承包人合理的利润。</w:t>
      </w:r>
    </w:p>
    <w:p w14:paraId="67F8E3A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7.8.2 承包人原因引起的暂停施工</w:t>
      </w:r>
    </w:p>
    <w:p w14:paraId="546793A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CFD45E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7.8.3 指示暂停施工</w:t>
      </w:r>
    </w:p>
    <w:p w14:paraId="738A75D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监理人认为有必要时，并经发包人批准后，可向承包人作出暂停施工的指示，承包人应按监理人指示暂停施工。</w:t>
      </w:r>
    </w:p>
    <w:p w14:paraId="5FC9B95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7.8.4 紧急情况下的暂停施工</w:t>
      </w:r>
    </w:p>
    <w:p w14:paraId="31B72F6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94E8CB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7.8.5 暂停施工后的复工</w:t>
      </w:r>
    </w:p>
    <w:p w14:paraId="72C976A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58A5223">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承包人无故拖延和拒绝复工的，承包人承担由此增加的费用和（或）延误的工期；因发包人原因无法按时复工的，按照第7.5.1项〔因发包人原因导致工期延误〕约定办理。</w:t>
      </w:r>
    </w:p>
    <w:p w14:paraId="5A97A84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7.8.6 暂停施工持续56天以上</w:t>
      </w:r>
    </w:p>
    <w:p w14:paraId="3ABF7AFB">
      <w:pPr>
        <w:spacing w:line="380" w:lineRule="atLeast"/>
        <w:ind w:firstLine="409" w:firstLineChars="195"/>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6B4851D">
      <w:pPr>
        <w:spacing w:line="380" w:lineRule="atLeast"/>
        <w:ind w:firstLine="409" w:firstLineChars="195"/>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57CA2993">
      <w:pPr>
        <w:spacing w:line="380" w:lineRule="atLeast"/>
        <w:ind w:left="16" w:firstLine="409" w:firstLineChars="195"/>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7.8.7 暂停施工期间的工程照管</w:t>
      </w:r>
    </w:p>
    <w:p w14:paraId="21971E5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暂停施工期间，承包人应负责妥善照管工程并提供安全保障，由此增加的费用由责任方承担。</w:t>
      </w:r>
    </w:p>
    <w:p w14:paraId="5E193E5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7.8.8 暂停施工的措施</w:t>
      </w:r>
    </w:p>
    <w:p w14:paraId="75B84F8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暂停施工期间，发包人和承包人均应采取必要的措施确保工程质量及安全，防止因暂停施工扩大损失。</w:t>
      </w:r>
    </w:p>
    <w:p w14:paraId="46EDC666">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7.9提前竣工</w:t>
      </w:r>
    </w:p>
    <w:p w14:paraId="50E0E5D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0F71CF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7.9.2 发包人要求承包人提前竣工，或承包人提出提前竣工的建议能够给发包人带来效益的，合同当事人可以在专用合同条款中约定提前竣工的奖励。</w:t>
      </w:r>
    </w:p>
    <w:p w14:paraId="0560FD04">
      <w:pPr>
        <w:pStyle w:val="5"/>
        <w:spacing w:before="120" w:after="120" w:line="380" w:lineRule="atLeast"/>
        <w:rPr>
          <w:rFonts w:hint="eastAsia" w:ascii="宋体" w:hAnsi="宋体" w:eastAsia="宋体" w:cs="宋体"/>
          <w:b w:val="0"/>
          <w:color w:val="000000" w:themeColor="text1"/>
          <w:sz w:val="21"/>
          <w:szCs w:val="21"/>
        </w:rPr>
      </w:pPr>
      <w:bookmarkStart w:id="522" w:name="_Toc22126"/>
      <w:bookmarkStart w:id="523" w:name="_Toc12616"/>
      <w:bookmarkStart w:id="524" w:name="_Toc28217"/>
      <w:bookmarkStart w:id="525" w:name="_Toc11533"/>
      <w:bookmarkStart w:id="526" w:name="_Toc31719"/>
      <w:bookmarkStart w:id="527" w:name="_Toc32415"/>
      <w:bookmarkStart w:id="528" w:name="_Toc14427"/>
      <w:r>
        <w:rPr>
          <w:rFonts w:hint="eastAsia" w:ascii="宋体" w:hAnsi="宋体" w:eastAsia="宋体" w:cs="宋体"/>
          <w:b w:val="0"/>
          <w:color w:val="000000" w:themeColor="text1"/>
          <w:sz w:val="21"/>
          <w:szCs w:val="21"/>
        </w:rPr>
        <w:t>8. 材料与设备</w:t>
      </w:r>
      <w:bookmarkEnd w:id="522"/>
      <w:bookmarkEnd w:id="523"/>
      <w:bookmarkEnd w:id="524"/>
      <w:bookmarkEnd w:id="525"/>
      <w:bookmarkEnd w:id="526"/>
      <w:bookmarkEnd w:id="527"/>
      <w:bookmarkEnd w:id="528"/>
    </w:p>
    <w:p w14:paraId="76075992">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8.1发包人供应材料与工程设备</w:t>
      </w:r>
    </w:p>
    <w:p w14:paraId="23FEFA5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发包人自行供应材料、工程设备的，应在签订合同时在专用合同条款的附件《发包人供应材料设备一览表》中明确材料、工程设备的品种、规格、型号、数量、单价、质量等级和送达地点。</w:t>
      </w:r>
    </w:p>
    <w:p w14:paraId="43AD961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2E8FB26F">
      <w:pPr>
        <w:pStyle w:val="6"/>
        <w:spacing w:before="120" w:after="120" w:line="380" w:lineRule="atLeast"/>
        <w:ind w:firstLine="420" w:firstLineChars="200"/>
        <w:rPr>
          <w:rFonts w:hint="eastAsia" w:ascii="宋体" w:hAnsi="宋体" w:eastAsia="宋体" w:cs="宋体"/>
          <w:color w:val="000000" w:themeColor="text1"/>
          <w:sz w:val="21"/>
          <w:szCs w:val="21"/>
        </w:rPr>
      </w:pPr>
      <w:r>
        <w:rPr>
          <w:rFonts w:hint="eastAsia" w:ascii="宋体" w:hAnsi="宋体" w:eastAsia="宋体" w:cs="宋体"/>
          <w:b w:val="0"/>
          <w:color w:val="000000" w:themeColor="text1"/>
          <w:sz w:val="21"/>
          <w:szCs w:val="21"/>
        </w:rPr>
        <w:t>8.2承包人采购材料与工程设备</w:t>
      </w:r>
    </w:p>
    <w:p w14:paraId="297F3F9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EA62A0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8.3材料与工程设备的接收与拒收</w:t>
      </w:r>
    </w:p>
    <w:p w14:paraId="42CAD44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A17712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发包人提供的材料和工程设备的规格、数量或质量不符合合同约定的，或因发包人原因导致交货日期延误或交货地点变更等情况的，按照第16.1款〔发包人违约〕约定办理。</w:t>
      </w:r>
    </w:p>
    <w:p w14:paraId="299CAA7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7236BBD0">
      <w:pPr>
        <w:adjustRightInd w:val="0"/>
        <w:spacing w:line="380" w:lineRule="atLeast"/>
        <w:ind w:firstLine="315" w:firstLineChars="15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90225A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8.4材料与工程设备的保管与使用</w:t>
      </w:r>
    </w:p>
    <w:p w14:paraId="6A0D5BA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8.4.1 发包人供应</w:t>
      </w:r>
      <w:r>
        <w:rPr>
          <w:rFonts w:hint="eastAsia" w:ascii="宋体" w:hAnsi="宋体" w:eastAsia="宋体" w:cs="宋体"/>
          <w:color w:val="000000" w:themeColor="text1"/>
          <w:szCs w:val="21"/>
        </w:rPr>
        <w:t>材料与</w:t>
      </w:r>
      <w:r>
        <w:rPr>
          <w:rFonts w:hint="eastAsia" w:ascii="宋体" w:hAnsi="宋体" w:eastAsia="宋体" w:cs="宋体"/>
          <w:color w:val="000000" w:themeColor="text1"/>
          <w:kern w:val="0"/>
          <w:szCs w:val="21"/>
        </w:rPr>
        <w:t>工程</w:t>
      </w:r>
      <w:r>
        <w:rPr>
          <w:rFonts w:hint="eastAsia" w:ascii="宋体" w:hAnsi="宋体" w:eastAsia="宋体" w:cs="宋体"/>
          <w:color w:val="000000" w:themeColor="text1"/>
          <w:szCs w:val="21"/>
        </w:rPr>
        <w:t>设备的保管与使用</w:t>
      </w:r>
    </w:p>
    <w:p w14:paraId="2AF979C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B908BA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发包人供应的材料和工程设备使用前，由承包人负责检验，检验费用由发包人承担，不合格的不得使用。</w:t>
      </w:r>
    </w:p>
    <w:p w14:paraId="09DC4BA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8.4.2 承包人采购</w:t>
      </w:r>
      <w:r>
        <w:rPr>
          <w:rFonts w:hint="eastAsia" w:ascii="宋体" w:hAnsi="宋体" w:eastAsia="宋体" w:cs="宋体"/>
          <w:color w:val="000000" w:themeColor="text1"/>
          <w:szCs w:val="21"/>
        </w:rPr>
        <w:t>材料与</w:t>
      </w:r>
      <w:r>
        <w:rPr>
          <w:rFonts w:hint="eastAsia" w:ascii="宋体" w:hAnsi="宋体" w:eastAsia="宋体" w:cs="宋体"/>
          <w:color w:val="000000" w:themeColor="text1"/>
          <w:kern w:val="0"/>
          <w:szCs w:val="21"/>
        </w:rPr>
        <w:t>工程</w:t>
      </w:r>
      <w:r>
        <w:rPr>
          <w:rFonts w:hint="eastAsia" w:ascii="宋体" w:hAnsi="宋体" w:eastAsia="宋体" w:cs="宋体"/>
          <w:color w:val="000000" w:themeColor="text1"/>
          <w:szCs w:val="21"/>
        </w:rPr>
        <w:t>设备的保管与使用</w:t>
      </w:r>
    </w:p>
    <w:p w14:paraId="101944F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5C2442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发包人或监理人发现承包人使用不符合设计或有关标准要求的材料和工程设备时，有权要求承包人进行修复、拆除或重新采购，由此增加的费用和（或）延误的工期，由承包人承担。</w:t>
      </w:r>
    </w:p>
    <w:p w14:paraId="132B99C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8.5禁止使用不合格的材料和工程设备</w:t>
      </w:r>
    </w:p>
    <w:p w14:paraId="650BB8A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8.5.1 监理人有权拒绝承包人提供的不合格材料或工程设备，并要求承包人立即进行更换。监理人应在更换后再次进行检查和检验，由此增加的费用和（或）延误的工期由承包人承担。</w:t>
      </w:r>
    </w:p>
    <w:p w14:paraId="7388FB2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8.5.2 监理人发现承包人使用了不合格的材料和工程设备，承包人应按照监理人的指示立即改正，并禁止在工程中继续使用不合格的材料和工程设备。</w:t>
      </w:r>
    </w:p>
    <w:p w14:paraId="34DC784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8.5.3 发包人提供的材料或工程设备不符合合同要求的，承包人有权拒绝，并可要求发包人更换，由此增加的费用和（或）延误的工期由发包人承担，并支付承包人合理的利润。</w:t>
      </w:r>
    </w:p>
    <w:p w14:paraId="3C8B7E3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8.6 样品</w:t>
      </w:r>
    </w:p>
    <w:p w14:paraId="457C378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8.6.1样品的报送与封存</w:t>
      </w:r>
    </w:p>
    <w:p w14:paraId="3575B22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需要承包人报送样品的材料或工程设备，样品的种类、名称、规格、数量等要求均应在专用合同条款中约定。样品的报送程序如下：</w:t>
      </w:r>
    </w:p>
    <w:p w14:paraId="4D140A8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60B212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1023CCD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（3）经发包人和监理人审批确认的样品应按约定的方法封样，封存的样品作为检验工程相关部分的标准之一。承包人在施工过程中不得使用与样品不符的材料或工程设备。</w:t>
      </w:r>
    </w:p>
    <w:p w14:paraId="78FAE69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A1204E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8.6.2 样品的保管</w:t>
      </w:r>
    </w:p>
    <w:p w14:paraId="744D096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经批准的样品应由监理人负责封存于现场，承包人应在现场为保存样品提供适当和固定的场所并保持适当和良好的存储环境条件。</w:t>
      </w:r>
    </w:p>
    <w:p w14:paraId="0FC3354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8.7材料与工程设备的替代</w:t>
      </w:r>
    </w:p>
    <w:p w14:paraId="7AD8C1C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8.7.1 出现下列情况需要使用替代材料和工程设备的，承包人应按照第8.7.2项约定的程序执行：</w:t>
      </w:r>
    </w:p>
    <w:p w14:paraId="5B0E4DF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（1）基准日期后生效的法律规定禁止使用的；</w:t>
      </w:r>
    </w:p>
    <w:p w14:paraId="7720D35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（2）发包人要求使用替代品的；</w:t>
      </w:r>
    </w:p>
    <w:p w14:paraId="068BD96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（3）因其他原因必须使用替代品的。</w:t>
      </w:r>
    </w:p>
    <w:p w14:paraId="0712C36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8.7.2 承包人应在使用替代材料和工程设备28天前书面通知监理人，并附下列文件：</w:t>
      </w:r>
    </w:p>
    <w:p w14:paraId="3D96FFD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（1）被替代的材料和工程设备的名称、数量、规格、型号、品牌、性能、价格及其他相关资料；</w:t>
      </w:r>
    </w:p>
    <w:p w14:paraId="3F8C0D8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（2）替代品的名称、数量、规格、型号、品牌、性能、价格及其他相关资料；</w:t>
      </w:r>
    </w:p>
    <w:p w14:paraId="5907647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（3）替代品与被替代产品之间的差异以及使用替代品可能对工程产生的影响；</w:t>
      </w:r>
    </w:p>
    <w:p w14:paraId="6F6A51A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（4）替代品与被替代产品的价格差异；</w:t>
      </w:r>
    </w:p>
    <w:p w14:paraId="122C6A0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（5）使用替代品的理由和原因说明；</w:t>
      </w:r>
    </w:p>
    <w:p w14:paraId="1FD7CBE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（6）监理人要求的其他文件。</w:t>
      </w:r>
    </w:p>
    <w:p w14:paraId="2F29553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监理人应在收到通知后14天内向承包人发出经发包人签认的书面指示；监理人逾期发出书面指示的，视为发包人和监理人同意使用替代品。</w:t>
      </w:r>
    </w:p>
    <w:p w14:paraId="34E7D81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1E24C3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8.8施工设备和临时设施</w:t>
      </w:r>
    </w:p>
    <w:p w14:paraId="2AD4ECC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8.8.1 承包人提供的施工设备和临时设施</w:t>
      </w:r>
    </w:p>
    <w:p w14:paraId="6418310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59ED405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除专用合同条款另有约定外，承包人应自行承担修建临时设施的费用，需要临时占地的，应由发包人办理申请手续并承担相应费用。</w:t>
      </w:r>
    </w:p>
    <w:p w14:paraId="6526244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8.8.2发包人提供的施工设备和临时设施</w:t>
      </w:r>
    </w:p>
    <w:p w14:paraId="6EC7862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发包人提供的施工设备或临时设施在专用合同条款中约定。</w:t>
      </w:r>
    </w:p>
    <w:p w14:paraId="5BD54FA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8.8.3要求承包人增加或更换施工设备</w:t>
      </w:r>
    </w:p>
    <w:p w14:paraId="522E5B6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4ABE8AB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8.9材料与设备专用要求</w:t>
      </w:r>
    </w:p>
    <w:p w14:paraId="3A63E6F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3EECC3DF">
      <w:pPr>
        <w:pStyle w:val="5"/>
        <w:spacing w:before="120" w:after="120" w:line="380" w:lineRule="atLeast"/>
        <w:rPr>
          <w:rFonts w:hint="eastAsia" w:ascii="宋体" w:hAnsi="宋体" w:eastAsia="宋体" w:cs="宋体"/>
          <w:b w:val="0"/>
          <w:color w:val="000000" w:themeColor="text1"/>
          <w:sz w:val="21"/>
          <w:szCs w:val="21"/>
        </w:rPr>
      </w:pPr>
      <w:bookmarkStart w:id="529" w:name="_Toc25616"/>
      <w:bookmarkStart w:id="530" w:name="_Toc17518"/>
      <w:bookmarkStart w:id="531" w:name="_Toc21008"/>
      <w:bookmarkStart w:id="532" w:name="_Toc14275"/>
      <w:bookmarkStart w:id="533" w:name="_Toc26622"/>
      <w:bookmarkStart w:id="534" w:name="_Toc24158"/>
      <w:bookmarkStart w:id="535" w:name="_Toc18642"/>
      <w:r>
        <w:rPr>
          <w:rFonts w:hint="eastAsia" w:ascii="宋体" w:hAnsi="宋体" w:eastAsia="宋体" w:cs="宋体"/>
          <w:b w:val="0"/>
          <w:color w:val="000000" w:themeColor="text1"/>
          <w:sz w:val="21"/>
          <w:szCs w:val="21"/>
        </w:rPr>
        <w:t>9. 试验与检验</w:t>
      </w:r>
      <w:bookmarkEnd w:id="529"/>
      <w:bookmarkEnd w:id="530"/>
      <w:bookmarkEnd w:id="531"/>
      <w:bookmarkEnd w:id="532"/>
      <w:bookmarkEnd w:id="533"/>
      <w:bookmarkEnd w:id="534"/>
      <w:bookmarkEnd w:id="535"/>
    </w:p>
    <w:p w14:paraId="7722062E">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9.1试验设备与试验人员</w:t>
      </w:r>
    </w:p>
    <w:p w14:paraId="293F0E5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4783AA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9.1.2 承包人应按专用合同条款的约定提供试验设备、取样装置、试验场所和试验条件，并向监理人提交相应进场计划表。</w:t>
      </w:r>
    </w:p>
    <w:p w14:paraId="680BE53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承包人配置的试验设备要符合相应试验规程的要求并经过具有资质的检测单位检测，且在正式使用该试验设备前，需要经过监理人与承包人共同校定。</w:t>
      </w:r>
    </w:p>
    <w:p w14:paraId="3E9A47E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9.1.3 承包人应向监理人提交试验人员的名单及其岗位、资格等证明资料，试验人员必须能够熟练进行相应的检测试验，承包人对试验人员的试验程序和试验结果的正确性负责。</w:t>
      </w:r>
    </w:p>
    <w:p w14:paraId="7D9151C2">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9.2取样</w:t>
      </w:r>
    </w:p>
    <w:p w14:paraId="1FEE9E7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试验属于自检性质的，承包人可以单独取样。试验属于监理人抽检性质的，可由监理人取样，也可由承包人的试验人员在监理人的监督下取样。</w:t>
      </w:r>
    </w:p>
    <w:p w14:paraId="21853E1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9.3材料、工程设备和工程的试验和检验</w:t>
      </w:r>
    </w:p>
    <w:p w14:paraId="389ADDB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A9591D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43672B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65312E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9.4现场工艺试验</w:t>
      </w:r>
    </w:p>
    <w:p w14:paraId="2EB71F2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110D134C">
      <w:pPr>
        <w:pStyle w:val="5"/>
        <w:spacing w:before="120" w:after="120" w:line="380" w:lineRule="atLeast"/>
        <w:rPr>
          <w:rFonts w:hint="eastAsia" w:ascii="宋体" w:hAnsi="宋体" w:eastAsia="宋体" w:cs="宋体"/>
          <w:b w:val="0"/>
          <w:color w:val="000000" w:themeColor="text1"/>
          <w:sz w:val="21"/>
          <w:szCs w:val="21"/>
        </w:rPr>
      </w:pPr>
      <w:bookmarkStart w:id="536" w:name="_Toc29268"/>
      <w:bookmarkStart w:id="537" w:name="_Toc16788"/>
      <w:bookmarkStart w:id="538" w:name="_Toc9839"/>
      <w:bookmarkStart w:id="539" w:name="_Toc9308"/>
      <w:bookmarkStart w:id="540" w:name="_Toc30640"/>
      <w:bookmarkStart w:id="541" w:name="_Toc31834"/>
      <w:bookmarkStart w:id="542" w:name="_Toc13144"/>
      <w:r>
        <w:rPr>
          <w:rFonts w:hint="eastAsia" w:ascii="宋体" w:hAnsi="宋体" w:eastAsia="宋体" w:cs="宋体"/>
          <w:b w:val="0"/>
          <w:color w:val="000000" w:themeColor="text1"/>
          <w:sz w:val="21"/>
          <w:szCs w:val="21"/>
        </w:rPr>
        <w:t>10. 变更</w:t>
      </w:r>
      <w:bookmarkEnd w:id="536"/>
      <w:bookmarkEnd w:id="537"/>
      <w:bookmarkEnd w:id="538"/>
      <w:bookmarkEnd w:id="539"/>
      <w:bookmarkEnd w:id="540"/>
      <w:bookmarkEnd w:id="541"/>
      <w:bookmarkEnd w:id="542"/>
    </w:p>
    <w:p w14:paraId="5B7D814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10.1变更的范围</w:t>
      </w:r>
    </w:p>
    <w:p w14:paraId="64F817B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除专用合同条款另有约定外，合同履行过程中发生以下情形的，应按照本条约定进行变更：</w:t>
      </w:r>
    </w:p>
    <w:p w14:paraId="0CCE8EF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（1）增加或减少合同中任何工作，或追加额外的工作；</w:t>
      </w:r>
    </w:p>
    <w:p w14:paraId="421D681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（2）取消合同中任何工作，但转由他人实施的工作除外；</w:t>
      </w:r>
    </w:p>
    <w:p w14:paraId="1F95350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（3）改变合同中任何工作的质量标准或其他特性；</w:t>
      </w:r>
    </w:p>
    <w:p w14:paraId="264A039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（4）改变工程的基线、标高、位置和尺寸；</w:t>
      </w:r>
    </w:p>
    <w:p w14:paraId="48A7471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（5）改变工程的时间安排或实施顺序。</w:t>
      </w:r>
    </w:p>
    <w:p w14:paraId="26FD21CF">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10.2变更权</w:t>
      </w:r>
    </w:p>
    <w:p w14:paraId="6F1663F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CFB7E8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涉及设计变更的，应由设计人提供变更后的图纸和说明。如变更超过原设计标准或批准的建设规模时，发包人应及时办理规划、设计变更等审批手续。</w:t>
      </w:r>
    </w:p>
    <w:p w14:paraId="24BEB53C">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10.3变更程序</w:t>
      </w:r>
    </w:p>
    <w:p w14:paraId="27C92A2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10</w:t>
      </w:r>
      <w:r>
        <w:rPr>
          <w:rFonts w:hint="eastAsia" w:ascii="宋体" w:hAnsi="宋体" w:eastAsia="宋体" w:cs="宋体"/>
          <w:color w:val="000000" w:themeColor="text1"/>
          <w:kern w:val="0"/>
          <w:szCs w:val="21"/>
        </w:rPr>
        <w:t>.3.1 发包人提出变更</w:t>
      </w:r>
    </w:p>
    <w:p w14:paraId="30CDEC7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发包人提出变更的，应通过监理人向承包人发出变更指示，变更指示应说明计划变更的工程范围和变更的内容。</w:t>
      </w:r>
    </w:p>
    <w:p w14:paraId="07B9BB8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10</w:t>
      </w:r>
      <w:r>
        <w:rPr>
          <w:rFonts w:hint="eastAsia" w:ascii="宋体" w:hAnsi="宋体" w:eastAsia="宋体" w:cs="宋体"/>
          <w:color w:val="000000" w:themeColor="text1"/>
          <w:kern w:val="0"/>
          <w:szCs w:val="21"/>
        </w:rPr>
        <w:t>.3.2 监理人提出变更建议</w:t>
      </w:r>
    </w:p>
    <w:p w14:paraId="3BD137A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482DB22">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10.3.3 变更执行</w:t>
      </w:r>
    </w:p>
    <w:p w14:paraId="42BDD39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665A09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10.4变更估价</w:t>
      </w:r>
    </w:p>
    <w:p w14:paraId="522D745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10.4.1 变更估价原则</w:t>
      </w:r>
    </w:p>
    <w:p w14:paraId="1A57646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除专用合同条款另有约定外，变更估价按照本款约定处理：</w:t>
      </w:r>
    </w:p>
    <w:p w14:paraId="0234882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（1）已标价工程量清单或预算书有相同项目的，按照相同项目单价认定；</w:t>
      </w:r>
    </w:p>
    <w:p w14:paraId="5DD3F3B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（2）已标价工程量清单或预算书中无相同项目，但有类似项目的，参照类似项目的单价认定；</w:t>
      </w:r>
    </w:p>
    <w:p w14:paraId="3E6B0C7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变更导致实际完成的变更工程量与已标价工程量清单或预算书中列明的该项目工程量的变化幅度超过5%的，或已标价工程量清单或预算书中无相同项目及类似项目单价的，按照合理的成本与利润构成的原则，由合同当事人按照第4.4款〔商定或确定〕确定变更工作的单价。</w:t>
      </w:r>
    </w:p>
    <w:p w14:paraId="1528D77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10.4.2 变更估价程序</w:t>
      </w:r>
    </w:p>
    <w:p w14:paraId="1A0ED0E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E92551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因变更引起的价格调整应计入最近一期的进度款中支付。</w:t>
      </w:r>
    </w:p>
    <w:p w14:paraId="4EF397D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10.5承包人的合理化建议</w:t>
      </w:r>
    </w:p>
    <w:p w14:paraId="70E8150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承包人提出合理化建议的，应向监理人提交合理化建议说明，说明建议的内容和理由，以及实施该建议对合同价格和工期的影响。</w:t>
      </w:r>
    </w:p>
    <w:p w14:paraId="2DCD156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0A9203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合理化建议降低了合同价格或者提高了工程经济效益的，发包人可对承包人给予奖励，奖励的方法和金额在专用合同条款中约定。</w:t>
      </w:r>
    </w:p>
    <w:p w14:paraId="45D3AB68">
      <w:pPr>
        <w:pStyle w:val="6"/>
        <w:spacing w:before="120" w:after="120" w:line="380" w:lineRule="atLeast"/>
        <w:ind w:firstLine="420" w:firstLineChars="200"/>
        <w:rPr>
          <w:rFonts w:hint="eastAsia" w:ascii="宋体" w:hAnsi="宋体" w:eastAsia="宋体" w:cs="宋体"/>
          <w:color w:val="000000" w:themeColor="text1"/>
          <w:sz w:val="21"/>
          <w:szCs w:val="21"/>
        </w:rPr>
      </w:pPr>
      <w:r>
        <w:rPr>
          <w:rFonts w:hint="eastAsia" w:ascii="宋体" w:hAnsi="宋体" w:eastAsia="宋体" w:cs="宋体"/>
          <w:b w:val="0"/>
          <w:color w:val="000000" w:themeColor="text1"/>
          <w:sz w:val="21"/>
          <w:szCs w:val="21"/>
        </w:rPr>
        <w:t xml:space="preserve">10.6变更引起的工期调整  </w:t>
      </w:r>
      <w:r>
        <w:rPr>
          <w:rFonts w:hint="eastAsia" w:ascii="宋体" w:hAnsi="宋体" w:eastAsia="宋体" w:cs="宋体"/>
          <w:color w:val="000000" w:themeColor="text1"/>
          <w:sz w:val="21"/>
          <w:szCs w:val="21"/>
        </w:rPr>
        <w:t xml:space="preserve"> </w:t>
      </w:r>
    </w:p>
    <w:p w14:paraId="3A92F86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因变更引起工期变化的，合同当事人均可要求调整合同工期，由合同当事人按照第4.4款〔商定或确定〕并参考工程所在地的工期定额标准确定增减工期天数。</w:t>
      </w:r>
    </w:p>
    <w:p w14:paraId="71A5309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10.7暂估价</w:t>
      </w:r>
    </w:p>
    <w:p w14:paraId="0B473F4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暂估价专业分包工程、服务、材料和工程设备的明细由合同当事人在专用合同条款中约定。</w:t>
      </w:r>
    </w:p>
    <w:p w14:paraId="78F7B58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10.7.1</w:t>
      </w:r>
      <w:r>
        <w:rPr>
          <w:rFonts w:hint="eastAsia" w:ascii="宋体" w:hAnsi="宋体" w:eastAsia="宋体" w:cs="宋体"/>
          <w:color w:val="000000" w:themeColor="text1"/>
          <w:kern w:val="0"/>
          <w:szCs w:val="21"/>
        </w:rPr>
        <w:t xml:space="preserve"> 依法必须招标的暂估价项目</w:t>
      </w:r>
    </w:p>
    <w:p w14:paraId="02A5F95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对于依法必须招标的暂估价项目，采取以下第1种方式确定。合同当事人也可以在专用合同条款中选择其他招标方式。</w:t>
      </w:r>
    </w:p>
    <w:p w14:paraId="69BC400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第1种方式：对于依法必须招标的暂估价项目，由承包人招标，对该暂估价项目的确认和批准按照以下约定执行：</w:t>
      </w:r>
    </w:p>
    <w:p w14:paraId="509E217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90B700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25DB754D">
      <w:pPr>
        <w:spacing w:line="38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4A032E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7B4BE9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10.7.2</w:t>
      </w:r>
      <w:r>
        <w:rPr>
          <w:rFonts w:hint="eastAsia" w:ascii="宋体" w:hAnsi="宋体" w:eastAsia="宋体" w:cs="宋体"/>
          <w:color w:val="000000" w:themeColor="text1"/>
          <w:kern w:val="0"/>
          <w:szCs w:val="21"/>
        </w:rPr>
        <w:t>不属于依法必须招标的暂估价项目</w:t>
      </w:r>
    </w:p>
    <w:p w14:paraId="6325DE7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除专用合同条款另有约定外，对于不属于依法必须招标的暂估价项目，采取以下第1种方式确定： </w:t>
      </w:r>
    </w:p>
    <w:p w14:paraId="3FBD59F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第1种方式：对于不属于依法必须招标的暂估价项目，按本项约定确认和批准：</w:t>
      </w:r>
    </w:p>
    <w:p w14:paraId="5B759B5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328889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（2）发包人认为承包人确定的供应商、分包人无法满足工程质量或合同要求的，发包人可以要求承包人重新确定暂估价项目的供应商、分包人;</w:t>
      </w:r>
    </w:p>
    <w:p w14:paraId="49DEDD7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（3）承包人应当在签订暂估价合同后7天内，将暂估价合同副本报送发包人留存。</w:t>
      </w:r>
    </w:p>
    <w:p w14:paraId="0FA8BEE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第2种方式：承包人按照第10.7.1项〔依法必须招标的暂估价项目〕约定的第1种方式确定暂估价项目。</w:t>
      </w:r>
    </w:p>
    <w:p w14:paraId="46E448E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第3种方式：</w:t>
      </w:r>
      <w:r>
        <w:rPr>
          <w:rFonts w:hint="eastAsia" w:ascii="宋体" w:hAnsi="宋体" w:eastAsia="宋体" w:cs="宋体"/>
          <w:color w:val="000000" w:themeColor="text1"/>
          <w:kern w:val="0"/>
          <w:szCs w:val="21"/>
        </w:rPr>
        <w:t>承包人直接实施的暂估价项目</w:t>
      </w:r>
    </w:p>
    <w:p w14:paraId="5AD031C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承包人具备实施暂估价项目的资格和条件的，经发包人和承包人协商一致后，可由承包人自行实施暂估价项目，合同当事人可以在专用合同条款约定具体事项。</w:t>
      </w:r>
    </w:p>
    <w:p w14:paraId="1564893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CB7CA3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10.8暂列金额</w:t>
      </w:r>
    </w:p>
    <w:p w14:paraId="73DAE27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暂列金额应按照发包人的要求使用，发包人的要求应通过监理人发出。合同当事人可以在专用合同条款中协商确定有关事项。</w:t>
      </w:r>
    </w:p>
    <w:p w14:paraId="4BDA90B9">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 xml:space="preserve">10.9计日工 </w:t>
      </w:r>
    </w:p>
    <w:p w14:paraId="431488E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11237F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采用计日工计价的任何一项工作，承包人应在该项工作实施过程中，每天提交以下报表和有关凭证报送监理人审查：</w:t>
      </w:r>
    </w:p>
    <w:p w14:paraId="6BA8676F">
      <w:pPr>
        <w:spacing w:line="380" w:lineRule="atLeast"/>
        <w:ind w:firstLine="315" w:firstLineChars="15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（1）工作名称、内容和数量；</w:t>
      </w:r>
    </w:p>
    <w:p w14:paraId="3A7639BD">
      <w:pPr>
        <w:spacing w:line="380" w:lineRule="atLeast"/>
        <w:ind w:firstLine="315" w:firstLineChars="15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（2）投入该工作的所有人员的姓名、专业、工种、级别和耗用工时；</w:t>
      </w:r>
    </w:p>
    <w:p w14:paraId="7EE317A0">
      <w:pPr>
        <w:spacing w:line="380" w:lineRule="atLeast"/>
        <w:ind w:firstLine="315" w:firstLineChars="15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（3）投入该工作的材料类别和数量；</w:t>
      </w:r>
    </w:p>
    <w:p w14:paraId="1505A312">
      <w:pPr>
        <w:spacing w:line="380" w:lineRule="atLeast"/>
        <w:ind w:firstLine="315" w:firstLineChars="15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（4）投入该工作的施工设备型号、台数和耗用台时；</w:t>
      </w:r>
    </w:p>
    <w:p w14:paraId="6826810B">
      <w:pPr>
        <w:spacing w:line="380" w:lineRule="atLeast"/>
        <w:ind w:firstLine="315" w:firstLineChars="15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（5）其他有关资料和凭证。</w:t>
      </w:r>
    </w:p>
    <w:p w14:paraId="7FB31B1F">
      <w:pPr>
        <w:spacing w:line="380" w:lineRule="atLeast"/>
        <w:ind w:firstLine="315" w:firstLineChars="15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计日工由承包人汇总后，列入最近一期进度付款申请单，由监理人审查并经发包人批准后列入进度付款。</w:t>
      </w:r>
    </w:p>
    <w:p w14:paraId="3E945521">
      <w:pPr>
        <w:pStyle w:val="5"/>
        <w:spacing w:before="120" w:after="120" w:line="380" w:lineRule="atLeast"/>
        <w:rPr>
          <w:rFonts w:hint="eastAsia" w:ascii="宋体" w:hAnsi="宋体" w:eastAsia="宋体" w:cs="宋体"/>
          <w:b w:val="0"/>
          <w:color w:val="000000" w:themeColor="text1"/>
          <w:sz w:val="21"/>
          <w:szCs w:val="21"/>
        </w:rPr>
      </w:pPr>
      <w:bookmarkStart w:id="543" w:name="_Toc30792"/>
      <w:bookmarkStart w:id="544" w:name="_Toc13263"/>
      <w:bookmarkStart w:id="545" w:name="_Toc14590"/>
      <w:bookmarkStart w:id="546" w:name="_Toc32459"/>
      <w:bookmarkStart w:id="547" w:name="_Toc14448"/>
      <w:bookmarkStart w:id="548" w:name="_Toc6238"/>
      <w:bookmarkStart w:id="549" w:name="_Toc18950"/>
      <w:r>
        <w:rPr>
          <w:rFonts w:hint="eastAsia" w:ascii="宋体" w:hAnsi="宋体" w:eastAsia="宋体" w:cs="宋体"/>
          <w:b w:val="0"/>
          <w:color w:val="000000" w:themeColor="text1"/>
          <w:sz w:val="21"/>
          <w:szCs w:val="21"/>
        </w:rPr>
        <w:t>11. 价格调整</w:t>
      </w:r>
      <w:bookmarkEnd w:id="543"/>
      <w:bookmarkEnd w:id="544"/>
      <w:bookmarkEnd w:id="545"/>
      <w:bookmarkEnd w:id="546"/>
      <w:bookmarkEnd w:id="547"/>
      <w:bookmarkEnd w:id="548"/>
      <w:bookmarkEnd w:id="549"/>
    </w:p>
    <w:p w14:paraId="0059C28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11.1市场价格波动引起的调整</w:t>
      </w:r>
    </w:p>
    <w:p w14:paraId="355AE07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除专用合同条款另有约定外，市场价格波动超过合同当事人约定的范围，合同价格应当调整。合同当事人可以在专用合同条款中约定选择以下一种方式对合同价格进行调整：</w:t>
      </w:r>
    </w:p>
    <w:p w14:paraId="568330F3">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第1种方式：采用价格指数进行价格调整。</w:t>
      </w:r>
    </w:p>
    <w:p w14:paraId="3246B089">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（1）价格调整公式</w:t>
      </w:r>
    </w:p>
    <w:p w14:paraId="141D83BE">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因人工、材料和设备等价格波动影响合同价格时，根据专用合同条款中约定的数据，按以下公式计算差额并调整合同价格：</w:t>
      </w:r>
    </w:p>
    <w:p w14:paraId="23613975">
      <w:pPr>
        <w:tabs>
          <w:tab w:val="left" w:pos="0"/>
          <w:tab w:val="left" w:pos="360"/>
          <w:tab w:val="left" w:pos="540"/>
        </w:tabs>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position w:val="-30"/>
          <w:szCs w:val="21"/>
        </w:rPr>
        <w:object>
          <v:shape id="_x0000_i1025" o:spt="75" type="#_x0000_t75" style="height:44.25pt;width:36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7D186D1B">
      <w:pPr>
        <w:tabs>
          <w:tab w:val="left" w:pos="0"/>
          <w:tab w:val="left" w:pos="360"/>
          <w:tab w:val="left" w:pos="540"/>
        </w:tabs>
        <w:spacing w:line="460" w:lineRule="atLeast"/>
        <w:ind w:firstLine="640"/>
        <w:rPr>
          <w:rFonts w:hint="eastAsia" w:ascii="宋体" w:hAnsi="宋体" w:eastAsia="宋体" w:cs="宋体"/>
          <w:color w:val="000000" w:themeColor="text1"/>
          <w:szCs w:val="21"/>
        </w:rPr>
      </w:pPr>
      <w:r>
        <w:rPr>
          <w:rFonts w:hint="eastAsia" w:ascii="宋体" w:hAnsi="宋体" w:eastAsia="宋体" w:cs="宋体"/>
          <w:color w:val="000000" w:themeColor="text1"/>
          <w:szCs w:val="21"/>
        </w:rPr>
        <w:t>公式中：ΔP——需调整的价格差额；</w:t>
      </w:r>
    </w:p>
    <w:p w14:paraId="788343B7">
      <w:pPr>
        <w:tabs>
          <w:tab w:val="left" w:pos="0"/>
          <w:tab w:val="left" w:pos="360"/>
          <w:tab w:val="left" w:pos="540"/>
        </w:tabs>
        <w:spacing w:line="460" w:lineRule="atLeast"/>
        <w:ind w:firstLine="1260" w:firstLineChars="600"/>
        <w:rPr>
          <w:rFonts w:hint="eastAsia" w:ascii="宋体" w:hAnsi="宋体" w:eastAsia="宋体" w:cs="宋体"/>
          <w:color w:val="000000" w:themeColor="text1"/>
          <w:szCs w:val="21"/>
        </w:rPr>
      </w:pPr>
      <w:r>
        <w:rPr>
          <w:rFonts w:hint="eastAsia" w:ascii="宋体" w:hAnsi="宋体" w:eastAsia="宋体" w:cs="宋体"/>
          <w:color w:val="000000" w:themeColor="text1"/>
          <w:position w:val="-6"/>
          <w:szCs w:val="21"/>
        </w:rPr>
        <w:object>
          <v:shape id="_x0000_i1026" o:spt="75" type="#_x0000_t75" style="height:18pt;width:18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eastAsia="宋体" w:cs="宋体"/>
          <w:color w:val="000000" w:themeColor="text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7A1BAD85">
      <w:pPr>
        <w:tabs>
          <w:tab w:val="left" w:pos="0"/>
          <w:tab w:val="left" w:pos="360"/>
          <w:tab w:val="left" w:pos="540"/>
        </w:tabs>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A——定值权重（即不调部分的权重）；</w:t>
      </w:r>
    </w:p>
    <w:p w14:paraId="2DE85651">
      <w:pPr>
        <w:tabs>
          <w:tab w:val="left" w:pos="0"/>
          <w:tab w:val="left" w:pos="360"/>
          <w:tab w:val="left" w:pos="540"/>
        </w:tabs>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position w:val="-10"/>
          <w:szCs w:val="21"/>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宋体" w:hAnsi="宋体" w:eastAsia="宋体" w:cs="宋体"/>
          <w:color w:val="000000" w:themeColor="text1"/>
          <w:szCs w:val="21"/>
        </w:rPr>
        <w:t>——各可调因子的变值权重（即可调部分的权重），为各可调因子在签约合同价中所占的比例；</w:t>
      </w:r>
    </w:p>
    <w:p w14:paraId="487AB762">
      <w:pPr>
        <w:tabs>
          <w:tab w:val="left" w:pos="0"/>
          <w:tab w:val="left" w:pos="360"/>
          <w:tab w:val="left" w:pos="540"/>
        </w:tabs>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position w:val="-10"/>
          <w:szCs w:val="21"/>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eastAsia="宋体" w:cs="宋体"/>
          <w:color w:val="000000" w:themeColor="text1"/>
          <w:szCs w:val="21"/>
        </w:rPr>
        <w:t>——各可调因子的现行价格指数，指约定的付款证书相关周期最后一天的前42天的各可调因子的价格指数；</w:t>
      </w:r>
    </w:p>
    <w:p w14:paraId="7AD1B7A6">
      <w:pPr>
        <w:tabs>
          <w:tab w:val="left" w:pos="0"/>
          <w:tab w:val="left" w:pos="360"/>
          <w:tab w:val="left" w:pos="540"/>
        </w:tabs>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position w:val="-10"/>
          <w:szCs w:val="21"/>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eastAsia="宋体" w:cs="宋体"/>
          <w:color w:val="000000" w:themeColor="text1"/>
          <w:szCs w:val="21"/>
        </w:rPr>
        <w:t>——各可调因子的基本价格指数，指基准日期的各可调因子的价格指数。</w:t>
      </w:r>
    </w:p>
    <w:p w14:paraId="7AE0F8FD">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DFA38DF">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（2）暂时确定调整差额</w:t>
      </w:r>
    </w:p>
    <w:p w14:paraId="243EBD17">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在计算调整差额时无现行价格指数的，合同当事人同意暂用前次价格指数计算。实际价格指数有调整的，合同当事人进行相应调整。</w:t>
      </w:r>
    </w:p>
    <w:p w14:paraId="1498508C">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（3）权重的调整</w:t>
      </w:r>
    </w:p>
    <w:p w14:paraId="3BF6F1C1">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因变更导致合同约定的权重不合理时，按照第4.4款〔商定或确定〕执行。</w:t>
      </w:r>
    </w:p>
    <w:p w14:paraId="0A7400E1">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（4）因承包人原因工期延误后的价格调整</w:t>
      </w:r>
    </w:p>
    <w:p w14:paraId="2A8C1396">
      <w:pPr>
        <w:tabs>
          <w:tab w:val="left" w:pos="0"/>
          <w:tab w:val="left" w:pos="360"/>
          <w:tab w:val="left" w:pos="540"/>
        </w:tabs>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因承包人原因未按期竣工的，对合同约定的竣工日期后继续施工的工程，在使用价格调整公式时，应采用计划竣工日期与实际竣工日期的两个价格指数中较低的一个作为现行价格指数。</w:t>
      </w:r>
    </w:p>
    <w:p w14:paraId="0DA79C19">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第2种方式：采用造价信息进行价格调整。</w:t>
      </w:r>
    </w:p>
    <w:p w14:paraId="7622D1EC">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D784134">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B4C731B">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（2）材料、工程设备价格变化的价款调整按照发包人提供的基准价格，按以下风险范围规定执行:</w:t>
      </w:r>
    </w:p>
    <w:p w14:paraId="53A5450F">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B31D2E7">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8B9F162">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③承包人在已标价工程量清单或预算书中载明材料单价等于基准价格的：除专用合同条款另有约定外，合同履行期间材料单价涨跌幅以基准价格为基础超过±5%时，其超过部分据实调整。</w:t>
      </w:r>
    </w:p>
    <w:p w14:paraId="22F90716">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7EB3B60">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5DB4FB6C">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（3）施工机械台班单价或施工机械使用费发生变化超过省级或行业建设主管部门或其授权的工程造价管理机构规定的范围时，按规定调整合同价格。</w:t>
      </w:r>
    </w:p>
    <w:p w14:paraId="70F466F2">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第3种方式：专用合同条款约定的其他方式。</w:t>
      </w:r>
    </w:p>
    <w:p w14:paraId="796DC9D2">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11.2法律变化引起的调整</w:t>
      </w:r>
    </w:p>
    <w:p w14:paraId="7CCC3BCE">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C329CAC">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因法律变化引起的合同价格和工期调整，合同当事人无法达成一致的，由总监理工程师按第4.4款〔商定或确定〕的约定处理。</w:t>
      </w:r>
    </w:p>
    <w:p w14:paraId="4E5B4554">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因承包人原因造成工期延误，在工期延误期间出现法律变化的，由此增加的费用和（或）延误的工期由承包人承担。</w:t>
      </w:r>
    </w:p>
    <w:p w14:paraId="50AD063A">
      <w:pPr>
        <w:pStyle w:val="5"/>
        <w:spacing w:before="120" w:after="120" w:line="380" w:lineRule="atLeast"/>
        <w:rPr>
          <w:rFonts w:hint="eastAsia" w:ascii="宋体" w:hAnsi="宋体" w:eastAsia="宋体" w:cs="宋体"/>
          <w:b w:val="0"/>
          <w:color w:val="000000" w:themeColor="text1"/>
          <w:sz w:val="21"/>
          <w:szCs w:val="21"/>
        </w:rPr>
      </w:pPr>
      <w:bookmarkStart w:id="550" w:name="_Toc29609"/>
      <w:bookmarkStart w:id="551" w:name="_Toc7888"/>
      <w:bookmarkStart w:id="552" w:name="_Toc19990"/>
      <w:bookmarkStart w:id="553" w:name="_Toc12443"/>
      <w:bookmarkStart w:id="554" w:name="_Toc31890"/>
      <w:bookmarkStart w:id="555" w:name="_Toc6402"/>
      <w:bookmarkStart w:id="556" w:name="_Toc1146"/>
      <w:r>
        <w:rPr>
          <w:rFonts w:hint="eastAsia" w:ascii="宋体" w:hAnsi="宋体" w:eastAsia="宋体" w:cs="宋体"/>
          <w:b w:val="0"/>
          <w:color w:val="000000" w:themeColor="text1"/>
          <w:sz w:val="21"/>
          <w:szCs w:val="21"/>
        </w:rPr>
        <w:t>12. 合同价格、计量与支付</w:t>
      </w:r>
      <w:bookmarkEnd w:id="550"/>
      <w:bookmarkEnd w:id="551"/>
      <w:bookmarkEnd w:id="552"/>
      <w:bookmarkEnd w:id="553"/>
      <w:bookmarkEnd w:id="554"/>
      <w:bookmarkEnd w:id="555"/>
      <w:bookmarkEnd w:id="556"/>
    </w:p>
    <w:p w14:paraId="488E2D66">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12.1 合同价格形式</w:t>
      </w:r>
    </w:p>
    <w:p w14:paraId="3D792D9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发包人和承包人应在合同协议书中选择下列一种合同价格形式： </w:t>
      </w:r>
    </w:p>
    <w:p w14:paraId="60A6B30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1.单价合同</w:t>
      </w:r>
    </w:p>
    <w:p w14:paraId="619D2A2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单价合同是指合同当事人约定以工程量清单及其综合单价进行合同价格计算、调整和确认的建设工程施工合同，</w:t>
      </w:r>
      <w:r>
        <w:rPr>
          <w:rFonts w:hint="eastAsia" w:ascii="宋体" w:hAnsi="宋体" w:eastAsia="宋体" w:cs="宋体"/>
          <w:color w:val="000000" w:themeColor="text1"/>
          <w:szCs w:val="21"/>
        </w:rPr>
        <w:t>在约定的范围内合同单价不作调整</w:t>
      </w:r>
      <w:r>
        <w:rPr>
          <w:rFonts w:hint="eastAsia" w:ascii="宋体" w:hAnsi="宋体" w:eastAsia="宋体" w:cs="宋体"/>
          <w:color w:val="000000" w:themeColor="text1"/>
          <w:kern w:val="0"/>
          <w:szCs w:val="21"/>
        </w:rPr>
        <w:t>。合同当事人应在专用合同条款中约定综合单价包含的风险范围和风险费用的计算方法</w:t>
      </w:r>
      <w:r>
        <w:rPr>
          <w:rFonts w:hint="eastAsia" w:ascii="宋体" w:hAnsi="宋体" w:eastAsia="宋体" w:cs="宋体"/>
          <w:color w:val="000000" w:themeColor="text1"/>
          <w:szCs w:val="21"/>
        </w:rPr>
        <w:t>，</w:t>
      </w:r>
      <w:r>
        <w:rPr>
          <w:rFonts w:hint="eastAsia" w:ascii="宋体" w:hAnsi="宋体" w:eastAsia="宋体" w:cs="宋体"/>
          <w:color w:val="000000" w:themeColor="text1"/>
          <w:kern w:val="0"/>
          <w:szCs w:val="21"/>
        </w:rPr>
        <w:t>并约定风险范围以外的合同价格的调整方法，其中因市场价格波动引起的调整按第11.1款〔市场价格波动引起的调整〕约定执行。</w:t>
      </w:r>
    </w:p>
    <w:p w14:paraId="5CE5C39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2.总价合同</w:t>
      </w:r>
    </w:p>
    <w:p w14:paraId="78020E1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总价合同是指合同当事人约定以施工图、已标价工程量清单或预算书及有关条件进行合同价格计算、调整和确认的建设工程施工合同，</w:t>
      </w:r>
      <w:r>
        <w:rPr>
          <w:rFonts w:hint="eastAsia" w:ascii="宋体" w:hAnsi="宋体" w:eastAsia="宋体" w:cs="宋体"/>
          <w:color w:val="000000" w:themeColor="text1"/>
          <w:szCs w:val="21"/>
        </w:rPr>
        <w:t>在约定的范围内合同总价不作调整</w:t>
      </w:r>
      <w:r>
        <w:rPr>
          <w:rFonts w:hint="eastAsia" w:ascii="宋体" w:hAnsi="宋体" w:eastAsia="宋体" w:cs="宋体"/>
          <w:color w:val="000000" w:themeColor="text1"/>
          <w:kern w:val="0"/>
          <w:szCs w:val="21"/>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215572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3.其它价格形式</w:t>
      </w:r>
    </w:p>
    <w:p w14:paraId="4D636F4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合同当事人可在专用合同条款中约定其他合同价格形式。</w:t>
      </w:r>
    </w:p>
    <w:p w14:paraId="6B1532D1">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12.2预付款</w:t>
      </w:r>
    </w:p>
    <w:p w14:paraId="25F21C5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12.2.</w:t>
      </w:r>
      <w:r>
        <w:rPr>
          <w:rFonts w:hint="eastAsia" w:ascii="宋体" w:hAnsi="宋体" w:eastAsia="宋体" w:cs="宋体"/>
          <w:color w:val="000000" w:themeColor="text1"/>
          <w:kern w:val="0"/>
          <w:szCs w:val="21"/>
        </w:rPr>
        <w:t>1预付款的支付</w:t>
      </w:r>
    </w:p>
    <w:p w14:paraId="77594F1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预付款的支付按照专用合同条款约定执行，但至迟应在开工通知载明的开工日期7天前支付。预付款应当用于材料、工程设备、施工设备的采购及修建临时工程、组织施工队伍进场等。</w:t>
      </w:r>
    </w:p>
    <w:p w14:paraId="5DBDF90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除专用合同条款另有约定外，预付款在进度付款中同比例扣回。在颁发工程接收证书前，提前解除合同的，尚未扣完的预付款应与合同价款一并结算。</w:t>
      </w:r>
    </w:p>
    <w:p w14:paraId="24D729F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发包人逾期支付预付款超过7天的，承包人有权向发包人发出要求预付的催告通知，发包人收到通知后7天内仍未支付的，承包人有权暂停施工，并按第16.1.1项〔发包人违约的情形〕执行。</w:t>
      </w:r>
    </w:p>
    <w:p w14:paraId="126DE6C6">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12.2.2 预付款担保</w:t>
      </w:r>
    </w:p>
    <w:p w14:paraId="22424F2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926910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发包人在工程款中逐期扣回预付款后，预付款担保额度应相应减少，但剩余的预付款担保金额不得低于未被扣回的预付款金额。</w:t>
      </w:r>
    </w:p>
    <w:p w14:paraId="1AF9F7C1">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12.3计量</w:t>
      </w:r>
    </w:p>
    <w:p w14:paraId="2C68061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12.3.1 计量原则</w:t>
      </w:r>
    </w:p>
    <w:p w14:paraId="21AC909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工程量计量按照合同约定的工程量计算规则、图纸及变更指示等进行计量。工程量计算规则应以相关的国家标准、行业标准等为依据，由合同当事人在专用合同条款中约定。</w:t>
      </w:r>
    </w:p>
    <w:p w14:paraId="6619E31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12.3.2 计量周期</w:t>
      </w:r>
    </w:p>
    <w:p w14:paraId="2F353AF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除专用合同条款另有约定外，工程量的计量按月进行。</w:t>
      </w:r>
    </w:p>
    <w:p w14:paraId="7E363513">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12.3.3 单价合同的计量</w:t>
      </w:r>
    </w:p>
    <w:p w14:paraId="55251D4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除专用合同条款另有约定外，单价合同的计量按照本项约定执行：</w:t>
      </w:r>
    </w:p>
    <w:p w14:paraId="347105C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（1）承包人应于每月25日向监理人报送上月20日至当月19日已完成的工程量报告，并附具进度付款申请单、已完成工程量报表和有关资料。</w:t>
      </w:r>
    </w:p>
    <w:p w14:paraId="6EB1061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29BD1A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（3）监理人未在收到承包人提交的工程量报表后的7天内完成审核的，承包人报送的工程量报告中的工程量视为承包人实际完成的工程量，据此计算工程价款。</w:t>
      </w:r>
    </w:p>
    <w:p w14:paraId="260DFA0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12.3.4 总价合同的计量</w:t>
      </w:r>
    </w:p>
    <w:p w14:paraId="5714142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除专用合同条款另有约定外，按月计量支付的总价合同，按照本项约定执行：</w:t>
      </w:r>
    </w:p>
    <w:p w14:paraId="1428762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（1）承包人应于每月25日向监理人报送上月20日至当月19日已完成的工程量报告，并附具进度付款申请单、已完成工程量报表和有关资料。</w:t>
      </w:r>
    </w:p>
    <w:p w14:paraId="4758B7E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DFCAB3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（3）监理人未在收到承包人提交的工程量报表后的7天内完成复核的，承包人提交的工程量报告中的工程量视为承包人实际完成的工程量。</w:t>
      </w:r>
    </w:p>
    <w:p w14:paraId="102C02C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12.3.5 总价合同采用支付分解表计量支付的，可以按照第12.3.4项〔总价合同的计量〕约定进行计量，但合同价款按照支付分解表进行支付。</w:t>
      </w:r>
    </w:p>
    <w:p w14:paraId="594312B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12.3.6 其他价格形式合同的计量</w:t>
      </w:r>
    </w:p>
    <w:p w14:paraId="2CE23D3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合同当事人可在专用合同条款中约定其他价格形式合同的计量方式和程序。</w:t>
      </w:r>
    </w:p>
    <w:p w14:paraId="7EB9E58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12.4工程进度款支付</w:t>
      </w:r>
    </w:p>
    <w:p w14:paraId="42881C10">
      <w:pPr>
        <w:adjustRightInd w:val="0"/>
        <w:spacing w:line="380" w:lineRule="atLeast"/>
        <w:ind w:firstLine="420" w:firstLineChars="200"/>
        <w:jc w:val="left"/>
        <w:outlineLvl w:val="0"/>
        <w:rPr>
          <w:rFonts w:hint="eastAsia" w:ascii="宋体" w:hAnsi="宋体" w:eastAsia="宋体" w:cs="宋体"/>
          <w:color w:val="000000" w:themeColor="text1"/>
          <w:kern w:val="0"/>
          <w:szCs w:val="21"/>
        </w:rPr>
      </w:pPr>
      <w:bookmarkStart w:id="557" w:name="_Toc9276"/>
      <w:bookmarkStart w:id="558" w:name="_Toc29692"/>
      <w:bookmarkStart w:id="559" w:name="_Toc17720"/>
      <w:bookmarkStart w:id="560" w:name="_Toc7277"/>
      <w:bookmarkStart w:id="561" w:name="_Toc18403"/>
      <w:bookmarkStart w:id="562" w:name="_Toc18574469"/>
      <w:bookmarkStart w:id="563" w:name="_Toc1778"/>
      <w:bookmarkStart w:id="564" w:name="_Toc7464"/>
      <w:r>
        <w:rPr>
          <w:rFonts w:hint="eastAsia" w:ascii="宋体" w:hAnsi="宋体" w:eastAsia="宋体" w:cs="宋体"/>
          <w:color w:val="000000" w:themeColor="text1"/>
          <w:szCs w:val="21"/>
        </w:rPr>
        <w:t>12.4</w:t>
      </w:r>
      <w:r>
        <w:rPr>
          <w:rFonts w:hint="eastAsia" w:ascii="宋体" w:hAnsi="宋体" w:eastAsia="宋体" w:cs="宋体"/>
          <w:color w:val="000000" w:themeColor="text1"/>
          <w:kern w:val="0"/>
          <w:szCs w:val="21"/>
        </w:rPr>
        <w:t>.1 付款周期</w:t>
      </w:r>
      <w:bookmarkEnd w:id="557"/>
      <w:bookmarkEnd w:id="558"/>
      <w:bookmarkEnd w:id="559"/>
      <w:bookmarkEnd w:id="560"/>
      <w:bookmarkEnd w:id="561"/>
      <w:bookmarkEnd w:id="562"/>
      <w:bookmarkEnd w:id="563"/>
      <w:bookmarkEnd w:id="564"/>
    </w:p>
    <w:p w14:paraId="47B2B58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除专用合同条款另有约定外，付款周期应按照第12.3.2项〔计量周期〕的约定与计量周期保持一致。</w:t>
      </w:r>
    </w:p>
    <w:p w14:paraId="0142672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12.4</w:t>
      </w:r>
      <w:r>
        <w:rPr>
          <w:rFonts w:hint="eastAsia" w:ascii="宋体" w:hAnsi="宋体" w:eastAsia="宋体" w:cs="宋体"/>
          <w:color w:val="000000" w:themeColor="text1"/>
          <w:kern w:val="0"/>
          <w:szCs w:val="21"/>
        </w:rPr>
        <w:t>.2 进度付款申请单的编制</w:t>
      </w:r>
    </w:p>
    <w:p w14:paraId="79561C2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除专用合同条款另有约定外，进度付款申请单应包括下列内容：</w:t>
      </w:r>
    </w:p>
    <w:p w14:paraId="5321079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（1）截至本次付款周期已完成工作对应的金额；</w:t>
      </w:r>
    </w:p>
    <w:p w14:paraId="742FC81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（2）根据第10条〔变更〕应增加和扣减的变更金额；</w:t>
      </w:r>
    </w:p>
    <w:p w14:paraId="32AAC12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（3）根据第12.2款〔预付款〕约定应支付的预付款和扣减的返还预付款；</w:t>
      </w:r>
    </w:p>
    <w:p w14:paraId="08A78C8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（4）根据第15.3款〔质量保证金〕约定应扣减的质量保证金；</w:t>
      </w:r>
    </w:p>
    <w:p w14:paraId="749DC8A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（5）根据第19条〔索赔〕应增加和扣减的索赔金额；</w:t>
      </w:r>
    </w:p>
    <w:p w14:paraId="4CC7322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（6）对已签发的进度款支付证书中出现错误的修正，应在本次进度付款中支付或扣除的金额；</w:t>
      </w:r>
    </w:p>
    <w:p w14:paraId="32AB734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（7）根据合同约定应增加和扣减的其他金额。</w:t>
      </w:r>
    </w:p>
    <w:p w14:paraId="199613EA">
      <w:pPr>
        <w:adjustRightInd w:val="0"/>
        <w:spacing w:line="380" w:lineRule="atLeast"/>
        <w:ind w:firstLine="420" w:firstLineChars="200"/>
        <w:jc w:val="left"/>
        <w:outlineLvl w:val="0"/>
        <w:rPr>
          <w:rFonts w:hint="eastAsia" w:ascii="宋体" w:hAnsi="宋体" w:eastAsia="宋体" w:cs="宋体"/>
          <w:color w:val="000000" w:themeColor="text1"/>
          <w:kern w:val="0"/>
          <w:szCs w:val="21"/>
        </w:rPr>
      </w:pPr>
      <w:bookmarkStart w:id="565" w:name="_Toc18535"/>
      <w:bookmarkStart w:id="566" w:name="_Toc5387"/>
      <w:bookmarkStart w:id="567" w:name="_Toc9483"/>
      <w:bookmarkStart w:id="568" w:name="_Toc19538"/>
      <w:bookmarkStart w:id="569" w:name="_Toc18574470"/>
      <w:bookmarkStart w:id="570" w:name="_Toc14401"/>
      <w:bookmarkStart w:id="571" w:name="_Toc31596"/>
      <w:bookmarkStart w:id="572" w:name="_Toc2301"/>
      <w:r>
        <w:rPr>
          <w:rFonts w:hint="eastAsia" w:ascii="宋体" w:hAnsi="宋体" w:eastAsia="宋体" w:cs="宋体"/>
          <w:color w:val="000000" w:themeColor="text1"/>
          <w:kern w:val="0"/>
          <w:szCs w:val="21"/>
        </w:rPr>
        <w:t>12.4.3 进度付款申请单的提交</w:t>
      </w:r>
      <w:bookmarkEnd w:id="565"/>
      <w:bookmarkEnd w:id="566"/>
      <w:bookmarkEnd w:id="567"/>
      <w:bookmarkEnd w:id="568"/>
      <w:bookmarkEnd w:id="569"/>
      <w:bookmarkEnd w:id="570"/>
      <w:bookmarkEnd w:id="571"/>
      <w:bookmarkEnd w:id="572"/>
    </w:p>
    <w:p w14:paraId="77DB6B1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（1）单价合同进度付款申请单的提交</w:t>
      </w:r>
    </w:p>
    <w:p w14:paraId="3386467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59A14C7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（2）总价合同进度付款申请单的提交</w:t>
      </w:r>
    </w:p>
    <w:p w14:paraId="27B7207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总价合同按月计量支付的，承包人按照第12.3.4项〔总价合同的计量〕约定的时间按月向监理人提交进度付款申请单，并附上已完成工程量报表和有关资料。</w:t>
      </w:r>
    </w:p>
    <w:p w14:paraId="45F9A11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总价合同按支付分解表支付的，承包人应按照第12.4.6项〔支付分解表〕及第12.4.2项〔进度付款申请单的编制〕的约定向监理人提交进度付款申请单。</w:t>
      </w:r>
    </w:p>
    <w:p w14:paraId="648492B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（3）其他价格形式合同的进度付款申请单的提交</w:t>
      </w:r>
    </w:p>
    <w:p w14:paraId="50AD524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合同当事人可在专用合同条款中约定其他价格形式合同的进度付款申请单的编制和提交程序。</w:t>
      </w:r>
    </w:p>
    <w:p w14:paraId="049B954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12.4</w:t>
      </w:r>
      <w:r>
        <w:rPr>
          <w:rFonts w:hint="eastAsia" w:ascii="宋体" w:hAnsi="宋体" w:eastAsia="宋体" w:cs="宋体"/>
          <w:color w:val="000000" w:themeColor="text1"/>
          <w:kern w:val="0"/>
          <w:szCs w:val="21"/>
        </w:rPr>
        <w:t>.4 进度款审核和支付</w:t>
      </w:r>
    </w:p>
    <w:p w14:paraId="6CF0333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52932D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50CEBD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66814EE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（3）发包人签发进度款支付证书或临时进度款支付证书，不表明发包人已同意、批准或接受了承包人完成的相应部分的工作。</w:t>
      </w:r>
    </w:p>
    <w:p w14:paraId="48B181C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12.4.5 进度付款的修正</w:t>
      </w:r>
    </w:p>
    <w:p w14:paraId="2994E9F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1631CAA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12.4.6 支付分解表</w:t>
      </w:r>
    </w:p>
    <w:p w14:paraId="20667A4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1.支付分解表的编制要求</w:t>
      </w:r>
    </w:p>
    <w:p w14:paraId="5984A45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（1）支付分解表中所列的每期付款金额，应为第12.4.2项〔进度付款申请单的编制〕第（1）目的估算金额；</w:t>
      </w:r>
    </w:p>
    <w:p w14:paraId="4C1EA24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（2）实际进度与施工进度计划不一致的，合同当事人可按照第4.4款〔商定或确定〕修改支付分解表；</w:t>
      </w:r>
    </w:p>
    <w:p w14:paraId="11EC5A2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（3）不采用支付分解表的，承包人应向发包人和监理人提交按季度编制的支付估算分解表，用于支付参考。</w:t>
      </w:r>
    </w:p>
    <w:p w14:paraId="3176CEB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2.总价合同支付分解表的编制与审批</w:t>
      </w:r>
    </w:p>
    <w:p w14:paraId="4BC8BD9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7C8937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（2）监理人应在收到支付分解表后7天内完成审核并报送发包人。发包人应在收到经监理人审核的支付分解表后7天内完成审批，经发包人批准的支付分解表为有约束力的支付分解表。</w:t>
      </w:r>
    </w:p>
    <w:p w14:paraId="7D25C935">
      <w:pPr>
        <w:spacing w:line="38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（3）发包人逾期未完成支付分解表审批的，也未及时要求承包人进行修正和提供补充资料的，则承包人提交的支付分解表视为已经获得发包人批准。</w:t>
      </w:r>
    </w:p>
    <w:p w14:paraId="4DEADCA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3.单价合同的总价项目支付分解表的编制与审批</w:t>
      </w:r>
    </w:p>
    <w:p w14:paraId="6F01011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8EFAE28">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12.5支付账户</w:t>
      </w:r>
    </w:p>
    <w:p w14:paraId="65F859C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发包人应将合同价款支付至合同协议书中约定的承包人账户。</w:t>
      </w:r>
    </w:p>
    <w:p w14:paraId="5311AD74">
      <w:pPr>
        <w:pStyle w:val="5"/>
        <w:spacing w:before="120" w:after="120" w:line="380" w:lineRule="atLeast"/>
        <w:rPr>
          <w:rFonts w:hint="eastAsia" w:ascii="宋体" w:hAnsi="宋体" w:eastAsia="宋体" w:cs="宋体"/>
          <w:b w:val="0"/>
          <w:color w:val="000000" w:themeColor="text1"/>
          <w:sz w:val="21"/>
          <w:szCs w:val="21"/>
        </w:rPr>
      </w:pPr>
      <w:bookmarkStart w:id="573" w:name="_Toc24362"/>
      <w:bookmarkStart w:id="574" w:name="_Toc25275"/>
      <w:bookmarkStart w:id="575" w:name="_Toc7375"/>
      <w:bookmarkStart w:id="576" w:name="_Toc8907"/>
      <w:bookmarkStart w:id="577" w:name="_Toc32524"/>
      <w:bookmarkStart w:id="578" w:name="_Toc26270"/>
      <w:bookmarkStart w:id="579" w:name="_Toc12467"/>
      <w:r>
        <w:rPr>
          <w:rFonts w:hint="eastAsia" w:ascii="宋体" w:hAnsi="宋体" w:eastAsia="宋体" w:cs="宋体"/>
          <w:b w:val="0"/>
          <w:color w:val="000000" w:themeColor="text1"/>
          <w:sz w:val="21"/>
          <w:szCs w:val="21"/>
        </w:rPr>
        <w:t>13. 验收和工程试车</w:t>
      </w:r>
      <w:bookmarkEnd w:id="573"/>
      <w:bookmarkEnd w:id="574"/>
      <w:bookmarkEnd w:id="575"/>
      <w:bookmarkEnd w:id="576"/>
      <w:bookmarkEnd w:id="577"/>
      <w:bookmarkEnd w:id="578"/>
      <w:bookmarkEnd w:id="579"/>
    </w:p>
    <w:p w14:paraId="688D618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13.1分部分项工程验收</w:t>
      </w:r>
    </w:p>
    <w:p w14:paraId="70CB0C00">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13.1.1 分部分项工程质量应符合国家有关工程施工验收规范、标准及合同约定，承包人应按照施工组织设计的要求完成分部分项工程施工。</w:t>
      </w:r>
    </w:p>
    <w:p w14:paraId="10CEC937">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13.1.2 除专用合同条款另有约定外，分部分项工程经承包人自检合格并具备验收条件的，承包人应提前48小时通知监理人进行验收。</w:t>
      </w:r>
      <w:r>
        <w:rPr>
          <w:rFonts w:hint="eastAsia" w:ascii="宋体" w:hAnsi="宋体" w:eastAsia="宋体" w:cs="宋体"/>
          <w:color w:val="000000" w:themeColor="text1"/>
          <w:kern w:val="0"/>
          <w:szCs w:val="21"/>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000000" w:themeColor="text1"/>
          <w:szCs w:val="21"/>
        </w:rPr>
        <w:t>分部分项工程未经验收的，不得进入下一道工序施工。</w:t>
      </w:r>
    </w:p>
    <w:p w14:paraId="6B692B4F">
      <w:pPr>
        <w:spacing w:line="38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分部分项工程的验收资料应当作为竣工资料的组成部分。</w:t>
      </w:r>
    </w:p>
    <w:p w14:paraId="6FFF4DAC">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13.2竣工验收</w:t>
      </w:r>
    </w:p>
    <w:p w14:paraId="096483A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13.2.1竣工验收条件</w:t>
      </w:r>
    </w:p>
    <w:p w14:paraId="1F6DBE2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工程具备以下条件的，承包人可以申请竣工验收：</w:t>
      </w:r>
    </w:p>
    <w:p w14:paraId="6B2139A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（1）除发包人同意的甩项工作和缺陷修补工作外，合同范围内的全部工程以及有关工作，包括合同要求的试验、试运行以及检验均已完成，并符合合同要求；</w:t>
      </w:r>
    </w:p>
    <w:p w14:paraId="49A8F32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（2）已按合同约定编制了甩项工作和缺陷修补工作清单以及相应的施工计划；</w:t>
      </w:r>
    </w:p>
    <w:p w14:paraId="69D93A9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（3）已按合同约定的内容和份数备齐竣工资料。</w:t>
      </w:r>
    </w:p>
    <w:p w14:paraId="5C36201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13.2.2竣工验收程序</w:t>
      </w:r>
    </w:p>
    <w:p w14:paraId="218D7BD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除专用合同条款另有约定外，承包人申请竣工验收的，应当按照以下程序进行：</w:t>
      </w:r>
    </w:p>
    <w:p w14:paraId="20B6EF9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37F51C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9EE3F8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（3）竣工验收合格的，发包人应在验收合格后14天内向承包人签发工程接收证书。发包人无正当理由逾期不颁发工程接收证书的，自验收合格后第15天起视为已颁发工程接收证书。</w:t>
      </w:r>
    </w:p>
    <w:p w14:paraId="64F4E6B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E9EF54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64156D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0AB5F2E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13.2.3竣工日期</w:t>
      </w:r>
    </w:p>
    <w:p w14:paraId="6CDECF7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2B1C1E34">
      <w:pPr>
        <w:spacing w:line="380" w:lineRule="atLeast"/>
        <w:ind w:firstLine="420" w:firstLineChars="200"/>
        <w:jc w:val="left"/>
        <w:outlineLvl w:val="0"/>
        <w:rPr>
          <w:rFonts w:hint="eastAsia" w:ascii="宋体" w:hAnsi="宋体" w:eastAsia="宋体" w:cs="宋体"/>
          <w:color w:val="000000" w:themeColor="text1"/>
          <w:kern w:val="0"/>
          <w:szCs w:val="21"/>
        </w:rPr>
      </w:pPr>
      <w:bookmarkStart w:id="580" w:name="_Toc22441"/>
      <w:bookmarkStart w:id="581" w:name="_Toc8971"/>
      <w:bookmarkStart w:id="582" w:name="_Toc29038"/>
      <w:bookmarkStart w:id="583" w:name="_Toc28526"/>
      <w:bookmarkStart w:id="584" w:name="_Toc3388"/>
      <w:bookmarkStart w:id="585" w:name="_Toc18574471"/>
      <w:bookmarkStart w:id="586" w:name="_Toc10414"/>
      <w:bookmarkStart w:id="587" w:name="_Toc12294"/>
      <w:r>
        <w:rPr>
          <w:rFonts w:hint="eastAsia" w:ascii="宋体" w:hAnsi="宋体" w:eastAsia="宋体" w:cs="宋体"/>
          <w:color w:val="000000" w:themeColor="text1"/>
          <w:kern w:val="0"/>
          <w:szCs w:val="21"/>
        </w:rPr>
        <w:t>13.2.4 拒绝接收全部或部分工程</w:t>
      </w:r>
      <w:bookmarkEnd w:id="580"/>
      <w:bookmarkEnd w:id="581"/>
      <w:bookmarkEnd w:id="582"/>
      <w:bookmarkEnd w:id="583"/>
      <w:bookmarkEnd w:id="584"/>
      <w:bookmarkEnd w:id="585"/>
      <w:bookmarkEnd w:id="586"/>
      <w:bookmarkEnd w:id="587"/>
    </w:p>
    <w:p w14:paraId="75A7F1A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793617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13.2.5 移交、接收全部与部分工程</w:t>
      </w:r>
    </w:p>
    <w:p w14:paraId="4F582FB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除专用合同条款另有约定外，合同当事人应当在颁发工程接收证书后7天内完成工程的移交。</w:t>
      </w:r>
    </w:p>
    <w:p w14:paraId="3629591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25538A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56497873">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13.3工程试车</w:t>
      </w:r>
    </w:p>
    <w:p w14:paraId="428CF87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13.3.1试车程序</w:t>
      </w:r>
    </w:p>
    <w:p w14:paraId="45BBDD6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工程需要试车的，除专用合同条款另有约定外，试车内容应与承包人承包范围相一致，试车费用由承包人承担。工程试车应按如下程序进行：</w:t>
      </w:r>
    </w:p>
    <w:p w14:paraId="39CE649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B94390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006243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B78850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13.3.2 试车中的责任</w:t>
      </w:r>
    </w:p>
    <w:p w14:paraId="01D61C9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3524F0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D7EBB7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13.3.3 投料试车</w:t>
      </w:r>
    </w:p>
    <w:p w14:paraId="6A2C790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如需进行投料试车的，发包人应在工程竣工验收后组织投料试车。发包人要求在工程竣工验收前进行或需要承包人配合时，应征得承包人同意，并在专用合同条款中约定有关事项。</w:t>
      </w:r>
    </w:p>
    <w:p w14:paraId="4C43CDF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8BD8C97">
      <w:pPr>
        <w:pStyle w:val="6"/>
        <w:spacing w:before="120" w:after="120" w:line="380" w:lineRule="atLeast"/>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 xml:space="preserve">    13.4提前交付单位工程的验收</w:t>
      </w:r>
    </w:p>
    <w:p w14:paraId="3102E82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13.4.1 发包人需要在工程竣工前使用单位工程的，或承包人提出提前交付已经竣工的单位工程且经发包人同意的，可进行单位工程验收，验收的程序按照第13.2款〔竣工验收〕的约定进行。</w:t>
      </w:r>
    </w:p>
    <w:p w14:paraId="183B53D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4BB04D56">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13.4.2 发包人要求在工程竣工前交付单位工程，由此导致承包人费用增加和（或）工期延误的，由发包人承担由此增加的费用和（或）延误的工期，并支付承包人合理的利润。</w:t>
      </w:r>
    </w:p>
    <w:p w14:paraId="15AF307B">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13.5 施工期运行</w:t>
      </w:r>
    </w:p>
    <w:p w14:paraId="58D6D6D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A40BEC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13.5.2 在施工期运行中发现工程或工程设备损坏或存在缺陷的，由承包人按第15.2款〔缺陷责任期〕约定进行修复。</w:t>
      </w:r>
    </w:p>
    <w:p w14:paraId="5101F432">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13.6 竣工退场</w:t>
      </w:r>
    </w:p>
    <w:p w14:paraId="08AF008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13.6.1 竣工退场</w:t>
      </w:r>
    </w:p>
    <w:p w14:paraId="211FADA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颁发工程接收证书后，承包人应按以下要求对施工现场进行清理：</w:t>
      </w:r>
    </w:p>
    <w:p w14:paraId="6A3B32E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（1）施工现场内残留的垃圾已全部清除出场；</w:t>
      </w:r>
    </w:p>
    <w:p w14:paraId="0B959AB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（2）临时工程已拆除，场地已进行清理、平整或复原；</w:t>
      </w:r>
    </w:p>
    <w:p w14:paraId="56D5903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（3）按合同约定应撤离的人员、承包人施工设备和剩余的材料，包括废弃的施工设备和材料，已按计划撤离施工现场；</w:t>
      </w:r>
    </w:p>
    <w:p w14:paraId="6A0D17C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（4）施工现场周边及其附近道路、河道的施工堆积物，已全部清理；</w:t>
      </w:r>
    </w:p>
    <w:p w14:paraId="1AA30CA4">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（5）施工现场其他场地清理工作已全部完成。</w:t>
      </w:r>
    </w:p>
    <w:p w14:paraId="2E05B36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6AB9EF5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13.6.2 地表还原</w:t>
      </w:r>
    </w:p>
    <w:p w14:paraId="6AA1B5F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094E9279">
      <w:pPr>
        <w:pStyle w:val="5"/>
        <w:spacing w:before="120" w:after="120" w:line="380" w:lineRule="atLeast"/>
        <w:rPr>
          <w:rFonts w:hint="eastAsia" w:ascii="宋体" w:hAnsi="宋体" w:eastAsia="宋体" w:cs="宋体"/>
          <w:b w:val="0"/>
          <w:color w:val="000000" w:themeColor="text1"/>
          <w:sz w:val="21"/>
          <w:szCs w:val="21"/>
        </w:rPr>
      </w:pPr>
      <w:bookmarkStart w:id="588" w:name="_Toc28675"/>
      <w:bookmarkStart w:id="589" w:name="_Toc31817"/>
      <w:bookmarkStart w:id="590" w:name="_Toc3924"/>
      <w:bookmarkStart w:id="591" w:name="_Toc20265"/>
      <w:bookmarkStart w:id="592" w:name="_Toc23486"/>
      <w:bookmarkStart w:id="593" w:name="_Toc3887"/>
      <w:bookmarkStart w:id="594" w:name="_Toc3779"/>
      <w:r>
        <w:rPr>
          <w:rFonts w:hint="eastAsia" w:ascii="宋体" w:hAnsi="宋体" w:eastAsia="宋体" w:cs="宋体"/>
          <w:b w:val="0"/>
          <w:color w:val="000000" w:themeColor="text1"/>
          <w:sz w:val="21"/>
          <w:szCs w:val="21"/>
        </w:rPr>
        <w:t>14. 竣工结算</w:t>
      </w:r>
      <w:bookmarkEnd w:id="588"/>
      <w:bookmarkEnd w:id="589"/>
      <w:bookmarkEnd w:id="590"/>
      <w:bookmarkEnd w:id="591"/>
      <w:bookmarkEnd w:id="592"/>
      <w:bookmarkEnd w:id="593"/>
      <w:bookmarkEnd w:id="594"/>
    </w:p>
    <w:p w14:paraId="6EDF3CE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14.1 竣工结算申请</w:t>
      </w:r>
    </w:p>
    <w:p w14:paraId="64E009EB">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除专用合同条款另有约定外，</w:t>
      </w:r>
      <w:r>
        <w:rPr>
          <w:rFonts w:hint="eastAsia" w:ascii="宋体" w:hAnsi="宋体" w:eastAsia="宋体" w:cs="宋体"/>
          <w:color w:val="000000" w:themeColor="text1"/>
          <w:szCs w:val="21"/>
        </w:rPr>
        <w:t>承包人应在工程竣工验收合格后28天内向发包人和监理人提交竣工结算申请单，并提交完整的结算资料，有关竣工结算申请单的资料清单和份数等要求由合同当事人在专用合同条款中约定。</w:t>
      </w:r>
    </w:p>
    <w:p w14:paraId="2C6D884D">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除专用合同条款另有约定外，竣工结算申请单应包括以下内容：</w:t>
      </w:r>
    </w:p>
    <w:p w14:paraId="1C08702B">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（1）竣工结算合同价格；</w:t>
      </w:r>
    </w:p>
    <w:p w14:paraId="40E86CCC">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（2）发包人已支付承包人的款项；</w:t>
      </w:r>
    </w:p>
    <w:p w14:paraId="6B4B40CA">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（3）应扣留的质量保证金。已缴纳履约保证金的或提供其他工程质量担保方式的除外； </w:t>
      </w:r>
    </w:p>
    <w:p w14:paraId="63C05C21">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（4）发包人应支付承包人的合同价款。</w:t>
      </w:r>
    </w:p>
    <w:p w14:paraId="2813C60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14.2 竣工结算审核</w:t>
      </w:r>
    </w:p>
    <w:p w14:paraId="75B3431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000000" w:themeColor="text1"/>
          <w:szCs w:val="21"/>
        </w:rPr>
        <w:t>发包人对竣工</w:t>
      </w:r>
      <w:r>
        <w:rPr>
          <w:rFonts w:hint="eastAsia" w:ascii="宋体" w:hAnsi="宋体" w:eastAsia="宋体" w:cs="宋体"/>
          <w:color w:val="000000" w:themeColor="text1"/>
          <w:kern w:val="0"/>
          <w:szCs w:val="21"/>
        </w:rPr>
        <w:t>结算</w:t>
      </w:r>
      <w:r>
        <w:rPr>
          <w:rFonts w:hint="eastAsia" w:ascii="宋体" w:hAnsi="宋体" w:eastAsia="宋体" w:cs="宋体"/>
          <w:color w:val="000000" w:themeColor="text1"/>
          <w:szCs w:val="21"/>
        </w:rPr>
        <w:t>申请单有异议的，有权要求承包人进行修正和提供补充资料，承包人应提交修正后的竣工</w:t>
      </w:r>
      <w:r>
        <w:rPr>
          <w:rFonts w:hint="eastAsia" w:ascii="宋体" w:hAnsi="宋体" w:eastAsia="宋体" w:cs="宋体"/>
          <w:color w:val="000000" w:themeColor="text1"/>
          <w:kern w:val="0"/>
          <w:szCs w:val="21"/>
        </w:rPr>
        <w:t>结算</w:t>
      </w:r>
      <w:r>
        <w:rPr>
          <w:rFonts w:hint="eastAsia" w:ascii="宋体" w:hAnsi="宋体" w:eastAsia="宋体" w:cs="宋体"/>
          <w:color w:val="000000" w:themeColor="text1"/>
          <w:szCs w:val="21"/>
        </w:rPr>
        <w:t>申请单。</w:t>
      </w:r>
    </w:p>
    <w:p w14:paraId="27EA0BA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2BE64D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D6C25F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ACF9EA6">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14.3 甩项竣工协议</w:t>
      </w:r>
    </w:p>
    <w:p w14:paraId="4C8067AC">
      <w:pPr>
        <w:adjustRightInd w:val="0"/>
        <w:spacing w:line="380" w:lineRule="atLeast"/>
        <w:ind w:firstLine="411" w:firstLineChars="196"/>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6AED573D">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14.4 最终结清</w:t>
      </w:r>
    </w:p>
    <w:p w14:paraId="5AA6588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14.4.1 最终结清申请单</w:t>
      </w:r>
    </w:p>
    <w:p w14:paraId="364C7BB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（1）除专用合同条款另有约定外，承包人应在缺陷责任期终止证书颁发后7天内，按专用合同条款约定的份数向发包人提交最终结清申请单，并提供相关证明材料。</w:t>
      </w:r>
    </w:p>
    <w:p w14:paraId="6C842490">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除专用合同条款另有约定外，</w:t>
      </w:r>
      <w:r>
        <w:rPr>
          <w:rFonts w:hint="eastAsia" w:ascii="宋体" w:hAnsi="宋体" w:eastAsia="宋体" w:cs="宋体"/>
          <w:color w:val="000000" w:themeColor="text1"/>
          <w:kern w:val="0"/>
          <w:szCs w:val="21"/>
        </w:rPr>
        <w:t>最终结清申请单</w:t>
      </w:r>
      <w:r>
        <w:rPr>
          <w:rFonts w:hint="eastAsia" w:ascii="宋体" w:hAnsi="宋体" w:eastAsia="宋体" w:cs="宋体"/>
          <w:color w:val="000000" w:themeColor="text1"/>
          <w:szCs w:val="21"/>
        </w:rPr>
        <w:t>应列明质量保证金、应扣除的质量保证金、缺陷责任期内发生的增减费用。</w:t>
      </w:r>
    </w:p>
    <w:p w14:paraId="65802FA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（2）发包人对最终结清申请单内容有异议的，有权要求承包人进行修正和提供补充资料，承包人应向发包人提交修正后的最终结清申请单。</w:t>
      </w:r>
    </w:p>
    <w:p w14:paraId="786D3AD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14.4.2 最终结清证书和支付</w:t>
      </w:r>
    </w:p>
    <w:p w14:paraId="2E73017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49BFF2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3310A3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（3）承包人对发包人颁发的最终结清证书有异议的，按第20条〔争议解决〕的约定办理。</w:t>
      </w:r>
    </w:p>
    <w:p w14:paraId="066B67AF">
      <w:pPr>
        <w:pStyle w:val="5"/>
        <w:spacing w:before="120" w:after="120" w:line="380" w:lineRule="atLeast"/>
        <w:rPr>
          <w:rFonts w:hint="eastAsia" w:ascii="宋体" w:hAnsi="宋体" w:eastAsia="宋体" w:cs="宋体"/>
          <w:b w:val="0"/>
          <w:color w:val="000000" w:themeColor="text1"/>
          <w:sz w:val="21"/>
          <w:szCs w:val="21"/>
        </w:rPr>
      </w:pPr>
      <w:bookmarkStart w:id="595" w:name="_Toc12623"/>
      <w:bookmarkStart w:id="596" w:name="_Toc15265"/>
      <w:bookmarkStart w:id="597" w:name="_Toc31799"/>
      <w:bookmarkStart w:id="598" w:name="_Toc28125"/>
      <w:bookmarkStart w:id="599" w:name="_Toc30852"/>
      <w:bookmarkStart w:id="600" w:name="_Toc21403"/>
      <w:bookmarkStart w:id="601" w:name="_Toc5076"/>
      <w:r>
        <w:rPr>
          <w:rFonts w:hint="eastAsia" w:ascii="宋体" w:hAnsi="宋体" w:eastAsia="宋体" w:cs="宋体"/>
          <w:b w:val="0"/>
          <w:color w:val="000000" w:themeColor="text1"/>
          <w:sz w:val="21"/>
          <w:szCs w:val="21"/>
        </w:rPr>
        <w:t>15. 缺陷责任与保修</w:t>
      </w:r>
      <w:bookmarkEnd w:id="595"/>
      <w:bookmarkEnd w:id="596"/>
      <w:bookmarkEnd w:id="597"/>
      <w:bookmarkEnd w:id="598"/>
      <w:bookmarkEnd w:id="599"/>
      <w:bookmarkEnd w:id="600"/>
      <w:bookmarkEnd w:id="601"/>
    </w:p>
    <w:p w14:paraId="049AD8A2">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15.1 工程保修的原则</w:t>
      </w:r>
    </w:p>
    <w:p w14:paraId="0C039C7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在工程移交发包人后，因承包人原因产生的质量缺陷，承包人应承担质量缺陷责任和保修义务。缺陷责任期届满，承包人仍应按合同约定的工程各部位保修年限承担保修义务。</w:t>
      </w:r>
    </w:p>
    <w:p w14:paraId="450445E1">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15.2 缺陷责任期</w:t>
      </w:r>
    </w:p>
    <w:p w14:paraId="036C7F5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15.2.1 缺陷责任期从工程通过竣工验收之日起计算，合同当事人应在专用合同条款约定缺陷责任期的具体期限，但该期限最长不超过24个月。</w:t>
      </w:r>
    </w:p>
    <w:p w14:paraId="49898AF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CD6AD5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themeColor="text1"/>
          <w:szCs w:val="21"/>
        </w:rPr>
        <w:t>包人延长缺陷责任期，</w:t>
      </w:r>
      <w:r>
        <w:rPr>
          <w:rFonts w:hint="eastAsia" w:ascii="宋体" w:hAnsi="宋体" w:eastAsia="宋体" w:cs="宋体"/>
          <w:color w:val="000000" w:themeColor="text1"/>
          <w:kern w:val="0"/>
          <w:szCs w:val="21"/>
        </w:rPr>
        <w:t>并应在原缺陷责任期届满前发出延长通知。</w:t>
      </w:r>
      <w:r>
        <w:rPr>
          <w:rFonts w:hint="eastAsia" w:ascii="宋体" w:hAnsi="宋体" w:eastAsia="宋体" w:cs="宋体"/>
          <w:bCs/>
          <w:color w:val="000000" w:themeColor="text1"/>
          <w:szCs w:val="21"/>
        </w:rPr>
        <w:t>但缺陷责任期（含延长部分）最长</w:t>
      </w:r>
      <w:r>
        <w:rPr>
          <w:rFonts w:hint="eastAsia" w:ascii="宋体" w:hAnsi="宋体" w:eastAsia="宋体" w:cs="宋体"/>
          <w:color w:val="000000" w:themeColor="text1"/>
          <w:kern w:val="0"/>
          <w:szCs w:val="21"/>
        </w:rPr>
        <w:t>不能超过24个月。</w:t>
      </w:r>
    </w:p>
    <w:p w14:paraId="5822FFF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由他人原因造成的缺陷，发包人负责组织维修，承包人不承担费用，且发包人不得从保证金中扣除费用。</w:t>
      </w:r>
    </w:p>
    <w:p w14:paraId="05B634D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15.2.3 任何一项缺陷或损坏修复后，经检查证明其影响了工程或工程设备的使用性能，承包人应重新进行合同约定的试验和试运行，试验和试运行的全部费用应由责任方承担。</w:t>
      </w:r>
    </w:p>
    <w:p w14:paraId="6564B83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128B1D3">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15.3 质量保证金</w:t>
      </w:r>
    </w:p>
    <w:p w14:paraId="4CCF763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经合同当事人协商一致扣留质量保证金的，应在专用合同条款中予以明确。</w:t>
      </w:r>
    </w:p>
    <w:p w14:paraId="1B27644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在工程项目竣工前，承包人已经提供履约担保的，发包人不得同时预留工程质量保证金。</w:t>
      </w:r>
    </w:p>
    <w:p w14:paraId="4B69A82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15.3.1 承包人提供质量保证金的方式</w:t>
      </w:r>
    </w:p>
    <w:p w14:paraId="083F45A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承包人提供质量保证金有以下三种方式：</w:t>
      </w:r>
    </w:p>
    <w:p w14:paraId="72D1149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（1）质量保证金保函； </w:t>
      </w:r>
    </w:p>
    <w:p w14:paraId="7B3442A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（2）相应比例的工程款；</w:t>
      </w:r>
    </w:p>
    <w:p w14:paraId="2905841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（3）双方约定的其他方式。</w:t>
      </w:r>
    </w:p>
    <w:p w14:paraId="315DE60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除专用合同条款另有约定外，质量保证金原则上采用上述第（1）种方式。</w:t>
      </w:r>
    </w:p>
    <w:p w14:paraId="6078093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15.3.2 质量保证金的扣留</w:t>
      </w:r>
    </w:p>
    <w:p w14:paraId="6715BC3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质量保证金的扣留有以下三种方式：</w:t>
      </w:r>
    </w:p>
    <w:p w14:paraId="7EA9757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（1）在支付工程进度款时逐次扣留，在此情形下，质量保证金的计算基数不包括预付款的支付、扣回以及价格调整的金额；</w:t>
      </w:r>
    </w:p>
    <w:p w14:paraId="2887500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（2）工程竣工结算时一次性扣留质量保证金；</w:t>
      </w:r>
    </w:p>
    <w:p w14:paraId="2131060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（3）双方约定的其他扣留方式。</w:t>
      </w:r>
    </w:p>
    <w:p w14:paraId="52131D7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除专用合同条款另有约定外，质量保证金的扣留原则上采用上述第（1）种方式。</w:t>
      </w:r>
    </w:p>
    <w:p w14:paraId="562DC78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E5512B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发包人在退还质量保证金的同时按照中国人民银行发布的同期同类贷款基准利率支付利息。</w:t>
      </w:r>
    </w:p>
    <w:p w14:paraId="7D0DC5C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15.3.3 </w:t>
      </w:r>
      <w:r>
        <w:rPr>
          <w:rFonts w:hint="eastAsia" w:ascii="宋体" w:hAnsi="宋体" w:eastAsia="宋体" w:cs="宋体"/>
          <w:color w:val="000000" w:themeColor="text1"/>
          <w:szCs w:val="21"/>
        </w:rPr>
        <w:t>质量保证金</w:t>
      </w:r>
      <w:r>
        <w:rPr>
          <w:rFonts w:hint="eastAsia" w:ascii="宋体" w:hAnsi="宋体" w:eastAsia="宋体" w:cs="宋体"/>
          <w:color w:val="000000" w:themeColor="text1"/>
          <w:kern w:val="0"/>
          <w:szCs w:val="21"/>
        </w:rPr>
        <w:t>的退还</w:t>
      </w:r>
    </w:p>
    <w:p w14:paraId="4BDB4EA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缺陷责任期内，承包人认真履行合同约定的责任，到期后，承包人可向发包人申请返还保证金。</w:t>
      </w:r>
    </w:p>
    <w:p w14:paraId="182C77E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BA5B60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发包人和承包人对保证金预留、返还以及工程维修质量、费用有争议的，按本合同第20条约定的争议和纠纷解决程序处理。</w:t>
      </w:r>
    </w:p>
    <w:p w14:paraId="109BE813">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15.4 保修</w:t>
      </w:r>
    </w:p>
    <w:p w14:paraId="00CEED5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15.4.1保修责任</w:t>
      </w:r>
    </w:p>
    <w:p w14:paraId="6E5B3C6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20E8C24">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发包人未经竣工验收擅自使用工程的，保修期自</w:t>
      </w:r>
      <w:r>
        <w:rPr>
          <w:rFonts w:hint="eastAsia" w:ascii="宋体" w:hAnsi="宋体" w:eastAsia="宋体" w:cs="宋体"/>
          <w:color w:val="000000" w:themeColor="text1"/>
          <w:kern w:val="0"/>
          <w:szCs w:val="21"/>
        </w:rPr>
        <w:t>转移占有之日起算</w:t>
      </w:r>
      <w:r>
        <w:rPr>
          <w:rFonts w:hint="eastAsia" w:ascii="宋体" w:hAnsi="宋体" w:eastAsia="宋体" w:cs="宋体"/>
          <w:color w:val="000000" w:themeColor="text1"/>
          <w:szCs w:val="21"/>
        </w:rPr>
        <w:t>。</w:t>
      </w:r>
    </w:p>
    <w:p w14:paraId="5749E82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15.4.2 修复费用</w:t>
      </w:r>
    </w:p>
    <w:p w14:paraId="09CAF16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保修期内，修复的费用按照以下约定处理：</w:t>
      </w:r>
    </w:p>
    <w:p w14:paraId="6C1CADA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（1）保修期内，因承包人原因造成工程的缺陷、损坏，承包人应负责修复，并承担修复的费用以及因工程的缺陷、损坏造成的人身伤害和财产损失；</w:t>
      </w:r>
    </w:p>
    <w:p w14:paraId="199D275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（2）保修期内，因发包人使用不当造成工程的缺陷、损坏，可以委托承包人修复，但发包人应承担修复的费用，并支付承包人合理利润；</w:t>
      </w:r>
    </w:p>
    <w:p w14:paraId="7DA353D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（3）因其他原因造成工程的缺陷、损坏，可以委托承包人修复，发包人应承担修复的费用，并支付承包人合理的利润，因工程的缺陷、损坏造成的人身伤害和财产损失由责任方承担。</w:t>
      </w:r>
    </w:p>
    <w:p w14:paraId="4F0AB57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15.4.3 修复通知</w:t>
      </w:r>
    </w:p>
    <w:p w14:paraId="3716B8D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BCA216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15.4.4 未能修复</w:t>
      </w:r>
    </w:p>
    <w:p w14:paraId="2430BB9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134662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15.4.5 承包人出入权</w:t>
      </w:r>
    </w:p>
    <w:p w14:paraId="071FC2BB">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5B7AE242">
      <w:pPr>
        <w:pStyle w:val="5"/>
        <w:spacing w:before="120" w:after="120" w:line="380" w:lineRule="atLeast"/>
        <w:rPr>
          <w:rFonts w:hint="eastAsia" w:ascii="宋体" w:hAnsi="宋体" w:eastAsia="宋体" w:cs="宋体"/>
          <w:b w:val="0"/>
          <w:color w:val="000000" w:themeColor="text1"/>
          <w:sz w:val="21"/>
          <w:szCs w:val="21"/>
        </w:rPr>
      </w:pPr>
      <w:bookmarkStart w:id="602" w:name="_Toc10240"/>
      <w:bookmarkStart w:id="603" w:name="_Toc6432"/>
      <w:bookmarkStart w:id="604" w:name="_Toc32027"/>
      <w:bookmarkStart w:id="605" w:name="_Toc27217"/>
      <w:bookmarkStart w:id="606" w:name="_Toc6639"/>
      <w:bookmarkStart w:id="607" w:name="_Toc29253"/>
      <w:bookmarkStart w:id="608" w:name="_Toc1883"/>
      <w:r>
        <w:rPr>
          <w:rFonts w:hint="eastAsia" w:ascii="宋体" w:hAnsi="宋体" w:eastAsia="宋体" w:cs="宋体"/>
          <w:b w:val="0"/>
          <w:color w:val="000000" w:themeColor="text1"/>
          <w:sz w:val="21"/>
          <w:szCs w:val="21"/>
        </w:rPr>
        <w:t>16. 违约</w:t>
      </w:r>
      <w:bookmarkEnd w:id="602"/>
      <w:bookmarkEnd w:id="603"/>
      <w:bookmarkEnd w:id="604"/>
      <w:bookmarkEnd w:id="605"/>
      <w:bookmarkEnd w:id="606"/>
      <w:bookmarkEnd w:id="607"/>
      <w:bookmarkEnd w:id="608"/>
    </w:p>
    <w:p w14:paraId="77FEAE5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16.1 发包人违约</w:t>
      </w:r>
    </w:p>
    <w:p w14:paraId="0362EF5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16.1.1 发包人违约的情形</w:t>
      </w:r>
    </w:p>
    <w:p w14:paraId="5023887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在合同履行过程中发生的下列情形，属于发包人违约：</w:t>
      </w:r>
    </w:p>
    <w:p w14:paraId="413B076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（1）因发包人原因未能在计划开工日期前7天内下达开工通知的；</w:t>
      </w:r>
    </w:p>
    <w:p w14:paraId="2EE2737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（2）因发包人原因未能按合同约定支付合同价款的；</w:t>
      </w:r>
    </w:p>
    <w:p w14:paraId="2BF5999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（3）发包人违反第10.1款〔变更的范围〕第（2）项约定，自行实施被取消的工作或转由他人实施的；</w:t>
      </w:r>
    </w:p>
    <w:p w14:paraId="13FE287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（4）发包人提供的材料、工程设备的规格、数量或质量不符合合同约定，或因发包人原因导致交货日期延误或交货地点变更等情况的；</w:t>
      </w:r>
    </w:p>
    <w:p w14:paraId="1E2C208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（5）因发包人违反合同约定造成暂停施工的；</w:t>
      </w:r>
    </w:p>
    <w:p w14:paraId="2966F06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（6）发包人无正当理由没有在约定期限内发出复工指示，导致承包人无法复工的；</w:t>
      </w:r>
    </w:p>
    <w:p w14:paraId="2755420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（7）发包人明确表示或者以其行为表明不履行合同主要义务的；</w:t>
      </w:r>
    </w:p>
    <w:p w14:paraId="3B90855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（8）发包人未能按照合同约定履行其他义务的。</w:t>
      </w:r>
    </w:p>
    <w:p w14:paraId="606CB55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92ADE7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16.1.2 发包人违约的责任</w:t>
      </w:r>
    </w:p>
    <w:p w14:paraId="3FFFA6A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发包人应承担因其违约给承包人增加的费用和（或）延误的工期，并支付承包人合理的利润。此外，合同当事人可在专用合同条款中另行约定发包人违约责任的承担方式和计算方法。</w:t>
      </w:r>
    </w:p>
    <w:p w14:paraId="0271037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16.1.3 因发包人违约解除合同</w:t>
      </w:r>
    </w:p>
    <w:p w14:paraId="2DC659F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8F8A125">
      <w:pPr>
        <w:adjustRightInd w:val="0"/>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16.1.4 因发包人违约解除合同后的付款</w:t>
      </w:r>
    </w:p>
    <w:p w14:paraId="7712939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承包人按照本款约定解除合同的，发包人应在解除合同后28天内支付下列款项，并解除履约担保：</w:t>
      </w:r>
    </w:p>
    <w:p w14:paraId="3FADCDC3">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（1）合同解除前所完成工作的价款；</w:t>
      </w:r>
    </w:p>
    <w:p w14:paraId="220C6DB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（2）承包人为工程施工订购并已付款的材料、工程设备和其他物品的价款；</w:t>
      </w:r>
    </w:p>
    <w:p w14:paraId="7A3C92F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（3）承包人撤离施工现场以及遣散承包人人员的款项；</w:t>
      </w:r>
    </w:p>
    <w:p w14:paraId="0F35266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（4）按照合同约定在合同解除前应支付的违约金；</w:t>
      </w:r>
    </w:p>
    <w:p w14:paraId="36D3C95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（5）按照合同约定应当支付给承包人的其他款项；</w:t>
      </w:r>
    </w:p>
    <w:p w14:paraId="3B1BEB9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（6）按照合同约定应退还的质量保证金；</w:t>
      </w:r>
    </w:p>
    <w:p w14:paraId="2B7F428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（7）因解除合同给承包人造成的损失。</w:t>
      </w:r>
    </w:p>
    <w:p w14:paraId="6911899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合同当事人未能就解除合同后的结清达成一致的，按照第20条〔争议解决〕的约定处理。</w:t>
      </w:r>
    </w:p>
    <w:p w14:paraId="5BEA3D4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承包人应妥善做好已完工程和与工程有关的已购材料、工程设备的保护和移交工作，并将施工设备和人员撤出施工现场，发包人应为承包人撤出提供必要条件。</w:t>
      </w:r>
    </w:p>
    <w:p w14:paraId="50A75F12">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16.2 承包人违约</w:t>
      </w:r>
    </w:p>
    <w:p w14:paraId="56FCB82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16.2.1 承包人违约的情形</w:t>
      </w:r>
    </w:p>
    <w:p w14:paraId="2CCDE2D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在合同履行过程中发生的下列情形，属于承包人违约：</w:t>
      </w:r>
    </w:p>
    <w:p w14:paraId="14AC481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（1）承包人违反合同约定进行转包或违法分包的；</w:t>
      </w:r>
    </w:p>
    <w:p w14:paraId="2FA4942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（2）承包人违反合同约定采购和使用不合格的材料和工程设备的；</w:t>
      </w:r>
    </w:p>
    <w:p w14:paraId="707C05B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（3）因承包人原因导致工程质量不符合合同要求的； </w:t>
      </w:r>
    </w:p>
    <w:p w14:paraId="5FA2245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（4）承包人违反第8.9款〔材料与设备专用要求〕的约定，未经批准，私自将已按照合同约定进入施工现场的材料或设备撤离施工现场的；</w:t>
      </w:r>
    </w:p>
    <w:p w14:paraId="55DDC1E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（5）承包人未能按施工进度计划及时完成合同约定的工作，造成工期延误的；</w:t>
      </w:r>
    </w:p>
    <w:p w14:paraId="0D22749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（6）承包人在缺陷责任期及保修期内，未能在合理期限对工程缺陷进行修复，或拒绝按发包人要求进行修复的；</w:t>
      </w:r>
    </w:p>
    <w:p w14:paraId="6D4CB58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（7）承包人明确表示或者以其行为表明不履行合同主要义务的；</w:t>
      </w:r>
    </w:p>
    <w:p w14:paraId="34FF198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（8）承包人未能按照合同约定履行其他义务的。</w:t>
      </w:r>
    </w:p>
    <w:p w14:paraId="12B61E3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承包人发生除本项第（7）目约定以外的其他违约情况时，监理人可向承包人发出整改通知，要求其在指定的期限内改正。</w:t>
      </w:r>
    </w:p>
    <w:p w14:paraId="193B672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16.2.2 承包人违约的责任</w:t>
      </w:r>
    </w:p>
    <w:p w14:paraId="4B17040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承包人应承担因其违约行为而增加的费用和（或）延误的工期。此外，合同当事人可在专用合同条款中另行约定承包人违约责任的承担方式和计算方法。</w:t>
      </w:r>
    </w:p>
    <w:p w14:paraId="6CD3968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16.2.3 因承包人违约解除合同</w:t>
      </w:r>
    </w:p>
    <w:p w14:paraId="11FDB3E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B58CEE7">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16.2.4因承包人违约解除合同后的处理</w:t>
      </w:r>
    </w:p>
    <w:p w14:paraId="12A2C77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因承包人原因导致合同解除的，则合同当事人应在合同解除后28天内完成估价、付款和清算，并按以下约定执行：</w:t>
      </w:r>
    </w:p>
    <w:p w14:paraId="5B873143">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（1）合同解除后，按第4.4款〔商定或确定〕商定或确定承包人实际完成工作对应的合同价款，以及承包人已提供的材料、工程设备、施工设备和临时工程等的价值；</w:t>
      </w:r>
    </w:p>
    <w:p w14:paraId="47FC6670">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（2）合同解除后，承包人应支付的违约金；</w:t>
      </w:r>
    </w:p>
    <w:p w14:paraId="33087D6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（3）合同解除后，因解除合同给发包人造成的损失；</w:t>
      </w:r>
    </w:p>
    <w:p w14:paraId="5C31086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（4）合同解除后，承包人应按照发包人要求和监理人的指示完成现场的清理和撤离；</w:t>
      </w:r>
    </w:p>
    <w:p w14:paraId="3133D1D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（5）发包人和承包人应在合同解除后进行清算，出具最终结清付款证书，结清全部款项。</w:t>
      </w:r>
    </w:p>
    <w:p w14:paraId="329DA25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2EDAA23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16.2.5采购合同权益转让</w:t>
      </w:r>
    </w:p>
    <w:p w14:paraId="79C464A1">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067F56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16.3 第三人造成的违约</w:t>
      </w:r>
    </w:p>
    <w:p w14:paraId="1F49FBDC">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在履行合同过程中，一方当事人因第三人的原因造成违约的，应当向对方当事人承担违约责任。一方当事人和第三人之间的纠纷，依照法律规定或者按照约定解决。</w:t>
      </w:r>
    </w:p>
    <w:p w14:paraId="6874E992">
      <w:pPr>
        <w:pStyle w:val="5"/>
        <w:spacing w:before="120" w:after="120" w:line="380" w:lineRule="atLeast"/>
        <w:rPr>
          <w:rFonts w:hint="eastAsia" w:ascii="宋体" w:hAnsi="宋体" w:eastAsia="宋体" w:cs="宋体"/>
          <w:b w:val="0"/>
          <w:color w:val="000000" w:themeColor="text1"/>
          <w:sz w:val="21"/>
          <w:szCs w:val="21"/>
        </w:rPr>
      </w:pPr>
      <w:bookmarkStart w:id="609" w:name="_Toc11932"/>
      <w:bookmarkStart w:id="610" w:name="_Toc19516"/>
      <w:bookmarkStart w:id="611" w:name="_Toc15001"/>
      <w:bookmarkStart w:id="612" w:name="_Toc32499"/>
      <w:bookmarkStart w:id="613" w:name="_Toc21748"/>
      <w:bookmarkStart w:id="614" w:name="_Toc17566"/>
      <w:bookmarkStart w:id="615" w:name="_Toc7275"/>
      <w:r>
        <w:rPr>
          <w:rFonts w:hint="eastAsia" w:ascii="宋体" w:hAnsi="宋体" w:eastAsia="宋体" w:cs="宋体"/>
          <w:b w:val="0"/>
          <w:color w:val="000000" w:themeColor="text1"/>
          <w:sz w:val="21"/>
          <w:szCs w:val="21"/>
        </w:rPr>
        <w:t>17. 不可抗力</w:t>
      </w:r>
      <w:bookmarkEnd w:id="609"/>
      <w:bookmarkEnd w:id="610"/>
      <w:bookmarkEnd w:id="611"/>
      <w:bookmarkEnd w:id="612"/>
      <w:bookmarkEnd w:id="613"/>
      <w:bookmarkEnd w:id="614"/>
      <w:bookmarkEnd w:id="615"/>
      <w:r>
        <w:rPr>
          <w:rFonts w:hint="eastAsia" w:ascii="宋体" w:hAnsi="宋体" w:eastAsia="宋体" w:cs="宋体"/>
          <w:b w:val="0"/>
          <w:color w:val="000000" w:themeColor="text1"/>
          <w:sz w:val="21"/>
          <w:szCs w:val="21"/>
        </w:rPr>
        <w:t xml:space="preserve"> </w:t>
      </w:r>
    </w:p>
    <w:p w14:paraId="12F5D984">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17.1 不可抗力的确认</w:t>
      </w:r>
    </w:p>
    <w:p w14:paraId="4F8639A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D1EA73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240041D">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17.2 不可抗力的通知</w:t>
      </w:r>
    </w:p>
    <w:p w14:paraId="1498872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合同一方当事人遇到不可抗力事件，使其履行合同义务受到阻碍时，应立即通知合同另一方当事人和监理人，书面说明不可抗力和受阻碍的详细情况，并提供必要的证明。</w:t>
      </w:r>
    </w:p>
    <w:p w14:paraId="0BF623D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364A178E">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17.3 不可抗力后果的承担</w:t>
      </w:r>
    </w:p>
    <w:p w14:paraId="744FCE5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17.3.1 不可抗力引起的后果及造成的损失由合同当事人按照法律规定及合同约定各自承担。不可抗力发生前已完成的工程应当按照合同约定进行计量支付。</w:t>
      </w:r>
    </w:p>
    <w:p w14:paraId="0594FB6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17.3.2 不可抗力导致的人员伤亡、财产损失、费用增加和（或）工期延误等后果，由合同当事人按以下原则承担：</w:t>
      </w:r>
    </w:p>
    <w:p w14:paraId="32326C5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（1）永久工程、已运至施工现场的材料和工程设备的损坏，以及因工程损坏造成的第三人人员伤亡和财产损失由发包人承担；</w:t>
      </w:r>
    </w:p>
    <w:p w14:paraId="42CB54C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（2）承包人施工设备的损坏由承包人承担；</w:t>
      </w:r>
    </w:p>
    <w:p w14:paraId="14EEF74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（3）发包人和承包人承担各自人员伤亡和财产的损失；</w:t>
      </w:r>
    </w:p>
    <w:p w14:paraId="5BCB984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C3D9DF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（5）因不可抗力引起或将引起工期延误，发包人要求赶工的，由此增加的赶工费用由发包人承担；</w:t>
      </w:r>
    </w:p>
    <w:p w14:paraId="252F205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（6）承包人在停工期间按照发包人要求照管、清理和修复工程的费用由发包人承担。</w:t>
      </w:r>
    </w:p>
    <w:p w14:paraId="728A32C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不可抗力发生后，合同当事人均应采取措施尽量避免和减少损失的扩大，任何一方当事人没有采取有效措施导致损失扩大的，应对扩大的损失承担责任。</w:t>
      </w:r>
    </w:p>
    <w:p w14:paraId="1282FE4B">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因合同一方迟延履行合同义务，在迟延履行期间遭遇不可抗力的，不免除其违约责任。</w:t>
      </w:r>
    </w:p>
    <w:p w14:paraId="66784AD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17.4 因不可抗力解除合同</w:t>
      </w:r>
    </w:p>
    <w:p w14:paraId="0D962968">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1D644B39">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（1）合同解除前承包人已完成工作的价款；</w:t>
      </w:r>
    </w:p>
    <w:p w14:paraId="46FA311F">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（2）承包人为工程订购的并已交付给承包人，或承包人有责任接受交付的材料、工程设备和其他物品的价款；</w:t>
      </w:r>
    </w:p>
    <w:p w14:paraId="5C28E8C2">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（3）发包人要求承包人退货或解除订货合同而产生的费用，或因不能退货或解除合同而产生的损失；</w:t>
      </w:r>
    </w:p>
    <w:p w14:paraId="7A8ABABA">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（4）承包人撤离施工现场以及遣散承包人人员的费用；</w:t>
      </w:r>
    </w:p>
    <w:p w14:paraId="0AE8782D">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（5）按照合同约定在合同解除前应支付给承包人的其他款项；</w:t>
      </w:r>
    </w:p>
    <w:p w14:paraId="76A74DF5">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（6）扣减承包人按照合同约定应向发包人支付的款项；</w:t>
      </w:r>
    </w:p>
    <w:p w14:paraId="23AE9E3E">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（7）双方商定或确定的其他款项。</w:t>
      </w:r>
    </w:p>
    <w:p w14:paraId="5E453923">
      <w:pPr>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除专用合同条款另有约定外，合同解除后，发包人应在商定或确定上述款项后28天内完成上述款项的支付。</w:t>
      </w:r>
    </w:p>
    <w:p w14:paraId="043E448E">
      <w:pPr>
        <w:pStyle w:val="5"/>
        <w:spacing w:before="120" w:after="120" w:line="380" w:lineRule="atLeast"/>
        <w:rPr>
          <w:rFonts w:hint="eastAsia" w:ascii="宋体" w:hAnsi="宋体" w:eastAsia="宋体" w:cs="宋体"/>
          <w:b w:val="0"/>
          <w:color w:val="000000" w:themeColor="text1"/>
          <w:sz w:val="21"/>
          <w:szCs w:val="21"/>
        </w:rPr>
      </w:pPr>
      <w:bookmarkStart w:id="616" w:name="_Toc27781"/>
      <w:bookmarkStart w:id="617" w:name="_Toc30903"/>
      <w:bookmarkStart w:id="618" w:name="_Toc10925"/>
      <w:bookmarkStart w:id="619" w:name="_Toc25217"/>
      <w:bookmarkStart w:id="620" w:name="_Toc12269"/>
      <w:bookmarkStart w:id="621" w:name="_Toc25770"/>
      <w:bookmarkStart w:id="622" w:name="_Toc29186"/>
      <w:r>
        <w:rPr>
          <w:rFonts w:hint="eastAsia" w:ascii="宋体" w:hAnsi="宋体" w:eastAsia="宋体" w:cs="宋体"/>
          <w:b w:val="0"/>
          <w:color w:val="000000" w:themeColor="text1"/>
          <w:sz w:val="21"/>
          <w:szCs w:val="21"/>
        </w:rPr>
        <w:t>18. 保险</w:t>
      </w:r>
      <w:bookmarkEnd w:id="616"/>
      <w:bookmarkEnd w:id="617"/>
      <w:bookmarkEnd w:id="618"/>
      <w:bookmarkEnd w:id="619"/>
      <w:bookmarkEnd w:id="620"/>
      <w:bookmarkEnd w:id="621"/>
      <w:bookmarkEnd w:id="622"/>
    </w:p>
    <w:p w14:paraId="21494D5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18.1 工程保险</w:t>
      </w:r>
    </w:p>
    <w:p w14:paraId="3DF9D10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除专用合同条款另有约定外，发包人应投保建筑工程一切险或安装工程一切险；发包人委托承包人投保的，因投保产生的保险费和其他相关费用由发包人承担。</w:t>
      </w:r>
    </w:p>
    <w:p w14:paraId="582E151E">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18.2 工伤保险</w:t>
      </w:r>
    </w:p>
    <w:p w14:paraId="72A537F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18.2.1 发包人应依照法律规定参加工伤保险，并为在施工现场的全部员工办理工伤保险，缴纳工伤保险费，并要求监理人及由发包人为履行合同聘请的第三方依法参加工伤保险。</w:t>
      </w:r>
    </w:p>
    <w:p w14:paraId="259FB25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18.2.2 承包人应依照法律规定参加工伤保险，并为其履行合同的全部员工办理工伤保险，缴纳工伤保险费，并要求分包人及由承包人为履行合同聘请的第三方依法参加工伤保险。</w:t>
      </w:r>
    </w:p>
    <w:p w14:paraId="5745408C">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18.3其他保险</w:t>
      </w:r>
    </w:p>
    <w:p w14:paraId="68A5B9F8">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发包人和承包人可以为其施工现场的全部人员办理意外伤害保险并支付保险费，包括其员工及为履行合同聘请的第三方的人员，具体事项由合同当事人在专用合同条款约定。</w:t>
      </w:r>
    </w:p>
    <w:p w14:paraId="6C18BB8D">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除专用合同条款另有约定外，承包人应为其施工设备等办理财产保险。</w:t>
      </w:r>
    </w:p>
    <w:p w14:paraId="333A52A5">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18.4持续保险</w:t>
      </w:r>
    </w:p>
    <w:p w14:paraId="187A07A6">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合同当事人应与保险人保持联系，使保险人能够随时了解工程实施中的变动，并确保按保险合同条款要求持续保险。</w:t>
      </w:r>
    </w:p>
    <w:p w14:paraId="5881E220">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18.5 保险凭证</w:t>
      </w:r>
    </w:p>
    <w:p w14:paraId="37B1159A">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合同当事人应及时向另一方当事人提交其已投保的各项保险的凭证和保险单复印件。</w:t>
      </w:r>
    </w:p>
    <w:p w14:paraId="2E03629F">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18.6 未按约定投保的补救</w:t>
      </w:r>
    </w:p>
    <w:p w14:paraId="4F4376FF">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18.6.1发包人未按合同约定办理保险，或未能使保险持续有效的，则承包人可代为办理，所需费用由发包人承担。发包人未按合同约定办理保险，导致未能得到足额赔偿的，由发包人负责补足。</w:t>
      </w:r>
    </w:p>
    <w:p w14:paraId="30EBDF7C">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18.6.2承包人未按合同约定办理保险，或未能使保险持续有效的，则发包人可代为办理，所需费用由承包人承担。承包人未按合同约定办理保险，导致未能得到足额赔偿的，由承包人负责补足。</w:t>
      </w:r>
    </w:p>
    <w:p w14:paraId="1FC79D07">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18.7 通知义务</w:t>
      </w:r>
    </w:p>
    <w:p w14:paraId="7B98F2B7">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4A80D30F">
      <w:pPr>
        <w:spacing w:line="38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保险事故发生时，投保人应按照保险合同规定的条件和期限及时向保险人报告。发包人和承包人应当在知道保险事故发生后及时通知对方。</w:t>
      </w:r>
    </w:p>
    <w:p w14:paraId="527CD824">
      <w:pPr>
        <w:pStyle w:val="5"/>
        <w:spacing w:before="120" w:after="120" w:line="380" w:lineRule="atLeast"/>
        <w:rPr>
          <w:rFonts w:hint="eastAsia" w:ascii="宋体" w:hAnsi="宋体" w:eastAsia="宋体" w:cs="宋体"/>
          <w:b w:val="0"/>
          <w:color w:val="000000" w:themeColor="text1"/>
          <w:sz w:val="21"/>
          <w:szCs w:val="21"/>
        </w:rPr>
      </w:pPr>
      <w:bookmarkStart w:id="623" w:name="_Toc21963"/>
      <w:bookmarkStart w:id="624" w:name="_Toc2087"/>
      <w:bookmarkStart w:id="625" w:name="_Toc13567"/>
      <w:bookmarkStart w:id="626" w:name="_Toc9093"/>
      <w:bookmarkStart w:id="627" w:name="_Toc972"/>
      <w:bookmarkStart w:id="628" w:name="_Toc32455"/>
      <w:bookmarkStart w:id="629" w:name="_Toc9391"/>
      <w:r>
        <w:rPr>
          <w:rFonts w:hint="eastAsia" w:ascii="宋体" w:hAnsi="宋体" w:eastAsia="宋体" w:cs="宋体"/>
          <w:b w:val="0"/>
          <w:color w:val="000000" w:themeColor="text1"/>
          <w:sz w:val="21"/>
          <w:szCs w:val="21"/>
        </w:rPr>
        <w:t>19. 索赔</w:t>
      </w:r>
      <w:bookmarkEnd w:id="623"/>
      <w:bookmarkEnd w:id="624"/>
      <w:bookmarkEnd w:id="625"/>
      <w:bookmarkEnd w:id="626"/>
      <w:bookmarkEnd w:id="627"/>
      <w:bookmarkEnd w:id="628"/>
      <w:bookmarkEnd w:id="629"/>
    </w:p>
    <w:p w14:paraId="0F0388E7">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19.1承包人的索赔</w:t>
      </w:r>
    </w:p>
    <w:p w14:paraId="12D8346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根据合同约定，承包人认为有权得到追加付款和（或）延长工期的，应按以下程序向发包人提出索赔：</w:t>
      </w:r>
    </w:p>
    <w:p w14:paraId="655B354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7CC3FA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（2）承包人应在发出索赔意向通知书后28天内，向监理人正式递交索赔报告；索赔报告应详细说明索赔理由以及要求追加的付款金额和（或）延长的工期，并附必要的记录和证明材料；</w:t>
      </w:r>
    </w:p>
    <w:p w14:paraId="678700E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（3）索赔事件具有持续影响的，承包人应按合理时间间隔继续递交延续索赔通知，说明持续影响的实际情况和记录，列出累计的追加付款金额和（或）工期延长天数；</w:t>
      </w:r>
    </w:p>
    <w:p w14:paraId="4D93921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（4）在索赔事件影响结束后28天内，承包人应向监理人递交最终索赔报告，说明最终要求索赔的追加付款金额和（或）延长的工期，并附必要的记录和证明材料。</w:t>
      </w:r>
    </w:p>
    <w:p w14:paraId="247EE89F">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19.2 对承包人索赔的处理</w:t>
      </w:r>
    </w:p>
    <w:p w14:paraId="3AE043B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对承包人索赔的处理如下：</w:t>
      </w:r>
    </w:p>
    <w:p w14:paraId="1AA246F3">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（1）监理人应在收到索赔报告后14天内完成审查并报送发包人。监理人对索赔报告存在异议的，有权要求承包人提交全部原始记录副本；</w:t>
      </w:r>
    </w:p>
    <w:p w14:paraId="59A6FD10">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5AEB59F8">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（3）承包人接受索赔处理结果的，索赔款项在当期进度款中进行支付；承包人不接受索赔处理结果的，按照第20条〔争议解决〕约定处理。</w:t>
      </w:r>
    </w:p>
    <w:p w14:paraId="60B20F47">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19.3发包人的索赔</w:t>
      </w:r>
    </w:p>
    <w:p w14:paraId="71B009B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根据合同约定，发包人认为有权得到赔付金额和（或）延长缺陷责任期的，监理人应向承包人发出通知并附有详细的证明。</w:t>
      </w:r>
    </w:p>
    <w:p w14:paraId="55B9CE1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5ED3D15">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19.4 对发包人索赔的处理</w:t>
      </w:r>
    </w:p>
    <w:p w14:paraId="113DFE1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对发包人索赔的处理如下：</w:t>
      </w:r>
    </w:p>
    <w:p w14:paraId="22F81E6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（1）承包人收到发包人提交的索赔报告后，应及时审查索赔报告的内容、查验发包人证明材料；</w:t>
      </w:r>
    </w:p>
    <w:p w14:paraId="76BAD97A">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（2）承包人应在收到索赔报告或有关索赔的进一步证明材料后28天内，将索赔处理结果答复发包人。如果承包人未在上述期限内作出答复的，则视为对发包人索赔要求的认可；</w:t>
      </w:r>
    </w:p>
    <w:p w14:paraId="0C70AB8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（3）承包人接受索赔处理结果的，发包人可从应支付给承包人的合同价款中扣除赔付的金额或延长缺陷责任期；发包人不接受索赔处理结果的，按第20条〔争议解决〕约定处理。</w:t>
      </w:r>
    </w:p>
    <w:p w14:paraId="5BC23ABE">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19.5 提出索赔的期限</w:t>
      </w:r>
    </w:p>
    <w:p w14:paraId="632F711D">
      <w:pPr>
        <w:spacing w:line="38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（1）承包人按第14.2款〔竣工结算审核〕约定接收竣工付款证书后，应被视为已无权再提出在工程接收证书颁发前所发生的任何索赔。</w:t>
      </w:r>
    </w:p>
    <w:p w14:paraId="76E59C4F">
      <w:pPr>
        <w:spacing w:line="38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（2）承包人按第14.4款〔最终结清〕提交的最终结清申请单中，只限于提出工程接收证书颁发后发生的索赔。提出索赔的期限自接受最终结清证书时终止。</w:t>
      </w:r>
    </w:p>
    <w:p w14:paraId="0295DBEB">
      <w:pPr>
        <w:pStyle w:val="5"/>
        <w:spacing w:before="120" w:after="120" w:line="380" w:lineRule="atLeast"/>
        <w:rPr>
          <w:rFonts w:hint="eastAsia" w:ascii="宋体" w:hAnsi="宋体" w:eastAsia="宋体" w:cs="宋体"/>
          <w:b w:val="0"/>
          <w:color w:val="000000" w:themeColor="text1"/>
          <w:sz w:val="21"/>
          <w:szCs w:val="21"/>
        </w:rPr>
      </w:pPr>
      <w:bookmarkStart w:id="630" w:name="_Toc31097"/>
      <w:bookmarkStart w:id="631" w:name="_Toc21784"/>
      <w:bookmarkStart w:id="632" w:name="_Toc14812"/>
      <w:bookmarkStart w:id="633" w:name="_Toc9026"/>
      <w:bookmarkStart w:id="634" w:name="_Toc8443"/>
      <w:bookmarkStart w:id="635" w:name="_Toc1668"/>
      <w:bookmarkStart w:id="636" w:name="_Toc18866"/>
      <w:r>
        <w:rPr>
          <w:rFonts w:hint="eastAsia" w:ascii="宋体" w:hAnsi="宋体" w:eastAsia="宋体" w:cs="宋体"/>
          <w:b w:val="0"/>
          <w:color w:val="000000" w:themeColor="text1"/>
          <w:sz w:val="21"/>
          <w:szCs w:val="21"/>
        </w:rPr>
        <w:t>20. 争议解决</w:t>
      </w:r>
      <w:bookmarkEnd w:id="630"/>
      <w:bookmarkEnd w:id="631"/>
      <w:bookmarkEnd w:id="632"/>
      <w:bookmarkEnd w:id="633"/>
      <w:bookmarkEnd w:id="634"/>
      <w:bookmarkEnd w:id="635"/>
      <w:bookmarkEnd w:id="636"/>
    </w:p>
    <w:p w14:paraId="7492C099">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20.1和解</w:t>
      </w:r>
    </w:p>
    <w:p w14:paraId="6B9608F7">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合同当事人可以就争议自行和解，自行和解达成协议的经双方签字并盖章后作为合同补充文件，双方均应遵照执行。</w:t>
      </w:r>
    </w:p>
    <w:p w14:paraId="26C3404E">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20.2调解</w:t>
      </w:r>
    </w:p>
    <w:p w14:paraId="14E12E6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合同当事人可以就争议请求建设行政主管部门、行业协会或其他第三方进行调解，调解达成协议的，经双方签字并盖章后作为合同补充文件，双方均应遵照执行。</w:t>
      </w:r>
    </w:p>
    <w:p w14:paraId="103DD7C5">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20.3争议评审</w:t>
      </w:r>
    </w:p>
    <w:p w14:paraId="4DC29E5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合同当事人在专用合同条款中约定采取争议评审方式解决争议以及评审规则，并按下列约定执行： </w:t>
      </w:r>
    </w:p>
    <w:p w14:paraId="1BE73D61">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20.3.1 争议评审小组的确定</w:t>
      </w:r>
    </w:p>
    <w:p w14:paraId="4458C095">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合同当事人可以共同选择一名或三名争议评审员，组成争议评审小组。除专用合同条款另有约定外，合同当事人应当自合同签订后28天内，或者争议发生后14天内，选定争议评审员。</w:t>
      </w:r>
    </w:p>
    <w:p w14:paraId="733D5D64">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22405B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除专用合同条款另有约定外，评审员报酬由发包人和承包人各承担一半。</w:t>
      </w:r>
    </w:p>
    <w:p w14:paraId="29252A6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20.3.2 争议评审小组的决定</w:t>
      </w:r>
    </w:p>
    <w:p w14:paraId="64E7784F">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5F28CED">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20.3.3 争议评审小组决定的效力</w:t>
      </w:r>
    </w:p>
    <w:p w14:paraId="0E105EA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争议评审小组作出的书面决定经合同当事人签字确认后，对双方具有约束力，双方应遵照执行。</w:t>
      </w:r>
    </w:p>
    <w:p w14:paraId="0141BFB6">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任何一方当事人不接受争议评审小组决定或不履行争议评审小组决定的，双方可选择采用其他争议解决方式。</w:t>
      </w:r>
    </w:p>
    <w:p w14:paraId="22A7C3BA">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20.4仲裁或诉讼</w:t>
      </w:r>
    </w:p>
    <w:p w14:paraId="0F26D062">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因合同及合同有关事项产生的争议，合同当事人可以在专用合同条款中约定以下一种方式解决争议：</w:t>
      </w:r>
    </w:p>
    <w:p w14:paraId="52F4F80C">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（1）向约定的仲裁委员会申请仲裁；</w:t>
      </w:r>
    </w:p>
    <w:p w14:paraId="7880C87E">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（2）向有管辖权的人民法院起诉。</w:t>
      </w:r>
    </w:p>
    <w:p w14:paraId="3472BA42">
      <w:pPr>
        <w:pStyle w:val="6"/>
        <w:spacing w:before="120" w:after="120" w:line="380" w:lineRule="atLeast"/>
        <w:ind w:firstLine="420" w:firstLineChars="200"/>
        <w:rPr>
          <w:rFonts w:hint="eastAsia" w:ascii="宋体" w:hAnsi="宋体" w:eastAsia="宋体" w:cs="宋体"/>
          <w:b w:val="0"/>
          <w:color w:val="000000" w:themeColor="text1"/>
          <w:sz w:val="21"/>
          <w:szCs w:val="21"/>
        </w:rPr>
      </w:pPr>
      <w:r>
        <w:rPr>
          <w:rFonts w:hint="eastAsia" w:ascii="宋体" w:hAnsi="宋体" w:eastAsia="宋体" w:cs="宋体"/>
          <w:b w:val="0"/>
          <w:color w:val="000000" w:themeColor="text1"/>
          <w:sz w:val="21"/>
          <w:szCs w:val="21"/>
        </w:rPr>
        <w:t>20.5争议解决条款效力</w:t>
      </w:r>
    </w:p>
    <w:p w14:paraId="14F340A9">
      <w:pPr>
        <w:adjustRightInd w:val="0"/>
        <w:spacing w:line="38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合同有关争议解决的条款独立存在，合同的变更、解除、终止、无效或者被撤销均不影响其效力。 </w:t>
      </w:r>
    </w:p>
    <w:p w14:paraId="23FB70F7">
      <w:pPr>
        <w:pStyle w:val="200"/>
        <w:spacing w:line="460" w:lineRule="atLeast"/>
        <w:jc w:val="center"/>
        <w:rPr>
          <w:rFonts w:hint="eastAsia" w:ascii="宋体" w:hAnsi="宋体" w:eastAsia="宋体" w:cs="宋体"/>
          <w:color w:val="000000" w:themeColor="text1"/>
        </w:rPr>
      </w:pPr>
      <w:bookmarkStart w:id="637" w:name="_Toc9820"/>
      <w:bookmarkStart w:id="638" w:name="_Toc18574472"/>
      <w:bookmarkStart w:id="639" w:name="_Toc27783"/>
      <w:bookmarkStart w:id="640" w:name="_Toc23352"/>
      <w:bookmarkStart w:id="641" w:name="_Toc28184"/>
      <w:bookmarkStart w:id="642" w:name="_Toc14290"/>
      <w:bookmarkStart w:id="643" w:name="_Toc29506"/>
      <w:bookmarkStart w:id="644" w:name="_Toc6950"/>
      <w:r>
        <w:rPr>
          <w:rFonts w:hint="eastAsia" w:ascii="宋体" w:hAnsi="宋体" w:eastAsia="宋体" w:cs="宋体"/>
          <w:color w:val="000000" w:themeColor="text1"/>
        </w:rPr>
        <w:t>第三部分 专用合同条款</w:t>
      </w:r>
      <w:bookmarkEnd w:id="637"/>
      <w:bookmarkEnd w:id="638"/>
      <w:bookmarkEnd w:id="639"/>
      <w:bookmarkEnd w:id="640"/>
      <w:bookmarkEnd w:id="641"/>
      <w:bookmarkEnd w:id="642"/>
      <w:bookmarkEnd w:id="643"/>
      <w:bookmarkEnd w:id="644"/>
    </w:p>
    <w:p w14:paraId="33C122C9">
      <w:pPr>
        <w:pStyle w:val="165"/>
        <w:spacing w:before="120" w:after="120" w:line="460" w:lineRule="atLeast"/>
        <w:rPr>
          <w:rFonts w:hint="eastAsia" w:ascii="宋体" w:hAnsi="宋体" w:eastAsia="宋体" w:cs="宋体"/>
          <w:b w:val="0"/>
          <w:color w:val="000000" w:themeColor="text1"/>
          <w:sz w:val="21"/>
          <w:szCs w:val="21"/>
        </w:rPr>
      </w:pPr>
      <w:bookmarkStart w:id="645" w:name="_Toc3806"/>
      <w:bookmarkStart w:id="646" w:name="_Toc24398"/>
      <w:bookmarkStart w:id="647" w:name="_Toc12916"/>
      <w:bookmarkStart w:id="648" w:name="_Toc351203633"/>
      <w:bookmarkStart w:id="649" w:name="_Toc7008"/>
      <w:bookmarkStart w:id="650" w:name="_Toc21306"/>
      <w:bookmarkStart w:id="651" w:name="_Toc30237"/>
      <w:bookmarkStart w:id="652" w:name="_Toc25333"/>
      <w:r>
        <w:rPr>
          <w:rFonts w:hint="eastAsia" w:ascii="宋体" w:hAnsi="宋体" w:eastAsia="宋体" w:cs="宋体"/>
          <w:b w:val="0"/>
          <w:color w:val="000000" w:themeColor="text1"/>
          <w:sz w:val="21"/>
          <w:szCs w:val="21"/>
        </w:rPr>
        <w:t>1</w:t>
      </w:r>
      <w:bookmarkStart w:id="653" w:name="_Toc296891196"/>
      <w:bookmarkStart w:id="654" w:name="_Toc296503156"/>
      <w:bookmarkStart w:id="655" w:name="_Toc292559866"/>
      <w:bookmarkStart w:id="656" w:name="_Toc296944495"/>
      <w:bookmarkStart w:id="657" w:name="_Toc296890984"/>
      <w:bookmarkStart w:id="658" w:name="_Toc296346657"/>
      <w:bookmarkStart w:id="659" w:name="_Toc297048342"/>
      <w:bookmarkStart w:id="660" w:name="_Toc292559361"/>
      <w:bookmarkStart w:id="661" w:name="_Toc296347155"/>
      <w:bookmarkStart w:id="662" w:name="_Toc297120456"/>
      <w:r>
        <w:rPr>
          <w:rFonts w:hint="eastAsia" w:ascii="宋体" w:hAnsi="宋体" w:eastAsia="宋体" w:cs="宋体"/>
          <w:b w:val="0"/>
          <w:color w:val="000000" w:themeColor="text1"/>
          <w:sz w:val="21"/>
          <w:szCs w:val="21"/>
        </w:rPr>
        <w:t>. 一般约定</w:t>
      </w:r>
      <w:bookmarkEnd w:id="645"/>
      <w:bookmarkEnd w:id="646"/>
      <w:bookmarkEnd w:id="647"/>
      <w:bookmarkEnd w:id="648"/>
      <w:bookmarkEnd w:id="649"/>
      <w:bookmarkEnd w:id="650"/>
      <w:bookmarkEnd w:id="651"/>
      <w:bookmarkEnd w:id="652"/>
    </w:p>
    <w:bookmarkEnd w:id="653"/>
    <w:bookmarkEnd w:id="654"/>
    <w:bookmarkEnd w:id="655"/>
    <w:bookmarkEnd w:id="656"/>
    <w:bookmarkEnd w:id="657"/>
    <w:bookmarkEnd w:id="658"/>
    <w:bookmarkEnd w:id="659"/>
    <w:bookmarkEnd w:id="660"/>
    <w:bookmarkEnd w:id="661"/>
    <w:bookmarkEnd w:id="662"/>
    <w:p w14:paraId="43CFDB63">
      <w:pPr>
        <w:pStyle w:val="150"/>
        <w:spacing w:after="120" w:line="460" w:lineRule="atLeast"/>
        <w:ind w:firstLine="420" w:firstLineChars="200"/>
        <w:outlineLvl w:val="0"/>
        <w:rPr>
          <w:rFonts w:hint="eastAsia" w:ascii="宋体" w:hAnsi="宋体" w:eastAsia="宋体" w:cs="宋体"/>
          <w:color w:val="000000" w:themeColor="text1"/>
          <w:szCs w:val="21"/>
        </w:rPr>
      </w:pPr>
      <w:bookmarkStart w:id="663" w:name="_Toc22644"/>
      <w:bookmarkStart w:id="664" w:name="_Toc18574473"/>
      <w:bookmarkStart w:id="665" w:name="_Toc7713"/>
      <w:bookmarkStart w:id="666" w:name="_Toc7395"/>
      <w:bookmarkStart w:id="667" w:name="_Toc19049"/>
      <w:bookmarkStart w:id="668" w:name="_Toc20569"/>
      <w:bookmarkStart w:id="669" w:name="_Toc15261"/>
      <w:bookmarkStart w:id="670" w:name="_Toc2705"/>
      <w:r>
        <w:rPr>
          <w:rFonts w:hint="eastAsia" w:ascii="宋体" w:hAnsi="宋体" w:eastAsia="宋体" w:cs="宋体"/>
          <w:color w:val="000000" w:themeColor="text1"/>
          <w:szCs w:val="21"/>
        </w:rPr>
        <w:t>1.1 词语定义</w:t>
      </w:r>
      <w:bookmarkEnd w:id="663"/>
      <w:bookmarkEnd w:id="664"/>
      <w:bookmarkEnd w:id="665"/>
      <w:bookmarkEnd w:id="666"/>
      <w:bookmarkEnd w:id="667"/>
      <w:bookmarkEnd w:id="668"/>
      <w:bookmarkEnd w:id="669"/>
      <w:bookmarkEnd w:id="670"/>
    </w:p>
    <w:p w14:paraId="0E6B63F0">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1.1.1合同</w:t>
      </w:r>
    </w:p>
    <w:p w14:paraId="42B08C4F">
      <w:pPr>
        <w:pStyle w:val="149"/>
        <w:spacing w:line="460" w:lineRule="atLeast"/>
        <w:ind w:firstLine="420" w:firstLineChars="200"/>
        <w:rPr>
          <w:rFonts w:hint="eastAsia" w:ascii="宋体" w:hAnsi="宋体" w:eastAsia="宋体" w:cs="宋体"/>
          <w:color w:val="000000" w:themeColor="text1"/>
          <w:kern w:val="0"/>
        </w:rPr>
      </w:pPr>
      <w:r>
        <w:rPr>
          <w:rFonts w:hint="eastAsia" w:ascii="宋体" w:hAnsi="宋体" w:eastAsia="宋体" w:cs="宋体"/>
          <w:color w:val="000000" w:themeColor="text1"/>
          <w:kern w:val="0"/>
        </w:rPr>
        <w:t>1.1.1.10其他合同文件包括：</w:t>
      </w:r>
    </w:p>
    <w:p w14:paraId="36917E33">
      <w:pPr>
        <w:pStyle w:val="149"/>
        <w:spacing w:line="460" w:lineRule="atLeast"/>
        <w:ind w:firstLine="420" w:firstLineChars="200"/>
        <w:rPr>
          <w:rFonts w:hint="eastAsia" w:ascii="宋体" w:hAnsi="宋体" w:eastAsia="宋体" w:cs="宋体"/>
          <w:color w:val="000000" w:themeColor="text1"/>
          <w:u w:val="single"/>
        </w:rPr>
      </w:pPr>
      <w:r>
        <w:rPr>
          <w:rFonts w:hint="eastAsia" w:ascii="宋体" w:hAnsi="宋体" w:eastAsia="宋体" w:cs="宋体"/>
          <w:color w:val="000000" w:themeColor="text1"/>
          <w:u w:val="single"/>
        </w:rPr>
        <w:t xml:space="preserve">（1）本合同协议书； </w:t>
      </w:r>
    </w:p>
    <w:p w14:paraId="1892373E">
      <w:pPr>
        <w:pStyle w:val="174"/>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（2）中标通知书；</w:t>
      </w:r>
    </w:p>
    <w:p w14:paraId="1368B7D4">
      <w:pPr>
        <w:pStyle w:val="174"/>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（3）投标文件及其附件；</w:t>
      </w:r>
    </w:p>
    <w:p w14:paraId="5F78F71E">
      <w:pPr>
        <w:pStyle w:val="174"/>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（4）本合同专用条款</w:t>
      </w:r>
    </w:p>
    <w:p w14:paraId="7CD1A5AC">
      <w:pPr>
        <w:pStyle w:val="174"/>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（5）合同通用条款</w:t>
      </w:r>
    </w:p>
    <w:p w14:paraId="6462C217">
      <w:pPr>
        <w:pStyle w:val="174"/>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（6）标准、规范及有关技术文件；</w:t>
      </w:r>
    </w:p>
    <w:p w14:paraId="5706FF59">
      <w:pPr>
        <w:pStyle w:val="174"/>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（7）图纸、工程量清单</w:t>
      </w:r>
    </w:p>
    <w:p w14:paraId="24BD91CB">
      <w:pPr>
        <w:pStyle w:val="174"/>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（8）招标文件（含所有补充通知和答疑）</w:t>
      </w:r>
    </w:p>
    <w:p w14:paraId="6BD387C0">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u w:val="single"/>
        </w:rPr>
        <w:t xml:space="preserve">（9）工程预算控制价成果文件  </w:t>
      </w:r>
      <w:r>
        <w:rPr>
          <w:rFonts w:hint="eastAsia" w:ascii="宋体" w:hAnsi="宋体" w:eastAsia="宋体" w:cs="宋体"/>
          <w:color w:val="000000" w:themeColor="text1"/>
          <w:szCs w:val="21"/>
        </w:rPr>
        <w:t>。</w:t>
      </w:r>
    </w:p>
    <w:p w14:paraId="41FBB487">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1.1.2 合同当事人及其他相关方</w:t>
      </w:r>
    </w:p>
    <w:p w14:paraId="21C4F12A">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1.1.2.4监理人：</w:t>
      </w:r>
    </w:p>
    <w:p w14:paraId="07AE91F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名    称：</w:t>
      </w:r>
      <w:r>
        <w:rPr>
          <w:rFonts w:hint="eastAsia" w:ascii="宋体" w:hAnsi="宋体" w:eastAsia="宋体" w:cs="宋体"/>
          <w:color w:val="000000" w:themeColor="text1"/>
          <w:szCs w:val="21"/>
          <w:u w:val="single"/>
        </w:rPr>
        <w:t xml:space="preserve">                </w:t>
      </w:r>
      <w:r>
        <w:rPr>
          <w:rFonts w:hint="eastAsia" w:ascii="宋体" w:hAnsi="宋体" w:eastAsia="宋体" w:cs="宋体"/>
          <w:color w:val="000000" w:themeColor="text1"/>
          <w:szCs w:val="21"/>
        </w:rPr>
        <w:t>；</w:t>
      </w:r>
    </w:p>
    <w:p w14:paraId="35B298F5">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资质类别和等级：</w:t>
      </w: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30FA8233">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联系电话：</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27B80A2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电子信箱：</w:t>
      </w:r>
      <w:r>
        <w:rPr>
          <w:rFonts w:hint="eastAsia" w:ascii="宋体" w:hAnsi="宋体" w:eastAsia="宋体" w:cs="宋体"/>
          <w:color w:val="000000" w:themeColor="text1"/>
          <w:szCs w:val="21"/>
          <w:u w:val="single"/>
        </w:rPr>
        <w:t>                </w:t>
      </w:r>
      <w:r>
        <w:rPr>
          <w:rFonts w:hint="eastAsia" w:ascii="宋体" w:hAnsi="宋体" w:eastAsia="宋体" w:cs="宋体"/>
          <w:color w:val="000000" w:themeColor="text1"/>
          <w:szCs w:val="21"/>
        </w:rPr>
        <w:t>；</w:t>
      </w:r>
    </w:p>
    <w:p w14:paraId="173635A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通信地址：</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5273E1F5">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1.1.2.5 设计人：</w:t>
      </w:r>
    </w:p>
    <w:p w14:paraId="4F5E75A7">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名    称：</w:t>
      </w:r>
      <w:r>
        <w:rPr>
          <w:rFonts w:hint="eastAsia" w:ascii="宋体" w:hAnsi="宋体" w:eastAsia="宋体" w:cs="宋体"/>
          <w:color w:val="000000" w:themeColor="text1"/>
          <w:szCs w:val="21"/>
          <w:u w:val="single"/>
        </w:rPr>
        <w:t xml:space="preserve">                 </w:t>
      </w:r>
      <w:r>
        <w:rPr>
          <w:rFonts w:hint="eastAsia" w:ascii="宋体" w:hAnsi="宋体" w:eastAsia="宋体" w:cs="宋体"/>
          <w:color w:val="000000" w:themeColor="text1"/>
          <w:szCs w:val="21"/>
        </w:rPr>
        <w:t>；</w:t>
      </w:r>
    </w:p>
    <w:p w14:paraId="4429EC28">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资质类别和等级：</w:t>
      </w: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6BF2CEE6">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联系电话：</w:t>
      </w: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3343934B">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电子信箱：</w:t>
      </w:r>
      <w:r>
        <w:rPr>
          <w:rFonts w:hint="eastAsia" w:ascii="宋体" w:hAnsi="宋体" w:eastAsia="宋体" w:cs="宋体"/>
          <w:color w:val="000000" w:themeColor="text1"/>
          <w:szCs w:val="21"/>
          <w:u w:val="single"/>
        </w:rPr>
        <w:t xml:space="preserve">                    </w:t>
      </w:r>
      <w:r>
        <w:rPr>
          <w:rFonts w:hint="eastAsia" w:ascii="宋体" w:hAnsi="宋体" w:eastAsia="宋体" w:cs="宋体"/>
          <w:color w:val="000000" w:themeColor="text1"/>
          <w:szCs w:val="21"/>
        </w:rPr>
        <w:t>；</w:t>
      </w:r>
    </w:p>
    <w:p w14:paraId="1096D01B">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通信地址：</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6D39BDC1">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1.1.3 工程和设备</w:t>
      </w:r>
    </w:p>
    <w:p w14:paraId="279A584C">
      <w:pPr>
        <w:pStyle w:val="150"/>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1.1.3.7 作为施工现场组成部分的其他场所包括：</w:t>
      </w:r>
      <w:r>
        <w:rPr>
          <w:rFonts w:hint="eastAsia" w:ascii="宋体" w:hAnsi="宋体" w:eastAsia="宋体" w:cs="宋体"/>
          <w:color w:val="000000" w:themeColor="text1"/>
          <w:szCs w:val="21"/>
          <w:u w:val="single"/>
        </w:rPr>
        <w:t xml:space="preserve">           </w:t>
      </w:r>
    </w:p>
    <w:p w14:paraId="1C8F5289">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5DF3B2AA">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1.1.3.9 永久占地包括：</w:t>
      </w:r>
      <w:r>
        <w:rPr>
          <w:rFonts w:hint="eastAsia" w:ascii="宋体" w:hAnsi="宋体" w:eastAsia="宋体" w:cs="宋体"/>
          <w:color w:val="000000" w:themeColor="text1"/>
          <w:szCs w:val="21"/>
          <w:u w:val="single"/>
        </w:rPr>
        <w:t xml:space="preserve">                        </w:t>
      </w:r>
      <w:r>
        <w:rPr>
          <w:rFonts w:hint="eastAsia" w:ascii="宋体" w:hAnsi="宋体" w:eastAsia="宋体" w:cs="宋体"/>
          <w:color w:val="000000" w:themeColor="text1"/>
          <w:kern w:val="0"/>
          <w:szCs w:val="21"/>
        </w:rPr>
        <w:t>。</w:t>
      </w:r>
    </w:p>
    <w:p w14:paraId="3C9051F9">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1.1.3.10 临时占地包括：</w:t>
      </w:r>
      <w:r>
        <w:rPr>
          <w:rFonts w:hint="eastAsia" w:ascii="宋体" w:hAnsi="宋体" w:eastAsia="宋体" w:cs="宋体"/>
          <w:color w:val="000000" w:themeColor="text1"/>
          <w:szCs w:val="21"/>
          <w:u w:val="single"/>
        </w:rPr>
        <w:t xml:space="preserve">                       </w:t>
      </w:r>
      <w:r>
        <w:rPr>
          <w:rFonts w:hint="eastAsia" w:ascii="宋体" w:hAnsi="宋体" w:eastAsia="宋体" w:cs="宋体"/>
          <w:color w:val="000000" w:themeColor="text1"/>
          <w:kern w:val="0"/>
          <w:szCs w:val="21"/>
        </w:rPr>
        <w:t>。</w:t>
      </w:r>
    </w:p>
    <w:p w14:paraId="3513F0DA">
      <w:pPr>
        <w:pStyle w:val="150"/>
        <w:spacing w:after="120" w:line="460" w:lineRule="atLeast"/>
        <w:ind w:firstLine="420" w:firstLineChars="200"/>
        <w:outlineLvl w:val="0"/>
        <w:rPr>
          <w:rFonts w:hint="eastAsia" w:ascii="宋体" w:hAnsi="宋体" w:eastAsia="宋体" w:cs="宋体"/>
          <w:color w:val="000000" w:themeColor="text1"/>
          <w:szCs w:val="21"/>
        </w:rPr>
      </w:pPr>
      <w:bookmarkStart w:id="671" w:name="_Toc19718"/>
      <w:bookmarkStart w:id="672" w:name="_Toc23807"/>
      <w:bookmarkStart w:id="673" w:name="_Toc10473"/>
      <w:bookmarkStart w:id="674" w:name="_Toc1973"/>
      <w:bookmarkStart w:id="675" w:name="_Toc5018"/>
      <w:r>
        <w:rPr>
          <w:rFonts w:hint="eastAsia" w:ascii="宋体" w:hAnsi="宋体" w:eastAsia="宋体" w:cs="宋体"/>
          <w:color w:val="000000" w:themeColor="text1"/>
          <w:szCs w:val="21"/>
        </w:rPr>
        <w:t>1.3法律</w:t>
      </w:r>
      <w:bookmarkEnd w:id="671"/>
      <w:bookmarkEnd w:id="672"/>
      <w:bookmarkEnd w:id="673"/>
      <w:bookmarkEnd w:id="674"/>
      <w:bookmarkEnd w:id="675"/>
      <w:r>
        <w:rPr>
          <w:rFonts w:hint="eastAsia" w:ascii="宋体" w:hAnsi="宋体" w:eastAsia="宋体" w:cs="宋体"/>
          <w:color w:val="000000" w:themeColor="text1"/>
          <w:szCs w:val="21"/>
        </w:rPr>
        <w:t xml:space="preserve"> </w:t>
      </w:r>
    </w:p>
    <w:p w14:paraId="22FC54AE">
      <w:pPr>
        <w:pStyle w:val="150"/>
        <w:adjustRightInd w:val="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适用于合同的其他规范性文件：</w:t>
      </w:r>
      <w:r>
        <w:rPr>
          <w:rFonts w:hint="eastAsia" w:ascii="宋体" w:hAnsi="宋体" w:eastAsia="宋体" w:cs="宋体"/>
          <w:color w:val="000000" w:themeColor="text1"/>
          <w:szCs w:val="21"/>
          <w:u w:val="single"/>
        </w:rPr>
        <w:t xml:space="preserve">按合同签订时国家现行法律、行政法规及工程所在地政府的有关法规和规章  </w:t>
      </w:r>
      <w:r>
        <w:rPr>
          <w:rFonts w:hint="eastAsia" w:ascii="宋体" w:hAnsi="宋体" w:eastAsia="宋体" w:cs="宋体"/>
          <w:color w:val="000000" w:themeColor="text1"/>
          <w:szCs w:val="21"/>
        </w:rPr>
        <w:t>。</w:t>
      </w:r>
    </w:p>
    <w:p w14:paraId="4E6D8247">
      <w:pPr>
        <w:pStyle w:val="150"/>
        <w:spacing w:after="120" w:line="460" w:lineRule="atLeast"/>
        <w:ind w:firstLine="420" w:firstLineChars="200"/>
        <w:outlineLvl w:val="0"/>
        <w:rPr>
          <w:rFonts w:hint="eastAsia" w:ascii="宋体" w:hAnsi="宋体" w:eastAsia="宋体" w:cs="宋体"/>
          <w:color w:val="000000" w:themeColor="text1"/>
          <w:szCs w:val="21"/>
        </w:rPr>
      </w:pPr>
      <w:bookmarkStart w:id="676" w:name="_Toc24997"/>
      <w:bookmarkStart w:id="677" w:name="_Toc3813"/>
      <w:bookmarkStart w:id="678" w:name="_Toc13733"/>
      <w:bookmarkStart w:id="679" w:name="_Toc14883"/>
      <w:bookmarkStart w:id="680" w:name="_Toc12926"/>
      <w:bookmarkStart w:id="681" w:name="_Toc19478"/>
      <w:r>
        <w:rPr>
          <w:rFonts w:hint="eastAsia" w:ascii="宋体" w:hAnsi="宋体" w:eastAsia="宋体" w:cs="宋体"/>
          <w:color w:val="000000" w:themeColor="text1"/>
          <w:szCs w:val="21"/>
        </w:rPr>
        <w:t>1.4 标准和规范</w:t>
      </w:r>
      <w:bookmarkEnd w:id="676"/>
      <w:bookmarkEnd w:id="677"/>
      <w:bookmarkEnd w:id="678"/>
      <w:bookmarkEnd w:id="679"/>
      <w:bookmarkEnd w:id="680"/>
      <w:bookmarkEnd w:id="681"/>
    </w:p>
    <w:p w14:paraId="7C563483">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1.4.1适用于工程的标准规范包括：</w:t>
      </w:r>
      <w:r>
        <w:rPr>
          <w:rFonts w:hint="eastAsia" w:ascii="宋体" w:hAnsi="宋体" w:eastAsia="宋体" w:cs="宋体"/>
          <w:color w:val="000000" w:themeColor="text1"/>
          <w:szCs w:val="21"/>
          <w:u w:val="single"/>
        </w:rPr>
        <w:t>现行的国家标准、规范，行业标准、规范</w:t>
      </w:r>
      <w:r>
        <w:rPr>
          <w:rFonts w:hint="eastAsia" w:ascii="宋体" w:hAnsi="宋体" w:eastAsia="宋体" w:cs="宋体"/>
          <w:color w:val="000000" w:themeColor="text1"/>
          <w:szCs w:val="21"/>
        </w:rPr>
        <w:t>。</w:t>
      </w:r>
    </w:p>
    <w:p w14:paraId="08DF2C7A">
      <w:pPr>
        <w:pStyle w:val="150"/>
        <w:spacing w:line="460" w:lineRule="atLeast"/>
        <w:ind w:firstLine="420" w:firstLineChars="200"/>
        <w:rPr>
          <w:rFonts w:hint="eastAsia" w:ascii="宋体" w:hAnsi="宋体" w:eastAsia="宋体" w:cs="宋体"/>
          <w:color w:val="000000" w:themeColor="text1"/>
          <w:kern w:val="0"/>
          <w:szCs w:val="21"/>
        </w:rPr>
      </w:pPr>
      <w:bookmarkStart w:id="682" w:name="_Toc2590"/>
      <w:bookmarkStart w:id="683" w:name="_Toc18574474"/>
      <w:r>
        <w:rPr>
          <w:rFonts w:hint="eastAsia" w:ascii="宋体" w:hAnsi="宋体" w:eastAsia="宋体" w:cs="宋体"/>
          <w:color w:val="000000" w:themeColor="text1"/>
          <w:kern w:val="0"/>
          <w:szCs w:val="21"/>
        </w:rPr>
        <w:t>1.4.2 发包人提供国外标准、规范的名称：</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w:t>
      </w:r>
      <w:bookmarkEnd w:id="682"/>
      <w:bookmarkEnd w:id="683"/>
    </w:p>
    <w:p w14:paraId="05AAC8A5">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发包人提供国外标准、规范的份数：</w:t>
      </w:r>
      <w:r>
        <w:rPr>
          <w:rFonts w:hint="eastAsia" w:ascii="宋体" w:hAnsi="宋体" w:eastAsia="宋体" w:cs="宋体"/>
          <w:color w:val="000000" w:themeColor="text1"/>
          <w:kern w:val="0"/>
          <w:szCs w:val="21"/>
          <w:u w:val="single"/>
        </w:rPr>
        <w:t xml:space="preserve">                      </w:t>
      </w:r>
      <w:r>
        <w:rPr>
          <w:rFonts w:hint="eastAsia" w:ascii="宋体" w:hAnsi="宋体" w:eastAsia="宋体" w:cs="宋体"/>
          <w:color w:val="000000" w:themeColor="text1"/>
          <w:kern w:val="0"/>
          <w:szCs w:val="21"/>
        </w:rPr>
        <w:t>；</w:t>
      </w:r>
    </w:p>
    <w:p w14:paraId="54560DC2">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发包人提供国外标准、规范的名称：</w:t>
      </w:r>
      <w:r>
        <w:rPr>
          <w:rFonts w:hint="eastAsia" w:ascii="宋体" w:hAnsi="宋体" w:eastAsia="宋体" w:cs="宋体"/>
          <w:color w:val="000000" w:themeColor="text1"/>
          <w:kern w:val="0"/>
          <w:szCs w:val="21"/>
          <w:u w:val="single"/>
        </w:rPr>
        <w:t xml:space="preserve">                      </w:t>
      </w:r>
      <w:r>
        <w:rPr>
          <w:rFonts w:hint="eastAsia" w:ascii="宋体" w:hAnsi="宋体" w:eastAsia="宋体" w:cs="宋体"/>
          <w:color w:val="000000" w:themeColor="text1"/>
          <w:kern w:val="0"/>
          <w:szCs w:val="21"/>
        </w:rPr>
        <w:t>。</w:t>
      </w:r>
    </w:p>
    <w:p w14:paraId="6CCCAC86">
      <w:pPr>
        <w:pStyle w:val="150"/>
        <w:spacing w:line="460" w:lineRule="atLeast"/>
        <w:ind w:left="596" w:leftChars="284"/>
        <w:rPr>
          <w:rFonts w:hint="eastAsia" w:ascii="宋体" w:hAnsi="宋体" w:eastAsia="宋体" w:cs="宋体"/>
          <w:color w:val="000000" w:themeColor="text1"/>
          <w:szCs w:val="21"/>
        </w:rPr>
      </w:pPr>
      <w:r>
        <w:rPr>
          <w:rFonts w:hint="eastAsia" w:ascii="宋体" w:hAnsi="宋体" w:eastAsia="宋体" w:cs="宋体"/>
          <w:color w:val="000000" w:themeColor="text1"/>
          <w:szCs w:val="21"/>
        </w:rPr>
        <w:t>1.4.3发包人对工程的技术标准和功能要求的特殊要求：</w:t>
      </w:r>
    </w:p>
    <w:p w14:paraId="5CAD23E2">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                                                                </w:t>
      </w:r>
      <w:r>
        <w:rPr>
          <w:rFonts w:hint="eastAsia" w:ascii="宋体" w:hAnsi="宋体" w:eastAsia="宋体" w:cs="宋体"/>
          <w:color w:val="000000" w:themeColor="text1"/>
          <w:szCs w:val="21"/>
        </w:rPr>
        <w:t>。</w:t>
      </w:r>
    </w:p>
    <w:p w14:paraId="1096275C">
      <w:pPr>
        <w:pStyle w:val="150"/>
        <w:spacing w:after="120" w:line="460" w:lineRule="atLeast"/>
        <w:ind w:firstLine="420" w:firstLineChars="200"/>
        <w:outlineLvl w:val="0"/>
        <w:rPr>
          <w:rFonts w:hint="eastAsia" w:ascii="宋体" w:hAnsi="宋体" w:eastAsia="宋体" w:cs="宋体"/>
          <w:color w:val="000000" w:themeColor="text1"/>
          <w:szCs w:val="21"/>
        </w:rPr>
      </w:pPr>
      <w:bookmarkStart w:id="684" w:name="_Toc13993"/>
      <w:bookmarkStart w:id="685" w:name="_Toc4429"/>
      <w:bookmarkStart w:id="686" w:name="_Toc31520"/>
      <w:bookmarkStart w:id="687" w:name="_Toc18574475"/>
      <w:bookmarkStart w:id="688" w:name="_Toc32234"/>
      <w:bookmarkStart w:id="689" w:name="_Toc4605"/>
      <w:bookmarkStart w:id="690" w:name="_Toc5081"/>
      <w:bookmarkStart w:id="691" w:name="_Toc31130"/>
      <w:r>
        <w:rPr>
          <w:rFonts w:hint="eastAsia" w:ascii="宋体" w:hAnsi="宋体" w:eastAsia="宋体" w:cs="宋体"/>
          <w:color w:val="000000" w:themeColor="text1"/>
          <w:szCs w:val="21"/>
        </w:rPr>
        <w:t>1.5 合同文件的优先顺序</w:t>
      </w:r>
      <w:bookmarkEnd w:id="684"/>
      <w:bookmarkEnd w:id="685"/>
      <w:bookmarkEnd w:id="686"/>
      <w:bookmarkEnd w:id="687"/>
      <w:bookmarkEnd w:id="688"/>
      <w:bookmarkEnd w:id="689"/>
      <w:bookmarkEnd w:id="690"/>
      <w:bookmarkEnd w:id="691"/>
    </w:p>
    <w:p w14:paraId="0CD64454">
      <w:pPr>
        <w:pStyle w:val="157"/>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合同文件组成及优先顺序为：</w:t>
      </w:r>
    </w:p>
    <w:p w14:paraId="1C0FB21F">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w:t>
      </w:r>
      <w:r>
        <w:rPr>
          <w:rFonts w:hint="eastAsia" w:ascii="宋体" w:hAnsi="宋体" w:eastAsia="宋体" w:cs="宋体"/>
          <w:color w:val="000000" w:themeColor="text1"/>
          <w:szCs w:val="21"/>
          <w:u w:val="single"/>
        </w:rPr>
        <w:t>1）合同协议书；</w:t>
      </w:r>
    </w:p>
    <w:p w14:paraId="4D70F3B4">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(2）中标通知书（如有）；</w:t>
      </w:r>
    </w:p>
    <w:p w14:paraId="0D572B72">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（3）投标函及其附录（如有）；</w:t>
      </w:r>
    </w:p>
    <w:p w14:paraId="4BAA3EC8">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（4）专用合同条款及其附件；</w:t>
      </w:r>
    </w:p>
    <w:p w14:paraId="45021203">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（5）通用合同条款；</w:t>
      </w:r>
    </w:p>
    <w:p w14:paraId="46A4EB7E">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（6）技术标准和要求；</w:t>
      </w:r>
    </w:p>
    <w:p w14:paraId="7C5EF9C8">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（7）已标价工程量清单；</w:t>
      </w:r>
    </w:p>
    <w:p w14:paraId="11B543BF">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（8）图纸；</w:t>
      </w:r>
    </w:p>
    <w:p w14:paraId="7544CEA5">
      <w:pPr>
        <w:pStyle w:val="157"/>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（9）其他合同文件。</w:t>
      </w:r>
    </w:p>
    <w:p w14:paraId="1F073A4D">
      <w:pPr>
        <w:pStyle w:val="150"/>
        <w:spacing w:after="120" w:line="460" w:lineRule="atLeast"/>
        <w:ind w:firstLine="420" w:firstLineChars="200"/>
        <w:outlineLvl w:val="0"/>
        <w:rPr>
          <w:rFonts w:hint="eastAsia" w:ascii="宋体" w:hAnsi="宋体" w:eastAsia="宋体" w:cs="宋体"/>
          <w:color w:val="000000" w:themeColor="text1"/>
          <w:szCs w:val="21"/>
        </w:rPr>
      </w:pPr>
      <w:bookmarkStart w:id="692" w:name="_Toc20013"/>
      <w:bookmarkStart w:id="693" w:name="_Toc14040"/>
      <w:bookmarkStart w:id="694" w:name="_Toc18574476"/>
      <w:bookmarkStart w:id="695" w:name="_Toc9964"/>
      <w:bookmarkStart w:id="696" w:name="_Toc17949"/>
      <w:bookmarkStart w:id="697" w:name="_Toc29727"/>
      <w:bookmarkStart w:id="698" w:name="_Toc13601"/>
      <w:bookmarkStart w:id="699" w:name="_Toc18274"/>
      <w:r>
        <w:rPr>
          <w:rFonts w:hint="eastAsia" w:ascii="宋体" w:hAnsi="宋体" w:eastAsia="宋体" w:cs="宋体"/>
          <w:color w:val="000000" w:themeColor="text1"/>
          <w:szCs w:val="21"/>
        </w:rPr>
        <w:t>1.6 图纸和承包人文件</w:t>
      </w:r>
      <w:bookmarkEnd w:id="692"/>
      <w:bookmarkEnd w:id="693"/>
      <w:bookmarkEnd w:id="694"/>
      <w:bookmarkEnd w:id="695"/>
      <w:bookmarkEnd w:id="696"/>
      <w:bookmarkEnd w:id="697"/>
      <w:bookmarkEnd w:id="698"/>
      <w:bookmarkEnd w:id="699"/>
      <w:r>
        <w:rPr>
          <w:rFonts w:hint="eastAsia" w:ascii="宋体" w:hAnsi="宋体" w:eastAsia="宋体" w:cs="宋体"/>
          <w:color w:val="000000" w:themeColor="text1"/>
          <w:szCs w:val="21"/>
        </w:rPr>
        <w:tab/>
      </w:r>
    </w:p>
    <w:p w14:paraId="01E70427">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1.6.1 图纸的提供</w:t>
      </w:r>
    </w:p>
    <w:p w14:paraId="51BBE75E">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发包人向承包人提供图纸的期限：</w:t>
      </w:r>
      <w:r>
        <w:rPr>
          <w:rFonts w:hint="eastAsia" w:ascii="宋体" w:hAnsi="宋体" w:eastAsia="宋体" w:cs="宋体"/>
          <w:color w:val="000000" w:themeColor="text1"/>
          <w:szCs w:val="21"/>
          <w:u w:val="single"/>
        </w:rPr>
        <w:t>合同生效后7天内</w:t>
      </w:r>
      <w:r>
        <w:rPr>
          <w:rFonts w:hint="eastAsia" w:ascii="宋体" w:hAnsi="宋体" w:eastAsia="宋体" w:cs="宋体"/>
          <w:color w:val="000000" w:themeColor="text1"/>
          <w:szCs w:val="21"/>
        </w:rPr>
        <w:t>；</w:t>
      </w:r>
    </w:p>
    <w:p w14:paraId="67FBAEC6">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发包人向承包人提供图纸的数量：</w:t>
      </w:r>
      <w:r>
        <w:rPr>
          <w:rFonts w:hint="eastAsia" w:ascii="宋体" w:hAnsi="宋体" w:eastAsia="宋体" w:cs="宋体"/>
          <w:color w:val="000000" w:themeColor="text1"/>
          <w:szCs w:val="21"/>
          <w:u w:val="single"/>
        </w:rPr>
        <w:t>叁套（承包人需要增加图纸套数的，发包人应代为复制，复制费用由承包人承担）</w:t>
      </w:r>
      <w:r>
        <w:rPr>
          <w:rFonts w:hint="eastAsia" w:ascii="宋体" w:hAnsi="宋体" w:eastAsia="宋体" w:cs="宋体"/>
          <w:color w:val="000000" w:themeColor="text1"/>
          <w:szCs w:val="21"/>
        </w:rPr>
        <w:t>；</w:t>
      </w:r>
    </w:p>
    <w:p w14:paraId="1EA9460E">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发包人向承包人提供图纸的内容：</w:t>
      </w:r>
      <w:r>
        <w:rPr>
          <w:rFonts w:hint="eastAsia" w:ascii="宋体" w:hAnsi="宋体" w:eastAsia="宋体" w:cs="宋体"/>
          <w:color w:val="000000" w:themeColor="text1"/>
          <w:szCs w:val="21"/>
          <w:u w:val="single"/>
        </w:rPr>
        <w:t>经图审机构审查合格的全套施工图</w:t>
      </w:r>
      <w:r>
        <w:rPr>
          <w:rFonts w:hint="eastAsia" w:ascii="宋体" w:hAnsi="宋体" w:eastAsia="宋体" w:cs="宋体"/>
          <w:color w:val="000000" w:themeColor="text1"/>
          <w:szCs w:val="21"/>
        </w:rPr>
        <w:t>。</w:t>
      </w:r>
    </w:p>
    <w:p w14:paraId="15E88E84">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1.6.4 承包人文件</w:t>
      </w:r>
    </w:p>
    <w:p w14:paraId="7A11452B">
      <w:pPr>
        <w:pStyle w:val="150"/>
        <w:spacing w:line="460" w:lineRule="atLeast"/>
        <w:ind w:left="596" w:leftChars="284"/>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需要由承包人提供的文件，包括：</w:t>
      </w:r>
      <w:r>
        <w:rPr>
          <w:rFonts w:hint="eastAsia" w:ascii="宋体" w:hAnsi="宋体" w:eastAsia="宋体" w:cs="宋体"/>
          <w:color w:val="000000" w:themeColor="text1"/>
          <w:szCs w:val="21"/>
          <w:u w:val="single"/>
        </w:rPr>
        <w:t xml:space="preserve">必要的加工图、大样图及国家建筑标准设计图集 </w:t>
      </w:r>
      <w:r>
        <w:rPr>
          <w:rFonts w:hint="eastAsia" w:ascii="宋体" w:hAnsi="宋体" w:eastAsia="宋体" w:cs="宋体"/>
          <w:color w:val="000000" w:themeColor="text1"/>
          <w:szCs w:val="21"/>
        </w:rPr>
        <w:t>；</w:t>
      </w:r>
    </w:p>
    <w:p w14:paraId="3772AA0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承包人提供的文件的期限为：</w:t>
      </w:r>
      <w:r>
        <w:rPr>
          <w:rFonts w:hint="eastAsia" w:ascii="宋体" w:hAnsi="宋体" w:eastAsia="宋体" w:cs="宋体"/>
          <w:color w:val="000000" w:themeColor="text1"/>
          <w:szCs w:val="21"/>
          <w:u w:val="single"/>
        </w:rPr>
        <w:t>构件开始施工前7天内</w:t>
      </w:r>
      <w:r>
        <w:rPr>
          <w:rFonts w:hint="eastAsia" w:ascii="宋体" w:hAnsi="宋体" w:eastAsia="宋体" w:cs="宋体"/>
          <w:color w:val="000000" w:themeColor="text1"/>
          <w:szCs w:val="21"/>
        </w:rPr>
        <w:t>；</w:t>
      </w:r>
    </w:p>
    <w:p w14:paraId="16B40641">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承包人提供的文件的数量为：</w:t>
      </w:r>
      <w:r>
        <w:rPr>
          <w:rFonts w:hint="eastAsia" w:ascii="宋体" w:hAnsi="宋体" w:eastAsia="宋体" w:cs="宋体"/>
          <w:color w:val="000000" w:themeColor="text1"/>
          <w:szCs w:val="21"/>
          <w:u w:val="single"/>
        </w:rPr>
        <w:t>一式四套      </w:t>
      </w:r>
      <w:r>
        <w:rPr>
          <w:rFonts w:hint="eastAsia" w:ascii="宋体" w:hAnsi="宋体" w:eastAsia="宋体" w:cs="宋体"/>
          <w:color w:val="000000" w:themeColor="text1"/>
          <w:szCs w:val="21"/>
        </w:rPr>
        <w:t>；</w:t>
      </w:r>
    </w:p>
    <w:p w14:paraId="0AB25441">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承包人提供的文件的形式为：</w:t>
      </w:r>
      <w:r>
        <w:rPr>
          <w:rFonts w:hint="eastAsia" w:ascii="宋体" w:hAnsi="宋体" w:eastAsia="宋体" w:cs="宋体"/>
          <w:color w:val="000000" w:themeColor="text1"/>
          <w:szCs w:val="21"/>
          <w:u w:val="single"/>
        </w:rPr>
        <w:t>书面提交   </w:t>
      </w:r>
      <w:r>
        <w:rPr>
          <w:rFonts w:hint="eastAsia" w:ascii="宋体" w:hAnsi="宋体" w:eastAsia="宋体" w:cs="宋体"/>
          <w:color w:val="000000" w:themeColor="text1"/>
          <w:szCs w:val="21"/>
        </w:rPr>
        <w:t>；</w:t>
      </w:r>
    </w:p>
    <w:p w14:paraId="3E29FB3B">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发包人审批承包人文件的期限：</w:t>
      </w:r>
      <w:r>
        <w:rPr>
          <w:rFonts w:hint="eastAsia" w:ascii="宋体" w:hAnsi="宋体" w:eastAsia="宋体" w:cs="宋体"/>
          <w:color w:val="000000" w:themeColor="text1"/>
          <w:szCs w:val="21"/>
          <w:u w:val="single"/>
        </w:rPr>
        <w:t>文件签收后7天</w:t>
      </w:r>
      <w:r>
        <w:rPr>
          <w:rFonts w:hint="eastAsia" w:ascii="宋体" w:hAnsi="宋体" w:eastAsia="宋体" w:cs="宋体"/>
          <w:color w:val="000000" w:themeColor="text1"/>
          <w:szCs w:val="21"/>
        </w:rPr>
        <w:t>。</w:t>
      </w:r>
    </w:p>
    <w:p w14:paraId="41D9B1F8">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1.6.5 现场图纸准备</w:t>
      </w:r>
    </w:p>
    <w:p w14:paraId="5FDCC6C2">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关于现场图纸准备的约定：</w:t>
      </w:r>
      <w:r>
        <w:rPr>
          <w:rFonts w:hint="eastAsia" w:ascii="宋体" w:hAnsi="宋体" w:eastAsia="宋体" w:cs="宋体"/>
          <w:color w:val="000000" w:themeColor="text1"/>
          <w:szCs w:val="21"/>
          <w:u w:val="single"/>
        </w:rPr>
        <w:t>项目开工前7天内</w:t>
      </w:r>
      <w:r>
        <w:rPr>
          <w:rFonts w:hint="eastAsia" w:ascii="宋体" w:hAnsi="宋体" w:eastAsia="宋体" w:cs="宋体"/>
          <w:color w:val="000000" w:themeColor="text1"/>
          <w:szCs w:val="21"/>
        </w:rPr>
        <w:t>。</w:t>
      </w:r>
    </w:p>
    <w:p w14:paraId="71199870">
      <w:pPr>
        <w:pStyle w:val="150"/>
        <w:spacing w:after="120" w:line="460" w:lineRule="atLeast"/>
        <w:ind w:firstLine="420" w:firstLineChars="200"/>
        <w:outlineLvl w:val="0"/>
        <w:rPr>
          <w:rFonts w:hint="eastAsia" w:ascii="宋体" w:hAnsi="宋体" w:eastAsia="宋体" w:cs="宋体"/>
          <w:color w:val="000000" w:themeColor="text1"/>
          <w:szCs w:val="21"/>
        </w:rPr>
      </w:pPr>
      <w:bookmarkStart w:id="700" w:name="_Toc19641"/>
      <w:bookmarkStart w:id="701" w:name="_Toc12261"/>
      <w:bookmarkStart w:id="702" w:name="_Toc15763"/>
      <w:bookmarkStart w:id="703" w:name="_Toc18574477"/>
      <w:bookmarkStart w:id="704" w:name="_Toc19539"/>
      <w:bookmarkStart w:id="705" w:name="_Toc6503"/>
      <w:bookmarkStart w:id="706" w:name="_Toc17884"/>
      <w:bookmarkStart w:id="707" w:name="_Toc28329"/>
      <w:r>
        <w:rPr>
          <w:rFonts w:hint="eastAsia" w:ascii="宋体" w:hAnsi="宋体" w:eastAsia="宋体" w:cs="宋体"/>
          <w:color w:val="000000" w:themeColor="text1"/>
          <w:szCs w:val="21"/>
        </w:rPr>
        <w:t>1.7 联络</w:t>
      </w:r>
      <w:bookmarkEnd w:id="700"/>
      <w:bookmarkEnd w:id="701"/>
      <w:bookmarkEnd w:id="702"/>
      <w:bookmarkEnd w:id="703"/>
      <w:bookmarkEnd w:id="704"/>
      <w:bookmarkEnd w:id="705"/>
      <w:bookmarkEnd w:id="706"/>
      <w:bookmarkEnd w:id="707"/>
    </w:p>
    <w:p w14:paraId="7F98EACA">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1.7.1发包人和承包人应当在</w:t>
      </w:r>
      <w:r>
        <w:rPr>
          <w:rFonts w:hint="eastAsia" w:ascii="宋体" w:hAnsi="宋体" w:eastAsia="宋体" w:cs="宋体"/>
          <w:color w:val="000000" w:themeColor="text1"/>
          <w:szCs w:val="21"/>
          <w:u w:val="single"/>
        </w:rPr>
        <w:t xml:space="preserve"> 7   </w:t>
      </w:r>
      <w:r>
        <w:rPr>
          <w:rFonts w:hint="eastAsia" w:ascii="宋体" w:hAnsi="宋体" w:eastAsia="宋体" w:cs="宋体"/>
          <w:color w:val="000000" w:themeColor="text1"/>
          <w:kern w:val="0"/>
          <w:szCs w:val="21"/>
        </w:rPr>
        <w:t>天内将与合同有关的通知、批准、证明、证书、指示、指令、要求、请求、同意、意见、确定和决定等书面函件送达对方当事人。</w:t>
      </w:r>
    </w:p>
    <w:p w14:paraId="2490450F">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1.7.2 发包人接收文件的地点：</w:t>
      </w:r>
      <w:r>
        <w:rPr>
          <w:rFonts w:hint="eastAsia" w:ascii="宋体" w:hAnsi="宋体" w:eastAsia="宋体" w:cs="宋体"/>
          <w:color w:val="000000" w:themeColor="text1"/>
          <w:szCs w:val="21"/>
          <w:u w:val="single"/>
        </w:rPr>
        <w:t>施工项目经理部 </w:t>
      </w:r>
      <w:r>
        <w:rPr>
          <w:rFonts w:hint="eastAsia" w:ascii="宋体" w:hAnsi="宋体" w:eastAsia="宋体" w:cs="宋体"/>
          <w:color w:val="000000" w:themeColor="text1"/>
          <w:kern w:val="0"/>
          <w:szCs w:val="21"/>
        </w:rPr>
        <w:t>；</w:t>
      </w:r>
    </w:p>
    <w:p w14:paraId="6C4822DF">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发包人指定的接收人为：</w:t>
      </w:r>
      <w:r>
        <w:rPr>
          <w:rFonts w:hint="eastAsia" w:ascii="宋体" w:hAnsi="宋体" w:eastAsia="宋体" w:cs="宋体"/>
          <w:color w:val="000000" w:themeColor="text1"/>
          <w:szCs w:val="21"/>
          <w:u w:val="single"/>
        </w:rPr>
        <w:t>建设单位现场代表     </w:t>
      </w:r>
      <w:r>
        <w:rPr>
          <w:rFonts w:hint="eastAsia" w:ascii="宋体" w:hAnsi="宋体" w:eastAsia="宋体" w:cs="宋体"/>
          <w:color w:val="000000" w:themeColor="text1"/>
          <w:kern w:val="0"/>
          <w:szCs w:val="21"/>
        </w:rPr>
        <w:t>。</w:t>
      </w:r>
    </w:p>
    <w:p w14:paraId="3FE22A47">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承包人接收文件的地点：</w:t>
      </w:r>
      <w:r>
        <w:rPr>
          <w:rFonts w:hint="eastAsia" w:ascii="宋体" w:hAnsi="宋体" w:eastAsia="宋体" w:cs="宋体"/>
          <w:color w:val="000000" w:themeColor="text1"/>
          <w:szCs w:val="21"/>
          <w:u w:val="single"/>
        </w:rPr>
        <w:t>承包人施工现场管理机构的办公地点</w:t>
      </w:r>
      <w:r>
        <w:rPr>
          <w:rFonts w:hint="eastAsia" w:ascii="宋体" w:hAnsi="宋体" w:eastAsia="宋体" w:cs="宋体"/>
          <w:color w:val="000000" w:themeColor="text1"/>
          <w:kern w:val="0"/>
          <w:szCs w:val="21"/>
        </w:rPr>
        <w:t>；</w:t>
      </w:r>
    </w:p>
    <w:p w14:paraId="399DC767">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承包人指定的接收人为：</w:t>
      </w:r>
      <w:r>
        <w:rPr>
          <w:rFonts w:hint="eastAsia" w:ascii="宋体" w:hAnsi="宋体" w:eastAsia="宋体" w:cs="宋体"/>
          <w:color w:val="000000" w:themeColor="text1"/>
          <w:szCs w:val="21"/>
          <w:u w:val="single"/>
        </w:rPr>
        <w:t>合同协议书中载明的承包人项目经理本人或者项目经理的授权代表</w:t>
      </w:r>
      <w:r>
        <w:rPr>
          <w:rFonts w:hint="eastAsia" w:ascii="宋体" w:hAnsi="宋体" w:eastAsia="宋体" w:cs="宋体"/>
          <w:color w:val="000000" w:themeColor="text1"/>
          <w:kern w:val="0"/>
          <w:szCs w:val="21"/>
        </w:rPr>
        <w:t>。</w:t>
      </w:r>
    </w:p>
    <w:p w14:paraId="5A40B485">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监理人接收文件的地点：</w:t>
      </w:r>
      <w:r>
        <w:rPr>
          <w:rFonts w:hint="eastAsia" w:ascii="宋体" w:hAnsi="宋体" w:eastAsia="宋体" w:cs="宋体"/>
          <w:color w:val="000000" w:themeColor="text1"/>
          <w:szCs w:val="21"/>
          <w:u w:val="single"/>
        </w:rPr>
        <w:t>项目监理部 </w:t>
      </w:r>
      <w:r>
        <w:rPr>
          <w:rFonts w:hint="eastAsia" w:ascii="宋体" w:hAnsi="宋体" w:eastAsia="宋体" w:cs="宋体"/>
          <w:color w:val="000000" w:themeColor="text1"/>
          <w:kern w:val="0"/>
          <w:szCs w:val="21"/>
        </w:rPr>
        <w:t>；</w:t>
      </w:r>
    </w:p>
    <w:p w14:paraId="6CBE7B9B">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监理人指定的接收人为：</w:t>
      </w:r>
      <w:r>
        <w:rPr>
          <w:rFonts w:hint="eastAsia" w:ascii="宋体" w:hAnsi="宋体" w:eastAsia="宋体" w:cs="宋体"/>
          <w:color w:val="000000" w:themeColor="text1"/>
          <w:szCs w:val="21"/>
          <w:u w:val="single"/>
        </w:rPr>
        <w:t>现场监理工程师   </w:t>
      </w:r>
      <w:r>
        <w:rPr>
          <w:rFonts w:hint="eastAsia" w:ascii="宋体" w:hAnsi="宋体" w:eastAsia="宋体" w:cs="宋体"/>
          <w:color w:val="000000" w:themeColor="text1"/>
          <w:kern w:val="0"/>
          <w:szCs w:val="21"/>
        </w:rPr>
        <w:t>。</w:t>
      </w:r>
    </w:p>
    <w:p w14:paraId="4FAC3E61">
      <w:pPr>
        <w:pStyle w:val="150"/>
        <w:spacing w:after="120" w:line="460" w:lineRule="atLeast"/>
        <w:ind w:firstLine="420" w:firstLineChars="200"/>
        <w:outlineLvl w:val="0"/>
        <w:rPr>
          <w:rFonts w:hint="eastAsia" w:ascii="宋体" w:hAnsi="宋体" w:eastAsia="宋体" w:cs="宋体"/>
          <w:color w:val="000000" w:themeColor="text1"/>
          <w:szCs w:val="21"/>
        </w:rPr>
      </w:pPr>
      <w:bookmarkStart w:id="708" w:name="_Toc10398"/>
      <w:bookmarkStart w:id="709" w:name="_Toc18748"/>
      <w:bookmarkStart w:id="710" w:name="_Toc25962"/>
      <w:bookmarkStart w:id="711" w:name="_Toc17609"/>
      <w:bookmarkStart w:id="712" w:name="_Toc5300"/>
      <w:bookmarkStart w:id="713" w:name="_Toc18574478"/>
      <w:bookmarkStart w:id="714" w:name="_Toc23729"/>
      <w:bookmarkStart w:id="715" w:name="_Toc12819"/>
      <w:r>
        <w:rPr>
          <w:rFonts w:hint="eastAsia" w:ascii="宋体" w:hAnsi="宋体" w:eastAsia="宋体" w:cs="宋体"/>
          <w:color w:val="000000" w:themeColor="text1"/>
          <w:szCs w:val="21"/>
        </w:rPr>
        <w:t>1.10 交通运输</w:t>
      </w:r>
      <w:bookmarkEnd w:id="708"/>
      <w:bookmarkEnd w:id="709"/>
      <w:bookmarkEnd w:id="710"/>
      <w:bookmarkEnd w:id="711"/>
      <w:bookmarkEnd w:id="712"/>
      <w:bookmarkEnd w:id="713"/>
      <w:bookmarkEnd w:id="714"/>
      <w:bookmarkEnd w:id="715"/>
    </w:p>
    <w:p w14:paraId="32F082F5">
      <w:pPr>
        <w:pStyle w:val="150"/>
        <w:spacing w:line="460" w:lineRule="atLeast"/>
        <w:ind w:firstLine="420" w:firstLineChars="200"/>
        <w:rPr>
          <w:rFonts w:hint="eastAsia" w:ascii="宋体" w:hAnsi="宋体" w:eastAsia="宋体" w:cs="宋体"/>
          <w:color w:val="000000" w:themeColor="text1"/>
          <w:szCs w:val="21"/>
        </w:rPr>
      </w:pPr>
      <w:bookmarkStart w:id="716" w:name="_Toc18574479"/>
      <w:bookmarkStart w:id="717" w:name="_Toc22588"/>
      <w:bookmarkStart w:id="718" w:name="_Toc27543"/>
      <w:bookmarkStart w:id="719" w:name="_Toc30434"/>
      <w:r>
        <w:rPr>
          <w:rFonts w:hint="eastAsia" w:ascii="宋体" w:hAnsi="宋体" w:eastAsia="宋体" w:cs="宋体"/>
          <w:color w:val="000000" w:themeColor="text1"/>
          <w:szCs w:val="21"/>
        </w:rPr>
        <w:t>1</w:t>
      </w:r>
      <w:bookmarkStart w:id="720" w:name="_Toc303539100"/>
      <w:bookmarkStart w:id="721" w:name="_Toc304295521"/>
      <w:bookmarkStart w:id="722" w:name="_Toc300934943"/>
      <w:bookmarkStart w:id="723" w:name="_Toc318581155"/>
      <w:bookmarkStart w:id="724" w:name="_Toc312677986"/>
      <w:r>
        <w:rPr>
          <w:rFonts w:hint="eastAsia" w:ascii="宋体" w:hAnsi="宋体" w:eastAsia="宋体" w:cs="宋体"/>
          <w:color w:val="000000" w:themeColor="text1"/>
          <w:szCs w:val="21"/>
        </w:rPr>
        <w:t>.10.1 出入现场的权利</w:t>
      </w:r>
      <w:bookmarkEnd w:id="716"/>
      <w:bookmarkEnd w:id="717"/>
      <w:bookmarkEnd w:id="718"/>
      <w:bookmarkEnd w:id="719"/>
    </w:p>
    <w:p w14:paraId="1D394352">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关于出入现场的权利的约定：</w:t>
      </w:r>
      <w:r>
        <w:rPr>
          <w:rFonts w:hint="eastAsia" w:ascii="宋体" w:hAnsi="宋体" w:eastAsia="宋体" w:cs="宋体"/>
          <w:color w:val="000000" w:themeColor="text1"/>
          <w:szCs w:val="21"/>
          <w:u w:val="single"/>
        </w:rPr>
        <w:t>按通用条款1.10.1执行</w:t>
      </w:r>
      <w:r>
        <w:rPr>
          <w:rFonts w:hint="eastAsia" w:ascii="宋体" w:hAnsi="宋体" w:eastAsia="宋体" w:cs="宋体"/>
          <w:color w:val="000000" w:themeColor="text1"/>
          <w:szCs w:val="21"/>
        </w:rPr>
        <w:t>。</w:t>
      </w:r>
    </w:p>
    <w:bookmarkEnd w:id="720"/>
    <w:bookmarkEnd w:id="721"/>
    <w:bookmarkEnd w:id="722"/>
    <w:bookmarkEnd w:id="723"/>
    <w:bookmarkEnd w:id="724"/>
    <w:p w14:paraId="68D8C804">
      <w:pPr>
        <w:pStyle w:val="150"/>
        <w:spacing w:line="460" w:lineRule="atLeast"/>
        <w:ind w:firstLine="420" w:firstLineChars="200"/>
        <w:jc w:val="left"/>
        <w:rPr>
          <w:rFonts w:hint="eastAsia" w:ascii="宋体" w:hAnsi="宋体" w:eastAsia="宋体" w:cs="宋体"/>
          <w:color w:val="000000" w:themeColor="text1"/>
          <w:szCs w:val="21"/>
        </w:rPr>
      </w:pPr>
      <w:bookmarkStart w:id="725" w:name="_Toc7025"/>
      <w:bookmarkStart w:id="726" w:name="_Toc18574480"/>
      <w:bookmarkStart w:id="727" w:name="_Toc22511"/>
      <w:bookmarkStart w:id="728" w:name="_Toc17363"/>
      <w:r>
        <w:rPr>
          <w:rFonts w:hint="eastAsia" w:ascii="宋体" w:hAnsi="宋体" w:eastAsia="宋体" w:cs="宋体"/>
          <w:color w:val="000000" w:themeColor="text1"/>
          <w:szCs w:val="21"/>
        </w:rPr>
        <w:t>1</w:t>
      </w:r>
      <w:bookmarkStart w:id="729" w:name="_Toc304295522"/>
      <w:bookmarkStart w:id="730" w:name="_Toc312677987"/>
      <w:bookmarkStart w:id="731" w:name="_Toc318581156"/>
      <w:bookmarkStart w:id="732" w:name="_Toc303539101"/>
      <w:bookmarkStart w:id="733" w:name="_Toc300934944"/>
      <w:r>
        <w:rPr>
          <w:rFonts w:hint="eastAsia" w:ascii="宋体" w:hAnsi="宋体" w:eastAsia="宋体" w:cs="宋体"/>
          <w:color w:val="000000" w:themeColor="text1"/>
          <w:szCs w:val="21"/>
        </w:rPr>
        <w:t>.10.3 场内交通</w:t>
      </w:r>
      <w:bookmarkEnd w:id="725"/>
      <w:bookmarkEnd w:id="726"/>
      <w:bookmarkEnd w:id="727"/>
      <w:bookmarkEnd w:id="728"/>
    </w:p>
    <w:p w14:paraId="3967A13E">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关于场外交通和场内交通的边界的约定：</w:t>
      </w:r>
      <w:r>
        <w:rPr>
          <w:rFonts w:hint="eastAsia" w:ascii="宋体" w:hAnsi="宋体" w:eastAsia="宋体" w:cs="宋体"/>
          <w:color w:val="000000" w:themeColor="text1"/>
          <w:szCs w:val="21"/>
          <w:u w:val="single"/>
        </w:rPr>
        <w:t>本项目约定工程所在地块红线范围内为场内</w:t>
      </w:r>
      <w:r>
        <w:rPr>
          <w:rFonts w:hint="eastAsia" w:ascii="宋体" w:hAnsi="宋体" w:eastAsia="宋体" w:cs="宋体"/>
          <w:color w:val="000000" w:themeColor="text1"/>
          <w:szCs w:val="21"/>
        </w:rPr>
        <w:t>。</w:t>
      </w:r>
    </w:p>
    <w:p w14:paraId="2CC9935C">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关于发包人向承包人免费提供满足工程施工需要的场内道路和交通设施的约定：</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bookmarkEnd w:id="729"/>
      <w:bookmarkEnd w:id="730"/>
      <w:bookmarkEnd w:id="731"/>
      <w:bookmarkEnd w:id="732"/>
      <w:bookmarkEnd w:id="733"/>
      <w:r>
        <w:rPr>
          <w:rFonts w:hint="eastAsia" w:ascii="宋体" w:hAnsi="宋体" w:eastAsia="宋体" w:cs="宋体"/>
          <w:color w:val="000000" w:themeColor="text1"/>
          <w:szCs w:val="21"/>
        </w:rPr>
        <w:t xml:space="preserve">  </w:t>
      </w:r>
      <w:bookmarkStart w:id="734" w:name="_Toc318581157"/>
    </w:p>
    <w:p w14:paraId="7F5B9494">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1.10.4超大件和超重件的运输</w:t>
      </w:r>
    </w:p>
    <w:p w14:paraId="5CB7EFD3">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运输超大件或超重件所需的道路和桥梁临时加固改造费用和其他有关费用由</w:t>
      </w:r>
      <w:r>
        <w:rPr>
          <w:rFonts w:hint="eastAsia" w:ascii="宋体" w:hAnsi="宋体" w:eastAsia="宋体" w:cs="宋体"/>
          <w:color w:val="000000" w:themeColor="text1"/>
          <w:szCs w:val="21"/>
          <w:u w:val="single"/>
        </w:rPr>
        <w:t xml:space="preserve">  已计价的由承包人承担，未计价的由发包人 </w:t>
      </w:r>
      <w:r>
        <w:rPr>
          <w:rFonts w:hint="eastAsia" w:ascii="宋体" w:hAnsi="宋体" w:eastAsia="宋体" w:cs="宋体"/>
          <w:color w:val="000000" w:themeColor="text1"/>
          <w:szCs w:val="21"/>
        </w:rPr>
        <w:t>承担。</w:t>
      </w:r>
    </w:p>
    <w:bookmarkEnd w:id="734"/>
    <w:p w14:paraId="131A419C">
      <w:pPr>
        <w:pStyle w:val="150"/>
        <w:spacing w:after="120" w:line="460" w:lineRule="atLeast"/>
        <w:ind w:firstLine="420" w:firstLineChars="200"/>
        <w:outlineLvl w:val="0"/>
        <w:rPr>
          <w:rFonts w:hint="eastAsia" w:ascii="宋体" w:hAnsi="宋体" w:eastAsia="宋体" w:cs="宋体"/>
          <w:color w:val="000000" w:themeColor="text1"/>
          <w:szCs w:val="21"/>
        </w:rPr>
      </w:pPr>
      <w:bookmarkStart w:id="735" w:name="_Toc30714"/>
      <w:bookmarkStart w:id="736" w:name="_Toc11969"/>
      <w:bookmarkStart w:id="737" w:name="_Toc14575"/>
      <w:bookmarkStart w:id="738" w:name="_Toc18574481"/>
      <w:bookmarkStart w:id="739" w:name="_Toc23009"/>
      <w:bookmarkStart w:id="740" w:name="_Toc29538"/>
      <w:bookmarkStart w:id="741" w:name="_Toc19898"/>
      <w:bookmarkStart w:id="742" w:name="_Toc31903"/>
      <w:r>
        <w:rPr>
          <w:rFonts w:hint="eastAsia" w:ascii="宋体" w:hAnsi="宋体" w:eastAsia="宋体" w:cs="宋体"/>
          <w:color w:val="000000" w:themeColor="text1"/>
          <w:szCs w:val="21"/>
        </w:rPr>
        <w:t>1.11 知识产权</w:t>
      </w:r>
      <w:bookmarkEnd w:id="735"/>
      <w:bookmarkEnd w:id="736"/>
      <w:bookmarkEnd w:id="737"/>
      <w:bookmarkEnd w:id="738"/>
      <w:bookmarkEnd w:id="739"/>
      <w:bookmarkEnd w:id="740"/>
      <w:bookmarkEnd w:id="741"/>
      <w:bookmarkEnd w:id="742"/>
    </w:p>
    <w:p w14:paraId="7D68777C">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Cs w:val="21"/>
          <w:u w:val="single"/>
        </w:rPr>
        <w:t xml:space="preserve">属于发包人，未经发包人同意，承包人不得提供给第三方  </w:t>
      </w:r>
      <w:r>
        <w:rPr>
          <w:rFonts w:hint="eastAsia" w:ascii="宋体" w:hAnsi="宋体" w:eastAsia="宋体" w:cs="宋体"/>
          <w:color w:val="000000" w:themeColor="text1"/>
          <w:szCs w:val="21"/>
        </w:rPr>
        <w:t>。</w:t>
      </w:r>
    </w:p>
    <w:p w14:paraId="1C9D90E3">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关于发包人提供的上述文件的使用限制的要求：</w:t>
      </w:r>
      <w:r>
        <w:rPr>
          <w:rFonts w:hint="eastAsia" w:ascii="宋体" w:hAnsi="宋体" w:eastAsia="宋体" w:cs="宋体"/>
          <w:color w:val="000000" w:themeColor="text1"/>
          <w:szCs w:val="21"/>
          <w:u w:val="single"/>
        </w:rPr>
        <w:t xml:space="preserve">  承包人可以为实现合同目的而复制、使用此类文件，但不能用于与本合同无关的其他事项，未经发包人书面同意，承包人不得为了本合同以外的目的而复制、使用上述文件或将之提供给任何第三方   </w:t>
      </w:r>
      <w:r>
        <w:rPr>
          <w:rFonts w:hint="eastAsia" w:ascii="宋体" w:hAnsi="宋体" w:eastAsia="宋体" w:cs="宋体"/>
          <w:color w:val="000000" w:themeColor="text1"/>
          <w:szCs w:val="21"/>
        </w:rPr>
        <w:t>。</w:t>
      </w:r>
    </w:p>
    <w:p w14:paraId="17E0C6A5">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1.11.2 关于承包人为实施工程所编制文件的著作权的归属：</w:t>
      </w:r>
      <w:r>
        <w:rPr>
          <w:rFonts w:hint="eastAsia" w:ascii="宋体" w:hAnsi="宋体" w:eastAsia="宋体" w:cs="宋体"/>
          <w:color w:val="000000" w:themeColor="text1"/>
          <w:szCs w:val="21"/>
          <w:u w:val="single"/>
        </w:rPr>
        <w:t xml:space="preserve"> 属于承包人，未经承包人同意，发包人不得提供给第三方</w:t>
      </w:r>
      <w:r>
        <w:rPr>
          <w:rFonts w:hint="eastAsia" w:ascii="宋体" w:hAnsi="宋体" w:eastAsia="宋体" w:cs="宋体"/>
          <w:color w:val="000000" w:themeColor="text1"/>
          <w:szCs w:val="21"/>
        </w:rPr>
        <w:t>。</w:t>
      </w:r>
    </w:p>
    <w:p w14:paraId="35805461">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关于承包人提供的上述文件的使用限制的要求：</w:t>
      </w:r>
      <w:r>
        <w:rPr>
          <w:rFonts w:hint="eastAsia" w:ascii="宋体" w:hAnsi="宋体" w:eastAsia="宋体" w:cs="宋体"/>
          <w:color w:val="000000" w:themeColor="text1"/>
          <w:szCs w:val="21"/>
          <w:u w:val="single"/>
        </w:rPr>
        <w:t xml:space="preserve">承包人可因施工工程的运行、调试、维修、改造等目的而复制、使用此类文件，但不能用于与合同无关的其他事项。未经发包人书面同意，承包人不能为了合同以外的目的而复制、使用上述文件或将之提供给任何第三方  </w:t>
      </w:r>
      <w:r>
        <w:rPr>
          <w:rFonts w:hint="eastAsia" w:ascii="宋体" w:hAnsi="宋体" w:eastAsia="宋体" w:cs="宋体"/>
          <w:color w:val="000000" w:themeColor="text1"/>
          <w:szCs w:val="21"/>
        </w:rPr>
        <w:t>。</w:t>
      </w:r>
    </w:p>
    <w:p w14:paraId="40EDF6DB">
      <w:pPr>
        <w:pStyle w:val="150"/>
        <w:spacing w:line="460" w:lineRule="atLeast"/>
        <w:ind w:firstLine="420" w:firstLineChars="200"/>
        <w:rPr>
          <w:rFonts w:hint="eastAsia" w:ascii="宋体" w:hAnsi="宋体" w:eastAsia="宋体" w:cs="宋体"/>
          <w:color w:val="000000" w:themeColor="text1"/>
          <w:kern w:val="0"/>
          <w:szCs w:val="21"/>
        </w:rPr>
      </w:pPr>
      <w:bookmarkStart w:id="743" w:name="_Toc9925"/>
      <w:bookmarkStart w:id="744" w:name="_Toc3639"/>
      <w:bookmarkStart w:id="745" w:name="_Toc18574482"/>
      <w:r>
        <w:rPr>
          <w:rFonts w:hint="eastAsia" w:ascii="宋体" w:hAnsi="宋体" w:eastAsia="宋体" w:cs="宋体"/>
          <w:color w:val="000000" w:themeColor="text1"/>
          <w:szCs w:val="21"/>
        </w:rPr>
        <w:t>1.11.4 承包人在施工过程中所采用的专利、专有技术、技术秘密的使用费的承担方式：</w:t>
      </w:r>
      <w:r>
        <w:rPr>
          <w:rFonts w:hint="eastAsia" w:ascii="宋体" w:hAnsi="宋体" w:eastAsia="宋体" w:cs="宋体"/>
          <w:color w:val="000000" w:themeColor="text1"/>
          <w:szCs w:val="21"/>
          <w:u w:val="single"/>
        </w:rPr>
        <w:t xml:space="preserve">由承包人负责  </w:t>
      </w:r>
      <w:r>
        <w:rPr>
          <w:rFonts w:hint="eastAsia" w:ascii="宋体" w:hAnsi="宋体" w:eastAsia="宋体" w:cs="宋体"/>
          <w:color w:val="000000" w:themeColor="text1"/>
          <w:kern w:val="0"/>
          <w:szCs w:val="21"/>
        </w:rPr>
        <w:t>。</w:t>
      </w:r>
      <w:bookmarkEnd w:id="743"/>
      <w:bookmarkEnd w:id="744"/>
      <w:bookmarkEnd w:id="745"/>
    </w:p>
    <w:p w14:paraId="068DFEA1">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1.13工程量清单错误的修正</w:t>
      </w:r>
    </w:p>
    <w:p w14:paraId="51FEBC45">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出现工程量清单错误时，是否调整合同价格：</w:t>
      </w:r>
      <w:r>
        <w:rPr>
          <w:rFonts w:hint="eastAsia" w:ascii="宋体" w:hAnsi="宋体" w:eastAsia="宋体" w:cs="宋体"/>
          <w:color w:val="000000" w:themeColor="text1"/>
          <w:szCs w:val="21"/>
          <w:u w:val="single"/>
        </w:rPr>
        <w:t xml:space="preserve">   是    </w:t>
      </w:r>
      <w:r>
        <w:rPr>
          <w:rFonts w:hint="eastAsia" w:ascii="宋体" w:hAnsi="宋体" w:eastAsia="宋体" w:cs="宋体"/>
          <w:color w:val="000000" w:themeColor="text1"/>
          <w:kern w:val="0"/>
          <w:szCs w:val="21"/>
        </w:rPr>
        <w:t>。</w:t>
      </w:r>
    </w:p>
    <w:p w14:paraId="0E21142F">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允许调整合同价格的工程量偏差范围：</w:t>
      </w:r>
      <w:r>
        <w:rPr>
          <w:rFonts w:hint="eastAsia" w:ascii="宋体" w:hAnsi="宋体" w:eastAsia="宋体" w:cs="宋体"/>
          <w:color w:val="000000" w:themeColor="text1"/>
          <w:szCs w:val="21"/>
          <w:u w:val="single"/>
        </w:rPr>
        <w:t xml:space="preserve">按GB50500-2013计价规范执行 </w:t>
      </w:r>
      <w:r>
        <w:rPr>
          <w:rFonts w:hint="eastAsia" w:ascii="宋体" w:hAnsi="宋体" w:eastAsia="宋体" w:cs="宋体"/>
          <w:color w:val="000000" w:themeColor="text1"/>
          <w:kern w:val="0"/>
          <w:szCs w:val="21"/>
        </w:rPr>
        <w:t>。</w:t>
      </w:r>
    </w:p>
    <w:p w14:paraId="287383D8">
      <w:pPr>
        <w:pStyle w:val="165"/>
        <w:spacing w:before="120" w:after="120" w:line="460" w:lineRule="atLeast"/>
        <w:rPr>
          <w:rFonts w:hint="eastAsia" w:ascii="宋体" w:hAnsi="宋体" w:eastAsia="宋体" w:cs="宋体"/>
          <w:b w:val="0"/>
          <w:color w:val="000000" w:themeColor="text1"/>
          <w:sz w:val="21"/>
          <w:szCs w:val="21"/>
        </w:rPr>
      </w:pPr>
      <w:bookmarkStart w:id="746" w:name="_Toc26007"/>
      <w:bookmarkStart w:id="747" w:name="_Toc30422"/>
      <w:bookmarkStart w:id="748" w:name="_Toc21268"/>
      <w:bookmarkStart w:id="749" w:name="_Toc3884"/>
      <w:bookmarkStart w:id="750" w:name="_Toc32569"/>
      <w:bookmarkStart w:id="751" w:name="_Toc351203634"/>
      <w:bookmarkStart w:id="752" w:name="_Toc7478"/>
      <w:bookmarkStart w:id="753" w:name="_Toc10507"/>
      <w:r>
        <w:rPr>
          <w:rFonts w:hint="eastAsia" w:ascii="宋体" w:hAnsi="宋体" w:eastAsia="宋体" w:cs="宋体"/>
          <w:b w:val="0"/>
          <w:color w:val="000000" w:themeColor="text1"/>
          <w:sz w:val="21"/>
          <w:szCs w:val="21"/>
        </w:rPr>
        <w:t>2</w:t>
      </w:r>
      <w:bookmarkStart w:id="754" w:name="_Toc296890985"/>
      <w:bookmarkStart w:id="755" w:name="_Toc296503157"/>
      <w:bookmarkStart w:id="756" w:name="_Toc292559867"/>
      <w:bookmarkStart w:id="757" w:name="_Toc296944496"/>
      <w:bookmarkStart w:id="758" w:name="_Toc297048343"/>
      <w:bookmarkStart w:id="759" w:name="_Toc297120457"/>
      <w:bookmarkStart w:id="760" w:name="_Toc296891197"/>
      <w:bookmarkStart w:id="761" w:name="_Toc292559362"/>
      <w:bookmarkStart w:id="762" w:name="_Toc296347156"/>
      <w:bookmarkStart w:id="763" w:name="_Toc296346658"/>
      <w:r>
        <w:rPr>
          <w:rFonts w:hint="eastAsia" w:ascii="宋体" w:hAnsi="宋体" w:eastAsia="宋体" w:cs="宋体"/>
          <w:b w:val="0"/>
          <w:color w:val="000000" w:themeColor="text1"/>
          <w:sz w:val="21"/>
          <w:szCs w:val="21"/>
        </w:rPr>
        <w:t>. 发包人</w:t>
      </w:r>
      <w:bookmarkEnd w:id="746"/>
      <w:bookmarkEnd w:id="747"/>
      <w:bookmarkEnd w:id="748"/>
      <w:bookmarkEnd w:id="749"/>
      <w:bookmarkEnd w:id="750"/>
      <w:bookmarkEnd w:id="751"/>
      <w:bookmarkEnd w:id="752"/>
      <w:bookmarkEnd w:id="753"/>
    </w:p>
    <w:bookmarkEnd w:id="754"/>
    <w:bookmarkEnd w:id="755"/>
    <w:bookmarkEnd w:id="756"/>
    <w:bookmarkEnd w:id="757"/>
    <w:bookmarkEnd w:id="758"/>
    <w:bookmarkEnd w:id="759"/>
    <w:bookmarkEnd w:id="760"/>
    <w:bookmarkEnd w:id="761"/>
    <w:bookmarkEnd w:id="762"/>
    <w:bookmarkEnd w:id="763"/>
    <w:p w14:paraId="7E84CC20">
      <w:pPr>
        <w:pStyle w:val="150"/>
        <w:spacing w:after="120" w:line="460" w:lineRule="atLeast"/>
        <w:ind w:firstLine="420" w:firstLineChars="200"/>
        <w:outlineLvl w:val="0"/>
        <w:rPr>
          <w:rFonts w:hint="eastAsia" w:ascii="宋体" w:hAnsi="宋体" w:eastAsia="宋体" w:cs="宋体"/>
          <w:color w:val="000000" w:themeColor="text1"/>
          <w:szCs w:val="21"/>
        </w:rPr>
      </w:pPr>
      <w:bookmarkStart w:id="764" w:name="_Toc13619"/>
      <w:bookmarkStart w:id="765" w:name="_Toc7180"/>
      <w:bookmarkStart w:id="766" w:name="_Toc10497"/>
      <w:bookmarkStart w:id="767" w:name="_Toc14945"/>
      <w:bookmarkStart w:id="768" w:name="_Toc30368"/>
      <w:bookmarkStart w:id="769" w:name="_Toc29787"/>
      <w:bookmarkStart w:id="770" w:name="_Toc18574483"/>
      <w:bookmarkStart w:id="771" w:name="_Toc3180"/>
      <w:r>
        <w:rPr>
          <w:rFonts w:hint="eastAsia" w:ascii="宋体" w:hAnsi="宋体" w:eastAsia="宋体" w:cs="宋体"/>
          <w:color w:val="000000" w:themeColor="text1"/>
          <w:szCs w:val="21"/>
        </w:rPr>
        <w:t>2.2 发包人代表</w:t>
      </w:r>
      <w:bookmarkEnd w:id="764"/>
      <w:bookmarkEnd w:id="765"/>
      <w:bookmarkEnd w:id="766"/>
      <w:bookmarkEnd w:id="767"/>
      <w:bookmarkEnd w:id="768"/>
      <w:bookmarkEnd w:id="769"/>
      <w:bookmarkEnd w:id="770"/>
      <w:bookmarkEnd w:id="771"/>
    </w:p>
    <w:p w14:paraId="7E8B0249">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发包人代表：</w:t>
      </w:r>
    </w:p>
    <w:p w14:paraId="5215BF71">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姓    名：</w:t>
      </w: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5450D924">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身份证号：</w:t>
      </w: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12CC71B7">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职    务：</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3150F038">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联系电话：</w:t>
      </w:r>
      <w:r>
        <w:rPr>
          <w:rFonts w:hint="eastAsia" w:ascii="宋体" w:hAnsi="宋体" w:eastAsia="宋体" w:cs="宋体"/>
          <w:color w:val="000000" w:themeColor="text1"/>
          <w:szCs w:val="21"/>
          <w:u w:val="single"/>
        </w:rPr>
        <w:t>     </w:t>
      </w:r>
      <w:r>
        <w:rPr>
          <w:rFonts w:hint="eastAsia" w:ascii="宋体" w:hAnsi="宋体" w:eastAsia="宋体" w:cs="宋体"/>
          <w:color w:val="000000" w:themeColor="text1"/>
          <w:szCs w:val="21"/>
        </w:rPr>
        <w:t>；</w:t>
      </w:r>
    </w:p>
    <w:p w14:paraId="7C8C38A3">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电子信箱：</w:t>
      </w:r>
      <w:r>
        <w:rPr>
          <w:rFonts w:hint="eastAsia" w:ascii="宋体" w:hAnsi="宋体" w:eastAsia="宋体" w:cs="宋体"/>
          <w:color w:val="000000" w:themeColor="text1"/>
          <w:szCs w:val="21"/>
          <w:u w:val="single"/>
        </w:rPr>
        <w:t>     </w:t>
      </w:r>
      <w:r>
        <w:rPr>
          <w:rFonts w:hint="eastAsia" w:ascii="宋体" w:hAnsi="宋体" w:eastAsia="宋体" w:cs="宋体"/>
          <w:color w:val="000000" w:themeColor="text1"/>
          <w:szCs w:val="21"/>
        </w:rPr>
        <w:t>；</w:t>
      </w:r>
    </w:p>
    <w:p w14:paraId="0A4C7AC5">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通信地址：</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2AF731A0">
      <w:pPr>
        <w:pStyle w:val="150"/>
        <w:spacing w:line="460" w:lineRule="atLeast"/>
        <w:rPr>
          <w:rFonts w:hint="eastAsia" w:ascii="宋体" w:hAnsi="宋体" w:eastAsia="宋体" w:cs="宋体"/>
          <w:b/>
          <w:color w:val="000000" w:themeColor="text1"/>
          <w:szCs w:val="21"/>
        </w:rPr>
      </w:pPr>
      <w:r>
        <w:rPr>
          <w:rFonts w:hint="eastAsia" w:ascii="宋体" w:hAnsi="宋体" w:eastAsia="宋体" w:cs="宋体"/>
          <w:color w:val="000000" w:themeColor="text1"/>
          <w:szCs w:val="21"/>
        </w:rPr>
        <w:t>发包人对发包人代表的授权范围如下：</w:t>
      </w:r>
      <w:r>
        <w:rPr>
          <w:rFonts w:hint="eastAsia" w:ascii="宋体" w:hAnsi="宋体" w:eastAsia="宋体" w:cs="宋体"/>
          <w:color w:val="000000" w:themeColor="text1"/>
          <w:szCs w:val="21"/>
          <w:u w:val="single"/>
        </w:rPr>
        <w:t xml:space="preserve">在施工过程中，监督工程施工质量，负责工地现场的安全管理并代表发包人签署与此相关的文件  </w:t>
      </w:r>
      <w:r>
        <w:rPr>
          <w:rFonts w:hint="eastAsia" w:ascii="宋体" w:hAnsi="宋体" w:eastAsia="宋体" w:cs="宋体"/>
          <w:color w:val="000000" w:themeColor="text1"/>
          <w:szCs w:val="21"/>
        </w:rPr>
        <w:t>。</w:t>
      </w:r>
    </w:p>
    <w:p w14:paraId="61D47D7F">
      <w:pPr>
        <w:pStyle w:val="150"/>
        <w:spacing w:after="120" w:line="460" w:lineRule="atLeast"/>
        <w:ind w:firstLine="420" w:firstLineChars="200"/>
        <w:outlineLvl w:val="0"/>
        <w:rPr>
          <w:rFonts w:hint="eastAsia" w:ascii="宋体" w:hAnsi="宋体" w:eastAsia="宋体" w:cs="宋体"/>
          <w:color w:val="000000" w:themeColor="text1"/>
          <w:szCs w:val="21"/>
        </w:rPr>
      </w:pPr>
      <w:bookmarkStart w:id="772" w:name="_Toc18043"/>
      <w:bookmarkStart w:id="773" w:name="_Toc18574484"/>
      <w:bookmarkStart w:id="774" w:name="_Toc8931"/>
      <w:bookmarkStart w:id="775" w:name="_Toc6528"/>
      <w:bookmarkStart w:id="776" w:name="_Toc23359"/>
      <w:bookmarkStart w:id="777" w:name="_Toc6775"/>
      <w:bookmarkStart w:id="778" w:name="_Toc29579"/>
      <w:bookmarkStart w:id="779" w:name="_Toc15567"/>
      <w:r>
        <w:rPr>
          <w:rFonts w:hint="eastAsia" w:ascii="宋体" w:hAnsi="宋体" w:eastAsia="宋体" w:cs="宋体"/>
          <w:color w:val="000000" w:themeColor="text1"/>
          <w:szCs w:val="21"/>
        </w:rPr>
        <w:t>2.4 施工现场、施工条件和基础资料的提供</w:t>
      </w:r>
      <w:bookmarkEnd w:id="772"/>
      <w:bookmarkEnd w:id="773"/>
      <w:bookmarkEnd w:id="774"/>
      <w:bookmarkEnd w:id="775"/>
      <w:bookmarkEnd w:id="776"/>
      <w:bookmarkEnd w:id="777"/>
      <w:bookmarkEnd w:id="778"/>
      <w:bookmarkEnd w:id="779"/>
    </w:p>
    <w:p w14:paraId="5DEBEC9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2.4.1 提供施工现场</w:t>
      </w:r>
    </w:p>
    <w:p w14:paraId="0A8E2966">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关于发包人移交施工现场的期限要求：</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28838FC5">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2.4.2 提供施工条件</w:t>
      </w:r>
    </w:p>
    <w:p w14:paraId="44AB6DD6">
      <w:pPr>
        <w:pStyle w:val="150"/>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关于发包人应负责提供施工所需要的条件，包括：</w:t>
      </w:r>
      <w:r>
        <w:rPr>
          <w:rFonts w:hint="eastAsia" w:ascii="宋体" w:hAnsi="宋体" w:eastAsia="宋体" w:cs="宋体"/>
          <w:color w:val="000000" w:themeColor="text1"/>
          <w:szCs w:val="21"/>
          <w:u w:val="single"/>
        </w:rPr>
        <w:t xml:space="preserve"> 在施工过程中，监督工程施工质量，负责工地现场的安全管理并代表发包人签署与此相关的文件  </w:t>
      </w:r>
      <w:r>
        <w:rPr>
          <w:rFonts w:hint="eastAsia" w:ascii="宋体" w:hAnsi="宋体" w:eastAsia="宋体" w:cs="宋体"/>
          <w:color w:val="000000" w:themeColor="text1"/>
          <w:szCs w:val="21"/>
        </w:rPr>
        <w:t>。</w:t>
      </w:r>
    </w:p>
    <w:p w14:paraId="5E3EE1A8">
      <w:pPr>
        <w:pStyle w:val="150"/>
        <w:spacing w:after="120" w:line="460" w:lineRule="atLeast"/>
        <w:ind w:firstLine="420" w:firstLineChars="200"/>
        <w:outlineLvl w:val="0"/>
        <w:rPr>
          <w:rFonts w:hint="eastAsia" w:ascii="宋体" w:hAnsi="宋体" w:eastAsia="宋体" w:cs="宋体"/>
          <w:color w:val="000000" w:themeColor="text1"/>
          <w:szCs w:val="21"/>
        </w:rPr>
      </w:pPr>
      <w:bookmarkStart w:id="780" w:name="_Toc1695"/>
      <w:bookmarkStart w:id="781" w:name="_Toc14016"/>
      <w:bookmarkStart w:id="782" w:name="_Toc18574485"/>
      <w:bookmarkStart w:id="783" w:name="_Toc31667"/>
      <w:bookmarkStart w:id="784" w:name="_Toc9631"/>
      <w:bookmarkStart w:id="785" w:name="_Toc30203"/>
      <w:bookmarkStart w:id="786" w:name="_Toc28193"/>
      <w:bookmarkStart w:id="787" w:name="_Toc17387"/>
      <w:r>
        <w:rPr>
          <w:rFonts w:hint="eastAsia" w:ascii="宋体" w:hAnsi="宋体" w:eastAsia="宋体" w:cs="宋体"/>
          <w:color w:val="000000" w:themeColor="text1"/>
          <w:szCs w:val="21"/>
        </w:rPr>
        <w:t>2.5 资金来源证明及支付担保</w:t>
      </w:r>
      <w:bookmarkEnd w:id="780"/>
      <w:bookmarkEnd w:id="781"/>
      <w:bookmarkEnd w:id="782"/>
      <w:bookmarkEnd w:id="783"/>
      <w:bookmarkEnd w:id="784"/>
      <w:bookmarkEnd w:id="785"/>
      <w:bookmarkEnd w:id="786"/>
      <w:bookmarkEnd w:id="787"/>
    </w:p>
    <w:p w14:paraId="4FA9BE65">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发包人提供资金来源证明的期限要求：</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19DA5D3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发包人是否提供支付担保：</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59E81E7B">
      <w:pPr>
        <w:pStyle w:val="150"/>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发包人提供支付担保的形式：</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p w14:paraId="2D6E9C00">
      <w:pPr>
        <w:pStyle w:val="165"/>
        <w:spacing w:before="120" w:after="120" w:line="460" w:lineRule="atLeast"/>
        <w:rPr>
          <w:rFonts w:hint="eastAsia" w:ascii="宋体" w:hAnsi="宋体" w:eastAsia="宋体" w:cs="宋体"/>
          <w:b w:val="0"/>
          <w:color w:val="000000" w:themeColor="text1"/>
          <w:sz w:val="21"/>
          <w:szCs w:val="21"/>
        </w:rPr>
      </w:pPr>
      <w:bookmarkStart w:id="788" w:name="_Toc17409"/>
      <w:bookmarkStart w:id="789" w:name="_Toc12597"/>
      <w:bookmarkStart w:id="790" w:name="_Toc22909"/>
      <w:bookmarkStart w:id="791" w:name="_Toc1874"/>
      <w:bookmarkStart w:id="792" w:name="_Toc6293"/>
      <w:bookmarkStart w:id="793" w:name="_Toc13598"/>
      <w:bookmarkStart w:id="794" w:name="_Toc351203635"/>
      <w:r>
        <w:rPr>
          <w:rFonts w:hint="eastAsia" w:ascii="宋体" w:hAnsi="宋体" w:eastAsia="宋体" w:cs="宋体"/>
          <w:b w:val="0"/>
          <w:color w:val="000000" w:themeColor="text1"/>
          <w:sz w:val="21"/>
          <w:szCs w:val="21"/>
        </w:rPr>
        <w:t>3</w:t>
      </w:r>
      <w:bookmarkStart w:id="795" w:name="_Toc296347157"/>
      <w:bookmarkStart w:id="796" w:name="_Toc296346659"/>
      <w:bookmarkStart w:id="797" w:name="_Toc296890986"/>
      <w:bookmarkStart w:id="798" w:name="_Toc292559868"/>
      <w:bookmarkStart w:id="799" w:name="_Toc297120458"/>
      <w:bookmarkStart w:id="800" w:name="_Toc296891198"/>
      <w:bookmarkStart w:id="801" w:name="_Toc297048344"/>
      <w:bookmarkStart w:id="802" w:name="_Toc296944497"/>
      <w:bookmarkStart w:id="803" w:name="_Toc292559363"/>
      <w:bookmarkStart w:id="804" w:name="_Toc296503158"/>
      <w:r>
        <w:rPr>
          <w:rFonts w:hint="eastAsia" w:ascii="宋体" w:hAnsi="宋体" w:eastAsia="宋体" w:cs="宋体"/>
          <w:b w:val="0"/>
          <w:color w:val="000000" w:themeColor="text1"/>
          <w:sz w:val="21"/>
          <w:szCs w:val="21"/>
        </w:rPr>
        <w:t>. 承包人</w:t>
      </w:r>
      <w:bookmarkEnd w:id="788"/>
      <w:bookmarkEnd w:id="789"/>
      <w:bookmarkEnd w:id="790"/>
      <w:bookmarkEnd w:id="791"/>
      <w:bookmarkEnd w:id="792"/>
      <w:bookmarkEnd w:id="793"/>
      <w:bookmarkEnd w:id="794"/>
    </w:p>
    <w:bookmarkEnd w:id="795"/>
    <w:bookmarkEnd w:id="796"/>
    <w:bookmarkEnd w:id="797"/>
    <w:bookmarkEnd w:id="798"/>
    <w:bookmarkEnd w:id="799"/>
    <w:bookmarkEnd w:id="800"/>
    <w:bookmarkEnd w:id="801"/>
    <w:bookmarkEnd w:id="802"/>
    <w:bookmarkEnd w:id="803"/>
    <w:bookmarkEnd w:id="804"/>
    <w:p w14:paraId="0C929649">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3.1 承包人的一般义务</w:t>
      </w:r>
    </w:p>
    <w:p w14:paraId="69D7E88F">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（9）</w:t>
      </w:r>
      <w:r>
        <w:rPr>
          <w:rFonts w:hint="eastAsia" w:ascii="宋体" w:hAnsi="宋体" w:eastAsia="宋体" w:cs="宋体"/>
          <w:color w:val="000000" w:themeColor="text1"/>
          <w:szCs w:val="21"/>
        </w:rPr>
        <w:t>承包人提交的竣工资料的内容：</w:t>
      </w:r>
      <w:r>
        <w:rPr>
          <w:rFonts w:hint="eastAsia" w:ascii="宋体" w:hAnsi="宋体" w:eastAsia="宋体" w:cs="宋体"/>
          <w:color w:val="000000" w:themeColor="text1"/>
          <w:szCs w:val="21"/>
          <w:u w:val="single"/>
        </w:rPr>
        <w:t xml:space="preserve"> 承包人按工程竣工验收规范有关规定，向发包人提交竣工资料及竣工验收报告 ，施工过程图片和电子文档 </w:t>
      </w:r>
      <w:r>
        <w:rPr>
          <w:rFonts w:hint="eastAsia" w:ascii="宋体" w:hAnsi="宋体" w:eastAsia="宋体" w:cs="宋体"/>
          <w:color w:val="000000" w:themeColor="text1"/>
          <w:szCs w:val="21"/>
        </w:rPr>
        <w:t>。</w:t>
      </w:r>
    </w:p>
    <w:p w14:paraId="706A674B">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承包人需要提交的竣工资料套数：</w:t>
      </w:r>
      <w:r>
        <w:rPr>
          <w:rFonts w:hint="eastAsia" w:ascii="宋体" w:hAnsi="宋体" w:eastAsia="宋体" w:cs="宋体"/>
          <w:color w:val="000000" w:themeColor="text1"/>
          <w:szCs w:val="21"/>
          <w:u w:val="single"/>
        </w:rPr>
        <w:t xml:space="preserve">  陆 套   </w:t>
      </w:r>
      <w:r>
        <w:rPr>
          <w:rFonts w:hint="eastAsia" w:ascii="宋体" w:hAnsi="宋体" w:eastAsia="宋体" w:cs="宋体"/>
          <w:color w:val="000000" w:themeColor="text1"/>
          <w:szCs w:val="21"/>
        </w:rPr>
        <w:t>。</w:t>
      </w:r>
    </w:p>
    <w:p w14:paraId="6F33FE2D">
      <w:pPr>
        <w:pStyle w:val="174"/>
        <w:spacing w:line="460" w:lineRule="atLeast"/>
        <w:ind w:left="638" w:leftChars="304"/>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承包人提交的竣工资料的费用承担：</w:t>
      </w:r>
      <w:r>
        <w:rPr>
          <w:rFonts w:hint="eastAsia" w:ascii="宋体" w:hAnsi="宋体" w:eastAsia="宋体" w:cs="宋体"/>
          <w:color w:val="000000" w:themeColor="text1"/>
          <w:szCs w:val="21"/>
          <w:u w:val="single"/>
        </w:rPr>
        <w:t xml:space="preserve">  由承包人承担  </w:t>
      </w:r>
      <w:r>
        <w:rPr>
          <w:rFonts w:hint="eastAsia" w:ascii="宋体" w:hAnsi="宋体" w:eastAsia="宋体" w:cs="宋体"/>
          <w:color w:val="000000" w:themeColor="text1"/>
          <w:szCs w:val="21"/>
        </w:rPr>
        <w:t>。</w:t>
      </w:r>
    </w:p>
    <w:p w14:paraId="7D8A5912">
      <w:pPr>
        <w:pStyle w:val="174"/>
        <w:spacing w:line="460" w:lineRule="atLeast"/>
        <w:ind w:left="638" w:leftChars="304"/>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承包人提交的竣工资料移交时间：</w:t>
      </w:r>
      <w:r>
        <w:rPr>
          <w:rFonts w:hint="eastAsia" w:ascii="宋体" w:hAnsi="宋体" w:eastAsia="宋体" w:cs="宋体"/>
          <w:color w:val="000000" w:themeColor="text1"/>
          <w:szCs w:val="21"/>
          <w:u w:val="single"/>
        </w:rPr>
        <w:t xml:space="preserve">  竣工验收15日前  </w:t>
      </w:r>
      <w:r>
        <w:rPr>
          <w:rFonts w:hint="eastAsia" w:ascii="宋体" w:hAnsi="宋体" w:eastAsia="宋体" w:cs="宋体"/>
          <w:color w:val="000000" w:themeColor="text1"/>
          <w:szCs w:val="21"/>
        </w:rPr>
        <w:t>。</w:t>
      </w:r>
    </w:p>
    <w:p w14:paraId="4432CCBD">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承包人提交的竣工资料形式要求：</w:t>
      </w:r>
      <w:r>
        <w:rPr>
          <w:rFonts w:hint="eastAsia" w:ascii="宋体" w:hAnsi="宋体" w:eastAsia="宋体" w:cs="宋体"/>
          <w:color w:val="000000" w:themeColor="text1"/>
          <w:szCs w:val="21"/>
          <w:u w:val="single"/>
        </w:rPr>
        <w:t xml:space="preserve"> 纸质材料  </w:t>
      </w:r>
      <w:r>
        <w:rPr>
          <w:rFonts w:hint="eastAsia" w:ascii="宋体" w:hAnsi="宋体" w:eastAsia="宋体" w:cs="宋体"/>
          <w:color w:val="000000" w:themeColor="text1"/>
          <w:szCs w:val="21"/>
        </w:rPr>
        <w:t>。</w:t>
      </w:r>
    </w:p>
    <w:p w14:paraId="224B31B8">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（10）承包人应履行的其他义务：</w:t>
      </w:r>
      <w:r>
        <w:rPr>
          <w:rFonts w:hint="eastAsia" w:ascii="宋体" w:hAnsi="宋体" w:eastAsia="宋体" w:cs="宋体"/>
          <w:color w:val="000000" w:themeColor="text1"/>
          <w:szCs w:val="21"/>
          <w:u w:val="single"/>
        </w:rPr>
        <w:t xml:space="preserve">承包人应负责提供完成合同工作所需的劳务、材料、施工设备、工程设备和其他物品，并按合同约定负责临时设施的设计、建造、运行、维护、管理和拆除  </w:t>
      </w:r>
      <w:r>
        <w:rPr>
          <w:rFonts w:hint="eastAsia" w:ascii="宋体" w:hAnsi="宋体" w:eastAsia="宋体" w:cs="宋体"/>
          <w:color w:val="000000" w:themeColor="text1"/>
          <w:szCs w:val="21"/>
        </w:rPr>
        <w:t>。</w:t>
      </w:r>
    </w:p>
    <w:p w14:paraId="2102D118">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3.2 项目经理</w:t>
      </w:r>
    </w:p>
    <w:p w14:paraId="00D7372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 xml:space="preserve">3.2.1 </w:t>
      </w:r>
      <w:r>
        <w:rPr>
          <w:rFonts w:hint="eastAsia" w:ascii="宋体" w:hAnsi="宋体" w:eastAsia="宋体" w:cs="宋体"/>
          <w:color w:val="000000" w:themeColor="text1"/>
          <w:szCs w:val="21"/>
        </w:rPr>
        <w:t>项目经理：</w:t>
      </w:r>
    </w:p>
    <w:p w14:paraId="574D16A3">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姓    名：</w:t>
      </w: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41D477EA">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身份证号：</w:t>
      </w: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3D11985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建造师执业资格等级：</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0A5EB90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建造师注册证书号：</w:t>
      </w:r>
      <w:r>
        <w:rPr>
          <w:rFonts w:hint="eastAsia" w:ascii="宋体" w:hAnsi="宋体" w:eastAsia="宋体" w:cs="宋体"/>
          <w:color w:val="000000" w:themeColor="text1"/>
          <w:szCs w:val="21"/>
          <w:u w:val="single"/>
        </w:rPr>
        <w:t> </w:t>
      </w:r>
      <w:r>
        <w:rPr>
          <w:rFonts w:hint="eastAsia" w:ascii="宋体" w:hAnsi="宋体" w:eastAsia="宋体" w:cs="宋体"/>
          <w:color w:val="000000" w:themeColor="text1"/>
          <w:szCs w:val="21"/>
        </w:rPr>
        <w:t>；</w:t>
      </w:r>
    </w:p>
    <w:p w14:paraId="6BC81FA0">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建造师执业印章号：</w:t>
      </w:r>
      <w:r>
        <w:rPr>
          <w:rFonts w:hint="eastAsia" w:ascii="宋体" w:hAnsi="宋体" w:eastAsia="宋体" w:cs="宋体"/>
          <w:color w:val="000000" w:themeColor="text1"/>
          <w:szCs w:val="21"/>
          <w:u w:val="single"/>
        </w:rPr>
        <w:t> </w:t>
      </w:r>
      <w:r>
        <w:rPr>
          <w:rFonts w:hint="eastAsia" w:ascii="宋体" w:hAnsi="宋体" w:eastAsia="宋体" w:cs="宋体"/>
          <w:color w:val="000000" w:themeColor="text1"/>
          <w:szCs w:val="21"/>
        </w:rPr>
        <w:t>；</w:t>
      </w:r>
    </w:p>
    <w:p w14:paraId="7A53FBA2">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安全生产考核合格证书号：</w:t>
      </w:r>
      <w:r>
        <w:rPr>
          <w:rFonts w:hint="eastAsia" w:ascii="宋体" w:hAnsi="宋体" w:eastAsia="宋体" w:cs="宋体"/>
          <w:color w:val="000000" w:themeColor="text1"/>
          <w:szCs w:val="21"/>
          <w:u w:val="single"/>
        </w:rPr>
        <w:t> </w:t>
      </w:r>
      <w:r>
        <w:rPr>
          <w:rFonts w:hint="eastAsia" w:ascii="宋体" w:hAnsi="宋体" w:eastAsia="宋体" w:cs="宋体"/>
          <w:color w:val="000000" w:themeColor="text1"/>
          <w:szCs w:val="21"/>
        </w:rPr>
        <w:t>；</w:t>
      </w:r>
    </w:p>
    <w:p w14:paraId="21D36943">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联系电话：</w:t>
      </w:r>
      <w:r>
        <w:rPr>
          <w:rFonts w:hint="eastAsia" w:ascii="宋体" w:hAnsi="宋体" w:eastAsia="宋体" w:cs="宋体"/>
          <w:color w:val="000000" w:themeColor="text1"/>
          <w:szCs w:val="21"/>
          <w:u w:val="single"/>
        </w:rPr>
        <w:t>         </w:t>
      </w:r>
      <w:r>
        <w:rPr>
          <w:rFonts w:hint="eastAsia" w:ascii="宋体" w:hAnsi="宋体" w:eastAsia="宋体" w:cs="宋体"/>
          <w:color w:val="000000" w:themeColor="text1"/>
          <w:szCs w:val="21"/>
        </w:rPr>
        <w:t>；</w:t>
      </w:r>
    </w:p>
    <w:p w14:paraId="60ABED3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电子信箱：</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1F79F97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通信地址：</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6C69B1BA">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承包人对项目经理的授权范围如下：</w:t>
      </w:r>
      <w:r>
        <w:rPr>
          <w:rFonts w:hint="eastAsia" w:ascii="宋体" w:hAnsi="宋体" w:eastAsia="宋体" w:cs="宋体"/>
          <w:color w:val="000000" w:themeColor="text1"/>
          <w:szCs w:val="21"/>
          <w:u w:val="single"/>
        </w:rPr>
        <w:t xml:space="preserve">授权其负责项目的工期、质量、安全、成本、人力物资的合法管理。授权范围排除下列事项：合同的修改与变更；签订合同的补充协议；重大施工技术方案的变更  </w:t>
      </w:r>
      <w:r>
        <w:rPr>
          <w:rFonts w:hint="eastAsia" w:ascii="宋体" w:hAnsi="宋体" w:eastAsia="宋体" w:cs="宋体"/>
          <w:color w:val="000000" w:themeColor="text1"/>
          <w:szCs w:val="21"/>
        </w:rPr>
        <w:t>。</w:t>
      </w:r>
    </w:p>
    <w:p w14:paraId="1D757DF9">
      <w:pPr>
        <w:pStyle w:val="174"/>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关于项目经理每月在施工现场的时间要求：</w:t>
      </w:r>
      <w:r>
        <w:rPr>
          <w:rFonts w:hint="eastAsia" w:ascii="宋体" w:hAnsi="宋体" w:eastAsia="宋体" w:cs="宋体"/>
          <w:color w:val="000000" w:themeColor="text1"/>
          <w:szCs w:val="21"/>
          <w:u w:val="single"/>
        </w:rPr>
        <w:t>项目经理及项目技术负责人每个月在工地现场工作时间不得低于20天/每人，驻现场日期核准按每日签到制 </w:t>
      </w:r>
      <w:r>
        <w:rPr>
          <w:rFonts w:hint="eastAsia" w:ascii="宋体" w:hAnsi="宋体" w:eastAsia="宋体" w:cs="宋体"/>
          <w:color w:val="000000" w:themeColor="text1"/>
          <w:szCs w:val="21"/>
        </w:rPr>
        <w:t>。</w:t>
      </w:r>
    </w:p>
    <w:p w14:paraId="7ADD5116">
      <w:pPr>
        <w:pStyle w:val="150"/>
        <w:spacing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承包人未提交劳动合同，以及没有为项目经理缴纳社会保险证明的违约责任：</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6C19878D">
      <w:pPr>
        <w:pStyle w:val="149"/>
        <w:spacing w:line="460" w:lineRule="atLeast"/>
        <w:rPr>
          <w:rFonts w:hint="eastAsia" w:ascii="宋体" w:hAnsi="宋体" w:eastAsia="宋体" w:cs="宋体"/>
          <w:color w:val="000000" w:themeColor="text1"/>
        </w:rPr>
      </w:pPr>
      <w:r>
        <w:rPr>
          <w:rFonts w:hint="eastAsia" w:ascii="宋体" w:hAnsi="宋体" w:eastAsia="宋体" w:cs="宋体"/>
          <w:color w:val="000000" w:themeColor="text1"/>
          <w:kern w:val="0"/>
        </w:rPr>
        <w:t>项目经理未经批准，擅自离开施工现场的违约责任：</w:t>
      </w:r>
      <w:r>
        <w:rPr>
          <w:rFonts w:hint="eastAsia" w:ascii="宋体" w:hAnsi="宋体" w:eastAsia="宋体" w:cs="宋体"/>
          <w:color w:val="000000" w:themeColor="text1"/>
          <w:u w:val="single"/>
        </w:rPr>
        <w:t>项目经理每月在岗带班时间不得少于当月施工时间的80%。未经发包人同意或正当理由，项目经理每月在岗带班时间少于当月施工时间80%的，少在岗带班一天，发包人有权处违约金1000元/日（人民币）</w:t>
      </w:r>
      <w:r>
        <w:rPr>
          <w:rFonts w:hint="eastAsia" w:ascii="宋体" w:hAnsi="宋体" w:eastAsia="宋体" w:cs="宋体"/>
          <w:color w:val="000000" w:themeColor="text1"/>
        </w:rPr>
        <w:t>。</w:t>
      </w:r>
    </w:p>
    <w:p w14:paraId="484F249B">
      <w:pPr>
        <w:pStyle w:val="149"/>
        <w:spacing w:line="460" w:lineRule="atLeast"/>
        <w:rPr>
          <w:rFonts w:hint="eastAsia" w:ascii="宋体" w:hAnsi="宋体" w:eastAsia="宋体" w:cs="宋体"/>
          <w:color w:val="000000" w:themeColor="text1"/>
        </w:rPr>
      </w:pPr>
      <w:r>
        <w:rPr>
          <w:rFonts w:hint="eastAsia" w:ascii="宋体" w:hAnsi="宋体" w:eastAsia="宋体" w:cs="宋体"/>
          <w:color w:val="000000" w:themeColor="text1"/>
        </w:rPr>
        <w:t>3.2.3 承包人擅自更换项目经理的违约责任：</w:t>
      </w:r>
      <w:r>
        <w:rPr>
          <w:rFonts w:hint="eastAsia" w:ascii="宋体" w:hAnsi="宋体" w:eastAsia="宋体" w:cs="宋体"/>
          <w:color w:val="000000" w:themeColor="text1"/>
          <w:u w:val="single"/>
        </w:rPr>
        <w:t xml:space="preserve">  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元/人•次（人民币）</w:t>
      </w:r>
      <w:r>
        <w:rPr>
          <w:rFonts w:hint="eastAsia" w:ascii="宋体" w:hAnsi="宋体" w:eastAsia="宋体" w:cs="宋体"/>
          <w:color w:val="000000" w:themeColor="text1"/>
        </w:rPr>
        <w:t>。</w:t>
      </w:r>
    </w:p>
    <w:p w14:paraId="55A1E591">
      <w:pPr>
        <w:pStyle w:val="149"/>
        <w:spacing w:line="460" w:lineRule="atLeast"/>
        <w:rPr>
          <w:rFonts w:hint="eastAsia" w:ascii="宋体" w:hAnsi="宋体" w:eastAsia="宋体" w:cs="宋体"/>
          <w:color w:val="000000" w:themeColor="text1"/>
        </w:rPr>
      </w:pPr>
      <w:r>
        <w:rPr>
          <w:rFonts w:hint="eastAsia" w:ascii="宋体" w:hAnsi="宋体" w:eastAsia="宋体" w:cs="宋体"/>
          <w:color w:val="000000" w:themeColor="text1"/>
        </w:rPr>
        <w:t xml:space="preserve">    </w:t>
      </w:r>
      <w:bookmarkStart w:id="805" w:name="_Toc2546"/>
      <w:bookmarkStart w:id="806" w:name="_Toc18574486"/>
      <w:bookmarkStart w:id="807" w:name="_Toc16861753"/>
      <w:bookmarkStart w:id="808" w:name="_Toc5123"/>
      <w:bookmarkStart w:id="809" w:name="_Toc10444"/>
      <w:r>
        <w:rPr>
          <w:rFonts w:hint="eastAsia" w:ascii="宋体" w:hAnsi="宋体" w:eastAsia="宋体" w:cs="宋体"/>
          <w:color w:val="000000" w:themeColor="text1"/>
        </w:rPr>
        <w:t>3.2.4 承包人无正当理由拒绝更换项目经理的违约责任：</w:t>
      </w:r>
      <w:r>
        <w:rPr>
          <w:rFonts w:hint="eastAsia" w:ascii="宋体" w:hAnsi="宋体" w:eastAsia="宋体" w:cs="宋体"/>
          <w:color w:val="000000" w:themeColor="text1"/>
          <w:u w:val="single"/>
        </w:rPr>
        <w:t>因承包人项目经理不称职，发包人要求调换而未及时调换的，视为承包人违约，必须向发包人交纳处罚金500元/人•次（人民币）</w:t>
      </w:r>
      <w:r>
        <w:rPr>
          <w:rFonts w:hint="eastAsia" w:ascii="宋体" w:hAnsi="宋体" w:eastAsia="宋体" w:cs="宋体"/>
          <w:color w:val="000000" w:themeColor="text1"/>
        </w:rPr>
        <w:t>。</w:t>
      </w:r>
      <w:bookmarkEnd w:id="805"/>
      <w:bookmarkEnd w:id="806"/>
      <w:bookmarkEnd w:id="807"/>
      <w:bookmarkEnd w:id="808"/>
      <w:bookmarkEnd w:id="809"/>
    </w:p>
    <w:p w14:paraId="51ABF02E">
      <w:pPr>
        <w:pStyle w:val="150"/>
        <w:spacing w:line="460" w:lineRule="atLeast"/>
        <w:rPr>
          <w:rFonts w:hint="eastAsia" w:ascii="宋体" w:hAnsi="宋体" w:eastAsia="宋体" w:cs="宋体"/>
          <w:color w:val="000000" w:themeColor="text1"/>
          <w:szCs w:val="21"/>
        </w:rPr>
      </w:pPr>
    </w:p>
    <w:p w14:paraId="3BE4AB22">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3.3 承包人人员</w:t>
      </w:r>
    </w:p>
    <w:p w14:paraId="66CB2C69">
      <w:pPr>
        <w:pStyle w:val="149"/>
        <w:spacing w:line="460" w:lineRule="atLeas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3.3.1 承包人提交项目管理机构及施工现场管理人员安排报告的期限：</w:t>
      </w:r>
      <w:r>
        <w:rPr>
          <w:rFonts w:hint="eastAsia" w:ascii="宋体" w:hAnsi="宋体" w:eastAsia="宋体" w:cs="宋体"/>
          <w:color w:val="000000" w:themeColor="text1"/>
          <w:u w:val="single"/>
        </w:rPr>
        <w:t xml:space="preserve">  开工后7日内  </w:t>
      </w:r>
      <w:r>
        <w:rPr>
          <w:rFonts w:hint="eastAsia" w:ascii="宋体" w:hAnsi="宋体" w:eastAsia="宋体" w:cs="宋体"/>
          <w:color w:val="000000" w:themeColor="text1"/>
        </w:rPr>
        <w:t>。</w:t>
      </w:r>
    </w:p>
    <w:p w14:paraId="527551C8">
      <w:pPr>
        <w:pStyle w:val="149"/>
        <w:spacing w:line="460" w:lineRule="atLeas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3.3.3 承包人无正当理由拒绝撤换主要施工管理人员的违约责任：</w:t>
      </w:r>
      <w:r>
        <w:rPr>
          <w:rFonts w:hint="eastAsia" w:ascii="宋体" w:hAnsi="宋体" w:eastAsia="宋体" w:cs="宋体"/>
          <w:color w:val="000000" w:themeColor="text1"/>
          <w:u w:val="single"/>
        </w:rPr>
        <w:t xml:space="preserve">  因承包人主要施工管理人员不称职，发包人要求调换而无正当理由拒绝撤换或未及时调换的，视为承包人违约，必须向发包人交纳处罚金，处罚标准：技术负责人500元/人•次（人民币）；专业工程师200元/人•次（人民币）  </w:t>
      </w:r>
      <w:r>
        <w:rPr>
          <w:rFonts w:hint="eastAsia" w:ascii="宋体" w:hAnsi="宋体" w:eastAsia="宋体" w:cs="宋体"/>
          <w:color w:val="000000" w:themeColor="text1"/>
        </w:rPr>
        <w:t>。</w:t>
      </w:r>
    </w:p>
    <w:p w14:paraId="10042D83">
      <w:pPr>
        <w:pStyle w:val="149"/>
        <w:spacing w:line="460" w:lineRule="atLeast"/>
        <w:ind w:firstLine="420" w:firstLineChars="200"/>
        <w:rPr>
          <w:rFonts w:hint="eastAsia" w:ascii="宋体" w:hAnsi="宋体" w:eastAsia="宋体" w:cs="宋体"/>
          <w:color w:val="000000" w:themeColor="text1"/>
          <w:u w:val="single"/>
        </w:rPr>
      </w:pPr>
      <w:r>
        <w:rPr>
          <w:rFonts w:hint="eastAsia" w:ascii="宋体" w:hAnsi="宋体" w:eastAsia="宋体" w:cs="宋体"/>
          <w:color w:val="000000" w:themeColor="text1"/>
        </w:rPr>
        <w:t>3.3.4 承包人主要施工管理人员离开施工现场的批准要求：</w:t>
      </w:r>
      <w:r>
        <w:rPr>
          <w:rFonts w:hint="eastAsia" w:ascii="宋体" w:hAnsi="宋体" w:eastAsia="宋体" w:cs="宋体"/>
          <w:color w:val="000000" w:themeColor="text1"/>
          <w:u w:val="single"/>
        </w:rPr>
        <w:t>需经发包人及监理工程师审批后可以离开，并按规定时间回到施工现场</w:t>
      </w:r>
      <w:r>
        <w:rPr>
          <w:rFonts w:hint="eastAsia" w:ascii="宋体" w:hAnsi="宋体" w:eastAsia="宋体" w:cs="宋体"/>
          <w:color w:val="000000" w:themeColor="text1"/>
        </w:rPr>
        <w:t>。</w:t>
      </w:r>
    </w:p>
    <w:p w14:paraId="0F13C953">
      <w:pPr>
        <w:pStyle w:val="149"/>
        <w:spacing w:line="460" w:lineRule="atLeas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3.3.5承包人擅自更换主要施工管理人员的违约责任：</w:t>
      </w:r>
      <w:r>
        <w:rPr>
          <w:rFonts w:hint="eastAsia" w:ascii="宋体" w:hAnsi="宋体" w:eastAsia="宋体" w:cs="宋体"/>
          <w:color w:val="000000" w:themeColor="text1"/>
          <w:u w:val="single"/>
        </w:rPr>
        <w:t xml:space="preserve">项目技术负责人、专职安全员及其承诺的其它在场管理人员未经发包人书面同意不准擅自更换，擅自更换项目技术负责人处1000元/人•次（人民币）违约金；擅自更换专职安全员处500元/人•次（人民币）违约金；擅自更换其它在场管理人员处200元/人•次（人民币）违约金   </w:t>
      </w:r>
      <w:r>
        <w:rPr>
          <w:rFonts w:hint="eastAsia" w:ascii="宋体" w:hAnsi="宋体" w:eastAsia="宋体" w:cs="宋体"/>
          <w:color w:val="000000" w:themeColor="text1"/>
        </w:rPr>
        <w:t>。</w:t>
      </w:r>
    </w:p>
    <w:p w14:paraId="4DC20810">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承包人主要施工管理人员擅自离开施工现场的违约责任：</w:t>
      </w:r>
      <w:r>
        <w:rPr>
          <w:rFonts w:hint="eastAsia" w:ascii="宋体" w:hAnsi="宋体" w:eastAsia="宋体" w:cs="宋体"/>
          <w:color w:val="000000" w:themeColor="text1"/>
          <w:szCs w:val="21"/>
          <w:u w:val="single"/>
        </w:rPr>
        <w:t>未经发包人同意，项目技术负责人擅自离岗的，视为承包人违约，发包人有权处违约金1000元/人•次（人民币）；未经发包人同意，专职安全员擅自离岗的，视为承包人违约，发包人有权处违约金500元/人•次（人民币）；其它在场管理人员擅自离岗的，视为承包人违约，发包人有权处违约金200元/人•次（人民币）</w:t>
      </w:r>
      <w:r>
        <w:rPr>
          <w:rFonts w:hint="eastAsia" w:ascii="宋体" w:hAnsi="宋体" w:eastAsia="宋体" w:cs="宋体"/>
          <w:color w:val="000000" w:themeColor="text1"/>
          <w:szCs w:val="21"/>
        </w:rPr>
        <w:t>。</w:t>
      </w:r>
    </w:p>
    <w:p w14:paraId="1506044F">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bookmarkStart w:id="810" w:name="_Toc296944498"/>
      <w:bookmarkStart w:id="811" w:name="_Toc304295523"/>
      <w:bookmarkStart w:id="812" w:name="_Toc292559364"/>
      <w:bookmarkStart w:id="813" w:name="_Toc297120459"/>
      <w:bookmarkStart w:id="814" w:name="_Toc296347158"/>
      <w:bookmarkStart w:id="815" w:name="_Toc296503159"/>
      <w:bookmarkStart w:id="816" w:name="_Toc296890987"/>
      <w:bookmarkStart w:id="817" w:name="_Toc296891199"/>
      <w:bookmarkStart w:id="818" w:name="_Toc297123492"/>
      <w:bookmarkStart w:id="819" w:name="_Toc296346660"/>
      <w:bookmarkStart w:id="820" w:name="_Toc297216151"/>
      <w:bookmarkStart w:id="821" w:name="_Toc312677988"/>
      <w:bookmarkStart w:id="822" w:name="_Toc297048345"/>
      <w:bookmarkStart w:id="823" w:name="_Toc300934945"/>
      <w:bookmarkStart w:id="824" w:name="_Toc303539102"/>
      <w:bookmarkStart w:id="825" w:name="_Toc292559869"/>
      <w:r>
        <w:rPr>
          <w:rFonts w:hint="eastAsia" w:ascii="宋体" w:hAnsi="宋体" w:eastAsia="宋体" w:cs="宋体"/>
          <w:color w:val="000000" w:themeColor="text1"/>
          <w:szCs w:val="21"/>
        </w:rPr>
        <w:t>.5 分包</w:t>
      </w:r>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66800768">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bookmarkStart w:id="826" w:name="_Toc297123493"/>
      <w:bookmarkStart w:id="827" w:name="_Toc296347159"/>
      <w:bookmarkStart w:id="828" w:name="_Toc296503160"/>
      <w:bookmarkStart w:id="829" w:name="_Toc296891200"/>
      <w:bookmarkStart w:id="830" w:name="_Toc303539103"/>
      <w:bookmarkStart w:id="831" w:name="_Toc300934946"/>
      <w:bookmarkStart w:id="832" w:name="_Toc296346661"/>
      <w:bookmarkStart w:id="833" w:name="_Toc297048346"/>
      <w:bookmarkStart w:id="834" w:name="_Toc292559365"/>
      <w:bookmarkStart w:id="835" w:name="_Toc304295524"/>
      <w:bookmarkStart w:id="836" w:name="_Toc296890988"/>
      <w:bookmarkStart w:id="837" w:name="_Toc297216152"/>
      <w:bookmarkStart w:id="838" w:name="_Toc292559870"/>
      <w:bookmarkStart w:id="839" w:name="_Toc296944499"/>
      <w:bookmarkStart w:id="840" w:name="_Toc297120460"/>
      <w:bookmarkStart w:id="841" w:name="_Toc318581158"/>
      <w:bookmarkStart w:id="842" w:name="_Toc312677989"/>
      <w:r>
        <w:rPr>
          <w:rFonts w:hint="eastAsia" w:ascii="宋体" w:hAnsi="宋体" w:eastAsia="宋体" w:cs="宋体"/>
          <w:color w:val="000000" w:themeColor="text1"/>
          <w:szCs w:val="21"/>
        </w:rPr>
        <w:t>.5.1 分包的一般约定</w:t>
      </w:r>
    </w:p>
    <w:p w14:paraId="0719F303">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禁止分包的工程包括：</w:t>
      </w:r>
      <w:r>
        <w:rPr>
          <w:rFonts w:hint="eastAsia" w:ascii="宋体" w:hAnsi="宋体" w:eastAsia="宋体" w:cs="宋体"/>
          <w:color w:val="000000" w:themeColor="text1"/>
          <w:szCs w:val="21"/>
          <w:u w:val="single"/>
        </w:rPr>
        <w:t xml:space="preserve">主体工程    </w:t>
      </w:r>
      <w:r>
        <w:rPr>
          <w:rFonts w:hint="eastAsia" w:ascii="宋体" w:hAnsi="宋体" w:eastAsia="宋体" w:cs="宋体"/>
          <w:color w:val="000000" w:themeColor="text1"/>
          <w:szCs w:val="21"/>
        </w:rPr>
        <w:t>。</w:t>
      </w:r>
    </w:p>
    <w:p w14:paraId="708166A3">
      <w:pPr>
        <w:pStyle w:val="150"/>
        <w:spacing w:line="460" w:lineRule="atLeast"/>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主体结构、关键性工作的范围：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Start w:id="843" w:name="_Toc303539104"/>
      <w:bookmarkStart w:id="844" w:name="_Toc296891201"/>
      <w:bookmarkStart w:id="845" w:name="_Toc297048347"/>
      <w:bookmarkStart w:id="846" w:name="_Toc297120461"/>
      <w:bookmarkStart w:id="847" w:name="_Toc296503161"/>
      <w:bookmarkStart w:id="848" w:name="_Toc297123494"/>
      <w:bookmarkStart w:id="849" w:name="_Toc296346662"/>
      <w:bookmarkStart w:id="850" w:name="_Toc296944500"/>
      <w:bookmarkStart w:id="851" w:name="_Toc296347160"/>
      <w:bookmarkStart w:id="852" w:name="_Toc300934947"/>
      <w:bookmarkStart w:id="853" w:name="_Toc296890989"/>
      <w:bookmarkStart w:id="854" w:name="_Toc297216153"/>
      <w:bookmarkStart w:id="855" w:name="_Toc304295525"/>
    </w:p>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14:paraId="336099E1">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3</w:t>
      </w:r>
      <w:bookmarkStart w:id="856" w:name="_Toc312677990"/>
      <w:bookmarkStart w:id="857" w:name="_Toc318581159"/>
      <w:r>
        <w:rPr>
          <w:rFonts w:hint="eastAsia" w:ascii="宋体" w:hAnsi="宋体" w:eastAsia="宋体" w:cs="宋体"/>
          <w:color w:val="000000" w:themeColor="text1"/>
          <w:szCs w:val="21"/>
        </w:rPr>
        <w:t>.5.2分包的确定</w:t>
      </w:r>
    </w:p>
    <w:p w14:paraId="71CD8001">
      <w:pPr>
        <w:pStyle w:val="150"/>
        <w:spacing w:line="460" w:lineRule="atLeast"/>
        <w:ind w:firstLine="420" w:firstLineChars="200"/>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允许分包的专业工程包括：</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26AA7383">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其他关于分包的约定：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630E3075">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3.5.4 分包合同价款</w:t>
      </w:r>
    </w:p>
    <w:p w14:paraId="19CE4FC3">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关于分包合同价款支付的约定：</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bookmarkEnd w:id="856"/>
    <w:bookmarkEnd w:id="857"/>
    <w:p w14:paraId="42AA5096">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3.6 工程照管与成品、半成品保护</w:t>
      </w:r>
    </w:p>
    <w:p w14:paraId="6B29A089">
      <w:pPr>
        <w:pStyle w:val="150"/>
        <w:spacing w:before="120" w:after="120" w:line="460" w:lineRule="atLeast"/>
        <w:ind w:firstLine="420" w:firstLineChars="200"/>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rPr>
        <w:t>承包人负责照管工程及工程相关的材料、工程设备的起始时间：</w:t>
      </w:r>
      <w:r>
        <w:rPr>
          <w:rFonts w:hint="eastAsia" w:ascii="宋体" w:hAnsi="宋体" w:eastAsia="宋体" w:cs="宋体"/>
          <w:color w:val="000000" w:themeColor="text1"/>
          <w:kern w:val="0"/>
          <w:szCs w:val="21"/>
          <w:u w:val="single"/>
        </w:rPr>
        <w:t xml:space="preserve">   开工之日起计算   </w:t>
      </w:r>
      <w:r>
        <w:rPr>
          <w:rFonts w:hint="eastAsia" w:ascii="宋体" w:hAnsi="宋体" w:eastAsia="宋体" w:cs="宋体"/>
          <w:color w:val="000000" w:themeColor="text1"/>
          <w:kern w:val="0"/>
          <w:szCs w:val="21"/>
        </w:rPr>
        <w:t>。</w:t>
      </w:r>
    </w:p>
    <w:p w14:paraId="43439FCD">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3.7 履约担保</w:t>
      </w:r>
    </w:p>
    <w:p w14:paraId="70774939">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承包人是否提供履约担保：</w:t>
      </w:r>
      <w:r>
        <w:rPr>
          <w:rFonts w:hint="eastAsia" w:ascii="宋体" w:hAnsi="宋体" w:eastAsia="宋体" w:cs="宋体"/>
          <w:color w:val="000000" w:themeColor="text1"/>
          <w:szCs w:val="21"/>
          <w:u w:val="single"/>
        </w:rPr>
        <w:t xml:space="preserve">  </w:t>
      </w:r>
      <w:r>
        <w:rPr>
          <w:rFonts w:hint="eastAsia" w:ascii="宋体" w:hAnsi="宋体" w:cs="宋体"/>
          <w:color w:val="000000" w:themeColor="text1"/>
          <w:szCs w:val="21"/>
          <w:u w:val="single"/>
          <w:lang w:eastAsia="zh-CN"/>
        </w:rPr>
        <w:t>否</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3E8384D1">
      <w:pPr>
        <w:pStyle w:val="165"/>
        <w:spacing w:before="120" w:after="120" w:line="460" w:lineRule="atLeast"/>
        <w:rPr>
          <w:rFonts w:hint="eastAsia" w:ascii="宋体" w:hAnsi="宋体" w:eastAsia="宋体" w:cs="宋体"/>
          <w:b w:val="0"/>
          <w:color w:val="000000" w:themeColor="text1"/>
          <w:sz w:val="21"/>
          <w:szCs w:val="21"/>
        </w:rPr>
      </w:pPr>
      <w:bookmarkStart w:id="858" w:name="_Toc1818"/>
      <w:bookmarkStart w:id="859" w:name="_Toc18908"/>
      <w:bookmarkStart w:id="860" w:name="_Toc21983"/>
      <w:bookmarkStart w:id="861" w:name="_Toc15460"/>
      <w:bookmarkStart w:id="862" w:name="_Toc11379"/>
      <w:bookmarkStart w:id="863" w:name="_Toc26561"/>
      <w:bookmarkStart w:id="864" w:name="_Toc24886"/>
      <w:bookmarkStart w:id="865" w:name="_Toc351203636"/>
      <w:r>
        <w:rPr>
          <w:rFonts w:hint="eastAsia" w:ascii="宋体" w:hAnsi="宋体" w:eastAsia="宋体" w:cs="宋体"/>
          <w:b w:val="0"/>
          <w:color w:val="000000" w:themeColor="text1"/>
          <w:sz w:val="21"/>
          <w:szCs w:val="21"/>
        </w:rPr>
        <w:t>4</w:t>
      </w:r>
      <w:bookmarkStart w:id="866" w:name="_Toc292559366"/>
      <w:bookmarkStart w:id="867" w:name="_Toc292559871"/>
      <w:bookmarkStart w:id="868" w:name="_Toc296890990"/>
      <w:bookmarkStart w:id="869" w:name="_Toc267251413"/>
      <w:bookmarkStart w:id="870" w:name="_Toc297048348"/>
      <w:bookmarkStart w:id="871" w:name="_Toc296346663"/>
      <w:bookmarkStart w:id="872" w:name="_Toc296944501"/>
      <w:bookmarkStart w:id="873" w:name="_Toc297120462"/>
      <w:bookmarkStart w:id="874" w:name="_Toc296891202"/>
      <w:bookmarkStart w:id="875" w:name="_Toc296347161"/>
      <w:bookmarkStart w:id="876" w:name="_Toc296503162"/>
      <w:r>
        <w:rPr>
          <w:rFonts w:hint="eastAsia" w:ascii="宋体" w:hAnsi="宋体" w:eastAsia="宋体" w:cs="宋体"/>
          <w:b w:val="0"/>
          <w:color w:val="000000" w:themeColor="text1"/>
          <w:sz w:val="21"/>
          <w:szCs w:val="21"/>
        </w:rPr>
        <w:t>. 监</w:t>
      </w:r>
      <w:bookmarkEnd w:id="866"/>
      <w:bookmarkEnd w:id="867"/>
      <w:bookmarkEnd w:id="868"/>
      <w:bookmarkEnd w:id="869"/>
      <w:bookmarkEnd w:id="870"/>
      <w:bookmarkEnd w:id="871"/>
      <w:bookmarkEnd w:id="872"/>
      <w:bookmarkEnd w:id="873"/>
      <w:bookmarkEnd w:id="874"/>
      <w:bookmarkEnd w:id="875"/>
      <w:bookmarkEnd w:id="876"/>
      <w:r>
        <w:rPr>
          <w:rFonts w:hint="eastAsia" w:ascii="宋体" w:hAnsi="宋体" w:eastAsia="宋体" w:cs="宋体"/>
          <w:b w:val="0"/>
          <w:color w:val="000000" w:themeColor="text1"/>
          <w:sz w:val="21"/>
          <w:szCs w:val="21"/>
        </w:rPr>
        <w:t>理人</w:t>
      </w:r>
      <w:bookmarkEnd w:id="858"/>
      <w:bookmarkEnd w:id="859"/>
      <w:bookmarkEnd w:id="860"/>
      <w:bookmarkEnd w:id="861"/>
      <w:bookmarkEnd w:id="862"/>
      <w:bookmarkEnd w:id="863"/>
      <w:bookmarkEnd w:id="864"/>
      <w:bookmarkEnd w:id="865"/>
    </w:p>
    <w:p w14:paraId="6CEF6DC1">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4.1监理人的一般规定</w:t>
      </w:r>
    </w:p>
    <w:p w14:paraId="6CB58E25">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关于监理人的监理内容：</w:t>
      </w:r>
      <w:r>
        <w:rPr>
          <w:rFonts w:hint="eastAsia" w:ascii="宋体" w:hAnsi="宋体" w:eastAsia="宋体" w:cs="宋体"/>
          <w:color w:val="000000" w:themeColor="text1"/>
          <w:szCs w:val="21"/>
          <w:u w:val="single"/>
        </w:rPr>
        <w:t xml:space="preserve">    按本工程委托监理合同   </w:t>
      </w:r>
      <w:r>
        <w:rPr>
          <w:rFonts w:hint="eastAsia" w:ascii="宋体" w:hAnsi="宋体" w:eastAsia="宋体" w:cs="宋体"/>
          <w:color w:val="000000" w:themeColor="text1"/>
          <w:szCs w:val="21"/>
        </w:rPr>
        <w:t>。</w:t>
      </w:r>
    </w:p>
    <w:p w14:paraId="51FE733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关于监理人的监理权限：</w:t>
      </w:r>
      <w:r>
        <w:rPr>
          <w:rFonts w:hint="eastAsia" w:ascii="宋体" w:hAnsi="宋体" w:eastAsia="宋体" w:cs="宋体"/>
          <w:color w:val="000000" w:themeColor="text1"/>
          <w:szCs w:val="21"/>
          <w:u w:val="single"/>
        </w:rPr>
        <w:t xml:space="preserve">    按本工程委托监理合同      </w:t>
      </w:r>
      <w:r>
        <w:rPr>
          <w:rFonts w:hint="eastAsia" w:ascii="宋体" w:hAnsi="宋体" w:eastAsia="宋体" w:cs="宋体"/>
          <w:color w:val="000000" w:themeColor="text1"/>
          <w:szCs w:val="21"/>
        </w:rPr>
        <w:t xml:space="preserve">。 </w:t>
      </w:r>
    </w:p>
    <w:p w14:paraId="3EAF74CB">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关于监理人在施工现场的办公场所、生活场所的提供和费用承担的约定：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56F3FF84">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4.2 监理人员</w:t>
      </w:r>
    </w:p>
    <w:p w14:paraId="03E9E0B1">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总监理工程师：</w:t>
      </w:r>
    </w:p>
    <w:p w14:paraId="0E7EAC79">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姓    名：</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6BA7AE04">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职    务：</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4B93430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监理工程师执业资格证书号：</w:t>
      </w:r>
      <w:r>
        <w:rPr>
          <w:rFonts w:hint="eastAsia" w:ascii="宋体" w:hAnsi="宋体" w:eastAsia="宋体" w:cs="宋体"/>
          <w:color w:val="000000" w:themeColor="text1"/>
          <w:szCs w:val="21"/>
          <w:u w:val="single"/>
        </w:rPr>
        <w:t> </w:t>
      </w:r>
      <w:r>
        <w:rPr>
          <w:rFonts w:hint="eastAsia" w:ascii="宋体" w:hAnsi="宋体" w:eastAsia="宋体" w:cs="宋体"/>
          <w:color w:val="000000" w:themeColor="text1"/>
          <w:szCs w:val="21"/>
        </w:rPr>
        <w:t>；</w:t>
      </w:r>
    </w:p>
    <w:p w14:paraId="4FF4F65E">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联系电话：</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466FE0AF">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电子信箱：</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61E61AF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通信地址：</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40B35DB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关于监理人的其他约定：</w:t>
      </w:r>
      <w:r>
        <w:rPr>
          <w:rFonts w:hint="eastAsia" w:ascii="宋体" w:hAnsi="宋体" w:eastAsia="宋体" w:cs="宋体"/>
          <w:color w:val="000000" w:themeColor="text1"/>
          <w:szCs w:val="21"/>
          <w:u w:val="single"/>
        </w:rPr>
        <w:t>   </w:t>
      </w:r>
      <w:r>
        <w:rPr>
          <w:rFonts w:hint="eastAsia" w:ascii="宋体" w:hAnsi="宋体" w:eastAsia="宋体" w:cs="宋体"/>
          <w:color w:val="000000" w:themeColor="text1"/>
          <w:szCs w:val="21"/>
        </w:rPr>
        <w:t>。</w:t>
      </w:r>
    </w:p>
    <w:p w14:paraId="1982FC51">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4.4 商定或确定</w:t>
      </w:r>
    </w:p>
    <w:p w14:paraId="37AAA304">
      <w:pPr>
        <w:pStyle w:val="150"/>
        <w:spacing w:line="460" w:lineRule="atLeast"/>
        <w:ind w:firstLine="420" w:firstLineChars="200"/>
        <w:rPr>
          <w:rFonts w:hint="eastAsia" w:ascii="宋体" w:hAnsi="宋体" w:eastAsia="宋体" w:cs="宋体"/>
          <w:color w:val="000000" w:themeColor="text1"/>
          <w:szCs w:val="21"/>
        </w:rPr>
      </w:pPr>
      <w:bookmarkStart w:id="877" w:name="_Toc267251418"/>
      <w:r>
        <w:rPr>
          <w:rFonts w:hint="eastAsia" w:ascii="宋体" w:hAnsi="宋体" w:eastAsia="宋体" w:cs="宋体"/>
          <w:color w:val="000000" w:themeColor="text1"/>
          <w:szCs w:val="21"/>
        </w:rPr>
        <w:t>在发包人和承包人不能通过协商达成一致意见时，发包人授权监理人对以下事项进行确定：</w:t>
      </w:r>
    </w:p>
    <w:p w14:paraId="304977D6">
      <w:pPr>
        <w:pStyle w:val="174"/>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w:t>
      </w:r>
      <w:r>
        <w:rPr>
          <w:rFonts w:hint="eastAsia" w:ascii="宋体" w:hAnsi="宋体" w:eastAsia="宋体" w:cs="宋体"/>
          <w:color w:val="000000" w:themeColor="text1"/>
          <w:szCs w:val="21"/>
          <w:u w:val="single"/>
        </w:rPr>
        <w:t xml:space="preserve">  合同约定总监理工程师应按照本款对任何事项进行商定或确定时，总监理工程师应与合同当事人协商，尽量达成一致。不能达成一致的，总监理工程师应认真研究后审慎确定  </w:t>
      </w:r>
      <w:r>
        <w:rPr>
          <w:rFonts w:hint="eastAsia" w:ascii="宋体" w:hAnsi="宋体" w:eastAsia="宋体" w:cs="宋体"/>
          <w:color w:val="000000" w:themeColor="text1"/>
          <w:szCs w:val="21"/>
        </w:rPr>
        <w:t>；</w:t>
      </w:r>
    </w:p>
    <w:p w14:paraId="269F50DC">
      <w:pPr>
        <w:pStyle w:val="174"/>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w:t>
      </w:r>
      <w:r>
        <w:rPr>
          <w:rFonts w:hint="eastAsia" w:ascii="宋体" w:hAnsi="宋体" w:eastAsia="宋体" w:cs="宋体"/>
          <w:color w:val="000000" w:themeColor="text1"/>
          <w:szCs w:val="21"/>
          <w:u w:val="single"/>
        </w:rPr>
        <w:t xml:space="preserve">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  </w:t>
      </w:r>
      <w:r>
        <w:rPr>
          <w:rFonts w:hint="eastAsia" w:ascii="宋体" w:hAnsi="宋体" w:eastAsia="宋体" w:cs="宋体"/>
          <w:color w:val="000000" w:themeColor="text1"/>
          <w:szCs w:val="21"/>
        </w:rPr>
        <w:t>；</w:t>
      </w:r>
    </w:p>
    <w:p w14:paraId="082F6A5E">
      <w:pPr>
        <w:pStyle w:val="150"/>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w:t>
      </w:r>
      <w:r>
        <w:rPr>
          <w:rFonts w:hint="eastAsia" w:ascii="宋体" w:hAnsi="宋体" w:eastAsia="宋体" w:cs="宋体"/>
          <w:color w:val="000000" w:themeColor="text1"/>
          <w:szCs w:val="21"/>
          <w:u w:val="single"/>
        </w:rPr>
        <w:t xml:space="preserve">                  </w:t>
      </w:r>
      <w:r>
        <w:rPr>
          <w:rFonts w:hint="eastAsia" w:ascii="宋体" w:hAnsi="宋体" w:cs="宋体"/>
          <w:color w:val="000000" w:themeColor="text1"/>
          <w:szCs w:val="21"/>
          <w:u w:val="single"/>
          <w:lang w:val="en-US" w:eastAsia="zh-CN"/>
        </w:rPr>
        <w:t>/</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1B022887">
      <w:pPr>
        <w:pStyle w:val="165"/>
        <w:spacing w:before="120" w:after="120" w:line="460" w:lineRule="atLeast"/>
        <w:rPr>
          <w:rFonts w:hint="eastAsia" w:ascii="宋体" w:hAnsi="宋体" w:eastAsia="宋体" w:cs="宋体"/>
          <w:b w:val="0"/>
          <w:color w:val="000000" w:themeColor="text1"/>
          <w:sz w:val="21"/>
          <w:szCs w:val="21"/>
        </w:rPr>
      </w:pPr>
      <w:bookmarkStart w:id="878" w:name="_Toc13539"/>
      <w:bookmarkStart w:id="879" w:name="_Toc9292"/>
      <w:bookmarkStart w:id="880" w:name="_Toc3015"/>
      <w:bookmarkStart w:id="881" w:name="_Toc9129"/>
      <w:bookmarkStart w:id="882" w:name="_Toc27201"/>
      <w:bookmarkStart w:id="883" w:name="_Toc459"/>
      <w:bookmarkStart w:id="884" w:name="_Toc351203637"/>
      <w:bookmarkStart w:id="885" w:name="_Toc182"/>
      <w:r>
        <w:rPr>
          <w:rFonts w:hint="eastAsia" w:ascii="宋体" w:hAnsi="宋体" w:eastAsia="宋体" w:cs="宋体"/>
          <w:b w:val="0"/>
          <w:color w:val="000000" w:themeColor="text1"/>
          <w:sz w:val="21"/>
          <w:szCs w:val="21"/>
        </w:rPr>
        <w:t>5</w:t>
      </w:r>
      <w:bookmarkEnd w:id="877"/>
      <w:bookmarkStart w:id="886" w:name="_Toc296503163"/>
      <w:bookmarkStart w:id="887" w:name="_Toc292559872"/>
      <w:bookmarkStart w:id="888" w:name="_Toc296346664"/>
      <w:bookmarkStart w:id="889" w:name="_Toc296944502"/>
      <w:bookmarkStart w:id="890" w:name="_Toc296890991"/>
      <w:bookmarkStart w:id="891" w:name="_Toc292559367"/>
      <w:bookmarkStart w:id="892" w:name="_Toc297048349"/>
      <w:bookmarkStart w:id="893" w:name="_Toc297120463"/>
      <w:bookmarkStart w:id="894" w:name="_Toc296891203"/>
      <w:bookmarkStart w:id="895" w:name="_Toc296347162"/>
      <w:r>
        <w:rPr>
          <w:rFonts w:hint="eastAsia" w:ascii="宋体" w:hAnsi="宋体" w:eastAsia="宋体" w:cs="宋体"/>
          <w:b w:val="0"/>
          <w:color w:val="000000" w:themeColor="text1"/>
          <w:sz w:val="21"/>
          <w:szCs w:val="21"/>
        </w:rPr>
        <w:t>. 工程质量</w:t>
      </w:r>
      <w:bookmarkEnd w:id="878"/>
      <w:bookmarkEnd w:id="879"/>
      <w:bookmarkEnd w:id="880"/>
      <w:bookmarkEnd w:id="881"/>
      <w:bookmarkEnd w:id="882"/>
      <w:bookmarkEnd w:id="883"/>
      <w:bookmarkEnd w:id="884"/>
      <w:bookmarkEnd w:id="885"/>
    </w:p>
    <w:p w14:paraId="24221BDE">
      <w:pPr>
        <w:pStyle w:val="150"/>
        <w:spacing w:after="120" w:line="460" w:lineRule="atLeast"/>
        <w:ind w:firstLine="420" w:firstLineChars="200"/>
        <w:outlineLvl w:val="0"/>
        <w:rPr>
          <w:rFonts w:hint="eastAsia" w:ascii="宋体" w:hAnsi="宋体" w:eastAsia="宋体" w:cs="宋体"/>
          <w:color w:val="000000" w:themeColor="text1"/>
          <w:szCs w:val="21"/>
        </w:rPr>
      </w:pPr>
      <w:bookmarkStart w:id="896" w:name="_Toc18574487"/>
      <w:bookmarkStart w:id="897" w:name="_Toc29806"/>
      <w:bookmarkStart w:id="898" w:name="_Toc16069"/>
      <w:bookmarkStart w:id="899" w:name="_Toc14693"/>
      <w:bookmarkStart w:id="900" w:name="_Toc2051"/>
      <w:bookmarkStart w:id="901" w:name="_Toc284"/>
      <w:bookmarkStart w:id="902" w:name="_Toc31236"/>
      <w:bookmarkStart w:id="903" w:name="_Toc1179"/>
      <w:r>
        <w:rPr>
          <w:rFonts w:hint="eastAsia" w:ascii="宋体" w:hAnsi="宋体" w:eastAsia="宋体" w:cs="宋体"/>
          <w:color w:val="000000" w:themeColor="text1"/>
          <w:szCs w:val="21"/>
        </w:rPr>
        <w:t>5.1 质量要求</w:t>
      </w:r>
      <w:bookmarkEnd w:id="896"/>
      <w:bookmarkEnd w:id="897"/>
      <w:bookmarkEnd w:id="898"/>
      <w:bookmarkEnd w:id="899"/>
      <w:bookmarkEnd w:id="900"/>
      <w:bookmarkEnd w:id="901"/>
      <w:bookmarkEnd w:id="902"/>
      <w:bookmarkEnd w:id="903"/>
    </w:p>
    <w:p w14:paraId="6091B259">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5</w:t>
      </w:r>
      <w:bookmarkStart w:id="904" w:name="_Toc297216155"/>
      <w:bookmarkStart w:id="905" w:name="_Toc318581164"/>
      <w:bookmarkStart w:id="906" w:name="_Toc312677997"/>
      <w:bookmarkStart w:id="907" w:name="_Toc300934949"/>
      <w:bookmarkStart w:id="908" w:name="_Toc297123496"/>
      <w:bookmarkStart w:id="909" w:name="_Toc304295527"/>
      <w:bookmarkStart w:id="910" w:name="_Toc303539106"/>
      <w:r>
        <w:rPr>
          <w:rFonts w:hint="eastAsia" w:ascii="宋体" w:hAnsi="宋体" w:eastAsia="宋体" w:cs="宋体"/>
          <w:color w:val="000000" w:themeColor="text1"/>
          <w:szCs w:val="21"/>
        </w:rPr>
        <w:t xml:space="preserve">.1.1 </w:t>
      </w:r>
      <w:r>
        <w:rPr>
          <w:rFonts w:hint="eastAsia" w:ascii="宋体" w:hAnsi="宋体" w:eastAsia="宋体" w:cs="宋体"/>
          <w:color w:val="000000" w:themeColor="text1"/>
          <w:szCs w:val="21"/>
          <w:u w:val="single"/>
        </w:rPr>
        <w:t xml:space="preserve">国家施工验收规范合格标准。质量标准的评定以国家的质量检验评定标准为依据，因承包人原因工程质量达不到约定的质量标准，承包人承担违约责任  </w:t>
      </w:r>
      <w:r>
        <w:rPr>
          <w:rFonts w:hint="eastAsia" w:ascii="宋体" w:hAnsi="宋体" w:eastAsia="宋体" w:cs="宋体"/>
          <w:color w:val="000000" w:themeColor="text1"/>
          <w:szCs w:val="21"/>
        </w:rPr>
        <w:t>。</w:t>
      </w:r>
    </w:p>
    <w:p w14:paraId="589BE8F7">
      <w:pPr>
        <w:pStyle w:val="174"/>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关于工程奖项的约定：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0BA7F9BD">
      <w:pPr>
        <w:pStyle w:val="150"/>
        <w:spacing w:after="120" w:line="460" w:lineRule="atLeast"/>
        <w:ind w:firstLine="420" w:firstLineChars="200"/>
        <w:outlineLvl w:val="0"/>
        <w:rPr>
          <w:rFonts w:hint="eastAsia" w:ascii="宋体" w:hAnsi="宋体" w:eastAsia="宋体" w:cs="宋体"/>
          <w:color w:val="000000" w:themeColor="text1"/>
          <w:szCs w:val="21"/>
        </w:rPr>
      </w:pPr>
      <w:bookmarkStart w:id="911" w:name="_Toc26501"/>
      <w:bookmarkStart w:id="912" w:name="_Toc24642"/>
      <w:bookmarkStart w:id="913" w:name="_Toc18574488"/>
      <w:bookmarkStart w:id="914" w:name="_Toc1109"/>
      <w:bookmarkStart w:id="915" w:name="_Toc11256"/>
      <w:bookmarkStart w:id="916" w:name="_Toc31468"/>
      <w:bookmarkStart w:id="917" w:name="_Toc6742"/>
      <w:bookmarkStart w:id="918" w:name="_Toc11555"/>
      <w:r>
        <w:rPr>
          <w:rFonts w:hint="eastAsia" w:ascii="宋体" w:hAnsi="宋体" w:eastAsia="宋体" w:cs="宋体"/>
          <w:color w:val="000000" w:themeColor="text1"/>
          <w:szCs w:val="21"/>
        </w:rPr>
        <w:t>5.3 隐蔽工程检查</w:t>
      </w:r>
      <w:bookmarkEnd w:id="911"/>
      <w:bookmarkEnd w:id="912"/>
      <w:bookmarkEnd w:id="913"/>
      <w:bookmarkEnd w:id="914"/>
      <w:bookmarkEnd w:id="915"/>
      <w:bookmarkEnd w:id="916"/>
      <w:bookmarkEnd w:id="917"/>
      <w:bookmarkEnd w:id="918"/>
    </w:p>
    <w:p w14:paraId="70C6AA87">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5.3.2承包人提前通知监理人隐蔽工程检查的期限的约定：</w:t>
      </w:r>
      <w:r>
        <w:rPr>
          <w:rFonts w:hint="eastAsia" w:ascii="宋体" w:hAnsi="宋体" w:eastAsia="宋体" w:cs="宋体"/>
          <w:color w:val="000000" w:themeColor="text1"/>
          <w:szCs w:val="21"/>
          <w:u w:val="single"/>
        </w:rPr>
        <w:t xml:space="preserve">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  </w:t>
      </w:r>
      <w:r>
        <w:rPr>
          <w:rFonts w:hint="eastAsia" w:ascii="宋体" w:hAnsi="宋体" w:eastAsia="宋体" w:cs="宋体"/>
          <w:color w:val="000000" w:themeColor="text1"/>
          <w:szCs w:val="21"/>
        </w:rPr>
        <w:t>。</w:t>
      </w:r>
    </w:p>
    <w:p w14:paraId="393B0F24">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监理人不能按时进行检查时，应提前</w:t>
      </w:r>
      <w:r>
        <w:rPr>
          <w:rFonts w:hint="eastAsia" w:ascii="宋体" w:hAnsi="宋体" w:eastAsia="宋体" w:cs="宋体"/>
          <w:color w:val="000000" w:themeColor="text1"/>
          <w:szCs w:val="21"/>
          <w:u w:val="single"/>
        </w:rPr>
        <w:t xml:space="preserve">  12  </w:t>
      </w:r>
      <w:r>
        <w:rPr>
          <w:rFonts w:hint="eastAsia" w:ascii="宋体" w:hAnsi="宋体" w:eastAsia="宋体" w:cs="宋体"/>
          <w:color w:val="000000" w:themeColor="text1"/>
          <w:szCs w:val="21"/>
        </w:rPr>
        <w:t>小时提交书面延期要求。</w:t>
      </w:r>
    </w:p>
    <w:p w14:paraId="4AFF3F0E">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关于延期最长不得超过：</w:t>
      </w:r>
      <w:r>
        <w:rPr>
          <w:rFonts w:hint="eastAsia" w:ascii="宋体" w:hAnsi="宋体" w:eastAsia="宋体" w:cs="宋体"/>
          <w:color w:val="000000" w:themeColor="text1"/>
          <w:u w:val="single"/>
        </w:rPr>
        <w:t xml:space="preserve">    24     </w:t>
      </w:r>
      <w:r>
        <w:rPr>
          <w:rFonts w:hint="eastAsia" w:ascii="宋体" w:hAnsi="宋体" w:eastAsia="宋体" w:cs="宋体"/>
          <w:color w:val="000000" w:themeColor="text1"/>
        </w:rPr>
        <w:t>小时。</w:t>
      </w:r>
    </w:p>
    <w:p w14:paraId="2508E814">
      <w:pPr>
        <w:pStyle w:val="165"/>
        <w:spacing w:before="120" w:after="120" w:line="460" w:lineRule="atLeast"/>
        <w:rPr>
          <w:rFonts w:hint="eastAsia" w:ascii="宋体" w:hAnsi="宋体" w:eastAsia="宋体" w:cs="宋体"/>
          <w:b w:val="0"/>
          <w:color w:val="000000" w:themeColor="text1"/>
          <w:sz w:val="21"/>
          <w:szCs w:val="21"/>
        </w:rPr>
      </w:pPr>
      <w:bookmarkStart w:id="919" w:name="_Toc1885"/>
      <w:bookmarkStart w:id="920" w:name="_Toc12116"/>
      <w:bookmarkStart w:id="921" w:name="_Toc351203638"/>
      <w:bookmarkStart w:id="922" w:name="_Toc10458"/>
      <w:bookmarkStart w:id="923" w:name="_Toc26568"/>
      <w:bookmarkStart w:id="924" w:name="_Toc13104"/>
      <w:bookmarkStart w:id="925" w:name="_Toc24188"/>
      <w:bookmarkStart w:id="926" w:name="_Toc15965"/>
      <w:r>
        <w:rPr>
          <w:rFonts w:hint="eastAsia" w:ascii="宋体" w:hAnsi="宋体" w:eastAsia="宋体" w:cs="宋体"/>
          <w:b w:val="0"/>
          <w:color w:val="000000" w:themeColor="text1"/>
          <w:sz w:val="21"/>
          <w:szCs w:val="21"/>
        </w:rPr>
        <w:t>6. 安全文明施工与环境保护</w:t>
      </w:r>
      <w:bookmarkEnd w:id="919"/>
      <w:bookmarkEnd w:id="920"/>
      <w:bookmarkEnd w:id="921"/>
      <w:bookmarkEnd w:id="922"/>
      <w:bookmarkEnd w:id="923"/>
      <w:bookmarkEnd w:id="924"/>
      <w:bookmarkEnd w:id="925"/>
      <w:bookmarkEnd w:id="926"/>
    </w:p>
    <w:p w14:paraId="126895FA">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6.1安全文明施工</w:t>
      </w:r>
    </w:p>
    <w:p w14:paraId="68233BF0">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6.1.1 项目安全生产的达标目标及相应事项的约定：</w:t>
      </w:r>
      <w:r>
        <w:rPr>
          <w:rFonts w:hint="eastAsia" w:ascii="宋体" w:hAnsi="宋体" w:eastAsia="宋体" w:cs="宋体"/>
          <w:color w:val="000000" w:themeColor="text1"/>
          <w:szCs w:val="21"/>
          <w:u w:val="single"/>
        </w:rPr>
        <w:t xml:space="preserve">承包人必须做好施工安全教育、以及安全防范工作，确保工程施工人员的人身安全、以及工地范围内的财产安全，接受发包人工程师或监理方的监督和检查。在施工过程中，由于是承包人原因（主要直接原因）造成的安全事故，其责任和赔偿费用均由承包人承担  </w:t>
      </w:r>
      <w:r>
        <w:rPr>
          <w:rFonts w:hint="eastAsia" w:ascii="宋体" w:hAnsi="宋体" w:eastAsia="宋体" w:cs="宋体"/>
          <w:color w:val="000000" w:themeColor="text1"/>
          <w:szCs w:val="21"/>
        </w:rPr>
        <w:t>。</w:t>
      </w:r>
    </w:p>
    <w:p w14:paraId="5BE67C06">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6.1.4 关于治安保卫的特别约定：</w:t>
      </w:r>
      <w:r>
        <w:rPr>
          <w:rFonts w:hint="eastAsia" w:ascii="宋体" w:hAnsi="宋体" w:eastAsia="宋体" w:cs="宋体"/>
          <w:color w:val="000000" w:themeColor="text1"/>
          <w:szCs w:val="21"/>
          <w:u w:val="single"/>
        </w:rPr>
        <w:t xml:space="preserve">承包人应承担施工安全保卫工作及非夜间施工照明的责任，承包人应采取一切合理的预防措施，防止人员伤亡、财产损失事故，因承包人责任造成的费用由承包人承担。承包人生活设施及施工场应自费配备消防设备，防止火灾发生   </w:t>
      </w:r>
      <w:r>
        <w:rPr>
          <w:rFonts w:hint="eastAsia" w:ascii="宋体" w:hAnsi="宋体" w:eastAsia="宋体" w:cs="宋体"/>
          <w:color w:val="000000" w:themeColor="text1"/>
          <w:szCs w:val="21"/>
        </w:rPr>
        <w:t>。</w:t>
      </w:r>
    </w:p>
    <w:p w14:paraId="7888CD6E">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关于编制施工场地治安管理计划的约定：</w:t>
      </w:r>
      <w:r>
        <w:rPr>
          <w:rFonts w:hint="eastAsia" w:ascii="宋体" w:hAnsi="宋体" w:eastAsia="宋体" w:cs="宋体"/>
          <w:color w:val="000000" w:themeColor="text1"/>
          <w:szCs w:val="21"/>
          <w:u w:val="single"/>
        </w:rPr>
        <w:t>由承包人编制</w:t>
      </w:r>
      <w:r>
        <w:rPr>
          <w:rFonts w:hint="eastAsia" w:ascii="宋体" w:hAnsi="宋体" w:eastAsia="宋体" w:cs="宋体"/>
          <w:color w:val="000000" w:themeColor="text1"/>
          <w:szCs w:val="21"/>
        </w:rPr>
        <w:t>。</w:t>
      </w:r>
    </w:p>
    <w:p w14:paraId="19879A9C">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6.1.5 文明施工</w:t>
      </w:r>
    </w:p>
    <w:p w14:paraId="75C601DF">
      <w:pPr>
        <w:pStyle w:val="174"/>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合同当事人对文明施工的要求：</w:t>
      </w:r>
      <w:r>
        <w:rPr>
          <w:rFonts w:hint="eastAsia" w:ascii="宋体" w:hAnsi="宋体" w:eastAsia="宋体" w:cs="宋体"/>
          <w:color w:val="000000" w:themeColor="text1"/>
          <w:szCs w:val="21"/>
          <w:u w:val="single"/>
        </w:rPr>
        <w:t>按文明施工规范要求进行施工</w:t>
      </w:r>
      <w:r>
        <w:rPr>
          <w:rFonts w:hint="eastAsia" w:ascii="宋体" w:hAnsi="宋体" w:eastAsia="宋体" w:cs="宋体"/>
          <w:color w:val="000000" w:themeColor="text1"/>
          <w:szCs w:val="21"/>
        </w:rPr>
        <w:t>。</w:t>
      </w:r>
    </w:p>
    <w:p w14:paraId="39EDB30B">
      <w:pPr>
        <w:pStyle w:val="157"/>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6.1.6 关于安全文明施工费支付比例和支付期限的约定：</w:t>
      </w:r>
      <w:r>
        <w:rPr>
          <w:rFonts w:hint="eastAsia" w:ascii="宋体" w:hAnsi="宋体" w:eastAsia="宋体" w:cs="宋体"/>
          <w:color w:val="000000" w:themeColor="text1"/>
          <w:szCs w:val="21"/>
          <w:u w:val="single"/>
        </w:rPr>
        <w:t>（1）本合同价款已包含安全文明施工费按中标后的安全文明施工费        元。</w:t>
      </w:r>
    </w:p>
    <w:p w14:paraId="7EF64550">
      <w:pPr>
        <w:pStyle w:val="157"/>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（2）使用要求：专款专用。具体按《广西壮族自治区建设工程安全文明施工费使用管理细则》（桂建质〔2015〕16号）和河池市相关规定执行。</w:t>
      </w:r>
    </w:p>
    <w:p w14:paraId="7A3111F4">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u w:val="single"/>
        </w:rPr>
        <w:t xml:space="preserve">（3）支付约定：按合同通用条款执行  </w:t>
      </w:r>
      <w:r>
        <w:rPr>
          <w:rFonts w:hint="eastAsia" w:ascii="宋体" w:hAnsi="宋体" w:eastAsia="宋体" w:cs="宋体"/>
          <w:color w:val="000000" w:themeColor="text1"/>
        </w:rPr>
        <w:t>。</w:t>
      </w:r>
    </w:p>
    <w:bookmarkEnd w:id="904"/>
    <w:bookmarkEnd w:id="905"/>
    <w:bookmarkEnd w:id="906"/>
    <w:bookmarkEnd w:id="907"/>
    <w:bookmarkEnd w:id="908"/>
    <w:bookmarkEnd w:id="909"/>
    <w:bookmarkEnd w:id="910"/>
    <w:p w14:paraId="0D86AFD3">
      <w:pPr>
        <w:pStyle w:val="165"/>
        <w:spacing w:before="120" w:after="120" w:line="460" w:lineRule="atLeast"/>
        <w:rPr>
          <w:rFonts w:hint="eastAsia" w:ascii="宋体" w:hAnsi="宋体" w:eastAsia="宋体" w:cs="宋体"/>
          <w:b w:val="0"/>
          <w:color w:val="000000" w:themeColor="text1"/>
          <w:sz w:val="21"/>
          <w:szCs w:val="21"/>
        </w:rPr>
      </w:pPr>
      <w:bookmarkStart w:id="927" w:name="_Toc4434"/>
      <w:bookmarkStart w:id="928" w:name="_Toc29474"/>
      <w:bookmarkStart w:id="929" w:name="_Toc32337"/>
      <w:bookmarkStart w:id="930" w:name="_Toc2321"/>
      <w:bookmarkStart w:id="931" w:name="_Toc351203639"/>
      <w:bookmarkStart w:id="932" w:name="_Toc18037"/>
      <w:bookmarkStart w:id="933" w:name="_Toc13025"/>
      <w:bookmarkStart w:id="934" w:name="_Toc17594"/>
      <w:r>
        <w:rPr>
          <w:rFonts w:hint="eastAsia" w:ascii="宋体" w:hAnsi="宋体" w:eastAsia="宋体" w:cs="宋体"/>
          <w:b w:val="0"/>
          <w:color w:val="000000" w:themeColor="text1"/>
          <w:sz w:val="21"/>
          <w:szCs w:val="21"/>
        </w:rPr>
        <w:t>7. 工期和进度</w:t>
      </w:r>
      <w:bookmarkEnd w:id="927"/>
      <w:bookmarkEnd w:id="928"/>
      <w:bookmarkEnd w:id="929"/>
      <w:bookmarkEnd w:id="930"/>
      <w:bookmarkEnd w:id="931"/>
      <w:bookmarkEnd w:id="932"/>
      <w:bookmarkEnd w:id="933"/>
      <w:bookmarkEnd w:id="934"/>
    </w:p>
    <w:p w14:paraId="19F7567C">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7.1 施工组织设计</w:t>
      </w:r>
    </w:p>
    <w:p w14:paraId="4EC94DF1">
      <w:pPr>
        <w:pStyle w:val="149"/>
        <w:adjustRightInd w:val="0"/>
        <w:spacing w:line="460" w:lineRule="atLeast"/>
        <w:ind w:firstLine="420" w:firstLineChars="200"/>
        <w:jc w:val="left"/>
        <w:rPr>
          <w:rFonts w:hint="eastAsia" w:ascii="宋体" w:hAnsi="宋体" w:eastAsia="宋体" w:cs="宋体"/>
          <w:color w:val="000000" w:themeColor="text1"/>
          <w:kern w:val="0"/>
        </w:rPr>
      </w:pPr>
      <w:r>
        <w:rPr>
          <w:rFonts w:hint="eastAsia" w:ascii="宋体" w:hAnsi="宋体" w:eastAsia="宋体" w:cs="宋体"/>
          <w:color w:val="000000" w:themeColor="text1"/>
        </w:rPr>
        <w:t>7.1.1 合</w:t>
      </w:r>
      <w:r>
        <w:rPr>
          <w:rFonts w:hint="eastAsia" w:ascii="宋体" w:hAnsi="宋体" w:eastAsia="宋体" w:cs="宋体"/>
          <w:color w:val="000000" w:themeColor="text1"/>
          <w:kern w:val="0"/>
        </w:rPr>
        <w:t>同当事人约定的施工组织设计应包括的其他内容：</w:t>
      </w:r>
      <w:r>
        <w:rPr>
          <w:rFonts w:hint="eastAsia" w:ascii="宋体" w:hAnsi="宋体" w:eastAsia="宋体" w:cs="宋体"/>
          <w:color w:val="000000" w:themeColor="text1"/>
          <w:u w:val="single"/>
        </w:rPr>
        <w:t xml:space="preserve"> 按合同通用条款执行 </w:t>
      </w:r>
      <w:r>
        <w:rPr>
          <w:rFonts w:hint="eastAsia" w:ascii="宋体" w:hAnsi="宋体" w:eastAsia="宋体" w:cs="宋体"/>
          <w:color w:val="000000" w:themeColor="text1"/>
        </w:rPr>
        <w:t>。</w:t>
      </w:r>
    </w:p>
    <w:p w14:paraId="15230357">
      <w:pPr>
        <w:pStyle w:val="149"/>
        <w:adjustRightInd w:val="0"/>
        <w:spacing w:line="460" w:lineRule="atLeast"/>
        <w:ind w:firstLine="420" w:firstLineChars="200"/>
        <w:jc w:val="left"/>
        <w:rPr>
          <w:rFonts w:hint="eastAsia" w:ascii="宋体" w:hAnsi="宋体" w:eastAsia="宋体" w:cs="宋体"/>
          <w:color w:val="000000" w:themeColor="text1"/>
          <w:kern w:val="0"/>
        </w:rPr>
      </w:pPr>
      <w:r>
        <w:rPr>
          <w:rFonts w:hint="eastAsia" w:ascii="宋体" w:hAnsi="宋体" w:eastAsia="宋体" w:cs="宋体"/>
          <w:color w:val="000000" w:themeColor="text1"/>
        </w:rPr>
        <w:t xml:space="preserve">7.1.2 </w:t>
      </w:r>
      <w:r>
        <w:rPr>
          <w:rFonts w:hint="eastAsia" w:ascii="宋体" w:hAnsi="宋体" w:eastAsia="宋体" w:cs="宋体"/>
          <w:color w:val="000000" w:themeColor="text1"/>
          <w:kern w:val="0"/>
        </w:rPr>
        <w:t>施工组织设计的提交和修改</w:t>
      </w:r>
    </w:p>
    <w:p w14:paraId="6F7B0BDC">
      <w:pPr>
        <w:pStyle w:val="149"/>
        <w:adjustRightInd w:val="0"/>
        <w:spacing w:line="460" w:lineRule="atLeast"/>
        <w:jc w:val="left"/>
        <w:rPr>
          <w:rFonts w:hint="eastAsia" w:ascii="宋体" w:hAnsi="宋体" w:eastAsia="宋体" w:cs="宋体"/>
          <w:color w:val="000000" w:themeColor="text1"/>
        </w:rPr>
      </w:pPr>
      <w:r>
        <w:rPr>
          <w:rFonts w:hint="eastAsia" w:ascii="宋体" w:hAnsi="宋体" w:eastAsia="宋体" w:cs="宋体"/>
          <w:color w:val="000000" w:themeColor="text1"/>
          <w:kern w:val="0"/>
        </w:rPr>
        <w:t>承包人提交详细施工组织设计的期限的约定：</w:t>
      </w:r>
      <w:r>
        <w:rPr>
          <w:rFonts w:hint="eastAsia" w:ascii="宋体" w:hAnsi="宋体" w:eastAsia="宋体" w:cs="宋体"/>
          <w:color w:val="000000" w:themeColor="text1"/>
          <w:u w:val="single"/>
        </w:rPr>
        <w:t xml:space="preserve">  合同签订后7天内  </w:t>
      </w:r>
      <w:r>
        <w:rPr>
          <w:rFonts w:hint="eastAsia" w:ascii="宋体" w:hAnsi="宋体" w:eastAsia="宋体" w:cs="宋体"/>
          <w:color w:val="000000" w:themeColor="text1"/>
        </w:rPr>
        <w:t>。</w:t>
      </w:r>
    </w:p>
    <w:p w14:paraId="51E72EF3">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发包人和监理人在收到详细的施工组织设计后确认或提出修改意见的期限：</w:t>
      </w:r>
      <w:r>
        <w:rPr>
          <w:rFonts w:hint="eastAsia" w:ascii="宋体" w:hAnsi="宋体" w:eastAsia="宋体" w:cs="宋体"/>
          <w:color w:val="000000" w:themeColor="text1"/>
          <w:u w:val="single"/>
        </w:rPr>
        <w:t xml:space="preserve">   自监理人收到承包人报送的施工组织设计7天内  </w:t>
      </w:r>
      <w:r>
        <w:rPr>
          <w:rFonts w:hint="eastAsia" w:ascii="宋体" w:hAnsi="宋体" w:eastAsia="宋体" w:cs="宋体"/>
          <w:color w:val="000000" w:themeColor="text1"/>
        </w:rPr>
        <w:t>。</w:t>
      </w:r>
    </w:p>
    <w:p w14:paraId="46E09F08">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w:t>
      </w:r>
      <w:bookmarkStart w:id="935" w:name="_Toc297123514"/>
      <w:bookmarkStart w:id="936" w:name="_Toc312678005"/>
      <w:bookmarkStart w:id="937" w:name="_Toc312677479"/>
      <w:bookmarkStart w:id="938" w:name="_Toc297216173"/>
      <w:bookmarkStart w:id="939" w:name="_Toc304295541"/>
      <w:bookmarkStart w:id="940" w:name="_Toc300934966"/>
      <w:bookmarkStart w:id="941" w:name="_Toc303539123"/>
      <w:r>
        <w:rPr>
          <w:rFonts w:hint="eastAsia" w:ascii="宋体" w:hAnsi="宋体" w:eastAsia="宋体" w:cs="宋体"/>
          <w:color w:val="000000" w:themeColor="text1"/>
          <w:szCs w:val="21"/>
        </w:rPr>
        <w:t>.2 施工进度计划</w:t>
      </w:r>
    </w:p>
    <w:p w14:paraId="6520BEE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7.2.2 施工进度计划的修订</w:t>
      </w:r>
    </w:p>
    <w:p w14:paraId="03D92BAE">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发包人和监理人在收到修订的施工进度计划后确认或提出修改意见的期限：</w:t>
      </w:r>
      <w:r>
        <w:rPr>
          <w:rFonts w:hint="eastAsia" w:ascii="宋体" w:hAnsi="宋体" w:eastAsia="宋体" w:cs="宋体"/>
          <w:color w:val="000000" w:themeColor="text1"/>
          <w:szCs w:val="21"/>
          <w:u w:val="single"/>
        </w:rPr>
        <w:t xml:space="preserve">   收到之日起七个工作日内批复     </w:t>
      </w:r>
      <w:r>
        <w:rPr>
          <w:rFonts w:hint="eastAsia" w:ascii="宋体" w:hAnsi="宋体" w:eastAsia="宋体" w:cs="宋体"/>
          <w:color w:val="000000" w:themeColor="text1"/>
          <w:szCs w:val="21"/>
        </w:rPr>
        <w:t>。</w:t>
      </w:r>
    </w:p>
    <w:p w14:paraId="0D0AC59C">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7.3 开工</w:t>
      </w:r>
    </w:p>
    <w:p w14:paraId="4BC96AAC">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7.3.1 开工准备</w:t>
      </w:r>
    </w:p>
    <w:p w14:paraId="662952A4">
      <w:pPr>
        <w:pStyle w:val="149"/>
        <w:spacing w:line="460" w:lineRule="atLeast"/>
        <w:ind w:firstLine="645"/>
        <w:jc w:val="left"/>
        <w:rPr>
          <w:rFonts w:hint="eastAsia" w:ascii="宋体" w:hAnsi="宋体" w:eastAsia="宋体" w:cs="宋体"/>
          <w:color w:val="000000" w:themeColor="text1"/>
          <w:u w:val="single"/>
        </w:rPr>
      </w:pPr>
      <w:r>
        <w:rPr>
          <w:rFonts w:hint="eastAsia" w:ascii="宋体" w:hAnsi="宋体" w:eastAsia="宋体" w:cs="宋体"/>
          <w:color w:val="000000" w:themeColor="text1"/>
        </w:rPr>
        <w:t>关于承包人提交</w:t>
      </w:r>
      <w:r>
        <w:rPr>
          <w:rFonts w:hint="eastAsia" w:ascii="宋体" w:hAnsi="宋体" w:eastAsia="宋体" w:cs="宋体"/>
          <w:color w:val="000000" w:themeColor="text1"/>
          <w:kern w:val="0"/>
        </w:rPr>
        <w:t>工程开工报审表的期限：</w:t>
      </w:r>
      <w:r>
        <w:rPr>
          <w:rFonts w:hint="eastAsia" w:ascii="宋体" w:hAnsi="宋体" w:eastAsia="宋体" w:cs="宋体"/>
          <w:color w:val="000000" w:themeColor="text1"/>
          <w:u w:val="single"/>
        </w:rPr>
        <w:t xml:space="preserve">   开工前7日   </w:t>
      </w:r>
      <w:r>
        <w:rPr>
          <w:rFonts w:hint="eastAsia" w:ascii="宋体" w:hAnsi="宋体" w:eastAsia="宋体" w:cs="宋体"/>
          <w:color w:val="000000" w:themeColor="text1"/>
        </w:rPr>
        <w:t>。</w:t>
      </w:r>
    </w:p>
    <w:p w14:paraId="58C28AA2">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关于发包人应完成的其他开工准备工作及期限：</w:t>
      </w:r>
      <w:r>
        <w:rPr>
          <w:rFonts w:hint="eastAsia" w:ascii="宋体" w:hAnsi="宋体" w:eastAsia="宋体" w:cs="宋体"/>
          <w:color w:val="000000" w:themeColor="text1"/>
          <w:szCs w:val="21"/>
          <w:u w:val="single"/>
        </w:rPr>
        <w:t xml:space="preserve">   开工前7日 </w:t>
      </w:r>
      <w:r>
        <w:rPr>
          <w:rFonts w:hint="eastAsia" w:ascii="宋体" w:hAnsi="宋体" w:eastAsia="宋体" w:cs="宋体"/>
          <w:color w:val="000000" w:themeColor="text1"/>
          <w:szCs w:val="21"/>
        </w:rPr>
        <w:t>。</w:t>
      </w:r>
    </w:p>
    <w:p w14:paraId="7A6CE6FC">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关于承包人应完成的其他开工准备工作及期限：</w:t>
      </w:r>
      <w:r>
        <w:rPr>
          <w:rFonts w:hint="eastAsia" w:ascii="宋体" w:hAnsi="宋体" w:eastAsia="宋体" w:cs="宋体"/>
          <w:color w:val="000000" w:themeColor="text1"/>
          <w:szCs w:val="21"/>
          <w:u w:val="single"/>
        </w:rPr>
        <w:t xml:space="preserve">   开工前7日    </w:t>
      </w:r>
      <w:r>
        <w:rPr>
          <w:rFonts w:hint="eastAsia" w:ascii="宋体" w:hAnsi="宋体" w:eastAsia="宋体" w:cs="宋体"/>
          <w:color w:val="000000" w:themeColor="text1"/>
          <w:szCs w:val="21"/>
        </w:rPr>
        <w:t>。</w:t>
      </w:r>
    </w:p>
    <w:p w14:paraId="70442926">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7.3.2开工通知</w:t>
      </w:r>
    </w:p>
    <w:p w14:paraId="3BD7CB30">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因发包人原因造成监理人未能在计划开工日期之日起</w:t>
      </w:r>
      <w:r>
        <w:rPr>
          <w:rFonts w:hint="eastAsia" w:ascii="宋体" w:hAnsi="宋体" w:eastAsia="宋体" w:cs="宋体"/>
          <w:color w:val="000000" w:themeColor="text1"/>
          <w:szCs w:val="21"/>
          <w:u w:val="single"/>
        </w:rPr>
        <w:t xml:space="preserve">  90 </w:t>
      </w:r>
      <w:r>
        <w:rPr>
          <w:rFonts w:hint="eastAsia" w:ascii="宋体" w:hAnsi="宋体" w:eastAsia="宋体" w:cs="宋体"/>
          <w:color w:val="000000" w:themeColor="text1"/>
          <w:szCs w:val="21"/>
        </w:rPr>
        <w:t>天内发出开工通知的，承包人有权提出价格调整要求，或者解除合同。</w:t>
      </w:r>
    </w:p>
    <w:bookmarkEnd w:id="935"/>
    <w:bookmarkEnd w:id="936"/>
    <w:bookmarkEnd w:id="937"/>
    <w:bookmarkEnd w:id="938"/>
    <w:bookmarkEnd w:id="939"/>
    <w:bookmarkEnd w:id="940"/>
    <w:bookmarkEnd w:id="941"/>
    <w:p w14:paraId="69921B61">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7.4 测量放线</w:t>
      </w:r>
    </w:p>
    <w:p w14:paraId="5ED0B963">
      <w:pPr>
        <w:pStyle w:val="15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7.4.1发包人通过监理人向承包人提供测量基准点、基准线和水准点及其书面资料的期限：</w:t>
      </w:r>
      <w:r>
        <w:rPr>
          <w:rFonts w:hint="eastAsia" w:ascii="宋体" w:hAnsi="宋体" w:eastAsia="宋体" w:cs="宋体"/>
          <w:color w:val="000000" w:themeColor="text1"/>
          <w:szCs w:val="21"/>
          <w:u w:val="single"/>
        </w:rPr>
        <w:t xml:space="preserve"> 开工7日前以书面形式交验，并于交付施工现场时，在现场实际交验，同时做好交验记录  </w:t>
      </w:r>
      <w:r>
        <w:rPr>
          <w:rFonts w:hint="eastAsia" w:ascii="宋体" w:hAnsi="宋体" w:eastAsia="宋体" w:cs="宋体"/>
          <w:color w:val="000000" w:themeColor="text1"/>
          <w:szCs w:val="21"/>
        </w:rPr>
        <w:t>。</w:t>
      </w:r>
    </w:p>
    <w:p w14:paraId="224AECEE">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w:t>
      </w:r>
      <w:bookmarkStart w:id="942" w:name="_Toc297123516"/>
      <w:bookmarkStart w:id="943" w:name="_Toc297216175"/>
      <w:bookmarkStart w:id="944" w:name="_Toc312677484"/>
      <w:bookmarkStart w:id="945" w:name="_Toc300934968"/>
      <w:bookmarkStart w:id="946" w:name="_Toc303539125"/>
      <w:bookmarkStart w:id="947" w:name="_Toc312678010"/>
      <w:bookmarkStart w:id="948" w:name="_Toc304295546"/>
      <w:r>
        <w:rPr>
          <w:rFonts w:hint="eastAsia" w:ascii="宋体" w:hAnsi="宋体" w:eastAsia="宋体" w:cs="宋体"/>
          <w:color w:val="000000" w:themeColor="text1"/>
          <w:szCs w:val="21"/>
        </w:rPr>
        <w:t>.5 工期延误</w:t>
      </w:r>
    </w:p>
    <w:bookmarkEnd w:id="942"/>
    <w:bookmarkEnd w:id="943"/>
    <w:bookmarkEnd w:id="944"/>
    <w:bookmarkEnd w:id="945"/>
    <w:bookmarkEnd w:id="946"/>
    <w:bookmarkEnd w:id="947"/>
    <w:bookmarkEnd w:id="948"/>
    <w:p w14:paraId="2BE061CB">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7.5.1 因发包人原因导致工期延误</w:t>
      </w:r>
    </w:p>
    <w:p w14:paraId="314FF449">
      <w:pPr>
        <w:pStyle w:val="149"/>
        <w:spacing w:line="460" w:lineRule="atLeast"/>
        <w:jc w:val="left"/>
        <w:rPr>
          <w:rFonts w:hint="eastAsia" w:ascii="宋体" w:hAnsi="宋体" w:eastAsia="宋体" w:cs="宋体"/>
          <w:color w:val="000000" w:themeColor="text1"/>
        </w:rPr>
      </w:pPr>
      <w:bookmarkStart w:id="949" w:name="_Toc312678014"/>
      <w:bookmarkStart w:id="950" w:name="_Toc318581171"/>
      <w:r>
        <w:rPr>
          <w:rFonts w:hint="eastAsia" w:ascii="宋体" w:hAnsi="宋体" w:eastAsia="宋体" w:cs="宋体"/>
          <w:color w:val="000000" w:themeColor="text1"/>
        </w:rPr>
        <w:t>（7）因发包人原因导致工期延误的其他情形：</w:t>
      </w:r>
      <w:r>
        <w:rPr>
          <w:rFonts w:hint="eastAsia" w:ascii="宋体" w:hAnsi="宋体" w:eastAsia="宋体" w:cs="宋体"/>
          <w:color w:val="000000" w:themeColor="text1"/>
          <w:u w:val="single"/>
        </w:rPr>
        <w:t xml:space="preserve"> ①重大图纸变更影响关健线路工序施工；②施工期间如因停电、停水连续8小时以上或一周内间歇性停水、停电累计8小时（含8小时）影响正常施工的。③政府指令性停工。④因发包人未能及时确认变更价格或甲供材料提供延误的。⑤非承包人的责任造成的工期延误其他情形 </w:t>
      </w:r>
      <w:r>
        <w:rPr>
          <w:rFonts w:hint="eastAsia" w:ascii="宋体" w:hAnsi="宋体" w:eastAsia="宋体" w:cs="宋体"/>
          <w:color w:val="000000" w:themeColor="text1"/>
        </w:rPr>
        <w:t>。</w:t>
      </w:r>
    </w:p>
    <w:p w14:paraId="4E6B5068">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7</w:t>
      </w:r>
      <w:bookmarkStart w:id="951" w:name="_Toc312678012"/>
      <w:bookmarkStart w:id="952" w:name="_Toc312677486"/>
      <w:bookmarkStart w:id="953" w:name="_Toc318581169"/>
      <w:bookmarkStart w:id="954" w:name="_Toc303539127"/>
      <w:bookmarkStart w:id="955" w:name="_Toc300934970"/>
      <w:bookmarkStart w:id="956" w:name="_Toc297123518"/>
      <w:bookmarkStart w:id="957" w:name="_Toc297216177"/>
      <w:bookmarkStart w:id="958" w:name="_Toc304295548"/>
      <w:r>
        <w:rPr>
          <w:rFonts w:hint="eastAsia" w:ascii="宋体" w:hAnsi="宋体" w:eastAsia="宋体" w:cs="宋体"/>
          <w:color w:val="000000" w:themeColor="text1"/>
        </w:rPr>
        <w:t>.5.2 因承包人原因导致工期延误</w:t>
      </w:r>
    </w:p>
    <w:bookmarkEnd w:id="951"/>
    <w:bookmarkEnd w:id="952"/>
    <w:bookmarkEnd w:id="953"/>
    <w:p w14:paraId="2A300E95">
      <w:pPr>
        <w:pStyle w:val="174"/>
        <w:spacing w:line="460" w:lineRule="atLeast"/>
        <w:ind w:firstLine="420" w:firstLineChars="200"/>
        <w:jc w:val="left"/>
        <w:rPr>
          <w:rFonts w:hint="eastAsia" w:ascii="宋体" w:hAnsi="宋体" w:eastAsia="宋体" w:cs="宋体"/>
          <w:color w:val="000000" w:themeColor="text1"/>
          <w:szCs w:val="21"/>
          <w:u w:val="single"/>
        </w:rPr>
      </w:pPr>
      <w:bookmarkStart w:id="959" w:name="_Toc312678013"/>
      <w:bookmarkStart w:id="960" w:name="_Toc312677487"/>
      <w:bookmarkStart w:id="961" w:name="_Toc318581170"/>
      <w:r>
        <w:rPr>
          <w:rFonts w:hint="eastAsia" w:ascii="宋体" w:hAnsi="宋体" w:eastAsia="宋体" w:cs="宋体"/>
          <w:color w:val="000000" w:themeColor="text1"/>
          <w:szCs w:val="21"/>
        </w:rPr>
        <w:t>因承包人原因造成工期延误，逾期竣工违约金的计算方法为：</w:t>
      </w:r>
    </w:p>
    <w:p w14:paraId="1497135E">
      <w:pPr>
        <w:pStyle w:val="149"/>
        <w:spacing w:line="460" w:lineRule="atLeast"/>
        <w:jc w:val="left"/>
        <w:rPr>
          <w:rFonts w:hint="eastAsia" w:ascii="宋体" w:hAnsi="宋体" w:eastAsia="宋体" w:cs="宋体"/>
          <w:color w:val="000000" w:themeColor="text1"/>
        </w:rPr>
      </w:pPr>
      <w:r>
        <w:rPr>
          <w:rFonts w:hint="eastAsia" w:ascii="宋体" w:hAnsi="宋体" w:eastAsia="宋体" w:cs="宋体"/>
          <w:color w:val="000000" w:themeColor="text1"/>
          <w:u w:val="single"/>
        </w:rPr>
        <w:t xml:space="preserve">  非上述原因，承包人不能按合同约定的时间竣工，承包人应承担违约责任。应向发包人支付误期赔偿费（赔偿费按逾期竣工的单栋工程罚款，每延误一天,按该工程结算造价扣除建安劳保费、发包人材料设备价款、暂估专业工程、暂列金额后的万分之四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r>
        <w:rPr>
          <w:rFonts w:hint="eastAsia" w:ascii="宋体" w:hAnsi="宋体" w:eastAsia="宋体" w:cs="宋体"/>
          <w:color w:val="000000" w:themeColor="text1"/>
        </w:rPr>
        <w:t>。</w:t>
      </w:r>
      <w:bookmarkEnd w:id="954"/>
      <w:bookmarkEnd w:id="955"/>
      <w:bookmarkEnd w:id="956"/>
      <w:bookmarkEnd w:id="957"/>
      <w:bookmarkEnd w:id="958"/>
      <w:bookmarkEnd w:id="959"/>
      <w:bookmarkEnd w:id="960"/>
    </w:p>
    <w:bookmarkEnd w:id="961"/>
    <w:p w14:paraId="17E53965">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因承包人原因造成工期延误，逾期竣工违约金的上限：</w:t>
      </w:r>
      <w:r>
        <w:rPr>
          <w:rFonts w:hint="eastAsia" w:ascii="宋体" w:hAnsi="宋体" w:eastAsia="宋体" w:cs="宋体"/>
          <w:color w:val="000000" w:themeColor="text1"/>
          <w:szCs w:val="21"/>
          <w:u w:val="single"/>
        </w:rPr>
        <w:t xml:space="preserve"> 逾期竣工的单位工程结算造价扣除建安劳保费、发包人材料价款、暂估专业工程、暂列金额后的10%  </w:t>
      </w:r>
      <w:r>
        <w:rPr>
          <w:rFonts w:hint="eastAsia" w:ascii="宋体" w:hAnsi="宋体" w:eastAsia="宋体" w:cs="宋体"/>
          <w:color w:val="000000" w:themeColor="text1"/>
          <w:szCs w:val="21"/>
        </w:rPr>
        <w:t>。</w:t>
      </w:r>
    </w:p>
    <w:bookmarkEnd w:id="949"/>
    <w:bookmarkEnd w:id="950"/>
    <w:p w14:paraId="40F0099F">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w:t>
      </w:r>
      <w:bookmarkStart w:id="962" w:name="_Toc300934971"/>
      <w:bookmarkStart w:id="963" w:name="_Toc297216178"/>
      <w:bookmarkStart w:id="964" w:name="_Toc312678015"/>
      <w:bookmarkStart w:id="965" w:name="_Toc303539128"/>
      <w:bookmarkStart w:id="966" w:name="_Toc297123519"/>
      <w:bookmarkStart w:id="967" w:name="_Toc304295549"/>
      <w:r>
        <w:rPr>
          <w:rFonts w:hint="eastAsia" w:ascii="宋体" w:hAnsi="宋体" w:eastAsia="宋体" w:cs="宋体"/>
          <w:color w:val="000000" w:themeColor="text1"/>
          <w:szCs w:val="21"/>
        </w:rPr>
        <w:t>.6 不</w:t>
      </w:r>
      <w:bookmarkEnd w:id="962"/>
      <w:bookmarkEnd w:id="963"/>
      <w:bookmarkEnd w:id="964"/>
      <w:bookmarkEnd w:id="965"/>
      <w:bookmarkEnd w:id="966"/>
      <w:bookmarkEnd w:id="967"/>
      <w:r>
        <w:rPr>
          <w:rFonts w:hint="eastAsia" w:ascii="宋体" w:hAnsi="宋体" w:eastAsia="宋体" w:cs="宋体"/>
          <w:color w:val="000000" w:themeColor="text1"/>
          <w:szCs w:val="21"/>
        </w:rPr>
        <w:t>利物质条件</w:t>
      </w:r>
    </w:p>
    <w:p w14:paraId="1BD77410">
      <w:pPr>
        <w:pStyle w:val="150"/>
        <w:spacing w:line="460" w:lineRule="atLeast"/>
        <w:jc w:val="left"/>
        <w:rPr>
          <w:rFonts w:hint="eastAsia" w:ascii="宋体" w:hAnsi="宋体" w:eastAsia="宋体" w:cs="宋体"/>
          <w:color w:val="000000" w:themeColor="text1"/>
          <w:szCs w:val="21"/>
        </w:rPr>
      </w:pPr>
      <w:bookmarkStart w:id="968" w:name="_Toc318581172"/>
      <w:bookmarkStart w:id="969" w:name="_Toc297123520"/>
      <w:bookmarkStart w:id="970" w:name="_Toc312678016"/>
      <w:bookmarkStart w:id="971" w:name="_Toc300934972"/>
      <w:bookmarkStart w:id="972" w:name="_Toc303539129"/>
      <w:bookmarkStart w:id="973" w:name="_Toc304295550"/>
      <w:bookmarkStart w:id="974" w:name="_Toc297216179"/>
      <w:r>
        <w:rPr>
          <w:rFonts w:hint="eastAsia" w:ascii="宋体" w:hAnsi="宋体" w:eastAsia="宋体" w:cs="宋体"/>
          <w:color w:val="000000" w:themeColor="text1"/>
          <w:szCs w:val="21"/>
        </w:rPr>
        <w:t>不利物质条件的其他情形和有关约定：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bookmarkEnd w:id="968"/>
    <w:bookmarkEnd w:id="969"/>
    <w:bookmarkEnd w:id="970"/>
    <w:bookmarkEnd w:id="971"/>
    <w:bookmarkEnd w:id="972"/>
    <w:bookmarkEnd w:id="973"/>
    <w:bookmarkEnd w:id="974"/>
    <w:p w14:paraId="2E56D964">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7</w:t>
      </w:r>
      <w:bookmarkStart w:id="975" w:name="_Toc303539130"/>
      <w:bookmarkStart w:id="976" w:name="_Toc297216180"/>
      <w:bookmarkStart w:id="977" w:name="_Toc300934973"/>
      <w:bookmarkStart w:id="978" w:name="_Toc304295551"/>
      <w:bookmarkStart w:id="979" w:name="_Toc312678017"/>
      <w:bookmarkStart w:id="980" w:name="_Toc297123521"/>
      <w:r>
        <w:rPr>
          <w:rFonts w:hint="eastAsia" w:ascii="宋体" w:hAnsi="宋体" w:eastAsia="宋体" w:cs="宋体"/>
          <w:color w:val="000000" w:themeColor="text1"/>
          <w:szCs w:val="21"/>
        </w:rPr>
        <w:t>.7异常恶劣的气候条件</w:t>
      </w:r>
    </w:p>
    <w:bookmarkEnd w:id="975"/>
    <w:bookmarkEnd w:id="976"/>
    <w:bookmarkEnd w:id="977"/>
    <w:bookmarkEnd w:id="978"/>
    <w:bookmarkEnd w:id="979"/>
    <w:bookmarkEnd w:id="980"/>
    <w:p w14:paraId="2C40A09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发包人和承包人同意以下情形视为异常恶劣的气候条件：</w:t>
      </w:r>
    </w:p>
    <w:p w14:paraId="676C1937">
      <w:pPr>
        <w:pStyle w:val="157"/>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r>
        <w:rPr>
          <w:rFonts w:hint="eastAsia" w:ascii="宋体" w:hAnsi="宋体" w:eastAsia="宋体" w:cs="宋体"/>
          <w:color w:val="000000" w:themeColor="text1"/>
          <w:szCs w:val="21"/>
          <w:u w:val="single"/>
        </w:rPr>
        <w:t>日降雨量大于200㎜的雨日超过 1 天</w:t>
      </w:r>
      <w:r>
        <w:rPr>
          <w:rFonts w:hint="eastAsia" w:ascii="宋体" w:hAnsi="宋体" w:eastAsia="宋体" w:cs="宋体"/>
          <w:color w:val="000000" w:themeColor="text1"/>
          <w:szCs w:val="21"/>
        </w:rPr>
        <w:t>；</w:t>
      </w:r>
    </w:p>
    <w:p w14:paraId="0A2F4B40">
      <w:pPr>
        <w:pStyle w:val="157"/>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r>
        <w:rPr>
          <w:rFonts w:hint="eastAsia" w:ascii="宋体" w:hAnsi="宋体" w:eastAsia="宋体" w:cs="宋体"/>
          <w:color w:val="000000" w:themeColor="text1"/>
          <w:szCs w:val="21"/>
          <w:u w:val="single"/>
        </w:rPr>
        <w:t>10 级以上的持续 1 日的大风（以气象部门鉴定为准）;</w:t>
      </w:r>
    </w:p>
    <w:p w14:paraId="3C4AE2D1">
      <w:pPr>
        <w:pStyle w:val="157"/>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r>
        <w:rPr>
          <w:rFonts w:hint="eastAsia" w:ascii="宋体" w:hAnsi="宋体" w:eastAsia="宋体" w:cs="宋体"/>
          <w:color w:val="000000" w:themeColor="text1"/>
          <w:szCs w:val="21"/>
          <w:u w:val="single"/>
        </w:rPr>
        <w:t>日气温超过 40 ℃的高温大于 2 天</w:t>
      </w:r>
      <w:r>
        <w:rPr>
          <w:rFonts w:hint="eastAsia" w:ascii="宋体" w:hAnsi="宋体" w:eastAsia="宋体" w:cs="宋体"/>
          <w:color w:val="000000" w:themeColor="text1"/>
          <w:szCs w:val="21"/>
        </w:rPr>
        <w:t>；</w:t>
      </w:r>
    </w:p>
    <w:p w14:paraId="665BA97B">
      <w:pPr>
        <w:pStyle w:val="157"/>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（4）</w:t>
      </w:r>
      <w:r>
        <w:rPr>
          <w:rFonts w:hint="eastAsia" w:ascii="宋体" w:hAnsi="宋体" w:eastAsia="宋体" w:cs="宋体"/>
          <w:color w:val="000000" w:themeColor="text1"/>
          <w:szCs w:val="21"/>
          <w:u w:val="single"/>
        </w:rPr>
        <w:t>日气温低于 -10℃的严寒大于 2 天；</w:t>
      </w:r>
    </w:p>
    <w:p w14:paraId="33DE9A39">
      <w:pPr>
        <w:pStyle w:val="157"/>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（5）</w:t>
      </w:r>
      <w:r>
        <w:rPr>
          <w:rFonts w:hint="eastAsia" w:ascii="宋体" w:hAnsi="宋体" w:eastAsia="宋体" w:cs="宋体"/>
          <w:color w:val="000000" w:themeColor="text1"/>
          <w:szCs w:val="21"/>
          <w:u w:val="single"/>
        </w:rPr>
        <w:t>造成工程损坏的冰雹和大雪灾害</w:t>
      </w:r>
      <w:r>
        <w:rPr>
          <w:rFonts w:hint="eastAsia" w:ascii="宋体" w:hAnsi="宋体" w:eastAsia="宋体" w:cs="宋体"/>
          <w:color w:val="000000" w:themeColor="text1"/>
          <w:szCs w:val="21"/>
        </w:rPr>
        <w:t>；</w:t>
      </w:r>
    </w:p>
    <w:p w14:paraId="1159DF73">
      <w:pPr>
        <w:pStyle w:val="157"/>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（6）</w:t>
      </w:r>
      <w:r>
        <w:rPr>
          <w:rFonts w:hint="eastAsia" w:ascii="宋体" w:hAnsi="宋体" w:eastAsia="宋体" w:cs="宋体"/>
          <w:color w:val="000000" w:themeColor="text1"/>
          <w:szCs w:val="21"/>
          <w:u w:val="single"/>
        </w:rPr>
        <w:t>6 级以上的地震</w:t>
      </w:r>
      <w:r>
        <w:rPr>
          <w:rFonts w:hint="eastAsia" w:ascii="宋体" w:hAnsi="宋体" w:eastAsia="宋体" w:cs="宋体"/>
          <w:color w:val="000000" w:themeColor="text1"/>
          <w:szCs w:val="21"/>
        </w:rPr>
        <w:t>；</w:t>
      </w:r>
    </w:p>
    <w:p w14:paraId="5C6DEAAE">
      <w:pPr>
        <w:pStyle w:val="157"/>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（7）</w:t>
      </w:r>
      <w:r>
        <w:rPr>
          <w:rFonts w:hint="eastAsia" w:ascii="宋体" w:hAnsi="宋体" w:eastAsia="宋体" w:cs="宋体"/>
          <w:color w:val="000000" w:themeColor="text1"/>
          <w:szCs w:val="21"/>
          <w:u w:val="single"/>
        </w:rPr>
        <w:t>50 年一遇及以上的洪水</w:t>
      </w:r>
      <w:r>
        <w:rPr>
          <w:rFonts w:hint="eastAsia" w:ascii="宋体" w:hAnsi="宋体" w:eastAsia="宋体" w:cs="宋体"/>
          <w:color w:val="000000" w:themeColor="text1"/>
          <w:szCs w:val="21"/>
        </w:rPr>
        <w:t>；</w:t>
      </w:r>
    </w:p>
    <w:p w14:paraId="30667226">
      <w:pPr>
        <w:pStyle w:val="157"/>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（8）</w:t>
      </w:r>
      <w:r>
        <w:rPr>
          <w:rFonts w:hint="eastAsia" w:ascii="宋体" w:hAnsi="宋体" w:eastAsia="宋体" w:cs="宋体"/>
          <w:color w:val="000000" w:themeColor="text1"/>
          <w:szCs w:val="21"/>
          <w:u w:val="single"/>
        </w:rPr>
        <w:t>其他异常恶劣气候灾害；</w:t>
      </w:r>
    </w:p>
    <w:p w14:paraId="3230929E">
      <w:pPr>
        <w:pStyle w:val="150"/>
        <w:spacing w:line="460" w:lineRule="atLeast"/>
        <w:ind w:firstLine="420" w:firstLineChars="200"/>
        <w:jc w:val="left"/>
        <w:rPr>
          <w:rFonts w:hint="eastAsia" w:ascii="宋体" w:hAnsi="宋体" w:eastAsia="宋体" w:cs="宋体"/>
          <w:color w:val="000000" w:themeColor="text1"/>
          <w:szCs w:val="21"/>
        </w:rPr>
      </w:pPr>
      <w:bookmarkStart w:id="981" w:name="_Toc16861756"/>
      <w:bookmarkStart w:id="982" w:name="_Toc10037865"/>
      <w:r>
        <w:rPr>
          <w:rFonts w:hint="eastAsia" w:ascii="宋体" w:hAnsi="宋体" w:eastAsia="宋体" w:cs="宋体"/>
          <w:color w:val="000000" w:themeColor="text1"/>
          <w:szCs w:val="21"/>
        </w:rPr>
        <w:t>（9）</w:t>
      </w:r>
      <w:r>
        <w:rPr>
          <w:rFonts w:hint="eastAsia" w:ascii="宋体" w:hAnsi="宋体" w:eastAsia="宋体" w:cs="宋体"/>
          <w:color w:val="000000" w:themeColor="text1"/>
          <w:szCs w:val="21"/>
          <w:u w:val="single"/>
        </w:rPr>
        <w:t>对上述几种形式，应以造成灾害和影响施工为准。</w:t>
      </w:r>
      <w:bookmarkEnd w:id="981"/>
      <w:bookmarkEnd w:id="982"/>
    </w:p>
    <w:p w14:paraId="1BDDEDA7">
      <w:pPr>
        <w:pStyle w:val="150"/>
        <w:spacing w:after="120" w:line="460" w:lineRule="atLeast"/>
        <w:ind w:firstLine="420" w:firstLineChars="200"/>
        <w:outlineLvl w:val="0"/>
        <w:rPr>
          <w:rFonts w:hint="eastAsia" w:ascii="宋体" w:hAnsi="宋体" w:eastAsia="宋体" w:cs="宋体"/>
          <w:color w:val="000000" w:themeColor="text1"/>
          <w:szCs w:val="21"/>
        </w:rPr>
      </w:pPr>
      <w:bookmarkStart w:id="983" w:name="_Toc18574489"/>
      <w:bookmarkStart w:id="984" w:name="_Toc7889"/>
      <w:bookmarkStart w:id="985" w:name="_Toc13183"/>
      <w:bookmarkStart w:id="986" w:name="_Toc20139"/>
      <w:bookmarkStart w:id="987" w:name="_Toc8249"/>
      <w:bookmarkStart w:id="988" w:name="_Toc29028"/>
      <w:bookmarkStart w:id="989" w:name="_Toc7774"/>
      <w:bookmarkStart w:id="990" w:name="_Toc19260"/>
      <w:r>
        <w:rPr>
          <w:rFonts w:hint="eastAsia" w:ascii="宋体" w:hAnsi="宋体" w:eastAsia="宋体" w:cs="宋体"/>
          <w:color w:val="000000" w:themeColor="text1"/>
          <w:szCs w:val="21"/>
        </w:rPr>
        <w:t>7.9 提前竣工的奖励</w:t>
      </w:r>
      <w:bookmarkEnd w:id="983"/>
      <w:bookmarkEnd w:id="984"/>
      <w:bookmarkEnd w:id="985"/>
      <w:bookmarkEnd w:id="986"/>
      <w:bookmarkEnd w:id="987"/>
      <w:bookmarkEnd w:id="988"/>
      <w:bookmarkEnd w:id="989"/>
      <w:bookmarkEnd w:id="990"/>
    </w:p>
    <w:p w14:paraId="1DD4DF6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7.9.2提前竣工的奖励：</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44726380">
      <w:pPr>
        <w:pStyle w:val="165"/>
        <w:spacing w:before="120" w:after="120" w:line="460" w:lineRule="atLeast"/>
        <w:rPr>
          <w:rFonts w:hint="eastAsia" w:ascii="宋体" w:hAnsi="宋体" w:eastAsia="宋体" w:cs="宋体"/>
          <w:b w:val="0"/>
          <w:color w:val="000000" w:themeColor="text1"/>
          <w:sz w:val="21"/>
          <w:szCs w:val="21"/>
        </w:rPr>
      </w:pPr>
      <w:bookmarkStart w:id="991" w:name="_Toc20872"/>
      <w:bookmarkStart w:id="992" w:name="_Toc32682"/>
      <w:bookmarkStart w:id="993" w:name="_Toc26528"/>
      <w:bookmarkStart w:id="994" w:name="_Toc1431"/>
      <w:bookmarkStart w:id="995" w:name="_Toc31558"/>
      <w:bookmarkStart w:id="996" w:name="_Toc27483"/>
      <w:bookmarkStart w:id="997" w:name="_Toc351203640"/>
      <w:bookmarkStart w:id="998" w:name="_Toc2627"/>
      <w:r>
        <w:rPr>
          <w:rFonts w:hint="eastAsia" w:ascii="宋体" w:hAnsi="宋体" w:eastAsia="宋体" w:cs="宋体"/>
          <w:b w:val="0"/>
          <w:color w:val="000000" w:themeColor="text1"/>
          <w:sz w:val="21"/>
          <w:szCs w:val="21"/>
        </w:rPr>
        <w:t>8. 材料与设备</w:t>
      </w:r>
      <w:bookmarkEnd w:id="991"/>
      <w:bookmarkEnd w:id="992"/>
      <w:bookmarkEnd w:id="993"/>
      <w:bookmarkEnd w:id="994"/>
      <w:bookmarkEnd w:id="995"/>
      <w:bookmarkEnd w:id="996"/>
      <w:bookmarkEnd w:id="997"/>
      <w:bookmarkEnd w:id="998"/>
    </w:p>
    <w:bookmarkEnd w:id="886"/>
    <w:bookmarkEnd w:id="887"/>
    <w:bookmarkEnd w:id="888"/>
    <w:bookmarkEnd w:id="889"/>
    <w:bookmarkEnd w:id="890"/>
    <w:bookmarkEnd w:id="891"/>
    <w:bookmarkEnd w:id="892"/>
    <w:bookmarkEnd w:id="893"/>
    <w:bookmarkEnd w:id="894"/>
    <w:bookmarkEnd w:id="895"/>
    <w:p w14:paraId="56359589">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8</w:t>
      </w:r>
      <w:bookmarkStart w:id="999" w:name="_Toc296944506"/>
      <w:bookmarkStart w:id="1000" w:name="_Toc296503167"/>
      <w:bookmarkStart w:id="1001" w:name="_Toc280868654"/>
      <w:bookmarkStart w:id="1002" w:name="_Toc292559877"/>
      <w:bookmarkStart w:id="1003" w:name="_Toc296891207"/>
      <w:bookmarkStart w:id="1004" w:name="_Toc297048353"/>
      <w:bookmarkStart w:id="1005" w:name="_Toc296890995"/>
      <w:bookmarkStart w:id="1006" w:name="_Toc312678019"/>
      <w:bookmarkStart w:id="1007" w:name="_Toc304295556"/>
      <w:bookmarkStart w:id="1008" w:name="_Toc297216186"/>
      <w:bookmarkStart w:id="1009" w:name="_Toc297123527"/>
      <w:bookmarkStart w:id="1010" w:name="_Toc300934979"/>
      <w:bookmarkStart w:id="1011" w:name="_Toc296346668"/>
      <w:bookmarkStart w:id="1012" w:name="_Toc303539136"/>
      <w:bookmarkStart w:id="1013" w:name="_Toc296347166"/>
      <w:bookmarkStart w:id="1014" w:name="_Toc292559372"/>
      <w:bookmarkStart w:id="1015" w:name="_Toc312677493"/>
      <w:bookmarkStart w:id="1016" w:name="_Toc297120467"/>
      <w:bookmarkStart w:id="1017" w:name="_Toc280868655"/>
      <w:bookmarkStart w:id="1018" w:name="_Toc267251424"/>
      <w:bookmarkStart w:id="1019" w:name="_Toc280868656"/>
      <w:r>
        <w:rPr>
          <w:rFonts w:hint="eastAsia" w:ascii="宋体" w:hAnsi="宋体" w:eastAsia="宋体" w:cs="宋体"/>
          <w:color w:val="000000" w:themeColor="text1"/>
          <w:szCs w:val="21"/>
        </w:rPr>
        <w:t>.4材料与工程设备的保管与使用</w:t>
      </w:r>
    </w:p>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14:paraId="45A155A3">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8</w:t>
      </w:r>
      <w:bookmarkStart w:id="1020" w:name="_Toc292559878"/>
      <w:bookmarkStart w:id="1021" w:name="_Toc292559373"/>
      <w:bookmarkStart w:id="1022" w:name="_Toc304295557"/>
      <w:bookmarkStart w:id="1023" w:name="_Toc312677494"/>
      <w:bookmarkStart w:id="1024" w:name="_Toc296347167"/>
      <w:bookmarkStart w:id="1025" w:name="_Toc296890996"/>
      <w:bookmarkStart w:id="1026" w:name="_Toc312678020"/>
      <w:bookmarkStart w:id="1027" w:name="_Toc297048354"/>
      <w:bookmarkStart w:id="1028" w:name="_Toc318581173"/>
      <w:bookmarkStart w:id="1029" w:name="_Toc297120468"/>
      <w:bookmarkStart w:id="1030" w:name="_Toc296891208"/>
      <w:bookmarkStart w:id="1031" w:name="_Toc297123528"/>
      <w:bookmarkStart w:id="1032" w:name="_Toc297216187"/>
      <w:bookmarkStart w:id="1033" w:name="_Toc300934980"/>
      <w:bookmarkStart w:id="1034" w:name="_Toc296503168"/>
      <w:bookmarkStart w:id="1035" w:name="_Toc303539137"/>
      <w:bookmarkStart w:id="1036" w:name="_Toc296346669"/>
      <w:bookmarkStart w:id="1037" w:name="_Toc296944507"/>
      <w:r>
        <w:rPr>
          <w:rFonts w:hint="eastAsia" w:ascii="宋体" w:hAnsi="宋体" w:eastAsia="宋体" w:cs="宋体"/>
          <w:color w:val="000000" w:themeColor="text1"/>
          <w:szCs w:val="21"/>
        </w:rPr>
        <w:t>.4.1发包人供应的材料设备的保管费用的承担：</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bookmarkEnd w:id="1020"/>
      <w:bookmarkEnd w:id="1021"/>
    </w:p>
    <w:p w14:paraId="0D33B362">
      <w:pPr>
        <w:pStyle w:val="150"/>
        <w:spacing w:after="120" w:line="460" w:lineRule="atLeast"/>
        <w:ind w:firstLine="420" w:firstLineChars="200"/>
        <w:outlineLvl w:val="0"/>
        <w:rPr>
          <w:rFonts w:hint="eastAsia" w:ascii="宋体" w:hAnsi="宋体" w:eastAsia="宋体" w:cs="宋体"/>
          <w:color w:val="000000" w:themeColor="text1"/>
          <w:szCs w:val="21"/>
        </w:rPr>
      </w:pPr>
      <w:bookmarkStart w:id="1038" w:name="_Toc4060"/>
      <w:bookmarkStart w:id="1039" w:name="_Toc7623"/>
      <w:bookmarkStart w:id="1040" w:name="_Toc18574490"/>
      <w:bookmarkStart w:id="1041" w:name="_Toc28872"/>
      <w:bookmarkStart w:id="1042" w:name="_Toc20560"/>
      <w:bookmarkStart w:id="1043" w:name="_Toc8313"/>
      <w:bookmarkStart w:id="1044" w:name="_Toc17590"/>
      <w:bookmarkStart w:id="1045" w:name="_Toc17002"/>
      <w:r>
        <w:rPr>
          <w:rFonts w:hint="eastAsia" w:ascii="宋体" w:hAnsi="宋体" w:eastAsia="宋体" w:cs="宋体"/>
          <w:color w:val="000000" w:themeColor="text1"/>
          <w:szCs w:val="21"/>
        </w:rPr>
        <w:t>8.6 样品</w:t>
      </w:r>
      <w:bookmarkEnd w:id="1038"/>
      <w:bookmarkEnd w:id="1039"/>
      <w:bookmarkEnd w:id="1040"/>
      <w:bookmarkEnd w:id="1041"/>
      <w:bookmarkEnd w:id="1042"/>
      <w:bookmarkEnd w:id="1043"/>
      <w:bookmarkEnd w:id="1044"/>
      <w:bookmarkEnd w:id="1045"/>
    </w:p>
    <w:p w14:paraId="17A86346">
      <w:pPr>
        <w:pStyle w:val="150"/>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8.6.1</w:t>
      </w:r>
      <w:r>
        <w:rPr>
          <w:rFonts w:hint="eastAsia" w:ascii="宋体" w:hAnsi="宋体" w:eastAsia="宋体" w:cs="宋体"/>
          <w:color w:val="000000" w:themeColor="text1"/>
          <w:kern w:val="0"/>
          <w:szCs w:val="21"/>
        </w:rPr>
        <w:tab/>
      </w:r>
      <w:r>
        <w:rPr>
          <w:rFonts w:hint="eastAsia" w:ascii="宋体" w:hAnsi="宋体" w:eastAsia="宋体" w:cs="宋体"/>
          <w:color w:val="000000" w:themeColor="text1"/>
          <w:kern w:val="0"/>
          <w:szCs w:val="21"/>
        </w:rPr>
        <w:t>样品的报送与封存</w:t>
      </w:r>
    </w:p>
    <w:p w14:paraId="3F878537">
      <w:pPr>
        <w:pStyle w:val="150"/>
        <w:adjustRightInd w:val="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需要承包人报送样品的材料或工程设备，样品的种类、名称、规格、数量要求：</w:t>
      </w:r>
      <w:r>
        <w:rPr>
          <w:rFonts w:hint="eastAsia" w:ascii="宋体" w:hAnsi="宋体" w:eastAsia="宋体" w:cs="宋体"/>
          <w:color w:val="000000" w:themeColor="text1"/>
          <w:szCs w:val="21"/>
          <w:u w:val="single"/>
        </w:rPr>
        <w:t xml:space="preserve">主要材料涉及品种、款式、颜色等方面内容的，承包人应提交准备合格的材料样品送发包人选定  </w:t>
      </w:r>
      <w:r>
        <w:rPr>
          <w:rFonts w:hint="eastAsia" w:ascii="宋体" w:hAnsi="宋体" w:eastAsia="宋体" w:cs="宋体"/>
          <w:color w:val="000000" w:themeColor="text1"/>
          <w:szCs w:val="21"/>
        </w:rPr>
        <w:t>。</w:t>
      </w:r>
    </w:p>
    <w:p w14:paraId="701EF443">
      <w:pPr>
        <w:pStyle w:val="150"/>
        <w:spacing w:after="120" w:line="460" w:lineRule="atLeast"/>
        <w:ind w:firstLine="420" w:firstLineChars="200"/>
        <w:outlineLvl w:val="0"/>
        <w:rPr>
          <w:rFonts w:hint="eastAsia" w:ascii="宋体" w:hAnsi="宋体" w:eastAsia="宋体" w:cs="宋体"/>
          <w:color w:val="000000" w:themeColor="text1"/>
          <w:szCs w:val="21"/>
        </w:rPr>
      </w:pPr>
      <w:bookmarkStart w:id="1046" w:name="_Toc20798"/>
      <w:bookmarkStart w:id="1047" w:name="_Toc4687"/>
      <w:bookmarkStart w:id="1048" w:name="_Toc28506"/>
      <w:bookmarkStart w:id="1049" w:name="_Toc18574491"/>
      <w:bookmarkStart w:id="1050" w:name="_Toc18336"/>
      <w:bookmarkStart w:id="1051" w:name="_Toc19720"/>
      <w:bookmarkStart w:id="1052" w:name="_Toc11789"/>
      <w:bookmarkStart w:id="1053" w:name="_Toc30445"/>
      <w:r>
        <w:rPr>
          <w:rFonts w:hint="eastAsia" w:ascii="宋体" w:hAnsi="宋体" w:eastAsia="宋体" w:cs="宋体"/>
          <w:color w:val="000000" w:themeColor="text1"/>
          <w:szCs w:val="21"/>
        </w:rPr>
        <w:t>8.8 施工设备和临时设施</w:t>
      </w:r>
      <w:bookmarkEnd w:id="1046"/>
      <w:bookmarkEnd w:id="1047"/>
      <w:bookmarkEnd w:id="1048"/>
      <w:bookmarkEnd w:id="1049"/>
      <w:bookmarkEnd w:id="1050"/>
      <w:bookmarkEnd w:id="1051"/>
      <w:bookmarkEnd w:id="1052"/>
      <w:bookmarkEnd w:id="1053"/>
    </w:p>
    <w:p w14:paraId="6D6215D2">
      <w:pPr>
        <w:pStyle w:val="150"/>
        <w:adjustRightInd w:val="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8.8.1 承包人提供的施工设备和临时设施</w:t>
      </w:r>
    </w:p>
    <w:p w14:paraId="695E9E14">
      <w:pPr>
        <w:pStyle w:val="157"/>
        <w:adjustRightInd w:val="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关于修建临时设施费用承担的约定：</w:t>
      </w:r>
      <w:r>
        <w:rPr>
          <w:rFonts w:hint="eastAsia" w:ascii="宋体" w:hAnsi="宋体" w:eastAsia="宋体" w:cs="宋体"/>
          <w:color w:val="000000" w:themeColor="text1"/>
          <w:szCs w:val="21"/>
          <w:u w:val="single"/>
        </w:rPr>
        <w:t>①承包人的临时用地（含项目部驻地等）租用费（含拆迁补偿）、临时用地的环保、恢复、临时用地的青苗补偿及地面附着物拆除等费用均由承包人负责，以上费用在投标报价中综合考虑。</w:t>
      </w:r>
    </w:p>
    <w:p w14:paraId="7B75BB7A">
      <w:pPr>
        <w:pStyle w:val="157"/>
        <w:adjustRightInd w:val="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②承包人负责合同实施期间其合同段内临时交通道路（含场内外连接公共交通道路）和交通设施的修建、维修、养护和交通管理工作，并承担一切费用。</w:t>
      </w:r>
    </w:p>
    <w:p w14:paraId="75AB5850">
      <w:pPr>
        <w:pStyle w:val="150"/>
        <w:adjustRightInd w:val="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r>
        <w:rPr>
          <w:rFonts w:hint="eastAsia" w:ascii="宋体" w:hAnsi="宋体" w:eastAsia="宋体" w:cs="宋体"/>
          <w:color w:val="000000" w:themeColor="text1"/>
          <w:szCs w:val="21"/>
        </w:rPr>
        <w:t>。</w:t>
      </w:r>
    </w:p>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14:paraId="4A50433C">
      <w:pPr>
        <w:pStyle w:val="165"/>
        <w:spacing w:before="120" w:after="120" w:line="460" w:lineRule="atLeast"/>
        <w:rPr>
          <w:rFonts w:hint="eastAsia" w:ascii="宋体" w:hAnsi="宋体" w:eastAsia="宋体" w:cs="宋体"/>
          <w:b w:val="0"/>
          <w:color w:val="000000" w:themeColor="text1"/>
          <w:sz w:val="21"/>
          <w:szCs w:val="21"/>
        </w:rPr>
      </w:pPr>
      <w:bookmarkStart w:id="1054" w:name="_Toc29023"/>
      <w:bookmarkStart w:id="1055" w:name="_Toc351203641"/>
      <w:bookmarkStart w:id="1056" w:name="_Toc26134"/>
      <w:bookmarkStart w:id="1057" w:name="_Toc2921"/>
      <w:bookmarkStart w:id="1058" w:name="_Toc9603"/>
      <w:bookmarkStart w:id="1059" w:name="_Toc30214"/>
      <w:bookmarkStart w:id="1060" w:name="_Toc15547"/>
      <w:bookmarkStart w:id="1061" w:name="_Toc2040"/>
      <w:r>
        <w:rPr>
          <w:rFonts w:hint="eastAsia" w:ascii="宋体" w:hAnsi="宋体" w:eastAsia="宋体" w:cs="宋体"/>
          <w:b w:val="0"/>
          <w:color w:val="000000" w:themeColor="text1"/>
          <w:sz w:val="21"/>
          <w:szCs w:val="21"/>
        </w:rPr>
        <w:t>9</w:t>
      </w:r>
      <w:bookmarkEnd w:id="1017"/>
      <w:bookmarkEnd w:id="1018"/>
      <w:bookmarkEnd w:id="1019"/>
      <w:bookmarkStart w:id="1062" w:name="_Toc312678021"/>
      <w:bookmarkStart w:id="1063" w:name="_Toc297216192"/>
      <w:bookmarkStart w:id="1064" w:name="_Toc312677495"/>
      <w:bookmarkStart w:id="1065" w:name="_Toc300934982"/>
      <w:bookmarkStart w:id="1066" w:name="_Toc297123533"/>
      <w:bookmarkStart w:id="1067" w:name="_Toc304295559"/>
      <w:bookmarkStart w:id="1068" w:name="_Toc303539139"/>
      <w:bookmarkStart w:id="1069" w:name="_Toc267251428"/>
      <w:bookmarkStart w:id="1070" w:name="_Toc296891213"/>
      <w:bookmarkStart w:id="1071" w:name="_Toc296347172"/>
      <w:bookmarkStart w:id="1072" w:name="_Toc296346674"/>
      <w:bookmarkStart w:id="1073" w:name="_Toc296891001"/>
      <w:bookmarkStart w:id="1074" w:name="_Toc267251427"/>
      <w:bookmarkStart w:id="1075" w:name="_Toc296503173"/>
      <w:bookmarkStart w:id="1076" w:name="_Toc296944512"/>
      <w:bookmarkStart w:id="1077" w:name="_Toc292559883"/>
      <w:bookmarkStart w:id="1078" w:name="_Toc297048359"/>
      <w:bookmarkStart w:id="1079" w:name="_Toc292559378"/>
      <w:bookmarkStart w:id="1080" w:name="_Toc297120473"/>
      <w:r>
        <w:rPr>
          <w:rFonts w:hint="eastAsia" w:ascii="宋体" w:hAnsi="宋体" w:eastAsia="宋体" w:cs="宋体"/>
          <w:b w:val="0"/>
          <w:color w:val="000000" w:themeColor="text1"/>
          <w:sz w:val="21"/>
          <w:szCs w:val="21"/>
        </w:rPr>
        <w:t>. 试验与检验</w:t>
      </w:r>
      <w:bookmarkEnd w:id="1054"/>
      <w:bookmarkEnd w:id="1055"/>
      <w:bookmarkEnd w:id="1056"/>
      <w:bookmarkEnd w:id="1057"/>
      <w:bookmarkEnd w:id="1058"/>
      <w:bookmarkEnd w:id="1059"/>
      <w:bookmarkEnd w:id="1060"/>
      <w:bookmarkEnd w:id="1061"/>
    </w:p>
    <w:bookmarkEnd w:id="1062"/>
    <w:bookmarkEnd w:id="1063"/>
    <w:bookmarkEnd w:id="1064"/>
    <w:bookmarkEnd w:id="1065"/>
    <w:bookmarkEnd w:id="1066"/>
    <w:bookmarkEnd w:id="1067"/>
    <w:bookmarkEnd w:id="1068"/>
    <w:p w14:paraId="1AFA80C1">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9</w:t>
      </w:r>
      <w:bookmarkStart w:id="1081" w:name="_Toc297216193"/>
      <w:bookmarkStart w:id="1082" w:name="_Toc303539140"/>
      <w:bookmarkStart w:id="1083" w:name="_Toc300934983"/>
      <w:bookmarkStart w:id="1084" w:name="_Toc304295560"/>
      <w:bookmarkStart w:id="1085" w:name="_Toc312678022"/>
      <w:bookmarkStart w:id="1086" w:name="_Toc312677496"/>
      <w:bookmarkStart w:id="1087" w:name="_Toc297123534"/>
      <w:r>
        <w:rPr>
          <w:rFonts w:hint="eastAsia" w:ascii="宋体" w:hAnsi="宋体" w:eastAsia="宋体" w:cs="宋体"/>
          <w:color w:val="000000" w:themeColor="text1"/>
          <w:szCs w:val="21"/>
        </w:rPr>
        <w:t>.1试验设备与试验人员</w:t>
      </w:r>
    </w:p>
    <w:bookmarkEnd w:id="1081"/>
    <w:bookmarkEnd w:id="1082"/>
    <w:bookmarkEnd w:id="1083"/>
    <w:bookmarkEnd w:id="1084"/>
    <w:bookmarkEnd w:id="1085"/>
    <w:bookmarkEnd w:id="1086"/>
    <w:bookmarkEnd w:id="1087"/>
    <w:p w14:paraId="54505E0D">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9</w:t>
      </w:r>
      <w:bookmarkStart w:id="1088" w:name="_Toc297123535"/>
      <w:bookmarkStart w:id="1089" w:name="_Toc297216194"/>
      <w:bookmarkStart w:id="1090" w:name="_Toc303539141"/>
      <w:bookmarkStart w:id="1091" w:name="_Toc304295561"/>
      <w:bookmarkStart w:id="1092" w:name="_Toc300934984"/>
      <w:bookmarkStart w:id="1093" w:name="_Toc312677497"/>
      <w:bookmarkStart w:id="1094" w:name="_Toc312678023"/>
      <w:bookmarkStart w:id="1095" w:name="_Toc318581174"/>
      <w:r>
        <w:rPr>
          <w:rFonts w:hint="eastAsia" w:ascii="宋体" w:hAnsi="宋体" w:eastAsia="宋体" w:cs="宋体"/>
          <w:color w:val="000000" w:themeColor="text1"/>
          <w:szCs w:val="21"/>
        </w:rPr>
        <w:t>.1.2 试验设备</w:t>
      </w:r>
    </w:p>
    <w:p w14:paraId="046FACB8">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施工现场需要配置的试验场所：</w:t>
      </w:r>
      <w:bookmarkEnd w:id="1088"/>
      <w:bookmarkEnd w:id="1089"/>
      <w:bookmarkEnd w:id="1090"/>
      <w:bookmarkEnd w:id="1091"/>
      <w:bookmarkEnd w:id="1092"/>
      <w:bookmarkEnd w:id="1093"/>
      <w:bookmarkEnd w:id="1094"/>
      <w:bookmarkStart w:id="1096" w:name="_Toc297123536"/>
      <w:bookmarkStart w:id="1097" w:name="_Toc304295562"/>
      <w:bookmarkStart w:id="1098" w:name="_Toc300934985"/>
      <w:bookmarkStart w:id="1099" w:name="_Toc312678024"/>
      <w:bookmarkStart w:id="1100" w:name="_Toc297216195"/>
      <w:bookmarkStart w:id="1101" w:name="_Toc303539142"/>
      <w:bookmarkStart w:id="1102" w:name="_Toc312677498"/>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 xml:space="preserve">。 </w:t>
      </w:r>
    </w:p>
    <w:p w14:paraId="7F1F42AD">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施工现场需要配备的试验设备：</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4302F04C">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施工现场需要具备的其他试验条件：</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6B19B121">
      <w:pPr>
        <w:pStyle w:val="150"/>
        <w:spacing w:after="120" w:line="460" w:lineRule="atLeast"/>
        <w:ind w:firstLine="420" w:firstLineChars="200"/>
        <w:outlineLvl w:val="0"/>
        <w:rPr>
          <w:rFonts w:hint="eastAsia" w:ascii="宋体" w:hAnsi="宋体" w:eastAsia="宋体" w:cs="宋体"/>
          <w:color w:val="000000" w:themeColor="text1"/>
          <w:szCs w:val="21"/>
        </w:rPr>
      </w:pPr>
      <w:bookmarkStart w:id="1103" w:name="_Toc18574492"/>
      <w:bookmarkStart w:id="1104" w:name="_Toc24796"/>
      <w:bookmarkStart w:id="1105" w:name="_Toc19171"/>
      <w:bookmarkStart w:id="1106" w:name="_Toc22652"/>
      <w:bookmarkStart w:id="1107" w:name="_Toc8316"/>
      <w:bookmarkStart w:id="1108" w:name="_Toc28799"/>
      <w:bookmarkStart w:id="1109" w:name="_Toc27706"/>
      <w:bookmarkStart w:id="1110" w:name="_Toc16705"/>
      <w:r>
        <w:rPr>
          <w:rFonts w:hint="eastAsia" w:ascii="宋体" w:hAnsi="宋体" w:eastAsia="宋体" w:cs="宋体"/>
          <w:color w:val="000000" w:themeColor="text1"/>
          <w:szCs w:val="21"/>
        </w:rPr>
        <w:t>9.4 现场工艺试验</w:t>
      </w:r>
      <w:bookmarkEnd w:id="1103"/>
      <w:bookmarkEnd w:id="1104"/>
      <w:bookmarkEnd w:id="1105"/>
      <w:bookmarkEnd w:id="1106"/>
      <w:bookmarkEnd w:id="1107"/>
      <w:bookmarkEnd w:id="1108"/>
      <w:bookmarkEnd w:id="1109"/>
      <w:bookmarkEnd w:id="1110"/>
      <w:r>
        <w:rPr>
          <w:rFonts w:hint="eastAsia" w:ascii="宋体" w:hAnsi="宋体" w:eastAsia="宋体" w:cs="宋体"/>
          <w:color w:val="000000" w:themeColor="text1"/>
          <w:szCs w:val="21"/>
        </w:rPr>
        <w:t xml:space="preserve"> </w:t>
      </w:r>
    </w:p>
    <w:p w14:paraId="6765E242">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现场工艺试验的有关约定：</w:t>
      </w:r>
      <w:r>
        <w:rPr>
          <w:rFonts w:hint="eastAsia" w:ascii="宋体" w:hAnsi="宋体" w:eastAsia="宋体" w:cs="宋体"/>
          <w:color w:val="000000" w:themeColor="text1"/>
          <w:szCs w:val="21"/>
          <w:u w:val="single"/>
        </w:rPr>
        <w:t xml:space="preserve">按合同通用条款执行  </w:t>
      </w:r>
      <w:r>
        <w:rPr>
          <w:rFonts w:hint="eastAsia" w:ascii="宋体" w:hAnsi="宋体" w:eastAsia="宋体" w:cs="宋体"/>
          <w:color w:val="000000" w:themeColor="text1"/>
          <w:szCs w:val="21"/>
        </w:rPr>
        <w:t>。</w:t>
      </w:r>
    </w:p>
    <w:bookmarkEnd w:id="1095"/>
    <w:bookmarkEnd w:id="1096"/>
    <w:bookmarkEnd w:id="1097"/>
    <w:bookmarkEnd w:id="1098"/>
    <w:bookmarkEnd w:id="1099"/>
    <w:bookmarkEnd w:id="1100"/>
    <w:bookmarkEnd w:id="1101"/>
    <w:bookmarkEnd w:id="1102"/>
    <w:p w14:paraId="52012045">
      <w:pPr>
        <w:pStyle w:val="165"/>
        <w:spacing w:before="120" w:after="120" w:line="460" w:lineRule="atLeast"/>
        <w:rPr>
          <w:rFonts w:hint="eastAsia" w:ascii="宋体" w:hAnsi="宋体" w:eastAsia="宋体" w:cs="宋体"/>
          <w:b w:val="0"/>
          <w:color w:val="000000" w:themeColor="text1"/>
          <w:sz w:val="21"/>
          <w:szCs w:val="21"/>
        </w:rPr>
      </w:pPr>
      <w:bookmarkStart w:id="1111" w:name="_Toc2612"/>
      <w:bookmarkStart w:id="1112" w:name="_Toc21997"/>
      <w:bookmarkStart w:id="1113" w:name="_Toc30696"/>
      <w:bookmarkStart w:id="1114" w:name="_Toc9146"/>
      <w:bookmarkStart w:id="1115" w:name="_Toc351203642"/>
      <w:bookmarkStart w:id="1116" w:name="_Toc12950"/>
      <w:bookmarkStart w:id="1117" w:name="_Toc12140"/>
      <w:bookmarkStart w:id="1118" w:name="_Toc28640"/>
      <w:r>
        <w:rPr>
          <w:rFonts w:hint="eastAsia" w:ascii="宋体" w:hAnsi="宋体" w:eastAsia="宋体" w:cs="宋体"/>
          <w:b w:val="0"/>
          <w:color w:val="000000" w:themeColor="text1"/>
          <w:sz w:val="21"/>
          <w:szCs w:val="21"/>
        </w:rPr>
        <w:t>1</w:t>
      </w:r>
      <w:bookmarkEnd w:id="1069"/>
      <w:bookmarkEnd w:id="1070"/>
      <w:bookmarkEnd w:id="1071"/>
      <w:bookmarkEnd w:id="1072"/>
      <w:bookmarkEnd w:id="1073"/>
      <w:bookmarkEnd w:id="1074"/>
      <w:bookmarkEnd w:id="1075"/>
      <w:bookmarkEnd w:id="1076"/>
      <w:bookmarkEnd w:id="1077"/>
      <w:bookmarkEnd w:id="1078"/>
      <w:bookmarkEnd w:id="1079"/>
      <w:bookmarkEnd w:id="1080"/>
      <w:bookmarkStart w:id="1119" w:name="_Toc292559398"/>
      <w:bookmarkStart w:id="1120" w:name="_Toc297048379"/>
      <w:bookmarkStart w:id="1121" w:name="_Toc296346694"/>
      <w:bookmarkStart w:id="1122" w:name="_Toc296891233"/>
      <w:bookmarkStart w:id="1123" w:name="_Toc300934989"/>
      <w:bookmarkStart w:id="1124" w:name="_Toc296944532"/>
      <w:bookmarkStart w:id="1125" w:name="_Toc297216199"/>
      <w:bookmarkStart w:id="1126" w:name="_Toc296347192"/>
      <w:bookmarkStart w:id="1127" w:name="_Toc304295566"/>
      <w:bookmarkStart w:id="1128" w:name="_Toc297120493"/>
      <w:bookmarkStart w:id="1129" w:name="_Toc296891021"/>
      <w:bookmarkStart w:id="1130" w:name="_Toc292559903"/>
      <w:bookmarkStart w:id="1131" w:name="_Toc297123540"/>
      <w:bookmarkStart w:id="1132" w:name="_Toc303539146"/>
      <w:bookmarkStart w:id="1133" w:name="_Toc296503193"/>
      <w:bookmarkStart w:id="1134" w:name="_Toc312677499"/>
      <w:bookmarkStart w:id="1135" w:name="_Toc312678025"/>
      <w:bookmarkStart w:id="1136" w:name="_Toc267251435"/>
      <w:bookmarkStart w:id="1137" w:name="_Toc267251441"/>
      <w:bookmarkStart w:id="1138" w:name="_Toc267251433"/>
      <w:bookmarkStart w:id="1139" w:name="_Toc267251439"/>
      <w:bookmarkStart w:id="1140" w:name="_Toc267251440"/>
      <w:bookmarkStart w:id="1141" w:name="_Toc267251437"/>
      <w:bookmarkStart w:id="1142" w:name="_Toc267251442"/>
      <w:r>
        <w:rPr>
          <w:rFonts w:hint="eastAsia" w:ascii="宋体" w:hAnsi="宋体" w:eastAsia="宋体" w:cs="宋体"/>
          <w:b w:val="0"/>
          <w:color w:val="000000" w:themeColor="text1"/>
          <w:sz w:val="21"/>
          <w:szCs w:val="21"/>
        </w:rPr>
        <w:t>0. 变更</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p>
    <w:bookmarkEnd w:id="1134"/>
    <w:bookmarkEnd w:id="1135"/>
    <w:p w14:paraId="72C46086">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bookmarkStart w:id="1143" w:name="_Toc312678026"/>
      <w:bookmarkStart w:id="1144" w:name="_Toc296944533"/>
      <w:bookmarkStart w:id="1145" w:name="_Toc296347193"/>
      <w:bookmarkStart w:id="1146" w:name="_Toc297120494"/>
      <w:bookmarkStart w:id="1147" w:name="_Toc292559904"/>
      <w:bookmarkStart w:id="1148" w:name="_Toc296891022"/>
      <w:bookmarkStart w:id="1149" w:name="_Toc292559399"/>
      <w:bookmarkStart w:id="1150" w:name="_Toc297123541"/>
      <w:bookmarkStart w:id="1151" w:name="_Toc303539147"/>
      <w:bookmarkStart w:id="1152" w:name="_Toc296891234"/>
      <w:bookmarkStart w:id="1153" w:name="_Toc312677500"/>
      <w:bookmarkStart w:id="1154" w:name="_Toc297048380"/>
      <w:bookmarkStart w:id="1155" w:name="_Toc296503194"/>
      <w:bookmarkStart w:id="1156" w:name="_Toc296346695"/>
      <w:bookmarkStart w:id="1157" w:name="_Toc300934990"/>
      <w:bookmarkStart w:id="1158" w:name="_Toc297216200"/>
      <w:bookmarkStart w:id="1159" w:name="_Toc304295567"/>
      <w:r>
        <w:rPr>
          <w:rFonts w:hint="eastAsia" w:ascii="宋体" w:hAnsi="宋体" w:eastAsia="宋体" w:cs="宋体"/>
          <w:color w:val="000000" w:themeColor="text1"/>
          <w:szCs w:val="21"/>
        </w:rPr>
        <w:t>0.1变更的范围</w:t>
      </w:r>
    </w:p>
    <w:p w14:paraId="7678EBD3">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关于变更的范围的约定：</w:t>
      </w:r>
      <w:r>
        <w:rPr>
          <w:rFonts w:hint="eastAsia" w:ascii="宋体" w:hAnsi="宋体" w:eastAsia="宋体" w:cs="宋体"/>
          <w:color w:val="000000" w:themeColor="text1"/>
          <w:szCs w:val="21"/>
          <w:u w:val="single"/>
        </w:rPr>
        <w:t xml:space="preserve">按通用条款10.1执行    </w:t>
      </w:r>
      <w:r>
        <w:rPr>
          <w:rFonts w:hint="eastAsia" w:ascii="宋体" w:hAnsi="宋体" w:eastAsia="宋体" w:cs="宋体"/>
          <w:color w:val="000000" w:themeColor="text1"/>
          <w:szCs w:val="21"/>
        </w:rPr>
        <w:t>。</w:t>
      </w:r>
    </w:p>
    <w:p w14:paraId="1A70FE6E">
      <w:pPr>
        <w:pStyle w:val="150"/>
        <w:spacing w:after="120" w:line="460" w:lineRule="atLeast"/>
        <w:ind w:firstLine="420" w:firstLineChars="200"/>
        <w:outlineLvl w:val="0"/>
        <w:rPr>
          <w:rFonts w:hint="eastAsia" w:ascii="宋体" w:hAnsi="宋体" w:eastAsia="宋体" w:cs="宋体"/>
          <w:color w:val="000000" w:themeColor="text1"/>
          <w:szCs w:val="21"/>
        </w:rPr>
      </w:pPr>
      <w:bookmarkStart w:id="1160" w:name="_Toc10219"/>
      <w:bookmarkStart w:id="1161" w:name="_Toc26118"/>
      <w:bookmarkStart w:id="1162" w:name="_Toc11701"/>
      <w:bookmarkStart w:id="1163" w:name="_Toc18574493"/>
      <w:bookmarkStart w:id="1164" w:name="_Toc28054"/>
      <w:bookmarkStart w:id="1165" w:name="_Toc8324"/>
      <w:bookmarkStart w:id="1166" w:name="_Toc22651"/>
      <w:bookmarkStart w:id="1167" w:name="_Toc21169"/>
      <w:r>
        <w:rPr>
          <w:rFonts w:hint="eastAsia" w:ascii="宋体" w:hAnsi="宋体" w:eastAsia="宋体" w:cs="宋体"/>
          <w:color w:val="000000" w:themeColor="text1"/>
          <w:szCs w:val="21"/>
        </w:rPr>
        <w:t>10.4 变更估价</w:t>
      </w:r>
      <w:bookmarkEnd w:id="1160"/>
      <w:bookmarkEnd w:id="1161"/>
      <w:bookmarkEnd w:id="1162"/>
      <w:bookmarkEnd w:id="1163"/>
      <w:bookmarkEnd w:id="1164"/>
      <w:bookmarkEnd w:id="1165"/>
      <w:bookmarkEnd w:id="1166"/>
      <w:bookmarkEnd w:id="1167"/>
    </w:p>
    <w:p w14:paraId="4B005965">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10.4.1 变更估价原则</w:t>
      </w:r>
    </w:p>
    <w:p w14:paraId="7AED1A01">
      <w:pPr>
        <w:pStyle w:val="15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 xml:space="preserve">关于变更估价的约定: </w:t>
      </w:r>
      <w:r>
        <w:rPr>
          <w:rFonts w:hint="eastAsia" w:ascii="宋体" w:hAnsi="宋体" w:eastAsia="宋体" w:cs="宋体"/>
          <w:color w:val="000000" w:themeColor="text1"/>
          <w:szCs w:val="21"/>
          <w:u w:val="single"/>
        </w:rPr>
        <w:t xml:space="preserve">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      %，）计算，其中材料价格按施工期间的《河池工程造价信息》相应价格信息进行计算；《河池工程造价信息》没有相应价格信息的按市场价计算；无定额可套的，根据市场价格协商确定综合价格；对于政府及国有资金投资的项目，新增项目内容必须经业主、监理方书面认定后方可实施，且增加部分的造价严格按有关要求实行。工程变更导致实际完成的变更工程量与已标价清单或预算书中列明的该项目工程量有偏差时，其综合单价的确定按专用条款“1.13工程量清单错误的修正”执行  </w:t>
      </w:r>
      <w:r>
        <w:rPr>
          <w:rFonts w:hint="eastAsia" w:ascii="宋体" w:hAnsi="宋体" w:eastAsia="宋体" w:cs="宋体"/>
          <w:color w:val="000000" w:themeColor="text1"/>
          <w:szCs w:val="21"/>
        </w:rPr>
        <w:t>。</w:t>
      </w:r>
    </w:p>
    <w:p w14:paraId="31AA0F70">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Start w:id="1168" w:name="_Toc292559402"/>
      <w:bookmarkStart w:id="1169" w:name="_Toc292559907"/>
      <w:bookmarkStart w:id="1170" w:name="_Toc303539150"/>
      <w:bookmarkStart w:id="1171" w:name="_Toc296503197"/>
      <w:bookmarkStart w:id="1172" w:name="_Toc297120497"/>
      <w:bookmarkStart w:id="1173" w:name="_Toc296346698"/>
      <w:bookmarkStart w:id="1174" w:name="_Toc297123544"/>
      <w:bookmarkStart w:id="1175" w:name="_Toc297048383"/>
      <w:bookmarkStart w:id="1176" w:name="_Toc296891237"/>
      <w:bookmarkStart w:id="1177" w:name="_Toc296891025"/>
      <w:bookmarkStart w:id="1178" w:name="_Toc296944536"/>
      <w:bookmarkStart w:id="1179" w:name="_Toc296347196"/>
      <w:bookmarkStart w:id="1180" w:name="_Toc300934993"/>
      <w:bookmarkStart w:id="1181" w:name="_Toc297216203"/>
      <w:bookmarkStart w:id="1182" w:name="_Toc304295570"/>
      <w:bookmarkStart w:id="1183" w:name="_Toc312677503"/>
      <w:bookmarkStart w:id="1184" w:name="_Toc312678029"/>
      <w:r>
        <w:rPr>
          <w:rFonts w:hint="eastAsia" w:ascii="宋体" w:hAnsi="宋体" w:eastAsia="宋体" w:cs="宋体"/>
          <w:color w:val="000000" w:themeColor="text1"/>
          <w:szCs w:val="21"/>
        </w:rPr>
        <w:t>0.5承</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Start w:id="1185" w:name="_Toc297048389"/>
      <w:bookmarkStart w:id="1186" w:name="_Toc297120503"/>
      <w:bookmarkStart w:id="1187" w:name="_Toc303539151"/>
      <w:bookmarkStart w:id="1188" w:name="_Toc296891243"/>
      <w:bookmarkStart w:id="1189" w:name="_Toc300934994"/>
      <w:bookmarkStart w:id="1190" w:name="_Toc297123545"/>
      <w:bookmarkStart w:id="1191" w:name="_Toc292559913"/>
      <w:bookmarkStart w:id="1192" w:name="_Toc292559408"/>
      <w:bookmarkStart w:id="1193" w:name="_Toc296503203"/>
      <w:bookmarkStart w:id="1194" w:name="_Toc296944542"/>
      <w:bookmarkStart w:id="1195" w:name="_Toc296891031"/>
      <w:bookmarkStart w:id="1196" w:name="_Toc296346704"/>
      <w:bookmarkStart w:id="1197" w:name="_Toc297216204"/>
      <w:bookmarkStart w:id="1198" w:name="_Toc296347202"/>
      <w:r>
        <w:rPr>
          <w:rFonts w:hint="eastAsia" w:ascii="宋体" w:hAnsi="宋体" w:eastAsia="宋体" w:cs="宋体"/>
          <w:color w:val="000000" w:themeColor="text1"/>
          <w:szCs w:val="21"/>
        </w:rPr>
        <w:t>包人的合理化建议</w:t>
      </w:r>
    </w:p>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14:paraId="0933F993">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监理人审查承包人合理化建议的期限：</w:t>
      </w:r>
      <w:r>
        <w:rPr>
          <w:rFonts w:hint="eastAsia" w:ascii="宋体" w:hAnsi="宋体" w:eastAsia="宋体" w:cs="宋体"/>
          <w:color w:val="000000" w:themeColor="text1"/>
          <w:u w:val="single"/>
        </w:rPr>
        <w:t xml:space="preserve">    7天 </w:t>
      </w:r>
      <w:r>
        <w:rPr>
          <w:rFonts w:hint="eastAsia" w:ascii="宋体" w:hAnsi="宋体" w:eastAsia="宋体" w:cs="宋体"/>
          <w:color w:val="000000" w:themeColor="text1"/>
        </w:rPr>
        <w:t>。</w:t>
      </w:r>
    </w:p>
    <w:p w14:paraId="7A1CB480">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发包人审批承包人合理化建议的期限：</w:t>
      </w:r>
      <w:r>
        <w:rPr>
          <w:rFonts w:hint="eastAsia" w:ascii="宋体" w:hAnsi="宋体" w:eastAsia="宋体" w:cs="宋体"/>
          <w:color w:val="000000" w:themeColor="text1"/>
          <w:u w:val="single"/>
        </w:rPr>
        <w:t xml:space="preserve">    7天   </w:t>
      </w:r>
      <w:r>
        <w:rPr>
          <w:rFonts w:hint="eastAsia" w:ascii="宋体" w:hAnsi="宋体" w:eastAsia="宋体" w:cs="宋体"/>
          <w:color w:val="000000" w:themeColor="text1"/>
        </w:rPr>
        <w:t>。</w:t>
      </w:r>
    </w:p>
    <w:p w14:paraId="72A1EA53">
      <w:pPr>
        <w:pStyle w:val="150"/>
        <w:spacing w:after="120" w:line="460" w:lineRule="atLeast"/>
        <w:ind w:firstLine="420" w:firstLineChars="200"/>
        <w:rPr>
          <w:rFonts w:hint="eastAsia" w:ascii="宋体" w:hAnsi="宋体" w:eastAsia="宋体" w:cs="宋体"/>
          <w:color w:val="000000" w:themeColor="text1"/>
          <w:szCs w:val="21"/>
        </w:rPr>
      </w:pPr>
      <w:bookmarkStart w:id="1199" w:name="_Toc25928"/>
      <w:bookmarkStart w:id="1200" w:name="_Toc18574494"/>
      <w:bookmarkStart w:id="1201" w:name="_Toc26151"/>
      <w:bookmarkStart w:id="1202" w:name="_Toc3415"/>
      <w:bookmarkStart w:id="1203" w:name="_Toc30442"/>
      <w:r>
        <w:rPr>
          <w:rFonts w:hint="eastAsia" w:ascii="宋体" w:hAnsi="宋体" w:eastAsia="宋体" w:cs="宋体"/>
          <w:color w:val="000000" w:themeColor="text1"/>
          <w:szCs w:val="21"/>
        </w:rPr>
        <w:t>承包人提出的合理化建议降低了合同价格或者提高了工程经济效益的奖励的方法和金额为：</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bookmarkEnd w:id="1199"/>
      <w:bookmarkEnd w:id="1200"/>
      <w:bookmarkEnd w:id="1201"/>
      <w:bookmarkEnd w:id="1202"/>
      <w:bookmarkEnd w:id="1203"/>
    </w:p>
    <w:p w14:paraId="066C84F5">
      <w:pPr>
        <w:pStyle w:val="150"/>
        <w:spacing w:after="120" w:line="460" w:lineRule="atLeast"/>
        <w:ind w:firstLine="420" w:firstLineChars="200"/>
        <w:outlineLvl w:val="0"/>
        <w:rPr>
          <w:rFonts w:hint="eastAsia" w:ascii="宋体" w:hAnsi="宋体" w:eastAsia="宋体" w:cs="宋体"/>
          <w:color w:val="000000" w:themeColor="text1"/>
          <w:szCs w:val="21"/>
        </w:rPr>
      </w:pPr>
      <w:bookmarkStart w:id="1204" w:name="_Toc667"/>
      <w:bookmarkStart w:id="1205" w:name="_Toc16309"/>
      <w:bookmarkStart w:id="1206" w:name="_Toc2223"/>
      <w:bookmarkStart w:id="1207" w:name="_Toc28511"/>
      <w:bookmarkStart w:id="1208" w:name="_Toc23375"/>
      <w:bookmarkStart w:id="1209" w:name="_Toc2334"/>
      <w:bookmarkStart w:id="1210" w:name="_Toc7252"/>
      <w:bookmarkStart w:id="1211" w:name="_Toc18574495"/>
      <w:r>
        <w:rPr>
          <w:rFonts w:hint="eastAsia" w:ascii="宋体" w:hAnsi="宋体" w:eastAsia="宋体" w:cs="宋体"/>
          <w:color w:val="000000" w:themeColor="text1"/>
          <w:szCs w:val="21"/>
        </w:rPr>
        <w:t>1</w:t>
      </w:r>
      <w:bookmarkStart w:id="1212" w:name="_Toc296891239"/>
      <w:bookmarkStart w:id="1213" w:name="_Toc304295574"/>
      <w:bookmarkStart w:id="1214" w:name="_Toc303539154"/>
      <w:bookmarkStart w:id="1215" w:name="_Toc300934997"/>
      <w:bookmarkStart w:id="1216" w:name="_Toc297216207"/>
      <w:bookmarkStart w:id="1217" w:name="_Toc312677507"/>
      <w:bookmarkStart w:id="1218" w:name="_Toc296944538"/>
      <w:bookmarkStart w:id="1219" w:name="_Toc297123548"/>
      <w:bookmarkStart w:id="1220" w:name="_Toc296503199"/>
      <w:bookmarkStart w:id="1221" w:name="_Toc297048385"/>
      <w:bookmarkStart w:id="1222" w:name="_Toc296891027"/>
      <w:bookmarkStart w:id="1223" w:name="_Toc297120499"/>
      <w:bookmarkStart w:id="1224" w:name="_Toc292559404"/>
      <w:bookmarkStart w:id="1225" w:name="_Toc312678033"/>
      <w:bookmarkStart w:id="1226" w:name="_Toc296346700"/>
      <w:bookmarkStart w:id="1227" w:name="_Toc292559909"/>
      <w:bookmarkStart w:id="1228" w:name="_Toc296347198"/>
      <w:r>
        <w:rPr>
          <w:rFonts w:hint="eastAsia" w:ascii="宋体" w:hAnsi="宋体" w:eastAsia="宋体" w:cs="宋体"/>
          <w:color w:val="000000" w:themeColor="text1"/>
          <w:szCs w:val="21"/>
        </w:rPr>
        <w:t>0.7 暂估价</w:t>
      </w:r>
      <w:bookmarkEnd w:id="1204"/>
      <w:bookmarkEnd w:id="1205"/>
      <w:bookmarkEnd w:id="1206"/>
      <w:bookmarkEnd w:id="1207"/>
      <w:bookmarkEnd w:id="1208"/>
      <w:bookmarkEnd w:id="1209"/>
      <w:bookmarkEnd w:id="1210"/>
      <w:bookmarkEnd w:id="1211"/>
    </w:p>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14:paraId="4AB5A951">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暂</w:t>
      </w:r>
      <w:bookmarkStart w:id="1229" w:name="_Toc318581176"/>
      <w:bookmarkStart w:id="1230" w:name="_Toc312677508"/>
      <w:bookmarkStart w:id="1231" w:name="_Toc312678034"/>
      <w:r>
        <w:rPr>
          <w:rFonts w:hint="eastAsia" w:ascii="宋体" w:hAnsi="宋体" w:eastAsia="宋体" w:cs="宋体"/>
          <w:color w:val="000000" w:themeColor="text1"/>
          <w:kern w:val="0"/>
          <w:szCs w:val="21"/>
        </w:rPr>
        <w:t>估价材料和工程设备的明细详见附件11：《</w:t>
      </w:r>
      <w:r>
        <w:rPr>
          <w:rFonts w:hint="eastAsia" w:ascii="宋体" w:hAnsi="宋体" w:eastAsia="宋体" w:cs="宋体"/>
          <w:color w:val="000000" w:themeColor="text1"/>
          <w:szCs w:val="21"/>
        </w:rPr>
        <w:t>暂估价一览表》</w:t>
      </w:r>
      <w:r>
        <w:rPr>
          <w:rFonts w:hint="eastAsia" w:ascii="宋体" w:hAnsi="宋体" w:eastAsia="宋体" w:cs="宋体"/>
          <w:color w:val="000000" w:themeColor="text1"/>
          <w:kern w:val="0"/>
          <w:szCs w:val="21"/>
        </w:rPr>
        <w:t>。</w:t>
      </w:r>
    </w:p>
    <w:bookmarkEnd w:id="1229"/>
    <w:bookmarkEnd w:id="1230"/>
    <w:bookmarkEnd w:id="1231"/>
    <w:p w14:paraId="0FCBFECA">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bookmarkStart w:id="1232" w:name="_Toc318581177"/>
      <w:bookmarkStart w:id="1233" w:name="_Toc312677509"/>
      <w:bookmarkStart w:id="1234" w:name="_Toc312678035"/>
      <w:r>
        <w:rPr>
          <w:rFonts w:hint="eastAsia" w:ascii="宋体" w:hAnsi="宋体" w:eastAsia="宋体" w:cs="宋体"/>
          <w:color w:val="000000" w:themeColor="text1"/>
          <w:szCs w:val="21"/>
        </w:rPr>
        <w:t>0.7.1 依法必须招标的暂估价项目</w:t>
      </w:r>
    </w:p>
    <w:bookmarkEnd w:id="1232"/>
    <w:bookmarkEnd w:id="1233"/>
    <w:bookmarkEnd w:id="1234"/>
    <w:p w14:paraId="2B6EAD1F">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对于依法必须招标的暂估价项目的确认和批准采取第</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种方式确定。</w:t>
      </w:r>
    </w:p>
    <w:p w14:paraId="3C34627D">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10.7.2 不属于依法必须招标的暂估价项目</w:t>
      </w:r>
    </w:p>
    <w:p w14:paraId="3538855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对于不属于依法必须招标的暂估价项目的确认和批准采取第</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 xml:space="preserve"> 种方式确定。</w:t>
      </w:r>
    </w:p>
    <w:p w14:paraId="7B54E7FD">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第3种方式：</w:t>
      </w:r>
      <w:r>
        <w:rPr>
          <w:rFonts w:hint="eastAsia" w:ascii="宋体" w:hAnsi="宋体" w:eastAsia="宋体" w:cs="宋体"/>
          <w:color w:val="000000" w:themeColor="text1"/>
          <w:kern w:val="0"/>
          <w:szCs w:val="21"/>
        </w:rPr>
        <w:t>承包人直接实施的暂估价项目</w:t>
      </w:r>
    </w:p>
    <w:p w14:paraId="3E913F87">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承包人直接实施的暂估价项目的约定：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710BA5B5">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10.8 暂列金额</w:t>
      </w:r>
    </w:p>
    <w:p w14:paraId="7F4E35E2">
      <w:pPr>
        <w:pStyle w:val="150"/>
        <w:adjustRightInd w:val="0"/>
        <w:spacing w:line="46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合同当事人关于暂列金额使用的约定：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kern w:val="0"/>
          <w:szCs w:val="21"/>
        </w:rPr>
        <w:t>。</w:t>
      </w:r>
    </w:p>
    <w:p w14:paraId="1156BAA1">
      <w:pPr>
        <w:pStyle w:val="165"/>
        <w:spacing w:before="120" w:after="120" w:line="460" w:lineRule="atLeast"/>
        <w:rPr>
          <w:rFonts w:hint="eastAsia" w:ascii="宋体" w:hAnsi="宋体" w:eastAsia="宋体" w:cs="宋体"/>
          <w:b w:val="0"/>
          <w:color w:val="000000" w:themeColor="text1"/>
          <w:sz w:val="21"/>
          <w:szCs w:val="21"/>
        </w:rPr>
      </w:pPr>
      <w:bookmarkStart w:id="1235" w:name="_Toc12189"/>
      <w:bookmarkStart w:id="1236" w:name="_Toc755"/>
      <w:bookmarkStart w:id="1237" w:name="_Toc1716"/>
      <w:bookmarkStart w:id="1238" w:name="_Toc7649"/>
      <w:bookmarkStart w:id="1239" w:name="_Toc5015"/>
      <w:bookmarkStart w:id="1240" w:name="_Toc555"/>
      <w:bookmarkStart w:id="1241" w:name="_Toc30865"/>
      <w:r>
        <w:rPr>
          <w:rFonts w:hint="eastAsia" w:ascii="宋体" w:hAnsi="宋体" w:eastAsia="宋体" w:cs="宋体"/>
          <w:b w:val="0"/>
          <w:color w:val="000000" w:themeColor="text1"/>
          <w:sz w:val="21"/>
          <w:szCs w:val="21"/>
        </w:rPr>
        <w:t>11. 价格调整</w:t>
      </w:r>
      <w:bookmarkEnd w:id="1235"/>
      <w:bookmarkEnd w:id="1236"/>
      <w:bookmarkEnd w:id="1237"/>
      <w:bookmarkEnd w:id="1238"/>
      <w:bookmarkEnd w:id="1239"/>
      <w:bookmarkEnd w:id="1240"/>
      <w:bookmarkEnd w:id="1241"/>
    </w:p>
    <w:p w14:paraId="3F372330">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11.1 市场价格波动引起的调整</w:t>
      </w:r>
    </w:p>
    <w:p w14:paraId="39D1478C">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市场价格波动是否调整合同价格的约定：</w:t>
      </w:r>
      <w:r>
        <w:rPr>
          <w:rFonts w:hint="eastAsia" w:ascii="宋体" w:hAnsi="宋体" w:eastAsia="宋体" w:cs="宋体"/>
          <w:color w:val="000000" w:themeColor="text1"/>
          <w:szCs w:val="21"/>
          <w:u w:val="single"/>
        </w:rPr>
        <w:t>材料调差：电缆、电线钢材、水泥、商品砼、砂（中、粗、细）、碎石材料的市场价格按河池市工程造价管理机构202</w:t>
      </w:r>
      <w:r>
        <w:rPr>
          <w:rFonts w:hint="eastAsia" w:ascii="宋体" w:hAnsi="宋体" w:cs="宋体"/>
          <w:color w:val="000000" w:themeColor="text1"/>
          <w:szCs w:val="21"/>
          <w:u w:val="single"/>
          <w:lang w:val="en-US" w:eastAsia="zh-CN"/>
        </w:rPr>
        <w:t>6</w:t>
      </w:r>
      <w:r>
        <w:rPr>
          <w:rFonts w:hint="eastAsia" w:ascii="宋体" w:hAnsi="宋体" w:eastAsia="宋体" w:cs="宋体"/>
          <w:color w:val="000000" w:themeColor="text1"/>
          <w:szCs w:val="21"/>
          <w:u w:val="single"/>
        </w:rPr>
        <w:t>年第</w:t>
      </w:r>
      <w:r>
        <w:rPr>
          <w:rFonts w:hint="eastAsia" w:ascii="宋体" w:hAnsi="宋体" w:eastAsia="宋体" w:cs="宋体"/>
          <w:color w:val="000000" w:themeColor="text1"/>
          <w:szCs w:val="21"/>
          <w:u w:val="single"/>
          <w:lang w:val="en-US" w:eastAsia="zh-CN"/>
        </w:rPr>
        <w:t>1</w:t>
      </w:r>
      <w:r>
        <w:rPr>
          <w:rFonts w:hint="eastAsia" w:ascii="宋体" w:hAnsi="宋体" w:eastAsia="宋体" w:cs="宋体"/>
          <w:color w:val="000000" w:themeColor="text1"/>
          <w:szCs w:val="21"/>
          <w:u w:val="single"/>
        </w:rPr>
        <w:t xml:space="preserve">期《河池市工程造价信息》金城江区信息价发布的价格信息为基准价格，价格浮动在±5%（含5%）以内的价格风险及除工程量清单漏项、工程变更、工程签证和政策性调整、不可抗力、表22《承包人提供质主要料和设备一览表》约定的材料、设备价格变动风险以外的其他风险 </w:t>
      </w:r>
      <w:r>
        <w:rPr>
          <w:rFonts w:hint="eastAsia" w:ascii="宋体" w:hAnsi="宋体" w:eastAsia="宋体" w:cs="宋体"/>
          <w:color w:val="000000" w:themeColor="text1"/>
          <w:szCs w:val="21"/>
        </w:rPr>
        <w:t>。</w:t>
      </w:r>
    </w:p>
    <w:p w14:paraId="733BB8A3">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因市场价格波动调整合同价格，采用以下第</w:t>
      </w:r>
      <w:r>
        <w:rPr>
          <w:rFonts w:hint="eastAsia" w:ascii="宋体" w:hAnsi="宋体" w:eastAsia="宋体" w:cs="宋体"/>
          <w:color w:val="000000" w:themeColor="text1"/>
          <w:szCs w:val="21"/>
          <w:u w:val="single"/>
        </w:rPr>
        <w:t xml:space="preserve"> 2 </w:t>
      </w:r>
      <w:r>
        <w:rPr>
          <w:rFonts w:hint="eastAsia" w:ascii="宋体" w:hAnsi="宋体" w:eastAsia="宋体" w:cs="宋体"/>
          <w:color w:val="000000" w:themeColor="text1"/>
          <w:szCs w:val="21"/>
        </w:rPr>
        <w:t>种方式对合同价格进行调整：</w:t>
      </w:r>
    </w:p>
    <w:p w14:paraId="6BD5B0F9">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第1种方式：采用价格指数进行价格调整。</w:t>
      </w:r>
    </w:p>
    <w:p w14:paraId="745ECF1D">
      <w:pPr>
        <w:pStyle w:val="15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关于各可调因子、定值和变值权重，以及基本价格指数及其来源的约定：</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w:t>
      </w:r>
    </w:p>
    <w:p w14:paraId="0CF57D5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第2种方式：采用造价信息进行价格调整。</w:t>
      </w:r>
    </w:p>
    <w:p w14:paraId="40FF7CCD">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（2）关于基准价格的约定：</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551013A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themeColor="text1"/>
          <w:szCs w:val="21"/>
          <w:u w:val="single"/>
        </w:rPr>
        <w:t xml:space="preserve"> 5  </w:t>
      </w:r>
      <w:r>
        <w:rPr>
          <w:rFonts w:hint="eastAsia" w:ascii="宋体" w:hAnsi="宋体" w:eastAsia="宋体" w:cs="宋体"/>
          <w:color w:val="000000" w:themeColor="text1"/>
          <w:szCs w:val="21"/>
        </w:rPr>
        <w:t>%时，或材料单价跌幅以已标价工程量清单或预算书中载明材料单价为基础超过</w:t>
      </w:r>
      <w:r>
        <w:rPr>
          <w:rFonts w:hint="eastAsia" w:ascii="宋体" w:hAnsi="宋体" w:eastAsia="宋体" w:cs="宋体"/>
          <w:color w:val="000000" w:themeColor="text1"/>
          <w:szCs w:val="21"/>
          <w:u w:val="single"/>
        </w:rPr>
        <w:t xml:space="preserve"> 5  </w:t>
      </w:r>
      <w:r>
        <w:rPr>
          <w:rFonts w:hint="eastAsia" w:ascii="宋体" w:hAnsi="宋体" w:eastAsia="宋体" w:cs="宋体"/>
          <w:color w:val="000000" w:themeColor="text1"/>
          <w:szCs w:val="21"/>
        </w:rPr>
        <w:t>%时，其超过部分据实调整。</w:t>
      </w:r>
    </w:p>
    <w:p w14:paraId="51A78EDD">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themeColor="text1"/>
          <w:szCs w:val="21"/>
          <w:u w:val="single"/>
        </w:rPr>
        <w:t xml:space="preserve"> 5  </w:t>
      </w:r>
      <w:r>
        <w:rPr>
          <w:rFonts w:hint="eastAsia" w:ascii="宋体" w:hAnsi="宋体" w:eastAsia="宋体" w:cs="宋体"/>
          <w:color w:val="000000" w:themeColor="text1"/>
          <w:szCs w:val="21"/>
        </w:rPr>
        <w:t>%时，材料单价涨幅以已标价工程量清单或预算书中载明材料单价为基础超过</w:t>
      </w:r>
      <w:r>
        <w:rPr>
          <w:rFonts w:hint="eastAsia" w:ascii="宋体" w:hAnsi="宋体" w:eastAsia="宋体" w:cs="宋体"/>
          <w:color w:val="000000" w:themeColor="text1"/>
          <w:szCs w:val="21"/>
          <w:u w:val="single"/>
        </w:rPr>
        <w:t xml:space="preserve"> 5  </w:t>
      </w:r>
      <w:r>
        <w:rPr>
          <w:rFonts w:hint="eastAsia" w:ascii="宋体" w:hAnsi="宋体" w:eastAsia="宋体" w:cs="宋体"/>
          <w:color w:val="000000" w:themeColor="text1"/>
          <w:szCs w:val="21"/>
        </w:rPr>
        <w:t>%时，其超过部分据实调整。</w:t>
      </w:r>
    </w:p>
    <w:p w14:paraId="3551BCEC">
      <w:pPr>
        <w:pStyle w:val="150"/>
        <w:spacing w:line="460" w:lineRule="atLeast"/>
        <w:ind w:firstLine="645"/>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themeColor="text1"/>
          <w:szCs w:val="21"/>
          <w:u w:val="single"/>
        </w:rPr>
        <w:t xml:space="preserve"> 5  </w:t>
      </w:r>
      <w:r>
        <w:rPr>
          <w:rFonts w:hint="eastAsia" w:ascii="宋体" w:hAnsi="宋体" w:eastAsia="宋体" w:cs="宋体"/>
          <w:color w:val="000000" w:themeColor="text1"/>
          <w:szCs w:val="21"/>
        </w:rPr>
        <w:t>%时，其超过部分据实调整。</w:t>
      </w:r>
    </w:p>
    <w:p w14:paraId="5217D0DA">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第3种方式：其他价格调整方式：</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bookmarkEnd w:id="1136"/>
    <w:bookmarkEnd w:id="1137"/>
    <w:bookmarkEnd w:id="1138"/>
    <w:bookmarkEnd w:id="1139"/>
    <w:bookmarkEnd w:id="1140"/>
    <w:bookmarkEnd w:id="1141"/>
    <w:p w14:paraId="4FF20497">
      <w:pPr>
        <w:pStyle w:val="165"/>
        <w:spacing w:before="120" w:after="120" w:line="460" w:lineRule="atLeast"/>
        <w:rPr>
          <w:rFonts w:hint="eastAsia" w:ascii="宋体" w:hAnsi="宋体" w:eastAsia="宋体" w:cs="宋体"/>
          <w:b w:val="0"/>
          <w:color w:val="000000" w:themeColor="text1"/>
          <w:sz w:val="21"/>
          <w:szCs w:val="21"/>
        </w:rPr>
      </w:pPr>
      <w:bookmarkStart w:id="1242" w:name="_Toc292559410"/>
      <w:bookmarkStart w:id="1243" w:name="_Toc292559915"/>
      <w:bookmarkStart w:id="1244" w:name="_Toc296891033"/>
      <w:bookmarkStart w:id="1245" w:name="_Toc296347204"/>
      <w:bookmarkStart w:id="1246" w:name="_Toc296503205"/>
      <w:bookmarkStart w:id="1247" w:name="_Toc297120505"/>
      <w:bookmarkStart w:id="1248" w:name="_Toc297048391"/>
      <w:bookmarkStart w:id="1249" w:name="_Toc296346706"/>
      <w:bookmarkStart w:id="1250" w:name="_Toc296944544"/>
      <w:bookmarkStart w:id="1251" w:name="_Toc296891245"/>
      <w:bookmarkStart w:id="1252" w:name="_Toc24441"/>
      <w:bookmarkStart w:id="1253" w:name="_Toc351203644"/>
      <w:bookmarkStart w:id="1254" w:name="_Toc24640"/>
      <w:bookmarkStart w:id="1255" w:name="_Toc17301"/>
      <w:bookmarkStart w:id="1256" w:name="_Toc1742"/>
      <w:bookmarkStart w:id="1257" w:name="_Toc3542"/>
      <w:bookmarkStart w:id="1258" w:name="_Toc29897"/>
      <w:bookmarkStart w:id="1259" w:name="_Toc2454"/>
      <w:bookmarkStart w:id="1260" w:name="_Toc312678040"/>
      <w:bookmarkStart w:id="1261" w:name="_Toc300935002"/>
      <w:bookmarkStart w:id="1262" w:name="_Toc303539159"/>
      <w:bookmarkStart w:id="1263" w:name="_Toc297123552"/>
      <w:bookmarkStart w:id="1264" w:name="_Toc304295579"/>
      <w:bookmarkStart w:id="1265" w:name="_Toc297216211"/>
      <w:r>
        <w:rPr>
          <w:rFonts w:hint="eastAsia" w:ascii="宋体" w:hAnsi="宋体" w:eastAsia="宋体" w:cs="宋体"/>
          <w:b w:val="0"/>
          <w:color w:val="000000" w:themeColor="text1"/>
          <w:sz w:val="21"/>
          <w:szCs w:val="21"/>
        </w:rPr>
        <w:t xml:space="preserve">12. </w:t>
      </w:r>
      <w:bookmarkEnd w:id="1242"/>
      <w:bookmarkEnd w:id="1243"/>
      <w:bookmarkEnd w:id="1244"/>
      <w:bookmarkEnd w:id="1245"/>
      <w:bookmarkEnd w:id="1246"/>
      <w:bookmarkEnd w:id="1247"/>
      <w:bookmarkEnd w:id="1248"/>
      <w:bookmarkEnd w:id="1249"/>
      <w:bookmarkEnd w:id="1250"/>
      <w:bookmarkEnd w:id="1251"/>
      <w:r>
        <w:rPr>
          <w:rFonts w:hint="eastAsia" w:ascii="宋体" w:hAnsi="宋体" w:eastAsia="宋体" w:cs="宋体"/>
          <w:b w:val="0"/>
          <w:color w:val="000000" w:themeColor="text1"/>
          <w:sz w:val="21"/>
          <w:szCs w:val="21"/>
        </w:rPr>
        <w:t>合同价格、计量与支付</w:t>
      </w:r>
      <w:bookmarkEnd w:id="1252"/>
      <w:bookmarkEnd w:id="1253"/>
      <w:bookmarkEnd w:id="1254"/>
      <w:bookmarkEnd w:id="1255"/>
      <w:bookmarkEnd w:id="1256"/>
      <w:bookmarkEnd w:id="1257"/>
      <w:bookmarkEnd w:id="1258"/>
      <w:bookmarkEnd w:id="1259"/>
    </w:p>
    <w:bookmarkEnd w:id="1260"/>
    <w:bookmarkEnd w:id="1261"/>
    <w:bookmarkEnd w:id="1262"/>
    <w:bookmarkEnd w:id="1263"/>
    <w:bookmarkEnd w:id="1264"/>
    <w:bookmarkEnd w:id="1265"/>
    <w:p w14:paraId="1473C8D0">
      <w:pPr>
        <w:pStyle w:val="150"/>
        <w:spacing w:after="120" w:line="460" w:lineRule="atLeast"/>
        <w:ind w:firstLine="420" w:firstLineChars="200"/>
        <w:rPr>
          <w:rFonts w:hint="eastAsia" w:ascii="宋体" w:hAnsi="宋体" w:eastAsia="宋体" w:cs="宋体"/>
          <w:color w:val="000000" w:themeColor="text1"/>
          <w:szCs w:val="21"/>
        </w:rPr>
      </w:pPr>
      <w:bookmarkStart w:id="1266" w:name="_Toc292559411"/>
      <w:bookmarkStart w:id="1267" w:name="_Toc292559916"/>
      <w:bookmarkStart w:id="1268" w:name="_Toc267251461"/>
      <w:bookmarkStart w:id="1269" w:name="_Toc297048392"/>
      <w:bookmarkStart w:id="1270" w:name="_Toc296891246"/>
      <w:bookmarkStart w:id="1271" w:name="_Toc296503206"/>
      <w:bookmarkStart w:id="1272" w:name="_Toc297120506"/>
      <w:bookmarkStart w:id="1273" w:name="_Toc296347205"/>
      <w:bookmarkStart w:id="1274" w:name="_Toc296346707"/>
      <w:bookmarkStart w:id="1275" w:name="_Toc296944545"/>
      <w:bookmarkStart w:id="1276" w:name="_Toc296891034"/>
      <w:bookmarkStart w:id="1277" w:name="_Toc300935003"/>
      <w:bookmarkStart w:id="1278" w:name="_Toc297216212"/>
      <w:bookmarkStart w:id="1279" w:name="_Toc297123553"/>
      <w:bookmarkStart w:id="1280" w:name="_Toc304295580"/>
      <w:bookmarkStart w:id="1281" w:name="_Toc303539160"/>
      <w:bookmarkStart w:id="1282" w:name="_Toc312678041"/>
      <w:r>
        <w:rPr>
          <w:rFonts w:hint="eastAsia" w:ascii="宋体" w:hAnsi="宋体" w:eastAsia="宋体" w:cs="宋体"/>
          <w:color w:val="000000" w:themeColor="text1"/>
          <w:szCs w:val="21"/>
        </w:rPr>
        <w:t>12.1 合</w:t>
      </w:r>
      <w:bookmarkEnd w:id="1266"/>
      <w:bookmarkEnd w:id="1267"/>
      <w:bookmarkEnd w:id="1268"/>
      <w:r>
        <w:rPr>
          <w:rFonts w:hint="eastAsia" w:ascii="宋体" w:hAnsi="宋体" w:eastAsia="宋体" w:cs="宋体"/>
          <w:color w:val="000000" w:themeColor="text1"/>
          <w:szCs w:val="21"/>
        </w:rPr>
        <w:t>同价</w:t>
      </w:r>
      <w:bookmarkEnd w:id="1269"/>
      <w:bookmarkEnd w:id="1270"/>
      <w:bookmarkEnd w:id="1271"/>
      <w:bookmarkEnd w:id="1272"/>
      <w:bookmarkEnd w:id="1273"/>
      <w:bookmarkEnd w:id="1274"/>
      <w:bookmarkEnd w:id="1275"/>
      <w:bookmarkEnd w:id="1276"/>
      <w:r>
        <w:rPr>
          <w:rFonts w:hint="eastAsia" w:ascii="宋体" w:hAnsi="宋体" w:eastAsia="宋体" w:cs="宋体"/>
          <w:color w:val="000000" w:themeColor="text1"/>
          <w:szCs w:val="21"/>
        </w:rPr>
        <w:t>格形式</w:t>
      </w:r>
    </w:p>
    <w:bookmarkEnd w:id="1277"/>
    <w:bookmarkEnd w:id="1278"/>
    <w:bookmarkEnd w:id="1279"/>
    <w:bookmarkEnd w:id="1280"/>
    <w:bookmarkEnd w:id="1281"/>
    <w:bookmarkEnd w:id="1282"/>
    <w:p w14:paraId="6985C2D0">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1、单价合同。</w:t>
      </w:r>
    </w:p>
    <w:p w14:paraId="48751B65">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综合单价包含的风险范围：</w:t>
      </w:r>
      <w:r>
        <w:rPr>
          <w:rFonts w:hint="eastAsia" w:ascii="宋体" w:hAnsi="宋体" w:eastAsia="宋体" w:cs="宋体"/>
          <w:color w:val="000000" w:themeColor="text1"/>
          <w:szCs w:val="21"/>
          <w:u w:val="single"/>
        </w:rPr>
        <w:t xml:space="preserve">  除工程变更、项目特征不符、工程量清单缺项、工程量偏差、政策性调整、本工程《承包人提供主要材料和设备一览表》中约定的材料和设备价格变动风险以外的其他风险因素  </w:t>
      </w:r>
      <w:r>
        <w:rPr>
          <w:rFonts w:hint="eastAsia" w:ascii="宋体" w:hAnsi="宋体" w:eastAsia="宋体" w:cs="宋体"/>
          <w:color w:val="000000" w:themeColor="text1"/>
          <w:szCs w:val="21"/>
        </w:rPr>
        <w:t>。</w:t>
      </w:r>
    </w:p>
    <w:p w14:paraId="444796AB">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风险费用的计算方法：</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2AA085E7">
      <w:pPr>
        <w:pStyle w:val="157"/>
        <w:spacing w:line="460" w:lineRule="atLeast"/>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风险范围以外合同价格的调整方法：</w:t>
      </w:r>
      <w:r>
        <w:rPr>
          <w:rFonts w:hint="eastAsia" w:ascii="宋体" w:hAnsi="宋体" w:eastAsia="宋体" w:cs="宋体"/>
          <w:color w:val="000000" w:themeColor="text1"/>
          <w:szCs w:val="21"/>
          <w:u w:val="single"/>
        </w:rPr>
        <w:t xml:space="preserve">   ①工程变更：按10.4.1变更估价原则的约定调整。</w:t>
      </w:r>
    </w:p>
    <w:p w14:paraId="6C0C740C">
      <w:pPr>
        <w:pStyle w:val="157"/>
        <w:spacing w:line="460" w:lineRule="atLeast"/>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②政策性调整：按自治区住房城乡建设行政主管部门颁布的文件执行。</w:t>
      </w:r>
    </w:p>
    <w:p w14:paraId="65F3B7AA">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③材料价格风险：按11.1的约定调整    </w:t>
      </w:r>
      <w:r>
        <w:rPr>
          <w:rFonts w:hint="eastAsia" w:ascii="宋体" w:hAnsi="宋体" w:eastAsia="宋体" w:cs="宋体"/>
          <w:color w:val="000000" w:themeColor="text1"/>
          <w:szCs w:val="21"/>
        </w:rPr>
        <w:t>。</w:t>
      </w:r>
    </w:p>
    <w:p w14:paraId="651D39A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2、总价合同。</w:t>
      </w:r>
    </w:p>
    <w:p w14:paraId="21D2A789">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总价包含的风险范围：</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3AE6A19E">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风险费用的计算方法：</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1B5E79B6">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风险范围以外合同价格的调整方法：</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3A3EE099">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3、其他价格方式：</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3ED2C88A">
      <w:pPr>
        <w:pStyle w:val="150"/>
        <w:spacing w:after="120" w:line="460" w:lineRule="atLeast"/>
        <w:ind w:firstLine="420" w:firstLineChars="200"/>
        <w:rPr>
          <w:rFonts w:hint="eastAsia" w:ascii="宋体" w:hAnsi="宋体" w:eastAsia="宋体" w:cs="宋体"/>
          <w:color w:val="000000" w:themeColor="text1"/>
          <w:szCs w:val="21"/>
        </w:rPr>
      </w:pPr>
      <w:bookmarkStart w:id="1283" w:name="_Toc297123554"/>
      <w:bookmarkStart w:id="1284" w:name="_Toc300935004"/>
      <w:bookmarkStart w:id="1285" w:name="_Toc297216213"/>
      <w:bookmarkStart w:id="1286" w:name="_Toc304295581"/>
      <w:bookmarkStart w:id="1287" w:name="_Toc312678042"/>
      <w:bookmarkStart w:id="1288" w:name="_Toc303539161"/>
      <w:bookmarkStart w:id="1289" w:name="_Toc296944546"/>
      <w:bookmarkStart w:id="1290" w:name="_Toc297120507"/>
      <w:bookmarkStart w:id="1291" w:name="_Toc296503207"/>
      <w:bookmarkStart w:id="1292" w:name="_Toc297048393"/>
      <w:bookmarkStart w:id="1293" w:name="_Toc296346708"/>
      <w:bookmarkStart w:id="1294" w:name="_Toc296891035"/>
      <w:bookmarkStart w:id="1295" w:name="_Toc292559917"/>
      <w:bookmarkStart w:id="1296" w:name="_Toc296891247"/>
      <w:bookmarkStart w:id="1297" w:name="_Toc296347206"/>
      <w:bookmarkStart w:id="1298" w:name="_Toc292559412"/>
      <w:r>
        <w:rPr>
          <w:rFonts w:hint="eastAsia" w:ascii="宋体" w:hAnsi="宋体" w:eastAsia="宋体" w:cs="宋体"/>
          <w:color w:val="000000" w:themeColor="text1"/>
          <w:szCs w:val="21"/>
        </w:rPr>
        <w:t>12.2 预付款</w:t>
      </w:r>
    </w:p>
    <w:bookmarkEnd w:id="1283"/>
    <w:bookmarkEnd w:id="1284"/>
    <w:bookmarkEnd w:id="1285"/>
    <w:bookmarkEnd w:id="1286"/>
    <w:bookmarkEnd w:id="1287"/>
    <w:bookmarkEnd w:id="1288"/>
    <w:p w14:paraId="457E6061">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12.2.1 预付款的支付</w:t>
      </w:r>
    </w:p>
    <w:p w14:paraId="6169CC6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预付款支付比例或金额：</w:t>
      </w:r>
      <w:r>
        <w:rPr>
          <w:rFonts w:hint="eastAsia" w:ascii="宋体" w:hAnsi="宋体" w:eastAsia="宋体" w:cs="宋体"/>
          <w:color w:val="000000" w:themeColor="text1"/>
          <w:szCs w:val="21"/>
          <w:u w:val="single"/>
        </w:rPr>
        <w:t xml:space="preserve">    合同价款的30%        </w:t>
      </w:r>
      <w:r>
        <w:rPr>
          <w:rFonts w:hint="eastAsia" w:ascii="宋体" w:hAnsi="宋体" w:eastAsia="宋体" w:cs="宋体"/>
          <w:color w:val="000000" w:themeColor="text1"/>
          <w:szCs w:val="21"/>
        </w:rPr>
        <w:t>。</w:t>
      </w:r>
    </w:p>
    <w:p w14:paraId="75C1DED8">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预付款支付期限：</w:t>
      </w:r>
      <w:r>
        <w:rPr>
          <w:rFonts w:hint="eastAsia" w:ascii="宋体" w:hAnsi="宋体" w:eastAsia="宋体" w:cs="宋体"/>
          <w:color w:val="000000" w:themeColor="text1"/>
          <w:szCs w:val="21"/>
          <w:u w:val="single"/>
        </w:rPr>
        <w:t xml:space="preserve">         开工前7日内               </w:t>
      </w:r>
      <w:r>
        <w:rPr>
          <w:rFonts w:hint="eastAsia" w:ascii="宋体" w:hAnsi="宋体" w:eastAsia="宋体" w:cs="宋体"/>
          <w:color w:val="000000" w:themeColor="text1"/>
          <w:szCs w:val="21"/>
        </w:rPr>
        <w:t>。</w:t>
      </w:r>
    </w:p>
    <w:p w14:paraId="1A9CCBF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预付款扣回的方式：</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6FB31C6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12.2.2 预付款担保</w:t>
      </w:r>
    </w:p>
    <w:p w14:paraId="4BD905BD">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承包人提交预付款担保的期限：</w:t>
      </w:r>
      <w:r>
        <w:rPr>
          <w:rFonts w:hint="eastAsia" w:ascii="宋体" w:hAnsi="宋体" w:eastAsia="宋体" w:cs="宋体"/>
          <w:color w:val="000000" w:themeColor="text1"/>
          <w:szCs w:val="21"/>
          <w:u w:val="single"/>
        </w:rPr>
        <w:t xml:space="preserve"> 合同签订后7日内  </w:t>
      </w:r>
      <w:r>
        <w:rPr>
          <w:rFonts w:hint="eastAsia" w:ascii="宋体" w:hAnsi="宋体" w:eastAsia="宋体" w:cs="宋体"/>
          <w:color w:val="000000" w:themeColor="text1"/>
          <w:szCs w:val="21"/>
        </w:rPr>
        <w:t>。</w:t>
      </w:r>
    </w:p>
    <w:p w14:paraId="006CC749">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预付款担保的形式为：</w:t>
      </w:r>
      <w:r>
        <w:rPr>
          <w:rFonts w:hint="eastAsia" w:ascii="宋体" w:hAnsi="宋体" w:eastAsia="宋体" w:cs="宋体"/>
          <w:color w:val="000000" w:themeColor="text1"/>
          <w:szCs w:val="21"/>
          <w:u w:val="single"/>
        </w:rPr>
        <w:t xml:space="preserve">  银行保函  </w:t>
      </w:r>
      <w:r>
        <w:rPr>
          <w:rFonts w:hint="eastAsia" w:ascii="宋体" w:hAnsi="宋体" w:eastAsia="宋体" w:cs="宋体"/>
          <w:color w:val="000000" w:themeColor="text1"/>
          <w:szCs w:val="21"/>
        </w:rPr>
        <w:t>。</w:t>
      </w:r>
    </w:p>
    <w:bookmarkEnd w:id="1289"/>
    <w:bookmarkEnd w:id="1290"/>
    <w:bookmarkEnd w:id="1291"/>
    <w:bookmarkEnd w:id="1292"/>
    <w:bookmarkEnd w:id="1293"/>
    <w:bookmarkEnd w:id="1294"/>
    <w:bookmarkEnd w:id="1295"/>
    <w:bookmarkEnd w:id="1296"/>
    <w:bookmarkEnd w:id="1297"/>
    <w:bookmarkEnd w:id="1298"/>
    <w:p w14:paraId="1F2C9EA9">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12.3 计量</w:t>
      </w:r>
    </w:p>
    <w:p w14:paraId="16832BAA">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12.3.1 计量原则</w:t>
      </w:r>
    </w:p>
    <w:p w14:paraId="63FC9609">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工程量计算规则：</w:t>
      </w:r>
      <w:r>
        <w:rPr>
          <w:rFonts w:hint="eastAsia" w:ascii="宋体" w:hAnsi="宋体" w:eastAsia="宋体" w:cs="宋体"/>
          <w:color w:val="000000" w:themeColor="text1"/>
          <w:szCs w:val="21"/>
          <w:u w:val="single"/>
        </w:rPr>
        <w:t xml:space="preserve">  工程的计量均以《建设工程工程量清单计价规范》（GB50500－2013）和及其广西壮族自治区实施细则、《建设工程工程量清单计算规范》（GB50854~50862－2013）及其广西实施细则、本工程补充项目清单为准    </w:t>
      </w:r>
      <w:r>
        <w:rPr>
          <w:rFonts w:hint="eastAsia" w:ascii="宋体" w:hAnsi="宋体" w:eastAsia="宋体" w:cs="宋体"/>
          <w:color w:val="000000" w:themeColor="text1"/>
          <w:szCs w:val="21"/>
        </w:rPr>
        <w:t>。</w:t>
      </w:r>
    </w:p>
    <w:p w14:paraId="15B2D49E">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12.3.2 计量周期</w:t>
      </w:r>
    </w:p>
    <w:p w14:paraId="0CEEF916">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关于计量周期的约定：</w:t>
      </w:r>
      <w:r>
        <w:rPr>
          <w:rFonts w:hint="eastAsia" w:ascii="宋体" w:hAnsi="宋体" w:eastAsia="宋体" w:cs="宋体"/>
          <w:color w:val="000000" w:themeColor="text1"/>
          <w:szCs w:val="21"/>
          <w:u w:val="single"/>
        </w:rPr>
        <w:t xml:space="preserve">      每月25日前    </w:t>
      </w:r>
      <w:r>
        <w:rPr>
          <w:rFonts w:hint="eastAsia" w:ascii="宋体" w:hAnsi="宋体" w:eastAsia="宋体" w:cs="宋体"/>
          <w:color w:val="000000" w:themeColor="text1"/>
          <w:szCs w:val="21"/>
        </w:rPr>
        <w:t>。</w:t>
      </w:r>
    </w:p>
    <w:p w14:paraId="648313D4">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12.3.3 单价合同的计量</w:t>
      </w:r>
    </w:p>
    <w:p w14:paraId="5E4FD45E">
      <w:pPr>
        <w:pStyle w:val="157"/>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关于单价合同计量的约定：</w:t>
      </w:r>
      <w:r>
        <w:rPr>
          <w:rFonts w:hint="eastAsia" w:ascii="宋体" w:hAnsi="宋体" w:eastAsia="宋体" w:cs="宋体"/>
          <w:color w:val="000000" w:themeColor="text1"/>
          <w:szCs w:val="21"/>
          <w:u w:val="single"/>
        </w:rPr>
        <w:t xml:space="preserve">  (1) 工程量清单所列的工程量，不能作为承包人按合同履行其责任依据，实际施工中发生的工程量增加或减少并不影响承包人履行合同的责任，工程结算以完成的实际工程量为准。</w:t>
      </w:r>
    </w:p>
    <w:p w14:paraId="5FD2DECE">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(2) 除另有规定外，工程师应按照合同通过计量来核实确定已完成的工程量和价款，承包人应得到该价款扣除保留金后的金额。当工程师要对已完工的工程量进行计量时，应适时地通知承包人参加 </w:t>
      </w:r>
      <w:r>
        <w:rPr>
          <w:rFonts w:hint="eastAsia" w:ascii="宋体" w:hAnsi="宋体" w:eastAsia="宋体" w:cs="宋体"/>
          <w:color w:val="000000" w:themeColor="text1"/>
          <w:szCs w:val="21"/>
        </w:rPr>
        <w:t>。</w:t>
      </w:r>
    </w:p>
    <w:p w14:paraId="0C5EE1D3">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12.3.4 总价合同的计量</w:t>
      </w:r>
    </w:p>
    <w:p w14:paraId="5341C47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关于总价合同计量的约定：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2ABDF7C5">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12.3.5总价合同采用支付分解表计量支付的，是否适用第</w:t>
      </w:r>
      <w:r>
        <w:rPr>
          <w:rFonts w:hint="eastAsia" w:ascii="宋体" w:hAnsi="宋体" w:eastAsia="宋体" w:cs="宋体"/>
          <w:color w:val="000000" w:themeColor="text1"/>
          <w:kern w:val="0"/>
          <w:szCs w:val="21"/>
        </w:rPr>
        <w:t xml:space="preserve">12.3.4 </w:t>
      </w:r>
      <w:r>
        <w:rPr>
          <w:rFonts w:hint="eastAsia" w:ascii="宋体" w:hAnsi="宋体" w:eastAsia="宋体" w:cs="宋体"/>
          <w:color w:val="000000" w:themeColor="text1"/>
          <w:szCs w:val="21"/>
        </w:rPr>
        <w:t>项</w:t>
      </w:r>
      <w:r>
        <w:rPr>
          <w:rFonts w:hint="eastAsia" w:ascii="宋体" w:hAnsi="宋体" w:eastAsia="宋体" w:cs="宋体"/>
          <w:color w:val="000000" w:themeColor="text1"/>
          <w:kern w:val="0"/>
          <w:szCs w:val="21"/>
        </w:rPr>
        <w:t>〔总价合同的计量〕</w:t>
      </w:r>
      <w:r>
        <w:rPr>
          <w:rFonts w:hint="eastAsia" w:ascii="宋体" w:hAnsi="宋体" w:eastAsia="宋体" w:cs="宋体"/>
          <w:color w:val="000000" w:themeColor="text1"/>
          <w:szCs w:val="21"/>
        </w:rPr>
        <w:t>约定进行计量：</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3FCBD235">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12.3.6 其他价格形式合同的计量</w:t>
      </w:r>
    </w:p>
    <w:p w14:paraId="3E99C8AC">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其他价格形式的计量方式和程序：</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53A5B984">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12.4 工程进度款支付</w:t>
      </w:r>
    </w:p>
    <w:p w14:paraId="40EE194C">
      <w:pPr>
        <w:pStyle w:val="150"/>
        <w:spacing w:line="460" w:lineRule="atLeast"/>
        <w:ind w:firstLine="420" w:firstLineChars="200"/>
        <w:jc w:val="left"/>
        <w:rPr>
          <w:rFonts w:hint="eastAsia" w:ascii="宋体" w:hAnsi="宋体" w:eastAsia="宋体" w:cs="宋体"/>
          <w:color w:val="000000" w:themeColor="text1"/>
          <w:szCs w:val="21"/>
        </w:rPr>
      </w:pPr>
      <w:bookmarkStart w:id="1299" w:name="_Toc297216215"/>
      <w:bookmarkStart w:id="1300" w:name="_Toc300935006"/>
      <w:bookmarkStart w:id="1301" w:name="_Toc296347210"/>
      <w:bookmarkStart w:id="1302" w:name="_Toc303539163"/>
      <w:bookmarkStart w:id="1303" w:name="_Toc296891251"/>
      <w:bookmarkStart w:id="1304" w:name="_Toc297120511"/>
      <w:bookmarkStart w:id="1305" w:name="_Toc296503211"/>
      <w:bookmarkStart w:id="1306" w:name="_Toc296944550"/>
      <w:bookmarkStart w:id="1307" w:name="_Toc296891039"/>
      <w:bookmarkStart w:id="1308" w:name="_Toc297048397"/>
      <w:bookmarkStart w:id="1309" w:name="_Toc292559416"/>
      <w:bookmarkStart w:id="1310" w:name="_Toc297123556"/>
      <w:bookmarkStart w:id="1311" w:name="_Toc292559921"/>
      <w:bookmarkStart w:id="1312" w:name="_Toc296346712"/>
      <w:r>
        <w:rPr>
          <w:rFonts w:hint="eastAsia" w:ascii="宋体" w:hAnsi="宋体" w:eastAsia="宋体" w:cs="宋体"/>
          <w:color w:val="000000" w:themeColor="text1"/>
          <w:szCs w:val="21"/>
        </w:rPr>
        <w:t>12.4.1 付款周期</w:t>
      </w:r>
    </w:p>
    <w:p w14:paraId="0E29D521">
      <w:pPr>
        <w:pStyle w:val="15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关于付款周期的约定：</w:t>
      </w:r>
      <w:r>
        <w:rPr>
          <w:rFonts w:hint="eastAsia" w:ascii="宋体" w:hAnsi="宋体" w:eastAsia="宋体" w:cs="宋体"/>
          <w:color w:val="000000" w:themeColor="text1"/>
          <w:szCs w:val="21"/>
          <w:u w:val="single"/>
        </w:rPr>
        <w:t>（1）签订合同后7日内支付合同金额30%预付款，工程竣工验收达到质量要求，工程款支付至经审核的结算总价的100%（包括预付款30%），付款前承包人需开具合法有效增值税专用发票，需另行缴纳工程价款结算总额的3%作为工程质量保证金，转到发包人指定账户，否则发包人有权拒绝付款。工程质量保证在工程质量缺陷责任期满经双方验收后15个工作日内发包人向承包人返还保证金。</w:t>
      </w:r>
    </w:p>
    <w:p w14:paraId="57F50BE9">
      <w:pPr>
        <w:pStyle w:val="15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2）合同约定的工程质量缺陷责任期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62D772CB">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12.4.2 进度付款申请单的编制</w:t>
      </w:r>
    </w:p>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p w14:paraId="2A8C4C23">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本项目无工程进度款</w:t>
      </w:r>
    </w:p>
    <w:bookmarkEnd w:id="1142"/>
    <w:p w14:paraId="19A3D267">
      <w:pPr>
        <w:pStyle w:val="165"/>
        <w:spacing w:before="120" w:after="120" w:line="460" w:lineRule="atLeast"/>
        <w:rPr>
          <w:rFonts w:hint="eastAsia" w:ascii="宋体" w:hAnsi="宋体" w:eastAsia="宋体" w:cs="宋体"/>
          <w:b w:val="0"/>
          <w:color w:val="000000" w:themeColor="text1"/>
          <w:sz w:val="21"/>
          <w:szCs w:val="21"/>
        </w:rPr>
      </w:pPr>
      <w:bookmarkStart w:id="1313" w:name="_Toc351203645"/>
      <w:bookmarkStart w:id="1314" w:name="_Toc21688"/>
      <w:bookmarkStart w:id="1315" w:name="_Toc22509"/>
      <w:bookmarkStart w:id="1316" w:name="_Toc4289"/>
      <w:bookmarkStart w:id="1317" w:name="_Toc27211"/>
      <w:bookmarkStart w:id="1318" w:name="_Toc22802"/>
      <w:bookmarkStart w:id="1319" w:name="_Toc14221"/>
      <w:bookmarkStart w:id="1320" w:name="_Toc20352"/>
      <w:bookmarkStart w:id="1321" w:name="_Toc304295593"/>
      <w:bookmarkStart w:id="1322" w:name="_Toc296891047"/>
      <w:bookmarkStart w:id="1323" w:name="_Toc312678053"/>
      <w:bookmarkStart w:id="1324" w:name="_Toc296503219"/>
      <w:bookmarkStart w:id="1325" w:name="_Toc296891259"/>
      <w:bookmarkStart w:id="1326" w:name="_Toc292559424"/>
      <w:bookmarkStart w:id="1327" w:name="_Toc297120519"/>
      <w:bookmarkStart w:id="1328" w:name="_Toc296944558"/>
      <w:bookmarkStart w:id="1329" w:name="_Toc296346720"/>
      <w:bookmarkStart w:id="1330" w:name="_Toc297123564"/>
      <w:bookmarkStart w:id="1331" w:name="_Toc292559929"/>
      <w:bookmarkStart w:id="1332" w:name="_Toc297216223"/>
      <w:bookmarkStart w:id="1333" w:name="_Toc300935015"/>
      <w:bookmarkStart w:id="1334" w:name="_Toc296347218"/>
      <w:bookmarkStart w:id="1335" w:name="_Toc303539172"/>
      <w:bookmarkStart w:id="1336" w:name="_Toc297048405"/>
      <w:r>
        <w:rPr>
          <w:rFonts w:hint="eastAsia" w:ascii="宋体" w:hAnsi="宋体" w:eastAsia="宋体" w:cs="宋体"/>
          <w:b w:val="0"/>
          <w:color w:val="000000" w:themeColor="text1"/>
          <w:sz w:val="21"/>
          <w:szCs w:val="21"/>
        </w:rPr>
        <w:t>13. 验收和工程试车</w:t>
      </w:r>
      <w:bookmarkEnd w:id="1313"/>
      <w:bookmarkEnd w:id="1314"/>
      <w:bookmarkEnd w:id="1315"/>
      <w:bookmarkEnd w:id="1316"/>
      <w:bookmarkEnd w:id="1317"/>
      <w:bookmarkEnd w:id="1318"/>
      <w:bookmarkEnd w:id="1319"/>
      <w:bookmarkEnd w:id="1320"/>
    </w:p>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14:paraId="5C4CB3F6">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13.1 分部分项工程验收</w:t>
      </w:r>
    </w:p>
    <w:p w14:paraId="7A602A96">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13.1.2监理人不能按时进行验收时，应提前</w:t>
      </w:r>
      <w:r>
        <w:rPr>
          <w:rFonts w:hint="eastAsia" w:ascii="宋体" w:hAnsi="宋体" w:eastAsia="宋体" w:cs="宋体"/>
          <w:color w:val="000000" w:themeColor="text1"/>
          <w:szCs w:val="21"/>
          <w:u w:val="single"/>
        </w:rPr>
        <w:t xml:space="preserve"> 12  </w:t>
      </w:r>
      <w:r>
        <w:rPr>
          <w:rFonts w:hint="eastAsia" w:ascii="宋体" w:hAnsi="宋体" w:eastAsia="宋体" w:cs="宋体"/>
          <w:color w:val="000000" w:themeColor="text1"/>
          <w:szCs w:val="21"/>
        </w:rPr>
        <w:t>小时提交书面延期要求。</w:t>
      </w:r>
    </w:p>
    <w:p w14:paraId="0078B1B8">
      <w:pPr>
        <w:pStyle w:val="150"/>
        <w:spacing w:line="460" w:lineRule="atLeast"/>
        <w:ind w:firstLine="420" w:firstLineChars="200"/>
        <w:jc w:val="left"/>
        <w:rPr>
          <w:rFonts w:hint="eastAsia" w:ascii="宋体" w:hAnsi="宋体" w:eastAsia="宋体" w:cs="宋体"/>
          <w:b/>
          <w:color w:val="000000" w:themeColor="text1"/>
          <w:szCs w:val="21"/>
        </w:rPr>
      </w:pPr>
      <w:r>
        <w:rPr>
          <w:rFonts w:hint="eastAsia" w:ascii="宋体" w:hAnsi="宋体" w:eastAsia="宋体" w:cs="宋体"/>
          <w:color w:val="000000" w:themeColor="text1"/>
          <w:szCs w:val="21"/>
        </w:rPr>
        <w:t>关于延期最长不得超过：</w:t>
      </w:r>
      <w:r>
        <w:rPr>
          <w:rFonts w:hint="eastAsia" w:ascii="宋体" w:hAnsi="宋体" w:eastAsia="宋体" w:cs="宋体"/>
          <w:color w:val="000000" w:themeColor="text1"/>
          <w:szCs w:val="21"/>
          <w:u w:val="single"/>
        </w:rPr>
        <w:t xml:space="preserve">  24   </w:t>
      </w:r>
      <w:r>
        <w:rPr>
          <w:rFonts w:hint="eastAsia" w:ascii="宋体" w:hAnsi="宋体" w:eastAsia="宋体" w:cs="宋体"/>
          <w:color w:val="000000" w:themeColor="text1"/>
          <w:szCs w:val="21"/>
        </w:rPr>
        <w:t>小时。</w:t>
      </w:r>
    </w:p>
    <w:p w14:paraId="50C6F198">
      <w:pPr>
        <w:pStyle w:val="150"/>
        <w:spacing w:after="120" w:line="460" w:lineRule="atLeast"/>
        <w:ind w:firstLine="420" w:firstLineChars="200"/>
        <w:rPr>
          <w:rFonts w:hint="eastAsia" w:ascii="宋体" w:hAnsi="宋体" w:eastAsia="宋体" w:cs="宋体"/>
          <w:color w:val="000000" w:themeColor="text1"/>
          <w:szCs w:val="21"/>
        </w:rPr>
      </w:pPr>
      <w:bookmarkStart w:id="1337" w:name="_Toc304295596"/>
      <w:bookmarkStart w:id="1338" w:name="_Toc300935016"/>
      <w:bookmarkStart w:id="1339" w:name="_Toc297123565"/>
      <w:bookmarkStart w:id="1340" w:name="_Toc296346724"/>
      <w:bookmarkStart w:id="1341" w:name="_Toc296944562"/>
      <w:bookmarkStart w:id="1342" w:name="_Toc297216224"/>
      <w:bookmarkStart w:id="1343" w:name="_Toc296503223"/>
      <w:bookmarkStart w:id="1344" w:name="_Toc297120523"/>
      <w:bookmarkStart w:id="1345" w:name="_Toc292559428"/>
      <w:bookmarkStart w:id="1346" w:name="_Toc296891263"/>
      <w:bookmarkStart w:id="1347" w:name="_Toc296891051"/>
      <w:bookmarkStart w:id="1348" w:name="_Toc297048409"/>
      <w:bookmarkStart w:id="1349" w:name="_Toc292559933"/>
      <w:bookmarkStart w:id="1350" w:name="_Toc296347222"/>
      <w:bookmarkStart w:id="1351" w:name="_Toc303539173"/>
      <w:bookmarkStart w:id="1352" w:name="_Toc312678056"/>
      <w:bookmarkStart w:id="1353" w:name="_Toc267251472"/>
      <w:bookmarkStart w:id="1354" w:name="_Toc267251471"/>
      <w:bookmarkStart w:id="1355" w:name="_Toc267251470"/>
      <w:bookmarkStart w:id="1356" w:name="_Toc267251474"/>
      <w:bookmarkStart w:id="1357" w:name="_Toc267251473"/>
      <w:bookmarkStart w:id="1358" w:name="_Toc267251475"/>
      <w:bookmarkStart w:id="1359" w:name="_Toc267251476"/>
      <w:r>
        <w:rPr>
          <w:rFonts w:hint="eastAsia" w:ascii="宋体" w:hAnsi="宋体" w:eastAsia="宋体" w:cs="宋体"/>
          <w:color w:val="000000" w:themeColor="text1"/>
          <w:szCs w:val="21"/>
        </w:rPr>
        <w:t>13.2 竣工验收</w:t>
      </w:r>
    </w:p>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14:paraId="0BAD54BF">
      <w:pPr>
        <w:pStyle w:val="150"/>
        <w:spacing w:line="460" w:lineRule="atLeast"/>
        <w:ind w:firstLine="420" w:firstLineChars="200"/>
        <w:jc w:val="left"/>
        <w:rPr>
          <w:rFonts w:hint="eastAsia" w:ascii="宋体" w:hAnsi="宋体" w:eastAsia="宋体" w:cs="宋体"/>
          <w:color w:val="000000" w:themeColor="text1"/>
          <w:szCs w:val="21"/>
        </w:rPr>
      </w:pPr>
      <w:bookmarkStart w:id="1360" w:name="_Toc280868704"/>
      <w:bookmarkStart w:id="1361" w:name="_Toc280868705"/>
      <w:bookmarkStart w:id="1362" w:name="_Toc280868706"/>
      <w:bookmarkStart w:id="1363" w:name="_Toc280868707"/>
      <w:bookmarkStart w:id="1364" w:name="_Toc280868708"/>
      <w:bookmarkStart w:id="1365" w:name="_Toc280868709"/>
      <w:r>
        <w:rPr>
          <w:rFonts w:hint="eastAsia" w:ascii="宋体" w:hAnsi="宋体" w:eastAsia="宋体" w:cs="宋体"/>
          <w:color w:val="000000" w:themeColor="text1"/>
          <w:szCs w:val="21"/>
        </w:rPr>
        <w:t>13.2.2竣工验收程序</w:t>
      </w:r>
    </w:p>
    <w:bookmarkEnd w:id="1360"/>
    <w:p w14:paraId="5D040557">
      <w:pPr>
        <w:pStyle w:val="150"/>
        <w:spacing w:line="460" w:lineRule="atLeast"/>
        <w:ind w:left="4200" w:hanging="4200" w:hangingChars="20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关于竣工验收程序的约定：</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kern w:val="0"/>
          <w:szCs w:val="21"/>
          <w:u w:val="single"/>
        </w:rPr>
        <w:t>按通用条款</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4145B93A">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发包人不按照本项约定组织竣工验收、颁发工程接收证书的违约金的计算方法：</w:t>
      </w:r>
      <w:r>
        <w:rPr>
          <w:rFonts w:hint="eastAsia" w:ascii="宋体" w:hAnsi="宋体" w:eastAsia="宋体" w:cs="宋体"/>
          <w:color w:val="000000" w:themeColor="text1"/>
          <w:szCs w:val="21"/>
          <w:u w:val="single"/>
        </w:rPr>
        <w:t xml:space="preserve">  每天赔偿金额为合同价款扣除建安劳保费、发包人材料价款、暂估专业工程、暂列金额后的万分之四  </w:t>
      </w:r>
      <w:r>
        <w:rPr>
          <w:rFonts w:hint="eastAsia" w:ascii="宋体" w:hAnsi="宋体" w:eastAsia="宋体" w:cs="宋体"/>
          <w:color w:val="000000" w:themeColor="text1"/>
          <w:szCs w:val="21"/>
        </w:rPr>
        <w:t>。</w:t>
      </w:r>
    </w:p>
    <w:bookmarkEnd w:id="1361"/>
    <w:p w14:paraId="55CF9AF5">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13.2.5移交、接收全部与部分工程</w:t>
      </w:r>
    </w:p>
    <w:bookmarkEnd w:id="1362"/>
    <w:p w14:paraId="35841EB5">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承包人向发包人移交工程的期限：</w:t>
      </w:r>
      <w:r>
        <w:rPr>
          <w:rFonts w:hint="eastAsia" w:ascii="宋体" w:hAnsi="宋体" w:eastAsia="宋体" w:cs="宋体"/>
          <w:color w:val="000000" w:themeColor="text1"/>
          <w:szCs w:val="21"/>
          <w:u w:val="single"/>
        </w:rPr>
        <w:t xml:space="preserve"> 竣工验收合格后28天  </w:t>
      </w:r>
      <w:r>
        <w:rPr>
          <w:rFonts w:hint="eastAsia" w:ascii="宋体" w:hAnsi="宋体" w:eastAsia="宋体" w:cs="宋体"/>
          <w:color w:val="000000" w:themeColor="text1"/>
          <w:szCs w:val="21"/>
        </w:rPr>
        <w:t>。</w:t>
      </w:r>
    </w:p>
    <w:p w14:paraId="3C73637F">
      <w:pPr>
        <w:pStyle w:val="15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kern w:val="0"/>
          <w:szCs w:val="21"/>
        </w:rPr>
        <w:t>发包人未按本合同约定接收全部或部分工程的，违约金的计算方法为：</w:t>
      </w:r>
      <w:r>
        <w:rPr>
          <w:rFonts w:hint="eastAsia" w:ascii="宋体" w:hAnsi="宋体" w:eastAsia="宋体" w:cs="宋体"/>
          <w:color w:val="000000" w:themeColor="text1"/>
          <w:szCs w:val="21"/>
          <w:u w:val="single"/>
        </w:rPr>
        <w:t xml:space="preserve">   每天赔偿金额为合同价款扣除建安劳保费、发包人材料价款、暂估专业工程、暂列金额后的万分之四   </w:t>
      </w:r>
      <w:r>
        <w:rPr>
          <w:rFonts w:hint="eastAsia" w:ascii="宋体" w:hAnsi="宋体" w:eastAsia="宋体" w:cs="宋体"/>
          <w:color w:val="000000" w:themeColor="text1"/>
          <w:szCs w:val="21"/>
        </w:rPr>
        <w:t>。</w:t>
      </w:r>
    </w:p>
    <w:bookmarkEnd w:id="1363"/>
    <w:p w14:paraId="4F110C70">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承包人未按时移交工程的，违约金的计算方法为：</w:t>
      </w:r>
      <w:r>
        <w:rPr>
          <w:rFonts w:hint="eastAsia" w:ascii="宋体" w:hAnsi="宋体" w:eastAsia="宋体" w:cs="宋体"/>
          <w:color w:val="000000" w:themeColor="text1"/>
          <w:szCs w:val="21"/>
          <w:u w:val="single"/>
        </w:rPr>
        <w:t xml:space="preserve">  每天赔偿金额为合同价款扣除建安劳保费、发包人材料价款、暂估专业工程、暂列金额后的万分之四  </w:t>
      </w:r>
      <w:r>
        <w:rPr>
          <w:rFonts w:hint="eastAsia" w:ascii="宋体" w:hAnsi="宋体" w:eastAsia="宋体" w:cs="宋体"/>
          <w:color w:val="000000" w:themeColor="text1"/>
          <w:szCs w:val="21"/>
        </w:rPr>
        <w:t>。</w:t>
      </w:r>
    </w:p>
    <w:p w14:paraId="71957A0A">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13.3 工程试车</w:t>
      </w:r>
    </w:p>
    <w:bookmarkEnd w:id="1364"/>
    <w:p w14:paraId="3DF8098F">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13.3.1 试车程序</w:t>
      </w:r>
    </w:p>
    <w:p w14:paraId="5A7A67D1">
      <w:pPr>
        <w:pStyle w:val="150"/>
        <w:spacing w:line="46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工程试车内容：</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65935B78">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（1）单机无负荷试车费用由</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kern w:val="0"/>
          <w:szCs w:val="21"/>
        </w:rPr>
        <w:t>承担；</w:t>
      </w:r>
    </w:p>
    <w:p w14:paraId="1B1EDD81">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（2）无负荷联动试车费用由</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kern w:val="0"/>
          <w:szCs w:val="21"/>
        </w:rPr>
        <w:t>承担。</w:t>
      </w:r>
    </w:p>
    <w:p w14:paraId="44B0FDD4">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13.3.3 投料试车</w:t>
      </w:r>
    </w:p>
    <w:p w14:paraId="2C8B70F3">
      <w:pPr>
        <w:pStyle w:val="150"/>
        <w:spacing w:line="46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关于投料试车相关事项的约定：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0D08AF52">
      <w:pPr>
        <w:pStyle w:val="150"/>
        <w:spacing w:after="120" w:line="460" w:lineRule="atLeast"/>
        <w:ind w:firstLine="420" w:firstLineChars="200"/>
        <w:outlineLvl w:val="0"/>
        <w:rPr>
          <w:rFonts w:hint="eastAsia" w:ascii="宋体" w:hAnsi="宋体" w:eastAsia="宋体" w:cs="宋体"/>
          <w:color w:val="000000" w:themeColor="text1"/>
          <w:szCs w:val="21"/>
        </w:rPr>
      </w:pPr>
      <w:bookmarkStart w:id="1366" w:name="_Toc15351"/>
      <w:bookmarkStart w:id="1367" w:name="_Toc25854"/>
      <w:bookmarkStart w:id="1368" w:name="_Toc28807"/>
      <w:bookmarkStart w:id="1369" w:name="_Toc18574496"/>
      <w:bookmarkStart w:id="1370" w:name="_Toc8900"/>
      <w:bookmarkStart w:id="1371" w:name="_Toc12520"/>
      <w:bookmarkStart w:id="1372" w:name="_Toc20092"/>
      <w:bookmarkStart w:id="1373" w:name="_Toc1052"/>
      <w:r>
        <w:rPr>
          <w:rFonts w:hint="eastAsia" w:ascii="宋体" w:hAnsi="宋体" w:eastAsia="宋体" w:cs="宋体"/>
          <w:color w:val="000000" w:themeColor="text1"/>
          <w:szCs w:val="21"/>
        </w:rPr>
        <w:t>13.6 竣工退场</w:t>
      </w:r>
      <w:bookmarkEnd w:id="1366"/>
      <w:bookmarkEnd w:id="1367"/>
      <w:bookmarkEnd w:id="1368"/>
      <w:bookmarkEnd w:id="1369"/>
      <w:bookmarkEnd w:id="1370"/>
      <w:bookmarkEnd w:id="1371"/>
      <w:bookmarkEnd w:id="1372"/>
      <w:bookmarkEnd w:id="1373"/>
    </w:p>
    <w:p w14:paraId="2693B992">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13.6.1 竣工退场</w:t>
      </w:r>
    </w:p>
    <w:p w14:paraId="3BA102C5">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承包人完成竣工退场的期限：</w:t>
      </w:r>
      <w:r>
        <w:rPr>
          <w:rFonts w:hint="eastAsia" w:ascii="宋体" w:hAnsi="宋体" w:eastAsia="宋体" w:cs="宋体"/>
          <w:color w:val="000000" w:themeColor="text1"/>
          <w:szCs w:val="21"/>
          <w:u w:val="single"/>
        </w:rPr>
        <w:t xml:space="preserve">  竣工验收合格后15天内退  </w:t>
      </w:r>
      <w:r>
        <w:rPr>
          <w:rFonts w:hint="eastAsia" w:ascii="宋体" w:hAnsi="宋体" w:eastAsia="宋体" w:cs="宋体"/>
          <w:color w:val="000000" w:themeColor="text1"/>
          <w:kern w:val="0"/>
          <w:szCs w:val="21"/>
        </w:rPr>
        <w:t>。</w:t>
      </w:r>
    </w:p>
    <w:p w14:paraId="1F4740FE">
      <w:pPr>
        <w:pStyle w:val="165"/>
        <w:spacing w:before="120" w:after="120" w:line="460" w:lineRule="atLeast"/>
        <w:rPr>
          <w:rFonts w:hint="eastAsia" w:ascii="宋体" w:hAnsi="宋体" w:eastAsia="宋体" w:cs="宋体"/>
          <w:b w:val="0"/>
          <w:color w:val="000000" w:themeColor="text1"/>
          <w:sz w:val="21"/>
          <w:szCs w:val="21"/>
        </w:rPr>
      </w:pPr>
      <w:bookmarkStart w:id="1374" w:name="_Toc13251"/>
      <w:bookmarkStart w:id="1375" w:name="_Toc18425"/>
      <w:bookmarkStart w:id="1376" w:name="_Toc3426"/>
      <w:bookmarkStart w:id="1377" w:name="_Toc27698"/>
      <w:bookmarkStart w:id="1378" w:name="_Toc351203646"/>
      <w:bookmarkStart w:id="1379" w:name="_Toc1651"/>
      <w:bookmarkStart w:id="1380" w:name="_Toc3506"/>
      <w:bookmarkStart w:id="1381" w:name="_Toc8060"/>
      <w:r>
        <w:rPr>
          <w:rFonts w:hint="eastAsia" w:ascii="宋体" w:hAnsi="宋体" w:eastAsia="宋体" w:cs="宋体"/>
          <w:b w:val="0"/>
          <w:color w:val="000000" w:themeColor="text1"/>
          <w:sz w:val="21"/>
          <w:szCs w:val="21"/>
        </w:rPr>
        <w:t>14. 竣工结算</w:t>
      </w:r>
      <w:bookmarkEnd w:id="1374"/>
      <w:bookmarkEnd w:id="1375"/>
      <w:bookmarkEnd w:id="1376"/>
      <w:bookmarkEnd w:id="1377"/>
      <w:bookmarkEnd w:id="1378"/>
      <w:bookmarkEnd w:id="1379"/>
      <w:bookmarkEnd w:id="1380"/>
      <w:bookmarkEnd w:id="1381"/>
    </w:p>
    <w:p w14:paraId="6F72F0C2">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14.1 竣工结算申请</w:t>
      </w:r>
    </w:p>
    <w:p w14:paraId="3023C884">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承包人提交竣工结算申请单的期限：</w:t>
      </w:r>
      <w:r>
        <w:rPr>
          <w:rFonts w:hint="eastAsia" w:ascii="宋体" w:hAnsi="宋体" w:eastAsia="宋体" w:cs="宋体"/>
          <w:color w:val="000000" w:themeColor="text1"/>
          <w:szCs w:val="21"/>
          <w:u w:val="single"/>
        </w:rPr>
        <w:t xml:space="preserve">  竣工验收合格之日起7日内  </w:t>
      </w:r>
      <w:r>
        <w:rPr>
          <w:rFonts w:hint="eastAsia" w:ascii="宋体" w:hAnsi="宋体" w:eastAsia="宋体" w:cs="宋体"/>
          <w:color w:val="000000" w:themeColor="text1"/>
          <w:szCs w:val="21"/>
        </w:rPr>
        <w:t>。</w:t>
      </w:r>
    </w:p>
    <w:p w14:paraId="6F395C31">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竣工结算申请单应包括的内容：</w:t>
      </w:r>
      <w:r>
        <w:rPr>
          <w:rFonts w:hint="eastAsia" w:ascii="宋体" w:hAnsi="宋体" w:eastAsia="宋体" w:cs="宋体"/>
          <w:color w:val="000000" w:themeColor="text1"/>
          <w:szCs w:val="21"/>
          <w:u w:val="single"/>
        </w:rPr>
        <w:t xml:space="preserve">  完整的计量资料  </w:t>
      </w:r>
      <w:r>
        <w:rPr>
          <w:rFonts w:hint="eastAsia" w:ascii="宋体" w:hAnsi="宋体" w:eastAsia="宋体" w:cs="宋体"/>
          <w:color w:val="000000" w:themeColor="text1"/>
          <w:szCs w:val="21"/>
        </w:rPr>
        <w:t>。</w:t>
      </w:r>
    </w:p>
    <w:p w14:paraId="5CCD32CB">
      <w:pPr>
        <w:pStyle w:val="150"/>
        <w:spacing w:after="120" w:line="460" w:lineRule="atLeast"/>
        <w:ind w:firstLine="420" w:firstLineChars="200"/>
        <w:outlineLvl w:val="0"/>
        <w:rPr>
          <w:rFonts w:hint="eastAsia" w:ascii="宋体" w:hAnsi="宋体" w:eastAsia="宋体" w:cs="宋体"/>
          <w:color w:val="000000" w:themeColor="text1"/>
          <w:szCs w:val="21"/>
        </w:rPr>
      </w:pPr>
      <w:bookmarkStart w:id="1382" w:name="_Toc8144"/>
      <w:bookmarkStart w:id="1383" w:name="_Toc28916"/>
      <w:bookmarkStart w:id="1384" w:name="_Toc32360"/>
      <w:bookmarkStart w:id="1385" w:name="_Toc18574497"/>
      <w:bookmarkStart w:id="1386" w:name="_Toc7896"/>
      <w:bookmarkStart w:id="1387" w:name="_Toc28706"/>
      <w:bookmarkStart w:id="1388" w:name="_Toc22944"/>
      <w:bookmarkStart w:id="1389" w:name="_Toc28581"/>
      <w:r>
        <w:rPr>
          <w:rFonts w:hint="eastAsia" w:ascii="宋体" w:hAnsi="宋体" w:eastAsia="宋体" w:cs="宋体"/>
          <w:color w:val="000000" w:themeColor="text1"/>
          <w:szCs w:val="21"/>
        </w:rPr>
        <w:t>14.2 竣工结算审核</w:t>
      </w:r>
      <w:bookmarkEnd w:id="1382"/>
      <w:bookmarkEnd w:id="1383"/>
      <w:bookmarkEnd w:id="1384"/>
      <w:bookmarkEnd w:id="1385"/>
      <w:bookmarkEnd w:id="1386"/>
      <w:bookmarkEnd w:id="1387"/>
      <w:bookmarkEnd w:id="1388"/>
      <w:bookmarkEnd w:id="1389"/>
    </w:p>
    <w:p w14:paraId="2B7D52BB">
      <w:pPr>
        <w:pStyle w:val="150"/>
        <w:spacing w:line="460" w:lineRule="atLeast"/>
        <w:ind w:firstLine="420" w:firstLineChars="200"/>
        <w:jc w:val="lef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发包人审批竣工付款申请单的期限：</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EA8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157B3AF4">
            <w:pPr>
              <w:pStyle w:val="170"/>
              <w:spacing w:line="460" w:lineRule="atLeast"/>
              <w:rPr>
                <w:rFonts w:hint="eastAsia" w:ascii="宋体" w:hAnsi="宋体" w:eastAsia="宋体" w:cs="宋体"/>
                <w:color w:val="000000" w:themeColor="text1"/>
              </w:rPr>
            </w:pPr>
          </w:p>
        </w:tc>
        <w:tc>
          <w:tcPr>
            <w:tcW w:w="2466" w:type="dxa"/>
            <w:tcBorders>
              <w:top w:val="single" w:color="auto" w:sz="4" w:space="0"/>
              <w:left w:val="nil"/>
              <w:bottom w:val="single" w:color="auto" w:sz="4" w:space="0"/>
              <w:right w:val="single" w:color="auto" w:sz="4" w:space="0"/>
            </w:tcBorders>
            <w:vAlign w:val="center"/>
          </w:tcPr>
          <w:p w14:paraId="5F8297D7">
            <w:pPr>
              <w:pStyle w:val="170"/>
              <w:spacing w:line="460" w:lineRule="atLeast"/>
              <w:ind w:firstLine="27" w:firstLineChars="13"/>
              <w:jc w:val="center"/>
              <w:rPr>
                <w:rFonts w:hint="eastAsia" w:ascii="宋体" w:hAnsi="宋体" w:eastAsia="宋体" w:cs="宋体"/>
                <w:color w:val="000000" w:themeColor="text1"/>
              </w:rPr>
            </w:pPr>
            <w:r>
              <w:rPr>
                <w:rFonts w:hint="eastAsia" w:ascii="宋体" w:hAnsi="宋体" w:eastAsia="宋体" w:cs="宋体"/>
                <w:color w:val="000000" w:themeColor="text1"/>
              </w:rPr>
              <w:t>工程竣工结算报告金额</w:t>
            </w:r>
          </w:p>
        </w:tc>
        <w:tc>
          <w:tcPr>
            <w:tcW w:w="5967" w:type="dxa"/>
            <w:tcBorders>
              <w:top w:val="single" w:color="auto" w:sz="4" w:space="0"/>
              <w:left w:val="nil"/>
              <w:bottom w:val="single" w:color="auto" w:sz="4" w:space="0"/>
              <w:right w:val="single" w:color="auto" w:sz="4" w:space="0"/>
            </w:tcBorders>
            <w:vAlign w:val="center"/>
          </w:tcPr>
          <w:p w14:paraId="17A71D6E">
            <w:pPr>
              <w:pStyle w:val="170"/>
              <w:spacing w:line="460" w:lineRule="atLeast"/>
              <w:ind w:firstLine="441" w:firstLineChars="210"/>
              <w:jc w:val="center"/>
              <w:rPr>
                <w:rFonts w:hint="eastAsia" w:ascii="宋体" w:hAnsi="宋体" w:eastAsia="宋体" w:cs="宋体"/>
                <w:color w:val="000000" w:themeColor="text1"/>
              </w:rPr>
            </w:pPr>
            <w:r>
              <w:rPr>
                <w:rFonts w:hint="eastAsia" w:ascii="宋体" w:hAnsi="宋体" w:eastAsia="宋体" w:cs="宋体"/>
                <w:color w:val="000000" w:themeColor="text1"/>
              </w:rPr>
              <w:t>发包人审查时间</w:t>
            </w:r>
          </w:p>
        </w:tc>
      </w:tr>
      <w:tr w14:paraId="025C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1F4FB482">
            <w:pPr>
              <w:pStyle w:val="170"/>
              <w:spacing w:line="460" w:lineRule="atLeast"/>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2466" w:type="dxa"/>
            <w:tcBorders>
              <w:top w:val="single" w:color="auto" w:sz="4" w:space="0"/>
              <w:left w:val="nil"/>
              <w:bottom w:val="single" w:color="auto" w:sz="4" w:space="0"/>
              <w:right w:val="single" w:color="auto" w:sz="4" w:space="0"/>
            </w:tcBorders>
            <w:vAlign w:val="center"/>
          </w:tcPr>
          <w:p w14:paraId="7D7FB755">
            <w:pPr>
              <w:pStyle w:val="170"/>
              <w:spacing w:line="460" w:lineRule="atLeast"/>
              <w:ind w:firstLine="27" w:firstLineChars="13"/>
              <w:jc w:val="center"/>
              <w:rPr>
                <w:rFonts w:hint="eastAsia" w:ascii="宋体" w:hAnsi="宋体" w:eastAsia="宋体" w:cs="宋体"/>
                <w:color w:val="000000" w:themeColor="text1"/>
              </w:rPr>
            </w:pPr>
            <w:r>
              <w:rPr>
                <w:rFonts w:hint="eastAsia" w:ascii="宋体" w:hAnsi="宋体" w:eastAsia="宋体" w:cs="宋体"/>
                <w:color w:val="000000" w:themeColor="text1"/>
              </w:rPr>
              <w:t>500万元以下</w:t>
            </w:r>
          </w:p>
        </w:tc>
        <w:tc>
          <w:tcPr>
            <w:tcW w:w="5967" w:type="dxa"/>
            <w:tcBorders>
              <w:top w:val="single" w:color="auto" w:sz="4" w:space="0"/>
              <w:left w:val="nil"/>
              <w:bottom w:val="single" w:color="auto" w:sz="4" w:space="0"/>
              <w:right w:val="single" w:color="auto" w:sz="4" w:space="0"/>
            </w:tcBorders>
            <w:vAlign w:val="center"/>
          </w:tcPr>
          <w:p w14:paraId="48FA65FE">
            <w:pPr>
              <w:pStyle w:val="170"/>
              <w:spacing w:line="460" w:lineRule="atLeast"/>
              <w:ind w:firstLine="441" w:firstLineChars="210"/>
              <w:jc w:val="center"/>
              <w:rPr>
                <w:rFonts w:hint="eastAsia" w:ascii="宋体" w:hAnsi="宋体" w:eastAsia="宋体" w:cs="宋体"/>
                <w:color w:val="000000" w:themeColor="text1"/>
              </w:rPr>
            </w:pPr>
            <w:r>
              <w:rPr>
                <w:rFonts w:hint="eastAsia" w:ascii="宋体" w:hAnsi="宋体" w:eastAsia="宋体" w:cs="宋体"/>
                <w:color w:val="000000" w:themeColor="text1"/>
              </w:rPr>
              <w:t>从接到竣工结算报告和完整的竣工结算资料之日起20天</w:t>
            </w:r>
          </w:p>
        </w:tc>
      </w:tr>
      <w:tr w14:paraId="53EB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066F52CA">
            <w:pPr>
              <w:pStyle w:val="170"/>
              <w:spacing w:line="460" w:lineRule="atLeast"/>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2466" w:type="dxa"/>
            <w:tcBorders>
              <w:top w:val="single" w:color="auto" w:sz="4" w:space="0"/>
              <w:left w:val="nil"/>
              <w:bottom w:val="single" w:color="auto" w:sz="4" w:space="0"/>
              <w:right w:val="single" w:color="auto" w:sz="4" w:space="0"/>
            </w:tcBorders>
            <w:vAlign w:val="center"/>
          </w:tcPr>
          <w:p w14:paraId="75E11699">
            <w:pPr>
              <w:pStyle w:val="170"/>
              <w:spacing w:line="460" w:lineRule="atLeast"/>
              <w:ind w:firstLine="27" w:firstLineChars="13"/>
              <w:jc w:val="center"/>
              <w:rPr>
                <w:rFonts w:hint="eastAsia" w:ascii="宋体" w:hAnsi="宋体" w:eastAsia="宋体" w:cs="宋体"/>
                <w:color w:val="000000" w:themeColor="text1"/>
              </w:rPr>
            </w:pPr>
            <w:r>
              <w:rPr>
                <w:rFonts w:hint="eastAsia" w:ascii="宋体" w:hAnsi="宋体" w:eastAsia="宋体" w:cs="宋体"/>
                <w:color w:val="000000" w:themeColor="text1"/>
              </w:rPr>
              <w:t>500万元-2000万元</w:t>
            </w:r>
          </w:p>
        </w:tc>
        <w:tc>
          <w:tcPr>
            <w:tcW w:w="5967" w:type="dxa"/>
            <w:tcBorders>
              <w:top w:val="single" w:color="auto" w:sz="4" w:space="0"/>
              <w:left w:val="nil"/>
              <w:bottom w:val="single" w:color="auto" w:sz="4" w:space="0"/>
              <w:right w:val="single" w:color="auto" w:sz="4" w:space="0"/>
            </w:tcBorders>
            <w:vAlign w:val="center"/>
          </w:tcPr>
          <w:p w14:paraId="74CE973D">
            <w:pPr>
              <w:pStyle w:val="170"/>
              <w:spacing w:line="460" w:lineRule="atLeast"/>
              <w:ind w:firstLine="441" w:firstLineChars="210"/>
              <w:jc w:val="center"/>
              <w:rPr>
                <w:rFonts w:hint="eastAsia" w:ascii="宋体" w:hAnsi="宋体" w:eastAsia="宋体" w:cs="宋体"/>
                <w:color w:val="000000" w:themeColor="text1"/>
              </w:rPr>
            </w:pPr>
            <w:r>
              <w:rPr>
                <w:rFonts w:hint="eastAsia" w:ascii="宋体" w:hAnsi="宋体" w:eastAsia="宋体" w:cs="宋体"/>
                <w:color w:val="000000" w:themeColor="text1"/>
              </w:rPr>
              <w:t>从接到竣工结算报告和完整的竣工结算资料之日起30天</w:t>
            </w:r>
          </w:p>
        </w:tc>
      </w:tr>
      <w:tr w14:paraId="7FFF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31C3F1DE">
            <w:pPr>
              <w:pStyle w:val="170"/>
              <w:spacing w:line="460" w:lineRule="atLeast"/>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2466" w:type="dxa"/>
            <w:tcBorders>
              <w:top w:val="single" w:color="auto" w:sz="4" w:space="0"/>
              <w:left w:val="nil"/>
              <w:bottom w:val="single" w:color="auto" w:sz="4" w:space="0"/>
              <w:right w:val="single" w:color="auto" w:sz="4" w:space="0"/>
            </w:tcBorders>
            <w:vAlign w:val="center"/>
          </w:tcPr>
          <w:p w14:paraId="10536B7B">
            <w:pPr>
              <w:pStyle w:val="170"/>
              <w:spacing w:line="460" w:lineRule="atLeast"/>
              <w:ind w:firstLine="27" w:firstLineChars="13"/>
              <w:jc w:val="center"/>
              <w:rPr>
                <w:rFonts w:hint="eastAsia" w:ascii="宋体" w:hAnsi="宋体" w:eastAsia="宋体" w:cs="宋体"/>
                <w:color w:val="000000" w:themeColor="text1"/>
              </w:rPr>
            </w:pPr>
            <w:r>
              <w:rPr>
                <w:rFonts w:hint="eastAsia" w:ascii="宋体" w:hAnsi="宋体" w:eastAsia="宋体" w:cs="宋体"/>
                <w:color w:val="000000" w:themeColor="text1"/>
              </w:rPr>
              <w:t>2000万元-5000万元</w:t>
            </w:r>
          </w:p>
        </w:tc>
        <w:tc>
          <w:tcPr>
            <w:tcW w:w="5967" w:type="dxa"/>
            <w:tcBorders>
              <w:top w:val="single" w:color="auto" w:sz="4" w:space="0"/>
              <w:left w:val="nil"/>
              <w:bottom w:val="single" w:color="auto" w:sz="4" w:space="0"/>
              <w:right w:val="single" w:color="auto" w:sz="4" w:space="0"/>
            </w:tcBorders>
            <w:vAlign w:val="center"/>
          </w:tcPr>
          <w:p w14:paraId="19FF2247">
            <w:pPr>
              <w:pStyle w:val="170"/>
              <w:spacing w:line="460" w:lineRule="atLeast"/>
              <w:ind w:firstLine="441" w:firstLineChars="210"/>
              <w:jc w:val="center"/>
              <w:rPr>
                <w:rFonts w:hint="eastAsia" w:ascii="宋体" w:hAnsi="宋体" w:eastAsia="宋体" w:cs="宋体"/>
                <w:color w:val="000000" w:themeColor="text1"/>
              </w:rPr>
            </w:pPr>
            <w:r>
              <w:rPr>
                <w:rFonts w:hint="eastAsia" w:ascii="宋体" w:hAnsi="宋体" w:eastAsia="宋体" w:cs="宋体"/>
                <w:color w:val="000000" w:themeColor="text1"/>
              </w:rPr>
              <w:t>从接到竣工结算报告和完整的竣工结算资料之日起45天</w:t>
            </w:r>
          </w:p>
        </w:tc>
      </w:tr>
      <w:tr w14:paraId="4926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vAlign w:val="center"/>
          </w:tcPr>
          <w:p w14:paraId="57629B52">
            <w:pPr>
              <w:pStyle w:val="170"/>
              <w:spacing w:line="460" w:lineRule="atLeast"/>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2466" w:type="dxa"/>
            <w:tcBorders>
              <w:top w:val="single" w:color="auto" w:sz="4" w:space="0"/>
              <w:left w:val="nil"/>
              <w:bottom w:val="single" w:color="auto" w:sz="4" w:space="0"/>
              <w:right w:val="single" w:color="auto" w:sz="4" w:space="0"/>
            </w:tcBorders>
            <w:vAlign w:val="center"/>
          </w:tcPr>
          <w:p w14:paraId="2020F3CE">
            <w:pPr>
              <w:pStyle w:val="170"/>
              <w:spacing w:line="460" w:lineRule="atLeast"/>
              <w:ind w:firstLine="27" w:firstLineChars="13"/>
              <w:jc w:val="center"/>
              <w:rPr>
                <w:rFonts w:hint="eastAsia" w:ascii="宋体" w:hAnsi="宋体" w:eastAsia="宋体" w:cs="宋体"/>
                <w:color w:val="000000" w:themeColor="text1"/>
              </w:rPr>
            </w:pPr>
            <w:r>
              <w:rPr>
                <w:rFonts w:hint="eastAsia" w:ascii="宋体" w:hAnsi="宋体" w:eastAsia="宋体" w:cs="宋体"/>
                <w:color w:val="000000" w:themeColor="text1"/>
              </w:rPr>
              <w:t>5000万元以上</w:t>
            </w:r>
          </w:p>
        </w:tc>
        <w:tc>
          <w:tcPr>
            <w:tcW w:w="5967" w:type="dxa"/>
            <w:tcBorders>
              <w:top w:val="single" w:color="auto" w:sz="4" w:space="0"/>
              <w:left w:val="nil"/>
              <w:bottom w:val="single" w:color="auto" w:sz="4" w:space="0"/>
              <w:right w:val="single" w:color="auto" w:sz="4" w:space="0"/>
            </w:tcBorders>
            <w:vAlign w:val="center"/>
          </w:tcPr>
          <w:p w14:paraId="4412C9EE">
            <w:pPr>
              <w:pStyle w:val="170"/>
              <w:spacing w:line="460" w:lineRule="atLeast"/>
              <w:ind w:firstLine="441" w:firstLineChars="210"/>
              <w:jc w:val="center"/>
              <w:rPr>
                <w:rFonts w:hint="eastAsia" w:ascii="宋体" w:hAnsi="宋体" w:eastAsia="宋体" w:cs="宋体"/>
                <w:color w:val="000000" w:themeColor="text1"/>
              </w:rPr>
            </w:pPr>
            <w:r>
              <w:rPr>
                <w:rFonts w:hint="eastAsia" w:ascii="宋体" w:hAnsi="宋体" w:eastAsia="宋体" w:cs="宋体"/>
                <w:color w:val="000000" w:themeColor="text1"/>
              </w:rPr>
              <w:t>从接到竣工结算报告和完整的竣工结算资料之日起60天</w:t>
            </w:r>
          </w:p>
        </w:tc>
      </w:tr>
    </w:tbl>
    <w:p w14:paraId="435F92AC">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u w:val="single"/>
        </w:rPr>
        <w:t>收到结算审计报告及审批手续完成且承包人协助发包人完成竣工备案等相关手续后一个月内</w:t>
      </w:r>
      <w:r>
        <w:rPr>
          <w:rFonts w:hint="eastAsia" w:ascii="宋体" w:hAnsi="宋体" w:eastAsia="宋体" w:cs="宋体"/>
          <w:color w:val="000000" w:themeColor="text1"/>
        </w:rPr>
        <w:t>。</w:t>
      </w:r>
    </w:p>
    <w:p w14:paraId="39B4C7FC">
      <w:pPr>
        <w:pStyle w:val="149"/>
        <w:spacing w:line="460" w:lineRule="atLeast"/>
        <w:jc w:val="left"/>
        <w:rPr>
          <w:rFonts w:hint="eastAsia" w:ascii="宋体" w:hAnsi="宋体" w:eastAsia="宋体" w:cs="宋体"/>
          <w:color w:val="000000" w:themeColor="text1"/>
        </w:rPr>
      </w:pPr>
      <w:r>
        <w:rPr>
          <w:rFonts w:hint="eastAsia" w:ascii="宋体" w:hAnsi="宋体" w:eastAsia="宋体" w:cs="宋体"/>
          <w:color w:val="000000" w:themeColor="text1"/>
        </w:rPr>
        <w:t>关于竣工付款证书异议部分复核的方式和程序：</w:t>
      </w:r>
      <w:r>
        <w:rPr>
          <w:rFonts w:hint="eastAsia" w:ascii="宋体" w:hAnsi="宋体" w:eastAsia="宋体" w:cs="宋体"/>
          <w:color w:val="000000" w:themeColor="text1"/>
          <w:u w:val="single"/>
        </w:rPr>
        <w:t>按合同通用条款执行</w:t>
      </w:r>
      <w:r>
        <w:rPr>
          <w:rFonts w:hint="eastAsia" w:ascii="宋体" w:hAnsi="宋体" w:eastAsia="宋体" w:cs="宋体"/>
          <w:color w:val="000000" w:themeColor="text1"/>
        </w:rPr>
        <w:t>。</w:t>
      </w:r>
    </w:p>
    <w:p w14:paraId="3FBAB4EF">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14.4 最终结清</w:t>
      </w:r>
    </w:p>
    <w:p w14:paraId="03D09398">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14.4.1 最终结清申请单</w:t>
      </w:r>
    </w:p>
    <w:p w14:paraId="01375295">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（1）发包人完成最终结清申请单的审批并颁发最终结清证书的期限：</w:t>
      </w:r>
      <w:r>
        <w:rPr>
          <w:rFonts w:hint="eastAsia" w:ascii="宋体" w:hAnsi="宋体" w:eastAsia="宋体" w:cs="宋体"/>
          <w:color w:val="000000" w:themeColor="text1"/>
          <w:u w:val="single"/>
        </w:rPr>
        <w:t xml:space="preserve">  结算审核机构出具结算审计报告后一个月内，工程的最终结算以结算审计机构出具的审计报告为准 </w:t>
      </w:r>
      <w:r>
        <w:rPr>
          <w:rFonts w:hint="eastAsia" w:ascii="宋体" w:hAnsi="宋体" w:eastAsia="宋体" w:cs="宋体"/>
          <w:color w:val="000000" w:themeColor="text1"/>
        </w:rPr>
        <w:t>。</w:t>
      </w:r>
    </w:p>
    <w:p w14:paraId="3F60AD61">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（2）发包人完成支付的期限：</w:t>
      </w:r>
      <w:r>
        <w:rPr>
          <w:rFonts w:hint="eastAsia" w:ascii="宋体" w:hAnsi="宋体" w:eastAsia="宋体" w:cs="宋体"/>
          <w:color w:val="000000" w:themeColor="text1"/>
          <w:szCs w:val="21"/>
          <w:u w:val="single"/>
        </w:rPr>
        <w:t xml:space="preserve">  双方确认审计总额后28天 </w:t>
      </w:r>
      <w:r>
        <w:rPr>
          <w:rFonts w:hint="eastAsia" w:ascii="宋体" w:hAnsi="宋体" w:eastAsia="宋体" w:cs="宋体"/>
          <w:color w:val="000000" w:themeColor="text1"/>
          <w:szCs w:val="21"/>
        </w:rPr>
        <w:t xml:space="preserve">。 </w:t>
      </w:r>
    </w:p>
    <w:p w14:paraId="3BBFD52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14.4.2 最终结清证书和支付</w:t>
      </w:r>
    </w:p>
    <w:p w14:paraId="65F645B7">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（1）发包人完成最终结清申请单的审批并颁发最终结清证书的期限：</w:t>
      </w:r>
      <w:r>
        <w:rPr>
          <w:rFonts w:hint="eastAsia" w:ascii="宋体" w:hAnsi="宋体" w:eastAsia="宋体" w:cs="宋体"/>
          <w:color w:val="000000" w:themeColor="text1"/>
          <w:u w:val="single"/>
        </w:rPr>
        <w:t xml:space="preserve">  结算审核机构出具结算审计报告后一个月内，工程的最终结算以结算审计机构出具的审计报告为准 </w:t>
      </w:r>
      <w:r>
        <w:rPr>
          <w:rFonts w:hint="eastAsia" w:ascii="宋体" w:hAnsi="宋体" w:eastAsia="宋体" w:cs="宋体"/>
          <w:color w:val="000000" w:themeColor="text1"/>
        </w:rPr>
        <w:t>。</w:t>
      </w:r>
    </w:p>
    <w:p w14:paraId="025CC0D3">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（2）发包人完成支付的期限：</w:t>
      </w:r>
      <w:r>
        <w:rPr>
          <w:rFonts w:hint="eastAsia" w:ascii="宋体" w:hAnsi="宋体" w:eastAsia="宋体" w:cs="宋体"/>
          <w:color w:val="000000" w:themeColor="text1"/>
          <w:szCs w:val="21"/>
          <w:u w:val="single"/>
        </w:rPr>
        <w:t xml:space="preserve"> 双方确认审计总额后28天 </w:t>
      </w:r>
      <w:r>
        <w:rPr>
          <w:rFonts w:hint="eastAsia" w:ascii="宋体" w:hAnsi="宋体" w:eastAsia="宋体" w:cs="宋体"/>
          <w:color w:val="000000" w:themeColor="text1"/>
          <w:szCs w:val="21"/>
        </w:rPr>
        <w:t>。</w:t>
      </w:r>
    </w:p>
    <w:bookmarkEnd w:id="1353"/>
    <w:bookmarkEnd w:id="1354"/>
    <w:bookmarkEnd w:id="1355"/>
    <w:bookmarkEnd w:id="1356"/>
    <w:bookmarkEnd w:id="1357"/>
    <w:bookmarkEnd w:id="1358"/>
    <w:bookmarkEnd w:id="1359"/>
    <w:bookmarkEnd w:id="1365"/>
    <w:p w14:paraId="1FAFAE36">
      <w:pPr>
        <w:pStyle w:val="165"/>
        <w:spacing w:before="120" w:after="120" w:line="460" w:lineRule="atLeast"/>
        <w:rPr>
          <w:rFonts w:hint="eastAsia" w:ascii="宋体" w:hAnsi="宋体" w:eastAsia="宋体" w:cs="宋体"/>
          <w:b w:val="0"/>
          <w:color w:val="000000" w:themeColor="text1"/>
          <w:sz w:val="21"/>
          <w:szCs w:val="21"/>
        </w:rPr>
      </w:pPr>
      <w:bookmarkStart w:id="1390" w:name="_Toc32095"/>
      <w:bookmarkStart w:id="1391" w:name="_Toc351203647"/>
      <w:bookmarkStart w:id="1392" w:name="_Toc3896"/>
      <w:bookmarkStart w:id="1393" w:name="_Toc20255"/>
      <w:bookmarkStart w:id="1394" w:name="_Toc24311"/>
      <w:bookmarkStart w:id="1395" w:name="_Toc24893"/>
      <w:bookmarkStart w:id="1396" w:name="_Toc8379"/>
      <w:bookmarkStart w:id="1397" w:name="_Toc14859"/>
      <w:bookmarkStart w:id="1398" w:name="_Toc267251483"/>
      <w:bookmarkStart w:id="1399" w:name="_Toc267251484"/>
      <w:bookmarkStart w:id="1400" w:name="_Toc267251482"/>
      <w:bookmarkStart w:id="1401" w:name="_Toc267251485"/>
      <w:bookmarkStart w:id="1402" w:name="_Toc267251486"/>
      <w:bookmarkStart w:id="1403" w:name="_Toc267251488"/>
      <w:bookmarkStart w:id="1404" w:name="_Toc267251490"/>
      <w:bookmarkStart w:id="1405" w:name="_Toc267251489"/>
      <w:bookmarkStart w:id="1406" w:name="_Toc267251497"/>
      <w:bookmarkStart w:id="1407" w:name="_Toc267251498"/>
      <w:bookmarkStart w:id="1408" w:name="_Toc267251496"/>
      <w:bookmarkStart w:id="1409" w:name="_Toc267251493"/>
      <w:bookmarkStart w:id="1410" w:name="_Toc267251501"/>
      <w:bookmarkStart w:id="1411" w:name="_Toc267251491"/>
      <w:bookmarkStart w:id="1412" w:name="_Toc267251492"/>
      <w:bookmarkStart w:id="1413" w:name="_Toc267251499"/>
      <w:bookmarkStart w:id="1414" w:name="_Toc267251502"/>
      <w:bookmarkStart w:id="1415" w:name="_Toc267251494"/>
      <w:bookmarkStart w:id="1416" w:name="_Toc267251495"/>
      <w:bookmarkStart w:id="1417" w:name="_Toc267251503"/>
      <w:bookmarkStart w:id="1418" w:name="_Toc267251504"/>
      <w:bookmarkStart w:id="1419" w:name="_Toc267251506"/>
      <w:bookmarkStart w:id="1420" w:name="_Toc267251507"/>
      <w:bookmarkStart w:id="1421" w:name="_Toc267251508"/>
      <w:bookmarkStart w:id="1422" w:name="_Toc267251511"/>
      <w:bookmarkStart w:id="1423" w:name="_Toc267251514"/>
      <w:bookmarkStart w:id="1424" w:name="_Toc267251509"/>
      <w:bookmarkStart w:id="1425" w:name="_Toc267251510"/>
      <w:bookmarkStart w:id="1426" w:name="_Toc267251513"/>
      <w:bookmarkStart w:id="1427" w:name="_Toc267251515"/>
      <w:r>
        <w:rPr>
          <w:rFonts w:hint="eastAsia" w:ascii="宋体" w:hAnsi="宋体" w:eastAsia="宋体" w:cs="宋体"/>
          <w:b w:val="0"/>
          <w:color w:val="000000" w:themeColor="text1"/>
          <w:sz w:val="21"/>
          <w:szCs w:val="21"/>
        </w:rPr>
        <w:t>15. 缺陷责任期与保修</w:t>
      </w:r>
      <w:bookmarkEnd w:id="1390"/>
      <w:bookmarkEnd w:id="1391"/>
      <w:bookmarkEnd w:id="1392"/>
      <w:bookmarkEnd w:id="1393"/>
      <w:bookmarkEnd w:id="1394"/>
      <w:bookmarkEnd w:id="1395"/>
      <w:bookmarkEnd w:id="1396"/>
      <w:bookmarkEnd w:id="1397"/>
    </w:p>
    <w:p w14:paraId="6ED6ACD7">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15.2缺陷责任期</w:t>
      </w:r>
      <w:bookmarkEnd w:id="1398"/>
    </w:p>
    <w:p w14:paraId="2BB3ED71">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缺陷责任期的具体期限：</w:t>
      </w:r>
      <w:r>
        <w:rPr>
          <w:rFonts w:hint="eastAsia" w:ascii="宋体" w:hAnsi="宋体" w:eastAsia="宋体" w:cs="宋体"/>
          <w:color w:val="000000" w:themeColor="text1"/>
          <w:szCs w:val="21"/>
          <w:u w:val="single"/>
        </w:rPr>
        <w:t xml:space="preserve">     24个月   </w:t>
      </w:r>
      <w:r>
        <w:rPr>
          <w:rFonts w:hint="eastAsia" w:ascii="宋体" w:hAnsi="宋体" w:eastAsia="宋体" w:cs="宋体"/>
          <w:color w:val="000000" w:themeColor="text1"/>
          <w:szCs w:val="21"/>
        </w:rPr>
        <w:t>。</w:t>
      </w:r>
    </w:p>
    <w:p w14:paraId="41F52295">
      <w:pPr>
        <w:pStyle w:val="150"/>
        <w:spacing w:after="120" w:line="460" w:lineRule="atLeast"/>
        <w:ind w:firstLine="420" w:firstLineChars="200"/>
        <w:outlineLvl w:val="0"/>
        <w:rPr>
          <w:rFonts w:hint="eastAsia" w:ascii="宋体" w:hAnsi="宋体" w:eastAsia="宋体" w:cs="宋体"/>
          <w:color w:val="000000" w:themeColor="text1"/>
          <w:szCs w:val="21"/>
        </w:rPr>
      </w:pPr>
      <w:bookmarkStart w:id="1428" w:name="_Toc10989"/>
      <w:bookmarkStart w:id="1429" w:name="_Toc18574498"/>
      <w:bookmarkStart w:id="1430" w:name="_Toc12794"/>
      <w:bookmarkStart w:id="1431" w:name="_Toc27131"/>
      <w:bookmarkStart w:id="1432" w:name="_Toc12608"/>
      <w:bookmarkStart w:id="1433" w:name="_Toc403"/>
      <w:bookmarkStart w:id="1434" w:name="_Toc27903"/>
      <w:bookmarkStart w:id="1435" w:name="_Toc16296"/>
      <w:r>
        <w:rPr>
          <w:rFonts w:hint="eastAsia" w:ascii="宋体" w:hAnsi="宋体" w:eastAsia="宋体" w:cs="宋体"/>
          <w:color w:val="000000" w:themeColor="text1"/>
          <w:szCs w:val="21"/>
        </w:rPr>
        <w:t>15.3 质量保证金</w:t>
      </w:r>
      <w:bookmarkEnd w:id="1428"/>
      <w:bookmarkEnd w:id="1429"/>
      <w:bookmarkEnd w:id="1430"/>
      <w:bookmarkEnd w:id="1431"/>
      <w:bookmarkEnd w:id="1432"/>
      <w:bookmarkEnd w:id="1433"/>
      <w:bookmarkEnd w:id="1434"/>
      <w:bookmarkEnd w:id="1435"/>
    </w:p>
    <w:p w14:paraId="753E0910">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关于是否扣留质量保证金的约定：</w:t>
      </w:r>
      <w:r>
        <w:rPr>
          <w:rFonts w:hint="eastAsia" w:ascii="宋体" w:hAnsi="宋体" w:eastAsia="宋体" w:cs="宋体"/>
          <w:color w:val="000000" w:themeColor="text1"/>
          <w:szCs w:val="21"/>
          <w:u w:val="single"/>
        </w:rPr>
        <w:t xml:space="preserve">  是  </w:t>
      </w:r>
      <w:r>
        <w:rPr>
          <w:rFonts w:hint="eastAsia" w:ascii="宋体" w:hAnsi="宋体" w:eastAsia="宋体" w:cs="宋体"/>
          <w:color w:val="000000" w:themeColor="text1"/>
          <w:szCs w:val="21"/>
        </w:rPr>
        <w:t>。在工程项目竣工前，承包人按专用合同条款第3.7条提供履约担保的，发包人不得同时预留工程质量保证金。</w:t>
      </w:r>
    </w:p>
    <w:p w14:paraId="59D9C7A2">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436" w:name="_Toc18574499"/>
      <w:bookmarkStart w:id="1437" w:name="_Toc18448"/>
      <w:bookmarkStart w:id="1438" w:name="_Toc20358"/>
      <w:bookmarkStart w:id="1439" w:name="_Toc20359"/>
      <w:bookmarkStart w:id="1440" w:name="_Toc29034"/>
      <w:bookmarkStart w:id="1441" w:name="_Toc30691"/>
      <w:bookmarkStart w:id="1442" w:name="_Toc324"/>
      <w:bookmarkStart w:id="1443" w:name="_Toc13448"/>
      <w:r>
        <w:rPr>
          <w:rFonts w:hint="eastAsia" w:ascii="宋体" w:hAnsi="宋体" w:eastAsia="宋体" w:cs="宋体"/>
          <w:color w:val="000000" w:themeColor="text1"/>
          <w:szCs w:val="21"/>
        </w:rPr>
        <w:t>15.3.1 承包人提供质量保证金的方式</w:t>
      </w:r>
      <w:bookmarkEnd w:id="1436"/>
      <w:bookmarkEnd w:id="1437"/>
      <w:bookmarkEnd w:id="1438"/>
      <w:bookmarkEnd w:id="1439"/>
      <w:bookmarkEnd w:id="1440"/>
      <w:bookmarkEnd w:id="1441"/>
      <w:bookmarkEnd w:id="1442"/>
      <w:bookmarkEnd w:id="1443"/>
    </w:p>
    <w:p w14:paraId="06CEA0A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质量保证金采用以下第</w:t>
      </w:r>
      <w:r>
        <w:rPr>
          <w:rFonts w:hint="eastAsia" w:ascii="宋体" w:hAnsi="宋体" w:eastAsia="宋体" w:cs="宋体"/>
          <w:color w:val="000000" w:themeColor="text1"/>
          <w:szCs w:val="21"/>
          <w:u w:val="single"/>
        </w:rPr>
        <w:t xml:space="preserve">   2  </w:t>
      </w:r>
      <w:r>
        <w:rPr>
          <w:rFonts w:hint="eastAsia" w:ascii="宋体" w:hAnsi="宋体" w:eastAsia="宋体" w:cs="宋体"/>
          <w:color w:val="000000" w:themeColor="text1"/>
          <w:szCs w:val="21"/>
        </w:rPr>
        <w:t>种方式：</w:t>
      </w:r>
    </w:p>
    <w:p w14:paraId="113AD58F">
      <w:pPr>
        <w:pStyle w:val="150"/>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（1）质量保证金保函，保证金额为：</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 xml:space="preserve">； </w:t>
      </w:r>
    </w:p>
    <w:p w14:paraId="3DF4FDDA">
      <w:pPr>
        <w:pStyle w:val="150"/>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w:t>
      </w:r>
      <w:r>
        <w:rPr>
          <w:rFonts w:hint="eastAsia" w:ascii="宋体" w:hAnsi="宋体" w:eastAsia="宋体" w:cs="宋体"/>
          <w:color w:val="000000" w:themeColor="text1"/>
          <w:kern w:val="0"/>
          <w:szCs w:val="21"/>
          <w:u w:val="single"/>
        </w:rPr>
        <w:t xml:space="preserve">  3  </w:t>
      </w:r>
      <w:r>
        <w:rPr>
          <w:rFonts w:hint="eastAsia" w:ascii="宋体" w:hAnsi="宋体" w:eastAsia="宋体" w:cs="宋体"/>
          <w:color w:val="000000" w:themeColor="text1"/>
          <w:kern w:val="0"/>
          <w:szCs w:val="21"/>
        </w:rPr>
        <w:t>%的工程款；</w:t>
      </w:r>
    </w:p>
    <w:p w14:paraId="0F16B9C9">
      <w:pPr>
        <w:pStyle w:val="150"/>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（3）其他方式:</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w:t>
      </w:r>
    </w:p>
    <w:p w14:paraId="2186745A">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444" w:name="_Toc18574500"/>
      <w:bookmarkStart w:id="1445" w:name="_Toc25940"/>
      <w:bookmarkStart w:id="1446" w:name="_Toc19488"/>
      <w:bookmarkStart w:id="1447" w:name="_Toc31848"/>
      <w:bookmarkStart w:id="1448" w:name="_Toc2440"/>
      <w:bookmarkStart w:id="1449" w:name="_Toc7172"/>
      <w:bookmarkStart w:id="1450" w:name="_Toc6888"/>
      <w:bookmarkStart w:id="1451" w:name="_Toc5058"/>
      <w:r>
        <w:rPr>
          <w:rFonts w:hint="eastAsia" w:ascii="宋体" w:hAnsi="宋体" w:eastAsia="宋体" w:cs="宋体"/>
          <w:color w:val="000000" w:themeColor="text1"/>
          <w:szCs w:val="21"/>
        </w:rPr>
        <w:t>15.3.2 质量保证金的扣留</w:t>
      </w:r>
      <w:bookmarkEnd w:id="1444"/>
      <w:bookmarkEnd w:id="1445"/>
      <w:bookmarkEnd w:id="1446"/>
      <w:bookmarkEnd w:id="1447"/>
      <w:bookmarkEnd w:id="1448"/>
      <w:bookmarkEnd w:id="1449"/>
      <w:bookmarkEnd w:id="1450"/>
      <w:bookmarkEnd w:id="1451"/>
      <w:r>
        <w:rPr>
          <w:rFonts w:hint="eastAsia" w:ascii="宋体" w:hAnsi="宋体" w:eastAsia="宋体" w:cs="宋体"/>
          <w:color w:val="000000" w:themeColor="text1"/>
          <w:szCs w:val="21"/>
        </w:rPr>
        <w:t xml:space="preserve"> </w:t>
      </w:r>
    </w:p>
    <w:p w14:paraId="119BF629">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质量保证金的扣留采取以下第</w:t>
      </w:r>
      <w:r>
        <w:rPr>
          <w:rFonts w:hint="eastAsia" w:ascii="宋体" w:hAnsi="宋体" w:eastAsia="宋体" w:cs="宋体"/>
          <w:color w:val="000000" w:themeColor="text1"/>
          <w:szCs w:val="21"/>
          <w:u w:val="single"/>
        </w:rPr>
        <w:t xml:space="preserve">   2  </w:t>
      </w:r>
      <w:r>
        <w:rPr>
          <w:rFonts w:hint="eastAsia" w:ascii="宋体" w:hAnsi="宋体" w:eastAsia="宋体" w:cs="宋体"/>
          <w:color w:val="000000" w:themeColor="text1"/>
          <w:szCs w:val="21"/>
        </w:rPr>
        <w:t>种方式：</w:t>
      </w:r>
    </w:p>
    <w:p w14:paraId="1B9A3920">
      <w:pPr>
        <w:pStyle w:val="150"/>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（1）在支付工程进度款时逐次扣留，在此情形下，质量保证金的计算基数不包括预付款的支付、扣回以及价格调整的金额；</w:t>
      </w:r>
    </w:p>
    <w:p w14:paraId="3AE3FF8D">
      <w:pPr>
        <w:pStyle w:val="150"/>
        <w:adjustRightInd w:val="0"/>
        <w:spacing w:line="460" w:lineRule="atLeast"/>
        <w:ind w:firstLine="420" w:firstLineChars="200"/>
        <w:jc w:val="left"/>
        <w:outlineLvl w:val="0"/>
        <w:rPr>
          <w:rFonts w:hint="eastAsia" w:ascii="宋体" w:hAnsi="宋体" w:eastAsia="宋体" w:cs="宋体"/>
          <w:color w:val="000000" w:themeColor="text1"/>
          <w:kern w:val="0"/>
          <w:szCs w:val="21"/>
        </w:rPr>
      </w:pPr>
      <w:bookmarkStart w:id="1452" w:name="_Toc14592"/>
      <w:bookmarkStart w:id="1453" w:name="_Toc32674"/>
      <w:bookmarkStart w:id="1454" w:name="_Toc26822"/>
      <w:bookmarkStart w:id="1455" w:name="_Toc18574501"/>
      <w:bookmarkStart w:id="1456" w:name="_Toc19423"/>
      <w:bookmarkStart w:id="1457" w:name="_Toc2839"/>
      <w:bookmarkStart w:id="1458" w:name="_Toc12888"/>
      <w:bookmarkStart w:id="1459" w:name="_Toc9009"/>
      <w:r>
        <w:rPr>
          <w:rFonts w:hint="eastAsia" w:ascii="宋体" w:hAnsi="宋体" w:eastAsia="宋体" w:cs="宋体"/>
          <w:color w:val="000000" w:themeColor="text1"/>
          <w:kern w:val="0"/>
          <w:szCs w:val="21"/>
        </w:rPr>
        <w:t>（2）工程竣工结算时一次性扣留质量保证金；</w:t>
      </w:r>
      <w:bookmarkEnd w:id="1452"/>
      <w:bookmarkEnd w:id="1453"/>
      <w:bookmarkEnd w:id="1454"/>
      <w:bookmarkEnd w:id="1455"/>
      <w:bookmarkEnd w:id="1456"/>
      <w:bookmarkEnd w:id="1457"/>
      <w:bookmarkEnd w:id="1458"/>
      <w:bookmarkEnd w:id="1459"/>
    </w:p>
    <w:p w14:paraId="6B38EFB5">
      <w:pPr>
        <w:pStyle w:val="150"/>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（3）其他扣留方式:</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w:t>
      </w:r>
    </w:p>
    <w:p w14:paraId="1309C7CB">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关于质量保证金的补充约定：</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w:t>
      </w:r>
    </w:p>
    <w:bookmarkEnd w:id="1399"/>
    <w:bookmarkEnd w:id="1400"/>
    <w:p w14:paraId="51A9789E">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15.4保修</w:t>
      </w:r>
    </w:p>
    <w:bookmarkEnd w:id="1401"/>
    <w:p w14:paraId="1FC668C4">
      <w:pPr>
        <w:pStyle w:val="150"/>
        <w:spacing w:line="460" w:lineRule="atLeast"/>
        <w:ind w:firstLine="409" w:firstLineChars="195"/>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15.4.1 保修责任</w:t>
      </w:r>
    </w:p>
    <w:p w14:paraId="7E860367">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工程保修期为：</w:t>
      </w:r>
      <w:r>
        <w:rPr>
          <w:rFonts w:hint="eastAsia" w:ascii="宋体" w:hAnsi="宋体" w:eastAsia="宋体" w:cs="宋体"/>
          <w:color w:val="000000" w:themeColor="text1"/>
          <w:kern w:val="0"/>
          <w:szCs w:val="21"/>
          <w:u w:val="single"/>
        </w:rPr>
        <w:t xml:space="preserve">   详见《工程质量保修书》   </w:t>
      </w:r>
      <w:r>
        <w:rPr>
          <w:rFonts w:hint="eastAsia" w:ascii="宋体" w:hAnsi="宋体" w:eastAsia="宋体" w:cs="宋体"/>
          <w:color w:val="000000" w:themeColor="text1"/>
          <w:kern w:val="0"/>
          <w:szCs w:val="21"/>
        </w:rPr>
        <w:t>。</w:t>
      </w:r>
    </w:p>
    <w:p w14:paraId="57AF5583">
      <w:pPr>
        <w:pStyle w:val="150"/>
        <w:spacing w:line="460" w:lineRule="atLeast"/>
        <w:ind w:firstLine="409" w:firstLineChars="195"/>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15.4.3 修复通知</w:t>
      </w:r>
    </w:p>
    <w:p w14:paraId="7BDFCC8A">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承包人收到保修通知并到达工程现场的合理时间：</w:t>
      </w:r>
      <w:r>
        <w:rPr>
          <w:rFonts w:hint="eastAsia" w:ascii="宋体" w:hAnsi="宋体" w:eastAsia="宋体" w:cs="宋体"/>
          <w:color w:val="000000" w:themeColor="text1"/>
          <w:kern w:val="0"/>
          <w:szCs w:val="21"/>
          <w:u w:val="single"/>
        </w:rPr>
        <w:t xml:space="preserve">  接到书面或电话通知后24小时内   </w:t>
      </w:r>
      <w:r>
        <w:rPr>
          <w:rFonts w:hint="eastAsia" w:ascii="宋体" w:hAnsi="宋体" w:eastAsia="宋体" w:cs="宋体"/>
          <w:color w:val="000000" w:themeColor="text1"/>
          <w:kern w:val="0"/>
          <w:szCs w:val="21"/>
        </w:rPr>
        <w:t>。</w:t>
      </w:r>
    </w:p>
    <w:bookmarkEnd w:id="1402"/>
    <w:bookmarkEnd w:id="1403"/>
    <w:bookmarkEnd w:id="1404"/>
    <w:bookmarkEnd w:id="1405"/>
    <w:p w14:paraId="2B656DD2">
      <w:pPr>
        <w:pStyle w:val="165"/>
        <w:spacing w:before="120" w:after="120" w:line="460" w:lineRule="atLeast"/>
        <w:rPr>
          <w:rFonts w:hint="eastAsia" w:ascii="宋体" w:hAnsi="宋体" w:eastAsia="宋体" w:cs="宋体"/>
          <w:b w:val="0"/>
          <w:color w:val="000000" w:themeColor="text1"/>
          <w:sz w:val="21"/>
          <w:szCs w:val="21"/>
        </w:rPr>
      </w:pPr>
      <w:bookmarkStart w:id="1460" w:name="_Toc17479"/>
      <w:bookmarkStart w:id="1461" w:name="_Toc28959"/>
      <w:bookmarkStart w:id="1462" w:name="_Toc351203648"/>
      <w:bookmarkStart w:id="1463" w:name="_Toc25206"/>
      <w:bookmarkStart w:id="1464" w:name="_Toc22081"/>
      <w:bookmarkStart w:id="1465" w:name="_Toc25390"/>
      <w:bookmarkStart w:id="1466" w:name="_Toc17098"/>
      <w:bookmarkStart w:id="1467" w:name="_Toc21698"/>
      <w:bookmarkStart w:id="1468" w:name="_Toc280868717"/>
      <w:bookmarkStart w:id="1469" w:name="_Toc280868718"/>
      <w:r>
        <w:rPr>
          <w:rFonts w:hint="eastAsia" w:ascii="宋体" w:hAnsi="宋体" w:eastAsia="宋体" w:cs="宋体"/>
          <w:b w:val="0"/>
          <w:color w:val="000000" w:themeColor="text1"/>
          <w:sz w:val="21"/>
          <w:szCs w:val="21"/>
        </w:rPr>
        <w:t>16. 违约</w:t>
      </w:r>
      <w:bookmarkEnd w:id="1460"/>
      <w:bookmarkEnd w:id="1461"/>
      <w:bookmarkEnd w:id="1462"/>
      <w:bookmarkEnd w:id="1463"/>
      <w:bookmarkEnd w:id="1464"/>
      <w:bookmarkEnd w:id="1465"/>
      <w:bookmarkEnd w:id="1466"/>
      <w:bookmarkEnd w:id="1467"/>
    </w:p>
    <w:p w14:paraId="2BB6CAF8">
      <w:pPr>
        <w:pStyle w:val="150"/>
        <w:spacing w:after="120" w:line="460" w:lineRule="atLeast"/>
        <w:ind w:firstLine="420" w:firstLineChars="200"/>
        <w:outlineLvl w:val="0"/>
        <w:rPr>
          <w:rFonts w:hint="eastAsia" w:ascii="宋体" w:hAnsi="宋体" w:eastAsia="宋体" w:cs="宋体"/>
          <w:color w:val="000000" w:themeColor="text1"/>
          <w:szCs w:val="21"/>
        </w:rPr>
      </w:pPr>
      <w:bookmarkStart w:id="1470" w:name="_Toc11422"/>
      <w:bookmarkStart w:id="1471" w:name="_Toc18875"/>
      <w:bookmarkStart w:id="1472" w:name="_Toc14133"/>
      <w:bookmarkStart w:id="1473" w:name="_Toc18574502"/>
      <w:bookmarkStart w:id="1474" w:name="_Toc13511"/>
      <w:bookmarkStart w:id="1475" w:name="_Toc17784"/>
      <w:bookmarkStart w:id="1476" w:name="_Toc11392"/>
      <w:bookmarkStart w:id="1477" w:name="_Toc1974"/>
      <w:r>
        <w:rPr>
          <w:rFonts w:hint="eastAsia" w:ascii="宋体" w:hAnsi="宋体" w:eastAsia="宋体" w:cs="宋体"/>
          <w:color w:val="000000" w:themeColor="text1"/>
          <w:szCs w:val="21"/>
        </w:rPr>
        <w:t>16.1 发包人违约</w:t>
      </w:r>
      <w:bookmarkEnd w:id="1470"/>
      <w:bookmarkEnd w:id="1471"/>
      <w:bookmarkEnd w:id="1472"/>
      <w:bookmarkEnd w:id="1473"/>
      <w:bookmarkEnd w:id="1474"/>
      <w:bookmarkEnd w:id="1475"/>
      <w:bookmarkEnd w:id="1476"/>
      <w:bookmarkEnd w:id="1477"/>
    </w:p>
    <w:p w14:paraId="61F78B9C">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16.1.1发包人违约的情形</w:t>
      </w:r>
    </w:p>
    <w:p w14:paraId="28DF007C">
      <w:pPr>
        <w:pStyle w:val="150"/>
        <w:spacing w:line="460" w:lineRule="atLeast"/>
        <w:ind w:left="1050" w:hanging="1050" w:hangingChars="5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发包人违约的其他情形：</w:t>
      </w:r>
      <w:r>
        <w:rPr>
          <w:rFonts w:hint="eastAsia" w:ascii="宋体" w:hAnsi="宋体" w:eastAsia="宋体" w:cs="宋体"/>
          <w:color w:val="000000" w:themeColor="text1"/>
          <w:kern w:val="0"/>
          <w:szCs w:val="21"/>
          <w:u w:val="single"/>
        </w:rPr>
        <w:t xml:space="preserve">     按合同通用条款执行     </w:t>
      </w:r>
      <w:r>
        <w:rPr>
          <w:rFonts w:hint="eastAsia" w:ascii="宋体" w:hAnsi="宋体" w:eastAsia="宋体" w:cs="宋体"/>
          <w:color w:val="000000" w:themeColor="text1"/>
          <w:kern w:val="0"/>
          <w:szCs w:val="21"/>
        </w:rPr>
        <w:t>。</w:t>
      </w:r>
    </w:p>
    <w:p w14:paraId="2CE34DA7">
      <w:pPr>
        <w:pStyle w:val="150"/>
        <w:spacing w:line="460" w:lineRule="atLeast"/>
        <w:ind w:left="1050" w:hanging="1050" w:hangingChars="5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16.1.2 发包人违约的责任</w:t>
      </w:r>
    </w:p>
    <w:p w14:paraId="5C9AA0A4">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发包人违约责任的承担方式和计算方法：</w:t>
      </w:r>
    </w:p>
    <w:p w14:paraId="6C5C3B76">
      <w:pPr>
        <w:pStyle w:val="150"/>
        <w:spacing w:line="460" w:lineRule="atLeast"/>
        <w:ind w:firstLine="420" w:firstLineChars="200"/>
        <w:jc w:val="left"/>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rPr>
        <w:t>（1）因发包人原因未能在计划开工日期前7天内下达开工通知的违约责任：</w:t>
      </w:r>
      <w:r>
        <w:rPr>
          <w:rFonts w:hint="eastAsia" w:ascii="宋体" w:hAnsi="宋体" w:eastAsia="宋体" w:cs="宋体"/>
          <w:color w:val="000000" w:themeColor="text1"/>
          <w:kern w:val="0"/>
          <w:szCs w:val="21"/>
          <w:u w:val="single"/>
        </w:rPr>
        <w:t xml:space="preserve">  执行通用合同条款  </w:t>
      </w:r>
      <w:r>
        <w:rPr>
          <w:rFonts w:hint="eastAsia" w:ascii="宋体" w:hAnsi="宋体" w:eastAsia="宋体" w:cs="宋体"/>
          <w:color w:val="000000" w:themeColor="text1"/>
          <w:kern w:val="0"/>
          <w:szCs w:val="21"/>
        </w:rPr>
        <w:t>。</w:t>
      </w:r>
    </w:p>
    <w:p w14:paraId="6F944060">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（2）因发包人原因未能按合同约定支付合同价款的违约责任：</w:t>
      </w:r>
      <w:r>
        <w:rPr>
          <w:rFonts w:hint="eastAsia" w:ascii="宋体" w:hAnsi="宋体" w:eastAsia="宋体" w:cs="宋体"/>
          <w:color w:val="000000" w:themeColor="text1"/>
          <w:kern w:val="0"/>
          <w:szCs w:val="21"/>
          <w:u w:val="single"/>
        </w:rPr>
        <w:t xml:space="preserve">   双方另行协商   </w:t>
      </w:r>
      <w:r>
        <w:rPr>
          <w:rFonts w:hint="eastAsia" w:ascii="宋体" w:hAnsi="宋体" w:eastAsia="宋体" w:cs="宋体"/>
          <w:color w:val="000000" w:themeColor="text1"/>
          <w:kern w:val="0"/>
          <w:szCs w:val="21"/>
        </w:rPr>
        <w:t>。</w:t>
      </w:r>
    </w:p>
    <w:p w14:paraId="54EEA759">
      <w:pPr>
        <w:pStyle w:val="174"/>
        <w:spacing w:line="46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（3）发包人违反第10.1款〔变更的范围〕第（2）项约定，自行实施被取消的工作或转由他人实施的违约责任：</w:t>
      </w:r>
      <w:r>
        <w:rPr>
          <w:rFonts w:hint="eastAsia" w:ascii="宋体" w:hAnsi="宋体" w:eastAsia="宋体" w:cs="宋体"/>
          <w:color w:val="000000" w:themeColor="text1"/>
          <w:kern w:val="0"/>
          <w:szCs w:val="21"/>
          <w:u w:val="single"/>
        </w:rPr>
        <w:t xml:space="preserve">  每天赔偿金额为合同价款扣除建安劳保费、发包人材料价款、暂估专业工程、暂列金额后的万分之四  </w:t>
      </w:r>
      <w:r>
        <w:rPr>
          <w:rFonts w:hint="eastAsia" w:ascii="宋体" w:hAnsi="宋体" w:eastAsia="宋体" w:cs="宋体"/>
          <w:color w:val="000000" w:themeColor="text1"/>
          <w:kern w:val="0"/>
          <w:szCs w:val="21"/>
        </w:rPr>
        <w:t>。</w:t>
      </w:r>
    </w:p>
    <w:p w14:paraId="51663409">
      <w:pPr>
        <w:pStyle w:val="174"/>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kern w:val="0"/>
          <w:szCs w:val="21"/>
          <w:u w:val="single"/>
        </w:rPr>
        <w:t xml:space="preserve">每天赔偿金额为合同价款扣除建安劳保费、发包人材料价款、暂估专业工程、暂列金额后的万分之四  </w:t>
      </w:r>
      <w:r>
        <w:rPr>
          <w:rFonts w:hint="eastAsia" w:ascii="宋体" w:hAnsi="宋体" w:eastAsia="宋体" w:cs="宋体"/>
          <w:color w:val="000000" w:themeColor="text1"/>
          <w:kern w:val="0"/>
          <w:szCs w:val="21"/>
        </w:rPr>
        <w:t>。</w:t>
      </w:r>
    </w:p>
    <w:p w14:paraId="54B24BE5">
      <w:pPr>
        <w:pStyle w:val="174"/>
        <w:spacing w:line="460" w:lineRule="atLeast"/>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 xml:space="preserve">    （5）因发包人违反合同约定造成暂停施工的违约责任：</w:t>
      </w:r>
      <w:r>
        <w:rPr>
          <w:rFonts w:hint="eastAsia" w:ascii="宋体" w:hAnsi="宋体" w:eastAsia="宋体" w:cs="宋体"/>
          <w:color w:val="000000" w:themeColor="text1"/>
          <w:kern w:val="0"/>
          <w:szCs w:val="21"/>
          <w:u w:val="single"/>
        </w:rPr>
        <w:t>双方另行协商</w:t>
      </w:r>
      <w:r>
        <w:rPr>
          <w:rFonts w:hint="eastAsia" w:ascii="宋体" w:hAnsi="宋体" w:eastAsia="宋体" w:cs="宋体"/>
          <w:color w:val="000000" w:themeColor="text1"/>
          <w:kern w:val="0"/>
          <w:szCs w:val="21"/>
        </w:rPr>
        <w:t>。</w:t>
      </w:r>
    </w:p>
    <w:p w14:paraId="2688E413">
      <w:pPr>
        <w:pStyle w:val="174"/>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（6）发包人无正当理由没有在约定期限内发出复工指示，导致承包人无法复工的违约责任：</w:t>
      </w:r>
      <w:r>
        <w:rPr>
          <w:rFonts w:hint="eastAsia" w:ascii="宋体" w:hAnsi="宋体" w:eastAsia="宋体" w:cs="宋体"/>
          <w:color w:val="000000" w:themeColor="text1"/>
          <w:kern w:val="0"/>
          <w:szCs w:val="21"/>
          <w:u w:val="single"/>
        </w:rPr>
        <w:t>每天赔偿金额为合同价款扣除建安劳保费、发包人材料价款、暂估专业工程、暂列金额后的万分之四</w:t>
      </w:r>
      <w:r>
        <w:rPr>
          <w:rFonts w:hint="eastAsia" w:ascii="宋体" w:hAnsi="宋体" w:eastAsia="宋体" w:cs="宋体"/>
          <w:color w:val="000000" w:themeColor="text1"/>
          <w:kern w:val="0"/>
          <w:szCs w:val="21"/>
        </w:rPr>
        <w:t>。</w:t>
      </w:r>
    </w:p>
    <w:p w14:paraId="03B07972">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（7）其他：</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w:t>
      </w:r>
    </w:p>
    <w:p w14:paraId="5DB9AE0C">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16.1.3 因发包人违约解除合同</w:t>
      </w:r>
    </w:p>
    <w:p w14:paraId="0820C9BE">
      <w:pPr>
        <w:pStyle w:val="150"/>
        <w:adjustRightInd w:val="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承包人按16.1.1项〔发包人违约的情形〕约定暂停施工满</w:t>
      </w:r>
      <w:r>
        <w:rPr>
          <w:rFonts w:hint="eastAsia" w:ascii="宋体" w:hAnsi="宋体" w:eastAsia="宋体" w:cs="宋体"/>
          <w:color w:val="000000" w:themeColor="text1"/>
          <w:kern w:val="0"/>
          <w:szCs w:val="21"/>
          <w:u w:val="single"/>
        </w:rPr>
        <w:t xml:space="preserve"> 90 </w:t>
      </w:r>
      <w:r>
        <w:rPr>
          <w:rFonts w:hint="eastAsia" w:ascii="宋体" w:hAnsi="宋体" w:eastAsia="宋体" w:cs="宋体"/>
          <w:color w:val="000000" w:themeColor="text1"/>
          <w:kern w:val="0"/>
          <w:szCs w:val="21"/>
        </w:rPr>
        <w:t>天后发包人仍不纠正其违约行为并致使合同目的不能实现的，承包人有权解除合同。</w:t>
      </w:r>
    </w:p>
    <w:p w14:paraId="4188C61F">
      <w:pPr>
        <w:pStyle w:val="150"/>
        <w:spacing w:after="120" w:line="460" w:lineRule="atLeast"/>
        <w:ind w:firstLine="420" w:firstLineChars="200"/>
        <w:outlineLvl w:val="0"/>
        <w:rPr>
          <w:rFonts w:hint="eastAsia" w:ascii="宋体" w:hAnsi="宋体" w:eastAsia="宋体" w:cs="宋体"/>
          <w:color w:val="000000" w:themeColor="text1"/>
          <w:szCs w:val="21"/>
        </w:rPr>
      </w:pPr>
      <w:bookmarkStart w:id="1478" w:name="_Toc20105"/>
      <w:bookmarkStart w:id="1479" w:name="_Toc25635"/>
      <w:bookmarkStart w:id="1480" w:name="_Toc9959"/>
      <w:bookmarkStart w:id="1481" w:name="_Toc26871"/>
      <w:bookmarkStart w:id="1482" w:name="_Toc27038"/>
      <w:bookmarkStart w:id="1483" w:name="_Toc13781"/>
      <w:bookmarkStart w:id="1484" w:name="_Toc18574503"/>
      <w:bookmarkStart w:id="1485" w:name="_Toc10258"/>
      <w:r>
        <w:rPr>
          <w:rFonts w:hint="eastAsia" w:ascii="宋体" w:hAnsi="宋体" w:eastAsia="宋体" w:cs="宋体"/>
          <w:color w:val="000000" w:themeColor="text1"/>
          <w:szCs w:val="21"/>
        </w:rPr>
        <w:t>16.2 承包人违约</w:t>
      </w:r>
      <w:bookmarkEnd w:id="1478"/>
      <w:bookmarkEnd w:id="1479"/>
      <w:bookmarkEnd w:id="1480"/>
      <w:bookmarkEnd w:id="1481"/>
      <w:bookmarkEnd w:id="1482"/>
      <w:bookmarkEnd w:id="1483"/>
      <w:bookmarkEnd w:id="1484"/>
      <w:bookmarkEnd w:id="1485"/>
    </w:p>
    <w:p w14:paraId="15AC356E">
      <w:pPr>
        <w:pStyle w:val="149"/>
        <w:spacing w:line="460" w:lineRule="atLeast"/>
        <w:ind w:firstLine="420" w:firstLineChars="200"/>
        <w:jc w:val="left"/>
        <w:rPr>
          <w:rFonts w:hint="eastAsia" w:ascii="宋体" w:hAnsi="宋体" w:eastAsia="宋体" w:cs="宋体"/>
          <w:color w:val="000000" w:themeColor="text1"/>
          <w:kern w:val="0"/>
        </w:rPr>
      </w:pPr>
      <w:r>
        <w:rPr>
          <w:rFonts w:hint="eastAsia" w:ascii="宋体" w:hAnsi="宋体" w:eastAsia="宋体" w:cs="宋体"/>
          <w:color w:val="000000" w:themeColor="text1"/>
          <w:kern w:val="0"/>
        </w:rPr>
        <w:t>16.2.1 承包人违约的情形</w:t>
      </w:r>
    </w:p>
    <w:p w14:paraId="57716DBA">
      <w:pPr>
        <w:pStyle w:val="149"/>
        <w:spacing w:line="460" w:lineRule="atLeast"/>
        <w:jc w:val="left"/>
        <w:rPr>
          <w:rFonts w:hint="eastAsia" w:ascii="宋体" w:hAnsi="宋体" w:eastAsia="宋体" w:cs="宋体"/>
          <w:color w:val="000000" w:themeColor="text1"/>
          <w:kern w:val="0"/>
        </w:rPr>
      </w:pPr>
      <w:r>
        <w:rPr>
          <w:rFonts w:hint="eastAsia" w:ascii="宋体" w:hAnsi="宋体" w:eastAsia="宋体" w:cs="宋体"/>
          <w:color w:val="000000" w:themeColor="text1"/>
          <w:kern w:val="0"/>
        </w:rPr>
        <w:t>承包人违约的其他情形：</w:t>
      </w:r>
      <w:r>
        <w:rPr>
          <w:rFonts w:hint="eastAsia" w:ascii="宋体" w:hAnsi="宋体" w:eastAsia="宋体" w:cs="宋体"/>
          <w:color w:val="000000" w:themeColor="text1"/>
          <w:kern w:val="0"/>
          <w:u w:val="single"/>
        </w:rPr>
        <w:t xml:space="preserve">   / </w:t>
      </w:r>
      <w:r>
        <w:rPr>
          <w:rFonts w:hint="eastAsia" w:ascii="宋体" w:hAnsi="宋体" w:eastAsia="宋体" w:cs="宋体"/>
          <w:color w:val="000000" w:themeColor="text1"/>
          <w:kern w:val="0"/>
        </w:rPr>
        <w:t>。</w:t>
      </w:r>
    </w:p>
    <w:p w14:paraId="26BC241D">
      <w:pPr>
        <w:pStyle w:val="149"/>
        <w:spacing w:line="460" w:lineRule="atLeast"/>
        <w:ind w:firstLine="420" w:firstLineChars="200"/>
        <w:jc w:val="left"/>
        <w:rPr>
          <w:rFonts w:hint="eastAsia" w:ascii="宋体" w:hAnsi="宋体" w:eastAsia="宋体" w:cs="宋体"/>
          <w:color w:val="000000" w:themeColor="text1"/>
          <w:kern w:val="0"/>
        </w:rPr>
      </w:pPr>
      <w:r>
        <w:rPr>
          <w:rFonts w:hint="eastAsia" w:ascii="宋体" w:hAnsi="宋体" w:eastAsia="宋体" w:cs="宋体"/>
          <w:color w:val="000000" w:themeColor="text1"/>
          <w:kern w:val="0"/>
        </w:rPr>
        <w:t>16.2.2承包人违约的责任</w:t>
      </w:r>
    </w:p>
    <w:p w14:paraId="254E5786">
      <w:pPr>
        <w:pStyle w:val="170"/>
        <w:spacing w:line="460" w:lineRule="atLeast"/>
        <w:ind w:firstLine="420" w:firstLineChars="200"/>
        <w:jc w:val="left"/>
        <w:rPr>
          <w:rFonts w:hint="eastAsia" w:ascii="宋体" w:hAnsi="宋体" w:eastAsia="宋体" w:cs="宋体"/>
          <w:color w:val="000000" w:themeColor="text1"/>
          <w:kern w:val="0"/>
          <w:u w:val="single"/>
        </w:rPr>
      </w:pPr>
      <w:r>
        <w:rPr>
          <w:rFonts w:hint="eastAsia" w:ascii="宋体" w:hAnsi="宋体" w:eastAsia="宋体" w:cs="宋体"/>
          <w:color w:val="000000" w:themeColor="text1"/>
          <w:kern w:val="0"/>
        </w:rPr>
        <w:t>承包人违约责任的承担方式和计算方法：</w:t>
      </w:r>
      <w:r>
        <w:rPr>
          <w:rFonts w:hint="eastAsia" w:ascii="宋体" w:hAnsi="宋体" w:eastAsia="宋体" w:cs="宋体"/>
          <w:color w:val="000000" w:themeColor="text1"/>
          <w:kern w:val="0"/>
          <w:u w:val="singl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6EF977B">
      <w:pPr>
        <w:pStyle w:val="170"/>
        <w:spacing w:line="460" w:lineRule="atLeast"/>
        <w:ind w:firstLine="420" w:firstLineChars="200"/>
        <w:jc w:val="left"/>
        <w:rPr>
          <w:rFonts w:hint="eastAsia" w:ascii="宋体" w:hAnsi="宋体" w:eastAsia="宋体" w:cs="宋体"/>
          <w:color w:val="000000" w:themeColor="text1"/>
          <w:kern w:val="0"/>
          <w:u w:val="single"/>
        </w:rPr>
      </w:pPr>
      <w:r>
        <w:rPr>
          <w:rFonts w:hint="eastAsia" w:ascii="宋体" w:hAnsi="宋体" w:eastAsia="宋体" w:cs="宋体"/>
          <w:color w:val="000000" w:themeColor="text1"/>
          <w:kern w:val="0"/>
          <w:u w:val="single"/>
        </w:rPr>
        <w:t>（2）承包人有本合同通用条款第16.2.1（6）条情形的，或经监理人检验认为修复质量不合格而承包人拒绝再进行修补的，发包人将扣除承包人全部质量保修金。</w:t>
      </w:r>
    </w:p>
    <w:p w14:paraId="142C67C1">
      <w:pPr>
        <w:pStyle w:val="150"/>
        <w:spacing w:line="460" w:lineRule="atLeast"/>
        <w:ind w:firstLine="420" w:firstLineChars="200"/>
        <w:jc w:val="left"/>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u w:val="single"/>
        </w:rPr>
        <w:t xml:space="preserve">（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r>
        <w:rPr>
          <w:rFonts w:hint="eastAsia" w:ascii="宋体" w:hAnsi="宋体" w:eastAsia="宋体" w:cs="宋体"/>
          <w:color w:val="000000" w:themeColor="text1"/>
          <w:kern w:val="0"/>
          <w:szCs w:val="21"/>
        </w:rPr>
        <w:t>。</w:t>
      </w:r>
      <w:r>
        <w:rPr>
          <w:rFonts w:hint="eastAsia" w:ascii="宋体" w:hAnsi="宋体" w:eastAsia="宋体" w:cs="宋体"/>
          <w:color w:val="000000" w:themeColor="text1"/>
          <w:szCs w:val="21"/>
        </w:rPr>
        <w:t xml:space="preserve">    </w:t>
      </w:r>
    </w:p>
    <w:p w14:paraId="213CC4F4">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16.2.3 因承包人违约解除合同</w:t>
      </w:r>
    </w:p>
    <w:p w14:paraId="377968B2">
      <w:pPr>
        <w:pStyle w:val="157"/>
        <w:spacing w:before="120" w:after="120" w:line="460" w:lineRule="atLeast"/>
        <w:ind w:firstLine="420" w:firstLineChars="200"/>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rPr>
        <w:t>关于承包人违约解除合同的特别约定：</w:t>
      </w:r>
      <w:r>
        <w:rPr>
          <w:rFonts w:hint="eastAsia" w:ascii="宋体" w:hAnsi="宋体" w:eastAsia="宋体" w:cs="宋体"/>
          <w:color w:val="000000" w:themeColor="text1"/>
          <w:kern w:val="0"/>
          <w:szCs w:val="21"/>
          <w:u w:val="single"/>
        </w:rPr>
        <w:t xml:space="preserve">  承包人有违反以下情况之一的，发包人有权解除合同，并没收其全部履约保证金。</w:t>
      </w:r>
    </w:p>
    <w:p w14:paraId="7DBE5C54">
      <w:pPr>
        <w:pStyle w:val="157"/>
        <w:spacing w:before="120" w:after="120" w:line="460" w:lineRule="atLeast"/>
        <w:ind w:firstLine="420" w:firstLineChars="200"/>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u w:val="single"/>
        </w:rPr>
        <w:t>(1)承包人无正当理由不按开工通知的要求及时进场组织施工和不按签订协议书时商定的进度计划有效地开展施工准备，造成工期延误达1/3合同工期的；</w:t>
      </w:r>
    </w:p>
    <w:p w14:paraId="30E42358">
      <w:pPr>
        <w:pStyle w:val="157"/>
        <w:spacing w:before="120" w:after="120" w:line="460" w:lineRule="atLeast"/>
        <w:ind w:firstLine="420" w:firstLineChars="200"/>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u w:val="single"/>
        </w:rPr>
        <w:t>(2)承包人违反本合同通用条款第3.5条规定私自将合同或合同的任何部分或任何权利转让给其他人，或私自将工程或工程的一部分分包出去的；</w:t>
      </w:r>
    </w:p>
    <w:p w14:paraId="76CE6066">
      <w:pPr>
        <w:pStyle w:val="157"/>
        <w:spacing w:before="120" w:after="120" w:line="460" w:lineRule="atLeast"/>
        <w:ind w:firstLine="420" w:firstLineChars="200"/>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u w:val="single"/>
        </w:rPr>
        <w:t>(3)未经监理人批准，承包人私自将已按投标文件承诺进入工地的工程设备、施工设备、临时工程或材料撤离工地的；</w:t>
      </w:r>
    </w:p>
    <w:p w14:paraId="17036840">
      <w:pPr>
        <w:pStyle w:val="157"/>
        <w:spacing w:before="120" w:after="120" w:line="460" w:lineRule="atLeast"/>
        <w:ind w:firstLine="420" w:firstLineChars="200"/>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u w:val="single"/>
        </w:rPr>
        <w:t>(4)由于承包人原因拒绝按合同进度计划及时完成合同规定的工程，而又未采取有效措施赶上进度，造成工期严重延误的；</w:t>
      </w:r>
    </w:p>
    <w:p w14:paraId="2C622240">
      <w:pPr>
        <w:pStyle w:val="157"/>
        <w:spacing w:before="120" w:after="120" w:line="460" w:lineRule="atLeast"/>
        <w:ind w:firstLine="420" w:firstLineChars="200"/>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kern w:val="0"/>
          <w:szCs w:val="21"/>
          <w:u w:val="single"/>
        </w:rPr>
        <w:t>(5)承包人否认合同有效或拒绝履行合同规定的承包人义务，或由于法律、财务等原因导致承包人无法继续履行或实质上已停止履行合同的义务的；</w:t>
      </w:r>
    </w:p>
    <w:p w14:paraId="7EF5438F">
      <w:pPr>
        <w:pStyle w:val="174"/>
        <w:spacing w:before="120" w:after="120"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u w:val="single"/>
        </w:rPr>
        <w:t xml:space="preserve">(6)合同签订之日起十五日内，承包人无法按合同规定及投标文件的承诺进场经监理工程师认可的全部人员和机械的  </w:t>
      </w:r>
      <w:r>
        <w:rPr>
          <w:rFonts w:hint="eastAsia" w:ascii="宋体" w:hAnsi="宋体" w:eastAsia="宋体" w:cs="宋体"/>
          <w:color w:val="000000" w:themeColor="text1"/>
          <w:kern w:val="0"/>
          <w:szCs w:val="21"/>
        </w:rPr>
        <w:t>。</w:t>
      </w:r>
    </w:p>
    <w:p w14:paraId="0CE78C41">
      <w:pPr>
        <w:pStyle w:val="150"/>
        <w:spacing w:before="120" w:after="120" w:line="460" w:lineRule="atLeas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w:t>
      </w:r>
    </w:p>
    <w:p w14:paraId="3C9712F5">
      <w:pPr>
        <w:pStyle w:val="165"/>
        <w:spacing w:before="120" w:after="120" w:line="460" w:lineRule="atLeast"/>
        <w:rPr>
          <w:rFonts w:hint="eastAsia" w:ascii="宋体" w:hAnsi="宋体" w:eastAsia="宋体" w:cs="宋体"/>
          <w:b w:val="0"/>
          <w:color w:val="000000" w:themeColor="text1"/>
          <w:sz w:val="21"/>
          <w:szCs w:val="21"/>
        </w:rPr>
      </w:pPr>
      <w:bookmarkStart w:id="1486" w:name="_Toc19747"/>
      <w:bookmarkStart w:id="1487" w:name="_Toc2287"/>
      <w:bookmarkStart w:id="1488" w:name="_Toc4569"/>
      <w:bookmarkStart w:id="1489" w:name="_Toc30610"/>
      <w:bookmarkStart w:id="1490" w:name="_Toc351203649"/>
      <w:bookmarkStart w:id="1491" w:name="_Toc22006"/>
      <w:bookmarkStart w:id="1492" w:name="_Toc6572"/>
      <w:bookmarkStart w:id="1493" w:name="_Toc24425"/>
      <w:r>
        <w:rPr>
          <w:rFonts w:hint="eastAsia" w:ascii="宋体" w:hAnsi="宋体" w:eastAsia="宋体" w:cs="宋体"/>
          <w:b w:val="0"/>
          <w:color w:val="000000" w:themeColor="text1"/>
          <w:sz w:val="21"/>
          <w:szCs w:val="21"/>
        </w:rPr>
        <w:t>17. 不可抗力</w:t>
      </w:r>
      <w:bookmarkEnd w:id="1486"/>
      <w:bookmarkEnd w:id="1487"/>
      <w:bookmarkEnd w:id="1488"/>
      <w:bookmarkEnd w:id="1489"/>
      <w:bookmarkEnd w:id="1490"/>
      <w:bookmarkEnd w:id="1491"/>
      <w:bookmarkEnd w:id="1492"/>
      <w:bookmarkEnd w:id="1493"/>
      <w:r>
        <w:rPr>
          <w:rFonts w:hint="eastAsia" w:ascii="宋体" w:hAnsi="宋体" w:eastAsia="宋体" w:cs="宋体"/>
          <w:b w:val="0"/>
          <w:color w:val="000000" w:themeColor="text1"/>
          <w:sz w:val="21"/>
          <w:szCs w:val="21"/>
        </w:rPr>
        <w:t xml:space="preserve"> </w:t>
      </w:r>
      <w:bookmarkEnd w:id="1468"/>
    </w:p>
    <w:p w14:paraId="15F433B7">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17.1 不可抗力的确认</w:t>
      </w:r>
    </w:p>
    <w:p w14:paraId="060B199F">
      <w:pPr>
        <w:pStyle w:val="150"/>
        <w:spacing w:line="460" w:lineRule="atLeast"/>
        <w:ind w:firstLine="420" w:firstLineChars="200"/>
        <w:jc w:val="left"/>
        <w:rPr>
          <w:rFonts w:hint="eastAsia" w:ascii="宋体" w:hAnsi="宋体" w:eastAsia="宋体" w:cs="宋体"/>
          <w:color w:val="000000" w:themeColor="text1"/>
          <w:kern w:val="0"/>
          <w:szCs w:val="21"/>
          <w:u w:val="single"/>
        </w:rPr>
      </w:pPr>
      <w:r>
        <w:rPr>
          <w:rFonts w:hint="eastAsia" w:ascii="宋体" w:hAnsi="宋体" w:eastAsia="宋体" w:cs="宋体"/>
          <w:color w:val="000000" w:themeColor="text1"/>
          <w:szCs w:val="21"/>
        </w:rPr>
        <w:t xml:space="preserve">除通用合同条款约定的不可抗力事件之外，视为不可抗力的其他情形： </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w:t>
      </w:r>
    </w:p>
    <w:p w14:paraId="45A89F17">
      <w:pPr>
        <w:pStyle w:val="150"/>
        <w:spacing w:after="120" w:line="460" w:lineRule="atLeast"/>
        <w:ind w:firstLine="420" w:firstLineChars="200"/>
        <w:outlineLvl w:val="0"/>
        <w:rPr>
          <w:rFonts w:hint="eastAsia" w:ascii="宋体" w:hAnsi="宋体" w:eastAsia="宋体" w:cs="宋体"/>
          <w:color w:val="000000" w:themeColor="text1"/>
          <w:szCs w:val="21"/>
        </w:rPr>
      </w:pPr>
      <w:bookmarkStart w:id="1494" w:name="_Toc11994"/>
      <w:bookmarkStart w:id="1495" w:name="_Toc20342"/>
      <w:bookmarkStart w:id="1496" w:name="_Toc10247"/>
      <w:bookmarkStart w:id="1497" w:name="_Toc18390"/>
      <w:bookmarkStart w:id="1498" w:name="_Toc12154"/>
      <w:bookmarkStart w:id="1499" w:name="_Toc23841"/>
      <w:bookmarkStart w:id="1500" w:name="_Toc18574504"/>
      <w:bookmarkStart w:id="1501" w:name="_Toc10895"/>
      <w:r>
        <w:rPr>
          <w:rFonts w:hint="eastAsia" w:ascii="宋体" w:hAnsi="宋体" w:eastAsia="宋体" w:cs="宋体"/>
          <w:color w:val="000000" w:themeColor="text1"/>
          <w:szCs w:val="21"/>
        </w:rPr>
        <w:t>17.4 因不可抗力解除合同</w:t>
      </w:r>
      <w:bookmarkEnd w:id="1494"/>
      <w:bookmarkEnd w:id="1495"/>
      <w:bookmarkEnd w:id="1496"/>
      <w:bookmarkEnd w:id="1497"/>
      <w:bookmarkEnd w:id="1498"/>
      <w:bookmarkEnd w:id="1499"/>
      <w:bookmarkEnd w:id="1500"/>
      <w:bookmarkEnd w:id="1501"/>
    </w:p>
    <w:p w14:paraId="2E71E10B">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合同解除后，发包人应在商定或确定发包人应支付款项后</w:t>
      </w:r>
      <w:r>
        <w:rPr>
          <w:rFonts w:hint="eastAsia" w:ascii="宋体" w:hAnsi="宋体" w:eastAsia="宋体" w:cs="宋体"/>
          <w:color w:val="000000" w:themeColor="text1"/>
          <w:szCs w:val="21"/>
          <w:u w:val="single"/>
        </w:rPr>
        <w:t xml:space="preserve"> 15   </w:t>
      </w:r>
      <w:r>
        <w:rPr>
          <w:rFonts w:hint="eastAsia" w:ascii="宋体" w:hAnsi="宋体" w:eastAsia="宋体" w:cs="宋体"/>
          <w:color w:val="000000" w:themeColor="text1"/>
          <w:szCs w:val="21"/>
        </w:rPr>
        <w:t>天内完成款项的支付。</w:t>
      </w:r>
    </w:p>
    <w:p w14:paraId="360E7861">
      <w:pPr>
        <w:pStyle w:val="165"/>
        <w:spacing w:before="120" w:after="120" w:line="460" w:lineRule="atLeast"/>
        <w:rPr>
          <w:rFonts w:hint="eastAsia" w:ascii="宋体" w:hAnsi="宋体" w:eastAsia="宋体" w:cs="宋体"/>
          <w:b w:val="0"/>
          <w:color w:val="000000" w:themeColor="text1"/>
          <w:sz w:val="21"/>
          <w:szCs w:val="21"/>
        </w:rPr>
      </w:pPr>
      <w:bookmarkStart w:id="1502" w:name="_Toc15571"/>
      <w:bookmarkStart w:id="1503" w:name="_Toc26560"/>
      <w:bookmarkStart w:id="1504" w:name="_Toc15749"/>
      <w:bookmarkStart w:id="1505" w:name="_Toc21919"/>
      <w:bookmarkStart w:id="1506" w:name="_Toc351203650"/>
      <w:bookmarkStart w:id="1507" w:name="_Toc25188"/>
      <w:bookmarkStart w:id="1508" w:name="_Toc23476"/>
      <w:bookmarkStart w:id="1509" w:name="_Toc3649"/>
      <w:r>
        <w:rPr>
          <w:rFonts w:hint="eastAsia" w:ascii="宋体" w:hAnsi="宋体" w:eastAsia="宋体" w:cs="宋体"/>
          <w:b w:val="0"/>
          <w:color w:val="000000" w:themeColor="text1"/>
          <w:sz w:val="21"/>
          <w:szCs w:val="21"/>
        </w:rPr>
        <w:t>18. 保险</w:t>
      </w:r>
      <w:bookmarkEnd w:id="1502"/>
      <w:bookmarkEnd w:id="1503"/>
      <w:bookmarkEnd w:id="1504"/>
      <w:bookmarkEnd w:id="1505"/>
      <w:bookmarkEnd w:id="1506"/>
      <w:bookmarkEnd w:id="1507"/>
      <w:bookmarkEnd w:id="1508"/>
      <w:bookmarkEnd w:id="1509"/>
    </w:p>
    <w:bookmarkEnd w:id="1469"/>
    <w:p w14:paraId="6E81F54D">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18.1 工程保险</w:t>
      </w:r>
    </w:p>
    <w:p w14:paraId="0B26239B">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关于工程保险的特别约定：</w:t>
      </w:r>
      <w:r>
        <w:rPr>
          <w:rFonts w:hint="eastAsia" w:ascii="宋体" w:hAnsi="宋体" w:eastAsia="宋体" w:cs="宋体"/>
          <w:color w:val="000000" w:themeColor="text1"/>
          <w:kern w:val="0"/>
          <w:szCs w:val="21"/>
          <w:u w:val="single"/>
        </w:rPr>
        <w:t xml:space="preserve">     /   </w:t>
      </w:r>
      <w:r>
        <w:rPr>
          <w:rFonts w:hint="eastAsia" w:ascii="宋体" w:hAnsi="宋体" w:eastAsia="宋体" w:cs="宋体"/>
          <w:color w:val="000000" w:themeColor="text1"/>
          <w:kern w:val="0"/>
          <w:szCs w:val="21"/>
        </w:rPr>
        <w:t>。</w:t>
      </w:r>
    </w:p>
    <w:p w14:paraId="695BB214">
      <w:pPr>
        <w:pStyle w:val="150"/>
        <w:spacing w:after="120" w:line="460" w:lineRule="atLeast"/>
        <w:ind w:firstLine="420" w:firstLineChars="200"/>
        <w:outlineLvl w:val="0"/>
        <w:rPr>
          <w:rFonts w:hint="eastAsia" w:ascii="宋体" w:hAnsi="宋体" w:eastAsia="宋体" w:cs="宋体"/>
          <w:color w:val="000000" w:themeColor="text1"/>
          <w:szCs w:val="21"/>
        </w:rPr>
      </w:pPr>
      <w:bookmarkStart w:id="1510" w:name="_Toc27517"/>
      <w:bookmarkStart w:id="1511" w:name="_Toc7872"/>
      <w:bookmarkStart w:id="1512" w:name="_Toc4699"/>
      <w:bookmarkStart w:id="1513" w:name="_Toc32428"/>
      <w:bookmarkStart w:id="1514" w:name="_Toc18574505"/>
      <w:bookmarkStart w:id="1515" w:name="_Toc24178"/>
      <w:bookmarkStart w:id="1516" w:name="_Toc8274"/>
      <w:bookmarkStart w:id="1517" w:name="_Toc29956"/>
      <w:r>
        <w:rPr>
          <w:rFonts w:hint="eastAsia" w:ascii="宋体" w:hAnsi="宋体" w:eastAsia="宋体" w:cs="宋体"/>
          <w:color w:val="000000" w:themeColor="text1"/>
          <w:szCs w:val="21"/>
        </w:rPr>
        <w:t>18.3 其他保险</w:t>
      </w:r>
      <w:bookmarkEnd w:id="1510"/>
      <w:bookmarkEnd w:id="1511"/>
      <w:bookmarkEnd w:id="1512"/>
      <w:bookmarkEnd w:id="1513"/>
      <w:bookmarkEnd w:id="1514"/>
      <w:bookmarkEnd w:id="1515"/>
      <w:bookmarkEnd w:id="1516"/>
      <w:bookmarkEnd w:id="1517"/>
    </w:p>
    <w:p w14:paraId="512A4ACE">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关于其他保险的约定：</w:t>
      </w:r>
      <w:r>
        <w:rPr>
          <w:rFonts w:hint="eastAsia" w:ascii="宋体" w:hAnsi="宋体" w:eastAsia="宋体" w:cs="宋体"/>
          <w:color w:val="000000" w:themeColor="text1"/>
          <w:kern w:val="0"/>
          <w:szCs w:val="21"/>
          <w:u w:val="single"/>
        </w:rPr>
        <w:t xml:space="preserve">    承包人必须为施工现场从事施工的作业人员和管理人员办理意外伤害保险，并缴纳保险费   </w:t>
      </w:r>
      <w:r>
        <w:rPr>
          <w:rFonts w:hint="eastAsia" w:ascii="宋体" w:hAnsi="宋体" w:eastAsia="宋体" w:cs="宋体"/>
          <w:color w:val="000000" w:themeColor="text1"/>
          <w:kern w:val="0"/>
          <w:szCs w:val="21"/>
        </w:rPr>
        <w:t>。</w:t>
      </w:r>
    </w:p>
    <w:p w14:paraId="56519E35">
      <w:pPr>
        <w:pStyle w:val="150"/>
        <w:spacing w:line="460" w:lineRule="atLeast"/>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szCs w:val="21"/>
        </w:rPr>
        <w:t>承包人是否应为其施工设备等办理财产保险：</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37CB367D">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18.7 通知义务</w:t>
      </w:r>
    </w:p>
    <w:p w14:paraId="083E0580">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kern w:val="0"/>
          <w:szCs w:val="21"/>
        </w:rPr>
        <w:t>关于变更保险合同时的通知义务的约定：</w:t>
      </w:r>
      <w:r>
        <w:rPr>
          <w:rFonts w:hint="eastAsia" w:ascii="宋体" w:hAnsi="宋体" w:eastAsia="宋体" w:cs="宋体"/>
          <w:color w:val="000000" w:themeColor="text1"/>
          <w:szCs w:val="21"/>
          <w:u w:val="single"/>
        </w:rPr>
        <w:t xml:space="preserve"> 按合同通用条款执行   </w:t>
      </w:r>
      <w:r>
        <w:rPr>
          <w:rFonts w:hint="eastAsia" w:ascii="宋体" w:hAnsi="宋体" w:eastAsia="宋体" w:cs="宋体"/>
          <w:color w:val="000000" w:themeColor="text1"/>
          <w:szCs w:val="21"/>
        </w:rPr>
        <w:t>。</w:t>
      </w:r>
    </w:p>
    <w:bookmarkEnd w:id="1406"/>
    <w:bookmarkEnd w:id="1407"/>
    <w:bookmarkEnd w:id="1408"/>
    <w:bookmarkEnd w:id="1409"/>
    <w:bookmarkEnd w:id="1410"/>
    <w:bookmarkEnd w:id="1411"/>
    <w:bookmarkEnd w:id="1412"/>
    <w:bookmarkEnd w:id="1413"/>
    <w:bookmarkEnd w:id="1414"/>
    <w:bookmarkEnd w:id="1415"/>
    <w:bookmarkEnd w:id="1416"/>
    <w:bookmarkEnd w:id="1417"/>
    <w:p w14:paraId="76DD59AC">
      <w:pPr>
        <w:pStyle w:val="165"/>
        <w:spacing w:before="120" w:after="120" w:line="460" w:lineRule="atLeast"/>
        <w:rPr>
          <w:rFonts w:hint="eastAsia" w:ascii="宋体" w:hAnsi="宋体" w:eastAsia="宋体" w:cs="宋体"/>
          <w:b w:val="0"/>
          <w:color w:val="000000" w:themeColor="text1"/>
          <w:sz w:val="21"/>
          <w:szCs w:val="21"/>
        </w:rPr>
      </w:pPr>
      <w:bookmarkStart w:id="1518" w:name="_Toc5757"/>
      <w:bookmarkStart w:id="1519" w:name="_Toc351203651"/>
      <w:bookmarkStart w:id="1520" w:name="_Toc28432"/>
      <w:bookmarkStart w:id="1521" w:name="_Toc20306"/>
      <w:bookmarkStart w:id="1522" w:name="_Toc18754"/>
      <w:bookmarkStart w:id="1523" w:name="_Toc31157"/>
      <w:bookmarkStart w:id="1524" w:name="_Toc13563"/>
      <w:bookmarkStart w:id="1525" w:name="_Toc6688"/>
      <w:r>
        <w:rPr>
          <w:rFonts w:hint="eastAsia" w:ascii="宋体" w:hAnsi="宋体" w:eastAsia="宋体" w:cs="宋体"/>
          <w:b w:val="0"/>
          <w:color w:val="000000" w:themeColor="text1"/>
          <w:sz w:val="21"/>
          <w:szCs w:val="21"/>
        </w:rPr>
        <w:t>20. 争议解决</w:t>
      </w:r>
      <w:bookmarkEnd w:id="1518"/>
      <w:bookmarkEnd w:id="1519"/>
      <w:bookmarkEnd w:id="1520"/>
      <w:bookmarkEnd w:id="1521"/>
      <w:bookmarkEnd w:id="1522"/>
      <w:bookmarkEnd w:id="1523"/>
      <w:bookmarkEnd w:id="1524"/>
      <w:bookmarkEnd w:id="1525"/>
    </w:p>
    <w:bookmarkEnd w:id="1418"/>
    <w:bookmarkEnd w:id="1419"/>
    <w:bookmarkEnd w:id="1420"/>
    <w:p w14:paraId="653751CE">
      <w:pPr>
        <w:pStyle w:val="149"/>
        <w:spacing w:after="120" w:line="460" w:lineRule="atLeast"/>
        <w:ind w:firstLine="420" w:firstLineChars="200"/>
        <w:outlineLvl w:val="0"/>
        <w:rPr>
          <w:rFonts w:hint="eastAsia" w:ascii="宋体" w:hAnsi="宋体" w:eastAsia="宋体" w:cs="宋体"/>
          <w:color w:val="000000" w:themeColor="text1"/>
        </w:rPr>
      </w:pPr>
      <w:bookmarkStart w:id="1526" w:name="_Toc27661"/>
      <w:bookmarkStart w:id="1527" w:name="_Toc16861773"/>
      <w:bookmarkStart w:id="1528" w:name="_Toc2737"/>
      <w:bookmarkStart w:id="1529" w:name="_Toc8167"/>
      <w:bookmarkStart w:id="1530" w:name="_Toc16911"/>
      <w:bookmarkStart w:id="1531" w:name="_Toc2698"/>
      <w:bookmarkStart w:id="1532" w:name="_Toc18574506"/>
      <w:bookmarkStart w:id="1533" w:name="_Toc2804"/>
      <w:bookmarkStart w:id="1534" w:name="_Toc31637"/>
      <w:r>
        <w:rPr>
          <w:rFonts w:hint="eastAsia" w:ascii="宋体" w:hAnsi="宋体" w:eastAsia="宋体" w:cs="宋体"/>
          <w:color w:val="000000" w:themeColor="text1"/>
        </w:rPr>
        <w:t>20.3 争议评审</w:t>
      </w:r>
      <w:bookmarkEnd w:id="1526"/>
      <w:bookmarkEnd w:id="1527"/>
      <w:bookmarkEnd w:id="1528"/>
      <w:bookmarkEnd w:id="1529"/>
      <w:bookmarkEnd w:id="1530"/>
      <w:bookmarkEnd w:id="1531"/>
      <w:bookmarkEnd w:id="1532"/>
      <w:bookmarkEnd w:id="1533"/>
      <w:bookmarkEnd w:id="1534"/>
    </w:p>
    <w:p w14:paraId="5EA2CA6D">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合同当事人是否同意将工程争议提交争议评审小组决定：</w:t>
      </w:r>
      <w:r>
        <w:rPr>
          <w:rFonts w:hint="eastAsia" w:ascii="宋体" w:hAnsi="宋体" w:eastAsia="宋体" w:cs="宋体"/>
          <w:color w:val="000000" w:themeColor="text1"/>
          <w:u w:val="single"/>
        </w:rPr>
        <w:t xml:space="preserve"> 否 </w:t>
      </w:r>
      <w:r>
        <w:rPr>
          <w:rFonts w:hint="eastAsia" w:ascii="宋体" w:hAnsi="宋体" w:eastAsia="宋体" w:cs="宋体"/>
          <w:color w:val="000000" w:themeColor="text1"/>
        </w:rPr>
        <w:t xml:space="preserve">。  </w:t>
      </w:r>
    </w:p>
    <w:p w14:paraId="34A0CB3F">
      <w:pPr>
        <w:pStyle w:val="149"/>
        <w:spacing w:line="460" w:lineRule="atLeast"/>
        <w:ind w:firstLine="420" w:firstLineChars="200"/>
        <w:jc w:val="left"/>
        <w:outlineLvl w:val="0"/>
        <w:rPr>
          <w:rFonts w:hint="eastAsia" w:ascii="宋体" w:hAnsi="宋体" w:eastAsia="宋体" w:cs="宋体"/>
          <w:color w:val="000000" w:themeColor="text1"/>
        </w:rPr>
      </w:pPr>
      <w:bookmarkStart w:id="1535" w:name="_Toc19626"/>
      <w:bookmarkStart w:id="1536" w:name="_Toc28078"/>
      <w:bookmarkStart w:id="1537" w:name="_Toc21059"/>
      <w:bookmarkStart w:id="1538" w:name="_Toc14551"/>
      <w:bookmarkStart w:id="1539" w:name="_Toc16861774"/>
      <w:bookmarkStart w:id="1540" w:name="_Toc26394"/>
      <w:bookmarkStart w:id="1541" w:name="_Toc18574507"/>
      <w:bookmarkStart w:id="1542" w:name="_Toc23042"/>
      <w:bookmarkStart w:id="1543" w:name="_Toc7167"/>
      <w:r>
        <w:rPr>
          <w:rFonts w:hint="eastAsia" w:ascii="宋体" w:hAnsi="宋体" w:eastAsia="宋体" w:cs="宋体"/>
          <w:color w:val="000000" w:themeColor="text1"/>
        </w:rPr>
        <w:t>20.3.1 争议评审小组的确定</w:t>
      </w:r>
      <w:bookmarkEnd w:id="1535"/>
      <w:bookmarkEnd w:id="1536"/>
      <w:bookmarkEnd w:id="1537"/>
      <w:bookmarkEnd w:id="1538"/>
      <w:bookmarkEnd w:id="1539"/>
      <w:bookmarkEnd w:id="1540"/>
      <w:bookmarkEnd w:id="1541"/>
      <w:bookmarkEnd w:id="1542"/>
      <w:bookmarkEnd w:id="1543"/>
    </w:p>
    <w:p w14:paraId="1A518463">
      <w:pPr>
        <w:pStyle w:val="149"/>
        <w:spacing w:line="460" w:lineRule="atLeast"/>
        <w:ind w:firstLine="420" w:firstLineChars="200"/>
        <w:jc w:val="left"/>
        <w:rPr>
          <w:rFonts w:hint="eastAsia" w:ascii="宋体" w:hAnsi="宋体" w:eastAsia="宋体" w:cs="宋体"/>
          <w:color w:val="000000" w:themeColor="text1"/>
          <w:u w:val="single"/>
        </w:rPr>
      </w:pPr>
      <w:r>
        <w:rPr>
          <w:rFonts w:hint="eastAsia" w:ascii="宋体" w:hAnsi="宋体" w:eastAsia="宋体" w:cs="宋体"/>
          <w:color w:val="000000" w:themeColor="text1"/>
        </w:rPr>
        <w:t>争议评审小组成员的确定：</w:t>
      </w:r>
      <w:r>
        <w:rPr>
          <w:rFonts w:hint="eastAsia" w:ascii="宋体" w:hAnsi="宋体" w:eastAsia="宋体" w:cs="宋体"/>
          <w:color w:val="000000" w:themeColor="text1"/>
          <w:u w:val="single"/>
        </w:rPr>
        <w:t xml:space="preserve">   /    </w:t>
      </w:r>
      <w:r>
        <w:rPr>
          <w:rFonts w:hint="eastAsia" w:ascii="宋体" w:hAnsi="宋体" w:eastAsia="宋体" w:cs="宋体"/>
          <w:color w:val="000000" w:themeColor="text1"/>
        </w:rPr>
        <w:t>。</w:t>
      </w:r>
    </w:p>
    <w:p w14:paraId="054335CB">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选定争议评审员的期限：</w:t>
      </w:r>
      <w:r>
        <w:rPr>
          <w:rFonts w:hint="eastAsia" w:ascii="宋体" w:hAnsi="宋体" w:eastAsia="宋体" w:cs="宋体"/>
          <w:color w:val="000000" w:themeColor="text1"/>
          <w:u w:val="single"/>
        </w:rPr>
        <w:t xml:space="preserve">    /   </w:t>
      </w:r>
      <w:r>
        <w:rPr>
          <w:rFonts w:hint="eastAsia" w:ascii="宋体" w:hAnsi="宋体" w:eastAsia="宋体" w:cs="宋体"/>
          <w:color w:val="000000" w:themeColor="text1"/>
        </w:rPr>
        <w:t>。</w:t>
      </w:r>
    </w:p>
    <w:p w14:paraId="1A8DFBC1">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争议评审小组成员的报酬承担方式：</w:t>
      </w:r>
      <w:r>
        <w:rPr>
          <w:rFonts w:hint="eastAsia" w:ascii="宋体" w:hAnsi="宋体" w:eastAsia="宋体" w:cs="宋体"/>
          <w:color w:val="000000" w:themeColor="text1"/>
          <w:u w:val="single"/>
        </w:rPr>
        <w:t xml:space="preserve">   /   </w:t>
      </w:r>
      <w:r>
        <w:rPr>
          <w:rFonts w:hint="eastAsia" w:ascii="宋体" w:hAnsi="宋体" w:eastAsia="宋体" w:cs="宋体"/>
          <w:color w:val="000000" w:themeColor="text1"/>
        </w:rPr>
        <w:t>。</w:t>
      </w:r>
    </w:p>
    <w:p w14:paraId="5BC66E6A">
      <w:pPr>
        <w:pStyle w:val="149"/>
        <w:spacing w:line="460" w:lineRule="atLeast"/>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其他事项的约定：</w:t>
      </w:r>
      <w:r>
        <w:rPr>
          <w:rFonts w:hint="eastAsia" w:ascii="宋体" w:hAnsi="宋体" w:eastAsia="宋体" w:cs="宋体"/>
          <w:color w:val="000000" w:themeColor="text1"/>
          <w:u w:val="single"/>
        </w:rPr>
        <w:t xml:space="preserve">    /    </w:t>
      </w:r>
      <w:r>
        <w:rPr>
          <w:rFonts w:hint="eastAsia" w:ascii="宋体" w:hAnsi="宋体" w:eastAsia="宋体" w:cs="宋体"/>
          <w:color w:val="000000" w:themeColor="text1"/>
        </w:rPr>
        <w:t>。</w:t>
      </w:r>
    </w:p>
    <w:p w14:paraId="2E7936EB">
      <w:pPr>
        <w:pStyle w:val="149"/>
        <w:adjustRightInd w:val="0"/>
        <w:spacing w:line="460" w:lineRule="atLeast"/>
        <w:ind w:firstLine="420" w:firstLineChars="200"/>
        <w:jc w:val="left"/>
        <w:outlineLvl w:val="0"/>
        <w:rPr>
          <w:rFonts w:hint="eastAsia" w:ascii="宋体" w:hAnsi="宋体" w:eastAsia="宋体" w:cs="宋体"/>
          <w:color w:val="000000" w:themeColor="text1"/>
          <w:kern w:val="0"/>
        </w:rPr>
      </w:pPr>
      <w:bookmarkStart w:id="1544" w:name="_Toc27008"/>
      <w:bookmarkStart w:id="1545" w:name="_Toc2115"/>
      <w:bookmarkStart w:id="1546" w:name="_Toc14420"/>
      <w:bookmarkStart w:id="1547" w:name="_Toc16098"/>
      <w:bookmarkStart w:id="1548" w:name="_Toc16861775"/>
      <w:bookmarkStart w:id="1549" w:name="_Toc12633"/>
      <w:bookmarkStart w:id="1550" w:name="_Toc11770"/>
      <w:bookmarkStart w:id="1551" w:name="_Toc18574508"/>
      <w:bookmarkStart w:id="1552" w:name="_Toc2464"/>
      <w:r>
        <w:rPr>
          <w:rFonts w:hint="eastAsia" w:ascii="宋体" w:hAnsi="宋体" w:eastAsia="宋体" w:cs="宋体"/>
          <w:color w:val="000000" w:themeColor="text1"/>
          <w:kern w:val="0"/>
        </w:rPr>
        <w:t>20.3.2 争议评审小组的决定</w:t>
      </w:r>
      <w:bookmarkEnd w:id="1544"/>
      <w:bookmarkEnd w:id="1545"/>
      <w:bookmarkEnd w:id="1546"/>
      <w:bookmarkEnd w:id="1547"/>
      <w:bookmarkEnd w:id="1548"/>
      <w:bookmarkEnd w:id="1549"/>
      <w:bookmarkEnd w:id="1550"/>
      <w:bookmarkEnd w:id="1551"/>
      <w:bookmarkEnd w:id="1552"/>
    </w:p>
    <w:p w14:paraId="23F797AB">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合同当事人关于本项的约定：</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w:t>
      </w:r>
    </w:p>
    <w:p w14:paraId="237230CA">
      <w:pPr>
        <w:pStyle w:val="150"/>
        <w:spacing w:after="120" w:line="460" w:lineRule="atLeast"/>
        <w:ind w:firstLine="420" w:firstLineChars="200"/>
        <w:outlineLvl w:val="0"/>
        <w:rPr>
          <w:rFonts w:hint="eastAsia" w:ascii="宋体" w:hAnsi="宋体" w:eastAsia="宋体" w:cs="宋体"/>
          <w:color w:val="000000" w:themeColor="text1"/>
          <w:szCs w:val="21"/>
        </w:rPr>
      </w:pPr>
      <w:bookmarkStart w:id="1553" w:name="_Toc12009"/>
      <w:bookmarkStart w:id="1554" w:name="_Toc29920"/>
      <w:bookmarkStart w:id="1555" w:name="_Toc21512"/>
      <w:bookmarkStart w:id="1556" w:name="_Toc18574509"/>
      <w:bookmarkStart w:id="1557" w:name="_Toc30650"/>
      <w:bookmarkStart w:id="1558" w:name="_Toc15907"/>
      <w:bookmarkStart w:id="1559" w:name="_Toc10491"/>
      <w:bookmarkStart w:id="1560" w:name="_Toc18268"/>
      <w:r>
        <w:rPr>
          <w:rFonts w:hint="eastAsia" w:ascii="宋体" w:hAnsi="宋体" w:eastAsia="宋体" w:cs="宋体"/>
          <w:color w:val="000000" w:themeColor="text1"/>
          <w:szCs w:val="21"/>
        </w:rPr>
        <w:t>20.4仲裁或诉讼</w:t>
      </w:r>
      <w:bookmarkEnd w:id="1421"/>
      <w:bookmarkEnd w:id="1553"/>
      <w:bookmarkEnd w:id="1554"/>
      <w:bookmarkEnd w:id="1555"/>
      <w:bookmarkEnd w:id="1556"/>
      <w:bookmarkEnd w:id="1557"/>
      <w:bookmarkEnd w:id="1558"/>
      <w:bookmarkEnd w:id="1559"/>
      <w:bookmarkEnd w:id="1560"/>
    </w:p>
    <w:p w14:paraId="5D0C6334">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因合同及合同有关事项发生的争议，按下列第</w:t>
      </w:r>
      <w:r>
        <w:rPr>
          <w:rFonts w:hint="eastAsia" w:ascii="宋体" w:hAnsi="宋体" w:eastAsia="宋体" w:cs="宋体"/>
          <w:color w:val="000000" w:themeColor="text1"/>
          <w:szCs w:val="21"/>
          <w:u w:val="single"/>
        </w:rPr>
        <w:t xml:space="preserve">  2   </w:t>
      </w:r>
      <w:r>
        <w:rPr>
          <w:rFonts w:hint="eastAsia" w:ascii="宋体" w:hAnsi="宋体" w:eastAsia="宋体" w:cs="宋体"/>
          <w:color w:val="000000" w:themeColor="text1"/>
          <w:szCs w:val="21"/>
        </w:rPr>
        <w:t>种方式解决：</w:t>
      </w:r>
    </w:p>
    <w:p w14:paraId="5AE10B59">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（1）向</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仲裁委员会申请仲裁；</w:t>
      </w:r>
    </w:p>
    <w:p w14:paraId="07469F8A">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（2）向</w:t>
      </w:r>
      <w:r>
        <w:rPr>
          <w:rFonts w:hint="eastAsia" w:ascii="宋体" w:hAnsi="宋体" w:eastAsia="宋体" w:cs="宋体"/>
          <w:color w:val="000000" w:themeColor="text1"/>
          <w:szCs w:val="21"/>
          <w:u w:val="single"/>
        </w:rPr>
        <w:t xml:space="preserve">   项目所在地  </w:t>
      </w:r>
      <w:r>
        <w:rPr>
          <w:rFonts w:hint="eastAsia" w:ascii="宋体" w:hAnsi="宋体" w:eastAsia="宋体" w:cs="宋体"/>
          <w:color w:val="000000" w:themeColor="text1"/>
          <w:szCs w:val="21"/>
        </w:rPr>
        <w:t>人民法院起诉。</w:t>
      </w:r>
      <w:bookmarkEnd w:id="1422"/>
      <w:bookmarkEnd w:id="1423"/>
      <w:bookmarkEnd w:id="1424"/>
      <w:bookmarkEnd w:id="1425"/>
      <w:bookmarkEnd w:id="1426"/>
      <w:bookmarkEnd w:id="1427"/>
    </w:p>
    <w:p w14:paraId="166A0AA9">
      <w:pPr>
        <w:pStyle w:val="150"/>
        <w:spacing w:line="460" w:lineRule="atLeast"/>
        <w:ind w:firstLine="420" w:firstLineChars="200"/>
        <w:jc w:val="left"/>
        <w:rPr>
          <w:rFonts w:hint="eastAsia" w:ascii="宋体" w:hAnsi="宋体" w:eastAsia="宋体" w:cs="宋体"/>
          <w:color w:val="000000" w:themeColor="text1"/>
          <w:szCs w:val="21"/>
        </w:rPr>
      </w:pPr>
    </w:p>
    <w:p w14:paraId="59129206">
      <w:pPr>
        <w:pStyle w:val="150"/>
        <w:spacing w:line="460" w:lineRule="atLeast"/>
        <w:jc w:val="left"/>
        <w:rPr>
          <w:rFonts w:hint="eastAsia" w:ascii="宋体" w:hAnsi="宋体" w:eastAsia="宋体" w:cs="宋体"/>
          <w:b/>
          <w:color w:val="000000" w:themeColor="text1"/>
          <w:szCs w:val="21"/>
        </w:rPr>
      </w:pPr>
      <w:bookmarkStart w:id="1561" w:name="_Toc351203652"/>
      <w:r>
        <w:rPr>
          <w:rFonts w:hint="eastAsia" w:ascii="宋体" w:hAnsi="宋体" w:eastAsia="宋体" w:cs="宋体"/>
          <w:b/>
          <w:color w:val="000000" w:themeColor="text1"/>
          <w:szCs w:val="21"/>
        </w:rPr>
        <w:t>附件</w:t>
      </w:r>
      <w:bookmarkEnd w:id="1561"/>
    </w:p>
    <w:p w14:paraId="71942BF4">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协议书附件：</w:t>
      </w:r>
    </w:p>
    <w:p w14:paraId="0CF37482">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附件1：承包人承揽工程项目一览表</w:t>
      </w:r>
    </w:p>
    <w:p w14:paraId="147BB587">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专用合同条款附件：</w:t>
      </w:r>
    </w:p>
    <w:p w14:paraId="77034F8E">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附件2：发包人供应材料设备一览表</w:t>
      </w:r>
    </w:p>
    <w:p w14:paraId="7881F73F">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附件3：工程质量保修书</w:t>
      </w:r>
    </w:p>
    <w:p w14:paraId="6887E605">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附件4：主要建设工程文件目录</w:t>
      </w:r>
    </w:p>
    <w:p w14:paraId="31C9AA36">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附件5：承包人用于本工程施工的机械设备表</w:t>
      </w:r>
    </w:p>
    <w:p w14:paraId="2650B448">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附件6：承包人主要施工管理人员表</w:t>
      </w:r>
    </w:p>
    <w:p w14:paraId="4B9D57A9">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附件7：分包人主要施工管理人员表</w:t>
      </w:r>
    </w:p>
    <w:p w14:paraId="360B5752">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附件8：履约担保格式</w:t>
      </w:r>
    </w:p>
    <w:p w14:paraId="13EEA381">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附件9：预付款担保格式</w:t>
      </w:r>
    </w:p>
    <w:p w14:paraId="177386BD">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附件10：支付担保格式</w:t>
      </w:r>
    </w:p>
    <w:p w14:paraId="31D25B51">
      <w:pPr>
        <w:pStyle w:val="150"/>
        <w:spacing w:line="460" w:lineRule="atLeast"/>
        <w:jc w:val="left"/>
        <w:rPr>
          <w:rFonts w:hint="eastAsia" w:ascii="宋体" w:hAnsi="宋体" w:eastAsia="宋体" w:cs="宋体"/>
          <w:color w:val="000000" w:themeColor="text1"/>
          <w:szCs w:val="21"/>
        </w:rPr>
        <w:sectPr>
          <w:footerReference r:id="rId5" w:type="default"/>
          <w:pgSz w:w="11906" w:h="16838"/>
          <w:pgMar w:top="1440" w:right="1080" w:bottom="1440" w:left="1080" w:header="851" w:footer="992" w:gutter="0"/>
          <w:cols w:space="720" w:num="1"/>
          <w:docGrid w:type="linesAndChars" w:linePitch="381" w:charSpace="0"/>
        </w:sectPr>
      </w:pPr>
      <w:r>
        <w:rPr>
          <w:rFonts w:hint="eastAsia" w:ascii="宋体" w:hAnsi="宋体" w:eastAsia="宋体" w:cs="宋体"/>
          <w:color w:val="000000" w:themeColor="text1"/>
          <w:szCs w:val="21"/>
        </w:rPr>
        <w:t>附件11：暂估价一览表</w:t>
      </w:r>
    </w:p>
    <w:p w14:paraId="68F540E3">
      <w:pPr>
        <w:pStyle w:val="150"/>
        <w:spacing w:beforeLines="50" w:afterLines="50"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附件1：</w:t>
      </w:r>
    </w:p>
    <w:p w14:paraId="34EDDF6C">
      <w:pPr>
        <w:pStyle w:val="150"/>
        <w:spacing w:beforeLines="50" w:afterLines="50" w:line="460" w:lineRule="atLeas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承包人承揽工程项目一览表</w:t>
      </w:r>
    </w:p>
    <w:tbl>
      <w:tblPr>
        <w:tblStyle w:val="4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2743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36F2F2BB">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单位工程名称</w:t>
            </w:r>
          </w:p>
        </w:tc>
        <w:tc>
          <w:tcPr>
            <w:tcW w:w="1843" w:type="dxa"/>
            <w:tcBorders>
              <w:top w:val="single" w:color="auto" w:sz="12" w:space="0"/>
              <w:bottom w:val="double" w:color="auto" w:sz="6" w:space="0"/>
            </w:tcBorders>
            <w:vAlign w:val="center"/>
          </w:tcPr>
          <w:p w14:paraId="5B8A143D">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建设规模</w:t>
            </w:r>
          </w:p>
        </w:tc>
        <w:tc>
          <w:tcPr>
            <w:tcW w:w="1417" w:type="dxa"/>
            <w:tcBorders>
              <w:top w:val="single" w:color="auto" w:sz="12" w:space="0"/>
              <w:bottom w:val="double" w:color="auto" w:sz="6" w:space="0"/>
            </w:tcBorders>
            <w:vAlign w:val="center"/>
          </w:tcPr>
          <w:p w14:paraId="361621D4">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建筑面积(平方米)</w:t>
            </w:r>
          </w:p>
        </w:tc>
        <w:tc>
          <w:tcPr>
            <w:tcW w:w="2410" w:type="dxa"/>
            <w:tcBorders>
              <w:top w:val="single" w:color="auto" w:sz="12" w:space="0"/>
              <w:bottom w:val="double" w:color="auto" w:sz="6" w:space="0"/>
            </w:tcBorders>
            <w:vAlign w:val="center"/>
          </w:tcPr>
          <w:p w14:paraId="53342043">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结构形式</w:t>
            </w:r>
          </w:p>
        </w:tc>
        <w:tc>
          <w:tcPr>
            <w:tcW w:w="850" w:type="dxa"/>
            <w:tcBorders>
              <w:top w:val="single" w:color="auto" w:sz="12" w:space="0"/>
              <w:bottom w:val="double" w:color="auto" w:sz="6" w:space="0"/>
            </w:tcBorders>
            <w:vAlign w:val="center"/>
          </w:tcPr>
          <w:p w14:paraId="0815B019">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层数</w:t>
            </w:r>
          </w:p>
        </w:tc>
        <w:tc>
          <w:tcPr>
            <w:tcW w:w="1560" w:type="dxa"/>
            <w:tcBorders>
              <w:top w:val="single" w:color="auto" w:sz="12" w:space="0"/>
              <w:bottom w:val="double" w:color="auto" w:sz="6" w:space="0"/>
            </w:tcBorders>
            <w:vAlign w:val="center"/>
          </w:tcPr>
          <w:p w14:paraId="64D2B8C0">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生产能力</w:t>
            </w:r>
          </w:p>
        </w:tc>
        <w:tc>
          <w:tcPr>
            <w:tcW w:w="2126" w:type="dxa"/>
            <w:tcBorders>
              <w:top w:val="single" w:color="auto" w:sz="12" w:space="0"/>
              <w:bottom w:val="double" w:color="auto" w:sz="6" w:space="0"/>
            </w:tcBorders>
            <w:vAlign w:val="center"/>
          </w:tcPr>
          <w:p w14:paraId="3F11ECAD">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设备安装内容</w:t>
            </w:r>
          </w:p>
        </w:tc>
        <w:tc>
          <w:tcPr>
            <w:tcW w:w="1417" w:type="dxa"/>
            <w:tcBorders>
              <w:top w:val="single" w:color="auto" w:sz="12" w:space="0"/>
              <w:bottom w:val="double" w:color="auto" w:sz="6" w:space="0"/>
            </w:tcBorders>
            <w:vAlign w:val="center"/>
          </w:tcPr>
          <w:p w14:paraId="1F4A8F77">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合同价格（元）</w:t>
            </w:r>
          </w:p>
        </w:tc>
        <w:tc>
          <w:tcPr>
            <w:tcW w:w="851" w:type="dxa"/>
            <w:tcBorders>
              <w:top w:val="single" w:color="auto" w:sz="12" w:space="0"/>
              <w:bottom w:val="double" w:color="auto" w:sz="6" w:space="0"/>
            </w:tcBorders>
            <w:vAlign w:val="center"/>
          </w:tcPr>
          <w:p w14:paraId="7ACC5F0A">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开工日期</w:t>
            </w:r>
          </w:p>
        </w:tc>
        <w:tc>
          <w:tcPr>
            <w:tcW w:w="850" w:type="dxa"/>
            <w:tcBorders>
              <w:top w:val="single" w:color="auto" w:sz="12" w:space="0"/>
              <w:bottom w:val="double" w:color="auto" w:sz="6" w:space="0"/>
            </w:tcBorders>
            <w:vAlign w:val="center"/>
          </w:tcPr>
          <w:p w14:paraId="2322EA13">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竣工日期</w:t>
            </w:r>
          </w:p>
        </w:tc>
      </w:tr>
      <w:tr w14:paraId="61616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45C2F5E4">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tcBorders>
              <w:top w:val="double" w:color="auto" w:sz="6" w:space="0"/>
              <w:bottom w:val="single" w:color="auto" w:sz="6" w:space="0"/>
            </w:tcBorders>
            <w:vAlign w:val="center"/>
          </w:tcPr>
          <w:p w14:paraId="6A5882AC">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double" w:color="auto" w:sz="6" w:space="0"/>
              <w:bottom w:val="single" w:color="auto" w:sz="6" w:space="0"/>
            </w:tcBorders>
            <w:vAlign w:val="center"/>
          </w:tcPr>
          <w:p w14:paraId="0E641947">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tcBorders>
              <w:top w:val="double" w:color="auto" w:sz="6" w:space="0"/>
              <w:bottom w:val="single" w:color="auto" w:sz="6" w:space="0"/>
            </w:tcBorders>
            <w:vAlign w:val="center"/>
          </w:tcPr>
          <w:p w14:paraId="0810A70D">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double" w:color="auto" w:sz="6" w:space="0"/>
              <w:bottom w:val="single" w:color="auto" w:sz="6" w:space="0"/>
            </w:tcBorders>
            <w:vAlign w:val="center"/>
          </w:tcPr>
          <w:p w14:paraId="47E712EC">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tcBorders>
              <w:top w:val="double" w:color="auto" w:sz="6" w:space="0"/>
              <w:bottom w:val="single" w:color="auto" w:sz="6" w:space="0"/>
            </w:tcBorders>
            <w:vAlign w:val="center"/>
          </w:tcPr>
          <w:p w14:paraId="2ACF43E9">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tcBorders>
              <w:top w:val="double" w:color="auto" w:sz="6" w:space="0"/>
              <w:bottom w:val="single" w:color="auto" w:sz="6" w:space="0"/>
            </w:tcBorders>
            <w:vAlign w:val="center"/>
          </w:tcPr>
          <w:p w14:paraId="4EC324A3">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double" w:color="auto" w:sz="6" w:space="0"/>
              <w:bottom w:val="single" w:color="auto" w:sz="6" w:space="0"/>
            </w:tcBorders>
            <w:vAlign w:val="center"/>
          </w:tcPr>
          <w:p w14:paraId="1A66778B">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double" w:color="auto" w:sz="6" w:space="0"/>
              <w:bottom w:val="single" w:color="auto" w:sz="6" w:space="0"/>
            </w:tcBorders>
            <w:vAlign w:val="center"/>
          </w:tcPr>
          <w:p w14:paraId="10B12618">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double" w:color="auto" w:sz="6" w:space="0"/>
              <w:bottom w:val="single" w:color="auto" w:sz="6" w:space="0"/>
            </w:tcBorders>
            <w:vAlign w:val="center"/>
          </w:tcPr>
          <w:p w14:paraId="5CED8F15">
            <w:pPr>
              <w:pStyle w:val="192"/>
              <w:keepNext/>
              <w:spacing w:after="0" w:line="460" w:lineRule="atLeast"/>
              <w:ind w:left="63" w:right="63"/>
              <w:rPr>
                <w:rFonts w:hint="eastAsia" w:ascii="宋体" w:hAnsi="宋体" w:eastAsia="宋体" w:cs="宋体"/>
                <w:color w:val="000000" w:themeColor="text1"/>
                <w:sz w:val="21"/>
                <w:szCs w:val="21"/>
              </w:rPr>
            </w:pPr>
          </w:p>
        </w:tc>
      </w:tr>
      <w:tr w14:paraId="725BF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624C97F">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tcBorders>
              <w:top w:val="nil"/>
            </w:tcBorders>
            <w:vAlign w:val="center"/>
          </w:tcPr>
          <w:p w14:paraId="13D8594E">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48DF7558">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tcBorders>
              <w:top w:val="nil"/>
            </w:tcBorders>
            <w:vAlign w:val="center"/>
          </w:tcPr>
          <w:p w14:paraId="4C206A79">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4B491A81">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tcBorders>
              <w:top w:val="nil"/>
            </w:tcBorders>
            <w:vAlign w:val="center"/>
          </w:tcPr>
          <w:p w14:paraId="1BE4E92F">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tcBorders>
              <w:top w:val="nil"/>
            </w:tcBorders>
            <w:vAlign w:val="center"/>
          </w:tcPr>
          <w:p w14:paraId="794CA59E">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2A4930A5">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nil"/>
            </w:tcBorders>
            <w:vAlign w:val="center"/>
          </w:tcPr>
          <w:p w14:paraId="6DA7F850">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2C9DA4A3">
            <w:pPr>
              <w:pStyle w:val="192"/>
              <w:keepNext/>
              <w:spacing w:after="0" w:line="460" w:lineRule="atLeast"/>
              <w:ind w:left="63" w:right="63"/>
              <w:rPr>
                <w:rFonts w:hint="eastAsia" w:ascii="宋体" w:hAnsi="宋体" w:eastAsia="宋体" w:cs="宋体"/>
                <w:color w:val="000000" w:themeColor="text1"/>
                <w:sz w:val="21"/>
                <w:szCs w:val="21"/>
              </w:rPr>
            </w:pPr>
          </w:p>
        </w:tc>
      </w:tr>
      <w:tr w14:paraId="74365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4EA7DF2">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tcBorders>
              <w:top w:val="nil"/>
            </w:tcBorders>
            <w:vAlign w:val="center"/>
          </w:tcPr>
          <w:p w14:paraId="2F6D9CB8">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209D5B38">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tcBorders>
              <w:top w:val="nil"/>
            </w:tcBorders>
            <w:vAlign w:val="center"/>
          </w:tcPr>
          <w:p w14:paraId="4E2189DD">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3538AE14">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tcBorders>
              <w:top w:val="nil"/>
            </w:tcBorders>
            <w:vAlign w:val="center"/>
          </w:tcPr>
          <w:p w14:paraId="112F4380">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tcBorders>
              <w:top w:val="nil"/>
            </w:tcBorders>
            <w:vAlign w:val="center"/>
          </w:tcPr>
          <w:p w14:paraId="1C80FA47">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2123270D">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nil"/>
            </w:tcBorders>
            <w:vAlign w:val="center"/>
          </w:tcPr>
          <w:p w14:paraId="42DB8D77">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35EF11C1">
            <w:pPr>
              <w:pStyle w:val="192"/>
              <w:keepNext/>
              <w:spacing w:after="0" w:line="460" w:lineRule="atLeast"/>
              <w:ind w:left="63" w:right="63"/>
              <w:rPr>
                <w:rFonts w:hint="eastAsia" w:ascii="宋体" w:hAnsi="宋体" w:eastAsia="宋体" w:cs="宋体"/>
                <w:color w:val="000000" w:themeColor="text1"/>
                <w:sz w:val="21"/>
                <w:szCs w:val="21"/>
              </w:rPr>
            </w:pPr>
          </w:p>
        </w:tc>
      </w:tr>
      <w:tr w14:paraId="30EE0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24D089C">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vAlign w:val="center"/>
          </w:tcPr>
          <w:p w14:paraId="2AA78553">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vAlign w:val="center"/>
          </w:tcPr>
          <w:p w14:paraId="7CB4C74D">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vAlign w:val="center"/>
          </w:tcPr>
          <w:p w14:paraId="3246845B">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vAlign w:val="center"/>
          </w:tcPr>
          <w:p w14:paraId="04E5FE20">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vAlign w:val="center"/>
          </w:tcPr>
          <w:p w14:paraId="3FF2F715">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vAlign w:val="center"/>
          </w:tcPr>
          <w:p w14:paraId="177AC77D">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vAlign w:val="center"/>
          </w:tcPr>
          <w:p w14:paraId="6DDB67F6">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5C4C8506">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vAlign w:val="center"/>
          </w:tcPr>
          <w:p w14:paraId="1FDBA7A2">
            <w:pPr>
              <w:pStyle w:val="192"/>
              <w:keepNext/>
              <w:spacing w:after="0" w:line="460" w:lineRule="atLeast"/>
              <w:ind w:left="63" w:right="63"/>
              <w:rPr>
                <w:rFonts w:hint="eastAsia" w:ascii="宋体" w:hAnsi="宋体" w:eastAsia="宋体" w:cs="宋体"/>
                <w:color w:val="000000" w:themeColor="text1"/>
                <w:sz w:val="21"/>
                <w:szCs w:val="21"/>
              </w:rPr>
            </w:pPr>
          </w:p>
        </w:tc>
      </w:tr>
      <w:tr w14:paraId="15BBC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F471214">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tcBorders>
              <w:top w:val="nil"/>
            </w:tcBorders>
            <w:vAlign w:val="center"/>
          </w:tcPr>
          <w:p w14:paraId="7195E22F">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7E3107A8">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tcBorders>
              <w:top w:val="nil"/>
            </w:tcBorders>
            <w:vAlign w:val="center"/>
          </w:tcPr>
          <w:p w14:paraId="57C86DBF">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050D2B18">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tcBorders>
              <w:top w:val="nil"/>
            </w:tcBorders>
            <w:vAlign w:val="center"/>
          </w:tcPr>
          <w:p w14:paraId="6AA33C1B">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tcBorders>
              <w:top w:val="nil"/>
            </w:tcBorders>
            <w:vAlign w:val="center"/>
          </w:tcPr>
          <w:p w14:paraId="671D09AC">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7982D887">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nil"/>
            </w:tcBorders>
            <w:vAlign w:val="center"/>
          </w:tcPr>
          <w:p w14:paraId="53BC8196">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03BC274C">
            <w:pPr>
              <w:pStyle w:val="192"/>
              <w:keepNext/>
              <w:spacing w:after="0" w:line="460" w:lineRule="atLeast"/>
              <w:ind w:left="63" w:right="63"/>
              <w:rPr>
                <w:rFonts w:hint="eastAsia" w:ascii="宋体" w:hAnsi="宋体" w:eastAsia="宋体" w:cs="宋体"/>
                <w:color w:val="000000" w:themeColor="text1"/>
                <w:sz w:val="21"/>
                <w:szCs w:val="21"/>
              </w:rPr>
            </w:pPr>
          </w:p>
        </w:tc>
      </w:tr>
      <w:tr w14:paraId="78293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A6BA922">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vAlign w:val="center"/>
          </w:tcPr>
          <w:p w14:paraId="57B4B916">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vAlign w:val="center"/>
          </w:tcPr>
          <w:p w14:paraId="3E7E5FBB">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vAlign w:val="center"/>
          </w:tcPr>
          <w:p w14:paraId="3E0D8CE5">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vAlign w:val="center"/>
          </w:tcPr>
          <w:p w14:paraId="4A225056">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vAlign w:val="center"/>
          </w:tcPr>
          <w:p w14:paraId="6B232F2B">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vAlign w:val="center"/>
          </w:tcPr>
          <w:p w14:paraId="1805B9E3">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vAlign w:val="center"/>
          </w:tcPr>
          <w:p w14:paraId="19C7904B">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7F19F606">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vAlign w:val="center"/>
          </w:tcPr>
          <w:p w14:paraId="676F918F">
            <w:pPr>
              <w:pStyle w:val="192"/>
              <w:keepNext/>
              <w:spacing w:after="0" w:line="460" w:lineRule="atLeast"/>
              <w:ind w:left="63" w:right="63"/>
              <w:rPr>
                <w:rFonts w:hint="eastAsia" w:ascii="宋体" w:hAnsi="宋体" w:eastAsia="宋体" w:cs="宋体"/>
                <w:color w:val="000000" w:themeColor="text1"/>
                <w:sz w:val="21"/>
                <w:szCs w:val="21"/>
              </w:rPr>
            </w:pPr>
          </w:p>
        </w:tc>
      </w:tr>
      <w:tr w14:paraId="7D26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549B9ED7">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tcBorders>
              <w:top w:val="nil"/>
            </w:tcBorders>
            <w:vAlign w:val="center"/>
          </w:tcPr>
          <w:p w14:paraId="6F684FF9">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094CEB15">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tcBorders>
              <w:top w:val="nil"/>
            </w:tcBorders>
            <w:vAlign w:val="center"/>
          </w:tcPr>
          <w:p w14:paraId="6EEF465E">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598AA724">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tcBorders>
              <w:top w:val="nil"/>
            </w:tcBorders>
            <w:vAlign w:val="center"/>
          </w:tcPr>
          <w:p w14:paraId="6824FDC7">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tcBorders>
              <w:top w:val="nil"/>
            </w:tcBorders>
            <w:vAlign w:val="center"/>
          </w:tcPr>
          <w:p w14:paraId="5C3F882D">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3669CD26">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nil"/>
            </w:tcBorders>
            <w:vAlign w:val="center"/>
          </w:tcPr>
          <w:p w14:paraId="32005F06">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3CD16071">
            <w:pPr>
              <w:pStyle w:val="192"/>
              <w:keepNext/>
              <w:spacing w:after="0" w:line="460" w:lineRule="atLeast"/>
              <w:ind w:left="63" w:right="63"/>
              <w:rPr>
                <w:rFonts w:hint="eastAsia" w:ascii="宋体" w:hAnsi="宋体" w:eastAsia="宋体" w:cs="宋体"/>
                <w:color w:val="000000" w:themeColor="text1"/>
                <w:sz w:val="21"/>
                <w:szCs w:val="21"/>
              </w:rPr>
            </w:pPr>
          </w:p>
        </w:tc>
      </w:tr>
      <w:tr w14:paraId="349A0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8A2DF90">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tcBorders>
              <w:top w:val="nil"/>
            </w:tcBorders>
            <w:vAlign w:val="center"/>
          </w:tcPr>
          <w:p w14:paraId="3D90BCB3">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1A17A4E6">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tcBorders>
              <w:top w:val="nil"/>
            </w:tcBorders>
            <w:vAlign w:val="center"/>
          </w:tcPr>
          <w:p w14:paraId="7CC69189">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17322ADE">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tcBorders>
              <w:top w:val="nil"/>
            </w:tcBorders>
            <w:vAlign w:val="center"/>
          </w:tcPr>
          <w:p w14:paraId="1DDDE215">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tcBorders>
              <w:top w:val="nil"/>
            </w:tcBorders>
            <w:vAlign w:val="center"/>
          </w:tcPr>
          <w:p w14:paraId="45B21520">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62E0CFB3">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nil"/>
            </w:tcBorders>
            <w:vAlign w:val="center"/>
          </w:tcPr>
          <w:p w14:paraId="4CBAA122">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11C1CD4C">
            <w:pPr>
              <w:pStyle w:val="192"/>
              <w:keepNext/>
              <w:spacing w:after="0" w:line="460" w:lineRule="atLeast"/>
              <w:ind w:left="63" w:right="63"/>
              <w:rPr>
                <w:rFonts w:hint="eastAsia" w:ascii="宋体" w:hAnsi="宋体" w:eastAsia="宋体" w:cs="宋体"/>
                <w:color w:val="000000" w:themeColor="text1"/>
                <w:sz w:val="21"/>
                <w:szCs w:val="21"/>
              </w:rPr>
            </w:pPr>
          </w:p>
        </w:tc>
      </w:tr>
      <w:tr w14:paraId="69761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512850B8">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vAlign w:val="center"/>
          </w:tcPr>
          <w:p w14:paraId="2EAF0074">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vAlign w:val="center"/>
          </w:tcPr>
          <w:p w14:paraId="18974106">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vAlign w:val="center"/>
          </w:tcPr>
          <w:p w14:paraId="0C405782">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vAlign w:val="center"/>
          </w:tcPr>
          <w:p w14:paraId="667E286A">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vAlign w:val="center"/>
          </w:tcPr>
          <w:p w14:paraId="7219263F">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vAlign w:val="center"/>
          </w:tcPr>
          <w:p w14:paraId="3724B7C5">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vAlign w:val="center"/>
          </w:tcPr>
          <w:p w14:paraId="7B9B0C0B">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6845BA60">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vAlign w:val="center"/>
          </w:tcPr>
          <w:p w14:paraId="635F2716">
            <w:pPr>
              <w:pStyle w:val="192"/>
              <w:keepNext/>
              <w:spacing w:after="0" w:line="460" w:lineRule="atLeast"/>
              <w:ind w:left="63" w:right="63"/>
              <w:rPr>
                <w:rFonts w:hint="eastAsia" w:ascii="宋体" w:hAnsi="宋体" w:eastAsia="宋体" w:cs="宋体"/>
                <w:color w:val="000000" w:themeColor="text1"/>
                <w:sz w:val="21"/>
                <w:szCs w:val="21"/>
              </w:rPr>
            </w:pPr>
          </w:p>
        </w:tc>
      </w:tr>
      <w:tr w14:paraId="76785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A8C5F02">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tcBorders>
              <w:top w:val="nil"/>
            </w:tcBorders>
            <w:vAlign w:val="center"/>
          </w:tcPr>
          <w:p w14:paraId="4368B302">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3C78860F">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tcBorders>
              <w:top w:val="nil"/>
            </w:tcBorders>
            <w:vAlign w:val="center"/>
          </w:tcPr>
          <w:p w14:paraId="5444B97F">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7D79C4B8">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tcBorders>
              <w:top w:val="nil"/>
            </w:tcBorders>
            <w:vAlign w:val="center"/>
          </w:tcPr>
          <w:p w14:paraId="637E21CC">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tcBorders>
              <w:top w:val="nil"/>
            </w:tcBorders>
            <w:vAlign w:val="center"/>
          </w:tcPr>
          <w:p w14:paraId="259E9F76">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tcBorders>
              <w:top w:val="nil"/>
            </w:tcBorders>
            <w:vAlign w:val="center"/>
          </w:tcPr>
          <w:p w14:paraId="2B32F83E">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nil"/>
            </w:tcBorders>
            <w:vAlign w:val="center"/>
          </w:tcPr>
          <w:p w14:paraId="4EBE5A1F">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tcBorders>
              <w:top w:val="nil"/>
            </w:tcBorders>
            <w:vAlign w:val="center"/>
          </w:tcPr>
          <w:p w14:paraId="4DFE21C2">
            <w:pPr>
              <w:pStyle w:val="192"/>
              <w:keepNext/>
              <w:spacing w:after="0" w:line="460" w:lineRule="atLeast"/>
              <w:ind w:left="63" w:right="63"/>
              <w:rPr>
                <w:rFonts w:hint="eastAsia" w:ascii="宋体" w:hAnsi="宋体" w:eastAsia="宋体" w:cs="宋体"/>
                <w:color w:val="000000" w:themeColor="text1"/>
                <w:sz w:val="21"/>
                <w:szCs w:val="21"/>
              </w:rPr>
            </w:pPr>
          </w:p>
        </w:tc>
      </w:tr>
      <w:tr w14:paraId="455FD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55433F0">
            <w:pPr>
              <w:pStyle w:val="192"/>
              <w:keepNext/>
              <w:spacing w:after="0" w:line="460" w:lineRule="atLeast"/>
              <w:ind w:left="63" w:right="63"/>
              <w:rPr>
                <w:rFonts w:hint="eastAsia" w:ascii="宋体" w:hAnsi="宋体" w:eastAsia="宋体" w:cs="宋体"/>
                <w:color w:val="000000" w:themeColor="text1"/>
                <w:sz w:val="21"/>
                <w:szCs w:val="21"/>
              </w:rPr>
            </w:pPr>
          </w:p>
        </w:tc>
        <w:tc>
          <w:tcPr>
            <w:tcW w:w="1843" w:type="dxa"/>
            <w:vAlign w:val="center"/>
          </w:tcPr>
          <w:p w14:paraId="3EC2815B">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vAlign w:val="center"/>
          </w:tcPr>
          <w:p w14:paraId="2C41F149">
            <w:pPr>
              <w:pStyle w:val="192"/>
              <w:keepNext/>
              <w:spacing w:after="0" w:line="460" w:lineRule="atLeast"/>
              <w:ind w:left="63" w:right="63"/>
              <w:rPr>
                <w:rFonts w:hint="eastAsia" w:ascii="宋体" w:hAnsi="宋体" w:eastAsia="宋体" w:cs="宋体"/>
                <w:color w:val="000000" w:themeColor="text1"/>
                <w:sz w:val="21"/>
                <w:szCs w:val="21"/>
              </w:rPr>
            </w:pPr>
          </w:p>
        </w:tc>
        <w:tc>
          <w:tcPr>
            <w:tcW w:w="2410" w:type="dxa"/>
            <w:vAlign w:val="center"/>
          </w:tcPr>
          <w:p w14:paraId="629E76C6">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vAlign w:val="center"/>
          </w:tcPr>
          <w:p w14:paraId="60F8206C">
            <w:pPr>
              <w:pStyle w:val="192"/>
              <w:keepNext/>
              <w:spacing w:after="0" w:line="460" w:lineRule="atLeast"/>
              <w:ind w:left="63" w:right="63"/>
              <w:rPr>
                <w:rFonts w:hint="eastAsia" w:ascii="宋体" w:hAnsi="宋体" w:eastAsia="宋体" w:cs="宋体"/>
                <w:color w:val="000000" w:themeColor="text1"/>
                <w:sz w:val="21"/>
                <w:szCs w:val="21"/>
              </w:rPr>
            </w:pPr>
          </w:p>
        </w:tc>
        <w:tc>
          <w:tcPr>
            <w:tcW w:w="1560" w:type="dxa"/>
            <w:vAlign w:val="center"/>
          </w:tcPr>
          <w:p w14:paraId="53D875EA">
            <w:pPr>
              <w:pStyle w:val="192"/>
              <w:keepNext/>
              <w:spacing w:after="0" w:line="460" w:lineRule="atLeast"/>
              <w:ind w:left="63" w:right="63"/>
              <w:rPr>
                <w:rFonts w:hint="eastAsia" w:ascii="宋体" w:hAnsi="宋体" w:eastAsia="宋体" w:cs="宋体"/>
                <w:color w:val="000000" w:themeColor="text1"/>
                <w:sz w:val="21"/>
                <w:szCs w:val="21"/>
              </w:rPr>
            </w:pPr>
          </w:p>
        </w:tc>
        <w:tc>
          <w:tcPr>
            <w:tcW w:w="2126" w:type="dxa"/>
            <w:vAlign w:val="center"/>
          </w:tcPr>
          <w:p w14:paraId="11FC6F3B">
            <w:pPr>
              <w:pStyle w:val="192"/>
              <w:keepNext/>
              <w:spacing w:after="0" w:line="460" w:lineRule="atLeast"/>
              <w:ind w:left="63" w:right="63"/>
              <w:rPr>
                <w:rFonts w:hint="eastAsia" w:ascii="宋体" w:hAnsi="宋体" w:eastAsia="宋体" w:cs="宋体"/>
                <w:color w:val="000000" w:themeColor="text1"/>
                <w:sz w:val="21"/>
                <w:szCs w:val="21"/>
              </w:rPr>
            </w:pPr>
          </w:p>
        </w:tc>
        <w:tc>
          <w:tcPr>
            <w:tcW w:w="1417" w:type="dxa"/>
            <w:vAlign w:val="center"/>
          </w:tcPr>
          <w:p w14:paraId="2CBD9605">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0C96A310">
            <w:pPr>
              <w:pStyle w:val="192"/>
              <w:keepNext/>
              <w:spacing w:after="0" w:line="460" w:lineRule="atLeast"/>
              <w:ind w:left="63" w:right="63"/>
              <w:rPr>
                <w:rFonts w:hint="eastAsia" w:ascii="宋体" w:hAnsi="宋体" w:eastAsia="宋体" w:cs="宋体"/>
                <w:color w:val="000000" w:themeColor="text1"/>
                <w:sz w:val="21"/>
                <w:szCs w:val="21"/>
              </w:rPr>
            </w:pPr>
          </w:p>
        </w:tc>
        <w:tc>
          <w:tcPr>
            <w:tcW w:w="850" w:type="dxa"/>
            <w:vAlign w:val="center"/>
          </w:tcPr>
          <w:p w14:paraId="513ECC94">
            <w:pPr>
              <w:pStyle w:val="192"/>
              <w:keepNext/>
              <w:spacing w:after="0" w:line="460" w:lineRule="atLeast"/>
              <w:ind w:left="63" w:right="63"/>
              <w:rPr>
                <w:rFonts w:hint="eastAsia" w:ascii="宋体" w:hAnsi="宋体" w:eastAsia="宋体" w:cs="宋体"/>
                <w:color w:val="000000" w:themeColor="text1"/>
                <w:sz w:val="21"/>
                <w:szCs w:val="21"/>
              </w:rPr>
            </w:pPr>
          </w:p>
        </w:tc>
      </w:tr>
    </w:tbl>
    <w:p w14:paraId="609D1AE4">
      <w:pPr>
        <w:pStyle w:val="150"/>
        <w:spacing w:line="460" w:lineRule="atLeast"/>
        <w:rPr>
          <w:rFonts w:hint="eastAsia" w:ascii="宋体" w:hAnsi="宋体" w:eastAsia="宋体" w:cs="宋体"/>
          <w:color w:val="000000" w:themeColor="text1"/>
          <w:szCs w:val="21"/>
        </w:rPr>
        <w:sectPr>
          <w:pgSz w:w="16838" w:h="11906" w:orient="landscape"/>
          <w:pgMar w:top="1440" w:right="1080" w:bottom="1440" w:left="1080" w:header="851" w:footer="992" w:gutter="0"/>
          <w:cols w:space="720" w:num="1"/>
          <w:docGrid w:type="linesAndChars" w:linePitch="381" w:charSpace="0"/>
        </w:sectPr>
      </w:pPr>
    </w:p>
    <w:p w14:paraId="0072C07B">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附</w:t>
      </w:r>
      <w:bookmarkStart w:id="1562" w:name="_Toc296347224"/>
      <w:bookmarkStart w:id="1563" w:name="_Toc296891053"/>
      <w:bookmarkStart w:id="1564" w:name="_Toc296891265"/>
      <w:bookmarkStart w:id="1565" w:name="_Toc296503225"/>
      <w:bookmarkStart w:id="1566" w:name="_Toc296944564"/>
      <w:bookmarkStart w:id="1567" w:name="_Toc296346726"/>
      <w:bookmarkStart w:id="1568" w:name="_Toc267261692"/>
      <w:r>
        <w:rPr>
          <w:rFonts w:hint="eastAsia" w:ascii="宋体" w:hAnsi="宋体" w:eastAsia="宋体" w:cs="宋体"/>
          <w:color w:val="000000" w:themeColor="text1"/>
          <w:szCs w:val="21"/>
        </w:rPr>
        <w:t>件2：</w:t>
      </w:r>
    </w:p>
    <w:bookmarkEnd w:id="1562"/>
    <w:bookmarkEnd w:id="1563"/>
    <w:bookmarkEnd w:id="1564"/>
    <w:bookmarkEnd w:id="1565"/>
    <w:bookmarkEnd w:id="1566"/>
    <w:bookmarkEnd w:id="1567"/>
    <w:bookmarkEnd w:id="1568"/>
    <w:p w14:paraId="0B4E212F">
      <w:pPr>
        <w:pStyle w:val="150"/>
        <w:spacing w:beforeLines="50" w:afterLines="50" w:line="460" w:lineRule="atLeas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发包人供应材料设备一览表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1FA8C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27C92FF5">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276" w:type="dxa"/>
            <w:tcBorders>
              <w:top w:val="single" w:color="auto" w:sz="12" w:space="0"/>
              <w:bottom w:val="double" w:color="auto" w:sz="6" w:space="0"/>
            </w:tcBorders>
            <w:vAlign w:val="center"/>
          </w:tcPr>
          <w:p w14:paraId="4DF601EE">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  材料、</w:t>
            </w:r>
          </w:p>
          <w:p w14:paraId="1C00578C">
            <w:pPr>
              <w:pStyle w:val="192"/>
              <w:keepNext/>
              <w:spacing w:after="0" w:line="460" w:lineRule="atLeast"/>
              <w:ind w:left="0" w:leftChars="0" w:right="63"/>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设备品种</w:t>
            </w:r>
          </w:p>
        </w:tc>
        <w:tc>
          <w:tcPr>
            <w:tcW w:w="1418" w:type="dxa"/>
            <w:tcBorders>
              <w:top w:val="single" w:color="auto" w:sz="12" w:space="0"/>
              <w:bottom w:val="double" w:color="auto" w:sz="6" w:space="0"/>
            </w:tcBorders>
            <w:vAlign w:val="center"/>
          </w:tcPr>
          <w:p w14:paraId="3C1AF124">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规格型号</w:t>
            </w:r>
          </w:p>
        </w:tc>
        <w:tc>
          <w:tcPr>
            <w:tcW w:w="940" w:type="dxa"/>
            <w:tcBorders>
              <w:top w:val="single" w:color="auto" w:sz="12" w:space="0"/>
              <w:bottom w:val="double" w:color="auto" w:sz="6" w:space="0"/>
            </w:tcBorders>
            <w:vAlign w:val="center"/>
          </w:tcPr>
          <w:p w14:paraId="228CB812">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单位</w:t>
            </w:r>
          </w:p>
        </w:tc>
        <w:tc>
          <w:tcPr>
            <w:tcW w:w="851" w:type="dxa"/>
            <w:tcBorders>
              <w:top w:val="single" w:color="auto" w:sz="12" w:space="0"/>
              <w:bottom w:val="double" w:color="auto" w:sz="6" w:space="0"/>
            </w:tcBorders>
            <w:vAlign w:val="center"/>
          </w:tcPr>
          <w:p w14:paraId="173D33A2">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044" w:type="dxa"/>
            <w:tcBorders>
              <w:top w:val="single" w:color="auto" w:sz="12" w:space="0"/>
              <w:bottom w:val="double" w:color="auto" w:sz="6" w:space="0"/>
            </w:tcBorders>
            <w:vAlign w:val="center"/>
          </w:tcPr>
          <w:p w14:paraId="7D70A85C">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992" w:type="dxa"/>
            <w:tcBorders>
              <w:top w:val="single" w:color="auto" w:sz="12" w:space="0"/>
              <w:bottom w:val="double" w:color="auto" w:sz="6" w:space="0"/>
            </w:tcBorders>
            <w:vAlign w:val="center"/>
          </w:tcPr>
          <w:p w14:paraId="5A383034">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质量等级</w:t>
            </w:r>
          </w:p>
        </w:tc>
        <w:tc>
          <w:tcPr>
            <w:tcW w:w="851" w:type="dxa"/>
            <w:tcBorders>
              <w:top w:val="single" w:color="auto" w:sz="12" w:space="0"/>
              <w:bottom w:val="double" w:color="auto" w:sz="6" w:space="0"/>
            </w:tcBorders>
            <w:vAlign w:val="center"/>
          </w:tcPr>
          <w:p w14:paraId="520C7C57">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供应时间</w:t>
            </w:r>
          </w:p>
        </w:tc>
        <w:tc>
          <w:tcPr>
            <w:tcW w:w="1487" w:type="dxa"/>
            <w:tcBorders>
              <w:top w:val="single" w:color="auto" w:sz="12" w:space="0"/>
              <w:bottom w:val="double" w:color="auto" w:sz="6" w:space="0"/>
            </w:tcBorders>
            <w:vAlign w:val="center"/>
          </w:tcPr>
          <w:p w14:paraId="7C60C158">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送达地点</w:t>
            </w:r>
          </w:p>
        </w:tc>
        <w:tc>
          <w:tcPr>
            <w:tcW w:w="992" w:type="dxa"/>
            <w:tcBorders>
              <w:top w:val="single" w:color="auto" w:sz="12" w:space="0"/>
              <w:bottom w:val="double" w:color="auto" w:sz="6" w:space="0"/>
            </w:tcBorders>
            <w:vAlign w:val="center"/>
          </w:tcPr>
          <w:p w14:paraId="459202EC">
            <w:pPr>
              <w:pStyle w:val="192"/>
              <w:keepNext/>
              <w:spacing w:after="0" w:line="460" w:lineRule="atLeast"/>
              <w:ind w:left="63" w:right="63"/>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49EB6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4B7801FC">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tcBorders>
              <w:top w:val="double" w:color="auto" w:sz="6" w:space="0"/>
              <w:bottom w:val="single" w:color="auto" w:sz="6" w:space="0"/>
            </w:tcBorders>
            <w:vAlign w:val="center"/>
          </w:tcPr>
          <w:p w14:paraId="79F82FB2">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tcBorders>
              <w:top w:val="double" w:color="auto" w:sz="6" w:space="0"/>
              <w:bottom w:val="single" w:color="auto" w:sz="6" w:space="0"/>
            </w:tcBorders>
            <w:vAlign w:val="center"/>
          </w:tcPr>
          <w:p w14:paraId="15A3F9A8">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tcBorders>
              <w:top w:val="double" w:color="auto" w:sz="6" w:space="0"/>
              <w:bottom w:val="single" w:color="auto" w:sz="6" w:space="0"/>
            </w:tcBorders>
            <w:vAlign w:val="center"/>
          </w:tcPr>
          <w:p w14:paraId="211047E2">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double" w:color="auto" w:sz="6" w:space="0"/>
              <w:bottom w:val="single" w:color="auto" w:sz="6" w:space="0"/>
            </w:tcBorders>
            <w:vAlign w:val="center"/>
          </w:tcPr>
          <w:p w14:paraId="5EF7B863">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tcBorders>
              <w:top w:val="double" w:color="auto" w:sz="6" w:space="0"/>
              <w:bottom w:val="single" w:color="auto" w:sz="6" w:space="0"/>
            </w:tcBorders>
            <w:vAlign w:val="center"/>
          </w:tcPr>
          <w:p w14:paraId="45C9DAE7">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tcBorders>
              <w:top w:val="double" w:color="auto" w:sz="6" w:space="0"/>
              <w:bottom w:val="single" w:color="auto" w:sz="6" w:space="0"/>
            </w:tcBorders>
            <w:vAlign w:val="center"/>
          </w:tcPr>
          <w:p w14:paraId="09231664">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double" w:color="auto" w:sz="6" w:space="0"/>
              <w:bottom w:val="single" w:color="auto" w:sz="6" w:space="0"/>
            </w:tcBorders>
            <w:vAlign w:val="center"/>
          </w:tcPr>
          <w:p w14:paraId="31F782BC">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tcBorders>
              <w:top w:val="double" w:color="auto" w:sz="6" w:space="0"/>
              <w:bottom w:val="single" w:color="auto" w:sz="6" w:space="0"/>
            </w:tcBorders>
            <w:vAlign w:val="center"/>
          </w:tcPr>
          <w:p w14:paraId="5589E3EC">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tcBorders>
              <w:top w:val="double" w:color="auto" w:sz="6" w:space="0"/>
              <w:bottom w:val="single" w:color="auto" w:sz="6" w:space="0"/>
            </w:tcBorders>
            <w:vAlign w:val="center"/>
          </w:tcPr>
          <w:p w14:paraId="0B1F6087">
            <w:pPr>
              <w:pStyle w:val="192"/>
              <w:keepNext/>
              <w:spacing w:after="0" w:line="460" w:lineRule="atLeast"/>
              <w:ind w:left="63" w:right="63"/>
              <w:rPr>
                <w:rFonts w:hint="eastAsia" w:ascii="宋体" w:hAnsi="宋体" w:eastAsia="宋体" w:cs="宋体"/>
                <w:color w:val="000000" w:themeColor="text1"/>
                <w:sz w:val="21"/>
                <w:szCs w:val="21"/>
              </w:rPr>
            </w:pPr>
          </w:p>
        </w:tc>
      </w:tr>
      <w:tr w14:paraId="7DF9B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52EABEDD">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tcBorders>
              <w:top w:val="nil"/>
            </w:tcBorders>
            <w:vAlign w:val="center"/>
          </w:tcPr>
          <w:p w14:paraId="2296929F">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tcBorders>
              <w:top w:val="nil"/>
            </w:tcBorders>
            <w:vAlign w:val="center"/>
          </w:tcPr>
          <w:p w14:paraId="204F4AA7">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tcBorders>
              <w:top w:val="nil"/>
            </w:tcBorders>
            <w:vAlign w:val="center"/>
          </w:tcPr>
          <w:p w14:paraId="69B7835D">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nil"/>
            </w:tcBorders>
            <w:vAlign w:val="center"/>
          </w:tcPr>
          <w:p w14:paraId="060465EF">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tcBorders>
              <w:top w:val="nil"/>
            </w:tcBorders>
            <w:vAlign w:val="center"/>
          </w:tcPr>
          <w:p w14:paraId="6301D5B4">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tcBorders>
              <w:top w:val="nil"/>
            </w:tcBorders>
            <w:vAlign w:val="center"/>
          </w:tcPr>
          <w:p w14:paraId="03A7372E">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tcBorders>
              <w:top w:val="nil"/>
            </w:tcBorders>
            <w:vAlign w:val="center"/>
          </w:tcPr>
          <w:p w14:paraId="0402C445">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tcBorders>
              <w:top w:val="nil"/>
            </w:tcBorders>
            <w:vAlign w:val="center"/>
          </w:tcPr>
          <w:p w14:paraId="0A92A50C">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tcBorders>
              <w:top w:val="nil"/>
            </w:tcBorders>
            <w:vAlign w:val="center"/>
          </w:tcPr>
          <w:p w14:paraId="2BF74582">
            <w:pPr>
              <w:pStyle w:val="192"/>
              <w:keepNext/>
              <w:spacing w:after="0" w:line="460" w:lineRule="atLeast"/>
              <w:ind w:left="63" w:right="63"/>
              <w:rPr>
                <w:rFonts w:hint="eastAsia" w:ascii="宋体" w:hAnsi="宋体" w:eastAsia="宋体" w:cs="宋体"/>
                <w:color w:val="000000" w:themeColor="text1"/>
                <w:sz w:val="21"/>
                <w:szCs w:val="21"/>
              </w:rPr>
            </w:pPr>
          </w:p>
        </w:tc>
      </w:tr>
      <w:tr w14:paraId="15388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ACD0E95">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vAlign w:val="center"/>
          </w:tcPr>
          <w:p w14:paraId="02A0E843">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vAlign w:val="center"/>
          </w:tcPr>
          <w:p w14:paraId="20A642FC">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vAlign w:val="center"/>
          </w:tcPr>
          <w:p w14:paraId="3D0DA68E">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25522AE4">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vAlign w:val="center"/>
          </w:tcPr>
          <w:p w14:paraId="3E77AFD4">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28592D77">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67E2652F">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vAlign w:val="center"/>
          </w:tcPr>
          <w:p w14:paraId="21752242">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587E28E7">
            <w:pPr>
              <w:pStyle w:val="192"/>
              <w:keepNext/>
              <w:spacing w:after="0" w:line="460" w:lineRule="atLeast"/>
              <w:ind w:left="63" w:right="63"/>
              <w:rPr>
                <w:rFonts w:hint="eastAsia" w:ascii="宋体" w:hAnsi="宋体" w:eastAsia="宋体" w:cs="宋体"/>
                <w:color w:val="000000" w:themeColor="text1"/>
                <w:sz w:val="21"/>
                <w:szCs w:val="21"/>
              </w:rPr>
            </w:pPr>
          </w:p>
        </w:tc>
      </w:tr>
      <w:tr w14:paraId="6307C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B8CB577">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vAlign w:val="center"/>
          </w:tcPr>
          <w:p w14:paraId="342E7F27">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vAlign w:val="center"/>
          </w:tcPr>
          <w:p w14:paraId="7FE50542">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vAlign w:val="center"/>
          </w:tcPr>
          <w:p w14:paraId="52284512">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1ABBFD03">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vAlign w:val="center"/>
          </w:tcPr>
          <w:p w14:paraId="52CEDC2B">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158BE4B2">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3D393D90">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vAlign w:val="center"/>
          </w:tcPr>
          <w:p w14:paraId="57B37C42">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60BCEE82">
            <w:pPr>
              <w:pStyle w:val="192"/>
              <w:keepNext/>
              <w:spacing w:after="0" w:line="460" w:lineRule="atLeast"/>
              <w:ind w:left="63" w:right="63"/>
              <w:rPr>
                <w:rFonts w:hint="eastAsia" w:ascii="宋体" w:hAnsi="宋体" w:eastAsia="宋体" w:cs="宋体"/>
                <w:color w:val="000000" w:themeColor="text1"/>
                <w:sz w:val="21"/>
                <w:szCs w:val="21"/>
              </w:rPr>
            </w:pPr>
          </w:p>
        </w:tc>
      </w:tr>
      <w:tr w14:paraId="46119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C0145DE">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vAlign w:val="center"/>
          </w:tcPr>
          <w:p w14:paraId="128267D0">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vAlign w:val="center"/>
          </w:tcPr>
          <w:p w14:paraId="264AD52B">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vAlign w:val="center"/>
          </w:tcPr>
          <w:p w14:paraId="12AA2F15">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122C3305">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vAlign w:val="center"/>
          </w:tcPr>
          <w:p w14:paraId="24EC7C55">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385D5DB0">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469ED854">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vAlign w:val="center"/>
          </w:tcPr>
          <w:p w14:paraId="15A04875">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7EAD6E97">
            <w:pPr>
              <w:pStyle w:val="192"/>
              <w:keepNext/>
              <w:spacing w:after="0" w:line="460" w:lineRule="atLeast"/>
              <w:ind w:left="63" w:right="63"/>
              <w:rPr>
                <w:rFonts w:hint="eastAsia" w:ascii="宋体" w:hAnsi="宋体" w:eastAsia="宋体" w:cs="宋体"/>
                <w:color w:val="000000" w:themeColor="text1"/>
                <w:sz w:val="21"/>
                <w:szCs w:val="21"/>
              </w:rPr>
            </w:pPr>
          </w:p>
        </w:tc>
      </w:tr>
      <w:tr w14:paraId="09416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2A479E4">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vAlign w:val="center"/>
          </w:tcPr>
          <w:p w14:paraId="265E9792">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vAlign w:val="center"/>
          </w:tcPr>
          <w:p w14:paraId="37B1489B">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vAlign w:val="center"/>
          </w:tcPr>
          <w:p w14:paraId="1582416D">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457199E1">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vAlign w:val="center"/>
          </w:tcPr>
          <w:p w14:paraId="42CB2919">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6783BAEF">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25B9C332">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vAlign w:val="center"/>
          </w:tcPr>
          <w:p w14:paraId="42152C2A">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6E6760F7">
            <w:pPr>
              <w:pStyle w:val="192"/>
              <w:keepNext/>
              <w:spacing w:after="0" w:line="460" w:lineRule="atLeast"/>
              <w:ind w:left="63" w:right="63"/>
              <w:rPr>
                <w:rFonts w:hint="eastAsia" w:ascii="宋体" w:hAnsi="宋体" w:eastAsia="宋体" w:cs="宋体"/>
                <w:color w:val="000000" w:themeColor="text1"/>
                <w:sz w:val="21"/>
                <w:szCs w:val="21"/>
              </w:rPr>
            </w:pPr>
          </w:p>
        </w:tc>
      </w:tr>
      <w:tr w14:paraId="296E3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D4CB707">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vAlign w:val="center"/>
          </w:tcPr>
          <w:p w14:paraId="134DA351">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vAlign w:val="center"/>
          </w:tcPr>
          <w:p w14:paraId="7656E72D">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vAlign w:val="center"/>
          </w:tcPr>
          <w:p w14:paraId="2D939E9A">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5B5DF3C2">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vAlign w:val="center"/>
          </w:tcPr>
          <w:p w14:paraId="2892BE70">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0664BBA3">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1F7CAD51">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vAlign w:val="center"/>
          </w:tcPr>
          <w:p w14:paraId="41A1BBE6">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418E35F1">
            <w:pPr>
              <w:pStyle w:val="192"/>
              <w:keepNext/>
              <w:spacing w:after="0" w:line="460" w:lineRule="atLeast"/>
              <w:ind w:left="63" w:right="63"/>
              <w:rPr>
                <w:rFonts w:hint="eastAsia" w:ascii="宋体" w:hAnsi="宋体" w:eastAsia="宋体" w:cs="宋体"/>
                <w:color w:val="000000" w:themeColor="text1"/>
                <w:sz w:val="21"/>
                <w:szCs w:val="21"/>
              </w:rPr>
            </w:pPr>
          </w:p>
        </w:tc>
      </w:tr>
      <w:tr w14:paraId="7D398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A81A6C8">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vAlign w:val="center"/>
          </w:tcPr>
          <w:p w14:paraId="71ECC863">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vAlign w:val="center"/>
          </w:tcPr>
          <w:p w14:paraId="7BA1982D">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vAlign w:val="center"/>
          </w:tcPr>
          <w:p w14:paraId="6B9F4CBB">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22C6BA7B">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vAlign w:val="center"/>
          </w:tcPr>
          <w:p w14:paraId="7C9B68DD">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3E82E834">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0F3C8995">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vAlign w:val="center"/>
          </w:tcPr>
          <w:p w14:paraId="725CF722">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511768C2">
            <w:pPr>
              <w:pStyle w:val="192"/>
              <w:keepNext/>
              <w:spacing w:after="0" w:line="460" w:lineRule="atLeast"/>
              <w:ind w:left="63" w:right="63"/>
              <w:rPr>
                <w:rFonts w:hint="eastAsia" w:ascii="宋体" w:hAnsi="宋体" w:eastAsia="宋体" w:cs="宋体"/>
                <w:color w:val="000000" w:themeColor="text1"/>
                <w:sz w:val="21"/>
                <w:szCs w:val="21"/>
              </w:rPr>
            </w:pPr>
          </w:p>
        </w:tc>
      </w:tr>
      <w:tr w14:paraId="0679AD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E48871E">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435128EA">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141687B3">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7855EC58">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33328E4C">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7DFAEE5D">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468F7F1F">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688FEAEC">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6E2D8E32">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77882A5A">
            <w:pPr>
              <w:pStyle w:val="150"/>
              <w:spacing w:line="460" w:lineRule="atLeast"/>
              <w:jc w:val="center"/>
              <w:rPr>
                <w:rFonts w:hint="eastAsia" w:ascii="宋体" w:hAnsi="宋体" w:eastAsia="宋体" w:cs="宋体"/>
                <w:color w:val="000000" w:themeColor="text1"/>
                <w:szCs w:val="21"/>
              </w:rPr>
            </w:pPr>
          </w:p>
        </w:tc>
      </w:tr>
      <w:tr w14:paraId="32EE2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4561227">
            <w:pPr>
              <w:pStyle w:val="192"/>
              <w:keepNext/>
              <w:spacing w:after="0" w:line="460" w:lineRule="atLeast"/>
              <w:ind w:left="63" w:right="63"/>
              <w:rPr>
                <w:rFonts w:hint="eastAsia" w:ascii="宋体" w:hAnsi="宋体" w:eastAsia="宋体" w:cs="宋体"/>
                <w:color w:val="000000" w:themeColor="text1"/>
                <w:sz w:val="21"/>
                <w:szCs w:val="21"/>
              </w:rPr>
            </w:pPr>
          </w:p>
        </w:tc>
        <w:tc>
          <w:tcPr>
            <w:tcW w:w="1276" w:type="dxa"/>
            <w:vAlign w:val="center"/>
          </w:tcPr>
          <w:p w14:paraId="2D177405">
            <w:pPr>
              <w:pStyle w:val="192"/>
              <w:keepNext/>
              <w:spacing w:after="0" w:line="460" w:lineRule="atLeast"/>
              <w:ind w:left="63" w:right="63"/>
              <w:rPr>
                <w:rFonts w:hint="eastAsia" w:ascii="宋体" w:hAnsi="宋体" w:eastAsia="宋体" w:cs="宋体"/>
                <w:color w:val="000000" w:themeColor="text1"/>
                <w:sz w:val="21"/>
                <w:szCs w:val="21"/>
              </w:rPr>
            </w:pPr>
          </w:p>
        </w:tc>
        <w:tc>
          <w:tcPr>
            <w:tcW w:w="1418" w:type="dxa"/>
            <w:vAlign w:val="center"/>
          </w:tcPr>
          <w:p w14:paraId="7781F103">
            <w:pPr>
              <w:pStyle w:val="192"/>
              <w:keepNext/>
              <w:spacing w:after="0" w:line="460" w:lineRule="atLeast"/>
              <w:ind w:left="63" w:right="63"/>
              <w:rPr>
                <w:rFonts w:hint="eastAsia" w:ascii="宋体" w:hAnsi="宋体" w:eastAsia="宋体" w:cs="宋体"/>
                <w:color w:val="000000" w:themeColor="text1"/>
                <w:sz w:val="21"/>
                <w:szCs w:val="21"/>
              </w:rPr>
            </w:pPr>
          </w:p>
        </w:tc>
        <w:tc>
          <w:tcPr>
            <w:tcW w:w="940" w:type="dxa"/>
            <w:vAlign w:val="center"/>
          </w:tcPr>
          <w:p w14:paraId="2248461E">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123F0F3B">
            <w:pPr>
              <w:pStyle w:val="192"/>
              <w:keepNext/>
              <w:spacing w:after="0" w:line="460" w:lineRule="atLeast"/>
              <w:ind w:left="63" w:right="63"/>
              <w:rPr>
                <w:rFonts w:hint="eastAsia" w:ascii="宋体" w:hAnsi="宋体" w:eastAsia="宋体" w:cs="宋体"/>
                <w:color w:val="000000" w:themeColor="text1"/>
                <w:sz w:val="21"/>
                <w:szCs w:val="21"/>
              </w:rPr>
            </w:pPr>
          </w:p>
        </w:tc>
        <w:tc>
          <w:tcPr>
            <w:tcW w:w="1044" w:type="dxa"/>
            <w:vAlign w:val="center"/>
          </w:tcPr>
          <w:p w14:paraId="35A5DC4C">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414F836C">
            <w:pPr>
              <w:pStyle w:val="192"/>
              <w:keepNext/>
              <w:spacing w:after="0" w:line="460" w:lineRule="atLeast"/>
              <w:ind w:left="63" w:right="63"/>
              <w:rPr>
                <w:rFonts w:hint="eastAsia" w:ascii="宋体" w:hAnsi="宋体" w:eastAsia="宋体" w:cs="宋体"/>
                <w:color w:val="000000" w:themeColor="text1"/>
                <w:sz w:val="21"/>
                <w:szCs w:val="21"/>
              </w:rPr>
            </w:pPr>
          </w:p>
        </w:tc>
        <w:tc>
          <w:tcPr>
            <w:tcW w:w="851" w:type="dxa"/>
            <w:vAlign w:val="center"/>
          </w:tcPr>
          <w:p w14:paraId="1ADF475A">
            <w:pPr>
              <w:pStyle w:val="192"/>
              <w:keepNext/>
              <w:spacing w:after="0" w:line="460" w:lineRule="atLeast"/>
              <w:ind w:left="63" w:right="63"/>
              <w:rPr>
                <w:rFonts w:hint="eastAsia" w:ascii="宋体" w:hAnsi="宋体" w:eastAsia="宋体" w:cs="宋体"/>
                <w:color w:val="000000" w:themeColor="text1"/>
                <w:sz w:val="21"/>
                <w:szCs w:val="21"/>
              </w:rPr>
            </w:pPr>
          </w:p>
        </w:tc>
        <w:tc>
          <w:tcPr>
            <w:tcW w:w="1487" w:type="dxa"/>
            <w:vAlign w:val="center"/>
          </w:tcPr>
          <w:p w14:paraId="3E687DF8">
            <w:pPr>
              <w:pStyle w:val="192"/>
              <w:keepNext/>
              <w:spacing w:after="0" w:line="460" w:lineRule="atLeast"/>
              <w:ind w:left="63" w:right="63"/>
              <w:rPr>
                <w:rFonts w:hint="eastAsia" w:ascii="宋体" w:hAnsi="宋体" w:eastAsia="宋体" w:cs="宋体"/>
                <w:color w:val="000000" w:themeColor="text1"/>
                <w:sz w:val="21"/>
                <w:szCs w:val="21"/>
              </w:rPr>
            </w:pPr>
          </w:p>
        </w:tc>
        <w:tc>
          <w:tcPr>
            <w:tcW w:w="992" w:type="dxa"/>
            <w:vAlign w:val="center"/>
          </w:tcPr>
          <w:p w14:paraId="4DA75FD7">
            <w:pPr>
              <w:pStyle w:val="192"/>
              <w:keepNext/>
              <w:spacing w:after="0" w:line="460" w:lineRule="atLeast"/>
              <w:ind w:left="63" w:right="63"/>
              <w:rPr>
                <w:rFonts w:hint="eastAsia" w:ascii="宋体" w:hAnsi="宋体" w:eastAsia="宋体" w:cs="宋体"/>
                <w:color w:val="000000" w:themeColor="text1"/>
                <w:sz w:val="21"/>
                <w:szCs w:val="21"/>
              </w:rPr>
            </w:pPr>
          </w:p>
        </w:tc>
      </w:tr>
      <w:tr w14:paraId="46BD6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DF3DD35">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3AA443A1">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119353FB">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52B164CF">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26EB7B78">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129F7DB7">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1DFEC4FE">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1C862073">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6CA4B5C8">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5F8696FE">
            <w:pPr>
              <w:pStyle w:val="150"/>
              <w:spacing w:line="460" w:lineRule="atLeast"/>
              <w:jc w:val="center"/>
              <w:rPr>
                <w:rFonts w:hint="eastAsia" w:ascii="宋体" w:hAnsi="宋体" w:eastAsia="宋体" w:cs="宋体"/>
                <w:color w:val="000000" w:themeColor="text1"/>
                <w:szCs w:val="21"/>
              </w:rPr>
            </w:pPr>
          </w:p>
        </w:tc>
      </w:tr>
      <w:tr w14:paraId="364DD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0C27A0C">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7DCED3B2">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26C8AEE6">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5A28ECF1">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29BFAB6A">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64CBCFBB">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136F3A3A">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12CFCD58">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4311EE64">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113F0B45">
            <w:pPr>
              <w:pStyle w:val="150"/>
              <w:spacing w:line="460" w:lineRule="atLeast"/>
              <w:jc w:val="center"/>
              <w:rPr>
                <w:rFonts w:hint="eastAsia" w:ascii="宋体" w:hAnsi="宋体" w:eastAsia="宋体" w:cs="宋体"/>
                <w:color w:val="000000" w:themeColor="text1"/>
                <w:szCs w:val="21"/>
              </w:rPr>
            </w:pPr>
          </w:p>
        </w:tc>
      </w:tr>
      <w:tr w14:paraId="2D2EF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012D7BBB">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7DE88B8B">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6529ADEC">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6F83A67A">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58195C3A">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2486F4D7">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14EB162A">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31777FDD">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1CA1A40B">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7AF952FC">
            <w:pPr>
              <w:pStyle w:val="150"/>
              <w:spacing w:line="460" w:lineRule="atLeast"/>
              <w:jc w:val="center"/>
              <w:rPr>
                <w:rFonts w:hint="eastAsia" w:ascii="宋体" w:hAnsi="宋体" w:eastAsia="宋体" w:cs="宋体"/>
                <w:color w:val="000000" w:themeColor="text1"/>
                <w:szCs w:val="21"/>
              </w:rPr>
            </w:pPr>
          </w:p>
        </w:tc>
      </w:tr>
      <w:tr w14:paraId="1CAF4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6C3CF2B3">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5E29E434">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066F1057">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24E2BA68">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0B72D979">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18D80A58">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6D1A7A35">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0601E9E8">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30A42891">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6800BF63">
            <w:pPr>
              <w:pStyle w:val="150"/>
              <w:spacing w:line="460" w:lineRule="atLeast"/>
              <w:jc w:val="center"/>
              <w:rPr>
                <w:rFonts w:hint="eastAsia" w:ascii="宋体" w:hAnsi="宋体" w:eastAsia="宋体" w:cs="宋体"/>
                <w:color w:val="000000" w:themeColor="text1"/>
                <w:szCs w:val="21"/>
              </w:rPr>
            </w:pPr>
          </w:p>
        </w:tc>
      </w:tr>
      <w:tr w14:paraId="0436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0A0225A">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45F4C784">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1975B223">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2AC7FCE2">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24395E36">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6B85419C">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29126F22">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100D9927">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34E5074B">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78D01FE4">
            <w:pPr>
              <w:pStyle w:val="150"/>
              <w:spacing w:line="460" w:lineRule="atLeast"/>
              <w:jc w:val="center"/>
              <w:rPr>
                <w:rFonts w:hint="eastAsia" w:ascii="宋体" w:hAnsi="宋体" w:eastAsia="宋体" w:cs="宋体"/>
                <w:color w:val="000000" w:themeColor="text1"/>
                <w:szCs w:val="21"/>
              </w:rPr>
            </w:pPr>
          </w:p>
        </w:tc>
      </w:tr>
      <w:tr w14:paraId="6D0D6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956364C">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61A5D6AC">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78523963">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070E9731">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5BF7874D">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0992D6D6">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53DD6AE9">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40A6D27F">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1124C8FF">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680B665B">
            <w:pPr>
              <w:pStyle w:val="150"/>
              <w:spacing w:line="460" w:lineRule="atLeast"/>
              <w:jc w:val="center"/>
              <w:rPr>
                <w:rFonts w:hint="eastAsia" w:ascii="宋体" w:hAnsi="宋体" w:eastAsia="宋体" w:cs="宋体"/>
                <w:color w:val="000000" w:themeColor="text1"/>
                <w:szCs w:val="21"/>
              </w:rPr>
            </w:pPr>
          </w:p>
        </w:tc>
      </w:tr>
      <w:tr w14:paraId="243D6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1E05AE1">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581E6601">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45A12A62">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27FAB666">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68A94189">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7FC25B77">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7858A64B">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5653754B">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1E0CF024">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73D23E76">
            <w:pPr>
              <w:pStyle w:val="150"/>
              <w:spacing w:line="460" w:lineRule="atLeast"/>
              <w:jc w:val="center"/>
              <w:rPr>
                <w:rFonts w:hint="eastAsia" w:ascii="宋体" w:hAnsi="宋体" w:eastAsia="宋体" w:cs="宋体"/>
                <w:color w:val="000000" w:themeColor="text1"/>
                <w:szCs w:val="21"/>
              </w:rPr>
            </w:pPr>
          </w:p>
        </w:tc>
      </w:tr>
      <w:tr w14:paraId="40B1F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45568D8">
            <w:pPr>
              <w:pStyle w:val="150"/>
              <w:spacing w:line="460" w:lineRule="atLeast"/>
              <w:jc w:val="center"/>
              <w:rPr>
                <w:rFonts w:hint="eastAsia" w:ascii="宋体" w:hAnsi="宋体" w:eastAsia="宋体" w:cs="宋体"/>
                <w:color w:val="000000" w:themeColor="text1"/>
                <w:szCs w:val="21"/>
              </w:rPr>
            </w:pPr>
          </w:p>
        </w:tc>
        <w:tc>
          <w:tcPr>
            <w:tcW w:w="1276" w:type="dxa"/>
            <w:vAlign w:val="center"/>
          </w:tcPr>
          <w:p w14:paraId="63ABB995">
            <w:pPr>
              <w:pStyle w:val="150"/>
              <w:spacing w:line="460" w:lineRule="atLeast"/>
              <w:jc w:val="center"/>
              <w:rPr>
                <w:rFonts w:hint="eastAsia" w:ascii="宋体" w:hAnsi="宋体" w:eastAsia="宋体" w:cs="宋体"/>
                <w:color w:val="000000" w:themeColor="text1"/>
                <w:szCs w:val="21"/>
              </w:rPr>
            </w:pPr>
          </w:p>
        </w:tc>
        <w:tc>
          <w:tcPr>
            <w:tcW w:w="1418" w:type="dxa"/>
            <w:vAlign w:val="center"/>
          </w:tcPr>
          <w:p w14:paraId="57BC983F">
            <w:pPr>
              <w:pStyle w:val="150"/>
              <w:spacing w:line="460" w:lineRule="atLeast"/>
              <w:jc w:val="center"/>
              <w:rPr>
                <w:rFonts w:hint="eastAsia" w:ascii="宋体" w:hAnsi="宋体" w:eastAsia="宋体" w:cs="宋体"/>
                <w:color w:val="000000" w:themeColor="text1"/>
                <w:szCs w:val="21"/>
              </w:rPr>
            </w:pPr>
          </w:p>
        </w:tc>
        <w:tc>
          <w:tcPr>
            <w:tcW w:w="940" w:type="dxa"/>
            <w:vAlign w:val="center"/>
          </w:tcPr>
          <w:p w14:paraId="03A938DB">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36FFB8BD">
            <w:pPr>
              <w:pStyle w:val="150"/>
              <w:spacing w:line="460" w:lineRule="atLeast"/>
              <w:jc w:val="center"/>
              <w:rPr>
                <w:rFonts w:hint="eastAsia" w:ascii="宋体" w:hAnsi="宋体" w:eastAsia="宋体" w:cs="宋体"/>
                <w:color w:val="000000" w:themeColor="text1"/>
                <w:szCs w:val="21"/>
              </w:rPr>
            </w:pPr>
          </w:p>
        </w:tc>
        <w:tc>
          <w:tcPr>
            <w:tcW w:w="1044" w:type="dxa"/>
            <w:vAlign w:val="center"/>
          </w:tcPr>
          <w:p w14:paraId="52F75246">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17540FDF">
            <w:pPr>
              <w:pStyle w:val="150"/>
              <w:spacing w:line="460" w:lineRule="atLeast"/>
              <w:jc w:val="center"/>
              <w:rPr>
                <w:rFonts w:hint="eastAsia" w:ascii="宋体" w:hAnsi="宋体" w:eastAsia="宋体" w:cs="宋体"/>
                <w:color w:val="000000" w:themeColor="text1"/>
                <w:szCs w:val="21"/>
              </w:rPr>
            </w:pPr>
          </w:p>
        </w:tc>
        <w:tc>
          <w:tcPr>
            <w:tcW w:w="851" w:type="dxa"/>
            <w:vAlign w:val="center"/>
          </w:tcPr>
          <w:p w14:paraId="4BB3123F">
            <w:pPr>
              <w:pStyle w:val="150"/>
              <w:spacing w:line="460" w:lineRule="atLeast"/>
              <w:jc w:val="center"/>
              <w:rPr>
                <w:rFonts w:hint="eastAsia" w:ascii="宋体" w:hAnsi="宋体" w:eastAsia="宋体" w:cs="宋体"/>
                <w:color w:val="000000" w:themeColor="text1"/>
                <w:szCs w:val="21"/>
              </w:rPr>
            </w:pPr>
          </w:p>
        </w:tc>
        <w:tc>
          <w:tcPr>
            <w:tcW w:w="1487" w:type="dxa"/>
            <w:vAlign w:val="center"/>
          </w:tcPr>
          <w:p w14:paraId="13EE2005">
            <w:pPr>
              <w:pStyle w:val="150"/>
              <w:spacing w:line="460" w:lineRule="atLeast"/>
              <w:jc w:val="center"/>
              <w:rPr>
                <w:rFonts w:hint="eastAsia" w:ascii="宋体" w:hAnsi="宋体" w:eastAsia="宋体" w:cs="宋体"/>
                <w:color w:val="000000" w:themeColor="text1"/>
                <w:szCs w:val="21"/>
              </w:rPr>
            </w:pPr>
          </w:p>
        </w:tc>
        <w:tc>
          <w:tcPr>
            <w:tcW w:w="992" w:type="dxa"/>
            <w:vAlign w:val="center"/>
          </w:tcPr>
          <w:p w14:paraId="449536B6">
            <w:pPr>
              <w:pStyle w:val="150"/>
              <w:spacing w:line="460" w:lineRule="atLeast"/>
              <w:jc w:val="center"/>
              <w:rPr>
                <w:rFonts w:hint="eastAsia" w:ascii="宋体" w:hAnsi="宋体" w:eastAsia="宋体" w:cs="宋体"/>
                <w:color w:val="000000" w:themeColor="text1"/>
                <w:szCs w:val="21"/>
              </w:rPr>
            </w:pPr>
          </w:p>
        </w:tc>
      </w:tr>
    </w:tbl>
    <w:p w14:paraId="32E0CF96">
      <w:pPr>
        <w:pStyle w:val="150"/>
        <w:spacing w:line="460" w:lineRule="atLeast"/>
        <w:rPr>
          <w:rFonts w:hint="eastAsia" w:ascii="宋体" w:hAnsi="宋体" w:eastAsia="宋体" w:cs="宋体"/>
          <w:color w:val="000000" w:themeColor="text1"/>
          <w:szCs w:val="21"/>
        </w:rPr>
      </w:pPr>
    </w:p>
    <w:p w14:paraId="1D7D23E7">
      <w:pPr>
        <w:pStyle w:val="150"/>
        <w:spacing w:line="460" w:lineRule="atLeast"/>
        <w:rPr>
          <w:rFonts w:hint="eastAsia" w:ascii="宋体" w:hAnsi="宋体" w:eastAsia="宋体" w:cs="宋体"/>
          <w:color w:val="000000" w:themeColor="text1"/>
          <w:szCs w:val="21"/>
        </w:rPr>
      </w:pPr>
    </w:p>
    <w:p w14:paraId="061917B3">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附</w:t>
      </w:r>
      <w:bookmarkStart w:id="1569" w:name="_Toc296347225"/>
      <w:bookmarkStart w:id="1570" w:name="_Toc296944565"/>
      <w:bookmarkStart w:id="1571" w:name="_Toc296891054"/>
      <w:bookmarkStart w:id="1572" w:name="_Toc296503226"/>
      <w:bookmarkStart w:id="1573" w:name="_Toc296891266"/>
      <w:bookmarkStart w:id="1574" w:name="_Toc296346727"/>
      <w:bookmarkStart w:id="1575" w:name="_Toc267261693"/>
      <w:r>
        <w:rPr>
          <w:rFonts w:hint="eastAsia" w:ascii="宋体" w:hAnsi="宋体" w:eastAsia="宋体" w:cs="宋体"/>
          <w:color w:val="000000" w:themeColor="text1"/>
          <w:szCs w:val="21"/>
        </w:rPr>
        <w:t>件3：</w:t>
      </w:r>
      <w:bookmarkEnd w:id="1569"/>
      <w:bookmarkEnd w:id="1570"/>
      <w:bookmarkEnd w:id="1571"/>
      <w:bookmarkEnd w:id="1572"/>
      <w:bookmarkEnd w:id="1573"/>
      <w:bookmarkEnd w:id="1574"/>
      <w:bookmarkEnd w:id="1575"/>
      <w:r>
        <w:rPr>
          <w:rFonts w:hint="eastAsia" w:ascii="宋体" w:hAnsi="宋体" w:eastAsia="宋体" w:cs="宋体"/>
          <w:color w:val="000000" w:themeColor="text1"/>
          <w:szCs w:val="21"/>
        </w:rPr>
        <w:t xml:space="preserve">    </w:t>
      </w:r>
    </w:p>
    <w:p w14:paraId="323A588B">
      <w:pPr>
        <w:pStyle w:val="150"/>
        <w:spacing w:beforeLines="50" w:afterLines="50" w:line="460" w:lineRule="atLeast"/>
        <w:jc w:val="center"/>
        <w:rPr>
          <w:rFonts w:hint="eastAsia" w:ascii="宋体" w:hAnsi="宋体" w:cs="宋体"/>
          <w:color w:val="000000" w:themeColor="text1"/>
          <w:szCs w:val="21"/>
        </w:rPr>
      </w:pPr>
      <w:bookmarkStart w:id="1576" w:name="_Toc267261701"/>
      <w:r>
        <w:rPr>
          <w:rFonts w:hint="eastAsia" w:ascii="宋体" w:hAnsi="宋体" w:cs="宋体"/>
          <w:color w:val="000000" w:themeColor="text1"/>
          <w:szCs w:val="21"/>
        </w:rPr>
        <w:t>工程质量保修书</w:t>
      </w:r>
    </w:p>
    <w:p w14:paraId="4505F3B7">
      <w:pPr>
        <w:pStyle w:val="150"/>
        <w:spacing w:line="460" w:lineRule="atLeast"/>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发包人（全称）：</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w:t>
      </w:r>
    </w:p>
    <w:p w14:paraId="77BBA951">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　　承包人（全称）：</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w:t>
      </w:r>
    </w:p>
    <w:p w14:paraId="5C697348">
      <w:pPr>
        <w:pStyle w:val="150"/>
        <w:spacing w:line="460" w:lineRule="atLeast"/>
        <w:rPr>
          <w:rFonts w:hint="eastAsia" w:ascii="宋体" w:hAnsi="宋体" w:cs="宋体"/>
          <w:color w:val="000000" w:themeColor="text1"/>
          <w:szCs w:val="21"/>
        </w:rPr>
      </w:pPr>
    </w:p>
    <w:p w14:paraId="20AFBDD2">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　　发包人和承包人根据《中华人民共和国建筑法》和《建设工程质量管理条例》，经协商一致就</w:t>
      </w:r>
      <w:r>
        <w:rPr>
          <w:rFonts w:hint="eastAsia" w:ascii="宋体" w:hAnsi="宋体" w:cs="宋体"/>
          <w:color w:val="000000" w:themeColor="text1"/>
          <w:szCs w:val="21"/>
          <w:u w:val="single"/>
          <w:lang w:eastAsia="zh-CN"/>
        </w:rPr>
        <w:t>实训大楼二期装修工程项目</w:t>
      </w:r>
      <w:r>
        <w:rPr>
          <w:rFonts w:hint="eastAsia" w:ascii="宋体" w:hAnsi="宋体" w:cs="宋体"/>
          <w:color w:val="000000" w:themeColor="text1"/>
          <w:szCs w:val="21"/>
        </w:rPr>
        <w:t>签订工程质量保修书。</w:t>
      </w:r>
    </w:p>
    <w:p w14:paraId="64BEE80A">
      <w:pPr>
        <w:pStyle w:val="150"/>
        <w:spacing w:line="460" w:lineRule="atLeast"/>
        <w:outlineLvl w:val="0"/>
        <w:rPr>
          <w:rFonts w:hint="eastAsia" w:ascii="宋体" w:hAnsi="宋体" w:cs="宋体"/>
          <w:color w:val="000000" w:themeColor="text1"/>
          <w:szCs w:val="21"/>
        </w:rPr>
      </w:pPr>
      <w:r>
        <w:rPr>
          <w:rFonts w:hint="eastAsia" w:ascii="宋体" w:hAnsi="宋体" w:cs="宋体"/>
          <w:color w:val="000000" w:themeColor="text1"/>
          <w:szCs w:val="21"/>
        </w:rPr>
        <w:t>　　</w:t>
      </w:r>
      <w:bookmarkStart w:id="1577" w:name="_Toc4370"/>
      <w:bookmarkStart w:id="1578" w:name="_Toc5360"/>
      <w:bookmarkStart w:id="1579" w:name="_Toc13775"/>
      <w:bookmarkStart w:id="1580" w:name="_Toc17510"/>
      <w:bookmarkStart w:id="1581" w:name="_Toc28844"/>
      <w:bookmarkStart w:id="1582" w:name="_Toc18574510"/>
      <w:bookmarkStart w:id="1583" w:name="_Toc8562"/>
      <w:bookmarkStart w:id="1584" w:name="_Toc16106"/>
      <w:r>
        <w:rPr>
          <w:rFonts w:hint="eastAsia" w:ascii="宋体" w:hAnsi="宋体" w:cs="宋体"/>
          <w:color w:val="000000" w:themeColor="text1"/>
          <w:szCs w:val="21"/>
        </w:rPr>
        <w:t>一、工程质量保修范围和内容</w:t>
      </w:r>
      <w:bookmarkEnd w:id="1577"/>
      <w:bookmarkEnd w:id="1578"/>
      <w:bookmarkEnd w:id="1579"/>
      <w:bookmarkEnd w:id="1580"/>
      <w:bookmarkEnd w:id="1581"/>
      <w:bookmarkEnd w:id="1582"/>
      <w:bookmarkEnd w:id="1583"/>
      <w:bookmarkEnd w:id="1584"/>
    </w:p>
    <w:p w14:paraId="4B0F037C">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　　承包人在质量保修期内，按照有关法律规定和合同约定，承担工程质量保修责任。</w:t>
      </w:r>
    </w:p>
    <w:p w14:paraId="1952198D">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45E0FC7">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　　</w:t>
      </w:r>
      <w:r>
        <w:rPr>
          <w:rFonts w:hint="eastAsia" w:ascii="宋体" w:hAnsi="宋体" w:cs="宋体"/>
          <w:color w:val="000000" w:themeColor="text1"/>
          <w:szCs w:val="21"/>
          <w:u w:val="single"/>
        </w:rPr>
        <w:t>在承包人承包范围内,属承包人责任造成的工程质量问题,由承包人承担保修责任</w:t>
      </w:r>
      <w:r>
        <w:rPr>
          <w:rFonts w:hint="eastAsia" w:ascii="宋体" w:hAnsi="宋体" w:cs="宋体"/>
          <w:color w:val="000000" w:themeColor="text1"/>
          <w:szCs w:val="21"/>
        </w:rPr>
        <w:t>。</w:t>
      </w:r>
    </w:p>
    <w:p w14:paraId="3463621B">
      <w:pPr>
        <w:pStyle w:val="150"/>
        <w:spacing w:line="460" w:lineRule="atLeast"/>
        <w:outlineLvl w:val="0"/>
        <w:rPr>
          <w:rFonts w:hint="eastAsia" w:ascii="宋体" w:hAnsi="宋体" w:cs="宋体"/>
          <w:color w:val="000000" w:themeColor="text1"/>
          <w:szCs w:val="21"/>
        </w:rPr>
      </w:pPr>
      <w:r>
        <w:rPr>
          <w:rFonts w:hint="eastAsia" w:ascii="宋体" w:hAnsi="宋体" w:cs="宋体"/>
          <w:b/>
          <w:color w:val="000000" w:themeColor="text1"/>
          <w:szCs w:val="21"/>
        </w:rPr>
        <w:t>　　</w:t>
      </w:r>
      <w:bookmarkStart w:id="1585" w:name="_Toc18574511"/>
      <w:bookmarkStart w:id="1586" w:name="_Toc13699"/>
      <w:bookmarkStart w:id="1587" w:name="_Toc2354"/>
      <w:bookmarkStart w:id="1588" w:name="_Toc23306"/>
      <w:bookmarkStart w:id="1589" w:name="_Toc28404"/>
      <w:bookmarkStart w:id="1590" w:name="_Toc11160"/>
      <w:bookmarkStart w:id="1591" w:name="_Toc3084"/>
      <w:bookmarkStart w:id="1592" w:name="_Toc9948"/>
      <w:r>
        <w:rPr>
          <w:rFonts w:hint="eastAsia" w:ascii="宋体" w:hAnsi="宋体" w:cs="宋体"/>
          <w:color w:val="000000" w:themeColor="text1"/>
          <w:szCs w:val="21"/>
        </w:rPr>
        <w:t>二、质量保修期</w:t>
      </w:r>
      <w:bookmarkEnd w:id="1585"/>
      <w:bookmarkEnd w:id="1586"/>
      <w:bookmarkEnd w:id="1587"/>
      <w:bookmarkEnd w:id="1588"/>
      <w:bookmarkEnd w:id="1589"/>
      <w:bookmarkEnd w:id="1590"/>
      <w:bookmarkEnd w:id="1591"/>
      <w:bookmarkEnd w:id="1592"/>
    </w:p>
    <w:p w14:paraId="0C86DE44">
      <w:pPr>
        <w:pStyle w:val="150"/>
        <w:spacing w:line="460" w:lineRule="atLeast"/>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根据《建设工程质量管理条例》及有关规定，工程的质量保修期如下：</w:t>
      </w:r>
    </w:p>
    <w:p w14:paraId="29ACC46D">
      <w:pPr>
        <w:pStyle w:val="150"/>
        <w:spacing w:line="460" w:lineRule="atLeast"/>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1．地基基础工程和主体结构工程为设计文件规定的工程合理使用年限；</w:t>
      </w:r>
    </w:p>
    <w:p w14:paraId="447980BD">
      <w:pPr>
        <w:pStyle w:val="150"/>
        <w:spacing w:line="460" w:lineRule="atLeast"/>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2．屋面防水工程、有防水要求的卫生间、房间和外墙面的防渗     为</w:t>
      </w:r>
      <w:r>
        <w:rPr>
          <w:rFonts w:hint="eastAsia" w:ascii="宋体" w:hAnsi="宋体" w:cs="宋体"/>
          <w:color w:val="000000" w:themeColor="text1"/>
          <w:szCs w:val="21"/>
          <w:u w:val="single"/>
        </w:rPr>
        <w:t xml:space="preserve">   5   </w:t>
      </w:r>
      <w:r>
        <w:rPr>
          <w:rFonts w:hint="eastAsia" w:ascii="宋体" w:hAnsi="宋体" w:cs="宋体"/>
          <w:color w:val="000000" w:themeColor="text1"/>
          <w:szCs w:val="21"/>
        </w:rPr>
        <w:t>年；</w:t>
      </w:r>
    </w:p>
    <w:p w14:paraId="5EDA069C">
      <w:pPr>
        <w:pStyle w:val="150"/>
        <w:spacing w:line="460" w:lineRule="atLeast"/>
        <w:ind w:left="420" w:leftChars="200" w:firstLine="105" w:firstLineChars="50"/>
        <w:rPr>
          <w:rFonts w:hint="eastAsia" w:ascii="宋体" w:hAnsi="宋体" w:cs="宋体"/>
          <w:color w:val="000000" w:themeColor="text1"/>
          <w:szCs w:val="21"/>
        </w:rPr>
      </w:pPr>
      <w:r>
        <w:rPr>
          <w:rFonts w:hint="eastAsia" w:ascii="宋体" w:hAnsi="宋体" w:cs="宋体"/>
          <w:color w:val="000000" w:themeColor="text1"/>
          <w:szCs w:val="21"/>
        </w:rPr>
        <w:t>3．装修工程为</w:t>
      </w:r>
      <w:r>
        <w:rPr>
          <w:rFonts w:hint="eastAsia" w:ascii="宋体" w:hAnsi="宋体" w:cs="宋体"/>
          <w:color w:val="000000" w:themeColor="text1"/>
          <w:szCs w:val="21"/>
          <w:u w:val="single"/>
        </w:rPr>
        <w:t xml:space="preserve">  2  </w:t>
      </w:r>
      <w:r>
        <w:rPr>
          <w:rFonts w:hint="eastAsia" w:ascii="宋体" w:hAnsi="宋体" w:cs="宋体"/>
          <w:color w:val="000000" w:themeColor="text1"/>
          <w:szCs w:val="21"/>
        </w:rPr>
        <w:t>年；</w:t>
      </w:r>
    </w:p>
    <w:p w14:paraId="4354D963">
      <w:pPr>
        <w:pStyle w:val="150"/>
        <w:spacing w:line="460" w:lineRule="atLeast"/>
        <w:ind w:left="420" w:leftChars="200" w:firstLine="105" w:firstLineChars="50"/>
        <w:rPr>
          <w:rFonts w:hint="eastAsia" w:ascii="宋体" w:hAnsi="宋体" w:cs="宋体"/>
          <w:color w:val="000000" w:themeColor="text1"/>
          <w:szCs w:val="21"/>
        </w:rPr>
      </w:pPr>
      <w:r>
        <w:rPr>
          <w:rFonts w:hint="eastAsia" w:ascii="宋体" w:hAnsi="宋体" w:cs="宋体"/>
          <w:color w:val="000000" w:themeColor="text1"/>
          <w:szCs w:val="21"/>
        </w:rPr>
        <w:t>4．电气管线、给排水管道、设备安装工程为</w:t>
      </w:r>
      <w:r>
        <w:rPr>
          <w:rFonts w:hint="eastAsia" w:ascii="宋体" w:hAnsi="宋体" w:cs="宋体"/>
          <w:color w:val="000000" w:themeColor="text1"/>
          <w:szCs w:val="21"/>
          <w:u w:val="single"/>
        </w:rPr>
        <w:t xml:space="preserve">  2  </w:t>
      </w:r>
      <w:r>
        <w:rPr>
          <w:rFonts w:hint="eastAsia" w:ascii="宋体" w:hAnsi="宋体" w:cs="宋体"/>
          <w:color w:val="000000" w:themeColor="text1"/>
          <w:szCs w:val="21"/>
        </w:rPr>
        <w:t>年；</w:t>
      </w:r>
    </w:p>
    <w:p w14:paraId="7E8EE149">
      <w:pPr>
        <w:pStyle w:val="150"/>
        <w:spacing w:line="460" w:lineRule="atLeast"/>
        <w:ind w:left="420" w:leftChars="200" w:firstLine="105" w:firstLineChars="50"/>
        <w:rPr>
          <w:rFonts w:hint="eastAsia" w:ascii="宋体" w:hAnsi="宋体" w:cs="宋体"/>
          <w:color w:val="000000" w:themeColor="text1"/>
          <w:szCs w:val="21"/>
        </w:rPr>
      </w:pPr>
      <w:r>
        <w:rPr>
          <w:rFonts w:hint="eastAsia" w:ascii="宋体" w:hAnsi="宋体" w:cs="宋体"/>
          <w:color w:val="000000" w:themeColor="text1"/>
          <w:szCs w:val="21"/>
        </w:rPr>
        <w:t>5．供热与供冷系统为</w:t>
      </w:r>
      <w:r>
        <w:rPr>
          <w:rFonts w:hint="eastAsia" w:ascii="宋体" w:hAnsi="宋体" w:cs="宋体"/>
          <w:color w:val="000000" w:themeColor="text1"/>
          <w:szCs w:val="21"/>
          <w:u w:val="single"/>
        </w:rPr>
        <w:t xml:space="preserve">  2 </w:t>
      </w:r>
      <w:r>
        <w:rPr>
          <w:rFonts w:hint="eastAsia" w:ascii="宋体" w:hAnsi="宋体" w:cs="宋体"/>
          <w:color w:val="000000" w:themeColor="text1"/>
          <w:szCs w:val="21"/>
        </w:rPr>
        <w:t>个采暖期、供冷期；</w:t>
      </w:r>
    </w:p>
    <w:p w14:paraId="0C35F0BB">
      <w:pPr>
        <w:pStyle w:val="150"/>
        <w:spacing w:line="460" w:lineRule="atLeast"/>
        <w:ind w:left="420" w:leftChars="200" w:firstLine="105" w:firstLineChars="50"/>
        <w:rPr>
          <w:rFonts w:hint="eastAsia" w:ascii="宋体" w:hAnsi="宋体" w:cs="宋体"/>
          <w:color w:val="000000" w:themeColor="text1"/>
          <w:szCs w:val="21"/>
        </w:rPr>
      </w:pPr>
      <w:r>
        <w:rPr>
          <w:rFonts w:hint="eastAsia" w:ascii="宋体" w:hAnsi="宋体" w:cs="宋体"/>
          <w:color w:val="000000" w:themeColor="text1"/>
          <w:szCs w:val="21"/>
        </w:rPr>
        <w:t>6．住宅小区内的给排水设施、道路等配套工程为</w:t>
      </w:r>
      <w:r>
        <w:rPr>
          <w:rFonts w:hint="eastAsia" w:ascii="宋体" w:hAnsi="宋体" w:cs="宋体"/>
          <w:color w:val="000000" w:themeColor="text1"/>
          <w:szCs w:val="21"/>
          <w:u w:val="single"/>
        </w:rPr>
        <w:t xml:space="preserve"> 2   </w:t>
      </w:r>
      <w:r>
        <w:rPr>
          <w:rFonts w:hint="eastAsia" w:ascii="宋体" w:hAnsi="宋体" w:cs="宋体"/>
          <w:color w:val="000000" w:themeColor="text1"/>
          <w:szCs w:val="21"/>
        </w:rPr>
        <w:t>年；</w:t>
      </w:r>
    </w:p>
    <w:p w14:paraId="7C0918EE">
      <w:pPr>
        <w:pStyle w:val="150"/>
        <w:spacing w:line="460" w:lineRule="atLeast"/>
        <w:ind w:left="420" w:leftChars="200" w:firstLine="105" w:firstLineChars="50"/>
        <w:rPr>
          <w:rFonts w:hint="eastAsia" w:ascii="宋体" w:hAnsi="宋体" w:cs="宋体"/>
          <w:color w:val="000000" w:themeColor="text1"/>
          <w:szCs w:val="21"/>
        </w:rPr>
      </w:pPr>
      <w:r>
        <w:rPr>
          <w:rFonts w:hint="eastAsia" w:ascii="宋体" w:hAnsi="宋体" w:cs="宋体"/>
          <w:color w:val="000000" w:themeColor="text1"/>
          <w:szCs w:val="21"/>
        </w:rPr>
        <w:t>7．其他项目保修期限约定如下：</w:t>
      </w:r>
    </w:p>
    <w:p w14:paraId="7E2771B5">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w:t>
      </w:r>
    </w:p>
    <w:p w14:paraId="635BF61D">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　　质量保修期自工程竣工验收合格之日起计算。</w:t>
      </w:r>
    </w:p>
    <w:p w14:paraId="5296D256">
      <w:pPr>
        <w:pStyle w:val="150"/>
        <w:spacing w:line="460" w:lineRule="atLeast"/>
        <w:ind w:firstLine="420" w:firstLineChars="200"/>
        <w:outlineLvl w:val="0"/>
        <w:rPr>
          <w:rFonts w:hint="eastAsia" w:ascii="宋体" w:hAnsi="宋体" w:cs="宋体"/>
          <w:color w:val="000000" w:themeColor="text1"/>
          <w:szCs w:val="21"/>
        </w:rPr>
      </w:pPr>
      <w:bookmarkStart w:id="1593" w:name="_Toc31276"/>
      <w:bookmarkStart w:id="1594" w:name="_Toc25627"/>
      <w:bookmarkStart w:id="1595" w:name="_Toc18574512"/>
      <w:bookmarkStart w:id="1596" w:name="_Toc15586"/>
      <w:bookmarkStart w:id="1597" w:name="_Toc13547"/>
      <w:bookmarkStart w:id="1598" w:name="_Toc12200"/>
      <w:bookmarkStart w:id="1599" w:name="_Toc25514"/>
      <w:bookmarkStart w:id="1600" w:name="_Toc21378"/>
      <w:r>
        <w:rPr>
          <w:rFonts w:hint="eastAsia" w:ascii="宋体" w:hAnsi="宋体" w:cs="宋体"/>
          <w:color w:val="000000" w:themeColor="text1"/>
          <w:szCs w:val="21"/>
        </w:rPr>
        <w:t>三、缺陷责任期</w:t>
      </w:r>
      <w:bookmarkEnd w:id="1593"/>
      <w:bookmarkEnd w:id="1594"/>
      <w:bookmarkEnd w:id="1595"/>
      <w:bookmarkEnd w:id="1596"/>
      <w:bookmarkEnd w:id="1597"/>
      <w:bookmarkEnd w:id="1598"/>
      <w:bookmarkEnd w:id="1599"/>
      <w:bookmarkEnd w:id="1600"/>
    </w:p>
    <w:p w14:paraId="26ABA711">
      <w:pPr>
        <w:pStyle w:val="150"/>
        <w:spacing w:line="460" w:lineRule="atLeast"/>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工程缺陷责任期为</w:t>
      </w:r>
      <w:r>
        <w:rPr>
          <w:rFonts w:hint="eastAsia" w:ascii="宋体" w:hAnsi="宋体" w:cs="宋体"/>
          <w:color w:val="000000" w:themeColor="text1"/>
          <w:szCs w:val="21"/>
          <w:u w:val="single"/>
        </w:rPr>
        <w:t xml:space="preserve">  24   </w:t>
      </w:r>
      <w:r>
        <w:rPr>
          <w:rFonts w:hint="eastAsia" w:ascii="宋体" w:hAnsi="宋体" w:cs="宋体"/>
          <w:color w:val="000000" w:themeColor="text1"/>
          <w:szCs w:val="21"/>
        </w:rPr>
        <w:t>个月，缺陷责任期自工程通过竣工验收之日起计算。单位工程先于全部工程进行验收，单位工程缺陷责任期自单位工程验收合格之日起算。</w:t>
      </w:r>
    </w:p>
    <w:p w14:paraId="0F30C414">
      <w:pPr>
        <w:pStyle w:val="150"/>
        <w:spacing w:line="460" w:lineRule="atLeast"/>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缺陷责任期终止后，发包人应退还剩余的质量保证金。</w:t>
      </w:r>
    </w:p>
    <w:p w14:paraId="3066A05F">
      <w:pPr>
        <w:pStyle w:val="150"/>
        <w:spacing w:line="460" w:lineRule="atLeast"/>
        <w:outlineLvl w:val="0"/>
        <w:rPr>
          <w:rFonts w:hint="eastAsia" w:ascii="宋体" w:hAnsi="宋体" w:cs="宋体"/>
          <w:color w:val="000000" w:themeColor="text1"/>
          <w:szCs w:val="21"/>
        </w:rPr>
      </w:pPr>
      <w:r>
        <w:rPr>
          <w:rFonts w:hint="eastAsia" w:ascii="宋体" w:hAnsi="宋体" w:cs="宋体"/>
          <w:color w:val="000000" w:themeColor="text1"/>
          <w:szCs w:val="21"/>
        </w:rPr>
        <w:t xml:space="preserve">    </w:t>
      </w:r>
      <w:bookmarkStart w:id="1601" w:name="_Toc9559"/>
      <w:bookmarkStart w:id="1602" w:name="_Toc18574513"/>
      <w:bookmarkStart w:id="1603" w:name="_Toc12239"/>
      <w:bookmarkStart w:id="1604" w:name="_Toc26670"/>
      <w:bookmarkStart w:id="1605" w:name="_Toc2776"/>
      <w:bookmarkStart w:id="1606" w:name="_Toc25580"/>
      <w:bookmarkStart w:id="1607" w:name="_Toc9424"/>
      <w:r>
        <w:rPr>
          <w:rFonts w:hint="eastAsia" w:ascii="宋体" w:hAnsi="宋体" w:cs="宋体"/>
          <w:color w:val="000000" w:themeColor="text1"/>
          <w:szCs w:val="21"/>
        </w:rPr>
        <w:t>四、质量保修责任</w:t>
      </w:r>
      <w:bookmarkEnd w:id="1601"/>
      <w:bookmarkEnd w:id="1602"/>
      <w:bookmarkEnd w:id="1603"/>
      <w:bookmarkEnd w:id="1604"/>
      <w:bookmarkEnd w:id="1605"/>
      <w:bookmarkEnd w:id="1606"/>
      <w:bookmarkEnd w:id="1607"/>
    </w:p>
    <w:p w14:paraId="551D60A9">
      <w:pPr>
        <w:pStyle w:val="150"/>
        <w:spacing w:line="460" w:lineRule="atLeast"/>
        <w:ind w:left="105" w:leftChars="50" w:firstLine="430" w:firstLineChars="205"/>
        <w:rPr>
          <w:rFonts w:hint="eastAsia" w:ascii="宋体" w:hAnsi="宋体" w:cs="宋体"/>
          <w:color w:val="000000" w:themeColor="text1"/>
          <w:szCs w:val="21"/>
        </w:rPr>
      </w:pPr>
      <w:r>
        <w:rPr>
          <w:rFonts w:hint="eastAsia" w:ascii="宋体" w:hAnsi="宋体" w:cs="宋体"/>
          <w:color w:val="000000" w:themeColor="text1"/>
          <w:szCs w:val="21"/>
        </w:rPr>
        <w:t>1．属于保修范围、内容的项目，承包人应当在接到保修通知之日起7天内派人保修。承包人不在约定期限内派人保修的，发包人可以委托他人修理。</w:t>
      </w:r>
    </w:p>
    <w:p w14:paraId="14E8E19B">
      <w:pPr>
        <w:pStyle w:val="150"/>
        <w:spacing w:line="460" w:lineRule="atLeast"/>
        <w:ind w:left="105" w:leftChars="50" w:firstLine="430" w:firstLineChars="205"/>
        <w:rPr>
          <w:rFonts w:hint="eastAsia" w:ascii="宋体" w:hAnsi="宋体" w:cs="宋体"/>
          <w:color w:val="000000" w:themeColor="text1"/>
          <w:szCs w:val="21"/>
        </w:rPr>
      </w:pPr>
      <w:r>
        <w:rPr>
          <w:rFonts w:hint="eastAsia" w:ascii="宋体" w:hAnsi="宋体" w:cs="宋体"/>
          <w:color w:val="000000" w:themeColor="text1"/>
          <w:szCs w:val="21"/>
        </w:rPr>
        <w:t>2．发生紧急事故需抢修的，承包人在接到事故通知后，应当立即到达事故现场抢修。</w:t>
      </w:r>
    </w:p>
    <w:p w14:paraId="4BE11639">
      <w:pPr>
        <w:pStyle w:val="150"/>
        <w:spacing w:line="460" w:lineRule="atLeast"/>
        <w:ind w:left="105" w:leftChars="50" w:firstLine="430" w:firstLineChars="205"/>
        <w:rPr>
          <w:rFonts w:hint="eastAsia" w:ascii="宋体" w:hAnsi="宋体" w:cs="宋体"/>
          <w:color w:val="000000" w:themeColor="text1"/>
          <w:szCs w:val="21"/>
        </w:rPr>
      </w:pPr>
      <w:r>
        <w:rPr>
          <w:rFonts w:hint="eastAsia" w:ascii="宋体" w:hAnsi="宋体" w:cs="宋体"/>
          <w:color w:val="000000" w:themeColor="text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C0631E6">
      <w:pPr>
        <w:pStyle w:val="150"/>
        <w:spacing w:line="460" w:lineRule="atLeast"/>
        <w:ind w:left="420" w:leftChars="200" w:firstLine="105" w:firstLineChars="50"/>
        <w:rPr>
          <w:rFonts w:hint="eastAsia" w:ascii="宋体" w:hAnsi="宋体" w:cs="宋体"/>
          <w:color w:val="000000" w:themeColor="text1"/>
          <w:szCs w:val="21"/>
        </w:rPr>
      </w:pPr>
      <w:r>
        <w:rPr>
          <w:rFonts w:hint="eastAsia" w:ascii="宋体" w:hAnsi="宋体" w:cs="宋体"/>
          <w:color w:val="000000" w:themeColor="text1"/>
          <w:szCs w:val="21"/>
        </w:rPr>
        <w:t>4．质量保修完成后，由发包人组织验收。</w:t>
      </w:r>
    </w:p>
    <w:p w14:paraId="3C59EBD7">
      <w:pPr>
        <w:pStyle w:val="150"/>
        <w:spacing w:line="460" w:lineRule="atLeast"/>
        <w:outlineLvl w:val="0"/>
        <w:rPr>
          <w:rFonts w:hint="eastAsia" w:ascii="宋体" w:hAnsi="宋体" w:cs="宋体"/>
          <w:color w:val="000000" w:themeColor="text1"/>
          <w:szCs w:val="21"/>
        </w:rPr>
      </w:pPr>
      <w:r>
        <w:rPr>
          <w:rFonts w:hint="eastAsia" w:ascii="宋体" w:hAnsi="宋体" w:cs="宋体"/>
          <w:color w:val="000000" w:themeColor="text1"/>
          <w:szCs w:val="21"/>
        </w:rPr>
        <w:t>　　</w:t>
      </w:r>
      <w:bookmarkStart w:id="1608" w:name="_Toc22913"/>
      <w:bookmarkStart w:id="1609" w:name="_Toc18574514"/>
      <w:bookmarkStart w:id="1610" w:name="_Toc3904"/>
      <w:bookmarkStart w:id="1611" w:name="_Toc29556"/>
      <w:bookmarkStart w:id="1612" w:name="_Toc27647"/>
      <w:bookmarkStart w:id="1613" w:name="_Toc16925"/>
      <w:bookmarkStart w:id="1614" w:name="_Toc13581"/>
      <w:bookmarkStart w:id="1615" w:name="_Toc18815"/>
      <w:r>
        <w:rPr>
          <w:rFonts w:hint="eastAsia" w:ascii="宋体" w:hAnsi="宋体" w:cs="宋体"/>
          <w:color w:val="000000" w:themeColor="text1"/>
          <w:szCs w:val="21"/>
        </w:rPr>
        <w:t>五、保修费用</w:t>
      </w:r>
      <w:bookmarkEnd w:id="1608"/>
      <w:bookmarkEnd w:id="1609"/>
      <w:bookmarkEnd w:id="1610"/>
      <w:bookmarkEnd w:id="1611"/>
      <w:bookmarkEnd w:id="1612"/>
      <w:bookmarkEnd w:id="1613"/>
      <w:bookmarkEnd w:id="1614"/>
      <w:bookmarkEnd w:id="1615"/>
    </w:p>
    <w:p w14:paraId="48DA752C">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　　保修费用由造成质量缺陷的责任方承担。</w:t>
      </w:r>
    </w:p>
    <w:p w14:paraId="13E38BB2">
      <w:pPr>
        <w:pStyle w:val="150"/>
        <w:spacing w:line="460" w:lineRule="atLeast"/>
        <w:ind w:firstLine="420" w:firstLineChars="200"/>
        <w:jc w:val="left"/>
        <w:outlineLvl w:val="0"/>
        <w:rPr>
          <w:rFonts w:hint="eastAsia" w:ascii="宋体" w:hAnsi="宋体" w:cs="宋体"/>
          <w:color w:val="000000" w:themeColor="text1"/>
          <w:szCs w:val="21"/>
          <w:u w:val="single"/>
        </w:rPr>
      </w:pPr>
      <w:bookmarkStart w:id="1616" w:name="_Toc10797"/>
      <w:bookmarkStart w:id="1617" w:name="_Toc18574515"/>
      <w:bookmarkStart w:id="1618" w:name="_Toc27279"/>
      <w:bookmarkStart w:id="1619" w:name="_Toc916"/>
      <w:bookmarkStart w:id="1620" w:name="_Toc10537"/>
      <w:bookmarkStart w:id="1621" w:name="_Toc21582"/>
      <w:bookmarkStart w:id="1622" w:name="_Toc12708"/>
      <w:bookmarkStart w:id="1623" w:name="_Toc11934"/>
      <w:r>
        <w:rPr>
          <w:rFonts w:hint="eastAsia" w:ascii="宋体" w:hAnsi="宋体" w:cs="宋体"/>
          <w:b w:val="0"/>
          <w:bCs/>
          <w:color w:val="000000" w:themeColor="text1"/>
          <w:szCs w:val="21"/>
        </w:rPr>
        <w:t>六</w:t>
      </w:r>
      <w:r>
        <w:rPr>
          <w:rFonts w:hint="eastAsia" w:ascii="宋体" w:hAnsi="宋体" w:cs="宋体"/>
          <w:color w:val="000000" w:themeColor="text1"/>
          <w:szCs w:val="21"/>
        </w:rPr>
        <w:t>、双方约定的其他工程质量保修事项：</w:t>
      </w:r>
      <w:bookmarkEnd w:id="1616"/>
      <w:bookmarkEnd w:id="1617"/>
      <w:bookmarkEnd w:id="1618"/>
      <w:bookmarkEnd w:id="1619"/>
      <w:bookmarkEnd w:id="1620"/>
      <w:bookmarkEnd w:id="1621"/>
      <w:bookmarkEnd w:id="1622"/>
      <w:bookmarkEnd w:id="1623"/>
      <w:r>
        <w:rPr>
          <w:rFonts w:hint="eastAsia" w:ascii="宋体" w:hAnsi="宋体" w:cs="宋体"/>
          <w:color w:val="000000" w:themeColor="text1"/>
          <w:szCs w:val="21"/>
          <w:u w:val="single"/>
        </w:rPr>
        <w:t xml:space="preserve">                  </w:t>
      </w:r>
    </w:p>
    <w:p w14:paraId="38055695">
      <w:pPr>
        <w:pStyle w:val="150"/>
        <w:spacing w:line="460" w:lineRule="atLeast"/>
        <w:ind w:firstLine="399" w:firstLineChars="190"/>
        <w:rPr>
          <w:rFonts w:hint="eastAsia" w:ascii="宋体" w:hAnsi="宋体" w:cs="宋体"/>
          <w:color w:val="000000" w:themeColor="text1"/>
          <w:szCs w:val="21"/>
        </w:rPr>
      </w:pPr>
      <w:r>
        <w:rPr>
          <w:rFonts w:hint="eastAsia" w:ascii="宋体" w:hAnsi="宋体" w:cs="宋体"/>
          <w:color w:val="000000" w:themeColor="text1"/>
          <w:szCs w:val="21"/>
        </w:rPr>
        <w:t>工程质量保修书由发包人、承包人在工程竣工验收前共同签署，作为施工合同附件，其有效期限至保修期满。</w:t>
      </w:r>
    </w:p>
    <w:p w14:paraId="2969A1F9">
      <w:pPr>
        <w:pStyle w:val="150"/>
        <w:spacing w:line="460" w:lineRule="atLeast"/>
        <w:ind w:firstLine="420"/>
        <w:rPr>
          <w:rFonts w:hint="eastAsia" w:ascii="宋体" w:hAnsi="宋体" w:cs="宋体"/>
          <w:color w:val="000000" w:themeColor="text1"/>
          <w:szCs w:val="21"/>
        </w:rPr>
      </w:pPr>
    </w:p>
    <w:p w14:paraId="002D9C95">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发包人(公章)：</w:t>
      </w:r>
      <w:r>
        <w:rPr>
          <w:rFonts w:hint="eastAsia" w:ascii="宋体" w:hAnsi="宋体" w:cs="宋体"/>
          <w:color w:val="000000" w:themeColor="text1"/>
          <w:szCs w:val="21"/>
          <w:u w:val="single"/>
        </w:rPr>
        <w:t xml:space="preserve">        </w:t>
      </w:r>
      <w:r>
        <w:rPr>
          <w:rFonts w:hint="eastAsia" w:ascii="宋体" w:hAnsi="宋体" w:cs="宋体"/>
          <w:color w:val="000000" w:themeColor="text1"/>
          <w:szCs w:val="21"/>
        </w:rPr>
        <w:t xml:space="preserve"> 承包人(公章)：</w:t>
      </w:r>
      <w:r>
        <w:rPr>
          <w:rFonts w:hint="eastAsia" w:ascii="宋体" w:hAnsi="宋体" w:cs="宋体"/>
          <w:color w:val="000000" w:themeColor="text1"/>
          <w:szCs w:val="21"/>
          <w:u w:val="single"/>
        </w:rPr>
        <w:t xml:space="preserve">           </w:t>
      </w:r>
    </w:p>
    <w:p w14:paraId="4315E6B0">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地  址：</w:t>
      </w:r>
      <w:r>
        <w:rPr>
          <w:rFonts w:hint="eastAsia" w:ascii="宋体" w:hAnsi="宋体" w:cs="宋体"/>
          <w:color w:val="000000" w:themeColor="text1"/>
          <w:szCs w:val="21"/>
          <w:u w:val="single"/>
        </w:rPr>
        <w:t xml:space="preserve">     </w:t>
      </w:r>
      <w:r>
        <w:rPr>
          <w:rFonts w:hint="eastAsia" w:ascii="宋体" w:hAnsi="宋体" w:cs="宋体"/>
          <w:color w:val="000000" w:themeColor="text1"/>
          <w:szCs w:val="21"/>
        </w:rPr>
        <w:t xml:space="preserve"> 地  址：</w:t>
      </w:r>
      <w:r>
        <w:rPr>
          <w:rFonts w:hint="eastAsia" w:ascii="宋体" w:hAnsi="宋体" w:cs="宋体"/>
          <w:color w:val="000000" w:themeColor="text1"/>
          <w:szCs w:val="21"/>
          <w:u w:val="single"/>
        </w:rPr>
        <w:t xml:space="preserve">       </w:t>
      </w:r>
    </w:p>
    <w:p w14:paraId="7015EB0B">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法定代表人(签字)：</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法定代表人(签字)：</w:t>
      </w:r>
      <w:r>
        <w:rPr>
          <w:rFonts w:hint="eastAsia" w:ascii="宋体" w:hAnsi="宋体" w:cs="宋体"/>
          <w:color w:val="000000" w:themeColor="text1"/>
          <w:szCs w:val="21"/>
          <w:u w:val="single"/>
        </w:rPr>
        <w:t xml:space="preserve">       </w:t>
      </w:r>
    </w:p>
    <w:p w14:paraId="459EA8E0">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委托代理人(签字)：</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委托代理人(签字)：</w:t>
      </w:r>
      <w:r>
        <w:rPr>
          <w:rFonts w:hint="eastAsia" w:ascii="宋体" w:hAnsi="宋体" w:cs="宋体"/>
          <w:color w:val="000000" w:themeColor="text1"/>
          <w:szCs w:val="21"/>
          <w:u w:val="single"/>
        </w:rPr>
        <w:t xml:space="preserve">       </w:t>
      </w:r>
    </w:p>
    <w:p w14:paraId="33C689EF">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电  话：</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电  话：</w:t>
      </w:r>
      <w:r>
        <w:rPr>
          <w:rFonts w:hint="eastAsia" w:ascii="宋体" w:hAnsi="宋体" w:cs="宋体"/>
          <w:color w:val="000000" w:themeColor="text1"/>
          <w:szCs w:val="21"/>
          <w:u w:val="single"/>
        </w:rPr>
        <w:t xml:space="preserve">     </w:t>
      </w:r>
    </w:p>
    <w:p w14:paraId="6AD25C3F">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传  真：</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传  真：</w:t>
      </w:r>
      <w:r>
        <w:rPr>
          <w:rFonts w:hint="eastAsia" w:ascii="宋体" w:hAnsi="宋体" w:cs="宋体"/>
          <w:color w:val="000000" w:themeColor="text1"/>
          <w:szCs w:val="21"/>
          <w:u w:val="single"/>
        </w:rPr>
        <w:t xml:space="preserve">     </w:t>
      </w:r>
    </w:p>
    <w:p w14:paraId="1D054E11">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开户银行：</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开户银行：</w:t>
      </w:r>
      <w:r>
        <w:rPr>
          <w:rFonts w:hint="eastAsia" w:ascii="宋体" w:hAnsi="宋体" w:cs="宋体"/>
          <w:color w:val="000000" w:themeColor="text1"/>
          <w:szCs w:val="21"/>
          <w:u w:val="single"/>
        </w:rPr>
        <w:t xml:space="preserve">   </w:t>
      </w:r>
    </w:p>
    <w:p w14:paraId="42F73CA5">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账  号：</w:t>
      </w:r>
      <w:r>
        <w:rPr>
          <w:rFonts w:hint="eastAsia" w:ascii="宋体" w:hAnsi="宋体" w:cs="宋体"/>
          <w:color w:val="000000" w:themeColor="text1"/>
          <w:szCs w:val="21"/>
          <w:u w:val="single"/>
        </w:rPr>
        <w:t xml:space="preserve">       </w:t>
      </w:r>
      <w:r>
        <w:rPr>
          <w:rFonts w:hint="eastAsia" w:ascii="宋体" w:hAnsi="宋体" w:cs="宋体"/>
          <w:color w:val="000000" w:themeColor="text1"/>
          <w:szCs w:val="21"/>
        </w:rPr>
        <w:t xml:space="preserve">  账  号：</w:t>
      </w:r>
      <w:r>
        <w:rPr>
          <w:rFonts w:hint="eastAsia" w:ascii="宋体" w:hAnsi="宋体" w:cs="宋体"/>
          <w:color w:val="000000" w:themeColor="text1"/>
          <w:szCs w:val="21"/>
          <w:u w:val="single"/>
        </w:rPr>
        <w:t xml:space="preserve">     </w:t>
      </w:r>
    </w:p>
    <w:p w14:paraId="3E2DC346">
      <w:pPr>
        <w:pStyle w:val="150"/>
        <w:spacing w:line="460" w:lineRule="atLeast"/>
        <w:rPr>
          <w:rFonts w:hint="eastAsia" w:ascii="宋体" w:hAnsi="宋体" w:cs="宋体"/>
          <w:color w:val="000000" w:themeColor="text1"/>
          <w:szCs w:val="21"/>
        </w:rPr>
      </w:pPr>
      <w:r>
        <w:rPr>
          <w:rFonts w:hint="eastAsia" w:ascii="宋体" w:hAnsi="宋体" w:cs="宋体"/>
          <w:color w:val="000000" w:themeColor="text1"/>
          <w:szCs w:val="21"/>
        </w:rPr>
        <w:t>邮政编码：</w:t>
      </w:r>
      <w:r>
        <w:rPr>
          <w:rFonts w:hint="eastAsia" w:ascii="宋体" w:hAnsi="宋体" w:cs="宋体"/>
          <w:color w:val="000000" w:themeColor="text1"/>
          <w:szCs w:val="21"/>
          <w:u w:val="single"/>
        </w:rPr>
        <w:t xml:space="preserve">     </w:t>
      </w:r>
      <w:r>
        <w:rPr>
          <w:rFonts w:hint="eastAsia" w:ascii="宋体" w:hAnsi="宋体" w:cs="宋体"/>
          <w:color w:val="000000" w:themeColor="text1"/>
          <w:szCs w:val="21"/>
        </w:rPr>
        <w:t xml:space="preserve"> 邮政编码：</w:t>
      </w:r>
      <w:r>
        <w:rPr>
          <w:rFonts w:hint="eastAsia" w:ascii="宋体" w:hAnsi="宋体" w:cs="宋体"/>
          <w:color w:val="000000" w:themeColor="text1"/>
          <w:szCs w:val="21"/>
          <w:u w:val="single"/>
        </w:rPr>
        <w:t xml:space="preserve">   </w:t>
      </w:r>
    </w:p>
    <w:p w14:paraId="2F82D51D">
      <w:pPr>
        <w:spacing w:before="120" w:beforeLines="50" w:after="120" w:afterLines="50" w:line="440" w:lineRule="exact"/>
        <w:jc w:val="center"/>
        <w:rPr>
          <w:rFonts w:hint="eastAsia" w:ascii="宋体" w:hAnsi="宋体" w:eastAsia="宋体" w:cs="宋体"/>
          <w:color w:val="000000" w:themeColor="text1"/>
          <w:sz w:val="30"/>
          <w:szCs w:val="30"/>
          <w:highlight w:val="none"/>
        </w:rPr>
      </w:pPr>
    </w:p>
    <w:p w14:paraId="3E975FE7">
      <w:pPr>
        <w:spacing w:before="120" w:beforeLines="50" w:after="120" w:afterLines="50" w:line="440" w:lineRule="exact"/>
        <w:jc w:val="center"/>
        <w:rPr>
          <w:rFonts w:hint="eastAsia" w:ascii="宋体" w:hAnsi="宋体" w:eastAsia="宋体" w:cs="宋体"/>
          <w:color w:val="000000" w:themeColor="text1"/>
          <w:sz w:val="30"/>
          <w:szCs w:val="30"/>
          <w:highlight w:val="none"/>
        </w:rPr>
      </w:pPr>
    </w:p>
    <w:p w14:paraId="79F4D4A2">
      <w:pPr>
        <w:spacing w:before="120" w:beforeLines="50" w:after="120" w:afterLines="50" w:line="440" w:lineRule="exact"/>
        <w:jc w:val="center"/>
        <w:rPr>
          <w:rFonts w:hint="eastAsia" w:ascii="宋体" w:hAnsi="宋体" w:eastAsia="宋体" w:cs="宋体"/>
          <w:color w:val="000000" w:themeColor="text1"/>
          <w:sz w:val="30"/>
          <w:szCs w:val="30"/>
          <w:highlight w:val="none"/>
        </w:rPr>
      </w:pPr>
    </w:p>
    <w:p w14:paraId="049688A1">
      <w:pPr>
        <w:spacing w:before="120" w:beforeLines="50" w:after="120" w:afterLines="50" w:line="440" w:lineRule="exact"/>
        <w:jc w:val="center"/>
        <w:rPr>
          <w:rFonts w:hint="eastAsia" w:ascii="宋体" w:hAnsi="宋体" w:eastAsia="宋体" w:cs="宋体"/>
          <w:color w:val="000000" w:themeColor="text1"/>
          <w:sz w:val="30"/>
          <w:szCs w:val="30"/>
          <w:highlight w:val="none"/>
        </w:rPr>
      </w:pPr>
    </w:p>
    <w:p w14:paraId="42D419EB">
      <w:pPr>
        <w:spacing w:before="120" w:beforeLines="50" w:after="120" w:afterLines="50" w:line="440" w:lineRule="exact"/>
        <w:jc w:val="center"/>
        <w:rPr>
          <w:rFonts w:hint="eastAsia" w:ascii="宋体" w:hAnsi="宋体" w:eastAsia="宋体" w:cs="宋体"/>
          <w:color w:val="000000" w:themeColor="text1"/>
          <w:sz w:val="30"/>
          <w:szCs w:val="30"/>
          <w:highlight w:val="none"/>
        </w:rPr>
      </w:pPr>
    </w:p>
    <w:p w14:paraId="6EE7C475">
      <w:pPr>
        <w:spacing w:before="120" w:beforeLines="50" w:after="120" w:afterLines="50" w:line="440" w:lineRule="exact"/>
        <w:jc w:val="center"/>
        <w:rPr>
          <w:rFonts w:hint="eastAsia" w:ascii="宋体" w:hAnsi="宋体" w:eastAsia="宋体" w:cs="宋体"/>
          <w:color w:val="000000" w:themeColor="text1"/>
          <w:sz w:val="30"/>
          <w:szCs w:val="30"/>
          <w:highlight w:val="none"/>
        </w:rPr>
      </w:pPr>
    </w:p>
    <w:p w14:paraId="2D04B3BD">
      <w:pPr>
        <w:spacing w:before="120" w:beforeLines="50" w:after="120" w:afterLines="50" w:line="440" w:lineRule="exact"/>
        <w:jc w:val="both"/>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附件</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w:t>
      </w:r>
    </w:p>
    <w:p w14:paraId="74D36CF0">
      <w:pPr>
        <w:spacing w:before="120" w:beforeLines="50" w:after="120" w:afterLines="50"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主要建设工程文件目录</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B89D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59D7F047">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文件名称</w:t>
            </w:r>
          </w:p>
        </w:tc>
        <w:tc>
          <w:tcPr>
            <w:tcW w:w="1276" w:type="dxa"/>
            <w:tcBorders>
              <w:top w:val="single" w:color="auto" w:sz="12" w:space="0"/>
              <w:bottom w:val="double" w:color="auto" w:sz="6" w:space="0"/>
            </w:tcBorders>
            <w:noWrap w:val="0"/>
            <w:vAlign w:val="center"/>
          </w:tcPr>
          <w:p w14:paraId="6F61A21A">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套数</w:t>
            </w:r>
          </w:p>
        </w:tc>
        <w:tc>
          <w:tcPr>
            <w:tcW w:w="1450" w:type="dxa"/>
            <w:tcBorders>
              <w:top w:val="single" w:color="auto" w:sz="12" w:space="0"/>
              <w:bottom w:val="double" w:color="auto" w:sz="6" w:space="0"/>
            </w:tcBorders>
            <w:noWrap w:val="0"/>
            <w:vAlign w:val="center"/>
          </w:tcPr>
          <w:p w14:paraId="43C1A19A">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费用（元）</w:t>
            </w:r>
          </w:p>
        </w:tc>
        <w:tc>
          <w:tcPr>
            <w:tcW w:w="1243" w:type="dxa"/>
            <w:tcBorders>
              <w:top w:val="single" w:color="auto" w:sz="12" w:space="0"/>
              <w:bottom w:val="double" w:color="auto" w:sz="6" w:space="0"/>
            </w:tcBorders>
            <w:noWrap w:val="0"/>
            <w:vAlign w:val="center"/>
          </w:tcPr>
          <w:p w14:paraId="6077D7C9">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w:t>
            </w:r>
          </w:p>
        </w:tc>
        <w:tc>
          <w:tcPr>
            <w:tcW w:w="1450" w:type="dxa"/>
            <w:tcBorders>
              <w:top w:val="single" w:color="auto" w:sz="12" w:space="0"/>
              <w:bottom w:val="double" w:color="auto" w:sz="6" w:space="0"/>
            </w:tcBorders>
            <w:noWrap w:val="0"/>
            <w:vAlign w:val="top"/>
          </w:tcPr>
          <w:p w14:paraId="7025B687">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移交时间</w:t>
            </w:r>
          </w:p>
        </w:tc>
        <w:tc>
          <w:tcPr>
            <w:tcW w:w="1667" w:type="dxa"/>
            <w:tcBorders>
              <w:top w:val="single" w:color="auto" w:sz="12" w:space="0"/>
              <w:bottom w:val="double" w:color="auto" w:sz="6" w:space="0"/>
            </w:tcBorders>
            <w:noWrap w:val="0"/>
            <w:vAlign w:val="top"/>
          </w:tcPr>
          <w:p w14:paraId="58D84413">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责任人</w:t>
            </w:r>
          </w:p>
        </w:tc>
      </w:tr>
      <w:tr w14:paraId="34BE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EF828C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tcBorders>
              <w:top w:val="double" w:color="auto" w:sz="6" w:space="0"/>
              <w:bottom w:val="single" w:color="auto" w:sz="6" w:space="0"/>
            </w:tcBorders>
            <w:noWrap w:val="0"/>
            <w:vAlign w:val="center"/>
          </w:tcPr>
          <w:p w14:paraId="68B98EA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tcBorders>
              <w:top w:val="double" w:color="auto" w:sz="6" w:space="0"/>
              <w:bottom w:val="single" w:color="auto" w:sz="6" w:space="0"/>
            </w:tcBorders>
            <w:noWrap w:val="0"/>
            <w:vAlign w:val="center"/>
          </w:tcPr>
          <w:p w14:paraId="30816EA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tcBorders>
              <w:top w:val="double" w:color="auto" w:sz="6" w:space="0"/>
              <w:bottom w:val="single" w:color="auto" w:sz="6" w:space="0"/>
            </w:tcBorders>
            <w:noWrap w:val="0"/>
            <w:vAlign w:val="center"/>
          </w:tcPr>
          <w:p w14:paraId="1984E2D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tcBorders>
              <w:top w:val="double" w:color="auto" w:sz="6" w:space="0"/>
              <w:bottom w:val="single" w:color="auto" w:sz="6" w:space="0"/>
            </w:tcBorders>
            <w:noWrap w:val="0"/>
            <w:vAlign w:val="center"/>
          </w:tcPr>
          <w:p w14:paraId="205BB7E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tcBorders>
              <w:top w:val="double" w:color="auto" w:sz="6" w:space="0"/>
              <w:bottom w:val="single" w:color="auto" w:sz="6" w:space="0"/>
            </w:tcBorders>
            <w:noWrap w:val="0"/>
            <w:vAlign w:val="center"/>
          </w:tcPr>
          <w:p w14:paraId="52ECD28A">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5A565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D0E0F3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tcBorders>
              <w:top w:val="nil"/>
            </w:tcBorders>
            <w:noWrap w:val="0"/>
            <w:vAlign w:val="center"/>
          </w:tcPr>
          <w:p w14:paraId="1CC18B9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tcBorders>
              <w:top w:val="nil"/>
            </w:tcBorders>
            <w:noWrap w:val="0"/>
            <w:vAlign w:val="center"/>
          </w:tcPr>
          <w:p w14:paraId="17B1FCC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tcBorders>
              <w:top w:val="nil"/>
            </w:tcBorders>
            <w:noWrap w:val="0"/>
            <w:vAlign w:val="center"/>
          </w:tcPr>
          <w:p w14:paraId="74973E1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tcBorders>
              <w:top w:val="nil"/>
            </w:tcBorders>
            <w:noWrap w:val="0"/>
            <w:vAlign w:val="center"/>
          </w:tcPr>
          <w:p w14:paraId="165D951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tcBorders>
              <w:top w:val="nil"/>
            </w:tcBorders>
            <w:noWrap w:val="0"/>
            <w:vAlign w:val="center"/>
          </w:tcPr>
          <w:p w14:paraId="034B331F">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A2AC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CECCE8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noWrap w:val="0"/>
            <w:vAlign w:val="center"/>
          </w:tcPr>
          <w:p w14:paraId="3880EDE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136D018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noWrap w:val="0"/>
            <w:vAlign w:val="center"/>
          </w:tcPr>
          <w:p w14:paraId="4DFF906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7DFB4C4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noWrap w:val="0"/>
            <w:vAlign w:val="center"/>
          </w:tcPr>
          <w:p w14:paraId="1C54565C">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4D9AC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9F111C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noWrap w:val="0"/>
            <w:vAlign w:val="center"/>
          </w:tcPr>
          <w:p w14:paraId="004522F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3DB1783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noWrap w:val="0"/>
            <w:vAlign w:val="center"/>
          </w:tcPr>
          <w:p w14:paraId="3174FB0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67C28CC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noWrap w:val="0"/>
            <w:vAlign w:val="center"/>
          </w:tcPr>
          <w:p w14:paraId="65E7883C">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405F8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7A0397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noWrap w:val="0"/>
            <w:vAlign w:val="center"/>
          </w:tcPr>
          <w:p w14:paraId="6906D8F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0EDF5DE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noWrap w:val="0"/>
            <w:vAlign w:val="center"/>
          </w:tcPr>
          <w:p w14:paraId="01BCF83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3A2608D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noWrap w:val="0"/>
            <w:vAlign w:val="center"/>
          </w:tcPr>
          <w:p w14:paraId="0481DC76">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40C06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0C41F0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noWrap w:val="0"/>
            <w:vAlign w:val="center"/>
          </w:tcPr>
          <w:p w14:paraId="1F5CA90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0A070F6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noWrap w:val="0"/>
            <w:vAlign w:val="center"/>
          </w:tcPr>
          <w:p w14:paraId="516F431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7AB3469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noWrap w:val="0"/>
            <w:vAlign w:val="center"/>
          </w:tcPr>
          <w:p w14:paraId="56175E4D">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78D73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06C972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noWrap w:val="0"/>
            <w:vAlign w:val="center"/>
          </w:tcPr>
          <w:p w14:paraId="5071BAE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7BD31BF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noWrap w:val="0"/>
            <w:vAlign w:val="center"/>
          </w:tcPr>
          <w:p w14:paraId="53A36BC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24F6D11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noWrap w:val="0"/>
            <w:vAlign w:val="center"/>
          </w:tcPr>
          <w:p w14:paraId="61367D29">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120EC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440008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noWrap w:val="0"/>
            <w:vAlign w:val="center"/>
          </w:tcPr>
          <w:p w14:paraId="52BC53D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7841A2E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noWrap w:val="0"/>
            <w:vAlign w:val="center"/>
          </w:tcPr>
          <w:p w14:paraId="377C8C6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5AA3E47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noWrap w:val="0"/>
            <w:vAlign w:val="center"/>
          </w:tcPr>
          <w:p w14:paraId="4C02018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021FC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8CD3894">
            <w:pPr>
              <w:rPr>
                <w:rFonts w:hint="eastAsia" w:ascii="宋体" w:hAnsi="宋体" w:eastAsia="宋体" w:cs="宋体"/>
                <w:color w:val="000000" w:themeColor="text1"/>
                <w:sz w:val="21"/>
                <w:szCs w:val="21"/>
                <w:highlight w:val="none"/>
              </w:rPr>
            </w:pPr>
          </w:p>
        </w:tc>
        <w:tc>
          <w:tcPr>
            <w:tcW w:w="1276" w:type="dxa"/>
            <w:noWrap w:val="0"/>
            <w:vAlign w:val="top"/>
          </w:tcPr>
          <w:p w14:paraId="626ABDCD">
            <w:pPr>
              <w:rPr>
                <w:rFonts w:hint="eastAsia" w:ascii="宋体" w:hAnsi="宋体" w:eastAsia="宋体" w:cs="宋体"/>
                <w:color w:val="000000" w:themeColor="text1"/>
                <w:sz w:val="21"/>
                <w:szCs w:val="21"/>
                <w:highlight w:val="none"/>
              </w:rPr>
            </w:pPr>
          </w:p>
        </w:tc>
        <w:tc>
          <w:tcPr>
            <w:tcW w:w="1450" w:type="dxa"/>
            <w:noWrap w:val="0"/>
            <w:vAlign w:val="top"/>
          </w:tcPr>
          <w:p w14:paraId="770CAE48">
            <w:pPr>
              <w:rPr>
                <w:rFonts w:hint="eastAsia" w:ascii="宋体" w:hAnsi="宋体" w:eastAsia="宋体" w:cs="宋体"/>
                <w:color w:val="000000" w:themeColor="text1"/>
                <w:sz w:val="21"/>
                <w:szCs w:val="21"/>
                <w:highlight w:val="none"/>
              </w:rPr>
            </w:pPr>
          </w:p>
        </w:tc>
        <w:tc>
          <w:tcPr>
            <w:tcW w:w="1243" w:type="dxa"/>
            <w:noWrap w:val="0"/>
            <w:vAlign w:val="top"/>
          </w:tcPr>
          <w:p w14:paraId="11E21E48">
            <w:pPr>
              <w:rPr>
                <w:rFonts w:hint="eastAsia" w:ascii="宋体" w:hAnsi="宋体" w:eastAsia="宋体" w:cs="宋体"/>
                <w:color w:val="000000" w:themeColor="text1"/>
                <w:sz w:val="21"/>
                <w:szCs w:val="21"/>
                <w:highlight w:val="none"/>
              </w:rPr>
            </w:pPr>
          </w:p>
        </w:tc>
        <w:tc>
          <w:tcPr>
            <w:tcW w:w="1450" w:type="dxa"/>
            <w:noWrap w:val="0"/>
            <w:vAlign w:val="top"/>
          </w:tcPr>
          <w:p w14:paraId="6705B342">
            <w:pPr>
              <w:rPr>
                <w:rFonts w:hint="eastAsia" w:ascii="宋体" w:hAnsi="宋体" w:eastAsia="宋体" w:cs="宋体"/>
                <w:color w:val="000000" w:themeColor="text1"/>
                <w:sz w:val="21"/>
                <w:szCs w:val="21"/>
                <w:highlight w:val="none"/>
              </w:rPr>
            </w:pPr>
          </w:p>
        </w:tc>
        <w:tc>
          <w:tcPr>
            <w:tcW w:w="1667" w:type="dxa"/>
            <w:noWrap w:val="0"/>
            <w:vAlign w:val="top"/>
          </w:tcPr>
          <w:p w14:paraId="4FFB4EAC">
            <w:pPr>
              <w:rPr>
                <w:rFonts w:hint="eastAsia" w:ascii="宋体" w:hAnsi="宋体" w:eastAsia="宋体" w:cs="宋体"/>
                <w:color w:val="000000" w:themeColor="text1"/>
                <w:sz w:val="21"/>
                <w:szCs w:val="21"/>
                <w:highlight w:val="none"/>
              </w:rPr>
            </w:pPr>
          </w:p>
        </w:tc>
      </w:tr>
      <w:tr w14:paraId="735C9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8761F5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76" w:type="dxa"/>
            <w:noWrap w:val="0"/>
            <w:vAlign w:val="center"/>
          </w:tcPr>
          <w:p w14:paraId="2F71498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49A12C7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243" w:type="dxa"/>
            <w:noWrap w:val="0"/>
            <w:vAlign w:val="center"/>
          </w:tcPr>
          <w:p w14:paraId="686D219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50" w:type="dxa"/>
            <w:noWrap w:val="0"/>
            <w:vAlign w:val="center"/>
          </w:tcPr>
          <w:p w14:paraId="11544EB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667" w:type="dxa"/>
            <w:noWrap w:val="0"/>
            <w:vAlign w:val="center"/>
          </w:tcPr>
          <w:p w14:paraId="4CCA3B24">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6447B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9A4935">
            <w:pPr>
              <w:rPr>
                <w:rFonts w:hint="eastAsia" w:ascii="宋体" w:hAnsi="宋体" w:eastAsia="宋体" w:cs="宋体"/>
                <w:color w:val="000000" w:themeColor="text1"/>
                <w:sz w:val="21"/>
                <w:szCs w:val="21"/>
                <w:highlight w:val="none"/>
              </w:rPr>
            </w:pPr>
          </w:p>
        </w:tc>
        <w:tc>
          <w:tcPr>
            <w:tcW w:w="1276" w:type="dxa"/>
            <w:noWrap w:val="0"/>
            <w:vAlign w:val="top"/>
          </w:tcPr>
          <w:p w14:paraId="626D2806">
            <w:pPr>
              <w:rPr>
                <w:rFonts w:hint="eastAsia" w:ascii="宋体" w:hAnsi="宋体" w:eastAsia="宋体" w:cs="宋体"/>
                <w:color w:val="000000" w:themeColor="text1"/>
                <w:sz w:val="21"/>
                <w:szCs w:val="21"/>
                <w:highlight w:val="none"/>
              </w:rPr>
            </w:pPr>
          </w:p>
        </w:tc>
        <w:tc>
          <w:tcPr>
            <w:tcW w:w="1450" w:type="dxa"/>
            <w:noWrap w:val="0"/>
            <w:vAlign w:val="top"/>
          </w:tcPr>
          <w:p w14:paraId="34D23FE2">
            <w:pPr>
              <w:rPr>
                <w:rFonts w:hint="eastAsia" w:ascii="宋体" w:hAnsi="宋体" w:eastAsia="宋体" w:cs="宋体"/>
                <w:color w:val="000000" w:themeColor="text1"/>
                <w:sz w:val="21"/>
                <w:szCs w:val="21"/>
                <w:highlight w:val="none"/>
              </w:rPr>
            </w:pPr>
          </w:p>
        </w:tc>
        <w:tc>
          <w:tcPr>
            <w:tcW w:w="1243" w:type="dxa"/>
            <w:noWrap w:val="0"/>
            <w:vAlign w:val="top"/>
          </w:tcPr>
          <w:p w14:paraId="62DC990C">
            <w:pPr>
              <w:rPr>
                <w:rFonts w:hint="eastAsia" w:ascii="宋体" w:hAnsi="宋体" w:eastAsia="宋体" w:cs="宋体"/>
                <w:color w:val="000000" w:themeColor="text1"/>
                <w:sz w:val="21"/>
                <w:szCs w:val="21"/>
                <w:highlight w:val="none"/>
              </w:rPr>
            </w:pPr>
          </w:p>
        </w:tc>
        <w:tc>
          <w:tcPr>
            <w:tcW w:w="1450" w:type="dxa"/>
            <w:noWrap w:val="0"/>
            <w:vAlign w:val="top"/>
          </w:tcPr>
          <w:p w14:paraId="2A06E051">
            <w:pPr>
              <w:rPr>
                <w:rFonts w:hint="eastAsia" w:ascii="宋体" w:hAnsi="宋体" w:eastAsia="宋体" w:cs="宋体"/>
                <w:color w:val="000000" w:themeColor="text1"/>
                <w:sz w:val="21"/>
                <w:szCs w:val="21"/>
                <w:highlight w:val="none"/>
              </w:rPr>
            </w:pPr>
          </w:p>
        </w:tc>
        <w:tc>
          <w:tcPr>
            <w:tcW w:w="1667" w:type="dxa"/>
            <w:noWrap w:val="0"/>
            <w:vAlign w:val="top"/>
          </w:tcPr>
          <w:p w14:paraId="1DAB0BA6">
            <w:pPr>
              <w:rPr>
                <w:rFonts w:hint="eastAsia" w:ascii="宋体" w:hAnsi="宋体" w:eastAsia="宋体" w:cs="宋体"/>
                <w:color w:val="000000" w:themeColor="text1"/>
                <w:sz w:val="21"/>
                <w:szCs w:val="21"/>
                <w:highlight w:val="none"/>
              </w:rPr>
            </w:pPr>
          </w:p>
        </w:tc>
      </w:tr>
      <w:tr w14:paraId="49038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7D6E276">
            <w:pPr>
              <w:rPr>
                <w:rFonts w:hint="eastAsia" w:ascii="宋体" w:hAnsi="宋体" w:eastAsia="宋体" w:cs="宋体"/>
                <w:color w:val="000000" w:themeColor="text1"/>
                <w:sz w:val="21"/>
                <w:szCs w:val="21"/>
                <w:highlight w:val="none"/>
              </w:rPr>
            </w:pPr>
          </w:p>
        </w:tc>
        <w:tc>
          <w:tcPr>
            <w:tcW w:w="1276" w:type="dxa"/>
            <w:noWrap w:val="0"/>
            <w:vAlign w:val="top"/>
          </w:tcPr>
          <w:p w14:paraId="5AF498E2">
            <w:pPr>
              <w:rPr>
                <w:rFonts w:hint="eastAsia" w:ascii="宋体" w:hAnsi="宋体" w:eastAsia="宋体" w:cs="宋体"/>
                <w:color w:val="000000" w:themeColor="text1"/>
                <w:sz w:val="21"/>
                <w:szCs w:val="21"/>
                <w:highlight w:val="none"/>
              </w:rPr>
            </w:pPr>
          </w:p>
        </w:tc>
        <w:tc>
          <w:tcPr>
            <w:tcW w:w="1450" w:type="dxa"/>
            <w:noWrap w:val="0"/>
            <w:vAlign w:val="top"/>
          </w:tcPr>
          <w:p w14:paraId="1A3680C7">
            <w:pPr>
              <w:rPr>
                <w:rFonts w:hint="eastAsia" w:ascii="宋体" w:hAnsi="宋体" w:eastAsia="宋体" w:cs="宋体"/>
                <w:color w:val="000000" w:themeColor="text1"/>
                <w:sz w:val="21"/>
                <w:szCs w:val="21"/>
                <w:highlight w:val="none"/>
              </w:rPr>
            </w:pPr>
          </w:p>
        </w:tc>
        <w:tc>
          <w:tcPr>
            <w:tcW w:w="1243" w:type="dxa"/>
            <w:noWrap w:val="0"/>
            <w:vAlign w:val="top"/>
          </w:tcPr>
          <w:p w14:paraId="4657B76B">
            <w:pPr>
              <w:rPr>
                <w:rFonts w:hint="eastAsia" w:ascii="宋体" w:hAnsi="宋体" w:eastAsia="宋体" w:cs="宋体"/>
                <w:color w:val="000000" w:themeColor="text1"/>
                <w:sz w:val="21"/>
                <w:szCs w:val="21"/>
                <w:highlight w:val="none"/>
              </w:rPr>
            </w:pPr>
          </w:p>
        </w:tc>
        <w:tc>
          <w:tcPr>
            <w:tcW w:w="1450" w:type="dxa"/>
            <w:noWrap w:val="0"/>
            <w:vAlign w:val="top"/>
          </w:tcPr>
          <w:p w14:paraId="44B454E9">
            <w:pPr>
              <w:rPr>
                <w:rFonts w:hint="eastAsia" w:ascii="宋体" w:hAnsi="宋体" w:eastAsia="宋体" w:cs="宋体"/>
                <w:color w:val="000000" w:themeColor="text1"/>
                <w:sz w:val="21"/>
                <w:szCs w:val="21"/>
                <w:highlight w:val="none"/>
              </w:rPr>
            </w:pPr>
          </w:p>
        </w:tc>
        <w:tc>
          <w:tcPr>
            <w:tcW w:w="1667" w:type="dxa"/>
            <w:noWrap w:val="0"/>
            <w:vAlign w:val="top"/>
          </w:tcPr>
          <w:p w14:paraId="4C0064B8">
            <w:pPr>
              <w:rPr>
                <w:rFonts w:hint="eastAsia" w:ascii="宋体" w:hAnsi="宋体" w:eastAsia="宋体" w:cs="宋体"/>
                <w:color w:val="000000" w:themeColor="text1"/>
                <w:sz w:val="21"/>
                <w:szCs w:val="21"/>
                <w:highlight w:val="none"/>
              </w:rPr>
            </w:pPr>
          </w:p>
        </w:tc>
      </w:tr>
      <w:tr w14:paraId="43136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2D0370B3">
            <w:pPr>
              <w:rPr>
                <w:rFonts w:hint="eastAsia" w:ascii="宋体" w:hAnsi="宋体" w:eastAsia="宋体" w:cs="宋体"/>
                <w:color w:val="000000" w:themeColor="text1"/>
                <w:sz w:val="21"/>
                <w:szCs w:val="21"/>
                <w:highlight w:val="none"/>
              </w:rPr>
            </w:pPr>
          </w:p>
        </w:tc>
        <w:tc>
          <w:tcPr>
            <w:tcW w:w="1276" w:type="dxa"/>
            <w:noWrap w:val="0"/>
            <w:vAlign w:val="top"/>
          </w:tcPr>
          <w:p w14:paraId="321BAE83">
            <w:pPr>
              <w:rPr>
                <w:rFonts w:hint="eastAsia" w:ascii="宋体" w:hAnsi="宋体" w:eastAsia="宋体" w:cs="宋体"/>
                <w:color w:val="000000" w:themeColor="text1"/>
                <w:sz w:val="21"/>
                <w:szCs w:val="21"/>
                <w:highlight w:val="none"/>
              </w:rPr>
            </w:pPr>
          </w:p>
        </w:tc>
        <w:tc>
          <w:tcPr>
            <w:tcW w:w="1450" w:type="dxa"/>
            <w:noWrap w:val="0"/>
            <w:vAlign w:val="top"/>
          </w:tcPr>
          <w:p w14:paraId="162E9D4B">
            <w:pPr>
              <w:rPr>
                <w:rFonts w:hint="eastAsia" w:ascii="宋体" w:hAnsi="宋体" w:eastAsia="宋体" w:cs="宋体"/>
                <w:color w:val="000000" w:themeColor="text1"/>
                <w:sz w:val="21"/>
                <w:szCs w:val="21"/>
                <w:highlight w:val="none"/>
              </w:rPr>
            </w:pPr>
          </w:p>
        </w:tc>
        <w:tc>
          <w:tcPr>
            <w:tcW w:w="1243" w:type="dxa"/>
            <w:noWrap w:val="0"/>
            <w:vAlign w:val="top"/>
          </w:tcPr>
          <w:p w14:paraId="77AEA67D">
            <w:pPr>
              <w:rPr>
                <w:rFonts w:hint="eastAsia" w:ascii="宋体" w:hAnsi="宋体" w:eastAsia="宋体" w:cs="宋体"/>
                <w:color w:val="000000" w:themeColor="text1"/>
                <w:sz w:val="21"/>
                <w:szCs w:val="21"/>
                <w:highlight w:val="none"/>
              </w:rPr>
            </w:pPr>
          </w:p>
        </w:tc>
        <w:tc>
          <w:tcPr>
            <w:tcW w:w="1450" w:type="dxa"/>
            <w:noWrap w:val="0"/>
            <w:vAlign w:val="top"/>
          </w:tcPr>
          <w:p w14:paraId="6FF4D322">
            <w:pPr>
              <w:rPr>
                <w:rFonts w:hint="eastAsia" w:ascii="宋体" w:hAnsi="宋体" w:eastAsia="宋体" w:cs="宋体"/>
                <w:color w:val="000000" w:themeColor="text1"/>
                <w:sz w:val="21"/>
                <w:szCs w:val="21"/>
                <w:highlight w:val="none"/>
              </w:rPr>
            </w:pPr>
          </w:p>
        </w:tc>
        <w:tc>
          <w:tcPr>
            <w:tcW w:w="1667" w:type="dxa"/>
            <w:noWrap w:val="0"/>
            <w:vAlign w:val="top"/>
          </w:tcPr>
          <w:p w14:paraId="623AAFE4">
            <w:pPr>
              <w:rPr>
                <w:rFonts w:hint="eastAsia" w:ascii="宋体" w:hAnsi="宋体" w:eastAsia="宋体" w:cs="宋体"/>
                <w:color w:val="000000" w:themeColor="text1"/>
                <w:sz w:val="21"/>
                <w:szCs w:val="21"/>
                <w:highlight w:val="none"/>
              </w:rPr>
            </w:pPr>
          </w:p>
        </w:tc>
      </w:tr>
      <w:tr w14:paraId="78652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F064F6">
            <w:pPr>
              <w:rPr>
                <w:rFonts w:hint="eastAsia" w:ascii="宋体" w:hAnsi="宋体" w:eastAsia="宋体" w:cs="宋体"/>
                <w:color w:val="000000" w:themeColor="text1"/>
                <w:sz w:val="21"/>
                <w:szCs w:val="21"/>
                <w:highlight w:val="none"/>
              </w:rPr>
            </w:pPr>
          </w:p>
        </w:tc>
        <w:tc>
          <w:tcPr>
            <w:tcW w:w="1276" w:type="dxa"/>
            <w:noWrap w:val="0"/>
            <w:vAlign w:val="top"/>
          </w:tcPr>
          <w:p w14:paraId="29F82652">
            <w:pPr>
              <w:rPr>
                <w:rFonts w:hint="eastAsia" w:ascii="宋体" w:hAnsi="宋体" w:eastAsia="宋体" w:cs="宋体"/>
                <w:color w:val="000000" w:themeColor="text1"/>
                <w:sz w:val="21"/>
                <w:szCs w:val="21"/>
                <w:highlight w:val="none"/>
              </w:rPr>
            </w:pPr>
          </w:p>
        </w:tc>
        <w:tc>
          <w:tcPr>
            <w:tcW w:w="1450" w:type="dxa"/>
            <w:noWrap w:val="0"/>
            <w:vAlign w:val="top"/>
          </w:tcPr>
          <w:p w14:paraId="2A851D5E">
            <w:pPr>
              <w:rPr>
                <w:rFonts w:hint="eastAsia" w:ascii="宋体" w:hAnsi="宋体" w:eastAsia="宋体" w:cs="宋体"/>
                <w:color w:val="000000" w:themeColor="text1"/>
                <w:sz w:val="21"/>
                <w:szCs w:val="21"/>
                <w:highlight w:val="none"/>
              </w:rPr>
            </w:pPr>
          </w:p>
        </w:tc>
        <w:tc>
          <w:tcPr>
            <w:tcW w:w="1243" w:type="dxa"/>
            <w:noWrap w:val="0"/>
            <w:vAlign w:val="top"/>
          </w:tcPr>
          <w:p w14:paraId="2879AD5B">
            <w:pPr>
              <w:rPr>
                <w:rFonts w:hint="eastAsia" w:ascii="宋体" w:hAnsi="宋体" w:eastAsia="宋体" w:cs="宋体"/>
                <w:color w:val="000000" w:themeColor="text1"/>
                <w:sz w:val="21"/>
                <w:szCs w:val="21"/>
                <w:highlight w:val="none"/>
              </w:rPr>
            </w:pPr>
          </w:p>
        </w:tc>
        <w:tc>
          <w:tcPr>
            <w:tcW w:w="1450" w:type="dxa"/>
            <w:noWrap w:val="0"/>
            <w:vAlign w:val="top"/>
          </w:tcPr>
          <w:p w14:paraId="598F40DD">
            <w:pPr>
              <w:rPr>
                <w:rFonts w:hint="eastAsia" w:ascii="宋体" w:hAnsi="宋体" w:eastAsia="宋体" w:cs="宋体"/>
                <w:color w:val="000000" w:themeColor="text1"/>
                <w:sz w:val="21"/>
                <w:szCs w:val="21"/>
                <w:highlight w:val="none"/>
              </w:rPr>
            </w:pPr>
          </w:p>
        </w:tc>
        <w:tc>
          <w:tcPr>
            <w:tcW w:w="1667" w:type="dxa"/>
            <w:noWrap w:val="0"/>
            <w:vAlign w:val="top"/>
          </w:tcPr>
          <w:p w14:paraId="38A0AB67">
            <w:pPr>
              <w:rPr>
                <w:rFonts w:hint="eastAsia" w:ascii="宋体" w:hAnsi="宋体" w:eastAsia="宋体" w:cs="宋体"/>
                <w:color w:val="000000" w:themeColor="text1"/>
                <w:sz w:val="21"/>
                <w:szCs w:val="21"/>
                <w:highlight w:val="none"/>
              </w:rPr>
            </w:pPr>
          </w:p>
        </w:tc>
      </w:tr>
      <w:tr w14:paraId="6EB9B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top"/>
          </w:tcPr>
          <w:p w14:paraId="6FE6A58E">
            <w:pPr>
              <w:rPr>
                <w:rFonts w:hint="eastAsia" w:ascii="宋体" w:hAnsi="宋体" w:eastAsia="宋体" w:cs="宋体"/>
                <w:color w:val="000000" w:themeColor="text1"/>
                <w:sz w:val="21"/>
                <w:szCs w:val="21"/>
                <w:highlight w:val="none"/>
              </w:rPr>
            </w:pPr>
          </w:p>
        </w:tc>
        <w:tc>
          <w:tcPr>
            <w:tcW w:w="1276" w:type="dxa"/>
            <w:noWrap w:val="0"/>
            <w:vAlign w:val="top"/>
          </w:tcPr>
          <w:p w14:paraId="0D0124A1">
            <w:pPr>
              <w:rPr>
                <w:rFonts w:hint="eastAsia" w:ascii="宋体" w:hAnsi="宋体" w:eastAsia="宋体" w:cs="宋体"/>
                <w:color w:val="000000" w:themeColor="text1"/>
                <w:sz w:val="21"/>
                <w:szCs w:val="21"/>
                <w:highlight w:val="none"/>
              </w:rPr>
            </w:pPr>
          </w:p>
        </w:tc>
        <w:tc>
          <w:tcPr>
            <w:tcW w:w="1450" w:type="dxa"/>
            <w:noWrap w:val="0"/>
            <w:vAlign w:val="top"/>
          </w:tcPr>
          <w:p w14:paraId="52EB443F">
            <w:pPr>
              <w:rPr>
                <w:rFonts w:hint="eastAsia" w:ascii="宋体" w:hAnsi="宋体" w:eastAsia="宋体" w:cs="宋体"/>
                <w:color w:val="000000" w:themeColor="text1"/>
                <w:sz w:val="21"/>
                <w:szCs w:val="21"/>
                <w:highlight w:val="none"/>
              </w:rPr>
            </w:pPr>
          </w:p>
        </w:tc>
        <w:tc>
          <w:tcPr>
            <w:tcW w:w="1243" w:type="dxa"/>
            <w:noWrap w:val="0"/>
            <w:vAlign w:val="top"/>
          </w:tcPr>
          <w:p w14:paraId="45AA82B4">
            <w:pPr>
              <w:rPr>
                <w:rFonts w:hint="eastAsia" w:ascii="宋体" w:hAnsi="宋体" w:eastAsia="宋体" w:cs="宋体"/>
                <w:color w:val="000000" w:themeColor="text1"/>
                <w:sz w:val="21"/>
                <w:szCs w:val="21"/>
                <w:highlight w:val="none"/>
              </w:rPr>
            </w:pPr>
          </w:p>
        </w:tc>
        <w:tc>
          <w:tcPr>
            <w:tcW w:w="1450" w:type="dxa"/>
            <w:noWrap w:val="0"/>
            <w:vAlign w:val="top"/>
          </w:tcPr>
          <w:p w14:paraId="3DD96AAE">
            <w:pPr>
              <w:rPr>
                <w:rFonts w:hint="eastAsia" w:ascii="宋体" w:hAnsi="宋体" w:eastAsia="宋体" w:cs="宋体"/>
                <w:color w:val="000000" w:themeColor="text1"/>
                <w:sz w:val="21"/>
                <w:szCs w:val="21"/>
                <w:highlight w:val="none"/>
              </w:rPr>
            </w:pPr>
          </w:p>
        </w:tc>
        <w:tc>
          <w:tcPr>
            <w:tcW w:w="1667" w:type="dxa"/>
            <w:noWrap w:val="0"/>
            <w:vAlign w:val="top"/>
          </w:tcPr>
          <w:p w14:paraId="60A410A2">
            <w:pPr>
              <w:rPr>
                <w:rFonts w:hint="eastAsia" w:ascii="宋体" w:hAnsi="宋体" w:eastAsia="宋体" w:cs="宋体"/>
                <w:color w:val="000000" w:themeColor="text1"/>
                <w:sz w:val="21"/>
                <w:szCs w:val="21"/>
                <w:highlight w:val="none"/>
              </w:rPr>
            </w:pPr>
          </w:p>
        </w:tc>
      </w:tr>
      <w:tr w14:paraId="58383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C22AFD">
            <w:pPr>
              <w:rPr>
                <w:rFonts w:hint="eastAsia" w:ascii="宋体" w:hAnsi="宋体" w:eastAsia="宋体" w:cs="宋体"/>
                <w:color w:val="000000" w:themeColor="text1"/>
                <w:sz w:val="21"/>
                <w:szCs w:val="21"/>
                <w:highlight w:val="none"/>
              </w:rPr>
            </w:pPr>
          </w:p>
        </w:tc>
        <w:tc>
          <w:tcPr>
            <w:tcW w:w="1276" w:type="dxa"/>
            <w:noWrap w:val="0"/>
            <w:vAlign w:val="top"/>
          </w:tcPr>
          <w:p w14:paraId="123F3128">
            <w:pPr>
              <w:rPr>
                <w:rFonts w:hint="eastAsia" w:ascii="宋体" w:hAnsi="宋体" w:eastAsia="宋体" w:cs="宋体"/>
                <w:color w:val="000000" w:themeColor="text1"/>
                <w:sz w:val="21"/>
                <w:szCs w:val="21"/>
                <w:highlight w:val="none"/>
              </w:rPr>
            </w:pPr>
          </w:p>
        </w:tc>
        <w:tc>
          <w:tcPr>
            <w:tcW w:w="1450" w:type="dxa"/>
            <w:noWrap w:val="0"/>
            <w:vAlign w:val="top"/>
          </w:tcPr>
          <w:p w14:paraId="6BA78F7E">
            <w:pPr>
              <w:rPr>
                <w:rFonts w:hint="eastAsia" w:ascii="宋体" w:hAnsi="宋体" w:eastAsia="宋体" w:cs="宋体"/>
                <w:color w:val="000000" w:themeColor="text1"/>
                <w:sz w:val="21"/>
                <w:szCs w:val="21"/>
                <w:highlight w:val="none"/>
              </w:rPr>
            </w:pPr>
          </w:p>
        </w:tc>
        <w:tc>
          <w:tcPr>
            <w:tcW w:w="1243" w:type="dxa"/>
            <w:noWrap w:val="0"/>
            <w:vAlign w:val="top"/>
          </w:tcPr>
          <w:p w14:paraId="0A025D49">
            <w:pPr>
              <w:rPr>
                <w:rFonts w:hint="eastAsia" w:ascii="宋体" w:hAnsi="宋体" w:eastAsia="宋体" w:cs="宋体"/>
                <w:color w:val="000000" w:themeColor="text1"/>
                <w:sz w:val="21"/>
                <w:szCs w:val="21"/>
                <w:highlight w:val="none"/>
              </w:rPr>
            </w:pPr>
          </w:p>
        </w:tc>
        <w:tc>
          <w:tcPr>
            <w:tcW w:w="1450" w:type="dxa"/>
            <w:noWrap w:val="0"/>
            <w:vAlign w:val="top"/>
          </w:tcPr>
          <w:p w14:paraId="2C76DD12">
            <w:pPr>
              <w:rPr>
                <w:rFonts w:hint="eastAsia" w:ascii="宋体" w:hAnsi="宋体" w:eastAsia="宋体" w:cs="宋体"/>
                <w:color w:val="000000" w:themeColor="text1"/>
                <w:sz w:val="21"/>
                <w:szCs w:val="21"/>
                <w:highlight w:val="none"/>
              </w:rPr>
            </w:pPr>
          </w:p>
        </w:tc>
        <w:tc>
          <w:tcPr>
            <w:tcW w:w="1667" w:type="dxa"/>
            <w:noWrap w:val="0"/>
            <w:vAlign w:val="top"/>
          </w:tcPr>
          <w:p w14:paraId="5FE1BAB4">
            <w:pPr>
              <w:rPr>
                <w:rFonts w:hint="eastAsia" w:ascii="宋体" w:hAnsi="宋体" w:eastAsia="宋体" w:cs="宋体"/>
                <w:color w:val="000000" w:themeColor="text1"/>
                <w:sz w:val="21"/>
                <w:szCs w:val="21"/>
                <w:highlight w:val="none"/>
              </w:rPr>
            </w:pPr>
          </w:p>
        </w:tc>
      </w:tr>
      <w:tr w14:paraId="75D2C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73E1BF6">
            <w:pPr>
              <w:rPr>
                <w:rFonts w:hint="eastAsia" w:ascii="宋体" w:hAnsi="宋体" w:eastAsia="宋体" w:cs="宋体"/>
                <w:color w:val="000000" w:themeColor="text1"/>
                <w:sz w:val="21"/>
                <w:szCs w:val="21"/>
                <w:highlight w:val="none"/>
              </w:rPr>
            </w:pPr>
          </w:p>
        </w:tc>
        <w:tc>
          <w:tcPr>
            <w:tcW w:w="1276" w:type="dxa"/>
            <w:noWrap w:val="0"/>
            <w:vAlign w:val="top"/>
          </w:tcPr>
          <w:p w14:paraId="093DED8B">
            <w:pPr>
              <w:rPr>
                <w:rFonts w:hint="eastAsia" w:ascii="宋体" w:hAnsi="宋体" w:eastAsia="宋体" w:cs="宋体"/>
                <w:color w:val="000000" w:themeColor="text1"/>
                <w:sz w:val="21"/>
                <w:szCs w:val="21"/>
                <w:highlight w:val="none"/>
              </w:rPr>
            </w:pPr>
          </w:p>
        </w:tc>
        <w:tc>
          <w:tcPr>
            <w:tcW w:w="1450" w:type="dxa"/>
            <w:noWrap w:val="0"/>
            <w:vAlign w:val="top"/>
          </w:tcPr>
          <w:p w14:paraId="1A14D1F4">
            <w:pPr>
              <w:rPr>
                <w:rFonts w:hint="eastAsia" w:ascii="宋体" w:hAnsi="宋体" w:eastAsia="宋体" w:cs="宋体"/>
                <w:color w:val="000000" w:themeColor="text1"/>
                <w:sz w:val="21"/>
                <w:szCs w:val="21"/>
                <w:highlight w:val="none"/>
              </w:rPr>
            </w:pPr>
          </w:p>
        </w:tc>
        <w:tc>
          <w:tcPr>
            <w:tcW w:w="1243" w:type="dxa"/>
            <w:noWrap w:val="0"/>
            <w:vAlign w:val="top"/>
          </w:tcPr>
          <w:p w14:paraId="30CDD9CC">
            <w:pPr>
              <w:rPr>
                <w:rFonts w:hint="eastAsia" w:ascii="宋体" w:hAnsi="宋体" w:eastAsia="宋体" w:cs="宋体"/>
                <w:color w:val="000000" w:themeColor="text1"/>
                <w:sz w:val="21"/>
                <w:szCs w:val="21"/>
                <w:highlight w:val="none"/>
              </w:rPr>
            </w:pPr>
          </w:p>
        </w:tc>
        <w:tc>
          <w:tcPr>
            <w:tcW w:w="1450" w:type="dxa"/>
            <w:noWrap w:val="0"/>
            <w:vAlign w:val="top"/>
          </w:tcPr>
          <w:p w14:paraId="00AF6F1C">
            <w:pPr>
              <w:rPr>
                <w:rFonts w:hint="eastAsia" w:ascii="宋体" w:hAnsi="宋体" w:eastAsia="宋体" w:cs="宋体"/>
                <w:color w:val="000000" w:themeColor="text1"/>
                <w:sz w:val="21"/>
                <w:szCs w:val="21"/>
                <w:highlight w:val="none"/>
              </w:rPr>
            </w:pPr>
          </w:p>
        </w:tc>
        <w:tc>
          <w:tcPr>
            <w:tcW w:w="1667" w:type="dxa"/>
            <w:noWrap w:val="0"/>
            <w:vAlign w:val="top"/>
          </w:tcPr>
          <w:p w14:paraId="494026DD">
            <w:pPr>
              <w:rPr>
                <w:rFonts w:hint="eastAsia" w:ascii="宋体" w:hAnsi="宋体" w:eastAsia="宋体" w:cs="宋体"/>
                <w:color w:val="000000" w:themeColor="text1"/>
                <w:sz w:val="21"/>
                <w:szCs w:val="21"/>
                <w:highlight w:val="none"/>
              </w:rPr>
            </w:pPr>
          </w:p>
        </w:tc>
      </w:tr>
      <w:tr w14:paraId="7B49D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74E9B16">
            <w:pPr>
              <w:rPr>
                <w:rFonts w:hint="eastAsia" w:ascii="宋体" w:hAnsi="宋体" w:eastAsia="宋体" w:cs="宋体"/>
                <w:color w:val="000000" w:themeColor="text1"/>
                <w:sz w:val="21"/>
                <w:szCs w:val="21"/>
                <w:highlight w:val="none"/>
              </w:rPr>
            </w:pPr>
          </w:p>
        </w:tc>
        <w:tc>
          <w:tcPr>
            <w:tcW w:w="1276" w:type="dxa"/>
            <w:noWrap w:val="0"/>
            <w:vAlign w:val="top"/>
          </w:tcPr>
          <w:p w14:paraId="19F777D1">
            <w:pPr>
              <w:rPr>
                <w:rFonts w:hint="eastAsia" w:ascii="宋体" w:hAnsi="宋体" w:eastAsia="宋体" w:cs="宋体"/>
                <w:color w:val="000000" w:themeColor="text1"/>
                <w:sz w:val="21"/>
                <w:szCs w:val="21"/>
                <w:highlight w:val="none"/>
              </w:rPr>
            </w:pPr>
          </w:p>
        </w:tc>
        <w:tc>
          <w:tcPr>
            <w:tcW w:w="1450" w:type="dxa"/>
            <w:noWrap w:val="0"/>
            <w:vAlign w:val="top"/>
          </w:tcPr>
          <w:p w14:paraId="27C40C2C">
            <w:pPr>
              <w:rPr>
                <w:rFonts w:hint="eastAsia" w:ascii="宋体" w:hAnsi="宋体" w:eastAsia="宋体" w:cs="宋体"/>
                <w:color w:val="000000" w:themeColor="text1"/>
                <w:sz w:val="21"/>
                <w:szCs w:val="21"/>
                <w:highlight w:val="none"/>
              </w:rPr>
            </w:pPr>
          </w:p>
        </w:tc>
        <w:tc>
          <w:tcPr>
            <w:tcW w:w="1243" w:type="dxa"/>
            <w:noWrap w:val="0"/>
            <w:vAlign w:val="top"/>
          </w:tcPr>
          <w:p w14:paraId="338882A7">
            <w:pPr>
              <w:rPr>
                <w:rFonts w:hint="eastAsia" w:ascii="宋体" w:hAnsi="宋体" w:eastAsia="宋体" w:cs="宋体"/>
                <w:color w:val="000000" w:themeColor="text1"/>
                <w:sz w:val="21"/>
                <w:szCs w:val="21"/>
                <w:highlight w:val="none"/>
              </w:rPr>
            </w:pPr>
          </w:p>
        </w:tc>
        <w:tc>
          <w:tcPr>
            <w:tcW w:w="1450" w:type="dxa"/>
            <w:noWrap w:val="0"/>
            <w:vAlign w:val="top"/>
          </w:tcPr>
          <w:p w14:paraId="16ABB6E3">
            <w:pPr>
              <w:rPr>
                <w:rFonts w:hint="eastAsia" w:ascii="宋体" w:hAnsi="宋体" w:eastAsia="宋体" w:cs="宋体"/>
                <w:color w:val="000000" w:themeColor="text1"/>
                <w:sz w:val="21"/>
                <w:szCs w:val="21"/>
                <w:highlight w:val="none"/>
              </w:rPr>
            </w:pPr>
          </w:p>
        </w:tc>
        <w:tc>
          <w:tcPr>
            <w:tcW w:w="1667" w:type="dxa"/>
            <w:noWrap w:val="0"/>
            <w:vAlign w:val="top"/>
          </w:tcPr>
          <w:p w14:paraId="34EE61E3">
            <w:pPr>
              <w:rPr>
                <w:rFonts w:hint="eastAsia" w:ascii="宋体" w:hAnsi="宋体" w:eastAsia="宋体" w:cs="宋体"/>
                <w:color w:val="000000" w:themeColor="text1"/>
                <w:sz w:val="21"/>
                <w:szCs w:val="21"/>
                <w:highlight w:val="none"/>
              </w:rPr>
            </w:pPr>
          </w:p>
        </w:tc>
      </w:tr>
      <w:tr w14:paraId="22155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CDAAE3">
            <w:pPr>
              <w:rPr>
                <w:rFonts w:hint="eastAsia" w:ascii="宋体" w:hAnsi="宋体" w:eastAsia="宋体" w:cs="宋体"/>
                <w:color w:val="000000" w:themeColor="text1"/>
                <w:sz w:val="21"/>
                <w:szCs w:val="21"/>
                <w:highlight w:val="none"/>
              </w:rPr>
            </w:pPr>
          </w:p>
        </w:tc>
        <w:tc>
          <w:tcPr>
            <w:tcW w:w="1276" w:type="dxa"/>
            <w:noWrap w:val="0"/>
            <w:vAlign w:val="top"/>
          </w:tcPr>
          <w:p w14:paraId="7C038ADC">
            <w:pPr>
              <w:rPr>
                <w:rFonts w:hint="eastAsia" w:ascii="宋体" w:hAnsi="宋体" w:eastAsia="宋体" w:cs="宋体"/>
                <w:color w:val="000000" w:themeColor="text1"/>
                <w:sz w:val="21"/>
                <w:szCs w:val="21"/>
                <w:highlight w:val="none"/>
              </w:rPr>
            </w:pPr>
          </w:p>
        </w:tc>
        <w:tc>
          <w:tcPr>
            <w:tcW w:w="1450" w:type="dxa"/>
            <w:noWrap w:val="0"/>
            <w:vAlign w:val="top"/>
          </w:tcPr>
          <w:p w14:paraId="56D81AA8">
            <w:pPr>
              <w:rPr>
                <w:rFonts w:hint="eastAsia" w:ascii="宋体" w:hAnsi="宋体" w:eastAsia="宋体" w:cs="宋体"/>
                <w:color w:val="000000" w:themeColor="text1"/>
                <w:sz w:val="21"/>
                <w:szCs w:val="21"/>
                <w:highlight w:val="none"/>
              </w:rPr>
            </w:pPr>
          </w:p>
        </w:tc>
        <w:tc>
          <w:tcPr>
            <w:tcW w:w="1243" w:type="dxa"/>
            <w:noWrap w:val="0"/>
            <w:vAlign w:val="top"/>
          </w:tcPr>
          <w:p w14:paraId="75B60EA4">
            <w:pPr>
              <w:rPr>
                <w:rFonts w:hint="eastAsia" w:ascii="宋体" w:hAnsi="宋体" w:eastAsia="宋体" w:cs="宋体"/>
                <w:color w:val="000000" w:themeColor="text1"/>
                <w:sz w:val="21"/>
                <w:szCs w:val="21"/>
                <w:highlight w:val="none"/>
              </w:rPr>
            </w:pPr>
          </w:p>
        </w:tc>
        <w:tc>
          <w:tcPr>
            <w:tcW w:w="1450" w:type="dxa"/>
            <w:noWrap w:val="0"/>
            <w:vAlign w:val="top"/>
          </w:tcPr>
          <w:p w14:paraId="5299E332">
            <w:pPr>
              <w:rPr>
                <w:rFonts w:hint="eastAsia" w:ascii="宋体" w:hAnsi="宋体" w:eastAsia="宋体" w:cs="宋体"/>
                <w:color w:val="000000" w:themeColor="text1"/>
                <w:sz w:val="21"/>
                <w:szCs w:val="21"/>
                <w:highlight w:val="none"/>
              </w:rPr>
            </w:pPr>
          </w:p>
        </w:tc>
        <w:tc>
          <w:tcPr>
            <w:tcW w:w="1667" w:type="dxa"/>
            <w:noWrap w:val="0"/>
            <w:vAlign w:val="top"/>
          </w:tcPr>
          <w:p w14:paraId="190B7899">
            <w:pPr>
              <w:rPr>
                <w:rFonts w:hint="eastAsia" w:ascii="宋体" w:hAnsi="宋体" w:eastAsia="宋体" w:cs="宋体"/>
                <w:color w:val="000000" w:themeColor="text1"/>
                <w:sz w:val="21"/>
                <w:szCs w:val="21"/>
                <w:highlight w:val="none"/>
              </w:rPr>
            </w:pPr>
          </w:p>
        </w:tc>
      </w:tr>
    </w:tbl>
    <w:p w14:paraId="151A8070">
      <w:pPr>
        <w:spacing w:line="440" w:lineRule="exact"/>
        <w:rPr>
          <w:rFonts w:hint="eastAsia" w:ascii="宋体" w:hAnsi="宋体" w:eastAsia="宋体" w:cs="宋体"/>
          <w:color w:val="000000" w:themeColor="text1"/>
          <w:sz w:val="21"/>
          <w:szCs w:val="21"/>
          <w:highlight w:val="none"/>
        </w:rPr>
      </w:pPr>
    </w:p>
    <w:p w14:paraId="754EC95B">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br w:type="page"/>
      </w:r>
      <w:r>
        <w:rPr>
          <w:rFonts w:hint="eastAsia" w:ascii="宋体" w:hAnsi="宋体" w:eastAsia="宋体" w:cs="宋体"/>
          <w:color w:val="000000" w:themeColor="text1"/>
          <w:sz w:val="21"/>
          <w:szCs w:val="21"/>
          <w:highlight w:val="none"/>
        </w:rPr>
        <w:t>附件</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w:t>
      </w:r>
    </w:p>
    <w:p w14:paraId="41A50933">
      <w:pPr>
        <w:spacing w:before="120" w:beforeLines="50" w:after="120" w:afterLines="50"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承包人用于本工程施工的机械设备表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798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6E97A35E">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18" w:type="dxa"/>
            <w:noWrap w:val="0"/>
            <w:vAlign w:val="center"/>
          </w:tcPr>
          <w:p w14:paraId="432E852A">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机械或设备名称</w:t>
            </w:r>
          </w:p>
        </w:tc>
        <w:tc>
          <w:tcPr>
            <w:tcW w:w="850" w:type="dxa"/>
            <w:noWrap w:val="0"/>
            <w:vAlign w:val="center"/>
          </w:tcPr>
          <w:p w14:paraId="5D0EC6FD">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规格型号</w:t>
            </w:r>
          </w:p>
        </w:tc>
        <w:tc>
          <w:tcPr>
            <w:tcW w:w="1058" w:type="dxa"/>
            <w:noWrap w:val="0"/>
            <w:vAlign w:val="center"/>
          </w:tcPr>
          <w:p w14:paraId="4AB800F2">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w:t>
            </w:r>
          </w:p>
        </w:tc>
        <w:tc>
          <w:tcPr>
            <w:tcW w:w="880" w:type="dxa"/>
            <w:noWrap w:val="0"/>
            <w:vAlign w:val="center"/>
          </w:tcPr>
          <w:p w14:paraId="05176DD3">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产地</w:t>
            </w:r>
          </w:p>
        </w:tc>
        <w:tc>
          <w:tcPr>
            <w:tcW w:w="1020" w:type="dxa"/>
            <w:noWrap w:val="0"/>
            <w:vAlign w:val="center"/>
          </w:tcPr>
          <w:p w14:paraId="1B1A89F0">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制造年份</w:t>
            </w:r>
          </w:p>
        </w:tc>
        <w:tc>
          <w:tcPr>
            <w:tcW w:w="1480" w:type="dxa"/>
            <w:noWrap w:val="0"/>
            <w:vAlign w:val="center"/>
          </w:tcPr>
          <w:p w14:paraId="47888DAE">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额定功率（kW）</w:t>
            </w:r>
          </w:p>
        </w:tc>
        <w:tc>
          <w:tcPr>
            <w:tcW w:w="1020" w:type="dxa"/>
            <w:noWrap w:val="0"/>
            <w:vAlign w:val="center"/>
          </w:tcPr>
          <w:p w14:paraId="172B6078">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生产能力</w:t>
            </w:r>
          </w:p>
        </w:tc>
        <w:tc>
          <w:tcPr>
            <w:tcW w:w="921" w:type="dxa"/>
            <w:noWrap w:val="0"/>
            <w:vAlign w:val="center"/>
          </w:tcPr>
          <w:p w14:paraId="3AB4A542">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备注</w:t>
            </w:r>
          </w:p>
        </w:tc>
      </w:tr>
      <w:tr w14:paraId="45F0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736126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033D0A8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7E672FF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38FC407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1DE5482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6BABC57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133AD64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0CB02A6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5DBCCBA2">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6769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8D3D12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4A298D1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3983DA9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44C0FBD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69C2CAA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41A56B7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6C53147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20F4750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280052D0">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4E75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F08EA3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0ABA7D4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0BA150E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6B63D06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7D68C25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0027744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4CE5ED2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5D2BB19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1E83B34B">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56E9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F7AF02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25B7DAD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4903E0E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3A5B6DB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15E55B7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25F0CC2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40EFECD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4E0B9E5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15DFB6C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5BC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EB708D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0890510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73A9F84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20168EE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75A4CE2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0CAB619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76366E7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30879CE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09F8EA1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0929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17909F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7A6626A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2D55F76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64F28A7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293F2C0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1A95083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15414E6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571B544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5737D88C">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6F8B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2D9D3D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435E263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617AC42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773A190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2E3B584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18A8B7B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6115DB0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4197121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03183C6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7A69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499CAD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7A2928B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2C1B53B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12D0B59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369A623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6E4782F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3C96809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7BB04AD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5DA6C4E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01B3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D6F4F9A">
            <w:pPr>
              <w:rPr>
                <w:rFonts w:hint="eastAsia" w:ascii="宋体" w:hAnsi="宋体" w:eastAsia="宋体" w:cs="宋体"/>
                <w:color w:val="000000" w:themeColor="text1"/>
                <w:sz w:val="21"/>
                <w:szCs w:val="21"/>
                <w:highlight w:val="none"/>
              </w:rPr>
            </w:pPr>
          </w:p>
        </w:tc>
        <w:tc>
          <w:tcPr>
            <w:tcW w:w="1418" w:type="dxa"/>
            <w:noWrap w:val="0"/>
            <w:vAlign w:val="top"/>
          </w:tcPr>
          <w:p w14:paraId="55479224">
            <w:pPr>
              <w:rPr>
                <w:rFonts w:hint="eastAsia" w:ascii="宋体" w:hAnsi="宋体" w:eastAsia="宋体" w:cs="宋体"/>
                <w:color w:val="000000" w:themeColor="text1"/>
                <w:sz w:val="21"/>
                <w:szCs w:val="21"/>
                <w:highlight w:val="none"/>
              </w:rPr>
            </w:pPr>
          </w:p>
        </w:tc>
        <w:tc>
          <w:tcPr>
            <w:tcW w:w="850" w:type="dxa"/>
            <w:noWrap w:val="0"/>
            <w:vAlign w:val="top"/>
          </w:tcPr>
          <w:p w14:paraId="6A21ED27">
            <w:pPr>
              <w:rPr>
                <w:rFonts w:hint="eastAsia" w:ascii="宋体" w:hAnsi="宋体" w:eastAsia="宋体" w:cs="宋体"/>
                <w:color w:val="000000" w:themeColor="text1"/>
                <w:sz w:val="21"/>
                <w:szCs w:val="21"/>
                <w:highlight w:val="none"/>
              </w:rPr>
            </w:pPr>
          </w:p>
        </w:tc>
        <w:tc>
          <w:tcPr>
            <w:tcW w:w="1058" w:type="dxa"/>
            <w:noWrap w:val="0"/>
            <w:vAlign w:val="top"/>
          </w:tcPr>
          <w:p w14:paraId="7020AC76">
            <w:pPr>
              <w:rPr>
                <w:rFonts w:hint="eastAsia" w:ascii="宋体" w:hAnsi="宋体" w:eastAsia="宋体" w:cs="宋体"/>
                <w:color w:val="000000" w:themeColor="text1"/>
                <w:sz w:val="21"/>
                <w:szCs w:val="21"/>
                <w:highlight w:val="none"/>
              </w:rPr>
            </w:pPr>
          </w:p>
        </w:tc>
        <w:tc>
          <w:tcPr>
            <w:tcW w:w="880" w:type="dxa"/>
            <w:noWrap w:val="0"/>
            <w:vAlign w:val="top"/>
          </w:tcPr>
          <w:p w14:paraId="6457A536">
            <w:pPr>
              <w:rPr>
                <w:rFonts w:hint="eastAsia" w:ascii="宋体" w:hAnsi="宋体" w:eastAsia="宋体" w:cs="宋体"/>
                <w:color w:val="000000" w:themeColor="text1"/>
                <w:sz w:val="21"/>
                <w:szCs w:val="21"/>
                <w:highlight w:val="none"/>
              </w:rPr>
            </w:pPr>
          </w:p>
        </w:tc>
        <w:tc>
          <w:tcPr>
            <w:tcW w:w="1020" w:type="dxa"/>
            <w:noWrap w:val="0"/>
            <w:vAlign w:val="top"/>
          </w:tcPr>
          <w:p w14:paraId="736CA547">
            <w:pPr>
              <w:rPr>
                <w:rFonts w:hint="eastAsia" w:ascii="宋体" w:hAnsi="宋体" w:eastAsia="宋体" w:cs="宋体"/>
                <w:color w:val="000000" w:themeColor="text1"/>
                <w:sz w:val="21"/>
                <w:szCs w:val="21"/>
                <w:highlight w:val="none"/>
              </w:rPr>
            </w:pPr>
          </w:p>
        </w:tc>
        <w:tc>
          <w:tcPr>
            <w:tcW w:w="1480" w:type="dxa"/>
            <w:noWrap w:val="0"/>
            <w:vAlign w:val="top"/>
          </w:tcPr>
          <w:p w14:paraId="42194E1B">
            <w:pPr>
              <w:rPr>
                <w:rFonts w:hint="eastAsia" w:ascii="宋体" w:hAnsi="宋体" w:eastAsia="宋体" w:cs="宋体"/>
                <w:color w:val="000000" w:themeColor="text1"/>
                <w:sz w:val="21"/>
                <w:szCs w:val="21"/>
                <w:highlight w:val="none"/>
              </w:rPr>
            </w:pPr>
          </w:p>
        </w:tc>
        <w:tc>
          <w:tcPr>
            <w:tcW w:w="1020" w:type="dxa"/>
            <w:noWrap w:val="0"/>
            <w:vAlign w:val="top"/>
          </w:tcPr>
          <w:p w14:paraId="69FD6B9C">
            <w:pPr>
              <w:rPr>
                <w:rFonts w:hint="eastAsia" w:ascii="宋体" w:hAnsi="宋体" w:eastAsia="宋体" w:cs="宋体"/>
                <w:color w:val="000000" w:themeColor="text1"/>
                <w:sz w:val="21"/>
                <w:szCs w:val="21"/>
                <w:highlight w:val="none"/>
              </w:rPr>
            </w:pPr>
          </w:p>
        </w:tc>
        <w:tc>
          <w:tcPr>
            <w:tcW w:w="921" w:type="dxa"/>
            <w:noWrap w:val="0"/>
            <w:vAlign w:val="top"/>
          </w:tcPr>
          <w:p w14:paraId="53C06E95">
            <w:pPr>
              <w:rPr>
                <w:rFonts w:hint="eastAsia" w:ascii="宋体" w:hAnsi="宋体" w:eastAsia="宋体" w:cs="宋体"/>
                <w:color w:val="000000" w:themeColor="text1"/>
                <w:sz w:val="21"/>
                <w:szCs w:val="21"/>
                <w:highlight w:val="none"/>
              </w:rPr>
            </w:pPr>
          </w:p>
        </w:tc>
      </w:tr>
      <w:tr w14:paraId="6D95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1FD1A9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48594EF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50" w:type="dxa"/>
            <w:noWrap w:val="0"/>
            <w:vAlign w:val="center"/>
          </w:tcPr>
          <w:p w14:paraId="504A500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58" w:type="dxa"/>
            <w:noWrap w:val="0"/>
            <w:vAlign w:val="center"/>
          </w:tcPr>
          <w:p w14:paraId="2F34CF9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880" w:type="dxa"/>
            <w:noWrap w:val="0"/>
            <w:vAlign w:val="center"/>
          </w:tcPr>
          <w:p w14:paraId="3BF40D2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4BB6BBD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80" w:type="dxa"/>
            <w:noWrap w:val="0"/>
            <w:vAlign w:val="center"/>
          </w:tcPr>
          <w:p w14:paraId="0604C87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020" w:type="dxa"/>
            <w:noWrap w:val="0"/>
            <w:vAlign w:val="center"/>
          </w:tcPr>
          <w:p w14:paraId="6FEE649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921" w:type="dxa"/>
            <w:noWrap w:val="0"/>
            <w:vAlign w:val="center"/>
          </w:tcPr>
          <w:p w14:paraId="1F7AE0C4">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7285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09B3E2F">
            <w:pPr>
              <w:rPr>
                <w:rFonts w:hint="eastAsia" w:ascii="宋体" w:hAnsi="宋体" w:eastAsia="宋体" w:cs="宋体"/>
                <w:color w:val="000000" w:themeColor="text1"/>
                <w:sz w:val="21"/>
                <w:szCs w:val="21"/>
                <w:highlight w:val="none"/>
              </w:rPr>
            </w:pPr>
          </w:p>
        </w:tc>
        <w:tc>
          <w:tcPr>
            <w:tcW w:w="1418" w:type="dxa"/>
            <w:noWrap w:val="0"/>
            <w:vAlign w:val="top"/>
          </w:tcPr>
          <w:p w14:paraId="083DC645">
            <w:pPr>
              <w:rPr>
                <w:rFonts w:hint="eastAsia" w:ascii="宋体" w:hAnsi="宋体" w:eastAsia="宋体" w:cs="宋体"/>
                <w:color w:val="000000" w:themeColor="text1"/>
                <w:sz w:val="21"/>
                <w:szCs w:val="21"/>
                <w:highlight w:val="none"/>
              </w:rPr>
            </w:pPr>
          </w:p>
        </w:tc>
        <w:tc>
          <w:tcPr>
            <w:tcW w:w="850" w:type="dxa"/>
            <w:noWrap w:val="0"/>
            <w:vAlign w:val="top"/>
          </w:tcPr>
          <w:p w14:paraId="78A562E0">
            <w:pPr>
              <w:rPr>
                <w:rFonts w:hint="eastAsia" w:ascii="宋体" w:hAnsi="宋体" w:eastAsia="宋体" w:cs="宋体"/>
                <w:color w:val="000000" w:themeColor="text1"/>
                <w:sz w:val="21"/>
                <w:szCs w:val="21"/>
                <w:highlight w:val="none"/>
              </w:rPr>
            </w:pPr>
          </w:p>
        </w:tc>
        <w:tc>
          <w:tcPr>
            <w:tcW w:w="1058" w:type="dxa"/>
            <w:noWrap w:val="0"/>
            <w:vAlign w:val="top"/>
          </w:tcPr>
          <w:p w14:paraId="722C2B92">
            <w:pPr>
              <w:rPr>
                <w:rFonts w:hint="eastAsia" w:ascii="宋体" w:hAnsi="宋体" w:eastAsia="宋体" w:cs="宋体"/>
                <w:color w:val="000000" w:themeColor="text1"/>
                <w:sz w:val="21"/>
                <w:szCs w:val="21"/>
                <w:highlight w:val="none"/>
              </w:rPr>
            </w:pPr>
          </w:p>
        </w:tc>
        <w:tc>
          <w:tcPr>
            <w:tcW w:w="880" w:type="dxa"/>
            <w:noWrap w:val="0"/>
            <w:vAlign w:val="top"/>
          </w:tcPr>
          <w:p w14:paraId="7D576734">
            <w:pPr>
              <w:rPr>
                <w:rFonts w:hint="eastAsia" w:ascii="宋体" w:hAnsi="宋体" w:eastAsia="宋体" w:cs="宋体"/>
                <w:color w:val="000000" w:themeColor="text1"/>
                <w:sz w:val="21"/>
                <w:szCs w:val="21"/>
                <w:highlight w:val="none"/>
              </w:rPr>
            </w:pPr>
          </w:p>
        </w:tc>
        <w:tc>
          <w:tcPr>
            <w:tcW w:w="1020" w:type="dxa"/>
            <w:noWrap w:val="0"/>
            <w:vAlign w:val="top"/>
          </w:tcPr>
          <w:p w14:paraId="209C6787">
            <w:pPr>
              <w:rPr>
                <w:rFonts w:hint="eastAsia" w:ascii="宋体" w:hAnsi="宋体" w:eastAsia="宋体" w:cs="宋体"/>
                <w:color w:val="000000" w:themeColor="text1"/>
                <w:sz w:val="21"/>
                <w:szCs w:val="21"/>
                <w:highlight w:val="none"/>
              </w:rPr>
            </w:pPr>
          </w:p>
        </w:tc>
        <w:tc>
          <w:tcPr>
            <w:tcW w:w="1480" w:type="dxa"/>
            <w:noWrap w:val="0"/>
            <w:vAlign w:val="top"/>
          </w:tcPr>
          <w:p w14:paraId="6BC7C8B1">
            <w:pPr>
              <w:rPr>
                <w:rFonts w:hint="eastAsia" w:ascii="宋体" w:hAnsi="宋体" w:eastAsia="宋体" w:cs="宋体"/>
                <w:color w:val="000000" w:themeColor="text1"/>
                <w:sz w:val="21"/>
                <w:szCs w:val="21"/>
                <w:highlight w:val="none"/>
              </w:rPr>
            </w:pPr>
          </w:p>
        </w:tc>
        <w:tc>
          <w:tcPr>
            <w:tcW w:w="1020" w:type="dxa"/>
            <w:noWrap w:val="0"/>
            <w:vAlign w:val="top"/>
          </w:tcPr>
          <w:p w14:paraId="6635FBFC">
            <w:pPr>
              <w:rPr>
                <w:rFonts w:hint="eastAsia" w:ascii="宋体" w:hAnsi="宋体" w:eastAsia="宋体" w:cs="宋体"/>
                <w:color w:val="000000" w:themeColor="text1"/>
                <w:sz w:val="21"/>
                <w:szCs w:val="21"/>
                <w:highlight w:val="none"/>
              </w:rPr>
            </w:pPr>
          </w:p>
        </w:tc>
        <w:tc>
          <w:tcPr>
            <w:tcW w:w="921" w:type="dxa"/>
            <w:noWrap w:val="0"/>
            <w:vAlign w:val="top"/>
          </w:tcPr>
          <w:p w14:paraId="09005461">
            <w:pPr>
              <w:rPr>
                <w:rFonts w:hint="eastAsia" w:ascii="宋体" w:hAnsi="宋体" w:eastAsia="宋体" w:cs="宋体"/>
                <w:color w:val="000000" w:themeColor="text1"/>
                <w:sz w:val="21"/>
                <w:szCs w:val="21"/>
                <w:highlight w:val="none"/>
              </w:rPr>
            </w:pPr>
          </w:p>
        </w:tc>
      </w:tr>
      <w:tr w14:paraId="0408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6E1FB85">
            <w:pPr>
              <w:rPr>
                <w:rFonts w:hint="eastAsia" w:ascii="宋体" w:hAnsi="宋体" w:eastAsia="宋体" w:cs="宋体"/>
                <w:color w:val="000000" w:themeColor="text1"/>
                <w:sz w:val="21"/>
                <w:szCs w:val="21"/>
                <w:highlight w:val="none"/>
              </w:rPr>
            </w:pPr>
          </w:p>
        </w:tc>
        <w:tc>
          <w:tcPr>
            <w:tcW w:w="1418" w:type="dxa"/>
            <w:noWrap w:val="0"/>
            <w:vAlign w:val="top"/>
          </w:tcPr>
          <w:p w14:paraId="677971FA">
            <w:pPr>
              <w:rPr>
                <w:rFonts w:hint="eastAsia" w:ascii="宋体" w:hAnsi="宋体" w:eastAsia="宋体" w:cs="宋体"/>
                <w:color w:val="000000" w:themeColor="text1"/>
                <w:sz w:val="21"/>
                <w:szCs w:val="21"/>
                <w:highlight w:val="none"/>
              </w:rPr>
            </w:pPr>
          </w:p>
        </w:tc>
        <w:tc>
          <w:tcPr>
            <w:tcW w:w="850" w:type="dxa"/>
            <w:noWrap w:val="0"/>
            <w:vAlign w:val="top"/>
          </w:tcPr>
          <w:p w14:paraId="08961BEC">
            <w:pPr>
              <w:rPr>
                <w:rFonts w:hint="eastAsia" w:ascii="宋体" w:hAnsi="宋体" w:eastAsia="宋体" w:cs="宋体"/>
                <w:color w:val="000000" w:themeColor="text1"/>
                <w:sz w:val="21"/>
                <w:szCs w:val="21"/>
                <w:highlight w:val="none"/>
              </w:rPr>
            </w:pPr>
          </w:p>
        </w:tc>
        <w:tc>
          <w:tcPr>
            <w:tcW w:w="1058" w:type="dxa"/>
            <w:noWrap w:val="0"/>
            <w:vAlign w:val="top"/>
          </w:tcPr>
          <w:p w14:paraId="5AF3D2B5">
            <w:pPr>
              <w:rPr>
                <w:rFonts w:hint="eastAsia" w:ascii="宋体" w:hAnsi="宋体" w:eastAsia="宋体" w:cs="宋体"/>
                <w:color w:val="000000" w:themeColor="text1"/>
                <w:sz w:val="21"/>
                <w:szCs w:val="21"/>
                <w:highlight w:val="none"/>
              </w:rPr>
            </w:pPr>
          </w:p>
        </w:tc>
        <w:tc>
          <w:tcPr>
            <w:tcW w:w="880" w:type="dxa"/>
            <w:noWrap w:val="0"/>
            <w:vAlign w:val="top"/>
          </w:tcPr>
          <w:p w14:paraId="08A5B0ED">
            <w:pPr>
              <w:rPr>
                <w:rFonts w:hint="eastAsia" w:ascii="宋体" w:hAnsi="宋体" w:eastAsia="宋体" w:cs="宋体"/>
                <w:color w:val="000000" w:themeColor="text1"/>
                <w:sz w:val="21"/>
                <w:szCs w:val="21"/>
                <w:highlight w:val="none"/>
              </w:rPr>
            </w:pPr>
          </w:p>
        </w:tc>
        <w:tc>
          <w:tcPr>
            <w:tcW w:w="1020" w:type="dxa"/>
            <w:noWrap w:val="0"/>
            <w:vAlign w:val="top"/>
          </w:tcPr>
          <w:p w14:paraId="7786653F">
            <w:pPr>
              <w:rPr>
                <w:rFonts w:hint="eastAsia" w:ascii="宋体" w:hAnsi="宋体" w:eastAsia="宋体" w:cs="宋体"/>
                <w:color w:val="000000" w:themeColor="text1"/>
                <w:sz w:val="21"/>
                <w:szCs w:val="21"/>
                <w:highlight w:val="none"/>
              </w:rPr>
            </w:pPr>
          </w:p>
        </w:tc>
        <w:tc>
          <w:tcPr>
            <w:tcW w:w="1480" w:type="dxa"/>
            <w:noWrap w:val="0"/>
            <w:vAlign w:val="top"/>
          </w:tcPr>
          <w:p w14:paraId="47CE4717">
            <w:pPr>
              <w:rPr>
                <w:rFonts w:hint="eastAsia" w:ascii="宋体" w:hAnsi="宋体" w:eastAsia="宋体" w:cs="宋体"/>
                <w:color w:val="000000" w:themeColor="text1"/>
                <w:sz w:val="21"/>
                <w:szCs w:val="21"/>
                <w:highlight w:val="none"/>
              </w:rPr>
            </w:pPr>
          </w:p>
        </w:tc>
        <w:tc>
          <w:tcPr>
            <w:tcW w:w="1020" w:type="dxa"/>
            <w:noWrap w:val="0"/>
            <w:vAlign w:val="top"/>
          </w:tcPr>
          <w:p w14:paraId="237E3B9E">
            <w:pPr>
              <w:rPr>
                <w:rFonts w:hint="eastAsia" w:ascii="宋体" w:hAnsi="宋体" w:eastAsia="宋体" w:cs="宋体"/>
                <w:color w:val="000000" w:themeColor="text1"/>
                <w:sz w:val="21"/>
                <w:szCs w:val="21"/>
                <w:highlight w:val="none"/>
              </w:rPr>
            </w:pPr>
          </w:p>
        </w:tc>
        <w:tc>
          <w:tcPr>
            <w:tcW w:w="921" w:type="dxa"/>
            <w:noWrap w:val="0"/>
            <w:vAlign w:val="top"/>
          </w:tcPr>
          <w:p w14:paraId="186248F5">
            <w:pPr>
              <w:rPr>
                <w:rFonts w:hint="eastAsia" w:ascii="宋体" w:hAnsi="宋体" w:eastAsia="宋体" w:cs="宋体"/>
                <w:color w:val="000000" w:themeColor="text1"/>
                <w:sz w:val="21"/>
                <w:szCs w:val="21"/>
                <w:highlight w:val="none"/>
              </w:rPr>
            </w:pPr>
          </w:p>
        </w:tc>
      </w:tr>
      <w:tr w14:paraId="2D1C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9F03A3C">
            <w:pPr>
              <w:rPr>
                <w:rFonts w:hint="eastAsia" w:ascii="宋体" w:hAnsi="宋体" w:eastAsia="宋体" w:cs="宋体"/>
                <w:color w:val="000000" w:themeColor="text1"/>
                <w:sz w:val="21"/>
                <w:szCs w:val="21"/>
                <w:highlight w:val="none"/>
              </w:rPr>
            </w:pPr>
          </w:p>
        </w:tc>
        <w:tc>
          <w:tcPr>
            <w:tcW w:w="1418" w:type="dxa"/>
            <w:noWrap w:val="0"/>
            <w:vAlign w:val="top"/>
          </w:tcPr>
          <w:p w14:paraId="321587BD">
            <w:pPr>
              <w:rPr>
                <w:rFonts w:hint="eastAsia" w:ascii="宋体" w:hAnsi="宋体" w:eastAsia="宋体" w:cs="宋体"/>
                <w:color w:val="000000" w:themeColor="text1"/>
                <w:sz w:val="21"/>
                <w:szCs w:val="21"/>
                <w:highlight w:val="none"/>
              </w:rPr>
            </w:pPr>
          </w:p>
        </w:tc>
        <w:tc>
          <w:tcPr>
            <w:tcW w:w="850" w:type="dxa"/>
            <w:noWrap w:val="0"/>
            <w:vAlign w:val="top"/>
          </w:tcPr>
          <w:p w14:paraId="582288F5">
            <w:pPr>
              <w:rPr>
                <w:rFonts w:hint="eastAsia" w:ascii="宋体" w:hAnsi="宋体" w:eastAsia="宋体" w:cs="宋体"/>
                <w:color w:val="000000" w:themeColor="text1"/>
                <w:sz w:val="21"/>
                <w:szCs w:val="21"/>
                <w:highlight w:val="none"/>
              </w:rPr>
            </w:pPr>
          </w:p>
        </w:tc>
        <w:tc>
          <w:tcPr>
            <w:tcW w:w="1058" w:type="dxa"/>
            <w:noWrap w:val="0"/>
            <w:vAlign w:val="top"/>
          </w:tcPr>
          <w:p w14:paraId="16A76904">
            <w:pPr>
              <w:rPr>
                <w:rFonts w:hint="eastAsia" w:ascii="宋体" w:hAnsi="宋体" w:eastAsia="宋体" w:cs="宋体"/>
                <w:color w:val="000000" w:themeColor="text1"/>
                <w:sz w:val="21"/>
                <w:szCs w:val="21"/>
                <w:highlight w:val="none"/>
              </w:rPr>
            </w:pPr>
          </w:p>
        </w:tc>
        <w:tc>
          <w:tcPr>
            <w:tcW w:w="880" w:type="dxa"/>
            <w:noWrap w:val="0"/>
            <w:vAlign w:val="top"/>
          </w:tcPr>
          <w:p w14:paraId="1B3D516E">
            <w:pPr>
              <w:rPr>
                <w:rFonts w:hint="eastAsia" w:ascii="宋体" w:hAnsi="宋体" w:eastAsia="宋体" w:cs="宋体"/>
                <w:color w:val="000000" w:themeColor="text1"/>
                <w:sz w:val="21"/>
                <w:szCs w:val="21"/>
                <w:highlight w:val="none"/>
              </w:rPr>
            </w:pPr>
          </w:p>
        </w:tc>
        <w:tc>
          <w:tcPr>
            <w:tcW w:w="1020" w:type="dxa"/>
            <w:noWrap w:val="0"/>
            <w:vAlign w:val="top"/>
          </w:tcPr>
          <w:p w14:paraId="72572213">
            <w:pPr>
              <w:rPr>
                <w:rFonts w:hint="eastAsia" w:ascii="宋体" w:hAnsi="宋体" w:eastAsia="宋体" w:cs="宋体"/>
                <w:color w:val="000000" w:themeColor="text1"/>
                <w:sz w:val="21"/>
                <w:szCs w:val="21"/>
                <w:highlight w:val="none"/>
              </w:rPr>
            </w:pPr>
          </w:p>
        </w:tc>
        <w:tc>
          <w:tcPr>
            <w:tcW w:w="1480" w:type="dxa"/>
            <w:noWrap w:val="0"/>
            <w:vAlign w:val="top"/>
          </w:tcPr>
          <w:p w14:paraId="19C2A86C">
            <w:pPr>
              <w:rPr>
                <w:rFonts w:hint="eastAsia" w:ascii="宋体" w:hAnsi="宋体" w:eastAsia="宋体" w:cs="宋体"/>
                <w:color w:val="000000" w:themeColor="text1"/>
                <w:sz w:val="21"/>
                <w:szCs w:val="21"/>
                <w:highlight w:val="none"/>
              </w:rPr>
            </w:pPr>
          </w:p>
        </w:tc>
        <w:tc>
          <w:tcPr>
            <w:tcW w:w="1020" w:type="dxa"/>
            <w:noWrap w:val="0"/>
            <w:vAlign w:val="top"/>
          </w:tcPr>
          <w:p w14:paraId="627E8836">
            <w:pPr>
              <w:rPr>
                <w:rFonts w:hint="eastAsia" w:ascii="宋体" w:hAnsi="宋体" w:eastAsia="宋体" w:cs="宋体"/>
                <w:color w:val="000000" w:themeColor="text1"/>
                <w:sz w:val="21"/>
                <w:szCs w:val="21"/>
                <w:highlight w:val="none"/>
              </w:rPr>
            </w:pPr>
          </w:p>
        </w:tc>
        <w:tc>
          <w:tcPr>
            <w:tcW w:w="921" w:type="dxa"/>
            <w:noWrap w:val="0"/>
            <w:vAlign w:val="top"/>
          </w:tcPr>
          <w:p w14:paraId="45E38B18">
            <w:pPr>
              <w:rPr>
                <w:rFonts w:hint="eastAsia" w:ascii="宋体" w:hAnsi="宋体" w:eastAsia="宋体" w:cs="宋体"/>
                <w:color w:val="000000" w:themeColor="text1"/>
                <w:sz w:val="21"/>
                <w:szCs w:val="21"/>
                <w:highlight w:val="none"/>
              </w:rPr>
            </w:pPr>
          </w:p>
        </w:tc>
      </w:tr>
      <w:tr w14:paraId="38B9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EED630E">
            <w:pPr>
              <w:rPr>
                <w:rFonts w:hint="eastAsia" w:ascii="宋体" w:hAnsi="宋体" w:eastAsia="宋体" w:cs="宋体"/>
                <w:color w:val="000000" w:themeColor="text1"/>
                <w:sz w:val="21"/>
                <w:szCs w:val="21"/>
                <w:highlight w:val="none"/>
              </w:rPr>
            </w:pPr>
          </w:p>
        </w:tc>
        <w:tc>
          <w:tcPr>
            <w:tcW w:w="1418" w:type="dxa"/>
            <w:noWrap w:val="0"/>
            <w:vAlign w:val="top"/>
          </w:tcPr>
          <w:p w14:paraId="27C00D12">
            <w:pPr>
              <w:rPr>
                <w:rFonts w:hint="eastAsia" w:ascii="宋体" w:hAnsi="宋体" w:eastAsia="宋体" w:cs="宋体"/>
                <w:color w:val="000000" w:themeColor="text1"/>
                <w:sz w:val="21"/>
                <w:szCs w:val="21"/>
                <w:highlight w:val="none"/>
              </w:rPr>
            </w:pPr>
          </w:p>
        </w:tc>
        <w:tc>
          <w:tcPr>
            <w:tcW w:w="850" w:type="dxa"/>
            <w:noWrap w:val="0"/>
            <w:vAlign w:val="top"/>
          </w:tcPr>
          <w:p w14:paraId="4CD7A240">
            <w:pPr>
              <w:rPr>
                <w:rFonts w:hint="eastAsia" w:ascii="宋体" w:hAnsi="宋体" w:eastAsia="宋体" w:cs="宋体"/>
                <w:color w:val="000000" w:themeColor="text1"/>
                <w:sz w:val="21"/>
                <w:szCs w:val="21"/>
                <w:highlight w:val="none"/>
              </w:rPr>
            </w:pPr>
          </w:p>
        </w:tc>
        <w:tc>
          <w:tcPr>
            <w:tcW w:w="1058" w:type="dxa"/>
            <w:noWrap w:val="0"/>
            <w:vAlign w:val="top"/>
          </w:tcPr>
          <w:p w14:paraId="27EED539">
            <w:pPr>
              <w:rPr>
                <w:rFonts w:hint="eastAsia" w:ascii="宋体" w:hAnsi="宋体" w:eastAsia="宋体" w:cs="宋体"/>
                <w:color w:val="000000" w:themeColor="text1"/>
                <w:sz w:val="21"/>
                <w:szCs w:val="21"/>
                <w:highlight w:val="none"/>
              </w:rPr>
            </w:pPr>
          </w:p>
        </w:tc>
        <w:tc>
          <w:tcPr>
            <w:tcW w:w="880" w:type="dxa"/>
            <w:noWrap w:val="0"/>
            <w:vAlign w:val="top"/>
          </w:tcPr>
          <w:p w14:paraId="42586A63">
            <w:pPr>
              <w:rPr>
                <w:rFonts w:hint="eastAsia" w:ascii="宋体" w:hAnsi="宋体" w:eastAsia="宋体" w:cs="宋体"/>
                <w:color w:val="000000" w:themeColor="text1"/>
                <w:sz w:val="21"/>
                <w:szCs w:val="21"/>
                <w:highlight w:val="none"/>
              </w:rPr>
            </w:pPr>
          </w:p>
        </w:tc>
        <w:tc>
          <w:tcPr>
            <w:tcW w:w="1020" w:type="dxa"/>
            <w:noWrap w:val="0"/>
            <w:vAlign w:val="top"/>
          </w:tcPr>
          <w:p w14:paraId="6BEA51ED">
            <w:pPr>
              <w:rPr>
                <w:rFonts w:hint="eastAsia" w:ascii="宋体" w:hAnsi="宋体" w:eastAsia="宋体" w:cs="宋体"/>
                <w:color w:val="000000" w:themeColor="text1"/>
                <w:sz w:val="21"/>
                <w:szCs w:val="21"/>
                <w:highlight w:val="none"/>
              </w:rPr>
            </w:pPr>
          </w:p>
        </w:tc>
        <w:tc>
          <w:tcPr>
            <w:tcW w:w="1480" w:type="dxa"/>
            <w:noWrap w:val="0"/>
            <w:vAlign w:val="top"/>
          </w:tcPr>
          <w:p w14:paraId="6977C976">
            <w:pPr>
              <w:rPr>
                <w:rFonts w:hint="eastAsia" w:ascii="宋体" w:hAnsi="宋体" w:eastAsia="宋体" w:cs="宋体"/>
                <w:color w:val="000000" w:themeColor="text1"/>
                <w:sz w:val="21"/>
                <w:szCs w:val="21"/>
                <w:highlight w:val="none"/>
              </w:rPr>
            </w:pPr>
          </w:p>
        </w:tc>
        <w:tc>
          <w:tcPr>
            <w:tcW w:w="1020" w:type="dxa"/>
            <w:noWrap w:val="0"/>
            <w:vAlign w:val="top"/>
          </w:tcPr>
          <w:p w14:paraId="483C5994">
            <w:pPr>
              <w:rPr>
                <w:rFonts w:hint="eastAsia" w:ascii="宋体" w:hAnsi="宋体" w:eastAsia="宋体" w:cs="宋体"/>
                <w:color w:val="000000" w:themeColor="text1"/>
                <w:sz w:val="21"/>
                <w:szCs w:val="21"/>
                <w:highlight w:val="none"/>
              </w:rPr>
            </w:pPr>
          </w:p>
        </w:tc>
        <w:tc>
          <w:tcPr>
            <w:tcW w:w="921" w:type="dxa"/>
            <w:noWrap w:val="0"/>
            <w:vAlign w:val="top"/>
          </w:tcPr>
          <w:p w14:paraId="7091088A">
            <w:pPr>
              <w:rPr>
                <w:rFonts w:hint="eastAsia" w:ascii="宋体" w:hAnsi="宋体" w:eastAsia="宋体" w:cs="宋体"/>
                <w:color w:val="000000" w:themeColor="text1"/>
                <w:sz w:val="21"/>
                <w:szCs w:val="21"/>
                <w:highlight w:val="none"/>
              </w:rPr>
            </w:pPr>
          </w:p>
        </w:tc>
      </w:tr>
      <w:tr w14:paraId="745F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322151A">
            <w:pPr>
              <w:rPr>
                <w:rFonts w:hint="eastAsia" w:ascii="宋体" w:hAnsi="宋体" w:eastAsia="宋体" w:cs="宋体"/>
                <w:color w:val="000000" w:themeColor="text1"/>
                <w:sz w:val="21"/>
                <w:szCs w:val="21"/>
                <w:highlight w:val="none"/>
              </w:rPr>
            </w:pPr>
          </w:p>
        </w:tc>
        <w:tc>
          <w:tcPr>
            <w:tcW w:w="1418" w:type="dxa"/>
            <w:noWrap w:val="0"/>
            <w:vAlign w:val="top"/>
          </w:tcPr>
          <w:p w14:paraId="3829D14A">
            <w:pPr>
              <w:rPr>
                <w:rFonts w:hint="eastAsia" w:ascii="宋体" w:hAnsi="宋体" w:eastAsia="宋体" w:cs="宋体"/>
                <w:color w:val="000000" w:themeColor="text1"/>
                <w:sz w:val="21"/>
                <w:szCs w:val="21"/>
                <w:highlight w:val="none"/>
              </w:rPr>
            </w:pPr>
          </w:p>
        </w:tc>
        <w:tc>
          <w:tcPr>
            <w:tcW w:w="850" w:type="dxa"/>
            <w:noWrap w:val="0"/>
            <w:vAlign w:val="top"/>
          </w:tcPr>
          <w:p w14:paraId="55F3CA7A">
            <w:pPr>
              <w:rPr>
                <w:rFonts w:hint="eastAsia" w:ascii="宋体" w:hAnsi="宋体" w:eastAsia="宋体" w:cs="宋体"/>
                <w:color w:val="000000" w:themeColor="text1"/>
                <w:sz w:val="21"/>
                <w:szCs w:val="21"/>
                <w:highlight w:val="none"/>
              </w:rPr>
            </w:pPr>
          </w:p>
        </w:tc>
        <w:tc>
          <w:tcPr>
            <w:tcW w:w="1058" w:type="dxa"/>
            <w:noWrap w:val="0"/>
            <w:vAlign w:val="top"/>
          </w:tcPr>
          <w:p w14:paraId="116C5C75">
            <w:pPr>
              <w:rPr>
                <w:rFonts w:hint="eastAsia" w:ascii="宋体" w:hAnsi="宋体" w:eastAsia="宋体" w:cs="宋体"/>
                <w:color w:val="000000" w:themeColor="text1"/>
                <w:sz w:val="21"/>
                <w:szCs w:val="21"/>
                <w:highlight w:val="none"/>
              </w:rPr>
            </w:pPr>
          </w:p>
        </w:tc>
        <w:tc>
          <w:tcPr>
            <w:tcW w:w="880" w:type="dxa"/>
            <w:noWrap w:val="0"/>
            <w:vAlign w:val="top"/>
          </w:tcPr>
          <w:p w14:paraId="637A3B11">
            <w:pPr>
              <w:rPr>
                <w:rFonts w:hint="eastAsia" w:ascii="宋体" w:hAnsi="宋体" w:eastAsia="宋体" w:cs="宋体"/>
                <w:color w:val="000000" w:themeColor="text1"/>
                <w:sz w:val="21"/>
                <w:szCs w:val="21"/>
                <w:highlight w:val="none"/>
              </w:rPr>
            </w:pPr>
          </w:p>
        </w:tc>
        <w:tc>
          <w:tcPr>
            <w:tcW w:w="1020" w:type="dxa"/>
            <w:noWrap w:val="0"/>
            <w:vAlign w:val="top"/>
          </w:tcPr>
          <w:p w14:paraId="277B7127">
            <w:pPr>
              <w:rPr>
                <w:rFonts w:hint="eastAsia" w:ascii="宋体" w:hAnsi="宋体" w:eastAsia="宋体" w:cs="宋体"/>
                <w:color w:val="000000" w:themeColor="text1"/>
                <w:sz w:val="21"/>
                <w:szCs w:val="21"/>
                <w:highlight w:val="none"/>
              </w:rPr>
            </w:pPr>
          </w:p>
        </w:tc>
        <w:tc>
          <w:tcPr>
            <w:tcW w:w="1480" w:type="dxa"/>
            <w:noWrap w:val="0"/>
            <w:vAlign w:val="top"/>
          </w:tcPr>
          <w:p w14:paraId="4A072E53">
            <w:pPr>
              <w:rPr>
                <w:rFonts w:hint="eastAsia" w:ascii="宋体" w:hAnsi="宋体" w:eastAsia="宋体" w:cs="宋体"/>
                <w:color w:val="000000" w:themeColor="text1"/>
                <w:sz w:val="21"/>
                <w:szCs w:val="21"/>
                <w:highlight w:val="none"/>
              </w:rPr>
            </w:pPr>
          </w:p>
        </w:tc>
        <w:tc>
          <w:tcPr>
            <w:tcW w:w="1020" w:type="dxa"/>
            <w:noWrap w:val="0"/>
            <w:vAlign w:val="top"/>
          </w:tcPr>
          <w:p w14:paraId="0D3E21D3">
            <w:pPr>
              <w:rPr>
                <w:rFonts w:hint="eastAsia" w:ascii="宋体" w:hAnsi="宋体" w:eastAsia="宋体" w:cs="宋体"/>
                <w:color w:val="000000" w:themeColor="text1"/>
                <w:sz w:val="21"/>
                <w:szCs w:val="21"/>
                <w:highlight w:val="none"/>
              </w:rPr>
            </w:pPr>
          </w:p>
        </w:tc>
        <w:tc>
          <w:tcPr>
            <w:tcW w:w="921" w:type="dxa"/>
            <w:noWrap w:val="0"/>
            <w:vAlign w:val="top"/>
          </w:tcPr>
          <w:p w14:paraId="3A45EF12">
            <w:pPr>
              <w:rPr>
                <w:rFonts w:hint="eastAsia" w:ascii="宋体" w:hAnsi="宋体" w:eastAsia="宋体" w:cs="宋体"/>
                <w:color w:val="000000" w:themeColor="text1"/>
                <w:sz w:val="21"/>
                <w:szCs w:val="21"/>
                <w:highlight w:val="none"/>
              </w:rPr>
            </w:pPr>
          </w:p>
        </w:tc>
      </w:tr>
      <w:tr w14:paraId="0AFF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2CEE4C8">
            <w:pPr>
              <w:rPr>
                <w:rFonts w:hint="eastAsia" w:ascii="宋体" w:hAnsi="宋体" w:eastAsia="宋体" w:cs="宋体"/>
                <w:color w:val="000000" w:themeColor="text1"/>
                <w:sz w:val="21"/>
                <w:szCs w:val="21"/>
                <w:highlight w:val="none"/>
              </w:rPr>
            </w:pPr>
          </w:p>
        </w:tc>
        <w:tc>
          <w:tcPr>
            <w:tcW w:w="1418" w:type="dxa"/>
            <w:noWrap w:val="0"/>
            <w:vAlign w:val="top"/>
          </w:tcPr>
          <w:p w14:paraId="7720B10E">
            <w:pPr>
              <w:rPr>
                <w:rFonts w:hint="eastAsia" w:ascii="宋体" w:hAnsi="宋体" w:eastAsia="宋体" w:cs="宋体"/>
                <w:color w:val="000000" w:themeColor="text1"/>
                <w:sz w:val="21"/>
                <w:szCs w:val="21"/>
                <w:highlight w:val="none"/>
              </w:rPr>
            </w:pPr>
          </w:p>
        </w:tc>
        <w:tc>
          <w:tcPr>
            <w:tcW w:w="850" w:type="dxa"/>
            <w:noWrap w:val="0"/>
            <w:vAlign w:val="top"/>
          </w:tcPr>
          <w:p w14:paraId="332BE359">
            <w:pPr>
              <w:rPr>
                <w:rFonts w:hint="eastAsia" w:ascii="宋体" w:hAnsi="宋体" w:eastAsia="宋体" w:cs="宋体"/>
                <w:color w:val="000000" w:themeColor="text1"/>
                <w:sz w:val="21"/>
                <w:szCs w:val="21"/>
                <w:highlight w:val="none"/>
              </w:rPr>
            </w:pPr>
          </w:p>
        </w:tc>
        <w:tc>
          <w:tcPr>
            <w:tcW w:w="1058" w:type="dxa"/>
            <w:noWrap w:val="0"/>
            <w:vAlign w:val="top"/>
          </w:tcPr>
          <w:p w14:paraId="56C5B954">
            <w:pPr>
              <w:rPr>
                <w:rFonts w:hint="eastAsia" w:ascii="宋体" w:hAnsi="宋体" w:eastAsia="宋体" w:cs="宋体"/>
                <w:color w:val="000000" w:themeColor="text1"/>
                <w:sz w:val="21"/>
                <w:szCs w:val="21"/>
                <w:highlight w:val="none"/>
              </w:rPr>
            </w:pPr>
          </w:p>
        </w:tc>
        <w:tc>
          <w:tcPr>
            <w:tcW w:w="880" w:type="dxa"/>
            <w:noWrap w:val="0"/>
            <w:vAlign w:val="top"/>
          </w:tcPr>
          <w:p w14:paraId="31A075A2">
            <w:pPr>
              <w:rPr>
                <w:rFonts w:hint="eastAsia" w:ascii="宋体" w:hAnsi="宋体" w:eastAsia="宋体" w:cs="宋体"/>
                <w:color w:val="000000" w:themeColor="text1"/>
                <w:sz w:val="21"/>
                <w:szCs w:val="21"/>
                <w:highlight w:val="none"/>
              </w:rPr>
            </w:pPr>
          </w:p>
        </w:tc>
        <w:tc>
          <w:tcPr>
            <w:tcW w:w="1020" w:type="dxa"/>
            <w:noWrap w:val="0"/>
            <w:vAlign w:val="top"/>
          </w:tcPr>
          <w:p w14:paraId="05112294">
            <w:pPr>
              <w:rPr>
                <w:rFonts w:hint="eastAsia" w:ascii="宋体" w:hAnsi="宋体" w:eastAsia="宋体" w:cs="宋体"/>
                <w:color w:val="000000" w:themeColor="text1"/>
                <w:sz w:val="21"/>
                <w:szCs w:val="21"/>
                <w:highlight w:val="none"/>
              </w:rPr>
            </w:pPr>
          </w:p>
        </w:tc>
        <w:tc>
          <w:tcPr>
            <w:tcW w:w="1480" w:type="dxa"/>
            <w:noWrap w:val="0"/>
            <w:vAlign w:val="top"/>
          </w:tcPr>
          <w:p w14:paraId="546B5BDE">
            <w:pPr>
              <w:rPr>
                <w:rFonts w:hint="eastAsia" w:ascii="宋体" w:hAnsi="宋体" w:eastAsia="宋体" w:cs="宋体"/>
                <w:color w:val="000000" w:themeColor="text1"/>
                <w:sz w:val="21"/>
                <w:szCs w:val="21"/>
                <w:highlight w:val="none"/>
              </w:rPr>
            </w:pPr>
          </w:p>
        </w:tc>
        <w:tc>
          <w:tcPr>
            <w:tcW w:w="1020" w:type="dxa"/>
            <w:noWrap w:val="0"/>
            <w:vAlign w:val="top"/>
          </w:tcPr>
          <w:p w14:paraId="5F91988C">
            <w:pPr>
              <w:rPr>
                <w:rFonts w:hint="eastAsia" w:ascii="宋体" w:hAnsi="宋体" w:eastAsia="宋体" w:cs="宋体"/>
                <w:color w:val="000000" w:themeColor="text1"/>
                <w:sz w:val="21"/>
                <w:szCs w:val="21"/>
                <w:highlight w:val="none"/>
              </w:rPr>
            </w:pPr>
          </w:p>
        </w:tc>
        <w:tc>
          <w:tcPr>
            <w:tcW w:w="921" w:type="dxa"/>
            <w:noWrap w:val="0"/>
            <w:vAlign w:val="top"/>
          </w:tcPr>
          <w:p w14:paraId="10361590">
            <w:pPr>
              <w:rPr>
                <w:rFonts w:hint="eastAsia" w:ascii="宋体" w:hAnsi="宋体" w:eastAsia="宋体" w:cs="宋体"/>
                <w:color w:val="000000" w:themeColor="text1"/>
                <w:sz w:val="21"/>
                <w:szCs w:val="21"/>
                <w:highlight w:val="none"/>
              </w:rPr>
            </w:pPr>
          </w:p>
        </w:tc>
      </w:tr>
      <w:tr w14:paraId="248E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8197272">
            <w:pPr>
              <w:rPr>
                <w:rFonts w:hint="eastAsia" w:ascii="宋体" w:hAnsi="宋体" w:eastAsia="宋体" w:cs="宋体"/>
                <w:color w:val="000000" w:themeColor="text1"/>
                <w:sz w:val="21"/>
                <w:szCs w:val="21"/>
                <w:highlight w:val="none"/>
              </w:rPr>
            </w:pPr>
          </w:p>
        </w:tc>
        <w:tc>
          <w:tcPr>
            <w:tcW w:w="1418" w:type="dxa"/>
            <w:noWrap w:val="0"/>
            <w:vAlign w:val="top"/>
          </w:tcPr>
          <w:p w14:paraId="07B41687">
            <w:pPr>
              <w:rPr>
                <w:rFonts w:hint="eastAsia" w:ascii="宋体" w:hAnsi="宋体" w:eastAsia="宋体" w:cs="宋体"/>
                <w:color w:val="000000" w:themeColor="text1"/>
                <w:sz w:val="21"/>
                <w:szCs w:val="21"/>
                <w:highlight w:val="none"/>
              </w:rPr>
            </w:pPr>
          </w:p>
        </w:tc>
        <w:tc>
          <w:tcPr>
            <w:tcW w:w="850" w:type="dxa"/>
            <w:noWrap w:val="0"/>
            <w:vAlign w:val="top"/>
          </w:tcPr>
          <w:p w14:paraId="7B81F133">
            <w:pPr>
              <w:rPr>
                <w:rFonts w:hint="eastAsia" w:ascii="宋体" w:hAnsi="宋体" w:eastAsia="宋体" w:cs="宋体"/>
                <w:color w:val="000000" w:themeColor="text1"/>
                <w:sz w:val="21"/>
                <w:szCs w:val="21"/>
                <w:highlight w:val="none"/>
              </w:rPr>
            </w:pPr>
          </w:p>
        </w:tc>
        <w:tc>
          <w:tcPr>
            <w:tcW w:w="1058" w:type="dxa"/>
            <w:noWrap w:val="0"/>
            <w:vAlign w:val="top"/>
          </w:tcPr>
          <w:p w14:paraId="39C264EE">
            <w:pPr>
              <w:rPr>
                <w:rFonts w:hint="eastAsia" w:ascii="宋体" w:hAnsi="宋体" w:eastAsia="宋体" w:cs="宋体"/>
                <w:color w:val="000000" w:themeColor="text1"/>
                <w:sz w:val="21"/>
                <w:szCs w:val="21"/>
                <w:highlight w:val="none"/>
              </w:rPr>
            </w:pPr>
          </w:p>
        </w:tc>
        <w:tc>
          <w:tcPr>
            <w:tcW w:w="880" w:type="dxa"/>
            <w:noWrap w:val="0"/>
            <w:vAlign w:val="top"/>
          </w:tcPr>
          <w:p w14:paraId="345A4D4F">
            <w:pPr>
              <w:rPr>
                <w:rFonts w:hint="eastAsia" w:ascii="宋体" w:hAnsi="宋体" w:eastAsia="宋体" w:cs="宋体"/>
                <w:color w:val="000000" w:themeColor="text1"/>
                <w:sz w:val="21"/>
                <w:szCs w:val="21"/>
                <w:highlight w:val="none"/>
              </w:rPr>
            </w:pPr>
          </w:p>
        </w:tc>
        <w:tc>
          <w:tcPr>
            <w:tcW w:w="1020" w:type="dxa"/>
            <w:noWrap w:val="0"/>
            <w:vAlign w:val="top"/>
          </w:tcPr>
          <w:p w14:paraId="36FB11D8">
            <w:pPr>
              <w:rPr>
                <w:rFonts w:hint="eastAsia" w:ascii="宋体" w:hAnsi="宋体" w:eastAsia="宋体" w:cs="宋体"/>
                <w:color w:val="000000" w:themeColor="text1"/>
                <w:sz w:val="21"/>
                <w:szCs w:val="21"/>
                <w:highlight w:val="none"/>
              </w:rPr>
            </w:pPr>
          </w:p>
        </w:tc>
        <w:tc>
          <w:tcPr>
            <w:tcW w:w="1480" w:type="dxa"/>
            <w:noWrap w:val="0"/>
            <w:vAlign w:val="top"/>
          </w:tcPr>
          <w:p w14:paraId="2CEEDCFD">
            <w:pPr>
              <w:rPr>
                <w:rFonts w:hint="eastAsia" w:ascii="宋体" w:hAnsi="宋体" w:eastAsia="宋体" w:cs="宋体"/>
                <w:color w:val="000000" w:themeColor="text1"/>
                <w:sz w:val="21"/>
                <w:szCs w:val="21"/>
                <w:highlight w:val="none"/>
              </w:rPr>
            </w:pPr>
          </w:p>
        </w:tc>
        <w:tc>
          <w:tcPr>
            <w:tcW w:w="1020" w:type="dxa"/>
            <w:noWrap w:val="0"/>
            <w:vAlign w:val="top"/>
          </w:tcPr>
          <w:p w14:paraId="14474063">
            <w:pPr>
              <w:rPr>
                <w:rFonts w:hint="eastAsia" w:ascii="宋体" w:hAnsi="宋体" w:eastAsia="宋体" w:cs="宋体"/>
                <w:color w:val="000000" w:themeColor="text1"/>
                <w:sz w:val="21"/>
                <w:szCs w:val="21"/>
                <w:highlight w:val="none"/>
              </w:rPr>
            </w:pPr>
          </w:p>
        </w:tc>
        <w:tc>
          <w:tcPr>
            <w:tcW w:w="921" w:type="dxa"/>
            <w:noWrap w:val="0"/>
            <w:vAlign w:val="top"/>
          </w:tcPr>
          <w:p w14:paraId="64962ABB">
            <w:pPr>
              <w:rPr>
                <w:rFonts w:hint="eastAsia" w:ascii="宋体" w:hAnsi="宋体" w:eastAsia="宋体" w:cs="宋体"/>
                <w:color w:val="000000" w:themeColor="text1"/>
                <w:sz w:val="21"/>
                <w:szCs w:val="21"/>
                <w:highlight w:val="none"/>
              </w:rPr>
            </w:pPr>
          </w:p>
        </w:tc>
      </w:tr>
      <w:tr w14:paraId="2EBE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D5587F9">
            <w:pPr>
              <w:rPr>
                <w:rFonts w:hint="eastAsia" w:ascii="宋体" w:hAnsi="宋体" w:eastAsia="宋体" w:cs="宋体"/>
                <w:color w:val="000000" w:themeColor="text1"/>
                <w:sz w:val="21"/>
                <w:szCs w:val="21"/>
                <w:highlight w:val="none"/>
              </w:rPr>
            </w:pPr>
          </w:p>
        </w:tc>
        <w:tc>
          <w:tcPr>
            <w:tcW w:w="1418" w:type="dxa"/>
            <w:noWrap w:val="0"/>
            <w:vAlign w:val="top"/>
          </w:tcPr>
          <w:p w14:paraId="16CD812F">
            <w:pPr>
              <w:rPr>
                <w:rFonts w:hint="eastAsia" w:ascii="宋体" w:hAnsi="宋体" w:eastAsia="宋体" w:cs="宋体"/>
                <w:color w:val="000000" w:themeColor="text1"/>
                <w:sz w:val="21"/>
                <w:szCs w:val="21"/>
                <w:highlight w:val="none"/>
              </w:rPr>
            </w:pPr>
          </w:p>
        </w:tc>
        <w:tc>
          <w:tcPr>
            <w:tcW w:w="850" w:type="dxa"/>
            <w:noWrap w:val="0"/>
            <w:vAlign w:val="top"/>
          </w:tcPr>
          <w:p w14:paraId="40A888B9">
            <w:pPr>
              <w:rPr>
                <w:rFonts w:hint="eastAsia" w:ascii="宋体" w:hAnsi="宋体" w:eastAsia="宋体" w:cs="宋体"/>
                <w:color w:val="000000" w:themeColor="text1"/>
                <w:sz w:val="21"/>
                <w:szCs w:val="21"/>
                <w:highlight w:val="none"/>
              </w:rPr>
            </w:pPr>
          </w:p>
        </w:tc>
        <w:tc>
          <w:tcPr>
            <w:tcW w:w="1058" w:type="dxa"/>
            <w:noWrap w:val="0"/>
            <w:vAlign w:val="top"/>
          </w:tcPr>
          <w:p w14:paraId="6D233E2A">
            <w:pPr>
              <w:rPr>
                <w:rFonts w:hint="eastAsia" w:ascii="宋体" w:hAnsi="宋体" w:eastAsia="宋体" w:cs="宋体"/>
                <w:color w:val="000000" w:themeColor="text1"/>
                <w:sz w:val="21"/>
                <w:szCs w:val="21"/>
                <w:highlight w:val="none"/>
              </w:rPr>
            </w:pPr>
          </w:p>
        </w:tc>
        <w:tc>
          <w:tcPr>
            <w:tcW w:w="880" w:type="dxa"/>
            <w:noWrap w:val="0"/>
            <w:vAlign w:val="top"/>
          </w:tcPr>
          <w:p w14:paraId="337493A4">
            <w:pPr>
              <w:rPr>
                <w:rFonts w:hint="eastAsia" w:ascii="宋体" w:hAnsi="宋体" w:eastAsia="宋体" w:cs="宋体"/>
                <w:color w:val="000000" w:themeColor="text1"/>
                <w:sz w:val="21"/>
                <w:szCs w:val="21"/>
                <w:highlight w:val="none"/>
              </w:rPr>
            </w:pPr>
          </w:p>
        </w:tc>
        <w:tc>
          <w:tcPr>
            <w:tcW w:w="1020" w:type="dxa"/>
            <w:noWrap w:val="0"/>
            <w:vAlign w:val="top"/>
          </w:tcPr>
          <w:p w14:paraId="23D153FB">
            <w:pPr>
              <w:rPr>
                <w:rFonts w:hint="eastAsia" w:ascii="宋体" w:hAnsi="宋体" w:eastAsia="宋体" w:cs="宋体"/>
                <w:color w:val="000000" w:themeColor="text1"/>
                <w:sz w:val="21"/>
                <w:szCs w:val="21"/>
                <w:highlight w:val="none"/>
              </w:rPr>
            </w:pPr>
          </w:p>
        </w:tc>
        <w:tc>
          <w:tcPr>
            <w:tcW w:w="1480" w:type="dxa"/>
            <w:noWrap w:val="0"/>
            <w:vAlign w:val="top"/>
          </w:tcPr>
          <w:p w14:paraId="6BF794FF">
            <w:pPr>
              <w:rPr>
                <w:rFonts w:hint="eastAsia" w:ascii="宋体" w:hAnsi="宋体" w:eastAsia="宋体" w:cs="宋体"/>
                <w:color w:val="000000" w:themeColor="text1"/>
                <w:sz w:val="21"/>
                <w:szCs w:val="21"/>
                <w:highlight w:val="none"/>
              </w:rPr>
            </w:pPr>
          </w:p>
        </w:tc>
        <w:tc>
          <w:tcPr>
            <w:tcW w:w="1020" w:type="dxa"/>
            <w:noWrap w:val="0"/>
            <w:vAlign w:val="top"/>
          </w:tcPr>
          <w:p w14:paraId="0850AD91">
            <w:pPr>
              <w:rPr>
                <w:rFonts w:hint="eastAsia" w:ascii="宋体" w:hAnsi="宋体" w:eastAsia="宋体" w:cs="宋体"/>
                <w:color w:val="000000" w:themeColor="text1"/>
                <w:sz w:val="21"/>
                <w:szCs w:val="21"/>
                <w:highlight w:val="none"/>
              </w:rPr>
            </w:pPr>
          </w:p>
        </w:tc>
        <w:tc>
          <w:tcPr>
            <w:tcW w:w="921" w:type="dxa"/>
            <w:noWrap w:val="0"/>
            <w:vAlign w:val="top"/>
          </w:tcPr>
          <w:p w14:paraId="0EA29261">
            <w:pPr>
              <w:rPr>
                <w:rFonts w:hint="eastAsia" w:ascii="宋体" w:hAnsi="宋体" w:eastAsia="宋体" w:cs="宋体"/>
                <w:color w:val="000000" w:themeColor="text1"/>
                <w:sz w:val="21"/>
                <w:szCs w:val="21"/>
                <w:highlight w:val="none"/>
              </w:rPr>
            </w:pPr>
          </w:p>
        </w:tc>
      </w:tr>
      <w:tr w14:paraId="7A89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DA96215">
            <w:pPr>
              <w:rPr>
                <w:rFonts w:hint="eastAsia" w:ascii="宋体" w:hAnsi="宋体" w:eastAsia="宋体" w:cs="宋体"/>
                <w:color w:val="000000" w:themeColor="text1"/>
                <w:sz w:val="21"/>
                <w:szCs w:val="21"/>
                <w:highlight w:val="none"/>
              </w:rPr>
            </w:pPr>
          </w:p>
        </w:tc>
        <w:tc>
          <w:tcPr>
            <w:tcW w:w="1418" w:type="dxa"/>
            <w:noWrap w:val="0"/>
            <w:vAlign w:val="top"/>
          </w:tcPr>
          <w:p w14:paraId="2FCE61DD">
            <w:pPr>
              <w:rPr>
                <w:rFonts w:hint="eastAsia" w:ascii="宋体" w:hAnsi="宋体" w:eastAsia="宋体" w:cs="宋体"/>
                <w:color w:val="000000" w:themeColor="text1"/>
                <w:sz w:val="21"/>
                <w:szCs w:val="21"/>
                <w:highlight w:val="none"/>
              </w:rPr>
            </w:pPr>
          </w:p>
        </w:tc>
        <w:tc>
          <w:tcPr>
            <w:tcW w:w="850" w:type="dxa"/>
            <w:noWrap w:val="0"/>
            <w:vAlign w:val="top"/>
          </w:tcPr>
          <w:p w14:paraId="40D5E687">
            <w:pPr>
              <w:rPr>
                <w:rFonts w:hint="eastAsia" w:ascii="宋体" w:hAnsi="宋体" w:eastAsia="宋体" w:cs="宋体"/>
                <w:color w:val="000000" w:themeColor="text1"/>
                <w:sz w:val="21"/>
                <w:szCs w:val="21"/>
                <w:highlight w:val="none"/>
              </w:rPr>
            </w:pPr>
          </w:p>
        </w:tc>
        <w:tc>
          <w:tcPr>
            <w:tcW w:w="1058" w:type="dxa"/>
            <w:noWrap w:val="0"/>
            <w:vAlign w:val="top"/>
          </w:tcPr>
          <w:p w14:paraId="1542D8EB">
            <w:pPr>
              <w:rPr>
                <w:rFonts w:hint="eastAsia" w:ascii="宋体" w:hAnsi="宋体" w:eastAsia="宋体" w:cs="宋体"/>
                <w:color w:val="000000" w:themeColor="text1"/>
                <w:sz w:val="21"/>
                <w:szCs w:val="21"/>
                <w:highlight w:val="none"/>
              </w:rPr>
            </w:pPr>
          </w:p>
        </w:tc>
        <w:tc>
          <w:tcPr>
            <w:tcW w:w="880" w:type="dxa"/>
            <w:noWrap w:val="0"/>
            <w:vAlign w:val="top"/>
          </w:tcPr>
          <w:p w14:paraId="734B0637">
            <w:pPr>
              <w:rPr>
                <w:rFonts w:hint="eastAsia" w:ascii="宋体" w:hAnsi="宋体" w:eastAsia="宋体" w:cs="宋体"/>
                <w:color w:val="000000" w:themeColor="text1"/>
                <w:sz w:val="21"/>
                <w:szCs w:val="21"/>
                <w:highlight w:val="none"/>
              </w:rPr>
            </w:pPr>
          </w:p>
        </w:tc>
        <w:tc>
          <w:tcPr>
            <w:tcW w:w="1020" w:type="dxa"/>
            <w:noWrap w:val="0"/>
            <w:vAlign w:val="top"/>
          </w:tcPr>
          <w:p w14:paraId="257F61BB">
            <w:pPr>
              <w:rPr>
                <w:rFonts w:hint="eastAsia" w:ascii="宋体" w:hAnsi="宋体" w:eastAsia="宋体" w:cs="宋体"/>
                <w:color w:val="000000" w:themeColor="text1"/>
                <w:sz w:val="21"/>
                <w:szCs w:val="21"/>
                <w:highlight w:val="none"/>
              </w:rPr>
            </w:pPr>
          </w:p>
        </w:tc>
        <w:tc>
          <w:tcPr>
            <w:tcW w:w="1480" w:type="dxa"/>
            <w:noWrap w:val="0"/>
            <w:vAlign w:val="top"/>
          </w:tcPr>
          <w:p w14:paraId="04B6A607">
            <w:pPr>
              <w:rPr>
                <w:rFonts w:hint="eastAsia" w:ascii="宋体" w:hAnsi="宋体" w:eastAsia="宋体" w:cs="宋体"/>
                <w:color w:val="000000" w:themeColor="text1"/>
                <w:sz w:val="21"/>
                <w:szCs w:val="21"/>
                <w:highlight w:val="none"/>
              </w:rPr>
            </w:pPr>
          </w:p>
        </w:tc>
        <w:tc>
          <w:tcPr>
            <w:tcW w:w="1020" w:type="dxa"/>
            <w:noWrap w:val="0"/>
            <w:vAlign w:val="top"/>
          </w:tcPr>
          <w:p w14:paraId="0CB722D1">
            <w:pPr>
              <w:rPr>
                <w:rFonts w:hint="eastAsia" w:ascii="宋体" w:hAnsi="宋体" w:eastAsia="宋体" w:cs="宋体"/>
                <w:color w:val="000000" w:themeColor="text1"/>
                <w:sz w:val="21"/>
                <w:szCs w:val="21"/>
                <w:highlight w:val="none"/>
              </w:rPr>
            </w:pPr>
          </w:p>
        </w:tc>
        <w:tc>
          <w:tcPr>
            <w:tcW w:w="921" w:type="dxa"/>
            <w:noWrap w:val="0"/>
            <w:vAlign w:val="top"/>
          </w:tcPr>
          <w:p w14:paraId="50A9CAE0">
            <w:pPr>
              <w:rPr>
                <w:rFonts w:hint="eastAsia" w:ascii="宋体" w:hAnsi="宋体" w:eastAsia="宋体" w:cs="宋体"/>
                <w:color w:val="000000" w:themeColor="text1"/>
                <w:sz w:val="21"/>
                <w:szCs w:val="21"/>
                <w:highlight w:val="none"/>
              </w:rPr>
            </w:pPr>
          </w:p>
        </w:tc>
      </w:tr>
    </w:tbl>
    <w:p w14:paraId="26C81C5D">
      <w:pPr>
        <w:spacing w:line="440" w:lineRule="exact"/>
        <w:rPr>
          <w:rFonts w:hint="eastAsia" w:ascii="宋体" w:hAnsi="宋体" w:eastAsia="宋体" w:cs="宋体"/>
          <w:color w:val="000000" w:themeColor="text1"/>
          <w:sz w:val="21"/>
          <w:szCs w:val="21"/>
          <w:highlight w:val="none"/>
        </w:rPr>
        <w:sectPr>
          <w:pgSz w:w="11907" w:h="16840"/>
          <w:pgMar w:top="1440" w:right="1080" w:bottom="1440" w:left="1080" w:header="851" w:footer="851" w:gutter="0"/>
          <w:cols w:space="720" w:num="1"/>
          <w:docGrid w:linePitch="312" w:charSpace="0"/>
        </w:sectPr>
      </w:pPr>
    </w:p>
    <w:p w14:paraId="43258501">
      <w:pPr>
        <w:spacing w:line="44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w:t>
      </w:r>
      <w:bookmarkStart w:id="1624" w:name="_Toc296347227"/>
      <w:bookmarkStart w:id="1625" w:name="_Toc296346729"/>
      <w:bookmarkStart w:id="1626" w:name="_Toc296891268"/>
      <w:bookmarkStart w:id="1627" w:name="_Toc267261699"/>
      <w:bookmarkStart w:id="1628" w:name="_Toc296891056"/>
      <w:bookmarkStart w:id="1629" w:name="_Toc296944567"/>
      <w:bookmarkStart w:id="1630" w:name="_Toc296503228"/>
      <w:r>
        <w:rPr>
          <w:rFonts w:hint="eastAsia" w:ascii="宋体" w:hAnsi="宋体" w:eastAsia="宋体" w:cs="宋体"/>
          <w:color w:val="000000" w:themeColor="text1"/>
          <w:sz w:val="21"/>
          <w:szCs w:val="21"/>
          <w:highlight w:val="none"/>
        </w:rPr>
        <w:t>件</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w:t>
      </w:r>
    </w:p>
    <w:bookmarkEnd w:id="1624"/>
    <w:bookmarkEnd w:id="1625"/>
    <w:bookmarkEnd w:id="1626"/>
    <w:bookmarkEnd w:id="1627"/>
    <w:bookmarkEnd w:id="1628"/>
    <w:bookmarkEnd w:id="1629"/>
    <w:bookmarkEnd w:id="1630"/>
    <w:p w14:paraId="2DEDC7DB">
      <w:pPr>
        <w:spacing w:before="120" w:beforeLines="50" w:after="120" w:afterLines="50"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承包人主要施工管理人员表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EDB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3216A5">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名    称</w:t>
            </w:r>
          </w:p>
        </w:tc>
        <w:tc>
          <w:tcPr>
            <w:tcW w:w="1418" w:type="dxa"/>
            <w:noWrap w:val="0"/>
            <w:vAlign w:val="center"/>
          </w:tcPr>
          <w:p w14:paraId="04B58166">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姓名</w:t>
            </w:r>
          </w:p>
        </w:tc>
        <w:tc>
          <w:tcPr>
            <w:tcW w:w="1134" w:type="dxa"/>
            <w:noWrap w:val="0"/>
            <w:vAlign w:val="center"/>
          </w:tcPr>
          <w:p w14:paraId="4140073F">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职务</w:t>
            </w:r>
          </w:p>
        </w:tc>
        <w:tc>
          <w:tcPr>
            <w:tcW w:w="1134" w:type="dxa"/>
            <w:noWrap w:val="0"/>
            <w:vAlign w:val="center"/>
          </w:tcPr>
          <w:p w14:paraId="56DBF4A3">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职称</w:t>
            </w:r>
          </w:p>
        </w:tc>
        <w:tc>
          <w:tcPr>
            <w:tcW w:w="4252" w:type="dxa"/>
            <w:noWrap w:val="0"/>
            <w:vAlign w:val="center"/>
          </w:tcPr>
          <w:p w14:paraId="616B0CF1">
            <w:pPr>
              <w:pStyle w:val="18"/>
              <w:keepNext/>
              <w:spacing w:after="0" w:line="440" w:lineRule="exact"/>
              <w:ind w:left="0" w:leftChars="0"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计划进场时间</w:t>
            </w:r>
          </w:p>
        </w:tc>
      </w:tr>
      <w:tr w14:paraId="542D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A961617">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一、总部人员</w:t>
            </w:r>
          </w:p>
        </w:tc>
      </w:tr>
      <w:tr w14:paraId="32F7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33E152E">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项目主管</w:t>
            </w:r>
          </w:p>
        </w:tc>
        <w:tc>
          <w:tcPr>
            <w:tcW w:w="1418" w:type="dxa"/>
            <w:noWrap w:val="0"/>
            <w:vAlign w:val="center"/>
          </w:tcPr>
          <w:p w14:paraId="118453F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42AFB4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1B57AA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21A3E6F0">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0560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2169503">
            <w:pPr>
              <w:pStyle w:val="18"/>
              <w:keepNext/>
              <w:spacing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其他人员</w:t>
            </w:r>
          </w:p>
        </w:tc>
        <w:tc>
          <w:tcPr>
            <w:tcW w:w="1418" w:type="dxa"/>
            <w:noWrap w:val="0"/>
            <w:vAlign w:val="center"/>
          </w:tcPr>
          <w:p w14:paraId="4101E91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EA7ECD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D890A8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6CA8F89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7D03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2F0190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77AC0CE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0887BD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16236B9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4D0FA018">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6FDC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ECE31E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389049A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C080A8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3DD255B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53DAFD41">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D50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1DDA5880">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二、现场人员</w:t>
            </w:r>
          </w:p>
        </w:tc>
      </w:tr>
      <w:tr w14:paraId="37E9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85B13BA">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项目经理</w:t>
            </w:r>
          </w:p>
        </w:tc>
        <w:tc>
          <w:tcPr>
            <w:tcW w:w="1418" w:type="dxa"/>
            <w:noWrap w:val="0"/>
            <w:vAlign w:val="center"/>
          </w:tcPr>
          <w:p w14:paraId="40A3AA3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1F8EBC1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15D1A7D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52A76152">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9AD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B3D9EB4">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项目副经理</w:t>
            </w:r>
          </w:p>
        </w:tc>
        <w:tc>
          <w:tcPr>
            <w:tcW w:w="1418" w:type="dxa"/>
            <w:noWrap w:val="0"/>
            <w:vAlign w:val="center"/>
          </w:tcPr>
          <w:p w14:paraId="5E1FE68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34E7AE0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5D072E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74354593">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1840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BD3445">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技术负责人</w:t>
            </w:r>
          </w:p>
        </w:tc>
        <w:tc>
          <w:tcPr>
            <w:tcW w:w="1418" w:type="dxa"/>
            <w:noWrap w:val="0"/>
            <w:vAlign w:val="center"/>
          </w:tcPr>
          <w:p w14:paraId="00F5475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372026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990CA2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37DF112E">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604C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noWrap w:val="0"/>
            <w:vAlign w:val="center"/>
          </w:tcPr>
          <w:p w14:paraId="1AA63DC3">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造价管理</w:t>
            </w:r>
          </w:p>
        </w:tc>
        <w:tc>
          <w:tcPr>
            <w:tcW w:w="1418" w:type="dxa"/>
            <w:noWrap w:val="0"/>
            <w:vAlign w:val="center"/>
          </w:tcPr>
          <w:p w14:paraId="2FEEA79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3C0A580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847532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659F47AF">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6E2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672A24A">
            <w:pPr>
              <w:pStyle w:val="18"/>
              <w:keepNext/>
              <w:spacing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质量管理</w:t>
            </w:r>
          </w:p>
        </w:tc>
        <w:tc>
          <w:tcPr>
            <w:tcW w:w="1418" w:type="dxa"/>
            <w:noWrap w:val="0"/>
            <w:vAlign w:val="center"/>
          </w:tcPr>
          <w:p w14:paraId="4F0A532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EEDD60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A6EEFC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0589EB89">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D7D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D681AC">
            <w:pPr>
              <w:pStyle w:val="18"/>
              <w:keepNext/>
              <w:spacing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527A6C5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BBB3DD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379565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7C90B8C6">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F32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20D3AD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32A6B29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1B1069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698D89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0D244932">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7733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50B1D7">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材料管理</w:t>
            </w:r>
          </w:p>
        </w:tc>
        <w:tc>
          <w:tcPr>
            <w:tcW w:w="1418" w:type="dxa"/>
            <w:noWrap w:val="0"/>
            <w:vAlign w:val="center"/>
          </w:tcPr>
          <w:p w14:paraId="762B558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98E748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788BF7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1262F517">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A49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18E245C">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计划管理</w:t>
            </w:r>
          </w:p>
        </w:tc>
        <w:tc>
          <w:tcPr>
            <w:tcW w:w="1418" w:type="dxa"/>
            <w:noWrap w:val="0"/>
            <w:vAlign w:val="center"/>
          </w:tcPr>
          <w:p w14:paraId="7069119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39D74D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17DF83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33503CC9">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72DB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F86E70D">
            <w:pPr>
              <w:pStyle w:val="18"/>
              <w:keepNext/>
              <w:spacing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安全管理</w:t>
            </w:r>
          </w:p>
        </w:tc>
        <w:tc>
          <w:tcPr>
            <w:tcW w:w="1418" w:type="dxa"/>
            <w:noWrap w:val="0"/>
            <w:vAlign w:val="center"/>
          </w:tcPr>
          <w:p w14:paraId="6B36C1F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E5243C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BDCC0E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390BBC17">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065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71FA656">
            <w:pPr>
              <w:pStyle w:val="18"/>
              <w:keepNext/>
              <w:spacing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5B2F6A9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BBD47D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4A796A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39220284">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051B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F9CFEA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201CC38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1AC0E2F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DD932F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7870A089">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FBF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120F156">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其他人员</w:t>
            </w:r>
          </w:p>
        </w:tc>
        <w:tc>
          <w:tcPr>
            <w:tcW w:w="1418" w:type="dxa"/>
            <w:noWrap w:val="0"/>
            <w:vAlign w:val="center"/>
          </w:tcPr>
          <w:p w14:paraId="1048419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FAD32D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12178E9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459ED921">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172B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DC5C04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231558B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D80660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FDD735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2D999231">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12A0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24FBC6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47812A6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B561ED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F90D4D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7F07C52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125C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4D688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63C43F6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6F7796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32597FD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20AC8E6F">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6B0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D2F70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55913AD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3BC332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3E3B73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59820591">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D0F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F21B3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02949B9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906242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5EC894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5E858677">
            <w:pPr>
              <w:pStyle w:val="18"/>
              <w:keepNext/>
              <w:spacing w:after="0" w:line="440" w:lineRule="exact"/>
              <w:ind w:left="63" w:right="63"/>
              <w:rPr>
                <w:rFonts w:hint="eastAsia" w:ascii="宋体" w:hAnsi="宋体" w:eastAsia="宋体" w:cs="宋体"/>
                <w:color w:val="000000" w:themeColor="text1"/>
                <w:sz w:val="21"/>
                <w:szCs w:val="21"/>
                <w:highlight w:val="none"/>
              </w:rPr>
            </w:pPr>
          </w:p>
        </w:tc>
      </w:tr>
    </w:tbl>
    <w:p w14:paraId="35F51506">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br w:type="page"/>
      </w:r>
      <w:r>
        <w:rPr>
          <w:rFonts w:hint="eastAsia" w:ascii="宋体" w:hAnsi="宋体" w:eastAsia="宋体" w:cs="宋体"/>
          <w:color w:val="000000" w:themeColor="text1"/>
          <w:sz w:val="21"/>
          <w:szCs w:val="21"/>
          <w:highlight w:val="none"/>
        </w:rPr>
        <w:t>附</w:t>
      </w:r>
      <w:bookmarkStart w:id="1631" w:name="_Toc296891057"/>
      <w:bookmarkStart w:id="1632" w:name="_Toc296503229"/>
      <w:bookmarkStart w:id="1633" w:name="_Toc296347228"/>
      <w:bookmarkStart w:id="1634" w:name="_Toc296944568"/>
      <w:bookmarkStart w:id="1635" w:name="_Toc296346730"/>
      <w:bookmarkStart w:id="1636" w:name="_Toc296891269"/>
      <w:r>
        <w:rPr>
          <w:rFonts w:hint="eastAsia" w:ascii="宋体" w:hAnsi="宋体" w:eastAsia="宋体" w:cs="宋体"/>
          <w:color w:val="000000" w:themeColor="text1"/>
          <w:sz w:val="21"/>
          <w:szCs w:val="21"/>
          <w:highlight w:val="none"/>
        </w:rPr>
        <w:t>件</w:t>
      </w: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w:t>
      </w:r>
    </w:p>
    <w:bookmarkEnd w:id="1631"/>
    <w:bookmarkEnd w:id="1632"/>
    <w:bookmarkEnd w:id="1633"/>
    <w:bookmarkEnd w:id="1634"/>
    <w:bookmarkEnd w:id="1635"/>
    <w:bookmarkEnd w:id="1636"/>
    <w:p w14:paraId="7B2CAFD7">
      <w:pPr>
        <w:spacing w:before="120" w:beforeLines="50" w:after="120" w:afterLines="50"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分包人主要施工管理人员表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412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CB68EE6">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名    称</w:t>
            </w:r>
          </w:p>
        </w:tc>
        <w:tc>
          <w:tcPr>
            <w:tcW w:w="1418" w:type="dxa"/>
            <w:noWrap w:val="0"/>
            <w:vAlign w:val="center"/>
          </w:tcPr>
          <w:p w14:paraId="4FA98533">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姓名</w:t>
            </w:r>
          </w:p>
        </w:tc>
        <w:tc>
          <w:tcPr>
            <w:tcW w:w="1134" w:type="dxa"/>
            <w:noWrap w:val="0"/>
            <w:vAlign w:val="center"/>
          </w:tcPr>
          <w:p w14:paraId="556E7879">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职务</w:t>
            </w:r>
          </w:p>
        </w:tc>
        <w:tc>
          <w:tcPr>
            <w:tcW w:w="1134" w:type="dxa"/>
            <w:noWrap w:val="0"/>
            <w:vAlign w:val="center"/>
          </w:tcPr>
          <w:p w14:paraId="18C9FB5E">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职称</w:t>
            </w:r>
          </w:p>
        </w:tc>
        <w:tc>
          <w:tcPr>
            <w:tcW w:w="4252" w:type="dxa"/>
            <w:noWrap w:val="0"/>
            <w:vAlign w:val="center"/>
          </w:tcPr>
          <w:p w14:paraId="5D9D3F49">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主要资历、经验及承担过的项目</w:t>
            </w:r>
          </w:p>
        </w:tc>
      </w:tr>
      <w:tr w14:paraId="7ABB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B7E5FA7">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一、总部人员</w:t>
            </w:r>
          </w:p>
        </w:tc>
      </w:tr>
      <w:tr w14:paraId="32EE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69F4DAC">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项目主管</w:t>
            </w:r>
          </w:p>
        </w:tc>
        <w:tc>
          <w:tcPr>
            <w:tcW w:w="1418" w:type="dxa"/>
            <w:noWrap w:val="0"/>
            <w:vAlign w:val="center"/>
          </w:tcPr>
          <w:p w14:paraId="1F6FB34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886187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48A9B9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59533E2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1329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C72FAF2">
            <w:pPr>
              <w:pStyle w:val="18"/>
              <w:keepNext/>
              <w:spacing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其他人员</w:t>
            </w:r>
          </w:p>
        </w:tc>
        <w:tc>
          <w:tcPr>
            <w:tcW w:w="1418" w:type="dxa"/>
            <w:noWrap w:val="0"/>
            <w:vAlign w:val="center"/>
          </w:tcPr>
          <w:p w14:paraId="075C480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FFF1B8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35C081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3B90A51B">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081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908123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4C5FC0B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975300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17B790C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110741FB">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4A16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965ADC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4E93195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D4D58CA">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1D9926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08FC1CB7">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83E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1C7DFCE">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二、现场人员</w:t>
            </w:r>
          </w:p>
        </w:tc>
      </w:tr>
      <w:tr w14:paraId="42C8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8C06A5A">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项目经理</w:t>
            </w:r>
          </w:p>
        </w:tc>
        <w:tc>
          <w:tcPr>
            <w:tcW w:w="1418" w:type="dxa"/>
            <w:noWrap w:val="0"/>
            <w:vAlign w:val="center"/>
          </w:tcPr>
          <w:p w14:paraId="0D25EE3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D9B976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02169EC">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70B734BD">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1C9D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663D3A0">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项目副经理</w:t>
            </w:r>
          </w:p>
        </w:tc>
        <w:tc>
          <w:tcPr>
            <w:tcW w:w="1418" w:type="dxa"/>
            <w:noWrap w:val="0"/>
            <w:vAlign w:val="center"/>
          </w:tcPr>
          <w:p w14:paraId="67AFEA7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DCEA9D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E71FA4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5FF8A493">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32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EFD740B">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技术负责人</w:t>
            </w:r>
          </w:p>
        </w:tc>
        <w:tc>
          <w:tcPr>
            <w:tcW w:w="1418" w:type="dxa"/>
            <w:noWrap w:val="0"/>
            <w:vAlign w:val="center"/>
          </w:tcPr>
          <w:p w14:paraId="06165724">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09BE6B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02D558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13D00643">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6772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089D791">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造价管理</w:t>
            </w:r>
          </w:p>
        </w:tc>
        <w:tc>
          <w:tcPr>
            <w:tcW w:w="1418" w:type="dxa"/>
            <w:noWrap w:val="0"/>
            <w:vAlign w:val="center"/>
          </w:tcPr>
          <w:p w14:paraId="036F010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7F3CDF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BD92F3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358FA29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3E5A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1AC6DF2">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质量管理</w:t>
            </w:r>
          </w:p>
        </w:tc>
        <w:tc>
          <w:tcPr>
            <w:tcW w:w="1418" w:type="dxa"/>
            <w:noWrap w:val="0"/>
            <w:vAlign w:val="center"/>
          </w:tcPr>
          <w:p w14:paraId="63F649A1">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2A7C8B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9732E2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68397AFF">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1CD5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3077A02">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材料管理</w:t>
            </w:r>
          </w:p>
        </w:tc>
        <w:tc>
          <w:tcPr>
            <w:tcW w:w="1418" w:type="dxa"/>
            <w:noWrap w:val="0"/>
            <w:vAlign w:val="center"/>
          </w:tcPr>
          <w:p w14:paraId="6EE380E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1C00AE9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86D60C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583E35A0">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522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517E84F">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计划管理</w:t>
            </w:r>
          </w:p>
        </w:tc>
        <w:tc>
          <w:tcPr>
            <w:tcW w:w="1418" w:type="dxa"/>
            <w:noWrap w:val="0"/>
            <w:vAlign w:val="center"/>
          </w:tcPr>
          <w:p w14:paraId="74EC187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6E3033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7E270E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371B65A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BBF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6DFCF8D">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安全管理</w:t>
            </w:r>
          </w:p>
        </w:tc>
        <w:tc>
          <w:tcPr>
            <w:tcW w:w="1418" w:type="dxa"/>
            <w:noWrap w:val="0"/>
            <w:vAlign w:val="center"/>
          </w:tcPr>
          <w:p w14:paraId="2A3D1A6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381793F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3F5EF9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568541A6">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758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61DCFF1">
            <w:pPr>
              <w:pStyle w:val="18"/>
              <w:keepNext/>
              <w:spacing w:after="0" w:line="440" w:lineRule="exact"/>
              <w:ind w:left="63" w:right="63"/>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其他人员</w:t>
            </w:r>
          </w:p>
        </w:tc>
        <w:tc>
          <w:tcPr>
            <w:tcW w:w="1418" w:type="dxa"/>
            <w:noWrap w:val="0"/>
            <w:vAlign w:val="center"/>
          </w:tcPr>
          <w:p w14:paraId="2CBA29C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23DDDE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0B2DDF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0566967C">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73D3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8D876EB">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3B52C66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10C68D05">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03414CE">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2DC43668">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27F6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AA1EF8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10518A6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2134592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60A2233">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4A5EC1CA">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00E2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vMerge w:val="continue"/>
            <w:noWrap w:val="0"/>
            <w:vAlign w:val="center"/>
          </w:tcPr>
          <w:p w14:paraId="47295A9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041DDFB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659A21E9">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061C8550">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625E75A5">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7271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04C252D">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1EF2B0BF">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3F9B431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75D0F82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1A9C06F9">
            <w:pPr>
              <w:pStyle w:val="18"/>
              <w:keepNext/>
              <w:spacing w:after="0" w:line="440" w:lineRule="exact"/>
              <w:ind w:left="63" w:right="63"/>
              <w:rPr>
                <w:rFonts w:hint="eastAsia" w:ascii="宋体" w:hAnsi="宋体" w:eastAsia="宋体" w:cs="宋体"/>
                <w:color w:val="000000" w:themeColor="text1"/>
                <w:sz w:val="21"/>
                <w:szCs w:val="21"/>
                <w:highlight w:val="none"/>
              </w:rPr>
            </w:pPr>
          </w:p>
        </w:tc>
      </w:tr>
      <w:tr w14:paraId="4D92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39CB92">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418" w:type="dxa"/>
            <w:noWrap w:val="0"/>
            <w:vAlign w:val="center"/>
          </w:tcPr>
          <w:p w14:paraId="6F8E1727">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503695B8">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1134" w:type="dxa"/>
            <w:noWrap w:val="0"/>
            <w:vAlign w:val="center"/>
          </w:tcPr>
          <w:p w14:paraId="4DD0CE56">
            <w:pPr>
              <w:pStyle w:val="18"/>
              <w:keepNext/>
              <w:spacing w:after="0" w:line="440" w:lineRule="exact"/>
              <w:ind w:left="63" w:right="63"/>
              <w:rPr>
                <w:rFonts w:hint="eastAsia" w:ascii="宋体" w:hAnsi="宋体" w:eastAsia="宋体" w:cs="宋体"/>
                <w:color w:val="000000" w:themeColor="text1"/>
                <w:sz w:val="21"/>
                <w:szCs w:val="21"/>
                <w:highlight w:val="none"/>
              </w:rPr>
            </w:pPr>
          </w:p>
        </w:tc>
        <w:tc>
          <w:tcPr>
            <w:tcW w:w="4252" w:type="dxa"/>
            <w:noWrap w:val="0"/>
            <w:vAlign w:val="center"/>
          </w:tcPr>
          <w:p w14:paraId="412F1944">
            <w:pPr>
              <w:pStyle w:val="18"/>
              <w:keepNext/>
              <w:spacing w:after="0" w:line="440" w:lineRule="exact"/>
              <w:ind w:left="63" w:right="63"/>
              <w:rPr>
                <w:rFonts w:hint="eastAsia" w:ascii="宋体" w:hAnsi="宋体" w:eastAsia="宋体" w:cs="宋体"/>
                <w:color w:val="000000" w:themeColor="text1"/>
                <w:sz w:val="21"/>
                <w:szCs w:val="21"/>
                <w:highlight w:val="none"/>
              </w:rPr>
            </w:pPr>
          </w:p>
        </w:tc>
      </w:tr>
    </w:tbl>
    <w:p w14:paraId="061AFAF9">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 w:val="30"/>
          <w:szCs w:val="30"/>
          <w:highlight w:val="none"/>
        </w:rPr>
        <w:br w:type="page"/>
      </w:r>
      <w:r>
        <w:rPr>
          <w:rFonts w:hint="eastAsia" w:ascii="宋体" w:hAnsi="宋体" w:eastAsia="宋体" w:cs="宋体"/>
          <w:color w:val="000000" w:themeColor="text1"/>
          <w:szCs w:val="21"/>
        </w:rPr>
        <w:t>附</w:t>
      </w:r>
      <w:bookmarkStart w:id="1637" w:name="_Toc296944570"/>
      <w:bookmarkStart w:id="1638" w:name="_Toc296503231"/>
      <w:bookmarkStart w:id="1639" w:name="_Toc296346732"/>
      <w:bookmarkStart w:id="1640" w:name="_Toc296891271"/>
      <w:bookmarkStart w:id="1641" w:name="_Toc296347230"/>
      <w:bookmarkStart w:id="1642" w:name="_Toc296891059"/>
      <w:r>
        <w:rPr>
          <w:rFonts w:hint="eastAsia" w:ascii="宋体" w:hAnsi="宋体" w:eastAsia="宋体" w:cs="宋体"/>
          <w:color w:val="000000" w:themeColor="text1"/>
          <w:szCs w:val="21"/>
        </w:rPr>
        <w:t>件8：</w:t>
      </w:r>
    </w:p>
    <w:bookmarkEnd w:id="1576"/>
    <w:bookmarkEnd w:id="1637"/>
    <w:bookmarkEnd w:id="1638"/>
    <w:bookmarkEnd w:id="1639"/>
    <w:bookmarkEnd w:id="1640"/>
    <w:bookmarkEnd w:id="1641"/>
    <w:bookmarkEnd w:id="1642"/>
    <w:p w14:paraId="08D5C325">
      <w:pPr>
        <w:pStyle w:val="150"/>
        <w:spacing w:beforeLines="50" w:afterLines="50" w:line="460" w:lineRule="atLeas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履约担保</w:t>
      </w:r>
    </w:p>
    <w:p w14:paraId="6356E605">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rPr>
        <w:t>（发包人名称）：</w:t>
      </w:r>
    </w:p>
    <w:p w14:paraId="62625257">
      <w:pPr>
        <w:pStyle w:val="150"/>
        <w:spacing w:line="460" w:lineRule="atLeast"/>
        <w:rPr>
          <w:rFonts w:hint="eastAsia" w:ascii="宋体" w:hAnsi="宋体" w:eastAsia="宋体" w:cs="宋体"/>
          <w:color w:val="000000" w:themeColor="text1"/>
          <w:szCs w:val="21"/>
        </w:rPr>
      </w:pPr>
    </w:p>
    <w:p w14:paraId="3FE3CD9E">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鉴于</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（发包人名称，以下简称“发包人”）与</w:t>
      </w:r>
    </w:p>
    <w:p w14:paraId="3E75F137">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（承包人名称）（以下称“承包人”）于</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日就</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（工程名称）施工及有关事项协商一致共同签订《建设工程施工合同》。我方愿意无条件地、不可撤销地就承包人履行与你方签订的合同，向你方提供连带责任担保。 </w:t>
      </w:r>
    </w:p>
    <w:p w14:paraId="4277F21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 担保金额人民币（大写）</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元（¥</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3404F0C8">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 担保有效期自你方与承包人签订的合同生效之日起至你方签发或应签发工程接收证书之日止。</w:t>
      </w:r>
    </w:p>
    <w:p w14:paraId="06DB5133">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 在本担保有效期内，因承包人违反合同约定的义务给你方造成经济损失时，我方在收到你方以书面形式提出的在担保金额内的赔偿要求后，在7天内无条件支付。</w:t>
      </w:r>
    </w:p>
    <w:p w14:paraId="16A58433">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 你方和承包人按合同约定变更合同时，我方承担本担保规定的义务不变。</w:t>
      </w:r>
    </w:p>
    <w:p w14:paraId="7F747F9B">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5. 因本保函发生的纠纷，可由双方协商解决，协商不成的，任何一方均可提请</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仲裁委员会仲裁。</w:t>
      </w:r>
    </w:p>
    <w:p w14:paraId="11EB89AD">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6. 本保函自我方法定代表人（或其授权代理人）签字并加盖公章之日起生效。</w:t>
      </w:r>
    </w:p>
    <w:p w14:paraId="5BEABA54">
      <w:pPr>
        <w:pStyle w:val="150"/>
        <w:spacing w:line="460" w:lineRule="atLeast"/>
        <w:rPr>
          <w:rFonts w:hint="eastAsia" w:ascii="宋体" w:hAnsi="宋体" w:eastAsia="宋体" w:cs="宋体"/>
          <w:color w:val="000000" w:themeColor="text1"/>
          <w:szCs w:val="21"/>
        </w:rPr>
      </w:pPr>
    </w:p>
    <w:p w14:paraId="5F79FC5B">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担 保 人：</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（盖单位章）</w:t>
      </w:r>
    </w:p>
    <w:p w14:paraId="323030FE">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法定代表人或其委托代理人：</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（签字）</w:t>
      </w:r>
    </w:p>
    <w:p w14:paraId="237A8761">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地    址：</w:t>
      </w:r>
      <w:r>
        <w:rPr>
          <w:rFonts w:hint="eastAsia" w:ascii="宋体" w:hAnsi="宋体" w:eastAsia="宋体" w:cs="宋体"/>
          <w:color w:val="000000" w:themeColor="text1"/>
          <w:szCs w:val="21"/>
          <w:u w:val="single"/>
        </w:rPr>
        <w:t xml:space="preserve">                                      </w:t>
      </w:r>
    </w:p>
    <w:p w14:paraId="2E2F0177">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邮政编码：</w:t>
      </w:r>
      <w:r>
        <w:rPr>
          <w:rFonts w:hint="eastAsia" w:ascii="宋体" w:hAnsi="宋体" w:eastAsia="宋体" w:cs="宋体"/>
          <w:color w:val="000000" w:themeColor="text1"/>
          <w:szCs w:val="21"/>
          <w:u w:val="single"/>
        </w:rPr>
        <w:t xml:space="preserve">                                      </w:t>
      </w:r>
    </w:p>
    <w:p w14:paraId="5E2DC9D2">
      <w:pPr>
        <w:pStyle w:val="150"/>
        <w:spacing w:line="460" w:lineRule="atLeas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电    话：</w:t>
      </w:r>
      <w:r>
        <w:rPr>
          <w:rFonts w:hint="eastAsia" w:ascii="宋体" w:hAnsi="宋体" w:eastAsia="宋体" w:cs="宋体"/>
          <w:color w:val="000000" w:themeColor="text1"/>
          <w:szCs w:val="21"/>
          <w:u w:val="single"/>
        </w:rPr>
        <w:t xml:space="preserve">                                      </w:t>
      </w:r>
    </w:p>
    <w:p w14:paraId="7C19A95A">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传    真：</w:t>
      </w:r>
      <w:r>
        <w:rPr>
          <w:rFonts w:hint="eastAsia" w:ascii="宋体" w:hAnsi="宋体" w:eastAsia="宋体" w:cs="宋体"/>
          <w:color w:val="000000" w:themeColor="text1"/>
          <w:szCs w:val="21"/>
          <w:u w:val="single"/>
        </w:rPr>
        <w:t xml:space="preserve">                                      </w:t>
      </w:r>
    </w:p>
    <w:p w14:paraId="69EFDA18">
      <w:pPr>
        <w:pStyle w:val="150"/>
        <w:spacing w:line="460" w:lineRule="atLeast"/>
        <w:jc w:val="left"/>
        <w:rPr>
          <w:rFonts w:hint="eastAsia" w:ascii="宋体" w:hAnsi="宋体" w:eastAsia="宋体" w:cs="宋体"/>
          <w:color w:val="000000" w:themeColor="text1"/>
          <w:szCs w:val="21"/>
          <w:u w:val="single"/>
        </w:rPr>
      </w:pPr>
    </w:p>
    <w:p w14:paraId="10E225DF">
      <w:pPr>
        <w:pStyle w:val="150"/>
        <w:spacing w:line="460" w:lineRule="atLeast"/>
        <w:ind w:left="1329" w:hanging="1329" w:hangingChars="633"/>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w:t>
      </w:r>
    </w:p>
    <w:p w14:paraId="6AAF1479">
      <w:pPr>
        <w:pStyle w:val="150"/>
        <w:spacing w:line="460" w:lineRule="atLeast"/>
        <w:ind w:left="1329" w:hanging="1329" w:hangingChars="633"/>
        <w:rPr>
          <w:rFonts w:hint="eastAsia" w:ascii="宋体" w:hAnsi="宋体" w:eastAsia="宋体" w:cs="宋体"/>
          <w:color w:val="000000" w:themeColor="text1"/>
          <w:szCs w:val="21"/>
        </w:rPr>
      </w:pPr>
    </w:p>
    <w:p w14:paraId="25B0B06D">
      <w:pPr>
        <w:pStyle w:val="150"/>
        <w:spacing w:line="460" w:lineRule="atLeast"/>
        <w:ind w:left="1329" w:hanging="1329" w:hangingChars="633"/>
        <w:rPr>
          <w:rFonts w:hint="eastAsia" w:ascii="宋体" w:hAnsi="宋体" w:eastAsia="宋体" w:cs="宋体"/>
          <w:color w:val="000000" w:themeColor="text1"/>
          <w:szCs w:val="21"/>
        </w:rPr>
      </w:pPr>
    </w:p>
    <w:p w14:paraId="0D0993BB">
      <w:pPr>
        <w:pStyle w:val="150"/>
        <w:spacing w:line="460" w:lineRule="atLeast"/>
        <w:ind w:left="1329" w:hanging="1329" w:hangingChars="633"/>
        <w:rPr>
          <w:rFonts w:hint="eastAsia" w:ascii="宋体" w:hAnsi="宋体" w:eastAsia="宋体" w:cs="宋体"/>
          <w:color w:val="000000" w:themeColor="text1"/>
          <w:szCs w:val="21"/>
        </w:rPr>
      </w:pPr>
    </w:p>
    <w:p w14:paraId="600261AD">
      <w:pPr>
        <w:pStyle w:val="150"/>
        <w:spacing w:line="460" w:lineRule="atLeast"/>
        <w:ind w:left="1329" w:hanging="1329" w:hangingChars="633"/>
        <w:rPr>
          <w:rFonts w:hint="eastAsia" w:ascii="宋体" w:hAnsi="宋体" w:eastAsia="宋体" w:cs="宋体"/>
          <w:color w:val="000000" w:themeColor="text1"/>
          <w:szCs w:val="21"/>
        </w:rPr>
      </w:pPr>
    </w:p>
    <w:p w14:paraId="52B45F4B">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附</w:t>
      </w:r>
      <w:bookmarkStart w:id="1643" w:name="_Toc267261702"/>
      <w:bookmarkStart w:id="1644" w:name="_Toc296503232"/>
      <w:bookmarkStart w:id="1645" w:name="_Toc296346733"/>
      <w:bookmarkStart w:id="1646" w:name="_Toc296944571"/>
      <w:bookmarkStart w:id="1647" w:name="_Toc296891272"/>
      <w:bookmarkStart w:id="1648" w:name="_Toc296347231"/>
      <w:bookmarkStart w:id="1649" w:name="_Toc296891060"/>
      <w:r>
        <w:rPr>
          <w:rFonts w:hint="eastAsia" w:ascii="宋体" w:hAnsi="宋体" w:eastAsia="宋体" w:cs="宋体"/>
          <w:color w:val="000000" w:themeColor="text1"/>
          <w:szCs w:val="21"/>
        </w:rPr>
        <w:t>件9 ：</w:t>
      </w:r>
    </w:p>
    <w:bookmarkEnd w:id="1643"/>
    <w:bookmarkEnd w:id="1644"/>
    <w:bookmarkEnd w:id="1645"/>
    <w:bookmarkEnd w:id="1646"/>
    <w:bookmarkEnd w:id="1647"/>
    <w:bookmarkEnd w:id="1648"/>
    <w:bookmarkEnd w:id="1649"/>
    <w:p w14:paraId="277E8A17">
      <w:pPr>
        <w:pStyle w:val="150"/>
        <w:spacing w:beforeLines="50" w:afterLines="50" w:line="460" w:lineRule="atLeas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预付款担保</w:t>
      </w:r>
    </w:p>
    <w:p w14:paraId="2BD76528">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 xml:space="preserve"> （发包人名称）：</w:t>
      </w:r>
    </w:p>
    <w:p w14:paraId="7924A2E4">
      <w:pPr>
        <w:pStyle w:val="150"/>
        <w:spacing w:line="460" w:lineRule="atLeast"/>
        <w:rPr>
          <w:rFonts w:hint="eastAsia" w:ascii="宋体" w:hAnsi="宋体" w:eastAsia="宋体" w:cs="宋体"/>
          <w:color w:val="000000" w:themeColor="text1"/>
          <w:szCs w:val="21"/>
        </w:rPr>
      </w:pPr>
    </w:p>
    <w:p w14:paraId="58C69703">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根据</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（承包人名称）（以下称“承包人”）与</w:t>
      </w:r>
    </w:p>
    <w:p w14:paraId="144CB776">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                        </w:t>
      </w:r>
      <w:bookmarkStart w:id="1650" w:name="_Toc18545"/>
      <w:bookmarkStart w:id="1651" w:name="_Toc788"/>
      <w:bookmarkStart w:id="1652" w:name="_Toc13196"/>
      <w:bookmarkStart w:id="1653" w:name="_Toc20156"/>
      <w:bookmarkStart w:id="1654" w:name="_Toc18574516"/>
      <w:bookmarkStart w:id="1655" w:name="_Toc1633"/>
      <w:bookmarkStart w:id="1656" w:name="_Toc1757"/>
      <w:r>
        <w:rPr>
          <w:rFonts w:hint="eastAsia" w:ascii="宋体" w:hAnsi="宋体" w:eastAsia="宋体" w:cs="宋体"/>
          <w:color w:val="000000" w:themeColor="text1"/>
          <w:szCs w:val="21"/>
        </w:rPr>
        <w:t>（发包人名称）（以下简称“发包人”）</w:t>
      </w:r>
      <w:bookmarkEnd w:id="1650"/>
      <w:bookmarkEnd w:id="1651"/>
      <w:bookmarkEnd w:id="1652"/>
      <w:bookmarkEnd w:id="1653"/>
      <w:bookmarkEnd w:id="1654"/>
      <w:bookmarkEnd w:id="1655"/>
      <w:bookmarkEnd w:id="1656"/>
    </w:p>
    <w:p w14:paraId="1260CEB7">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于</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日签订的</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（工程名称）《建设工程施工合同》，承包人按约定的金额向你方提交一份预付款担保，即有权得到你方支付相等金额的预付款。我方愿意就你方提供给承包人的预付款为承包人提供连带责任担保。</w:t>
      </w:r>
    </w:p>
    <w:p w14:paraId="7056DEF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 担保金额人民币（大写）</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元（¥</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0FB1D5EA">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2. 担保有效期自预付款支付给承包人起生效，至你方签发的进度款支付证书说明已完全扣清止。</w:t>
      </w:r>
    </w:p>
    <w:p w14:paraId="4C5E30EC">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36F75B7">
      <w:pPr>
        <w:pStyle w:val="150"/>
        <w:spacing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4. 你方和承包人按合同约定变更合同时，我方承担本保函规定的义务不变。</w:t>
      </w:r>
    </w:p>
    <w:p w14:paraId="6D28A4F5">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5. 因本保函发生的纠纷，可由双方协商解决，协商不成的，任何一方均可提请</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仲裁委员会仲裁。</w:t>
      </w:r>
    </w:p>
    <w:p w14:paraId="1E0658B4">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6. 本保函自我方法定代表人（或其授权代理人）签字并加盖公章之日起生效。</w:t>
      </w:r>
    </w:p>
    <w:p w14:paraId="19BE430B">
      <w:pPr>
        <w:pStyle w:val="150"/>
        <w:spacing w:line="460" w:lineRule="atLeast"/>
        <w:rPr>
          <w:rFonts w:hint="eastAsia" w:ascii="宋体" w:hAnsi="宋体" w:eastAsia="宋体" w:cs="宋体"/>
          <w:color w:val="000000" w:themeColor="text1"/>
          <w:szCs w:val="21"/>
        </w:rPr>
      </w:pPr>
    </w:p>
    <w:p w14:paraId="18F7570D">
      <w:pPr>
        <w:pStyle w:val="150"/>
        <w:spacing w:line="460" w:lineRule="atLeast"/>
        <w:rPr>
          <w:rFonts w:hint="eastAsia" w:ascii="宋体" w:hAnsi="宋体" w:eastAsia="宋体" w:cs="宋体"/>
          <w:color w:val="000000" w:themeColor="text1"/>
          <w:szCs w:val="21"/>
        </w:rPr>
      </w:pPr>
    </w:p>
    <w:p w14:paraId="56C6421A">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担保人：</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（盖单位章）</w:t>
      </w:r>
    </w:p>
    <w:p w14:paraId="201DD09D">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法定代表人或其委托代理人：</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（签字）</w:t>
      </w:r>
    </w:p>
    <w:p w14:paraId="2C6B8574">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地    址：</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p>
    <w:p w14:paraId="4DE8C28D">
      <w:pPr>
        <w:pStyle w:val="150"/>
        <w:spacing w:line="460" w:lineRule="atLeas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邮政编码：</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p>
    <w:p w14:paraId="4FA41908">
      <w:pPr>
        <w:pStyle w:val="150"/>
        <w:spacing w:line="460" w:lineRule="atLeas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电    话：</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p>
    <w:p w14:paraId="7B53ED8C">
      <w:pPr>
        <w:pStyle w:val="150"/>
        <w:spacing w:line="460" w:lineRule="atLeast"/>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rPr>
        <w:t>传    真：</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r>
        <w:rPr>
          <w:rFonts w:hint="eastAsia" w:ascii="宋体" w:hAnsi="宋体" w:eastAsia="宋体" w:cs="宋体"/>
          <w:color w:val="000000" w:themeColor="text1"/>
          <w:szCs w:val="21"/>
          <w:u w:val="single"/>
        </w:rPr>
        <w:tab/>
      </w:r>
    </w:p>
    <w:p w14:paraId="3F2208AD">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w:t>
      </w:r>
    </w:p>
    <w:p w14:paraId="586BE76B">
      <w:pPr>
        <w:pStyle w:val="150"/>
        <w:spacing w:line="460" w:lineRule="atLeast"/>
        <w:rPr>
          <w:rFonts w:hint="eastAsia" w:ascii="宋体" w:hAnsi="宋体" w:eastAsia="宋体" w:cs="宋体"/>
          <w:color w:val="000000" w:themeColor="text1"/>
          <w:szCs w:val="21"/>
          <w:u w:val="single"/>
        </w:rPr>
      </w:pPr>
    </w:p>
    <w:p w14:paraId="491F14A8">
      <w:pPr>
        <w:pStyle w:val="150"/>
        <w:spacing w:line="460" w:lineRule="atLeas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w:t>
      </w:r>
    </w:p>
    <w:p w14:paraId="5B9B6483">
      <w:pPr>
        <w:pStyle w:val="150"/>
        <w:spacing w:line="460" w:lineRule="atLeast"/>
        <w:rPr>
          <w:rFonts w:hint="eastAsia" w:ascii="宋体" w:hAnsi="宋体" w:eastAsia="宋体" w:cs="宋体"/>
          <w:color w:val="000000" w:themeColor="text1"/>
          <w:szCs w:val="21"/>
        </w:rPr>
      </w:pPr>
      <w:r>
        <w:rPr>
          <w:rFonts w:hint="eastAsia" w:ascii="宋体" w:hAnsi="宋体" w:eastAsia="宋体" w:cs="宋体"/>
          <w:b/>
          <w:color w:val="000000" w:themeColor="text1"/>
          <w:szCs w:val="21"/>
        </w:rPr>
        <w:br w:type="page"/>
      </w:r>
      <w:r>
        <w:rPr>
          <w:rFonts w:hint="eastAsia" w:ascii="宋体" w:hAnsi="宋体" w:eastAsia="宋体" w:cs="宋体"/>
          <w:color w:val="000000" w:themeColor="text1"/>
          <w:szCs w:val="21"/>
        </w:rPr>
        <w:t>附</w:t>
      </w:r>
      <w:bookmarkStart w:id="1657" w:name="_Toc296891061"/>
      <w:bookmarkStart w:id="1658" w:name="_Toc296347232"/>
      <w:bookmarkStart w:id="1659" w:name="_Toc296891273"/>
      <w:bookmarkStart w:id="1660" w:name="_Toc296503233"/>
      <w:bookmarkStart w:id="1661" w:name="_Toc296346734"/>
      <w:bookmarkStart w:id="1662" w:name="_Toc296944572"/>
      <w:r>
        <w:rPr>
          <w:rFonts w:hint="eastAsia" w:ascii="宋体" w:hAnsi="宋体" w:eastAsia="宋体" w:cs="宋体"/>
          <w:color w:val="000000" w:themeColor="text1"/>
          <w:szCs w:val="21"/>
        </w:rPr>
        <w:t xml:space="preserve">件10:  </w:t>
      </w:r>
    </w:p>
    <w:bookmarkEnd w:id="1657"/>
    <w:bookmarkEnd w:id="1658"/>
    <w:bookmarkEnd w:id="1659"/>
    <w:bookmarkEnd w:id="1660"/>
    <w:bookmarkEnd w:id="1661"/>
    <w:bookmarkEnd w:id="1662"/>
    <w:p w14:paraId="64AAE4E9">
      <w:pPr>
        <w:pStyle w:val="150"/>
        <w:spacing w:beforeLines="50" w:afterLines="50" w:line="460" w:lineRule="atLeas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支付担保</w:t>
      </w:r>
    </w:p>
    <w:p w14:paraId="6DB27C0A">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（承包人）：</w:t>
      </w:r>
    </w:p>
    <w:p w14:paraId="42F097CA">
      <w:pPr>
        <w:pStyle w:val="150"/>
        <w:spacing w:line="460" w:lineRule="atLeast"/>
        <w:jc w:val="left"/>
        <w:rPr>
          <w:rFonts w:hint="eastAsia" w:ascii="宋体" w:hAnsi="宋体" w:eastAsia="宋体" w:cs="宋体"/>
          <w:color w:val="000000" w:themeColor="text1"/>
          <w:szCs w:val="21"/>
        </w:rPr>
      </w:pPr>
    </w:p>
    <w:p w14:paraId="0B528123">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鉴于你方作为承包人已经与</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（发包人名称）（以下称“发包人”）于</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日签订了</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（工程名称）《建设工程施工合同》（以下称“主合同”），应发包人的申请，我方愿就发包人履行主合同约定的工程款支付义务以保证的方式向你方提供如下担保：</w:t>
      </w:r>
    </w:p>
    <w:p w14:paraId="4C053A1B">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663" w:name="_Toc2149"/>
      <w:bookmarkStart w:id="1664" w:name="_Toc3882"/>
      <w:bookmarkStart w:id="1665" w:name="_Toc2557"/>
      <w:bookmarkStart w:id="1666" w:name="_Toc24465"/>
      <w:bookmarkStart w:id="1667" w:name="_Toc18574517"/>
      <w:bookmarkStart w:id="1668" w:name="_Toc4001"/>
      <w:bookmarkStart w:id="1669" w:name="_Toc15985"/>
      <w:bookmarkStart w:id="1670" w:name="_Toc23785"/>
      <w:r>
        <w:rPr>
          <w:rFonts w:hint="eastAsia" w:ascii="宋体" w:hAnsi="宋体" w:eastAsia="宋体" w:cs="宋体"/>
          <w:color w:val="000000" w:themeColor="text1"/>
          <w:szCs w:val="21"/>
        </w:rPr>
        <w:t>一、保证的范围及保证金额</w:t>
      </w:r>
      <w:bookmarkEnd w:id="1663"/>
      <w:bookmarkEnd w:id="1664"/>
      <w:bookmarkEnd w:id="1665"/>
      <w:bookmarkEnd w:id="1666"/>
      <w:bookmarkEnd w:id="1667"/>
      <w:bookmarkEnd w:id="1668"/>
      <w:bookmarkEnd w:id="1669"/>
      <w:bookmarkEnd w:id="1670"/>
    </w:p>
    <w:p w14:paraId="17BDB31B">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 我方的保证范围是主合同约定的工程款。</w:t>
      </w:r>
    </w:p>
    <w:p w14:paraId="33246D88">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 本保函所称主合同约定的工程款是指主合同约定的除工程质量保证金以外的合同价款。</w:t>
      </w:r>
    </w:p>
    <w:p w14:paraId="64D7065F">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 我方保证的金额是主合同约定的工程款的</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%，数额最高不超过人民币元（大写：</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w:t>
      </w:r>
    </w:p>
    <w:p w14:paraId="7E66F8F6">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671" w:name="_Toc23010"/>
      <w:bookmarkStart w:id="1672" w:name="_Toc18574518"/>
      <w:bookmarkStart w:id="1673" w:name="_Toc18210"/>
      <w:bookmarkStart w:id="1674" w:name="_Toc10049"/>
      <w:bookmarkStart w:id="1675" w:name="_Toc18727"/>
      <w:bookmarkStart w:id="1676" w:name="_Toc3548"/>
      <w:bookmarkStart w:id="1677" w:name="_Toc25887"/>
      <w:bookmarkStart w:id="1678" w:name="_Toc4591"/>
      <w:r>
        <w:rPr>
          <w:rFonts w:hint="eastAsia" w:ascii="宋体" w:hAnsi="宋体" w:eastAsia="宋体" w:cs="宋体"/>
          <w:color w:val="000000" w:themeColor="text1"/>
          <w:szCs w:val="21"/>
        </w:rPr>
        <w:t>二、保证的方式及保证期间</w:t>
      </w:r>
      <w:bookmarkEnd w:id="1671"/>
      <w:bookmarkEnd w:id="1672"/>
      <w:bookmarkEnd w:id="1673"/>
      <w:bookmarkEnd w:id="1674"/>
      <w:bookmarkEnd w:id="1675"/>
      <w:bookmarkEnd w:id="1676"/>
      <w:bookmarkEnd w:id="1677"/>
      <w:bookmarkEnd w:id="1678"/>
    </w:p>
    <w:p w14:paraId="0FFA7E9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 我方保证的方式为：连带责任保证。</w:t>
      </w:r>
    </w:p>
    <w:p w14:paraId="5DFDC6D0">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 我方保证的期间为：自本合同生效之日起至主合同约定的工程款支付完毕之日后</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日内。</w:t>
      </w:r>
    </w:p>
    <w:p w14:paraId="0650D538">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 你方与发包人协议变更工程款支付日期的，经我方书面同意后，保证期间按照变更后的支付日期做相应调整。</w:t>
      </w:r>
    </w:p>
    <w:p w14:paraId="51F28E68">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679" w:name="_Toc18574519"/>
      <w:bookmarkStart w:id="1680" w:name="_Toc15402"/>
      <w:bookmarkStart w:id="1681" w:name="_Toc30627"/>
      <w:bookmarkStart w:id="1682" w:name="_Toc16821"/>
      <w:bookmarkStart w:id="1683" w:name="_Toc26817"/>
      <w:bookmarkStart w:id="1684" w:name="_Toc25915"/>
      <w:bookmarkStart w:id="1685" w:name="_Toc10636"/>
      <w:bookmarkStart w:id="1686" w:name="_Toc13474"/>
      <w:r>
        <w:rPr>
          <w:rFonts w:hint="eastAsia" w:ascii="宋体" w:hAnsi="宋体" w:eastAsia="宋体" w:cs="宋体"/>
          <w:color w:val="000000" w:themeColor="text1"/>
          <w:szCs w:val="21"/>
        </w:rPr>
        <w:t>三、承担保证责任的形式</w:t>
      </w:r>
      <w:bookmarkEnd w:id="1679"/>
      <w:bookmarkEnd w:id="1680"/>
      <w:bookmarkEnd w:id="1681"/>
      <w:bookmarkEnd w:id="1682"/>
      <w:bookmarkEnd w:id="1683"/>
      <w:bookmarkEnd w:id="1684"/>
      <w:bookmarkEnd w:id="1685"/>
      <w:bookmarkEnd w:id="1686"/>
    </w:p>
    <w:p w14:paraId="1F51C060">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我方承担保证责任的形式是代为支付。发包人未按主合同约定向你方支付工程款的，由我方在保证金额内代为支付。</w:t>
      </w:r>
    </w:p>
    <w:p w14:paraId="727ECEA9">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687" w:name="_Toc31697"/>
      <w:bookmarkStart w:id="1688" w:name="_Toc9837"/>
      <w:bookmarkStart w:id="1689" w:name="_Toc525"/>
      <w:bookmarkStart w:id="1690" w:name="_Toc14804"/>
      <w:bookmarkStart w:id="1691" w:name="_Toc8401"/>
      <w:bookmarkStart w:id="1692" w:name="_Toc7549"/>
      <w:bookmarkStart w:id="1693" w:name="_Toc32469"/>
      <w:bookmarkStart w:id="1694" w:name="_Toc18574520"/>
      <w:r>
        <w:rPr>
          <w:rFonts w:hint="eastAsia" w:ascii="宋体" w:hAnsi="宋体" w:eastAsia="宋体" w:cs="宋体"/>
          <w:color w:val="000000" w:themeColor="text1"/>
          <w:szCs w:val="21"/>
        </w:rPr>
        <w:t>四、代偿的安排</w:t>
      </w:r>
      <w:bookmarkEnd w:id="1687"/>
      <w:bookmarkEnd w:id="1688"/>
      <w:bookmarkEnd w:id="1689"/>
      <w:bookmarkEnd w:id="1690"/>
      <w:bookmarkEnd w:id="1691"/>
      <w:bookmarkEnd w:id="1692"/>
      <w:bookmarkEnd w:id="1693"/>
      <w:bookmarkEnd w:id="1694"/>
    </w:p>
    <w:p w14:paraId="7396BF6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 你方要求我方承担保证责任的，应向我方发出书面索赔通知及发包人未支付主合同约定工程款的证明材料。索赔通知应写明要求索赔的金额，支付款项应到达的账号。</w:t>
      </w:r>
    </w:p>
    <w:p w14:paraId="2168BDD5">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3260BA4E">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 我方收到你方的书面索赔通知及相应的证明材料后７天内无条件支付。</w:t>
      </w:r>
    </w:p>
    <w:p w14:paraId="694A6522">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695" w:name="_Toc4226"/>
      <w:bookmarkStart w:id="1696" w:name="_Toc18574521"/>
      <w:bookmarkStart w:id="1697" w:name="_Toc27439"/>
      <w:bookmarkStart w:id="1698" w:name="_Toc15115"/>
      <w:bookmarkStart w:id="1699" w:name="_Toc2360"/>
      <w:bookmarkStart w:id="1700" w:name="_Toc30862"/>
      <w:bookmarkStart w:id="1701" w:name="_Toc4080"/>
      <w:bookmarkStart w:id="1702" w:name="_Toc26083"/>
      <w:r>
        <w:rPr>
          <w:rFonts w:hint="eastAsia" w:ascii="宋体" w:hAnsi="宋体" w:eastAsia="宋体" w:cs="宋体"/>
          <w:color w:val="000000" w:themeColor="text1"/>
          <w:szCs w:val="21"/>
        </w:rPr>
        <w:t>五、保证责任的解除</w:t>
      </w:r>
      <w:bookmarkEnd w:id="1695"/>
      <w:bookmarkEnd w:id="1696"/>
      <w:bookmarkEnd w:id="1697"/>
      <w:bookmarkEnd w:id="1698"/>
      <w:bookmarkEnd w:id="1699"/>
      <w:bookmarkEnd w:id="1700"/>
      <w:bookmarkEnd w:id="1701"/>
      <w:bookmarkEnd w:id="1702"/>
    </w:p>
    <w:p w14:paraId="047178E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 在本保函承诺的保证期间内，你方未书面向我方主张保证责任的，自保证期间届满次日起，我方保证责任解除。</w:t>
      </w:r>
    </w:p>
    <w:p w14:paraId="062EDC66">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 发包人按主合同约定履行了工程款的全部支付义务的，自本保函承诺的保证期间届满次日起，我方保证责任解除。</w:t>
      </w:r>
    </w:p>
    <w:p w14:paraId="21F74E27">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 我方按照本保函向你方履行保证责任所支付金额达到本保函保证金额时，自我方向你方支付（支付款项从我方账户划出）之日起，保证责任即解除。</w:t>
      </w:r>
    </w:p>
    <w:p w14:paraId="3B6BEC58">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4. 按照法律法规的规定或出现应解除我方保证责任的其他情形的，我方在本保函项下的保证责任亦解除。</w:t>
      </w:r>
    </w:p>
    <w:p w14:paraId="1C9623B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5. 我方解除保证责任后，你方应自我方保证责任解除之日起</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个工作日内，将本保函原件返还我方。</w:t>
      </w:r>
    </w:p>
    <w:p w14:paraId="5C3F1F85">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703" w:name="_Toc11860"/>
      <w:bookmarkStart w:id="1704" w:name="_Toc18574522"/>
      <w:bookmarkStart w:id="1705" w:name="_Toc15624"/>
      <w:bookmarkStart w:id="1706" w:name="_Toc8653"/>
      <w:bookmarkStart w:id="1707" w:name="_Toc8046"/>
      <w:bookmarkStart w:id="1708" w:name="_Toc3379"/>
      <w:bookmarkStart w:id="1709" w:name="_Toc6209"/>
      <w:bookmarkStart w:id="1710" w:name="_Toc27616"/>
      <w:r>
        <w:rPr>
          <w:rFonts w:hint="eastAsia" w:ascii="宋体" w:hAnsi="宋体" w:eastAsia="宋体" w:cs="宋体"/>
          <w:color w:val="000000" w:themeColor="text1"/>
          <w:szCs w:val="21"/>
        </w:rPr>
        <w:t>六、免责条款</w:t>
      </w:r>
      <w:bookmarkEnd w:id="1703"/>
      <w:bookmarkEnd w:id="1704"/>
      <w:bookmarkEnd w:id="1705"/>
      <w:bookmarkEnd w:id="1706"/>
      <w:bookmarkEnd w:id="1707"/>
      <w:bookmarkEnd w:id="1708"/>
      <w:bookmarkEnd w:id="1709"/>
      <w:bookmarkEnd w:id="1710"/>
    </w:p>
    <w:p w14:paraId="2EA33FBB">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 因你方违约致使发包人不能履行义务的，我方不承担保证责任。</w:t>
      </w:r>
    </w:p>
    <w:p w14:paraId="2729737F">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 依照法律法规的规定或你方与发包人的另行约定，免除发包人部分或全部义务的，我方亦免除其相应的保证责任。</w:t>
      </w:r>
    </w:p>
    <w:p w14:paraId="51D56DD9">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69FEE280">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4. 因不可抗力造成发包人不能履行义务的，我方不承担保证责任。</w:t>
      </w:r>
    </w:p>
    <w:p w14:paraId="39859BD6">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711" w:name="_Toc9663"/>
      <w:bookmarkStart w:id="1712" w:name="_Toc14024"/>
      <w:bookmarkStart w:id="1713" w:name="_Toc18574523"/>
      <w:bookmarkStart w:id="1714" w:name="_Toc19450"/>
      <w:bookmarkStart w:id="1715" w:name="_Toc15070"/>
      <w:bookmarkStart w:id="1716" w:name="_Toc1118"/>
      <w:bookmarkStart w:id="1717" w:name="_Toc4991"/>
      <w:bookmarkStart w:id="1718" w:name="_Toc7420"/>
      <w:r>
        <w:rPr>
          <w:rFonts w:hint="eastAsia" w:ascii="宋体" w:hAnsi="宋体" w:eastAsia="宋体" w:cs="宋体"/>
          <w:color w:val="000000" w:themeColor="text1"/>
          <w:szCs w:val="21"/>
        </w:rPr>
        <w:t>七、争议解决</w:t>
      </w:r>
      <w:bookmarkEnd w:id="1711"/>
      <w:bookmarkEnd w:id="1712"/>
      <w:bookmarkEnd w:id="1713"/>
      <w:bookmarkEnd w:id="1714"/>
      <w:bookmarkEnd w:id="1715"/>
      <w:bookmarkEnd w:id="1716"/>
      <w:bookmarkEnd w:id="1717"/>
      <w:bookmarkEnd w:id="1718"/>
    </w:p>
    <w:p w14:paraId="7E5A2D11">
      <w:pPr>
        <w:pStyle w:val="150"/>
        <w:spacing w:after="120" w:line="460" w:lineRule="atLeas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因本保函或本保函相关事项发生的纠纷，可由双方协商解决，协商不成的，按下列第</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种方式解决：</w:t>
      </w:r>
    </w:p>
    <w:p w14:paraId="4F6BAF62">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（1）向</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仲裁委员会申请仲裁；</w:t>
      </w:r>
    </w:p>
    <w:p w14:paraId="1619EE0F">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（2）向</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人民法院起诉。</w:t>
      </w:r>
    </w:p>
    <w:p w14:paraId="6AD74441">
      <w:pPr>
        <w:pStyle w:val="150"/>
        <w:spacing w:line="460" w:lineRule="atLeast"/>
        <w:ind w:firstLine="420" w:firstLineChars="200"/>
        <w:jc w:val="left"/>
        <w:outlineLvl w:val="0"/>
        <w:rPr>
          <w:rFonts w:hint="eastAsia" w:ascii="宋体" w:hAnsi="宋体" w:eastAsia="宋体" w:cs="宋体"/>
          <w:color w:val="000000" w:themeColor="text1"/>
          <w:szCs w:val="21"/>
        </w:rPr>
      </w:pPr>
      <w:bookmarkStart w:id="1719" w:name="_Toc7506"/>
      <w:bookmarkStart w:id="1720" w:name="_Toc19213"/>
      <w:bookmarkStart w:id="1721" w:name="_Toc18574524"/>
      <w:bookmarkStart w:id="1722" w:name="_Toc11440"/>
      <w:bookmarkStart w:id="1723" w:name="_Toc733"/>
      <w:bookmarkStart w:id="1724" w:name="_Toc3000"/>
      <w:bookmarkStart w:id="1725" w:name="_Toc17226"/>
      <w:bookmarkStart w:id="1726" w:name="_Toc30204"/>
      <w:r>
        <w:rPr>
          <w:rFonts w:hint="eastAsia" w:ascii="宋体" w:hAnsi="宋体" w:eastAsia="宋体" w:cs="宋体"/>
          <w:color w:val="000000" w:themeColor="text1"/>
          <w:szCs w:val="21"/>
        </w:rPr>
        <w:t>八、保函的生效</w:t>
      </w:r>
      <w:bookmarkEnd w:id="1719"/>
      <w:bookmarkEnd w:id="1720"/>
      <w:bookmarkEnd w:id="1721"/>
      <w:bookmarkEnd w:id="1722"/>
      <w:bookmarkEnd w:id="1723"/>
      <w:bookmarkEnd w:id="1724"/>
      <w:bookmarkEnd w:id="1725"/>
      <w:bookmarkEnd w:id="1726"/>
    </w:p>
    <w:p w14:paraId="740AB6BB">
      <w:pPr>
        <w:pStyle w:val="150"/>
        <w:spacing w:line="460" w:lineRule="atLeast"/>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本保函自我方法定代表人（或其授权代理人）签字并加盖公章之日起生效。</w:t>
      </w:r>
    </w:p>
    <w:p w14:paraId="549F2261">
      <w:pPr>
        <w:pStyle w:val="150"/>
        <w:spacing w:line="460" w:lineRule="atLeast"/>
        <w:ind w:firstLine="420" w:firstLineChars="200"/>
        <w:jc w:val="left"/>
        <w:rPr>
          <w:rFonts w:hint="eastAsia" w:ascii="宋体" w:hAnsi="宋体" w:eastAsia="宋体" w:cs="宋体"/>
          <w:color w:val="000000" w:themeColor="text1"/>
          <w:szCs w:val="21"/>
        </w:rPr>
      </w:pPr>
    </w:p>
    <w:p w14:paraId="3314077E">
      <w:pPr>
        <w:pStyle w:val="150"/>
        <w:spacing w:line="460" w:lineRule="atLeast"/>
        <w:ind w:right="600"/>
        <w:jc w:val="left"/>
        <w:rPr>
          <w:rFonts w:hint="eastAsia" w:ascii="宋体" w:hAnsi="宋体" w:eastAsia="宋体" w:cs="宋体"/>
          <w:color w:val="000000" w:themeColor="text1"/>
          <w:szCs w:val="21"/>
        </w:rPr>
      </w:pPr>
    </w:p>
    <w:p w14:paraId="030567D0">
      <w:pPr>
        <w:pStyle w:val="150"/>
        <w:spacing w:line="460" w:lineRule="atLeast"/>
        <w:ind w:right="6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担保人：</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（盖章）</w:t>
      </w:r>
    </w:p>
    <w:p w14:paraId="0DF85BCF">
      <w:pPr>
        <w:pStyle w:val="150"/>
        <w:spacing w:line="460" w:lineRule="atLeast"/>
        <w:ind w:right="1200"/>
        <w:rPr>
          <w:rFonts w:hint="eastAsia" w:ascii="宋体" w:hAnsi="宋体" w:eastAsia="宋体" w:cs="宋体"/>
          <w:color w:val="000000" w:themeColor="text1"/>
          <w:szCs w:val="21"/>
        </w:rPr>
      </w:pPr>
      <w:r>
        <w:rPr>
          <w:rFonts w:hint="eastAsia" w:ascii="宋体" w:hAnsi="宋体" w:eastAsia="宋体" w:cs="宋体"/>
          <w:color w:val="000000" w:themeColor="text1"/>
          <w:szCs w:val="21"/>
        </w:rPr>
        <w:t>法定代表人或委托代理人：</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（签字）</w:t>
      </w:r>
    </w:p>
    <w:p w14:paraId="6C35E863">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地    址：</w:t>
      </w:r>
      <w:r>
        <w:rPr>
          <w:rFonts w:hint="eastAsia" w:ascii="宋体" w:hAnsi="宋体" w:eastAsia="宋体" w:cs="宋体"/>
          <w:color w:val="000000" w:themeColor="text1"/>
          <w:szCs w:val="21"/>
          <w:u w:val="single"/>
        </w:rPr>
        <w:t xml:space="preserve">                                        </w:t>
      </w:r>
    </w:p>
    <w:p w14:paraId="2777487B">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邮政编码：</w:t>
      </w:r>
      <w:r>
        <w:rPr>
          <w:rFonts w:hint="eastAsia" w:ascii="宋体" w:hAnsi="宋体" w:eastAsia="宋体" w:cs="宋体"/>
          <w:color w:val="000000" w:themeColor="text1"/>
          <w:szCs w:val="21"/>
          <w:u w:val="single"/>
        </w:rPr>
        <w:t xml:space="preserve">                                        </w:t>
      </w:r>
    </w:p>
    <w:p w14:paraId="4EADE4D8">
      <w:pPr>
        <w:pStyle w:val="150"/>
        <w:spacing w:line="460" w:lineRule="atLeast"/>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传    真：</w:t>
      </w:r>
      <w:r>
        <w:rPr>
          <w:rFonts w:hint="eastAsia" w:ascii="宋体" w:hAnsi="宋体" w:eastAsia="宋体" w:cs="宋体"/>
          <w:color w:val="000000" w:themeColor="text1"/>
          <w:szCs w:val="21"/>
          <w:u w:val="single"/>
        </w:rPr>
        <w:t xml:space="preserve">                                        </w:t>
      </w:r>
    </w:p>
    <w:p w14:paraId="533CCB1D">
      <w:pPr>
        <w:pStyle w:val="150"/>
        <w:spacing w:line="460" w:lineRule="atLeast"/>
        <w:ind w:right="150" w:firstLine="420" w:firstLineChars="200"/>
        <w:jc w:val="left"/>
        <w:rPr>
          <w:rFonts w:hint="eastAsia" w:ascii="宋体" w:hAnsi="宋体" w:eastAsia="宋体" w:cs="宋体"/>
          <w:color w:val="000000" w:themeColor="text1"/>
          <w:szCs w:val="21"/>
          <w:u w:val="single"/>
        </w:rPr>
      </w:pPr>
    </w:p>
    <w:p w14:paraId="37A950B7">
      <w:pPr>
        <w:pStyle w:val="150"/>
        <w:spacing w:line="460" w:lineRule="atLeast"/>
        <w:ind w:right="150"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w:t>
      </w:r>
    </w:p>
    <w:p w14:paraId="3A3CD320">
      <w:pPr>
        <w:spacing w:line="360" w:lineRule="auto"/>
        <w:rPr>
          <w:rFonts w:hint="eastAsia" w:ascii="宋体" w:hAnsi="宋体" w:eastAsia="宋体" w:cs="宋体"/>
          <w:color w:val="000000" w:themeColor="text1"/>
        </w:rPr>
      </w:pPr>
    </w:p>
    <w:p w14:paraId="37E2DD25">
      <w:pPr>
        <w:spacing w:line="360" w:lineRule="auto"/>
        <w:rPr>
          <w:rFonts w:hint="eastAsia" w:ascii="宋体" w:hAnsi="宋体" w:eastAsia="宋体" w:cs="宋体"/>
          <w:color w:val="000000" w:themeColor="text1"/>
        </w:rPr>
      </w:pPr>
    </w:p>
    <w:p w14:paraId="16051ABE">
      <w:pPr>
        <w:spacing w:line="420" w:lineRule="exact"/>
        <w:jc w:val="center"/>
        <w:outlineLvl w:val="0"/>
        <w:rPr>
          <w:rFonts w:hint="eastAsia" w:ascii="宋体" w:hAnsi="宋体" w:eastAsia="宋体" w:cs="宋体"/>
          <w:b/>
          <w:bCs/>
          <w:color w:val="000000" w:themeColor="text1"/>
          <w:sz w:val="36"/>
          <w:szCs w:val="36"/>
        </w:rPr>
      </w:pPr>
      <w:bookmarkStart w:id="1727" w:name="_Toc27069"/>
      <w:r>
        <w:rPr>
          <w:rFonts w:hint="eastAsia" w:ascii="宋体" w:hAnsi="宋体" w:eastAsia="宋体" w:cs="宋体"/>
          <w:b/>
          <w:bCs/>
          <w:color w:val="000000" w:themeColor="text1"/>
          <w:sz w:val="36"/>
          <w:szCs w:val="36"/>
        </w:rPr>
        <w:t>第五章 工程量清单</w:t>
      </w:r>
      <w:bookmarkEnd w:id="322"/>
      <w:bookmarkEnd w:id="323"/>
      <w:bookmarkEnd w:id="1727"/>
    </w:p>
    <w:p w14:paraId="5ABB330D">
      <w:pPr>
        <w:pStyle w:val="3"/>
        <w:spacing w:before="0" w:after="0" w:line="360" w:lineRule="auto"/>
        <w:rPr>
          <w:rFonts w:hint="eastAsia" w:ascii="宋体" w:hAnsi="宋体" w:eastAsia="宋体" w:cs="宋体"/>
          <w:color w:val="000000" w:themeColor="text1"/>
        </w:rPr>
      </w:pPr>
      <w:bookmarkStart w:id="1728" w:name="_Toc9850611"/>
      <w:bookmarkStart w:id="1729" w:name="_Toc407135284"/>
    </w:p>
    <w:p w14:paraId="7B0DF3DA">
      <w:pPr>
        <w:pStyle w:val="3"/>
        <w:spacing w:before="0" w:after="0" w:line="360" w:lineRule="auto"/>
        <w:rPr>
          <w:rFonts w:hint="eastAsia" w:ascii="宋体" w:hAnsi="宋体" w:eastAsia="宋体" w:cs="宋体"/>
          <w:color w:val="000000" w:themeColor="text1"/>
          <w:kern w:val="44"/>
        </w:rPr>
      </w:pPr>
      <w:r>
        <w:rPr>
          <w:rFonts w:hint="eastAsia" w:ascii="宋体" w:hAnsi="宋体" w:eastAsia="宋体" w:cs="宋体"/>
          <w:color w:val="000000" w:themeColor="text1"/>
        </w:rPr>
        <w:t>1 工程量清单编制说明</w:t>
      </w:r>
      <w:bookmarkEnd w:id="1728"/>
      <w:bookmarkEnd w:id="1729"/>
    </w:p>
    <w:p w14:paraId="7589425E">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1.1本工程量清单依据《建设工程工程量清单计价规范（GB50500-2013）广西实施细则》（以下简称“《计价规范》”）、各专业《工程量清单计算规范（GB50854~50862-2013）》及广西实施细则（修订本）（以下简称“《计算规范》”）、</w:t>
      </w:r>
      <w:r>
        <w:rPr>
          <w:rFonts w:hint="eastAsia" w:ascii="宋体" w:hAnsi="宋体" w:eastAsia="宋体" w:cs="宋体"/>
          <w:color w:val="000000" w:themeColor="text1"/>
          <w:kern w:val="0"/>
        </w:rPr>
        <w:t>《关于建筑业实施营业税改征增值税后广西壮族自治区建设工程计价依据调整的通知》（桂建标〔2016〕17号）、招</w:t>
      </w:r>
      <w:r>
        <w:rPr>
          <w:rFonts w:hint="eastAsia" w:ascii="宋体" w:hAnsi="宋体" w:eastAsia="宋体" w:cs="宋体"/>
          <w:color w:val="000000" w:themeColor="text1"/>
        </w:rPr>
        <w:t>标文件、施工图等编制。计算规范中没有的清单项目，应在本章第1.4款约定。</w:t>
      </w:r>
    </w:p>
    <w:p w14:paraId="4F06B037">
      <w:pPr>
        <w:spacing w:line="360" w:lineRule="auto"/>
        <w:ind w:firstLine="420" w:firstLineChars="200"/>
        <w:outlineLvl w:val="0"/>
        <w:rPr>
          <w:rFonts w:hint="eastAsia" w:ascii="宋体" w:hAnsi="宋体" w:eastAsia="宋体" w:cs="宋体"/>
          <w:color w:val="000000" w:themeColor="text1"/>
        </w:rPr>
      </w:pPr>
      <w:bookmarkStart w:id="1730" w:name="_Toc20020"/>
      <w:r>
        <w:rPr>
          <w:rFonts w:hint="eastAsia" w:ascii="宋体" w:hAnsi="宋体" w:eastAsia="宋体" w:cs="宋体"/>
          <w:color w:val="000000" w:themeColor="text1"/>
        </w:rPr>
        <w:t>1.2 工程量清单应与投标须知、合同协议条款、合同的通用条款、合同专用条款、技术规范及图纸等文件一起结合使用。</w:t>
      </w:r>
      <w:bookmarkEnd w:id="1730"/>
    </w:p>
    <w:p w14:paraId="7EC07A8F">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1.3 工程量清单是招标文件的组成部分，是工程量清单计价的基础，作为编制招标控制价、投标报价、计算或调整工程量、索赔等的依据之一。</w:t>
      </w:r>
    </w:p>
    <w:p w14:paraId="29F97EB4">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 xml:space="preserve">1.4 补充清单项目的特征、计量单位、工程量计算规则及工作内容说明如下：   </w:t>
      </w:r>
      <w:r>
        <w:rPr>
          <w:rFonts w:hint="eastAsia" w:ascii="宋体" w:hAnsi="宋体" w:eastAsia="宋体" w:cs="宋体"/>
          <w:color w:val="000000" w:themeColor="text1"/>
          <w:u w:val="single"/>
        </w:rPr>
        <w:t xml:space="preserve">    /       </w:t>
      </w:r>
      <w:r>
        <w:rPr>
          <w:rFonts w:hint="eastAsia" w:ascii="宋体" w:hAnsi="宋体" w:eastAsia="宋体" w:cs="宋体"/>
          <w:color w:val="000000" w:themeColor="text1"/>
        </w:rPr>
        <w:t>。</w:t>
      </w:r>
    </w:p>
    <w:p w14:paraId="61B64E57">
      <w:pPr>
        <w:pStyle w:val="24"/>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1.5 《承包人提供的主要材料和设备一览表》（表-22，表格编号为计价规范相应表格编号，下同）作为项目实施过程中材料和设备价格风险调整依据。</w:t>
      </w:r>
    </w:p>
    <w:p w14:paraId="30F97B6A">
      <w:pPr>
        <w:pStyle w:val="24"/>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1.6 本工程暂列金额（约按合同造价</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%计算），共</w:t>
      </w:r>
      <w:r>
        <w:rPr>
          <w:rFonts w:hint="eastAsia" w:ascii="宋体" w:hAnsi="宋体" w:eastAsia="宋体" w:cs="宋体"/>
          <w:color w:val="000000" w:themeColor="text1"/>
          <w:szCs w:val="21"/>
          <w:u w:val="single"/>
        </w:rPr>
        <w:t xml:space="preserve">   /   </w:t>
      </w:r>
      <w:r>
        <w:rPr>
          <w:rFonts w:hint="eastAsia" w:ascii="宋体" w:hAnsi="宋体" w:eastAsia="宋体" w:cs="宋体"/>
          <w:color w:val="000000" w:themeColor="text1"/>
          <w:szCs w:val="21"/>
        </w:rPr>
        <w:t>元，作为合同签订时尚未确定或者不可预见但施工中可能发生的费用。</w:t>
      </w:r>
    </w:p>
    <w:p w14:paraId="66C85C3A">
      <w:pPr>
        <w:pStyle w:val="24"/>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1.7 本工程发包人提供的材料和设备详见《发包人提供的主要材料和工程设备一览表》（表-21）。</w:t>
      </w:r>
    </w:p>
    <w:p w14:paraId="49E0D0CC">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1.8 本工程部分材料和设备在招标时作为暂估价计列，结算按实调整，具体内容详见《材料（工程设备）暂估单价及调整表》（表12-2）。</w:t>
      </w:r>
    </w:p>
    <w:p w14:paraId="5EE25451">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1.9 招标时暂估专业工程的价款属于暂估价，结算按实调整，具体内容详见《专业工程暂估价及结算价表》（表12-3）。</w:t>
      </w:r>
    </w:p>
    <w:p w14:paraId="36113D29">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1.10 本工程量清单编码处标注“*”号的清单项目作为主要清单项目，需要投标人提供《主要清单项目工料机分析表》（表-10）。</w:t>
      </w:r>
    </w:p>
    <w:p w14:paraId="3C17D037">
      <w:pPr>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1.11 其它需要说明的问题：</w:t>
      </w:r>
      <w:r>
        <w:rPr>
          <w:rFonts w:hint="eastAsia" w:ascii="宋体" w:hAnsi="宋体" w:eastAsia="宋体" w:cs="宋体"/>
          <w:color w:val="000000" w:themeColor="text1"/>
          <w:u w:val="single"/>
        </w:rPr>
        <w:t xml:space="preserve">    /     </w:t>
      </w:r>
      <w:r>
        <w:rPr>
          <w:rFonts w:hint="eastAsia" w:ascii="宋体" w:hAnsi="宋体" w:eastAsia="宋体" w:cs="宋体"/>
          <w:color w:val="000000" w:themeColor="text1"/>
        </w:rPr>
        <w:t>。</w:t>
      </w:r>
    </w:p>
    <w:p w14:paraId="4C7E2556">
      <w:pPr>
        <w:spacing w:line="360" w:lineRule="auto"/>
        <w:ind w:firstLine="420" w:firstLineChars="200"/>
        <w:jc w:val="left"/>
        <w:rPr>
          <w:rFonts w:hint="eastAsia" w:ascii="宋体" w:hAnsi="宋体" w:eastAsia="宋体" w:cs="宋体"/>
          <w:color w:val="000000" w:themeColor="text1"/>
        </w:rPr>
      </w:pPr>
      <w:r>
        <w:rPr>
          <w:rFonts w:hint="eastAsia" w:ascii="宋体" w:hAnsi="宋体" w:eastAsia="宋体" w:cs="宋体"/>
          <w:color w:val="000000" w:themeColor="text1"/>
        </w:rPr>
        <w:t>1.12  一般计税法建设工程的工程量清单表格按</w:t>
      </w:r>
      <w:r>
        <w:rPr>
          <w:rFonts w:hint="eastAsia" w:ascii="宋体" w:hAnsi="宋体" w:eastAsia="宋体" w:cs="宋体"/>
          <w:color w:val="000000" w:themeColor="text1"/>
          <w:kern w:val="0"/>
        </w:rPr>
        <w:t>《关于建筑业实施营业税改征增值税后广西壮族自治区建设工程计价依据调整的通知》（桂建标〔2016〕17号）</w:t>
      </w:r>
      <w:r>
        <w:rPr>
          <w:rFonts w:hint="eastAsia" w:ascii="宋体" w:hAnsi="宋体" w:eastAsia="宋体" w:cs="宋体"/>
          <w:color w:val="000000" w:themeColor="text1"/>
        </w:rPr>
        <w:t>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p>
    <w:p w14:paraId="054BF1BC">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1.1 招标工程量清单（封-1）</w:t>
      </w:r>
    </w:p>
    <w:p w14:paraId="11CA7E74">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1.2 招标工程量清单（扉-</w:t>
      </w:r>
      <w:r>
        <w:rPr>
          <w:rFonts w:hint="eastAsia" w:ascii="宋体" w:hAnsi="宋体" w:cs="宋体"/>
          <w:color w:val="000000" w:themeColor="text1"/>
          <w:lang w:val="en-US" w:eastAsia="zh-CN"/>
        </w:rPr>
        <w:t>2</w:t>
      </w:r>
      <w:r>
        <w:rPr>
          <w:rFonts w:hint="eastAsia" w:ascii="宋体" w:hAnsi="宋体" w:eastAsia="宋体" w:cs="宋体"/>
          <w:color w:val="000000" w:themeColor="text1"/>
        </w:rPr>
        <w:t>）</w:t>
      </w:r>
    </w:p>
    <w:p w14:paraId="123904AE">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1.3 总说明（表-01）</w:t>
      </w:r>
    </w:p>
    <w:p w14:paraId="7F7F7FC1">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1.4 建设项目投标报价汇总表（表-02）</w:t>
      </w:r>
    </w:p>
    <w:p w14:paraId="494AB6D5">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1.5 单项工程投标报价汇总表（表-03）</w:t>
      </w:r>
    </w:p>
    <w:p w14:paraId="700ADC08">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1.6 单位工程投标报价汇总表（表-04）</w:t>
      </w:r>
    </w:p>
    <w:p w14:paraId="10B314DD">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1.7 分部分项工程和单价措施项目清单与计价表（表-08）</w:t>
      </w:r>
    </w:p>
    <w:p w14:paraId="1D6DBC37">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1.8 总价措施项目清单与计价表（表-11）</w:t>
      </w:r>
    </w:p>
    <w:p w14:paraId="097483F2">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1.9 其他项目清单与计价汇总表（表-12）</w:t>
      </w:r>
    </w:p>
    <w:p w14:paraId="4EBC2FA7">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1.10 暂列金额明细表（表12-1）</w:t>
      </w:r>
    </w:p>
    <w:p w14:paraId="0C2D7DAA">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1.11 材料（工程设备）暂估单价及调整表（表12-2）</w:t>
      </w:r>
    </w:p>
    <w:p w14:paraId="7370FB2C">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1.12 专业工程暂估价及结算价表（表12-3）</w:t>
      </w:r>
    </w:p>
    <w:p w14:paraId="48C48866">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1.13 计日工表（表12-4）</w:t>
      </w:r>
    </w:p>
    <w:p w14:paraId="29092596">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1.14 总承包服务费计价表（表12-5）</w:t>
      </w:r>
    </w:p>
    <w:p w14:paraId="05F8F18C">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1.15 税前项目清单与计价表（表-14）</w:t>
      </w:r>
    </w:p>
    <w:p w14:paraId="655EF7E6">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1.16 规费、增值税计价表（表-15）</w:t>
      </w:r>
    </w:p>
    <w:p w14:paraId="33A45AB6">
      <w:pPr>
        <w:spacing w:line="360" w:lineRule="auto"/>
        <w:ind w:firstLine="630" w:firstLineChars="300"/>
        <w:jc w:val="left"/>
        <w:rPr>
          <w:rFonts w:hint="default" w:ascii="宋体" w:hAnsi="宋体" w:eastAsia="宋体" w:cs="宋体"/>
          <w:color w:val="000000" w:themeColor="text1"/>
          <w:lang w:val="en-US" w:eastAsia="zh-CN"/>
        </w:rPr>
      </w:pPr>
      <w:r>
        <w:rPr>
          <w:rFonts w:hint="eastAsia" w:ascii="宋体" w:hAnsi="宋体" w:eastAsia="宋体" w:cs="宋体"/>
          <w:color w:val="000000" w:themeColor="text1"/>
        </w:rPr>
        <w:t xml:space="preserve">1.17 </w:t>
      </w:r>
      <w:r>
        <w:rPr>
          <w:rFonts w:hint="eastAsia" w:ascii="宋体" w:hAnsi="宋体" w:cs="宋体"/>
          <w:color w:val="000000" w:themeColor="text1"/>
          <w:lang w:val="en-US" w:eastAsia="zh-CN"/>
        </w:rPr>
        <w:t>主要材料及价格表</w:t>
      </w:r>
    </w:p>
    <w:p w14:paraId="19CEB22E">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以下表格视工程实际需要选用，如该工程不发生如下表格相关项目和费用，所编制招标工程量清单则不需列入相应表格：</w:t>
      </w:r>
    </w:p>
    <w:p w14:paraId="42F68228">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①建设项目投标报价汇总表（表-02）</w:t>
      </w:r>
    </w:p>
    <w:p w14:paraId="14C9E657">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②暂列金额明细表（表12-1）</w:t>
      </w:r>
    </w:p>
    <w:p w14:paraId="56287CE3">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③材料（工程设备）暂估单价及调整表（表12-2）</w:t>
      </w:r>
    </w:p>
    <w:p w14:paraId="08B74F73">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④专业工程暂估价表（表12-3）</w:t>
      </w:r>
    </w:p>
    <w:p w14:paraId="1E3A1050">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⑤计日工表（表12-4）</w:t>
      </w:r>
    </w:p>
    <w:p w14:paraId="0D789073">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⑥总承包服务费计价表（表12-5）</w:t>
      </w:r>
    </w:p>
    <w:p w14:paraId="5F272FC1">
      <w:pPr>
        <w:spacing w:line="360" w:lineRule="auto"/>
        <w:ind w:firstLine="630" w:firstLineChars="300"/>
        <w:jc w:val="left"/>
        <w:rPr>
          <w:rFonts w:hint="eastAsia" w:ascii="宋体" w:hAnsi="宋体" w:eastAsia="宋体" w:cs="宋体"/>
          <w:color w:val="000000" w:themeColor="text1"/>
        </w:rPr>
      </w:pPr>
      <w:r>
        <w:rPr>
          <w:rFonts w:hint="eastAsia" w:ascii="宋体" w:hAnsi="宋体" w:eastAsia="宋体" w:cs="宋体"/>
          <w:color w:val="000000" w:themeColor="text1"/>
        </w:rPr>
        <w:t>⑦税前项目清单与计价表（表-14）</w:t>
      </w:r>
    </w:p>
    <w:p w14:paraId="38D96FFE">
      <w:pPr>
        <w:pStyle w:val="3"/>
        <w:spacing w:before="0" w:after="0" w:line="360" w:lineRule="auto"/>
        <w:rPr>
          <w:rFonts w:hint="eastAsia" w:ascii="宋体" w:hAnsi="宋体" w:eastAsia="宋体" w:cs="宋体"/>
          <w:color w:val="000000" w:themeColor="text1"/>
        </w:rPr>
      </w:pPr>
      <w:bookmarkStart w:id="1731" w:name="_Toc407135285"/>
      <w:bookmarkStart w:id="1732" w:name="_Toc9850612"/>
      <w:r>
        <w:rPr>
          <w:rFonts w:hint="eastAsia" w:ascii="宋体" w:hAnsi="宋体" w:eastAsia="宋体" w:cs="宋体"/>
          <w:color w:val="000000" w:themeColor="text1"/>
        </w:rPr>
        <w:t>2 招标控制价编制说明</w:t>
      </w:r>
      <w:bookmarkEnd w:id="1731"/>
      <w:bookmarkEnd w:id="1732"/>
    </w:p>
    <w:p w14:paraId="6FB2EC2C">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2.1 招标控制价编制依据：</w:t>
      </w:r>
    </w:p>
    <w:p w14:paraId="2F1EA2EC">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（1）《计价规范》及《计算规范》、</w:t>
      </w:r>
      <w:r>
        <w:rPr>
          <w:rFonts w:hint="eastAsia" w:ascii="宋体" w:hAnsi="宋体" w:eastAsia="宋体" w:cs="宋体"/>
          <w:color w:val="000000" w:themeColor="text1"/>
          <w:kern w:val="0"/>
        </w:rPr>
        <w:t>《关于建筑业实施营业税改征增值税后广西壮族自治区建设工程计价依据调整的通知》（桂建标〔2016〕17号）等</w:t>
      </w:r>
      <w:r>
        <w:rPr>
          <w:rFonts w:hint="eastAsia" w:ascii="宋体" w:hAnsi="宋体" w:eastAsia="宋体" w:cs="宋体"/>
          <w:color w:val="000000" w:themeColor="text1"/>
        </w:rPr>
        <w:t>；</w:t>
      </w:r>
    </w:p>
    <w:p w14:paraId="6550EBDA">
      <w:pPr>
        <w:spacing w:line="360" w:lineRule="auto"/>
        <w:ind w:firstLine="420" w:firstLineChars="200"/>
        <w:rPr>
          <w:rFonts w:hint="eastAsia" w:ascii="宋体" w:hAnsi="宋体" w:eastAsia="宋体" w:cs="宋体"/>
          <w:color w:val="000000" w:themeColor="text1"/>
          <w:u w:val="single"/>
        </w:rPr>
      </w:pPr>
      <w:r>
        <w:rPr>
          <w:rFonts w:hint="eastAsia" w:ascii="宋体" w:hAnsi="宋体" w:eastAsia="宋体" w:cs="宋体"/>
          <w:color w:val="000000" w:themeColor="text1"/>
        </w:rPr>
        <w:t>（2）自治区住房城乡建设行政主管部门颁发的计价定额及有关规定：</w:t>
      </w:r>
      <w:r>
        <w:rPr>
          <w:rFonts w:hint="eastAsia" w:ascii="宋体" w:hAnsi="宋体" w:eastAsia="宋体" w:cs="宋体"/>
          <w:color w:val="000000" w:themeColor="text1"/>
          <w:u w:val="single"/>
        </w:rPr>
        <w:t xml:space="preserve"> &lt;广西壮族自治区建筑装饰装修工程人工材料配合比机械台班基期价&gt;的通知》（桂建标[2013]41号）、《关于调整安装市政等工程费用定额有关规定的通知》（桂建标[2013]47号）有关规定及有关配套费率、人工和机械台班费用调整规定。自治区住房城乡建设行政主管部门颁发的计价定额及有关规定：桂建标[2018]19号文《自治区住房城乡建设厅关于调整建设工程定额人工费及有关费率的通知》、工伤保险费按桂建管[2008]37号文、定额管理费费率调整按桂建标[2011]21号文、桂建标[2013]47号文执行。已颁布实施的新版消耗量定额及配套费用定额的按其规定执行 。</w:t>
      </w:r>
    </w:p>
    <w:p w14:paraId="476C4279">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（3）建设工程设计文件及相关资料：</w:t>
      </w:r>
      <w:r>
        <w:rPr>
          <w:rFonts w:hint="eastAsia" w:ascii="宋体" w:hAnsi="宋体" w:eastAsia="宋体" w:cs="宋体"/>
          <w:color w:val="000000" w:themeColor="text1"/>
          <w:u w:val="single"/>
        </w:rPr>
        <w:t xml:space="preserve"> 现行的有关文件以及当地市场材料价格、工程量清单、施工设计图纸和补充资料</w:t>
      </w:r>
      <w:r>
        <w:rPr>
          <w:rFonts w:hint="eastAsia" w:ascii="宋体" w:hAnsi="宋体" w:eastAsia="宋体" w:cs="宋体"/>
          <w:color w:val="000000" w:themeColor="text1"/>
        </w:rPr>
        <w:t xml:space="preserve">。 </w:t>
      </w:r>
    </w:p>
    <w:p w14:paraId="00F988C3">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（4）本工程招标文件及工程量清单；</w:t>
      </w:r>
    </w:p>
    <w:p w14:paraId="0FC264E8">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（5）与建设项目相关的标准、规范、技术资料；</w:t>
      </w:r>
    </w:p>
    <w:p w14:paraId="3CC5784A">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（6）施工现场情况、工程特点及常规施工方案；</w:t>
      </w:r>
    </w:p>
    <w:p w14:paraId="0B4632A0">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（7）材料价格信息：材料价格主要按照</w:t>
      </w:r>
      <w:r>
        <w:rPr>
          <w:rFonts w:hint="eastAsia" w:ascii="宋体" w:hAnsi="宋体" w:eastAsia="宋体" w:cs="宋体"/>
          <w:color w:val="000000" w:themeColor="text1"/>
          <w:u w:val="single"/>
        </w:rPr>
        <w:t xml:space="preserve"> 河池 </w:t>
      </w:r>
      <w:r>
        <w:rPr>
          <w:rFonts w:hint="eastAsia" w:ascii="宋体" w:hAnsi="宋体" w:eastAsia="宋体" w:cs="宋体"/>
          <w:color w:val="000000" w:themeColor="text1"/>
        </w:rPr>
        <w:t>市工程造价管理机构发布的工程造价信息</w:t>
      </w:r>
      <w:r>
        <w:rPr>
          <w:rFonts w:hint="eastAsia" w:ascii="宋体" w:hAnsi="宋体" w:eastAsia="宋体" w:cs="宋体"/>
          <w:color w:val="000000" w:themeColor="text1"/>
          <w:u w:val="single"/>
        </w:rPr>
        <w:t xml:space="preserve"> 202</w:t>
      </w:r>
      <w:r>
        <w:rPr>
          <w:rFonts w:hint="eastAsia" w:ascii="宋体" w:hAnsi="宋体" w:cs="宋体"/>
          <w:color w:val="000000" w:themeColor="text1"/>
          <w:u w:val="single"/>
          <w:lang w:val="en-US" w:eastAsia="zh-CN"/>
        </w:rPr>
        <w:t>6</w:t>
      </w:r>
      <w:r>
        <w:rPr>
          <w:rFonts w:hint="eastAsia" w:ascii="宋体" w:hAnsi="宋体" w:eastAsia="宋体" w:cs="宋体"/>
          <w:color w:val="000000" w:themeColor="text1"/>
        </w:rPr>
        <w:t>年第</w:t>
      </w:r>
      <w:r>
        <w:rPr>
          <w:rFonts w:hint="eastAsia" w:ascii="宋体" w:hAnsi="宋体" w:eastAsia="宋体" w:cs="宋体"/>
          <w:color w:val="000000" w:themeColor="text1"/>
          <w:u w:val="single"/>
          <w:lang w:val="en-US" w:eastAsia="zh-CN"/>
        </w:rPr>
        <w:t>1</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期金城江区信息价，不足部分参考市场定价。</w:t>
      </w:r>
    </w:p>
    <w:p w14:paraId="120B49EA">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2.2 分部分项及单价措施项目综合单价应包括招标文件中招标人要求投标人所承担的风险内容及其范围（幅度）产生的风险费用。</w:t>
      </w:r>
    </w:p>
    <w:p w14:paraId="4EC1A441">
      <w:pPr>
        <w:spacing w:line="360" w:lineRule="auto"/>
        <w:ind w:firstLine="420"/>
        <w:rPr>
          <w:rFonts w:hint="eastAsia" w:ascii="宋体" w:hAnsi="宋体" w:eastAsia="宋体" w:cs="宋体"/>
          <w:color w:val="000000" w:themeColor="text1"/>
        </w:rPr>
      </w:pPr>
      <w:r>
        <w:rPr>
          <w:rFonts w:hint="eastAsia" w:ascii="宋体" w:hAnsi="宋体" w:eastAsia="宋体" w:cs="宋体"/>
          <w:color w:val="000000" w:themeColor="text1"/>
        </w:rPr>
        <w:t>2.3 总价措施项目应根据拟定的招标文件和常规施工方案按《计价规范》和《计算规范》规定编制。</w:t>
      </w:r>
    </w:p>
    <w:p w14:paraId="39B2FC45">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2.4 其他项目费应按下列规定报价：</w:t>
      </w:r>
    </w:p>
    <w:p w14:paraId="46B4A722">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（1）暂列金额应按招标工程量清单中列出的金额填写；</w:t>
      </w:r>
    </w:p>
    <w:p w14:paraId="2F2B38D6">
      <w:pPr>
        <w:pStyle w:val="173"/>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（2）材料、工程设备暂估价应按招标工程量清单中列出的单价计入综合单价；</w:t>
      </w:r>
    </w:p>
    <w:p w14:paraId="05D2779E">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（3）专业工程暂估价应按招标工程量清单中列出的金额填写；</w:t>
      </w:r>
    </w:p>
    <w:p w14:paraId="20F63135">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（4）计日工应按招标工程量清单中列出的项目和数量，根据工程特点和有关计价依据确定的综合单价计算；</w:t>
      </w:r>
    </w:p>
    <w:p w14:paraId="5D3ACB76">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（5）总承包服务费应根据招标工程量清单列出的内容和要求，按自治区住房城乡建设行政主管部门颁发的计价定额及有关规定计算。</w:t>
      </w:r>
    </w:p>
    <w:p w14:paraId="746CD75F">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2.5 规费和增值税应按规定确定，作为不可竞争费用。</w:t>
      </w:r>
    </w:p>
    <w:p w14:paraId="7BAE864A">
      <w:pPr>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2.6 其它需要说明的问题：</w:t>
      </w:r>
      <w:r>
        <w:rPr>
          <w:rFonts w:hint="eastAsia" w:ascii="宋体" w:hAnsi="宋体" w:eastAsia="宋体" w:cs="宋体"/>
          <w:color w:val="000000" w:themeColor="text1"/>
          <w:u w:val="single"/>
        </w:rPr>
        <w:t xml:space="preserve">   /      </w:t>
      </w:r>
      <w:r>
        <w:rPr>
          <w:rFonts w:hint="eastAsia" w:ascii="宋体" w:hAnsi="宋体" w:eastAsia="宋体" w:cs="宋体"/>
          <w:color w:val="000000" w:themeColor="text1"/>
        </w:rPr>
        <w:t>。</w:t>
      </w:r>
    </w:p>
    <w:p w14:paraId="4FFD08AB">
      <w:pPr>
        <w:pStyle w:val="3"/>
        <w:spacing w:before="0" w:after="0" w:line="360" w:lineRule="auto"/>
        <w:rPr>
          <w:rFonts w:hint="eastAsia" w:ascii="宋体" w:hAnsi="宋体" w:eastAsia="宋体" w:cs="宋体"/>
          <w:color w:val="000000" w:themeColor="text1"/>
        </w:rPr>
      </w:pPr>
      <w:bookmarkStart w:id="1733" w:name="_Toc407135286"/>
      <w:bookmarkStart w:id="1734" w:name="_Toc9850613"/>
      <w:r>
        <w:rPr>
          <w:rFonts w:hint="eastAsia" w:ascii="宋体" w:hAnsi="宋体" w:eastAsia="宋体" w:cs="宋体"/>
          <w:color w:val="000000" w:themeColor="text1"/>
        </w:rPr>
        <w:t>3 投标报价（已标价工程量清单）编制说明</w:t>
      </w:r>
      <w:bookmarkEnd w:id="1733"/>
      <w:bookmarkEnd w:id="1734"/>
    </w:p>
    <w:p w14:paraId="697E72EC">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3.1 投标人应依据招标文件、招标工程量清单以及《计价规范》、《计算规范》自主报价，自主报价不得违反计价规范强制性条文规定。投标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D982299">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3.2 投标人应按招标工程量清单填报价格。项目编码、项目名称、项目特征、计量单位、工程量必须与招标工程量清单一致，投标人不得对招标工程量清单项目进行增减调整。</w:t>
      </w:r>
    </w:p>
    <w:p w14:paraId="60D3A653">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3.3 综合单价中应包含招标文件中划分的应由投标人承担的风险范围及其费用。</w:t>
      </w:r>
    </w:p>
    <w:p w14:paraId="7AC17113">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3.4 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14:paraId="0E1BFDC1">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3.5 总价措施项目的金额应根据招标文件及投标时拟定的施工组织设计或施工方案，按计价规范的规定自主确定。但安全文明施工费按国家、省级或行业建设主管部门的有关规定执行，作为不竞争费用单列。</w:t>
      </w:r>
    </w:p>
    <w:p w14:paraId="7FEEC26B">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3.6 其他项目费应按下列规定报价：</w:t>
      </w:r>
    </w:p>
    <w:p w14:paraId="25BD19DA">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（1）暂列金额应按招标工程量清单中列出的金额填写；</w:t>
      </w:r>
    </w:p>
    <w:p w14:paraId="0005D2C3">
      <w:pPr>
        <w:pStyle w:val="173"/>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（2）材料、工程设备暂估价应按招标工程量清单中列出的单价计入综合单价；</w:t>
      </w:r>
    </w:p>
    <w:p w14:paraId="20C6EE71">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（3）专业工程暂估价应按招标工程量清单中列出的金额填写；</w:t>
      </w:r>
    </w:p>
    <w:p w14:paraId="1D5AAC38">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（4）计日工应按招标工程量清单中列出的项目和估算数量，自主确定综合单价并计算计日工总额；计日工单价均不含规费和税金；</w:t>
      </w:r>
    </w:p>
    <w:p w14:paraId="15A34FBC">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（5）总承包服务费应根据招标工程量清单中列出的内容和供应材料、设备情况，按照招标人提出的协调、配合与服务要求和施工现场管理需要自主确定。</w:t>
      </w:r>
    </w:p>
    <w:p w14:paraId="53B2F24F">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3.7 规费和增值税应按规定确定，作为不可竞争费用。</w:t>
      </w:r>
    </w:p>
    <w:p w14:paraId="79CA4838">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3.8 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组价予以调整。</w:t>
      </w:r>
    </w:p>
    <w:p w14:paraId="6150A976">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3.9 投标总价应当与分部分项工程费、措施项目费、其他项目费和规费、增值税的合计金额一致。</w:t>
      </w:r>
    </w:p>
    <w:p w14:paraId="5B4A41C4">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3.10 投标人应按《承包人提供的主要材料和设备一览表》的内容填报，不得擅自调整材料和设备名称型号规格、单位、风险系数、基准单价。</w:t>
      </w:r>
    </w:p>
    <w:p w14:paraId="35710871">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3.11投标报价表格按本工程工程量清单表格要求填写，并应按招标文件的要求，附上《工程量清单综合单价分析表》（表-09）和《主要清单项目工料机分析表》（表-10）。</w:t>
      </w:r>
    </w:p>
    <w:p w14:paraId="7D12AA06">
      <w:pPr>
        <w:spacing w:line="360" w:lineRule="auto"/>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未尽事宜详见本工程招标工程量清单、招标控制价编制说明以及现行《计价规范》等有关规定执行。</w:t>
      </w:r>
    </w:p>
    <w:p w14:paraId="5DE7FBC1">
      <w:pPr>
        <w:pStyle w:val="2"/>
        <w:jc w:val="center"/>
        <w:rPr>
          <w:rFonts w:hint="eastAsia" w:ascii="宋体" w:hAnsi="宋体" w:eastAsia="宋体" w:cs="宋体"/>
          <w:color w:val="000000" w:themeColor="text1"/>
        </w:rPr>
      </w:pPr>
      <w:r>
        <w:rPr>
          <w:rFonts w:hint="eastAsia" w:ascii="宋体" w:hAnsi="宋体" w:eastAsia="宋体" w:cs="宋体"/>
          <w:color w:val="000000" w:themeColor="text1"/>
        </w:rPr>
        <w:br w:type="page"/>
      </w:r>
      <w:bookmarkStart w:id="1735" w:name="_Toc4108"/>
      <w:r>
        <w:rPr>
          <w:rFonts w:hint="eastAsia" w:ascii="宋体" w:hAnsi="宋体" w:eastAsia="宋体" w:cs="宋体"/>
          <w:color w:val="000000" w:themeColor="text1"/>
        </w:rPr>
        <w:t>第六章 图  纸</w:t>
      </w:r>
      <w:bookmarkEnd w:id="324"/>
      <w:bookmarkEnd w:id="325"/>
      <w:bookmarkEnd w:id="326"/>
      <w:bookmarkEnd w:id="327"/>
      <w:bookmarkEnd w:id="1735"/>
    </w:p>
    <w:p w14:paraId="4A379165">
      <w:pPr>
        <w:jc w:val="center"/>
        <w:rPr>
          <w:rFonts w:hint="eastAsia" w:ascii="宋体" w:hAnsi="宋体" w:eastAsia="宋体" w:cs="宋体"/>
          <w:b/>
          <w:color w:val="000000" w:themeColor="text1"/>
          <w:sz w:val="32"/>
          <w:szCs w:val="32"/>
        </w:rPr>
      </w:pPr>
      <w:r>
        <w:rPr>
          <w:rFonts w:hint="eastAsia" w:ascii="宋体" w:hAnsi="宋体" w:eastAsia="宋体" w:cs="宋体"/>
          <w:color w:val="000000" w:themeColor="text1"/>
          <w:sz w:val="32"/>
          <w:szCs w:val="32"/>
        </w:rPr>
        <w:t xml:space="preserve"> </w:t>
      </w:r>
      <w:r>
        <w:rPr>
          <w:rFonts w:hint="eastAsia" w:ascii="宋体" w:hAnsi="宋体" w:eastAsia="宋体" w:cs="宋体"/>
          <w:b/>
          <w:color w:val="000000" w:themeColor="text1"/>
          <w:sz w:val="32"/>
          <w:szCs w:val="32"/>
        </w:rPr>
        <w:t>（另册发放）</w:t>
      </w:r>
    </w:p>
    <w:p w14:paraId="17808024">
      <w:pPr>
        <w:rPr>
          <w:rFonts w:hint="eastAsia" w:ascii="宋体" w:hAnsi="宋体" w:eastAsia="宋体" w:cs="宋体"/>
          <w:color w:val="000000" w:themeColor="text1"/>
        </w:rPr>
      </w:pPr>
    </w:p>
    <w:p w14:paraId="30E8139C">
      <w:pPr>
        <w:pStyle w:val="2"/>
        <w:keepNext w:val="0"/>
        <w:keepLines w:val="0"/>
        <w:jc w:val="center"/>
        <w:rPr>
          <w:rFonts w:hint="eastAsia" w:ascii="宋体" w:hAnsi="宋体" w:eastAsia="宋体" w:cs="宋体"/>
          <w:color w:val="000000" w:themeColor="text1"/>
        </w:rPr>
      </w:pPr>
      <w:bookmarkStart w:id="1736" w:name="_Toc389065347"/>
      <w:bookmarkStart w:id="1737" w:name="_Toc358569766"/>
    </w:p>
    <w:p w14:paraId="7473724C">
      <w:pPr>
        <w:pStyle w:val="2"/>
        <w:keepNext w:val="0"/>
        <w:keepLines w:val="0"/>
        <w:jc w:val="center"/>
        <w:rPr>
          <w:rFonts w:hint="eastAsia" w:ascii="宋体" w:hAnsi="宋体" w:eastAsia="宋体" w:cs="宋体"/>
          <w:color w:val="000000" w:themeColor="text1"/>
        </w:rPr>
      </w:pPr>
    </w:p>
    <w:p w14:paraId="5822772C">
      <w:pPr>
        <w:pStyle w:val="2"/>
        <w:keepNext w:val="0"/>
        <w:keepLines w:val="0"/>
        <w:jc w:val="center"/>
        <w:rPr>
          <w:rFonts w:hint="eastAsia" w:ascii="宋体" w:hAnsi="宋体" w:eastAsia="宋体" w:cs="宋体"/>
          <w:color w:val="000000" w:themeColor="text1"/>
        </w:rPr>
      </w:pPr>
    </w:p>
    <w:p w14:paraId="772A62F6">
      <w:pPr>
        <w:pStyle w:val="2"/>
        <w:keepNext w:val="0"/>
        <w:keepLines w:val="0"/>
        <w:jc w:val="center"/>
        <w:rPr>
          <w:rFonts w:hint="eastAsia" w:ascii="宋体" w:hAnsi="宋体" w:eastAsia="宋体" w:cs="宋体"/>
          <w:color w:val="000000" w:themeColor="text1"/>
        </w:rPr>
      </w:pPr>
    </w:p>
    <w:p w14:paraId="031BEB3A">
      <w:pPr>
        <w:pStyle w:val="2"/>
        <w:keepNext w:val="0"/>
        <w:keepLines w:val="0"/>
        <w:jc w:val="center"/>
        <w:rPr>
          <w:rFonts w:hint="eastAsia" w:ascii="宋体" w:hAnsi="宋体" w:eastAsia="宋体" w:cs="宋体"/>
          <w:color w:val="000000" w:themeColor="text1"/>
        </w:rPr>
      </w:pPr>
    </w:p>
    <w:p w14:paraId="0E8D1C13">
      <w:pPr>
        <w:pStyle w:val="2"/>
        <w:keepNext w:val="0"/>
        <w:keepLines w:val="0"/>
        <w:rPr>
          <w:rFonts w:hint="eastAsia" w:ascii="宋体" w:hAnsi="宋体" w:eastAsia="宋体" w:cs="宋体"/>
          <w:color w:val="000000" w:themeColor="text1"/>
        </w:rPr>
      </w:pPr>
    </w:p>
    <w:bookmarkEnd w:id="1736"/>
    <w:bookmarkEnd w:id="1737"/>
    <w:p w14:paraId="430E3294">
      <w:pPr>
        <w:rPr>
          <w:rFonts w:hint="eastAsia" w:ascii="宋体" w:hAnsi="宋体" w:eastAsia="宋体" w:cs="宋体"/>
          <w:color w:val="000000" w:themeColor="text1"/>
        </w:rPr>
      </w:pPr>
    </w:p>
    <w:p w14:paraId="46B2DE34">
      <w:pPr>
        <w:rPr>
          <w:rFonts w:hint="eastAsia" w:ascii="宋体" w:hAnsi="宋体" w:eastAsia="宋体" w:cs="宋体"/>
          <w:color w:val="000000" w:themeColor="text1"/>
        </w:rPr>
      </w:pPr>
    </w:p>
    <w:p w14:paraId="6CD0D66D">
      <w:pPr>
        <w:pStyle w:val="2"/>
        <w:jc w:val="center"/>
        <w:rPr>
          <w:rFonts w:hint="eastAsia" w:ascii="宋体" w:hAnsi="宋体" w:eastAsia="宋体" w:cs="宋体"/>
          <w:color w:val="000000" w:themeColor="text1"/>
        </w:rPr>
      </w:pPr>
      <w:bookmarkStart w:id="1738" w:name="_Toc18846"/>
      <w:bookmarkStart w:id="1739" w:name="_Toc28541"/>
      <w:bookmarkStart w:id="1740" w:name="_Toc358569767"/>
      <w:bookmarkStart w:id="1741" w:name="_Toc494118864"/>
      <w:bookmarkStart w:id="1742" w:name="_Toc389065348"/>
      <w:r>
        <w:rPr>
          <w:rFonts w:hint="eastAsia" w:ascii="宋体" w:hAnsi="宋体" w:eastAsia="宋体" w:cs="宋体"/>
          <w:color w:val="000000" w:themeColor="text1"/>
        </w:rPr>
        <w:t>第七章 技术标准和要求</w:t>
      </w:r>
      <w:bookmarkEnd w:id="1738"/>
      <w:bookmarkEnd w:id="1739"/>
      <w:bookmarkEnd w:id="1740"/>
      <w:bookmarkEnd w:id="1741"/>
      <w:bookmarkEnd w:id="1742"/>
    </w:p>
    <w:p w14:paraId="4CAE09C3">
      <w:pPr>
        <w:jc w:val="center"/>
        <w:rPr>
          <w:rFonts w:hint="eastAsia" w:ascii="宋体" w:hAnsi="宋体" w:eastAsia="宋体" w:cs="宋体"/>
          <w:color w:val="000000" w:themeColor="text1"/>
          <w:sz w:val="32"/>
          <w:szCs w:val="32"/>
        </w:rPr>
      </w:pPr>
      <w:bookmarkStart w:id="1743" w:name="_Toc349557651"/>
      <w:bookmarkStart w:id="1744" w:name="_Toc349555826"/>
    </w:p>
    <w:p w14:paraId="649E4FD0">
      <w:pPr>
        <w:jc w:val="center"/>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本节由采购人根据国家行业和地方现行标准、规范和规程等，</w:t>
      </w:r>
    </w:p>
    <w:p w14:paraId="33340689">
      <w:pPr>
        <w:jc w:val="center"/>
        <w:rPr>
          <w:rFonts w:hint="eastAsia" w:ascii="宋体" w:hAnsi="宋体" w:eastAsia="宋体" w:cs="宋体"/>
          <w:color w:val="000000" w:themeColor="text1"/>
          <w:sz w:val="30"/>
          <w:szCs w:val="30"/>
        </w:rPr>
      </w:pPr>
      <w:r>
        <w:rPr>
          <w:rFonts w:hint="eastAsia" w:ascii="宋体" w:hAnsi="宋体" w:eastAsia="宋体" w:cs="宋体"/>
          <w:color w:val="000000" w:themeColor="text1"/>
          <w:sz w:val="30"/>
          <w:szCs w:val="30"/>
        </w:rPr>
        <w:t>以及项目具体情况摘录。</w:t>
      </w:r>
    </w:p>
    <w:p w14:paraId="0798F2E6">
      <w:pPr>
        <w:jc w:val="center"/>
        <w:rPr>
          <w:rFonts w:hint="eastAsia" w:ascii="宋体" w:hAnsi="宋体" w:eastAsia="宋体" w:cs="宋体"/>
          <w:color w:val="000000" w:themeColor="text1"/>
          <w:szCs w:val="21"/>
        </w:rPr>
      </w:pPr>
    </w:p>
    <w:bookmarkEnd w:id="1743"/>
    <w:bookmarkEnd w:id="1744"/>
    <w:p w14:paraId="6FFBCA27">
      <w:pPr>
        <w:jc w:val="center"/>
        <w:rPr>
          <w:rFonts w:hint="eastAsia" w:ascii="宋体" w:hAnsi="宋体" w:eastAsia="宋体" w:cs="宋体"/>
          <w:b/>
          <w:bCs/>
          <w:color w:val="000000" w:themeColor="text1"/>
          <w:kern w:val="44"/>
          <w:sz w:val="32"/>
          <w:szCs w:val="32"/>
        </w:rPr>
      </w:pPr>
    </w:p>
    <w:p w14:paraId="60D795E4">
      <w:pPr>
        <w:pStyle w:val="2"/>
        <w:keepNext w:val="0"/>
        <w:keepLines w:val="0"/>
        <w:jc w:val="center"/>
        <w:rPr>
          <w:rFonts w:hint="eastAsia" w:ascii="宋体" w:hAnsi="宋体" w:eastAsia="宋体" w:cs="宋体"/>
          <w:color w:val="000000" w:themeColor="text1"/>
        </w:rPr>
      </w:pPr>
      <w:bookmarkStart w:id="1745" w:name="_Toc358569768"/>
      <w:bookmarkStart w:id="1746" w:name="_Toc389065349"/>
    </w:p>
    <w:p w14:paraId="2179A0A2">
      <w:pPr>
        <w:pStyle w:val="2"/>
        <w:keepNext w:val="0"/>
        <w:keepLines w:val="0"/>
        <w:jc w:val="center"/>
        <w:rPr>
          <w:rFonts w:hint="eastAsia" w:ascii="宋体" w:hAnsi="宋体" w:eastAsia="宋体" w:cs="宋体"/>
          <w:color w:val="000000" w:themeColor="text1"/>
        </w:rPr>
      </w:pPr>
    </w:p>
    <w:p w14:paraId="7B97F397">
      <w:pPr>
        <w:pStyle w:val="2"/>
        <w:keepNext w:val="0"/>
        <w:keepLines w:val="0"/>
        <w:rPr>
          <w:rFonts w:hint="eastAsia" w:ascii="宋体" w:hAnsi="宋体" w:eastAsia="宋体" w:cs="宋体"/>
          <w:color w:val="000000" w:themeColor="text1"/>
        </w:rPr>
      </w:pPr>
    </w:p>
    <w:p w14:paraId="7BBEF0D5">
      <w:pPr>
        <w:pStyle w:val="2"/>
        <w:keepNext w:val="0"/>
        <w:keepLines w:val="0"/>
        <w:rPr>
          <w:rFonts w:hint="eastAsia" w:ascii="宋体" w:hAnsi="宋体" w:eastAsia="宋体" w:cs="宋体"/>
          <w:color w:val="000000" w:themeColor="text1"/>
        </w:rPr>
      </w:pPr>
    </w:p>
    <w:bookmarkEnd w:id="1745"/>
    <w:bookmarkEnd w:id="1746"/>
    <w:p w14:paraId="36F0C167">
      <w:pPr>
        <w:pStyle w:val="2"/>
        <w:jc w:val="left"/>
        <w:rPr>
          <w:rFonts w:hint="eastAsia" w:ascii="宋体" w:hAnsi="宋体" w:eastAsia="宋体" w:cs="宋体"/>
          <w:color w:val="000000" w:themeColor="text1"/>
        </w:rPr>
      </w:pPr>
      <w:bookmarkStart w:id="1747" w:name="_Toc494118866"/>
      <w:bookmarkStart w:id="1748" w:name="_Toc358569769"/>
      <w:bookmarkStart w:id="1749" w:name="_Toc389065350"/>
    </w:p>
    <w:p w14:paraId="54D8B0D2">
      <w:pPr>
        <w:rPr>
          <w:rFonts w:hint="eastAsia" w:ascii="宋体" w:hAnsi="宋体" w:eastAsia="宋体" w:cs="宋体"/>
          <w:color w:val="000000" w:themeColor="text1"/>
        </w:rPr>
      </w:pPr>
    </w:p>
    <w:p w14:paraId="4402ED19">
      <w:pPr>
        <w:pStyle w:val="2"/>
        <w:jc w:val="center"/>
        <w:rPr>
          <w:rFonts w:hint="eastAsia" w:ascii="宋体" w:hAnsi="宋体" w:eastAsia="宋体" w:cs="宋体"/>
          <w:color w:val="000000" w:themeColor="text1"/>
        </w:rPr>
      </w:pPr>
      <w:bookmarkStart w:id="1750" w:name="_Toc18990"/>
      <w:r>
        <w:rPr>
          <w:rFonts w:hint="eastAsia" w:ascii="宋体" w:hAnsi="宋体" w:eastAsia="宋体" w:cs="宋体"/>
          <w:color w:val="000000" w:themeColor="text1"/>
        </w:rPr>
        <w:t>第八章 竞标文件格式</w:t>
      </w:r>
      <w:bookmarkEnd w:id="1747"/>
      <w:bookmarkEnd w:id="1748"/>
      <w:bookmarkEnd w:id="1749"/>
      <w:bookmarkEnd w:id="1750"/>
    </w:p>
    <w:p w14:paraId="77314C2E">
      <w:pPr>
        <w:rPr>
          <w:rFonts w:hint="eastAsia" w:ascii="宋体" w:hAnsi="宋体" w:eastAsia="宋体" w:cs="宋体"/>
          <w:color w:val="000000" w:themeColor="text1"/>
          <w:szCs w:val="21"/>
        </w:rPr>
      </w:pPr>
    </w:p>
    <w:p w14:paraId="2BC7D00C">
      <w:pPr>
        <w:rPr>
          <w:rFonts w:hint="eastAsia" w:ascii="宋体" w:hAnsi="宋体" w:eastAsia="宋体" w:cs="宋体"/>
          <w:color w:val="000000" w:themeColor="text1"/>
          <w:szCs w:val="21"/>
        </w:rPr>
      </w:pPr>
    </w:p>
    <w:p w14:paraId="59ED64FB">
      <w:pPr>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32"/>
          <w:szCs w:val="32"/>
          <w:u w:val="single"/>
        </w:rPr>
        <w:t xml:space="preserve">             </w:t>
      </w:r>
      <w:r>
        <w:rPr>
          <w:rFonts w:hint="eastAsia" w:ascii="宋体" w:hAnsi="宋体" w:eastAsia="宋体" w:cs="宋体"/>
          <w:color w:val="000000" w:themeColor="text1"/>
          <w:sz w:val="28"/>
          <w:szCs w:val="28"/>
        </w:rPr>
        <w:t>（项目名称）</w:t>
      </w:r>
    </w:p>
    <w:p w14:paraId="557C2DD3">
      <w:pPr>
        <w:jc w:val="center"/>
        <w:rPr>
          <w:rFonts w:hint="eastAsia" w:ascii="宋体" w:hAnsi="宋体" w:eastAsia="宋体" w:cs="宋体"/>
          <w:color w:val="000000" w:themeColor="text1"/>
          <w:sz w:val="28"/>
          <w:szCs w:val="28"/>
        </w:rPr>
      </w:pPr>
    </w:p>
    <w:p w14:paraId="74EF3EE3">
      <w:pPr>
        <w:spacing w:beforeLines="100"/>
        <w:jc w:val="center"/>
        <w:rPr>
          <w:rFonts w:hint="eastAsia" w:ascii="宋体" w:hAnsi="宋体" w:eastAsia="宋体" w:cs="宋体"/>
          <w:color w:val="000000" w:themeColor="text1"/>
          <w:sz w:val="52"/>
          <w:szCs w:val="52"/>
        </w:rPr>
      </w:pPr>
      <w:r>
        <w:rPr>
          <w:rFonts w:hint="eastAsia" w:ascii="宋体" w:hAnsi="宋体" w:eastAsia="宋体" w:cs="宋体"/>
          <w:color w:val="000000" w:themeColor="text1"/>
          <w:sz w:val="52"/>
          <w:szCs w:val="52"/>
        </w:rPr>
        <w:t>投  标  文  件</w:t>
      </w:r>
    </w:p>
    <w:p w14:paraId="3B5753A8">
      <w:pPr>
        <w:jc w:val="center"/>
        <w:rPr>
          <w:rFonts w:hint="eastAsia" w:ascii="宋体" w:hAnsi="宋体" w:eastAsia="宋体" w:cs="宋体"/>
          <w:color w:val="000000" w:themeColor="text1"/>
          <w:sz w:val="32"/>
          <w:szCs w:val="32"/>
        </w:rPr>
      </w:pPr>
    </w:p>
    <w:p w14:paraId="2264044A">
      <w:pPr>
        <w:jc w:val="center"/>
        <w:rPr>
          <w:rFonts w:hint="eastAsia" w:ascii="宋体" w:hAnsi="宋体" w:eastAsia="宋体" w:cs="宋体"/>
          <w:color w:val="000000" w:themeColor="text1"/>
          <w:sz w:val="32"/>
          <w:szCs w:val="32"/>
        </w:rPr>
      </w:pPr>
    </w:p>
    <w:p w14:paraId="1232402E">
      <w:pPr>
        <w:jc w:val="center"/>
        <w:rPr>
          <w:rFonts w:hint="eastAsia" w:ascii="宋体" w:hAnsi="宋体" w:eastAsia="宋体" w:cs="宋体"/>
          <w:color w:val="000000" w:themeColor="text1"/>
          <w:sz w:val="32"/>
          <w:szCs w:val="32"/>
        </w:rPr>
      </w:pPr>
    </w:p>
    <w:p w14:paraId="5F8B71F5">
      <w:pPr>
        <w:jc w:val="center"/>
        <w:rPr>
          <w:rFonts w:hint="eastAsia" w:ascii="宋体" w:hAnsi="宋体" w:eastAsia="宋体" w:cs="宋体"/>
          <w:color w:val="000000" w:themeColor="text1"/>
          <w:sz w:val="32"/>
          <w:szCs w:val="32"/>
        </w:rPr>
      </w:pPr>
    </w:p>
    <w:p w14:paraId="49E91DCF">
      <w:pPr>
        <w:spacing w:line="360" w:lineRule="auto"/>
        <w:ind w:firstLine="2380" w:firstLineChars="850"/>
        <w:rPr>
          <w:rFonts w:hint="eastAsia"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项目采购编号：</w:t>
      </w:r>
      <w:r>
        <w:rPr>
          <w:rFonts w:hint="eastAsia" w:ascii="宋体" w:hAnsi="宋体" w:eastAsia="宋体" w:cs="宋体"/>
          <w:color w:val="000000" w:themeColor="text1"/>
          <w:sz w:val="28"/>
          <w:szCs w:val="28"/>
          <w:u w:val="single"/>
        </w:rPr>
        <w:t xml:space="preserve">                   </w:t>
      </w:r>
    </w:p>
    <w:p w14:paraId="23BD9882">
      <w:pPr>
        <w:jc w:val="center"/>
        <w:rPr>
          <w:rFonts w:hint="eastAsia" w:ascii="宋体" w:hAnsi="宋体" w:eastAsia="宋体" w:cs="宋体"/>
          <w:color w:val="000000" w:themeColor="text1"/>
          <w:sz w:val="32"/>
          <w:szCs w:val="32"/>
        </w:rPr>
      </w:pPr>
    </w:p>
    <w:p w14:paraId="04F27B76">
      <w:pPr>
        <w:jc w:val="center"/>
        <w:rPr>
          <w:rFonts w:hint="eastAsia" w:ascii="宋体" w:hAnsi="宋体" w:eastAsia="宋体" w:cs="宋体"/>
          <w:color w:val="000000" w:themeColor="text1"/>
          <w:sz w:val="32"/>
          <w:szCs w:val="32"/>
        </w:rPr>
      </w:pPr>
    </w:p>
    <w:p w14:paraId="329D531D">
      <w:pPr>
        <w:jc w:val="center"/>
        <w:rPr>
          <w:rFonts w:hint="eastAsia" w:ascii="宋体" w:hAnsi="宋体" w:eastAsia="宋体" w:cs="宋体"/>
          <w:color w:val="000000" w:themeColor="text1"/>
          <w:sz w:val="32"/>
          <w:szCs w:val="32"/>
        </w:rPr>
      </w:pPr>
    </w:p>
    <w:p w14:paraId="0BA87B21">
      <w:pPr>
        <w:jc w:val="center"/>
        <w:rPr>
          <w:rFonts w:hint="eastAsia" w:ascii="宋体" w:hAnsi="宋体" w:eastAsia="宋体" w:cs="宋体"/>
          <w:color w:val="000000" w:themeColor="text1"/>
          <w:sz w:val="32"/>
          <w:szCs w:val="32"/>
        </w:rPr>
      </w:pPr>
    </w:p>
    <w:p w14:paraId="2EC4A754">
      <w:pPr>
        <w:jc w:val="center"/>
        <w:rPr>
          <w:rFonts w:hint="eastAsia" w:ascii="宋体" w:hAnsi="宋体" w:eastAsia="宋体" w:cs="宋体"/>
          <w:color w:val="000000" w:themeColor="text1"/>
          <w:sz w:val="32"/>
          <w:szCs w:val="32"/>
        </w:rPr>
      </w:pPr>
    </w:p>
    <w:p w14:paraId="0CA99A23">
      <w:pPr>
        <w:jc w:val="center"/>
        <w:rPr>
          <w:rFonts w:hint="eastAsia" w:ascii="宋体" w:hAnsi="宋体" w:eastAsia="宋体" w:cs="宋体"/>
          <w:color w:val="000000" w:themeColor="text1"/>
          <w:sz w:val="32"/>
          <w:szCs w:val="32"/>
        </w:rPr>
      </w:pPr>
    </w:p>
    <w:p w14:paraId="4A389ABB">
      <w:pPr>
        <w:jc w:val="center"/>
        <w:rPr>
          <w:rFonts w:hint="eastAsia" w:ascii="宋体" w:hAnsi="宋体" w:eastAsia="宋体" w:cs="宋体"/>
          <w:color w:val="000000" w:themeColor="text1"/>
          <w:sz w:val="32"/>
          <w:szCs w:val="32"/>
        </w:rPr>
      </w:pPr>
    </w:p>
    <w:p w14:paraId="46317A66">
      <w:pPr>
        <w:rPr>
          <w:rFonts w:hint="eastAsia" w:ascii="宋体" w:hAnsi="宋体" w:eastAsia="宋体" w:cs="宋体"/>
          <w:color w:val="000000" w:themeColor="text1"/>
          <w:sz w:val="32"/>
          <w:szCs w:val="32"/>
        </w:rPr>
      </w:pPr>
    </w:p>
    <w:p w14:paraId="3270360F">
      <w:pPr>
        <w:rPr>
          <w:rFonts w:hint="eastAsia" w:ascii="宋体" w:hAnsi="宋体" w:eastAsia="宋体" w:cs="宋体"/>
          <w:color w:val="000000" w:themeColor="text1"/>
          <w:sz w:val="32"/>
          <w:szCs w:val="32"/>
        </w:rPr>
      </w:pPr>
    </w:p>
    <w:p w14:paraId="61E30650">
      <w:pPr>
        <w:spacing w:line="360" w:lineRule="auto"/>
        <w:ind w:firstLine="1400" w:firstLineChars="5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竞标内容：</w:t>
      </w:r>
      <w:r>
        <w:rPr>
          <w:rFonts w:hint="eastAsia" w:ascii="宋体" w:hAnsi="宋体" w:eastAsia="宋体" w:cs="宋体"/>
          <w:color w:val="000000" w:themeColor="text1"/>
          <w:sz w:val="28"/>
          <w:szCs w:val="28"/>
          <w:u w:val="single"/>
        </w:rPr>
        <w:t xml:space="preserve">            资格审查部分           </w:t>
      </w:r>
    </w:p>
    <w:p w14:paraId="5069BD2E">
      <w:pPr>
        <w:spacing w:line="360" w:lineRule="auto"/>
        <w:ind w:firstLine="1400" w:firstLineChars="5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竞标人：</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（盖单位章）</w:t>
      </w:r>
    </w:p>
    <w:p w14:paraId="3B07F4EA">
      <w:pPr>
        <w:spacing w:line="360" w:lineRule="auto"/>
        <w:ind w:firstLine="1400" w:firstLineChars="5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法定代表人或其委托代理人：</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（签字或盖章）</w:t>
      </w:r>
    </w:p>
    <w:p w14:paraId="798D51A6">
      <w:pPr>
        <w:jc w:val="center"/>
        <w:rPr>
          <w:rFonts w:hint="eastAsia" w:ascii="宋体" w:hAnsi="宋体" w:eastAsia="宋体" w:cs="宋体"/>
          <w:color w:val="000000" w:themeColor="text1"/>
          <w:sz w:val="28"/>
          <w:szCs w:val="28"/>
        </w:rPr>
      </w:pPr>
    </w:p>
    <w:p w14:paraId="467E04CB">
      <w:pPr>
        <w:jc w:val="center"/>
        <w:rPr>
          <w:rFonts w:hint="eastAsia" w:ascii="宋体" w:hAnsi="宋体" w:eastAsia="宋体" w:cs="宋体"/>
          <w:color w:val="000000" w:themeColor="text1"/>
          <w:sz w:val="28"/>
          <w:szCs w:val="28"/>
        </w:rPr>
      </w:pPr>
    </w:p>
    <w:p w14:paraId="1E16208A">
      <w:pPr>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年</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月</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日</w:t>
      </w:r>
    </w:p>
    <w:p w14:paraId="6E5C3E1E">
      <w:pPr>
        <w:spacing w:beforeLines="100" w:afterLines="100"/>
        <w:jc w:val="center"/>
        <w:rPr>
          <w:rFonts w:hint="eastAsia" w:ascii="宋体" w:hAnsi="宋体" w:eastAsia="宋体" w:cs="宋体"/>
          <w:b/>
          <w:color w:val="000000" w:themeColor="text1"/>
          <w:sz w:val="28"/>
          <w:szCs w:val="28"/>
        </w:rPr>
      </w:pPr>
      <w:r>
        <w:rPr>
          <w:rFonts w:hint="eastAsia" w:ascii="宋体" w:hAnsi="宋体" w:eastAsia="宋体" w:cs="宋体"/>
          <w:color w:val="000000" w:themeColor="text1"/>
          <w:sz w:val="28"/>
          <w:szCs w:val="28"/>
        </w:rPr>
        <w:br w:type="page"/>
      </w:r>
      <w:r>
        <w:rPr>
          <w:rFonts w:hint="eastAsia" w:ascii="宋体" w:hAnsi="宋体" w:eastAsia="宋体" w:cs="宋体"/>
          <w:b/>
          <w:color w:val="000000" w:themeColor="text1"/>
          <w:sz w:val="28"/>
          <w:szCs w:val="28"/>
        </w:rPr>
        <w:t>目    录</w:t>
      </w:r>
    </w:p>
    <w:p w14:paraId="45D2020C">
      <w:pPr>
        <w:snapToGrid w:val="0"/>
        <w:spacing w:beforeLines="100" w:afterLines="100" w:line="480" w:lineRule="auto"/>
        <w:jc w:val="center"/>
        <w:rPr>
          <w:rFonts w:hint="eastAsia" w:ascii="宋体" w:hAnsi="宋体" w:eastAsia="宋体" w:cs="宋体"/>
          <w:b/>
          <w:color w:val="000000" w:themeColor="text1"/>
          <w:sz w:val="28"/>
          <w:szCs w:val="28"/>
        </w:rPr>
      </w:pPr>
      <w:r>
        <w:rPr>
          <w:rFonts w:hint="eastAsia" w:ascii="宋体" w:hAnsi="宋体" w:eastAsia="宋体" w:cs="宋体"/>
          <w:b/>
          <w:color w:val="000000" w:themeColor="text1"/>
          <w:sz w:val="28"/>
          <w:szCs w:val="28"/>
        </w:rPr>
        <w:t>（应附有页码）</w:t>
      </w:r>
    </w:p>
    <w:p w14:paraId="1F096FE6">
      <w:pPr>
        <w:pStyle w:val="24"/>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hAnsi="宋体"/>
          <w:color w:val="000000" w:themeColor="text1"/>
        </w:rPr>
      </w:pPr>
      <w:r>
        <w:rPr>
          <w:rFonts w:hint="eastAsia" w:hAnsi="宋体"/>
          <w:color w:val="000000" w:themeColor="text1"/>
        </w:rPr>
        <w:t>（1）法定代表人身份证明原件及身份证复印件（法定代表人签署</w:t>
      </w:r>
      <w:r>
        <w:rPr>
          <w:rFonts w:hint="eastAsia" w:hAnsi="宋体"/>
          <w:color w:val="000000" w:themeColor="text1"/>
          <w:lang w:eastAsia="zh-CN"/>
        </w:rPr>
        <w:t>竞标文件</w:t>
      </w:r>
      <w:r>
        <w:rPr>
          <w:rFonts w:hint="eastAsia" w:hAnsi="宋体"/>
          <w:color w:val="000000" w:themeColor="text1"/>
        </w:rPr>
        <w:t>时提供）或者</w:t>
      </w:r>
      <w:r>
        <w:rPr>
          <w:rFonts w:hint="eastAsia" w:hAnsi="宋体"/>
          <w:color w:val="000000" w:themeColor="text1"/>
          <w:lang w:eastAsia="zh-CN"/>
        </w:rPr>
        <w:t>竞标文件</w:t>
      </w:r>
      <w:r>
        <w:rPr>
          <w:rFonts w:hint="eastAsia" w:hAnsi="宋体"/>
          <w:color w:val="000000" w:themeColor="text1"/>
        </w:rPr>
        <w:t>签署授权委托书（原件），附：法定代表人身份证明及身份证、委托代理</w:t>
      </w:r>
      <w:r>
        <w:rPr>
          <w:rFonts w:hint="eastAsia" w:hAnsi="宋体"/>
          <w:color w:val="000000" w:themeColor="text1"/>
          <w:lang w:eastAsia="zh-CN"/>
        </w:rPr>
        <w:t>人的</w:t>
      </w:r>
      <w:r>
        <w:rPr>
          <w:rFonts w:hint="eastAsia" w:hAnsi="宋体"/>
          <w:color w:val="000000" w:themeColor="text1"/>
        </w:rPr>
        <w:t>身份证等材料的复印件（委托代理人签署</w:t>
      </w:r>
      <w:r>
        <w:rPr>
          <w:rFonts w:hint="eastAsia" w:hAnsi="宋体"/>
          <w:color w:val="000000" w:themeColor="text1"/>
          <w:lang w:eastAsia="zh-CN"/>
        </w:rPr>
        <w:t>竞标文件</w:t>
      </w:r>
      <w:r>
        <w:rPr>
          <w:rFonts w:hint="eastAsia" w:hAnsi="宋体"/>
          <w:color w:val="000000" w:themeColor="text1"/>
        </w:rPr>
        <w:t>时提供）；</w:t>
      </w:r>
    </w:p>
    <w:p w14:paraId="0DBDF977">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hAnsi="宋体"/>
          <w:color w:val="000000" w:themeColor="text1"/>
        </w:rPr>
      </w:pPr>
      <w:r>
        <w:rPr>
          <w:rFonts w:hint="eastAsia" w:hAnsi="宋体"/>
          <w:color w:val="000000" w:themeColor="text1"/>
        </w:rPr>
        <w:t>（2）</w:t>
      </w:r>
      <w:r>
        <w:rPr>
          <w:rFonts w:hint="eastAsia" w:hAnsi="宋体"/>
          <w:color w:val="000000" w:themeColor="text1"/>
          <w:lang w:eastAsia="zh-CN"/>
        </w:rPr>
        <w:t>竞标人</w:t>
      </w:r>
      <w:r>
        <w:rPr>
          <w:rFonts w:hint="eastAsia" w:hAnsi="宋体"/>
          <w:color w:val="000000" w:themeColor="text1"/>
        </w:rPr>
        <w:t>基本情况表（附有效的企业营业执照、企业资质证书副本和安全生产许可证副本等的</w:t>
      </w:r>
      <w:r>
        <w:rPr>
          <w:rFonts w:hint="eastAsia" w:hAnsi="宋体"/>
          <w:color w:val="000000" w:themeColor="text1"/>
          <w:lang w:eastAsia="zh-CN"/>
        </w:rPr>
        <w:t>复印件</w:t>
      </w:r>
      <w:r>
        <w:rPr>
          <w:rFonts w:hint="eastAsia" w:hAnsi="宋体"/>
          <w:color w:val="000000" w:themeColor="text1"/>
        </w:rPr>
        <w:t>）；</w:t>
      </w:r>
    </w:p>
    <w:p w14:paraId="253610A3">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hAnsi="宋体"/>
          <w:color w:val="000000" w:themeColor="text1"/>
        </w:rPr>
      </w:pPr>
      <w:r>
        <w:rPr>
          <w:rFonts w:hint="eastAsia" w:hAnsi="宋体"/>
          <w:color w:val="000000" w:themeColor="text1"/>
        </w:rPr>
        <w:t>（</w:t>
      </w:r>
      <w:r>
        <w:rPr>
          <w:rFonts w:hint="eastAsia" w:hAnsi="宋体"/>
          <w:color w:val="000000" w:themeColor="text1"/>
          <w:lang w:val="en-US" w:eastAsia="zh-CN"/>
        </w:rPr>
        <w:t>3</w:t>
      </w:r>
      <w:r>
        <w:rPr>
          <w:rFonts w:hint="eastAsia" w:hAnsi="宋体"/>
          <w:color w:val="000000" w:themeColor="text1"/>
        </w:rPr>
        <w:t>）建设工程项目管理承诺书；</w:t>
      </w:r>
    </w:p>
    <w:p w14:paraId="2CEB6768">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hAnsi="宋体"/>
          <w:color w:val="000000" w:themeColor="text1"/>
        </w:rPr>
      </w:pPr>
      <w:r>
        <w:rPr>
          <w:rFonts w:hint="eastAsia" w:hAnsi="宋体"/>
          <w:color w:val="000000" w:themeColor="text1"/>
        </w:rPr>
        <w:t>（</w:t>
      </w:r>
      <w:r>
        <w:rPr>
          <w:rFonts w:hint="eastAsia" w:hAnsi="宋体"/>
          <w:color w:val="000000" w:themeColor="text1"/>
          <w:lang w:val="en-US" w:eastAsia="zh-CN"/>
        </w:rPr>
        <w:t>4</w:t>
      </w:r>
      <w:r>
        <w:rPr>
          <w:rFonts w:hint="eastAsia" w:hAnsi="宋体"/>
          <w:color w:val="000000" w:themeColor="text1"/>
        </w:rPr>
        <w:t>）项目经理简历表；（附项目经理注册建造师注册证书和安全生产考核合格证书（B类）</w:t>
      </w:r>
      <w:r>
        <w:rPr>
          <w:rFonts w:hint="eastAsia" w:hAnsi="宋体"/>
          <w:color w:val="000000" w:themeColor="text1"/>
          <w:lang w:eastAsia="zh-CN"/>
        </w:rPr>
        <w:t>、身份证</w:t>
      </w:r>
      <w:r>
        <w:rPr>
          <w:rFonts w:hint="eastAsia" w:hAnsi="宋体"/>
          <w:color w:val="000000" w:themeColor="text1"/>
        </w:rPr>
        <w:t>的</w:t>
      </w:r>
      <w:r>
        <w:rPr>
          <w:rFonts w:hint="eastAsia" w:hAnsi="宋体"/>
          <w:color w:val="000000" w:themeColor="text1"/>
          <w:lang w:eastAsia="zh-CN"/>
        </w:rPr>
        <w:t>复印件</w:t>
      </w:r>
      <w:r>
        <w:rPr>
          <w:rFonts w:hint="eastAsia" w:hAnsi="宋体"/>
          <w:color w:val="000000" w:themeColor="text1"/>
        </w:rPr>
        <w:t>）；</w:t>
      </w:r>
    </w:p>
    <w:p w14:paraId="26891918">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hAnsi="宋体"/>
          <w:color w:val="000000" w:themeColor="text1"/>
        </w:rPr>
      </w:pPr>
      <w:r>
        <w:rPr>
          <w:rFonts w:hint="eastAsia" w:hAnsi="宋体"/>
          <w:color w:val="000000" w:themeColor="text1"/>
        </w:rPr>
        <w:t>（</w:t>
      </w:r>
      <w:r>
        <w:rPr>
          <w:rFonts w:hint="eastAsia" w:hAnsi="宋体"/>
          <w:color w:val="000000" w:themeColor="text1"/>
          <w:lang w:val="en-US" w:eastAsia="zh-CN"/>
        </w:rPr>
        <w:t>5</w:t>
      </w:r>
      <w:r>
        <w:rPr>
          <w:rFonts w:hint="eastAsia" w:hAnsi="宋体"/>
          <w:color w:val="000000" w:themeColor="text1"/>
        </w:rPr>
        <w:t>）专职安全员简历表；（附专职安全员安全生产考核合格证书（C类）</w:t>
      </w:r>
      <w:r>
        <w:rPr>
          <w:rFonts w:hint="eastAsia" w:hAnsi="宋体"/>
          <w:color w:val="000000" w:themeColor="text1"/>
          <w:lang w:eastAsia="zh-CN"/>
        </w:rPr>
        <w:t>和身份证</w:t>
      </w:r>
      <w:r>
        <w:rPr>
          <w:rFonts w:hint="eastAsia" w:hAnsi="宋体"/>
          <w:color w:val="000000" w:themeColor="text1"/>
        </w:rPr>
        <w:t>的</w:t>
      </w:r>
      <w:r>
        <w:rPr>
          <w:rFonts w:hint="eastAsia" w:hAnsi="宋体"/>
          <w:color w:val="000000" w:themeColor="text1"/>
          <w:lang w:eastAsia="zh-CN"/>
        </w:rPr>
        <w:t>复印件</w:t>
      </w:r>
      <w:r>
        <w:rPr>
          <w:rFonts w:hint="eastAsia" w:hAnsi="宋体"/>
          <w:color w:val="000000" w:themeColor="text1"/>
        </w:rPr>
        <w:t>）；</w:t>
      </w:r>
    </w:p>
    <w:p w14:paraId="7724D9EF">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lang w:eastAsia="zh-CN"/>
        </w:rPr>
      </w:pPr>
      <w:r>
        <w:rPr>
          <w:rFonts w:hint="eastAsia" w:hAnsi="宋体"/>
          <w:color w:val="000000" w:themeColor="text1"/>
        </w:rPr>
        <w:t>（</w:t>
      </w:r>
      <w:r>
        <w:rPr>
          <w:rFonts w:hint="eastAsia" w:hAnsi="宋体"/>
          <w:color w:val="000000" w:themeColor="text1"/>
          <w:lang w:val="en-US" w:eastAsia="zh-CN"/>
        </w:rPr>
        <w:t>6</w:t>
      </w:r>
      <w:r>
        <w:rPr>
          <w:rFonts w:hint="eastAsia" w:hAnsi="宋体"/>
          <w:color w:val="000000" w:themeColor="text1"/>
        </w:rPr>
        <w:t>）</w:t>
      </w:r>
      <w:r>
        <w:rPr>
          <w:rFonts w:hint="eastAsia" w:ascii="宋体" w:hAnsi="宋体" w:eastAsia="宋体" w:cs="宋体"/>
          <w:color w:val="000000" w:themeColor="text1"/>
          <w:highlight w:val="none"/>
          <w:lang w:eastAsia="zh-CN"/>
        </w:rPr>
        <w:t>竞标人</w:t>
      </w:r>
      <w:r>
        <w:rPr>
          <w:rFonts w:hint="eastAsia" w:ascii="宋体" w:hAnsi="宋体" w:cs="宋体"/>
          <w:color w:val="000000" w:themeColor="text1"/>
          <w:highlight w:val="none"/>
          <w:lang w:val="en-US" w:eastAsia="zh-CN"/>
        </w:rPr>
        <w:t>2026年2月-4月</w:t>
      </w:r>
      <w:r>
        <w:rPr>
          <w:rFonts w:hint="eastAsia" w:ascii="宋体" w:hAnsi="宋体" w:eastAsia="宋体" w:cs="宋体"/>
          <w:color w:val="000000" w:themeColor="text1"/>
          <w:highlight w:val="none"/>
        </w:rPr>
        <w:t>为拟投入本项目的主要管理人员依法缴纳社保费的缴费证明（复印件，格式自拟）；无缴费记录的，应提供由</w:t>
      </w:r>
      <w:r>
        <w:rPr>
          <w:rFonts w:hint="eastAsia" w:ascii="宋体" w:hAnsi="宋体" w:eastAsia="宋体" w:cs="宋体"/>
          <w:color w:val="000000" w:themeColor="text1"/>
          <w:highlight w:val="none"/>
          <w:lang w:eastAsia="zh-CN"/>
        </w:rPr>
        <w:t>竞标人</w:t>
      </w:r>
      <w:r>
        <w:rPr>
          <w:rFonts w:hint="eastAsia" w:ascii="宋体" w:hAnsi="宋体" w:eastAsia="宋体" w:cs="宋体"/>
          <w:color w:val="000000" w:themeColor="text1"/>
          <w:highlight w:val="none"/>
        </w:rPr>
        <w:t>所在地社保部门出具的《依法缴纳或依法免缴社保费证明》。（社保证明要求列明的缴纳社保人员名单应包含主要施工管理人员名单）</w:t>
      </w:r>
      <w:r>
        <w:rPr>
          <w:rFonts w:hint="eastAsia" w:ascii="宋体" w:hAnsi="宋体" w:eastAsia="宋体" w:cs="宋体"/>
          <w:color w:val="000000" w:themeColor="text1"/>
          <w:highlight w:val="none"/>
          <w:lang w:eastAsia="zh-CN"/>
        </w:rPr>
        <w:t>；</w:t>
      </w:r>
    </w:p>
    <w:p w14:paraId="737EB714">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7</w:t>
      </w:r>
      <w:r>
        <w:rPr>
          <w:rFonts w:hint="eastAsia" w:ascii="宋体" w:hAnsi="宋体" w:eastAsia="宋体" w:cs="宋体"/>
          <w:color w:val="000000" w:themeColor="text1"/>
          <w:highlight w:val="none"/>
          <w:lang w:eastAsia="zh-CN"/>
        </w:rPr>
        <w:t>）竞标人</w:t>
      </w:r>
      <w:r>
        <w:rPr>
          <w:rFonts w:hint="eastAsia" w:ascii="宋体" w:hAnsi="宋体" w:cs="宋体"/>
          <w:color w:val="000000" w:themeColor="text1"/>
          <w:highlight w:val="none"/>
          <w:lang w:val="en-US" w:eastAsia="zh-CN"/>
        </w:rPr>
        <w:t>2026年1月-3月</w:t>
      </w:r>
      <w:r>
        <w:rPr>
          <w:rFonts w:hint="eastAsia" w:ascii="宋体" w:hAnsi="宋体" w:eastAsia="宋体" w:cs="宋体"/>
          <w:color w:val="000000" w:themeColor="text1"/>
          <w:highlight w:val="none"/>
        </w:rPr>
        <w:t>依法缴纳税费或依法免缴税费的证明（复印件，格式自拟）；无纳税记录的，应提供由</w:t>
      </w:r>
      <w:r>
        <w:rPr>
          <w:rFonts w:hint="eastAsia" w:ascii="宋体" w:hAnsi="宋体" w:eastAsia="宋体" w:cs="宋体"/>
          <w:color w:val="000000" w:themeColor="text1"/>
          <w:highlight w:val="none"/>
          <w:lang w:eastAsia="zh-CN"/>
        </w:rPr>
        <w:t>竞标人</w:t>
      </w:r>
      <w:r>
        <w:rPr>
          <w:rFonts w:hint="eastAsia" w:ascii="宋体" w:hAnsi="宋体" w:eastAsia="宋体" w:cs="宋体"/>
          <w:color w:val="000000" w:themeColor="text1"/>
          <w:highlight w:val="none"/>
        </w:rPr>
        <w:t>所在地主管国税、地税部门出具的《依法纳税或依法免税证明》）</w:t>
      </w:r>
      <w:r>
        <w:rPr>
          <w:rFonts w:hint="eastAsia" w:ascii="宋体" w:hAnsi="宋体" w:eastAsia="宋体" w:cs="宋体"/>
          <w:color w:val="000000" w:themeColor="text1"/>
          <w:highlight w:val="none"/>
          <w:lang w:eastAsia="zh-CN"/>
        </w:rPr>
        <w:t>；</w:t>
      </w:r>
    </w:p>
    <w:p w14:paraId="311B27F4">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8</w:t>
      </w:r>
      <w:r>
        <w:rPr>
          <w:rFonts w:hint="eastAsia" w:ascii="宋体" w:hAnsi="宋体" w:eastAsia="宋体" w:cs="宋体"/>
          <w:color w:val="000000" w:themeColor="text1"/>
          <w:highlight w:val="none"/>
          <w:lang w:eastAsia="zh-CN"/>
        </w:rPr>
        <w:t>）中小企业声明函（如竞标人为中小微型企业的必须提供，格式见附件，竞标人对出具的声明函真实性负责，成交结果将同时公告企业《中小企业声明函》，接受社会监督）；</w:t>
      </w:r>
    </w:p>
    <w:p w14:paraId="6D33206D">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9</w:t>
      </w:r>
      <w:r>
        <w:rPr>
          <w:rFonts w:hint="eastAsia" w:ascii="宋体" w:hAnsi="宋体" w:eastAsia="宋体" w:cs="宋体"/>
          <w:color w:val="000000" w:themeColor="text1"/>
          <w:highlight w:val="none"/>
          <w:lang w:eastAsia="zh-CN"/>
        </w:rPr>
        <w:t>）监狱企业的证明文件[竞标人如为监狱企业的必须提供，应当提供由省级以上监狱管理局、戒毒管理局（含新疆生产建设兵团）出具的属于监狱企业的证明文件, 否则不予享受优惠政策] ；</w:t>
      </w:r>
    </w:p>
    <w:p w14:paraId="58BA93E6">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lang w:eastAsia="zh-CN"/>
        </w:rPr>
        <w:t>）《残疾人福利性单位声明函》【符合条件的残疾人福利性单位在参加政府采购活动时，必须提供《残疾人福利性单位声明函》（格式见附件），并对声明的真实性负责，成交结果将同时公告企业《残疾人福利性单位声明函》，接受社会监督】；</w:t>
      </w:r>
    </w:p>
    <w:p w14:paraId="41F0BA1D">
      <w:pPr>
        <w:pStyle w:val="24"/>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000000" w:themeColor="text1"/>
          <w:szCs w:val="22"/>
          <w:highlight w:val="none"/>
        </w:rPr>
      </w:pPr>
      <w:r>
        <w:rPr>
          <w:rFonts w:hint="eastAsia" w:ascii="宋体" w:hAnsi="宋体" w:eastAsia="宋体" w:cs="宋体"/>
          <w:color w:val="000000" w:themeColor="text1"/>
          <w:highlight w:val="none"/>
        </w:rPr>
        <w:t>（</w:t>
      </w:r>
      <w:r>
        <w:rPr>
          <w:rFonts w:hint="eastAsia" w:hAnsi="宋体" w:eastAsia="宋体" w:cs="宋体"/>
          <w:color w:val="000000" w:themeColor="text1"/>
          <w:highlight w:val="none"/>
          <w:lang w:val="en-US" w:eastAsia="zh-CN"/>
        </w:rPr>
        <w:t>11</w:t>
      </w:r>
      <w:r>
        <w:rPr>
          <w:rFonts w:hint="eastAsia" w:ascii="宋体" w:hAnsi="宋体" w:eastAsia="宋体" w:cs="宋体"/>
          <w:color w:val="000000" w:themeColor="text1"/>
          <w:highlight w:val="none"/>
        </w:rPr>
        <w:t>）</w:t>
      </w:r>
      <w:r>
        <w:rPr>
          <w:rFonts w:hint="eastAsia" w:ascii="宋体" w:hAnsi="宋体" w:cs="宋体"/>
          <w:color w:val="000000" w:themeColor="text1"/>
          <w:highlight w:val="none"/>
        </w:rPr>
        <w:t>资格审查需要的其他材料：项目管理机构配备情况表、拟投入施工机械设备情况表、企业近年已完成类似项目一览表、企业近年信誉实力一览表、</w:t>
      </w:r>
      <w:r>
        <w:rPr>
          <w:rFonts w:hint="eastAsia" w:ascii="宋体" w:hAnsi="宋体" w:cs="宋体"/>
          <w:color w:val="000000" w:themeColor="text1"/>
          <w:highlight w:val="none"/>
          <w:lang w:eastAsia="zh-CN"/>
        </w:rPr>
        <w:t>竞标人</w:t>
      </w:r>
      <w:r>
        <w:rPr>
          <w:rFonts w:hint="eastAsia" w:ascii="宋体" w:hAnsi="宋体" w:eastAsia="宋体" w:cs="宋体"/>
          <w:color w:val="000000" w:themeColor="text1"/>
          <w:highlight w:val="none"/>
          <w:lang w:eastAsia="zh-CN"/>
        </w:rPr>
        <w:t>202</w:t>
      </w:r>
      <w:r>
        <w:rPr>
          <w:rFonts w:hint="eastAsia" w:ascii="宋体" w:hAnsi="宋体" w:eastAsia="宋体" w:cs="宋体"/>
          <w:color w:val="000000" w:themeColor="text1"/>
          <w:highlight w:val="none"/>
          <w:lang w:val="en-US" w:eastAsia="zh-CN"/>
        </w:rPr>
        <w:t>5</w:t>
      </w:r>
      <w:r>
        <w:rPr>
          <w:rFonts w:hint="eastAsia" w:hAnsi="宋体" w:cs="宋体"/>
          <w:color w:val="000000" w:themeColor="text1"/>
          <w:highlight w:val="none"/>
          <w:lang w:eastAsia="zh-CN"/>
        </w:rPr>
        <w:t>年的财务报表</w:t>
      </w:r>
      <w:r>
        <w:rPr>
          <w:rFonts w:hint="eastAsia" w:ascii="宋体" w:hAnsi="宋体" w:cs="宋体"/>
          <w:color w:val="000000" w:themeColor="text1"/>
          <w:highlight w:val="none"/>
        </w:rPr>
        <w:t>，包括资产负债表、现金流量表、利润表</w:t>
      </w:r>
      <w:r>
        <w:rPr>
          <w:rFonts w:hint="eastAsia" w:hAnsi="宋体" w:cs="宋体"/>
          <w:color w:val="000000" w:themeColor="text1"/>
          <w:highlight w:val="none"/>
          <w:lang w:eastAsia="zh-CN"/>
        </w:rPr>
        <w:t>复印件</w:t>
      </w:r>
      <w:r>
        <w:rPr>
          <w:rFonts w:hint="eastAsia" w:ascii="宋体" w:hAnsi="宋体" w:cs="宋体"/>
          <w:color w:val="000000" w:themeColor="text1"/>
          <w:highlight w:val="none"/>
        </w:rPr>
        <w:t>或</w:t>
      </w:r>
      <w:r>
        <w:rPr>
          <w:rFonts w:hint="eastAsia" w:ascii="宋体" w:hAnsi="宋体" w:cs="宋体"/>
          <w:color w:val="000000" w:themeColor="text1"/>
          <w:highlight w:val="none"/>
          <w:lang w:eastAsia="zh-CN"/>
        </w:rPr>
        <w:t>竞标人</w:t>
      </w:r>
      <w:r>
        <w:rPr>
          <w:rFonts w:hint="eastAsia" w:ascii="宋体" w:hAnsi="宋体" w:cs="宋体"/>
          <w:color w:val="000000" w:themeColor="text1"/>
          <w:highlight w:val="none"/>
        </w:rPr>
        <w:t>基本开户银行出具的应能反映</w:t>
      </w:r>
      <w:r>
        <w:rPr>
          <w:rFonts w:hint="eastAsia" w:ascii="宋体" w:hAnsi="宋体" w:cs="宋体"/>
          <w:color w:val="000000" w:themeColor="text1"/>
          <w:highlight w:val="none"/>
          <w:lang w:eastAsia="zh-CN"/>
        </w:rPr>
        <w:t>竞标人</w:t>
      </w:r>
      <w:r>
        <w:rPr>
          <w:rFonts w:hint="eastAsia" w:ascii="宋体" w:hAnsi="宋体" w:cs="宋体"/>
          <w:color w:val="000000" w:themeColor="text1"/>
          <w:highlight w:val="none"/>
        </w:rPr>
        <w:t>在资金结算、信贷业务、执行结算、银行纪律等方面无不良记录的资信证明复印件，原件备查；（注：对于从取得营业执照时间起</w:t>
      </w:r>
      <w:r>
        <w:rPr>
          <w:rFonts w:hint="eastAsia" w:ascii="宋体" w:hAnsi="宋体" w:eastAsia="宋体" w:cs="宋体"/>
          <w:color w:val="000000" w:themeColor="text1"/>
          <w:szCs w:val="22"/>
          <w:highlight w:val="none"/>
        </w:rPr>
        <w:t>到磋商截止时间为止不足要求年数的企业，只需提交企业取得营业执照年份至磋商截止之日前一个月的财务报表））、</w:t>
      </w:r>
      <w:r>
        <w:rPr>
          <w:rFonts w:hint="eastAsia" w:ascii="宋体" w:hAnsi="宋体" w:eastAsia="宋体" w:cs="宋体"/>
          <w:color w:val="000000" w:themeColor="text1"/>
          <w:szCs w:val="22"/>
          <w:highlight w:val="none"/>
          <w:lang w:eastAsia="zh-CN"/>
        </w:rPr>
        <w:t>竞标人</w:t>
      </w:r>
      <w:r>
        <w:rPr>
          <w:rFonts w:hint="eastAsia" w:ascii="宋体" w:hAnsi="宋体" w:eastAsia="宋体" w:cs="宋体"/>
          <w:color w:val="000000" w:themeColor="text1"/>
          <w:szCs w:val="22"/>
          <w:highlight w:val="none"/>
        </w:rPr>
        <w:t>在“信用中国”网站、中国政府采购网等渠道列入失信被执行人、重大税收违法案件当事人名单、政府采购严重违法失信行为记录名单查询记录等；</w:t>
      </w:r>
    </w:p>
    <w:p w14:paraId="26AD8285">
      <w:pPr>
        <w:keepNext w:val="0"/>
        <w:keepLines w:val="0"/>
        <w:pageBreakBefore w:val="0"/>
        <w:widowControl w:val="0"/>
        <w:tabs>
          <w:tab w:val="left" w:pos="826"/>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rPr>
      </w:pPr>
      <w:r>
        <w:rPr>
          <w:rFonts w:hint="eastAsia" w:ascii="宋体" w:hAnsi="宋体" w:eastAsia="宋体" w:cs="宋体"/>
          <w:color w:val="000000" w:themeColor="text1"/>
          <w:szCs w:val="22"/>
          <w:highlight w:val="none"/>
          <w:lang w:eastAsia="zh-CN"/>
        </w:rPr>
        <w:t>（</w:t>
      </w:r>
      <w:r>
        <w:rPr>
          <w:rFonts w:hint="eastAsia" w:hAnsi="宋体" w:eastAsia="宋体" w:cs="宋体"/>
          <w:color w:val="000000" w:themeColor="text1"/>
          <w:szCs w:val="22"/>
          <w:highlight w:val="none"/>
          <w:lang w:val="en-US" w:eastAsia="zh-CN"/>
        </w:rPr>
        <w:t>12</w:t>
      </w:r>
      <w:r>
        <w:rPr>
          <w:rFonts w:hint="eastAsia" w:ascii="宋体" w:hAnsi="宋体" w:eastAsia="宋体" w:cs="宋体"/>
          <w:color w:val="000000" w:themeColor="text1"/>
          <w:szCs w:val="22"/>
          <w:highlight w:val="none"/>
          <w:lang w:eastAsia="zh-CN"/>
        </w:rPr>
        <w:t>）竞标人认为必要提供的其他资格文件。</w:t>
      </w:r>
    </w:p>
    <w:p w14:paraId="71B98B3C">
      <w:pPr>
        <w:spacing w:line="480" w:lineRule="auto"/>
        <w:jc w:val="center"/>
        <w:rPr>
          <w:rFonts w:hint="eastAsia" w:ascii="宋体" w:hAnsi="宋体" w:cs="宋体"/>
          <w:b/>
          <w:color w:val="000000" w:themeColor="text1"/>
          <w:sz w:val="28"/>
          <w:szCs w:val="28"/>
        </w:rPr>
      </w:pPr>
      <w:r>
        <w:rPr>
          <w:rFonts w:hint="eastAsia" w:ascii="宋体" w:hAnsi="宋体" w:eastAsia="宋体" w:cs="宋体"/>
          <w:color w:val="000000" w:themeColor="text1"/>
          <w:szCs w:val="21"/>
        </w:rPr>
        <w:t>【</w:t>
      </w:r>
      <w:r>
        <w:rPr>
          <w:rFonts w:hint="eastAsia" w:ascii="宋体" w:hAnsi="宋体" w:eastAsia="宋体" w:cs="宋体"/>
          <w:color w:val="000000" w:themeColor="text1"/>
        </w:rPr>
        <w:t>备注：以上复印件</w:t>
      </w:r>
      <w:bookmarkStart w:id="1751" w:name="OLE_LINK11"/>
      <w:r>
        <w:rPr>
          <w:rFonts w:hint="eastAsia" w:ascii="宋体" w:hAnsi="宋体" w:eastAsia="宋体" w:cs="宋体"/>
          <w:color w:val="000000" w:themeColor="text1"/>
        </w:rPr>
        <w:t>打印</w:t>
      </w:r>
      <w:bookmarkEnd w:id="1751"/>
      <w:r>
        <w:rPr>
          <w:rFonts w:hint="eastAsia" w:ascii="宋体" w:hAnsi="宋体" w:eastAsia="宋体" w:cs="宋体"/>
          <w:color w:val="000000" w:themeColor="text1"/>
        </w:rPr>
        <w:t>文件均须加盖竞标人单位公章】</w:t>
      </w:r>
      <w:r>
        <w:rPr>
          <w:rFonts w:hint="eastAsia" w:ascii="宋体" w:hAnsi="宋体" w:eastAsia="宋体" w:cs="宋体"/>
          <w:color w:val="000000" w:themeColor="text1"/>
          <w:szCs w:val="21"/>
        </w:rPr>
        <w:br w:type="page"/>
      </w:r>
      <w:bookmarkStart w:id="1752" w:name="_Toc349215544"/>
      <w:bookmarkStart w:id="1753" w:name="_Toc349555831"/>
      <w:bookmarkStart w:id="1754" w:name="_Toc251051976"/>
      <w:bookmarkStart w:id="1755" w:name="_Toc173558684"/>
      <w:bookmarkStart w:id="1756" w:name="_Toc163270989"/>
      <w:bookmarkStart w:id="1757" w:name="_Toc158458008"/>
      <w:r>
        <w:rPr>
          <w:rFonts w:hint="eastAsia" w:ascii="宋体" w:hAnsi="宋体" w:cs="宋体"/>
          <w:b/>
          <w:color w:val="000000" w:themeColor="text1"/>
          <w:sz w:val="28"/>
          <w:szCs w:val="28"/>
        </w:rPr>
        <w:t>1、竞标文件签署授权委托书</w:t>
      </w:r>
      <w:bookmarkEnd w:id="1752"/>
      <w:bookmarkEnd w:id="1753"/>
      <w:bookmarkEnd w:id="1754"/>
    </w:p>
    <w:p w14:paraId="65520E45">
      <w:pPr>
        <w:spacing w:after="156" w:line="360" w:lineRule="auto"/>
        <w:rPr>
          <w:rFonts w:hint="eastAsia" w:ascii="宋体" w:hAnsi="宋体" w:cs="宋体"/>
          <w:b/>
          <w:color w:val="000000" w:themeColor="text1"/>
        </w:rPr>
      </w:pPr>
    </w:p>
    <w:p w14:paraId="6BC54DCA">
      <w:pPr>
        <w:spacing w:line="460" w:lineRule="exact"/>
        <w:ind w:firstLine="612"/>
        <w:rPr>
          <w:rFonts w:hint="eastAsia" w:ascii="宋体" w:hAnsi="宋体" w:cs="宋体"/>
          <w:color w:val="000000" w:themeColor="text1"/>
        </w:rPr>
      </w:pPr>
      <w:bookmarkStart w:id="1758" w:name="_Toc251051977"/>
      <w:r>
        <w:rPr>
          <w:rFonts w:hint="eastAsia" w:ascii="宋体" w:hAnsi="宋体" w:cs="宋体"/>
          <w:color w:val="000000" w:themeColor="text1"/>
        </w:rPr>
        <w:t>本授权委托书声明：我</w:t>
      </w:r>
      <w:r>
        <w:rPr>
          <w:rFonts w:hint="eastAsia" w:ascii="宋体" w:hAnsi="宋体" w:cs="宋体"/>
          <w:color w:val="000000" w:themeColor="text1"/>
          <w:szCs w:val="21"/>
          <w:u w:val="single"/>
        </w:rPr>
        <w:t> </w:t>
      </w:r>
      <w:r>
        <w:rPr>
          <w:rFonts w:hint="eastAsia" w:ascii="宋体" w:hAnsi="宋体" w:cs="宋体"/>
          <w:color w:val="000000" w:themeColor="text1"/>
        </w:rPr>
        <w:t>（姓名）系</w:t>
      </w:r>
      <w:r>
        <w:rPr>
          <w:rFonts w:hint="eastAsia" w:ascii="宋体" w:hAnsi="宋体" w:cs="宋体"/>
          <w:color w:val="000000" w:themeColor="text1"/>
          <w:u w:val="single"/>
        </w:rPr>
        <w:t xml:space="preserve">                     </w:t>
      </w:r>
      <w:r>
        <w:rPr>
          <w:rFonts w:hint="eastAsia" w:ascii="宋体" w:hAnsi="宋体" w:cs="宋体"/>
          <w:color w:val="000000" w:themeColor="text1"/>
        </w:rPr>
        <w:t>（竞标人名称）的法定代表人，现授权委托</w:t>
      </w:r>
      <w:r>
        <w:rPr>
          <w:rFonts w:hint="eastAsia" w:ascii="宋体" w:hAnsi="宋体" w:cs="宋体"/>
          <w:color w:val="000000" w:themeColor="text1"/>
          <w:u w:val="single"/>
        </w:rPr>
        <w:t xml:space="preserve">                      </w:t>
      </w:r>
      <w:r>
        <w:rPr>
          <w:rFonts w:hint="eastAsia" w:ascii="宋体" w:hAnsi="宋体" w:cs="宋体"/>
          <w:color w:val="000000" w:themeColor="text1"/>
        </w:rPr>
        <w:t>（单位名称）的</w:t>
      </w:r>
      <w:r>
        <w:rPr>
          <w:rFonts w:hint="eastAsia" w:ascii="宋体" w:hAnsi="宋体" w:cs="宋体"/>
          <w:color w:val="000000" w:themeColor="text1"/>
          <w:u w:val="single"/>
        </w:rPr>
        <w:t xml:space="preserve">          </w:t>
      </w:r>
      <w:r>
        <w:rPr>
          <w:rFonts w:hint="eastAsia" w:ascii="宋体" w:hAnsi="宋体" w:cs="宋体"/>
          <w:color w:val="000000" w:themeColor="text1"/>
        </w:rPr>
        <w:t>（姓名）为我公司签署</w:t>
      </w:r>
      <w:r>
        <w:rPr>
          <w:rFonts w:hint="eastAsia" w:ascii="宋体" w:hAnsi="宋体" w:cs="宋体"/>
          <w:color w:val="000000" w:themeColor="text1"/>
          <w:u w:val="single"/>
        </w:rPr>
        <w:t xml:space="preserve">              </w:t>
      </w:r>
      <w:r>
        <w:rPr>
          <w:rFonts w:hint="eastAsia" w:ascii="宋体" w:hAnsi="宋体" w:cs="宋体"/>
          <w:color w:val="000000" w:themeColor="text1"/>
        </w:rPr>
        <w:t>（项目名称及项目采购编号）的竞标文件的法定代表人授权委托代理人，我承认代理人全权代表我所签署的本工程的竞标文件的内容。</w:t>
      </w:r>
      <w:bookmarkEnd w:id="1758"/>
    </w:p>
    <w:p w14:paraId="6EAAB38D">
      <w:pPr>
        <w:spacing w:line="480" w:lineRule="auto"/>
        <w:ind w:firstLine="610"/>
        <w:rPr>
          <w:rFonts w:hint="eastAsia" w:ascii="宋体" w:hAnsi="宋体" w:cs="宋体"/>
          <w:color w:val="000000" w:themeColor="text1"/>
        </w:rPr>
      </w:pPr>
    </w:p>
    <w:p w14:paraId="1FA9040B">
      <w:pPr>
        <w:spacing w:line="480" w:lineRule="auto"/>
        <w:ind w:firstLine="697"/>
        <w:rPr>
          <w:rFonts w:hint="eastAsia" w:ascii="宋体" w:hAnsi="宋体" w:cs="宋体"/>
          <w:color w:val="000000" w:themeColor="text1"/>
        </w:rPr>
      </w:pPr>
      <w:bookmarkStart w:id="1759" w:name="_Toc251051978"/>
      <w:r>
        <w:rPr>
          <w:rFonts w:hint="eastAsia" w:ascii="宋体" w:hAnsi="宋体" w:cs="宋体"/>
          <w:color w:val="000000" w:themeColor="text1"/>
        </w:rPr>
        <w:t>代理人无转委托权，特此委托。</w:t>
      </w:r>
      <w:bookmarkEnd w:id="1759"/>
    </w:p>
    <w:p w14:paraId="461C2E73">
      <w:pPr>
        <w:spacing w:line="360" w:lineRule="auto"/>
        <w:ind w:left="1260"/>
        <w:rPr>
          <w:rFonts w:hint="eastAsia" w:ascii="宋体" w:hAnsi="宋体" w:cs="宋体"/>
          <w:color w:val="000000" w:themeColor="text1"/>
        </w:rPr>
      </w:pPr>
    </w:p>
    <w:p w14:paraId="3E0984A9">
      <w:pPr>
        <w:spacing w:line="360" w:lineRule="auto"/>
        <w:ind w:left="1260"/>
        <w:rPr>
          <w:rFonts w:hint="eastAsia" w:ascii="宋体" w:hAnsi="宋体" w:cs="宋体"/>
          <w:color w:val="000000" w:themeColor="text1"/>
        </w:rPr>
      </w:pPr>
    </w:p>
    <w:p w14:paraId="7DCD3D51">
      <w:pPr>
        <w:spacing w:line="360" w:lineRule="auto"/>
        <w:ind w:left="1260"/>
        <w:rPr>
          <w:rFonts w:hint="eastAsia" w:ascii="宋体" w:hAnsi="宋体" w:cs="宋体"/>
          <w:color w:val="000000" w:themeColor="text1"/>
        </w:rPr>
      </w:pPr>
    </w:p>
    <w:p w14:paraId="05FE7A9E">
      <w:pPr>
        <w:spacing w:line="360" w:lineRule="auto"/>
        <w:ind w:left="1260"/>
        <w:rPr>
          <w:rFonts w:hint="eastAsia" w:ascii="宋体" w:hAnsi="宋体" w:cs="宋体"/>
          <w:color w:val="000000" w:themeColor="text1"/>
        </w:rPr>
      </w:pPr>
    </w:p>
    <w:p w14:paraId="7E3315E3">
      <w:pPr>
        <w:spacing w:line="480" w:lineRule="auto"/>
        <w:ind w:left="1260"/>
        <w:rPr>
          <w:rFonts w:hint="eastAsia" w:ascii="宋体" w:hAnsi="宋体" w:cs="宋体"/>
          <w:color w:val="000000" w:themeColor="text1"/>
        </w:rPr>
      </w:pPr>
    </w:p>
    <w:p w14:paraId="7B9C7245">
      <w:pPr>
        <w:spacing w:line="480" w:lineRule="auto"/>
        <w:ind w:left="2699"/>
        <w:rPr>
          <w:rFonts w:hint="eastAsia" w:ascii="宋体" w:hAnsi="宋体" w:cs="宋体"/>
          <w:color w:val="000000" w:themeColor="text1"/>
          <w:u w:val="single"/>
        </w:rPr>
      </w:pPr>
      <w:bookmarkStart w:id="1760" w:name="_Toc251051979"/>
      <w:r>
        <w:rPr>
          <w:rFonts w:hint="eastAsia" w:ascii="宋体" w:hAnsi="宋体" w:cs="宋体"/>
          <w:color w:val="000000" w:themeColor="text1"/>
        </w:rPr>
        <w:t>代理人：</w:t>
      </w:r>
      <w:r>
        <w:rPr>
          <w:rFonts w:hint="eastAsia" w:ascii="宋体" w:hAnsi="宋体" w:cs="宋体"/>
          <w:color w:val="000000" w:themeColor="text1"/>
          <w:u w:val="single"/>
        </w:rPr>
        <w:t xml:space="preserve">              </w:t>
      </w:r>
      <w:r>
        <w:rPr>
          <w:rFonts w:hint="eastAsia" w:ascii="宋体" w:hAnsi="宋体" w:cs="宋体"/>
          <w:color w:val="000000" w:themeColor="text1"/>
        </w:rPr>
        <w:t>性别 ：</w:t>
      </w:r>
      <w:r>
        <w:rPr>
          <w:rFonts w:hint="eastAsia" w:ascii="宋体" w:hAnsi="宋体" w:cs="宋体"/>
          <w:color w:val="000000" w:themeColor="text1"/>
          <w:u w:val="single"/>
        </w:rPr>
        <w:t xml:space="preserve">            </w:t>
      </w:r>
      <w:r>
        <w:rPr>
          <w:rFonts w:hint="eastAsia" w:ascii="宋体" w:hAnsi="宋体" w:cs="宋体"/>
          <w:color w:val="000000" w:themeColor="text1"/>
        </w:rPr>
        <w:t>年龄：_______</w:t>
      </w:r>
      <w:bookmarkEnd w:id="1760"/>
    </w:p>
    <w:p w14:paraId="4933331E">
      <w:pPr>
        <w:spacing w:line="480" w:lineRule="auto"/>
        <w:ind w:left="2699"/>
        <w:rPr>
          <w:rFonts w:hint="eastAsia" w:ascii="宋体" w:hAnsi="宋体" w:cs="宋体"/>
          <w:color w:val="000000" w:themeColor="text1"/>
        </w:rPr>
      </w:pPr>
      <w:bookmarkStart w:id="1761" w:name="_Toc251051980"/>
      <w:r>
        <w:rPr>
          <w:rFonts w:hint="eastAsia" w:ascii="宋体" w:hAnsi="宋体" w:cs="宋体"/>
          <w:color w:val="000000" w:themeColor="text1"/>
        </w:rPr>
        <w:t>身份证号码：</w:t>
      </w:r>
      <w:r>
        <w:rPr>
          <w:rFonts w:hint="eastAsia" w:ascii="宋体" w:hAnsi="宋体" w:cs="宋体"/>
          <w:color w:val="000000" w:themeColor="text1"/>
          <w:u w:val="single"/>
        </w:rPr>
        <w:t xml:space="preserve">                    </w:t>
      </w:r>
      <w:r>
        <w:rPr>
          <w:rFonts w:hint="eastAsia" w:ascii="宋体" w:hAnsi="宋体" w:cs="宋体"/>
          <w:color w:val="000000" w:themeColor="text1"/>
        </w:rPr>
        <w:t>职务：</w:t>
      </w:r>
      <w:bookmarkEnd w:id="1761"/>
      <w:r>
        <w:rPr>
          <w:rFonts w:hint="eastAsia" w:ascii="宋体" w:hAnsi="宋体" w:cs="宋体"/>
          <w:color w:val="000000" w:themeColor="text1"/>
          <w:u w:val="single"/>
        </w:rPr>
        <w:t xml:space="preserve">                </w:t>
      </w:r>
      <w:r>
        <w:rPr>
          <w:rFonts w:hint="eastAsia" w:ascii="宋体" w:hAnsi="宋体" w:cs="宋体"/>
          <w:color w:val="000000" w:themeColor="text1"/>
        </w:rPr>
        <w:t xml:space="preserve"> </w:t>
      </w:r>
    </w:p>
    <w:p w14:paraId="0306EA3D">
      <w:pPr>
        <w:spacing w:line="480" w:lineRule="auto"/>
        <w:ind w:left="2699"/>
        <w:rPr>
          <w:rFonts w:hint="eastAsia" w:ascii="宋体" w:hAnsi="宋体" w:cs="宋体"/>
          <w:color w:val="000000" w:themeColor="text1"/>
        </w:rPr>
      </w:pPr>
      <w:bookmarkStart w:id="1762" w:name="_Toc251051981"/>
      <w:r>
        <w:rPr>
          <w:rFonts w:hint="eastAsia" w:ascii="宋体" w:hAnsi="宋体" w:cs="宋体"/>
          <w:color w:val="000000" w:themeColor="text1"/>
        </w:rPr>
        <w:t>竞标人：</w:t>
      </w:r>
      <w:r>
        <w:rPr>
          <w:rFonts w:hint="eastAsia" w:ascii="宋体" w:hAnsi="宋体" w:cs="宋体"/>
          <w:color w:val="000000" w:themeColor="text1"/>
          <w:u w:val="single"/>
        </w:rPr>
        <w:t xml:space="preserve">                                  （盖单位章）</w:t>
      </w:r>
      <w:bookmarkEnd w:id="1762"/>
    </w:p>
    <w:p w14:paraId="15B17F4D">
      <w:pPr>
        <w:spacing w:line="480" w:lineRule="auto"/>
        <w:ind w:left="2699"/>
        <w:rPr>
          <w:rFonts w:hint="eastAsia" w:ascii="宋体" w:hAnsi="宋体" w:cs="宋体"/>
          <w:color w:val="000000" w:themeColor="text1"/>
        </w:rPr>
      </w:pPr>
      <w:bookmarkStart w:id="1763" w:name="_Toc251051982"/>
      <w:r>
        <w:rPr>
          <w:rFonts w:hint="eastAsia" w:ascii="宋体" w:hAnsi="宋体" w:cs="宋体"/>
          <w:color w:val="000000" w:themeColor="text1"/>
        </w:rPr>
        <w:t>法定代表人：</w:t>
      </w:r>
      <w:r>
        <w:rPr>
          <w:rFonts w:hint="eastAsia" w:ascii="宋体" w:hAnsi="宋体" w:cs="宋体"/>
          <w:color w:val="000000" w:themeColor="text1"/>
          <w:u w:val="single"/>
        </w:rPr>
        <w:t xml:space="preserve">                            （签字或盖章）</w:t>
      </w:r>
      <w:bookmarkEnd w:id="1763"/>
    </w:p>
    <w:p w14:paraId="293AD813">
      <w:pPr>
        <w:spacing w:line="480" w:lineRule="auto"/>
        <w:ind w:left="2699"/>
        <w:rPr>
          <w:rFonts w:hint="eastAsia" w:ascii="宋体" w:hAnsi="宋体" w:cs="宋体"/>
          <w:color w:val="000000" w:themeColor="text1"/>
        </w:rPr>
      </w:pPr>
      <w:bookmarkStart w:id="1764" w:name="_Toc251051983"/>
      <w:r>
        <w:rPr>
          <w:rFonts w:hint="eastAsia" w:ascii="宋体" w:hAnsi="宋体" w:cs="宋体"/>
          <w:color w:val="000000" w:themeColor="text1"/>
        </w:rPr>
        <w:t>授权委托日期：</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日 </w:t>
      </w:r>
      <w:bookmarkEnd w:id="1764"/>
    </w:p>
    <w:p w14:paraId="3052D939">
      <w:pPr>
        <w:spacing w:line="360" w:lineRule="auto"/>
        <w:rPr>
          <w:rFonts w:hint="eastAsia" w:ascii="宋体" w:hAnsi="宋体" w:cs="宋体"/>
          <w:color w:val="000000" w:themeColor="text1"/>
        </w:rPr>
      </w:pPr>
    </w:p>
    <w:p w14:paraId="02FA94FA">
      <w:pPr>
        <w:spacing w:line="360" w:lineRule="auto"/>
        <w:rPr>
          <w:rFonts w:hint="eastAsia" w:ascii="宋体" w:hAnsi="宋体" w:cs="宋体"/>
          <w:color w:val="000000" w:themeColor="text1"/>
        </w:rPr>
      </w:pPr>
      <w:r>
        <w:rPr>
          <w:rFonts w:hint="eastAsia" w:ascii="宋体" w:hAnsi="宋体" w:cs="宋体"/>
          <w:color w:val="000000" w:themeColor="text1"/>
        </w:rPr>
        <w:t>【备注：附法定代表人身份证明及其身份证、委托代理人身份证等材料的复印件。以上复印件均须加盖竞标人单位公章】</w:t>
      </w:r>
    </w:p>
    <w:p w14:paraId="14797F9B">
      <w:pPr>
        <w:spacing w:beforeLines="50" w:afterLines="100" w:line="440" w:lineRule="exact"/>
        <w:rPr>
          <w:rFonts w:hint="eastAsia" w:ascii="宋体" w:hAnsi="宋体" w:cs="宋体"/>
          <w:color w:val="000000" w:themeColor="text1"/>
        </w:rPr>
      </w:pPr>
    </w:p>
    <w:p w14:paraId="4A346940">
      <w:pPr>
        <w:spacing w:beforeLines="50" w:afterLines="100" w:line="440" w:lineRule="exact"/>
        <w:rPr>
          <w:rFonts w:hint="eastAsia" w:ascii="宋体" w:hAnsi="宋体" w:cs="宋体"/>
          <w:color w:val="000000" w:themeColor="text1"/>
        </w:rPr>
      </w:pPr>
    </w:p>
    <w:p w14:paraId="1B332FF4">
      <w:pPr>
        <w:spacing w:beforeLines="50" w:afterLines="100" w:line="440" w:lineRule="exact"/>
        <w:rPr>
          <w:rFonts w:hint="eastAsia" w:ascii="宋体" w:hAnsi="宋体" w:cs="宋体"/>
          <w:color w:val="000000" w:themeColor="text1"/>
        </w:rPr>
      </w:pPr>
    </w:p>
    <w:p w14:paraId="2ED15111">
      <w:pPr>
        <w:spacing w:beforeLines="50" w:afterLines="100" w:line="440" w:lineRule="exact"/>
        <w:rPr>
          <w:rFonts w:hint="eastAsia" w:ascii="宋体" w:hAnsi="宋体" w:cs="宋体"/>
          <w:color w:val="000000" w:themeColor="text1"/>
        </w:rPr>
      </w:pPr>
    </w:p>
    <w:p w14:paraId="78686098">
      <w:pPr>
        <w:spacing w:line="480" w:lineRule="auto"/>
        <w:ind w:firstLine="525" w:firstLineChars="250"/>
        <w:jc w:val="center"/>
        <w:rPr>
          <w:rFonts w:hint="eastAsia" w:ascii="宋体" w:hAnsi="宋体" w:cs="宋体"/>
          <w:color w:val="000000" w:themeColor="text1"/>
          <w:sz w:val="28"/>
          <w:szCs w:val="28"/>
        </w:rPr>
      </w:pPr>
      <w:r>
        <w:rPr>
          <w:rFonts w:hint="eastAsia" w:ascii="宋体" w:hAnsi="宋体" w:cs="宋体"/>
          <w:color w:val="000000" w:themeColor="text1"/>
        </w:rPr>
        <w:br w:type="page"/>
      </w:r>
      <w:bookmarkEnd w:id="1755"/>
      <w:bookmarkEnd w:id="1756"/>
      <w:bookmarkEnd w:id="1757"/>
      <w:r>
        <w:rPr>
          <w:rFonts w:hint="eastAsia" w:ascii="宋体" w:hAnsi="宋体" w:cs="宋体"/>
          <w:b/>
          <w:color w:val="000000" w:themeColor="text1"/>
          <w:sz w:val="28"/>
          <w:szCs w:val="28"/>
        </w:rPr>
        <w:t>法定代表人身份证明</w:t>
      </w:r>
    </w:p>
    <w:p w14:paraId="60140A99">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投 标 人：</w:t>
      </w:r>
      <w:r>
        <w:rPr>
          <w:rFonts w:hint="eastAsia" w:ascii="宋体" w:hAnsi="宋体" w:cs="宋体"/>
          <w:color w:val="000000" w:themeColor="text1"/>
          <w:szCs w:val="21"/>
          <w:u w:val="single"/>
        </w:rPr>
        <w:t xml:space="preserve">                                                        </w:t>
      </w:r>
    </w:p>
    <w:p w14:paraId="7E261D84">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单位性质：</w:t>
      </w:r>
      <w:r>
        <w:rPr>
          <w:rFonts w:hint="eastAsia" w:ascii="宋体" w:hAnsi="宋体" w:cs="宋体"/>
          <w:color w:val="000000" w:themeColor="text1"/>
          <w:szCs w:val="21"/>
          <w:u w:val="single"/>
        </w:rPr>
        <w:t xml:space="preserve">                                                        </w:t>
      </w:r>
    </w:p>
    <w:p w14:paraId="17DCD0D7">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地    址：</w:t>
      </w:r>
      <w:r>
        <w:rPr>
          <w:rFonts w:hint="eastAsia" w:ascii="宋体" w:hAnsi="宋体" w:cs="宋体"/>
          <w:color w:val="000000" w:themeColor="text1"/>
          <w:szCs w:val="21"/>
          <w:u w:val="single"/>
        </w:rPr>
        <w:t xml:space="preserve">                                                        </w:t>
      </w:r>
    </w:p>
    <w:p w14:paraId="3E82968A">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成立时间：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p>
    <w:p w14:paraId="6B1C1D83">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经营期限：</w:t>
      </w:r>
      <w:r>
        <w:rPr>
          <w:rFonts w:hint="eastAsia" w:ascii="宋体" w:hAnsi="宋体" w:cs="宋体"/>
          <w:color w:val="000000" w:themeColor="text1"/>
          <w:szCs w:val="21"/>
          <w:u w:val="single"/>
        </w:rPr>
        <w:t xml:space="preserve">                                                        </w:t>
      </w:r>
    </w:p>
    <w:p w14:paraId="79395F34">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姓    名：</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性     别：</w:t>
      </w:r>
      <w:r>
        <w:rPr>
          <w:rFonts w:hint="eastAsia" w:ascii="宋体" w:hAnsi="宋体" w:cs="宋体"/>
          <w:color w:val="000000" w:themeColor="text1"/>
          <w:szCs w:val="21"/>
          <w:u w:val="single"/>
        </w:rPr>
        <w:t xml:space="preserve">                   </w:t>
      </w:r>
    </w:p>
    <w:p w14:paraId="4CED6BBD">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年    龄：</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职     务：</w:t>
      </w:r>
      <w:r>
        <w:rPr>
          <w:rFonts w:hint="eastAsia" w:ascii="宋体" w:hAnsi="宋体" w:cs="宋体"/>
          <w:color w:val="000000" w:themeColor="text1"/>
          <w:szCs w:val="21"/>
          <w:u w:val="single"/>
        </w:rPr>
        <w:t xml:space="preserve">                   </w:t>
      </w:r>
    </w:p>
    <w:p w14:paraId="5C2B1FD3">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系</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（竞标人名称）的法定代表人。</w:t>
      </w:r>
    </w:p>
    <w:p w14:paraId="513F8E51">
      <w:pPr>
        <w:spacing w:line="560" w:lineRule="exact"/>
        <w:ind w:firstLine="525" w:firstLineChars="250"/>
        <w:rPr>
          <w:rFonts w:hint="eastAsia" w:ascii="宋体" w:hAnsi="宋体" w:cs="宋体"/>
          <w:color w:val="000000" w:themeColor="text1"/>
          <w:szCs w:val="21"/>
        </w:rPr>
      </w:pPr>
      <w:r>
        <w:rPr>
          <w:rFonts w:hint="eastAsia" w:ascii="宋体" w:hAnsi="宋体" w:cs="宋体"/>
          <w:color w:val="000000" w:themeColor="text1"/>
          <w:szCs w:val="21"/>
        </w:rPr>
        <w:t>特此证明。</w:t>
      </w:r>
    </w:p>
    <w:p w14:paraId="5CF48951">
      <w:pPr>
        <w:spacing w:line="500" w:lineRule="exact"/>
        <w:rPr>
          <w:rFonts w:hint="eastAsia" w:ascii="宋体" w:hAnsi="宋体" w:cs="宋体"/>
          <w:color w:val="000000" w:themeColor="text1"/>
          <w:szCs w:val="21"/>
        </w:rPr>
      </w:pPr>
    </w:p>
    <w:p w14:paraId="03E9EC28">
      <w:pPr>
        <w:spacing w:line="500" w:lineRule="exact"/>
        <w:rPr>
          <w:rFonts w:hint="eastAsia" w:ascii="宋体" w:hAnsi="宋体" w:cs="宋体"/>
          <w:color w:val="000000" w:themeColor="text1"/>
          <w:szCs w:val="21"/>
        </w:rPr>
      </w:pPr>
    </w:p>
    <w:p w14:paraId="6283A313">
      <w:pPr>
        <w:wordWrap w:val="0"/>
        <w:spacing w:line="500" w:lineRule="exact"/>
        <w:jc w:val="right"/>
        <w:rPr>
          <w:rFonts w:hint="eastAsia" w:ascii="宋体" w:hAnsi="宋体" w:cs="宋体"/>
          <w:color w:val="000000" w:themeColor="text1"/>
          <w:szCs w:val="21"/>
        </w:rPr>
      </w:pPr>
      <w:r>
        <w:rPr>
          <w:rFonts w:hint="eastAsia" w:ascii="宋体" w:hAnsi="宋体" w:cs="宋体"/>
          <w:color w:val="000000" w:themeColor="text1"/>
          <w:szCs w:val="21"/>
        </w:rPr>
        <w:t>竞标人：</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（盖单位章）</w:t>
      </w:r>
    </w:p>
    <w:p w14:paraId="714529F6">
      <w:pPr>
        <w:wordWrap w:val="0"/>
        <w:spacing w:line="500" w:lineRule="exact"/>
        <w:jc w:val="right"/>
        <w:rPr>
          <w:rFonts w:hint="eastAsia" w:ascii="宋体" w:hAnsi="宋体" w:cs="宋体"/>
          <w:color w:val="000000" w:themeColor="text1"/>
          <w:szCs w:val="21"/>
        </w:rPr>
      </w:pP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p>
    <w:p w14:paraId="2E2DFA7F">
      <w:pPr>
        <w:spacing w:line="480" w:lineRule="auto"/>
        <w:ind w:firstLine="525" w:firstLineChars="250"/>
        <w:jc w:val="center"/>
        <w:rPr>
          <w:rFonts w:hint="eastAsia" w:ascii="宋体" w:hAnsi="宋体" w:cs="宋体"/>
          <w:color w:val="000000" w:themeColor="text1"/>
          <w:szCs w:val="21"/>
        </w:rPr>
      </w:pPr>
    </w:p>
    <w:p w14:paraId="67D174F0">
      <w:pPr>
        <w:spacing w:line="480" w:lineRule="auto"/>
        <w:ind w:firstLine="525" w:firstLineChars="250"/>
        <w:jc w:val="center"/>
        <w:rPr>
          <w:rFonts w:hint="eastAsia" w:ascii="宋体" w:hAnsi="宋体" w:cs="宋体"/>
          <w:color w:val="000000" w:themeColor="text1"/>
          <w:szCs w:val="21"/>
        </w:rPr>
      </w:pPr>
    </w:p>
    <w:p w14:paraId="0849CBE7">
      <w:pPr>
        <w:spacing w:line="480" w:lineRule="auto"/>
        <w:ind w:firstLine="525" w:firstLineChars="250"/>
        <w:jc w:val="center"/>
        <w:rPr>
          <w:rFonts w:hint="eastAsia" w:ascii="宋体" w:hAnsi="宋体" w:cs="宋体"/>
          <w:color w:val="000000" w:themeColor="text1"/>
          <w:sz w:val="24"/>
        </w:rPr>
      </w:pPr>
      <w:r>
        <w:rPr>
          <w:rFonts w:hint="eastAsia" w:ascii="宋体" w:hAnsi="宋体" w:cs="宋体"/>
          <w:color w:val="000000" w:themeColor="text1"/>
          <w:szCs w:val="21"/>
        </w:rPr>
        <w:br w:type="page"/>
      </w:r>
      <w:r>
        <w:rPr>
          <w:rFonts w:hint="eastAsia" w:ascii="宋体" w:hAnsi="宋体" w:cs="宋体"/>
          <w:b/>
          <w:color w:val="000000" w:themeColor="text1"/>
          <w:sz w:val="28"/>
          <w:szCs w:val="28"/>
        </w:rPr>
        <w:t>2、竞标人基本情况表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5ADD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1F77E4E">
            <w:pPr>
              <w:jc w:val="center"/>
              <w:rPr>
                <w:rFonts w:hint="eastAsia" w:ascii="宋体" w:hAnsi="宋体" w:cs="宋体"/>
                <w:color w:val="000000" w:themeColor="text1"/>
                <w:szCs w:val="21"/>
              </w:rPr>
            </w:pPr>
            <w:r>
              <w:rPr>
                <w:rFonts w:hint="eastAsia" w:ascii="宋体" w:hAnsi="宋体" w:cs="宋体"/>
                <w:color w:val="000000" w:themeColor="text1"/>
                <w:szCs w:val="21"/>
              </w:rPr>
              <w:t>竞标人名称</w:t>
            </w:r>
          </w:p>
        </w:tc>
        <w:tc>
          <w:tcPr>
            <w:tcW w:w="7341" w:type="dxa"/>
            <w:gridSpan w:val="8"/>
            <w:vAlign w:val="center"/>
          </w:tcPr>
          <w:p w14:paraId="7A3037AE">
            <w:pPr>
              <w:jc w:val="center"/>
              <w:rPr>
                <w:rFonts w:hint="eastAsia" w:ascii="宋体" w:hAnsi="宋体" w:cs="宋体"/>
                <w:color w:val="000000" w:themeColor="text1"/>
                <w:szCs w:val="21"/>
              </w:rPr>
            </w:pPr>
          </w:p>
        </w:tc>
      </w:tr>
      <w:tr w14:paraId="5721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D013664">
            <w:pPr>
              <w:jc w:val="center"/>
              <w:rPr>
                <w:rFonts w:hint="eastAsia" w:ascii="宋体" w:hAnsi="宋体" w:cs="宋体"/>
                <w:color w:val="000000" w:themeColor="text1"/>
                <w:szCs w:val="21"/>
              </w:rPr>
            </w:pPr>
            <w:r>
              <w:rPr>
                <w:rFonts w:hint="eastAsia" w:ascii="宋体" w:hAnsi="宋体" w:cs="宋体"/>
                <w:color w:val="000000" w:themeColor="text1"/>
                <w:szCs w:val="21"/>
              </w:rPr>
              <w:t>注册地址</w:t>
            </w:r>
          </w:p>
        </w:tc>
        <w:tc>
          <w:tcPr>
            <w:tcW w:w="3389" w:type="dxa"/>
            <w:gridSpan w:val="4"/>
            <w:vAlign w:val="center"/>
          </w:tcPr>
          <w:p w14:paraId="6EF9A2ED">
            <w:pPr>
              <w:jc w:val="center"/>
              <w:rPr>
                <w:rFonts w:hint="eastAsia" w:ascii="宋体" w:hAnsi="宋体" w:cs="宋体"/>
                <w:color w:val="000000" w:themeColor="text1"/>
                <w:szCs w:val="21"/>
              </w:rPr>
            </w:pPr>
          </w:p>
        </w:tc>
        <w:tc>
          <w:tcPr>
            <w:tcW w:w="1246" w:type="dxa"/>
            <w:vAlign w:val="center"/>
          </w:tcPr>
          <w:p w14:paraId="2D44EE27">
            <w:pPr>
              <w:jc w:val="center"/>
              <w:rPr>
                <w:rFonts w:hint="eastAsia" w:ascii="宋体" w:hAnsi="宋体" w:cs="宋体"/>
                <w:color w:val="000000" w:themeColor="text1"/>
                <w:szCs w:val="21"/>
              </w:rPr>
            </w:pPr>
            <w:r>
              <w:rPr>
                <w:rFonts w:hint="eastAsia" w:ascii="宋体" w:hAnsi="宋体" w:cs="宋体"/>
                <w:color w:val="000000" w:themeColor="text1"/>
                <w:szCs w:val="21"/>
              </w:rPr>
              <w:t>邮政编码</w:t>
            </w:r>
          </w:p>
        </w:tc>
        <w:tc>
          <w:tcPr>
            <w:tcW w:w="2706" w:type="dxa"/>
            <w:gridSpan w:val="3"/>
            <w:vAlign w:val="center"/>
          </w:tcPr>
          <w:p w14:paraId="7BD8646C">
            <w:pPr>
              <w:jc w:val="center"/>
              <w:rPr>
                <w:rFonts w:hint="eastAsia" w:ascii="宋体" w:hAnsi="宋体" w:cs="宋体"/>
                <w:color w:val="000000" w:themeColor="text1"/>
                <w:szCs w:val="21"/>
              </w:rPr>
            </w:pPr>
          </w:p>
        </w:tc>
      </w:tr>
      <w:tr w14:paraId="4D69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780D34D6">
            <w:pPr>
              <w:jc w:val="center"/>
              <w:rPr>
                <w:rFonts w:hint="eastAsia" w:ascii="宋体" w:hAnsi="宋体" w:cs="宋体"/>
                <w:color w:val="000000" w:themeColor="text1"/>
                <w:szCs w:val="21"/>
              </w:rPr>
            </w:pPr>
            <w:r>
              <w:rPr>
                <w:rFonts w:hint="eastAsia" w:ascii="宋体" w:hAnsi="宋体" w:cs="宋体"/>
                <w:color w:val="000000" w:themeColor="text1"/>
                <w:szCs w:val="21"/>
              </w:rPr>
              <w:t>联系方式</w:t>
            </w:r>
          </w:p>
        </w:tc>
        <w:tc>
          <w:tcPr>
            <w:tcW w:w="897" w:type="dxa"/>
            <w:vAlign w:val="center"/>
          </w:tcPr>
          <w:p w14:paraId="28E53A9E">
            <w:pPr>
              <w:jc w:val="center"/>
              <w:rPr>
                <w:rFonts w:hint="eastAsia" w:ascii="宋体" w:hAnsi="宋体" w:cs="宋体"/>
                <w:color w:val="000000" w:themeColor="text1"/>
                <w:szCs w:val="21"/>
              </w:rPr>
            </w:pPr>
            <w:r>
              <w:rPr>
                <w:rFonts w:hint="eastAsia" w:ascii="宋体" w:hAnsi="宋体" w:cs="宋体"/>
                <w:color w:val="000000" w:themeColor="text1"/>
                <w:szCs w:val="21"/>
              </w:rPr>
              <w:t>联系人</w:t>
            </w:r>
          </w:p>
        </w:tc>
        <w:tc>
          <w:tcPr>
            <w:tcW w:w="2492" w:type="dxa"/>
            <w:gridSpan w:val="3"/>
            <w:vAlign w:val="center"/>
          </w:tcPr>
          <w:p w14:paraId="42AF0408">
            <w:pPr>
              <w:jc w:val="center"/>
              <w:rPr>
                <w:rFonts w:hint="eastAsia" w:ascii="宋体" w:hAnsi="宋体" w:cs="宋体"/>
                <w:color w:val="000000" w:themeColor="text1"/>
                <w:szCs w:val="21"/>
              </w:rPr>
            </w:pPr>
          </w:p>
        </w:tc>
        <w:tc>
          <w:tcPr>
            <w:tcW w:w="1246" w:type="dxa"/>
            <w:vAlign w:val="center"/>
          </w:tcPr>
          <w:p w14:paraId="166A25D8">
            <w:pPr>
              <w:jc w:val="center"/>
              <w:rPr>
                <w:rFonts w:hint="eastAsia" w:ascii="宋体" w:hAnsi="宋体" w:cs="宋体"/>
                <w:color w:val="000000" w:themeColor="text1"/>
                <w:szCs w:val="21"/>
              </w:rPr>
            </w:pPr>
            <w:r>
              <w:rPr>
                <w:rFonts w:hint="eastAsia" w:ascii="宋体" w:hAnsi="宋体" w:cs="宋体"/>
                <w:color w:val="000000" w:themeColor="text1"/>
                <w:szCs w:val="21"/>
              </w:rPr>
              <w:t>电  话</w:t>
            </w:r>
          </w:p>
        </w:tc>
        <w:tc>
          <w:tcPr>
            <w:tcW w:w="2706" w:type="dxa"/>
            <w:gridSpan w:val="3"/>
            <w:vAlign w:val="center"/>
          </w:tcPr>
          <w:p w14:paraId="2A9B2D43">
            <w:pPr>
              <w:jc w:val="center"/>
              <w:rPr>
                <w:rFonts w:hint="eastAsia" w:ascii="宋体" w:hAnsi="宋体" w:cs="宋体"/>
                <w:color w:val="000000" w:themeColor="text1"/>
                <w:szCs w:val="21"/>
              </w:rPr>
            </w:pPr>
          </w:p>
        </w:tc>
      </w:tr>
      <w:tr w14:paraId="136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5C62B13E">
            <w:pPr>
              <w:jc w:val="center"/>
              <w:rPr>
                <w:rFonts w:hint="eastAsia" w:ascii="宋体" w:hAnsi="宋体" w:cs="宋体"/>
                <w:color w:val="000000" w:themeColor="text1"/>
                <w:szCs w:val="21"/>
              </w:rPr>
            </w:pPr>
          </w:p>
        </w:tc>
        <w:tc>
          <w:tcPr>
            <w:tcW w:w="897" w:type="dxa"/>
            <w:vAlign w:val="center"/>
          </w:tcPr>
          <w:p w14:paraId="34320290">
            <w:pPr>
              <w:jc w:val="center"/>
              <w:rPr>
                <w:rFonts w:hint="eastAsia" w:ascii="宋体" w:hAnsi="宋体" w:cs="宋体"/>
                <w:color w:val="000000" w:themeColor="text1"/>
                <w:szCs w:val="21"/>
              </w:rPr>
            </w:pPr>
            <w:r>
              <w:rPr>
                <w:rFonts w:hint="eastAsia" w:ascii="宋体" w:hAnsi="宋体" w:cs="宋体"/>
                <w:color w:val="000000" w:themeColor="text1"/>
                <w:szCs w:val="21"/>
              </w:rPr>
              <w:t>传  真</w:t>
            </w:r>
          </w:p>
        </w:tc>
        <w:tc>
          <w:tcPr>
            <w:tcW w:w="2492" w:type="dxa"/>
            <w:gridSpan w:val="3"/>
            <w:vAlign w:val="center"/>
          </w:tcPr>
          <w:p w14:paraId="0531E654">
            <w:pPr>
              <w:jc w:val="center"/>
              <w:rPr>
                <w:rFonts w:hint="eastAsia" w:ascii="宋体" w:hAnsi="宋体" w:cs="宋体"/>
                <w:color w:val="000000" w:themeColor="text1"/>
                <w:szCs w:val="21"/>
              </w:rPr>
            </w:pPr>
          </w:p>
        </w:tc>
        <w:tc>
          <w:tcPr>
            <w:tcW w:w="1246" w:type="dxa"/>
            <w:vAlign w:val="center"/>
          </w:tcPr>
          <w:p w14:paraId="25467DCA">
            <w:pPr>
              <w:jc w:val="center"/>
              <w:rPr>
                <w:rFonts w:hint="eastAsia" w:ascii="宋体" w:hAnsi="宋体" w:cs="宋体"/>
                <w:color w:val="000000" w:themeColor="text1"/>
                <w:szCs w:val="21"/>
              </w:rPr>
            </w:pPr>
            <w:r>
              <w:rPr>
                <w:rFonts w:hint="eastAsia" w:ascii="宋体" w:hAnsi="宋体" w:cs="宋体"/>
                <w:color w:val="000000" w:themeColor="text1"/>
                <w:szCs w:val="21"/>
              </w:rPr>
              <w:t>网  址</w:t>
            </w:r>
          </w:p>
        </w:tc>
        <w:tc>
          <w:tcPr>
            <w:tcW w:w="2706" w:type="dxa"/>
            <w:gridSpan w:val="3"/>
            <w:vAlign w:val="center"/>
          </w:tcPr>
          <w:p w14:paraId="018796C4">
            <w:pPr>
              <w:jc w:val="center"/>
              <w:rPr>
                <w:rFonts w:hint="eastAsia" w:ascii="宋体" w:hAnsi="宋体" w:cs="宋体"/>
                <w:color w:val="000000" w:themeColor="text1"/>
                <w:szCs w:val="21"/>
              </w:rPr>
            </w:pPr>
          </w:p>
        </w:tc>
      </w:tr>
      <w:tr w14:paraId="24A1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0BF55D4">
            <w:pPr>
              <w:jc w:val="center"/>
              <w:rPr>
                <w:rFonts w:hint="eastAsia" w:ascii="宋体" w:hAnsi="宋体" w:cs="宋体"/>
                <w:color w:val="000000" w:themeColor="text1"/>
                <w:szCs w:val="21"/>
              </w:rPr>
            </w:pPr>
            <w:r>
              <w:rPr>
                <w:rFonts w:hint="eastAsia" w:ascii="宋体" w:hAnsi="宋体" w:cs="宋体"/>
                <w:color w:val="000000" w:themeColor="text1"/>
              </w:rPr>
              <w:t>统一社会信用代码</w:t>
            </w:r>
          </w:p>
        </w:tc>
        <w:tc>
          <w:tcPr>
            <w:tcW w:w="7341" w:type="dxa"/>
            <w:gridSpan w:val="8"/>
            <w:vAlign w:val="center"/>
          </w:tcPr>
          <w:p w14:paraId="79924339">
            <w:pPr>
              <w:jc w:val="center"/>
              <w:rPr>
                <w:rFonts w:hint="eastAsia" w:ascii="宋体" w:hAnsi="宋体" w:cs="宋体"/>
                <w:color w:val="000000" w:themeColor="text1"/>
                <w:szCs w:val="21"/>
              </w:rPr>
            </w:pPr>
          </w:p>
        </w:tc>
      </w:tr>
      <w:tr w14:paraId="28F5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DB9037D">
            <w:pPr>
              <w:jc w:val="center"/>
              <w:rPr>
                <w:rFonts w:hint="eastAsia" w:ascii="宋体" w:hAnsi="宋体" w:cs="宋体"/>
                <w:color w:val="000000" w:themeColor="text1"/>
                <w:szCs w:val="21"/>
              </w:rPr>
            </w:pPr>
            <w:r>
              <w:rPr>
                <w:rFonts w:hint="eastAsia" w:ascii="宋体" w:hAnsi="宋体" w:cs="宋体"/>
                <w:color w:val="000000" w:themeColor="text1"/>
                <w:szCs w:val="21"/>
              </w:rPr>
              <w:t>法定代表人</w:t>
            </w:r>
          </w:p>
        </w:tc>
        <w:tc>
          <w:tcPr>
            <w:tcW w:w="897" w:type="dxa"/>
            <w:vAlign w:val="center"/>
          </w:tcPr>
          <w:p w14:paraId="20A04FF4">
            <w:pPr>
              <w:jc w:val="center"/>
              <w:rPr>
                <w:rFonts w:hint="eastAsia" w:ascii="宋体" w:hAnsi="宋体" w:cs="宋体"/>
                <w:color w:val="000000" w:themeColor="text1"/>
                <w:szCs w:val="21"/>
              </w:rPr>
            </w:pPr>
            <w:r>
              <w:rPr>
                <w:rFonts w:hint="eastAsia" w:ascii="宋体" w:hAnsi="宋体" w:cs="宋体"/>
                <w:color w:val="000000" w:themeColor="text1"/>
                <w:szCs w:val="21"/>
              </w:rPr>
              <w:t>姓名</w:t>
            </w:r>
          </w:p>
        </w:tc>
        <w:tc>
          <w:tcPr>
            <w:tcW w:w="1021" w:type="dxa"/>
            <w:vAlign w:val="center"/>
          </w:tcPr>
          <w:p w14:paraId="075B40AF">
            <w:pPr>
              <w:jc w:val="center"/>
              <w:rPr>
                <w:rFonts w:hint="eastAsia" w:ascii="宋体" w:hAnsi="宋体" w:cs="宋体"/>
                <w:color w:val="000000" w:themeColor="text1"/>
                <w:szCs w:val="21"/>
              </w:rPr>
            </w:pPr>
          </w:p>
        </w:tc>
        <w:tc>
          <w:tcPr>
            <w:tcW w:w="1160" w:type="dxa"/>
            <w:vAlign w:val="center"/>
          </w:tcPr>
          <w:p w14:paraId="4EE441A3">
            <w:pPr>
              <w:jc w:val="center"/>
              <w:rPr>
                <w:rFonts w:hint="eastAsia" w:ascii="宋体" w:hAnsi="宋体" w:cs="宋体"/>
                <w:color w:val="000000" w:themeColor="text1"/>
                <w:szCs w:val="21"/>
              </w:rPr>
            </w:pPr>
            <w:r>
              <w:rPr>
                <w:rFonts w:hint="eastAsia" w:ascii="宋体" w:hAnsi="宋体" w:cs="宋体"/>
                <w:color w:val="000000" w:themeColor="text1"/>
                <w:szCs w:val="21"/>
              </w:rPr>
              <w:t>技术职称</w:t>
            </w:r>
          </w:p>
        </w:tc>
        <w:tc>
          <w:tcPr>
            <w:tcW w:w="1620" w:type="dxa"/>
            <w:gridSpan w:val="3"/>
            <w:vAlign w:val="center"/>
          </w:tcPr>
          <w:p w14:paraId="35A7B08B">
            <w:pPr>
              <w:jc w:val="center"/>
              <w:rPr>
                <w:rFonts w:hint="eastAsia" w:ascii="宋体" w:hAnsi="宋体" w:cs="宋体"/>
                <w:color w:val="000000" w:themeColor="text1"/>
                <w:szCs w:val="21"/>
              </w:rPr>
            </w:pPr>
          </w:p>
        </w:tc>
        <w:tc>
          <w:tcPr>
            <w:tcW w:w="720" w:type="dxa"/>
            <w:vAlign w:val="center"/>
          </w:tcPr>
          <w:p w14:paraId="5603664A">
            <w:pPr>
              <w:jc w:val="center"/>
              <w:rPr>
                <w:rFonts w:hint="eastAsia" w:ascii="宋体" w:hAnsi="宋体" w:cs="宋体"/>
                <w:color w:val="000000" w:themeColor="text1"/>
                <w:szCs w:val="21"/>
              </w:rPr>
            </w:pPr>
            <w:r>
              <w:rPr>
                <w:rFonts w:hint="eastAsia" w:ascii="宋体" w:hAnsi="宋体" w:cs="宋体"/>
                <w:color w:val="000000" w:themeColor="text1"/>
                <w:szCs w:val="21"/>
              </w:rPr>
              <w:t>电话</w:t>
            </w:r>
          </w:p>
        </w:tc>
        <w:tc>
          <w:tcPr>
            <w:tcW w:w="1923" w:type="dxa"/>
            <w:vAlign w:val="center"/>
          </w:tcPr>
          <w:p w14:paraId="3D0F8F2E">
            <w:pPr>
              <w:jc w:val="center"/>
              <w:rPr>
                <w:rFonts w:hint="eastAsia" w:ascii="宋体" w:hAnsi="宋体" w:cs="宋体"/>
                <w:color w:val="000000" w:themeColor="text1"/>
                <w:szCs w:val="21"/>
              </w:rPr>
            </w:pPr>
          </w:p>
        </w:tc>
      </w:tr>
      <w:tr w14:paraId="6959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48457D6">
            <w:pPr>
              <w:jc w:val="center"/>
              <w:rPr>
                <w:rFonts w:hint="eastAsia" w:ascii="宋体" w:hAnsi="宋体" w:cs="宋体"/>
                <w:color w:val="000000" w:themeColor="text1"/>
                <w:szCs w:val="21"/>
              </w:rPr>
            </w:pPr>
            <w:r>
              <w:rPr>
                <w:rFonts w:hint="eastAsia" w:ascii="宋体" w:hAnsi="宋体" w:cs="宋体"/>
                <w:color w:val="000000" w:themeColor="text1"/>
                <w:szCs w:val="21"/>
              </w:rPr>
              <w:t>技术负责人</w:t>
            </w:r>
          </w:p>
        </w:tc>
        <w:tc>
          <w:tcPr>
            <w:tcW w:w="897" w:type="dxa"/>
            <w:vAlign w:val="center"/>
          </w:tcPr>
          <w:p w14:paraId="08FB71CA">
            <w:pPr>
              <w:jc w:val="center"/>
              <w:rPr>
                <w:rFonts w:hint="eastAsia" w:ascii="宋体" w:hAnsi="宋体" w:cs="宋体"/>
                <w:color w:val="000000" w:themeColor="text1"/>
                <w:szCs w:val="21"/>
              </w:rPr>
            </w:pPr>
            <w:r>
              <w:rPr>
                <w:rFonts w:hint="eastAsia" w:ascii="宋体" w:hAnsi="宋体" w:cs="宋体"/>
                <w:color w:val="000000" w:themeColor="text1"/>
                <w:szCs w:val="21"/>
              </w:rPr>
              <w:t>姓名</w:t>
            </w:r>
          </w:p>
        </w:tc>
        <w:tc>
          <w:tcPr>
            <w:tcW w:w="1021" w:type="dxa"/>
            <w:vAlign w:val="center"/>
          </w:tcPr>
          <w:p w14:paraId="739C45D8">
            <w:pPr>
              <w:jc w:val="center"/>
              <w:rPr>
                <w:rFonts w:hint="eastAsia" w:ascii="宋体" w:hAnsi="宋体" w:cs="宋体"/>
                <w:color w:val="000000" w:themeColor="text1"/>
                <w:szCs w:val="21"/>
              </w:rPr>
            </w:pPr>
          </w:p>
        </w:tc>
        <w:tc>
          <w:tcPr>
            <w:tcW w:w="1160" w:type="dxa"/>
            <w:vAlign w:val="center"/>
          </w:tcPr>
          <w:p w14:paraId="4CA33B87">
            <w:pPr>
              <w:jc w:val="center"/>
              <w:rPr>
                <w:rFonts w:hint="eastAsia" w:ascii="宋体" w:hAnsi="宋体" w:cs="宋体"/>
                <w:color w:val="000000" w:themeColor="text1"/>
                <w:szCs w:val="21"/>
              </w:rPr>
            </w:pPr>
            <w:r>
              <w:rPr>
                <w:rFonts w:hint="eastAsia" w:ascii="宋体" w:hAnsi="宋体" w:cs="宋体"/>
                <w:color w:val="000000" w:themeColor="text1"/>
                <w:szCs w:val="21"/>
              </w:rPr>
              <w:t>技术职称</w:t>
            </w:r>
          </w:p>
        </w:tc>
        <w:tc>
          <w:tcPr>
            <w:tcW w:w="1620" w:type="dxa"/>
            <w:gridSpan w:val="3"/>
            <w:vAlign w:val="center"/>
          </w:tcPr>
          <w:p w14:paraId="1E877302">
            <w:pPr>
              <w:jc w:val="center"/>
              <w:rPr>
                <w:rFonts w:hint="eastAsia" w:ascii="宋体" w:hAnsi="宋体" w:cs="宋体"/>
                <w:color w:val="000000" w:themeColor="text1"/>
                <w:szCs w:val="21"/>
              </w:rPr>
            </w:pPr>
          </w:p>
        </w:tc>
        <w:tc>
          <w:tcPr>
            <w:tcW w:w="720" w:type="dxa"/>
            <w:vAlign w:val="center"/>
          </w:tcPr>
          <w:p w14:paraId="420CE1C6">
            <w:pPr>
              <w:jc w:val="center"/>
              <w:rPr>
                <w:rFonts w:hint="eastAsia" w:ascii="宋体" w:hAnsi="宋体" w:cs="宋体"/>
                <w:color w:val="000000" w:themeColor="text1"/>
                <w:szCs w:val="21"/>
              </w:rPr>
            </w:pPr>
            <w:r>
              <w:rPr>
                <w:rFonts w:hint="eastAsia" w:ascii="宋体" w:hAnsi="宋体" w:cs="宋体"/>
                <w:color w:val="000000" w:themeColor="text1"/>
                <w:szCs w:val="21"/>
              </w:rPr>
              <w:t>电话</w:t>
            </w:r>
          </w:p>
        </w:tc>
        <w:tc>
          <w:tcPr>
            <w:tcW w:w="1923" w:type="dxa"/>
            <w:vAlign w:val="center"/>
          </w:tcPr>
          <w:p w14:paraId="02F26B63">
            <w:pPr>
              <w:jc w:val="center"/>
              <w:rPr>
                <w:rFonts w:hint="eastAsia" w:ascii="宋体" w:hAnsi="宋体" w:cs="宋体"/>
                <w:color w:val="000000" w:themeColor="text1"/>
                <w:szCs w:val="21"/>
              </w:rPr>
            </w:pPr>
          </w:p>
        </w:tc>
      </w:tr>
      <w:tr w14:paraId="01D1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2570406">
            <w:pPr>
              <w:jc w:val="center"/>
              <w:rPr>
                <w:rFonts w:hint="eastAsia" w:ascii="宋体" w:hAnsi="宋体" w:cs="宋体"/>
                <w:color w:val="000000" w:themeColor="text1"/>
                <w:szCs w:val="21"/>
              </w:rPr>
            </w:pPr>
            <w:r>
              <w:rPr>
                <w:rFonts w:hint="eastAsia" w:ascii="宋体" w:hAnsi="宋体" w:cs="宋体"/>
                <w:color w:val="000000" w:themeColor="text1"/>
                <w:szCs w:val="21"/>
              </w:rPr>
              <w:t>成立时间</w:t>
            </w:r>
          </w:p>
        </w:tc>
        <w:tc>
          <w:tcPr>
            <w:tcW w:w="1918" w:type="dxa"/>
            <w:gridSpan w:val="2"/>
            <w:vAlign w:val="center"/>
          </w:tcPr>
          <w:p w14:paraId="74CAEA60">
            <w:pPr>
              <w:jc w:val="center"/>
              <w:rPr>
                <w:rFonts w:hint="eastAsia" w:ascii="宋体" w:hAnsi="宋体" w:cs="宋体"/>
                <w:color w:val="000000" w:themeColor="text1"/>
                <w:szCs w:val="21"/>
              </w:rPr>
            </w:pPr>
          </w:p>
        </w:tc>
        <w:tc>
          <w:tcPr>
            <w:tcW w:w="5423" w:type="dxa"/>
            <w:gridSpan w:val="6"/>
            <w:vAlign w:val="center"/>
          </w:tcPr>
          <w:p w14:paraId="364EDDF5">
            <w:pPr>
              <w:jc w:val="center"/>
              <w:rPr>
                <w:rFonts w:hint="eastAsia" w:ascii="宋体" w:hAnsi="宋体" w:cs="宋体"/>
                <w:color w:val="000000" w:themeColor="text1"/>
                <w:szCs w:val="21"/>
              </w:rPr>
            </w:pPr>
            <w:r>
              <w:rPr>
                <w:rFonts w:hint="eastAsia" w:ascii="宋体" w:hAnsi="宋体" w:cs="宋体"/>
                <w:color w:val="000000" w:themeColor="text1"/>
                <w:szCs w:val="21"/>
              </w:rPr>
              <w:t>员工总人数：</w:t>
            </w:r>
          </w:p>
        </w:tc>
      </w:tr>
      <w:tr w14:paraId="4F7B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7A14F61">
            <w:pPr>
              <w:jc w:val="center"/>
              <w:rPr>
                <w:rFonts w:hint="eastAsia" w:ascii="宋体" w:hAnsi="宋体" w:cs="宋体"/>
                <w:color w:val="000000" w:themeColor="text1"/>
                <w:szCs w:val="21"/>
              </w:rPr>
            </w:pPr>
            <w:r>
              <w:rPr>
                <w:rFonts w:hint="eastAsia" w:ascii="宋体" w:hAnsi="宋体" w:cs="宋体"/>
                <w:color w:val="000000" w:themeColor="text1"/>
                <w:szCs w:val="21"/>
              </w:rPr>
              <w:t>资质等级</w:t>
            </w:r>
          </w:p>
        </w:tc>
        <w:tc>
          <w:tcPr>
            <w:tcW w:w="1918" w:type="dxa"/>
            <w:gridSpan w:val="2"/>
            <w:vAlign w:val="center"/>
          </w:tcPr>
          <w:p w14:paraId="6B51716B">
            <w:pPr>
              <w:jc w:val="center"/>
              <w:rPr>
                <w:rFonts w:hint="eastAsia" w:ascii="宋体" w:hAnsi="宋体" w:cs="宋体"/>
                <w:color w:val="000000" w:themeColor="text1"/>
                <w:szCs w:val="21"/>
              </w:rPr>
            </w:pPr>
          </w:p>
        </w:tc>
        <w:tc>
          <w:tcPr>
            <w:tcW w:w="1160" w:type="dxa"/>
            <w:vMerge w:val="restart"/>
            <w:vAlign w:val="center"/>
          </w:tcPr>
          <w:p w14:paraId="669D6F30">
            <w:pPr>
              <w:jc w:val="center"/>
              <w:rPr>
                <w:rFonts w:hint="eastAsia" w:ascii="宋体" w:hAnsi="宋体" w:cs="宋体"/>
                <w:color w:val="000000" w:themeColor="text1"/>
                <w:szCs w:val="21"/>
              </w:rPr>
            </w:pPr>
            <w:r>
              <w:rPr>
                <w:rFonts w:hint="eastAsia" w:ascii="宋体" w:hAnsi="宋体" w:cs="宋体"/>
                <w:color w:val="000000" w:themeColor="text1"/>
                <w:szCs w:val="21"/>
              </w:rPr>
              <w:t>其中</w:t>
            </w:r>
          </w:p>
        </w:tc>
        <w:tc>
          <w:tcPr>
            <w:tcW w:w="1620" w:type="dxa"/>
            <w:gridSpan w:val="3"/>
            <w:vAlign w:val="center"/>
          </w:tcPr>
          <w:p w14:paraId="4D56DCD9">
            <w:pPr>
              <w:jc w:val="center"/>
              <w:rPr>
                <w:rFonts w:hint="eastAsia" w:ascii="宋体" w:hAnsi="宋体" w:cs="宋体"/>
                <w:color w:val="000000" w:themeColor="text1"/>
                <w:szCs w:val="21"/>
              </w:rPr>
            </w:pPr>
            <w:r>
              <w:rPr>
                <w:rFonts w:hint="eastAsia" w:ascii="宋体" w:hAnsi="宋体" w:cs="宋体"/>
                <w:color w:val="000000" w:themeColor="text1"/>
                <w:szCs w:val="21"/>
              </w:rPr>
              <w:t>项目经理</w:t>
            </w:r>
          </w:p>
        </w:tc>
        <w:tc>
          <w:tcPr>
            <w:tcW w:w="2643" w:type="dxa"/>
            <w:gridSpan w:val="2"/>
            <w:vAlign w:val="center"/>
          </w:tcPr>
          <w:p w14:paraId="5286AB23">
            <w:pPr>
              <w:jc w:val="center"/>
              <w:rPr>
                <w:rFonts w:hint="eastAsia" w:ascii="宋体" w:hAnsi="宋体" w:cs="宋体"/>
                <w:color w:val="000000" w:themeColor="text1"/>
                <w:szCs w:val="21"/>
              </w:rPr>
            </w:pPr>
          </w:p>
        </w:tc>
      </w:tr>
      <w:tr w14:paraId="6C95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053FA67">
            <w:pPr>
              <w:jc w:val="center"/>
              <w:rPr>
                <w:rFonts w:hint="eastAsia" w:ascii="宋体" w:hAnsi="宋体" w:cs="宋体"/>
                <w:color w:val="000000" w:themeColor="text1"/>
                <w:szCs w:val="21"/>
              </w:rPr>
            </w:pPr>
            <w:r>
              <w:rPr>
                <w:rFonts w:hint="eastAsia" w:ascii="宋体" w:hAnsi="宋体" w:cs="宋体"/>
                <w:color w:val="000000" w:themeColor="text1"/>
                <w:szCs w:val="21"/>
              </w:rPr>
              <w:t>安全生产许可证号</w:t>
            </w:r>
          </w:p>
        </w:tc>
        <w:tc>
          <w:tcPr>
            <w:tcW w:w="1918" w:type="dxa"/>
            <w:gridSpan w:val="2"/>
            <w:vAlign w:val="center"/>
          </w:tcPr>
          <w:p w14:paraId="73E9E3B7">
            <w:pPr>
              <w:jc w:val="center"/>
              <w:rPr>
                <w:rFonts w:hint="eastAsia" w:ascii="宋体" w:hAnsi="宋体" w:cs="宋体"/>
                <w:color w:val="000000" w:themeColor="text1"/>
                <w:szCs w:val="21"/>
              </w:rPr>
            </w:pPr>
          </w:p>
        </w:tc>
        <w:tc>
          <w:tcPr>
            <w:tcW w:w="1160" w:type="dxa"/>
            <w:vMerge w:val="continue"/>
            <w:vAlign w:val="center"/>
          </w:tcPr>
          <w:p w14:paraId="2D2F6211">
            <w:pPr>
              <w:jc w:val="center"/>
              <w:rPr>
                <w:rFonts w:hint="eastAsia" w:ascii="宋体" w:hAnsi="宋体" w:cs="宋体"/>
                <w:color w:val="000000" w:themeColor="text1"/>
                <w:szCs w:val="21"/>
              </w:rPr>
            </w:pPr>
          </w:p>
        </w:tc>
        <w:tc>
          <w:tcPr>
            <w:tcW w:w="1620" w:type="dxa"/>
            <w:gridSpan w:val="3"/>
            <w:vAlign w:val="center"/>
          </w:tcPr>
          <w:p w14:paraId="0A93DF42">
            <w:pPr>
              <w:jc w:val="center"/>
              <w:rPr>
                <w:rFonts w:hint="eastAsia" w:ascii="宋体" w:hAnsi="宋体" w:cs="宋体"/>
                <w:color w:val="000000" w:themeColor="text1"/>
                <w:szCs w:val="21"/>
              </w:rPr>
            </w:pPr>
            <w:r>
              <w:rPr>
                <w:rFonts w:hint="eastAsia" w:ascii="宋体" w:hAnsi="宋体" w:cs="宋体"/>
                <w:color w:val="000000" w:themeColor="text1"/>
                <w:szCs w:val="21"/>
              </w:rPr>
              <w:t>高级职称人员</w:t>
            </w:r>
          </w:p>
        </w:tc>
        <w:tc>
          <w:tcPr>
            <w:tcW w:w="2643" w:type="dxa"/>
            <w:gridSpan w:val="2"/>
            <w:vAlign w:val="center"/>
          </w:tcPr>
          <w:p w14:paraId="311C4F15">
            <w:pPr>
              <w:jc w:val="center"/>
              <w:rPr>
                <w:rFonts w:hint="eastAsia" w:ascii="宋体" w:hAnsi="宋体" w:cs="宋体"/>
                <w:color w:val="000000" w:themeColor="text1"/>
                <w:szCs w:val="21"/>
              </w:rPr>
            </w:pPr>
          </w:p>
        </w:tc>
      </w:tr>
      <w:tr w14:paraId="556D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9094BC1">
            <w:pPr>
              <w:jc w:val="center"/>
              <w:rPr>
                <w:rFonts w:hint="eastAsia" w:ascii="宋体" w:hAnsi="宋体" w:cs="宋体"/>
                <w:color w:val="000000" w:themeColor="text1"/>
                <w:szCs w:val="21"/>
              </w:rPr>
            </w:pPr>
            <w:r>
              <w:rPr>
                <w:rFonts w:hint="eastAsia" w:ascii="宋体" w:hAnsi="宋体" w:cs="宋体"/>
                <w:color w:val="000000" w:themeColor="text1"/>
                <w:szCs w:val="21"/>
              </w:rPr>
              <w:t>注册资金</w:t>
            </w:r>
          </w:p>
        </w:tc>
        <w:tc>
          <w:tcPr>
            <w:tcW w:w="1918" w:type="dxa"/>
            <w:gridSpan w:val="2"/>
            <w:vAlign w:val="center"/>
          </w:tcPr>
          <w:p w14:paraId="2E980BCF">
            <w:pPr>
              <w:jc w:val="center"/>
              <w:rPr>
                <w:rFonts w:hint="eastAsia" w:ascii="宋体" w:hAnsi="宋体" w:cs="宋体"/>
                <w:color w:val="000000" w:themeColor="text1"/>
                <w:szCs w:val="21"/>
              </w:rPr>
            </w:pPr>
          </w:p>
        </w:tc>
        <w:tc>
          <w:tcPr>
            <w:tcW w:w="1160" w:type="dxa"/>
            <w:vMerge w:val="continue"/>
            <w:vAlign w:val="center"/>
          </w:tcPr>
          <w:p w14:paraId="76F04D29">
            <w:pPr>
              <w:jc w:val="center"/>
              <w:rPr>
                <w:rFonts w:hint="eastAsia" w:ascii="宋体" w:hAnsi="宋体" w:cs="宋体"/>
                <w:color w:val="000000" w:themeColor="text1"/>
                <w:szCs w:val="21"/>
              </w:rPr>
            </w:pPr>
          </w:p>
        </w:tc>
        <w:tc>
          <w:tcPr>
            <w:tcW w:w="1620" w:type="dxa"/>
            <w:gridSpan w:val="3"/>
            <w:vAlign w:val="center"/>
          </w:tcPr>
          <w:p w14:paraId="37B9D28B">
            <w:pPr>
              <w:jc w:val="center"/>
              <w:rPr>
                <w:rFonts w:hint="eastAsia" w:ascii="宋体" w:hAnsi="宋体" w:cs="宋体"/>
                <w:color w:val="000000" w:themeColor="text1"/>
                <w:szCs w:val="21"/>
              </w:rPr>
            </w:pPr>
            <w:r>
              <w:rPr>
                <w:rFonts w:hint="eastAsia" w:ascii="宋体" w:hAnsi="宋体" w:cs="宋体"/>
                <w:color w:val="000000" w:themeColor="text1"/>
                <w:szCs w:val="21"/>
              </w:rPr>
              <w:t>中级职称人员</w:t>
            </w:r>
          </w:p>
        </w:tc>
        <w:tc>
          <w:tcPr>
            <w:tcW w:w="2643" w:type="dxa"/>
            <w:gridSpan w:val="2"/>
            <w:vAlign w:val="center"/>
          </w:tcPr>
          <w:p w14:paraId="06056D14">
            <w:pPr>
              <w:jc w:val="center"/>
              <w:rPr>
                <w:rFonts w:hint="eastAsia" w:ascii="宋体" w:hAnsi="宋体" w:cs="宋体"/>
                <w:color w:val="000000" w:themeColor="text1"/>
                <w:szCs w:val="21"/>
              </w:rPr>
            </w:pPr>
          </w:p>
        </w:tc>
      </w:tr>
      <w:tr w14:paraId="3689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5D741B3">
            <w:pPr>
              <w:jc w:val="center"/>
              <w:rPr>
                <w:rFonts w:hint="eastAsia" w:ascii="宋体" w:hAnsi="宋体" w:cs="宋体"/>
                <w:color w:val="000000" w:themeColor="text1"/>
                <w:szCs w:val="21"/>
              </w:rPr>
            </w:pPr>
            <w:r>
              <w:rPr>
                <w:rFonts w:hint="eastAsia" w:ascii="宋体" w:hAnsi="宋体" w:cs="宋体"/>
                <w:color w:val="000000" w:themeColor="text1"/>
                <w:szCs w:val="21"/>
              </w:rPr>
              <w:t>开户银行</w:t>
            </w:r>
          </w:p>
        </w:tc>
        <w:tc>
          <w:tcPr>
            <w:tcW w:w="1918" w:type="dxa"/>
            <w:gridSpan w:val="2"/>
            <w:vAlign w:val="center"/>
          </w:tcPr>
          <w:p w14:paraId="751C6011">
            <w:pPr>
              <w:jc w:val="center"/>
              <w:rPr>
                <w:rFonts w:hint="eastAsia" w:ascii="宋体" w:hAnsi="宋体" w:cs="宋体"/>
                <w:color w:val="000000" w:themeColor="text1"/>
                <w:szCs w:val="21"/>
              </w:rPr>
            </w:pPr>
          </w:p>
        </w:tc>
        <w:tc>
          <w:tcPr>
            <w:tcW w:w="1160" w:type="dxa"/>
            <w:vMerge w:val="continue"/>
            <w:vAlign w:val="center"/>
          </w:tcPr>
          <w:p w14:paraId="2CBAF7C4">
            <w:pPr>
              <w:jc w:val="center"/>
              <w:rPr>
                <w:rFonts w:hint="eastAsia" w:ascii="宋体" w:hAnsi="宋体" w:cs="宋体"/>
                <w:color w:val="000000" w:themeColor="text1"/>
                <w:szCs w:val="21"/>
              </w:rPr>
            </w:pPr>
          </w:p>
        </w:tc>
        <w:tc>
          <w:tcPr>
            <w:tcW w:w="1620" w:type="dxa"/>
            <w:gridSpan w:val="3"/>
            <w:vAlign w:val="center"/>
          </w:tcPr>
          <w:p w14:paraId="56860227">
            <w:pPr>
              <w:jc w:val="center"/>
              <w:rPr>
                <w:rFonts w:hint="eastAsia" w:ascii="宋体" w:hAnsi="宋体" w:cs="宋体"/>
                <w:color w:val="000000" w:themeColor="text1"/>
                <w:szCs w:val="21"/>
              </w:rPr>
            </w:pPr>
            <w:r>
              <w:rPr>
                <w:rFonts w:hint="eastAsia" w:ascii="宋体" w:hAnsi="宋体" w:cs="宋体"/>
                <w:color w:val="000000" w:themeColor="text1"/>
                <w:szCs w:val="21"/>
              </w:rPr>
              <w:t>初级职称人员</w:t>
            </w:r>
          </w:p>
        </w:tc>
        <w:tc>
          <w:tcPr>
            <w:tcW w:w="2643" w:type="dxa"/>
            <w:gridSpan w:val="2"/>
            <w:vAlign w:val="center"/>
          </w:tcPr>
          <w:p w14:paraId="44800E7F">
            <w:pPr>
              <w:jc w:val="center"/>
              <w:rPr>
                <w:rFonts w:hint="eastAsia" w:ascii="宋体" w:hAnsi="宋体" w:cs="宋体"/>
                <w:color w:val="000000" w:themeColor="text1"/>
                <w:szCs w:val="21"/>
              </w:rPr>
            </w:pPr>
          </w:p>
        </w:tc>
      </w:tr>
      <w:tr w14:paraId="61B4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D27C48E">
            <w:pPr>
              <w:jc w:val="center"/>
              <w:rPr>
                <w:rFonts w:hint="eastAsia" w:ascii="宋体" w:hAnsi="宋体" w:cs="宋体"/>
                <w:color w:val="000000" w:themeColor="text1"/>
                <w:szCs w:val="21"/>
              </w:rPr>
            </w:pPr>
            <w:r>
              <w:rPr>
                <w:rFonts w:hint="eastAsia" w:ascii="宋体" w:hAnsi="宋体" w:cs="宋体"/>
                <w:color w:val="000000" w:themeColor="text1"/>
                <w:szCs w:val="21"/>
              </w:rPr>
              <w:t>账号</w:t>
            </w:r>
          </w:p>
        </w:tc>
        <w:tc>
          <w:tcPr>
            <w:tcW w:w="1918" w:type="dxa"/>
            <w:gridSpan w:val="2"/>
            <w:vAlign w:val="center"/>
          </w:tcPr>
          <w:p w14:paraId="496F296C">
            <w:pPr>
              <w:jc w:val="center"/>
              <w:rPr>
                <w:rFonts w:hint="eastAsia" w:ascii="宋体" w:hAnsi="宋体" w:cs="宋体"/>
                <w:color w:val="000000" w:themeColor="text1"/>
                <w:szCs w:val="21"/>
              </w:rPr>
            </w:pPr>
          </w:p>
        </w:tc>
        <w:tc>
          <w:tcPr>
            <w:tcW w:w="1160" w:type="dxa"/>
            <w:vMerge w:val="continue"/>
            <w:vAlign w:val="center"/>
          </w:tcPr>
          <w:p w14:paraId="1EE3764A">
            <w:pPr>
              <w:jc w:val="center"/>
              <w:rPr>
                <w:rFonts w:hint="eastAsia" w:ascii="宋体" w:hAnsi="宋体" w:cs="宋体"/>
                <w:color w:val="000000" w:themeColor="text1"/>
                <w:szCs w:val="21"/>
              </w:rPr>
            </w:pPr>
          </w:p>
        </w:tc>
        <w:tc>
          <w:tcPr>
            <w:tcW w:w="1620" w:type="dxa"/>
            <w:gridSpan w:val="3"/>
            <w:vAlign w:val="center"/>
          </w:tcPr>
          <w:p w14:paraId="3DCCF8FE">
            <w:pPr>
              <w:jc w:val="center"/>
              <w:rPr>
                <w:rFonts w:hint="eastAsia" w:ascii="宋体" w:hAnsi="宋体" w:cs="宋体"/>
                <w:color w:val="000000" w:themeColor="text1"/>
                <w:szCs w:val="21"/>
              </w:rPr>
            </w:pPr>
            <w:r>
              <w:rPr>
                <w:rFonts w:hint="eastAsia" w:ascii="宋体" w:hAnsi="宋体" w:cs="宋体"/>
                <w:color w:val="000000" w:themeColor="text1"/>
                <w:szCs w:val="21"/>
              </w:rPr>
              <w:t>技  工</w:t>
            </w:r>
          </w:p>
        </w:tc>
        <w:tc>
          <w:tcPr>
            <w:tcW w:w="2643" w:type="dxa"/>
            <w:gridSpan w:val="2"/>
            <w:vAlign w:val="center"/>
          </w:tcPr>
          <w:p w14:paraId="0E75A130">
            <w:pPr>
              <w:jc w:val="center"/>
              <w:rPr>
                <w:rFonts w:hint="eastAsia" w:ascii="宋体" w:hAnsi="宋体" w:cs="宋体"/>
                <w:color w:val="000000" w:themeColor="text1"/>
                <w:szCs w:val="21"/>
              </w:rPr>
            </w:pPr>
          </w:p>
        </w:tc>
      </w:tr>
      <w:tr w14:paraId="6154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14:paraId="61581847">
            <w:pPr>
              <w:jc w:val="center"/>
              <w:rPr>
                <w:rFonts w:hint="eastAsia" w:ascii="宋体" w:hAnsi="宋体" w:cs="宋体"/>
                <w:color w:val="000000" w:themeColor="text1"/>
                <w:szCs w:val="21"/>
              </w:rPr>
            </w:pPr>
            <w:r>
              <w:rPr>
                <w:rFonts w:hint="eastAsia" w:ascii="宋体" w:hAnsi="宋体" w:cs="宋体"/>
                <w:color w:val="000000" w:themeColor="text1"/>
                <w:szCs w:val="21"/>
              </w:rPr>
              <w:t>经营范围</w:t>
            </w:r>
          </w:p>
        </w:tc>
        <w:tc>
          <w:tcPr>
            <w:tcW w:w="7341" w:type="dxa"/>
            <w:gridSpan w:val="8"/>
            <w:vAlign w:val="center"/>
          </w:tcPr>
          <w:p w14:paraId="08421E77">
            <w:pPr>
              <w:jc w:val="center"/>
              <w:rPr>
                <w:rFonts w:hint="eastAsia" w:ascii="宋体" w:hAnsi="宋体" w:cs="宋体"/>
                <w:color w:val="000000" w:themeColor="text1"/>
                <w:szCs w:val="21"/>
              </w:rPr>
            </w:pPr>
          </w:p>
        </w:tc>
      </w:tr>
      <w:tr w14:paraId="7A80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CAE7B77">
            <w:pPr>
              <w:jc w:val="center"/>
              <w:rPr>
                <w:rFonts w:hint="eastAsia" w:ascii="宋体" w:hAnsi="宋体" w:cs="宋体"/>
                <w:color w:val="000000" w:themeColor="text1"/>
                <w:szCs w:val="21"/>
              </w:rPr>
            </w:pPr>
            <w:r>
              <w:rPr>
                <w:rFonts w:hint="eastAsia" w:ascii="宋体" w:hAnsi="宋体" w:cs="宋体"/>
                <w:color w:val="000000" w:themeColor="text1"/>
                <w:szCs w:val="21"/>
              </w:rPr>
              <w:t>备注</w:t>
            </w:r>
          </w:p>
        </w:tc>
        <w:tc>
          <w:tcPr>
            <w:tcW w:w="7341" w:type="dxa"/>
            <w:gridSpan w:val="8"/>
            <w:vAlign w:val="center"/>
          </w:tcPr>
          <w:p w14:paraId="7789FFC2">
            <w:pPr>
              <w:jc w:val="center"/>
              <w:rPr>
                <w:rFonts w:hint="eastAsia" w:ascii="宋体" w:hAnsi="宋体" w:cs="宋体"/>
                <w:color w:val="000000" w:themeColor="text1"/>
                <w:szCs w:val="21"/>
              </w:rPr>
            </w:pPr>
          </w:p>
        </w:tc>
      </w:tr>
    </w:tbl>
    <w:p w14:paraId="6B1FF908">
      <w:pPr>
        <w:spacing w:line="440" w:lineRule="exact"/>
        <w:rPr>
          <w:rFonts w:hint="eastAsia" w:ascii="宋体" w:hAnsi="宋体" w:cs="宋体"/>
          <w:color w:val="000000" w:themeColor="text1"/>
          <w:szCs w:val="21"/>
        </w:rPr>
      </w:pPr>
    </w:p>
    <w:p w14:paraId="5F92ED37">
      <w:pPr>
        <w:spacing w:line="440" w:lineRule="exact"/>
        <w:rPr>
          <w:rFonts w:hint="eastAsia"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rPr>
        <w:t>备注：附有效的</w:t>
      </w:r>
      <w:bookmarkStart w:id="1765" w:name="OLE_LINK14"/>
      <w:r>
        <w:rPr>
          <w:rFonts w:hint="eastAsia" w:ascii="宋体" w:hAnsi="宋体" w:cs="宋体"/>
          <w:color w:val="000000" w:themeColor="text1"/>
        </w:rPr>
        <w:t>企业营业执照副本、企业资质证书副本证明材料等</w:t>
      </w:r>
      <w:bookmarkEnd w:id="1765"/>
      <w:r>
        <w:rPr>
          <w:rFonts w:hint="eastAsia" w:ascii="宋体" w:hAnsi="宋体" w:cs="宋体"/>
          <w:color w:val="000000" w:themeColor="text1"/>
        </w:rPr>
        <w:t>的复印件加盖公章。】</w:t>
      </w:r>
    </w:p>
    <w:p w14:paraId="0E2B2523">
      <w:pPr>
        <w:jc w:val="center"/>
        <w:rPr>
          <w:rFonts w:hint="eastAsia" w:ascii="宋体" w:hAnsi="宋体" w:cs="宋体"/>
          <w:b/>
          <w:color w:val="000000" w:themeColor="text1"/>
          <w:sz w:val="28"/>
          <w:szCs w:val="28"/>
        </w:rPr>
      </w:pPr>
      <w:r>
        <w:rPr>
          <w:rFonts w:hint="eastAsia" w:ascii="宋体" w:hAnsi="宋体" w:cs="宋体"/>
          <w:color w:val="000000" w:themeColor="text1"/>
          <w:szCs w:val="21"/>
        </w:rPr>
        <w:br w:type="page"/>
      </w:r>
      <w:bookmarkStart w:id="1766" w:name="_Toc251051984"/>
      <w:bookmarkStart w:id="1767" w:name="_Toc332814356"/>
      <w:r>
        <w:rPr>
          <w:rFonts w:hint="eastAsia" w:ascii="宋体" w:hAnsi="宋体" w:cs="宋体"/>
          <w:b/>
          <w:color w:val="000000" w:themeColor="text1"/>
          <w:sz w:val="28"/>
          <w:szCs w:val="28"/>
        </w:rPr>
        <w:t>3、建设工程项目管理承诺书</w:t>
      </w:r>
      <w:bookmarkEnd w:id="1766"/>
      <w:bookmarkEnd w:id="1767"/>
    </w:p>
    <w:p w14:paraId="0E4A7F0F">
      <w:pPr>
        <w:spacing w:line="360" w:lineRule="auto"/>
        <w:jc w:val="center"/>
        <w:rPr>
          <w:rFonts w:hint="eastAsia" w:ascii="宋体" w:hAnsi="宋体" w:cs="宋体"/>
          <w:b/>
          <w:bCs/>
          <w:color w:val="000000" w:themeColor="text1"/>
          <w:sz w:val="24"/>
        </w:rPr>
      </w:pPr>
    </w:p>
    <w:p w14:paraId="0A78684A">
      <w:pPr>
        <w:spacing w:line="360" w:lineRule="auto"/>
        <w:jc w:val="center"/>
        <w:rPr>
          <w:rFonts w:hint="eastAsia" w:ascii="宋体" w:hAnsi="宋体" w:cs="宋体"/>
          <w:b/>
          <w:bCs/>
          <w:color w:val="000000" w:themeColor="text1"/>
          <w:sz w:val="24"/>
        </w:rPr>
      </w:pPr>
    </w:p>
    <w:p w14:paraId="6B7674D4">
      <w:pPr>
        <w:spacing w:line="480" w:lineRule="auto"/>
        <w:jc w:val="left"/>
        <w:rPr>
          <w:rFonts w:hint="eastAsia" w:ascii="宋体" w:hAnsi="宋体" w:cs="宋体"/>
          <w:color w:val="000000" w:themeColor="text1"/>
        </w:rPr>
      </w:pPr>
      <w:r>
        <w:rPr>
          <w:rFonts w:hint="eastAsia" w:ascii="宋体" w:hAnsi="宋体" w:cs="宋体"/>
          <w:color w:val="000000" w:themeColor="text1"/>
        </w:rPr>
        <w:t>致</w:t>
      </w:r>
      <w:r>
        <w:rPr>
          <w:rFonts w:hint="eastAsia" w:ascii="宋体" w:hAnsi="宋体" w:cs="宋体"/>
          <w:color w:val="000000" w:themeColor="text1"/>
          <w:u w:val="single"/>
        </w:rPr>
        <w:t xml:space="preserve">                        </w:t>
      </w:r>
      <w:r>
        <w:rPr>
          <w:rFonts w:hint="eastAsia" w:ascii="宋体" w:hAnsi="宋体" w:cs="宋体"/>
          <w:color w:val="000000" w:themeColor="text1"/>
        </w:rPr>
        <w:t>（采购人名称）：</w:t>
      </w:r>
    </w:p>
    <w:p w14:paraId="0586DA39">
      <w:pPr>
        <w:spacing w:line="520" w:lineRule="exact"/>
        <w:ind w:left="-10" w:firstLine="455" w:firstLineChars="217"/>
        <w:jc w:val="left"/>
        <w:rPr>
          <w:rFonts w:hint="eastAsia" w:ascii="宋体" w:hAnsi="宋体" w:cs="宋体"/>
          <w:color w:val="000000" w:themeColor="text1"/>
        </w:rPr>
      </w:pPr>
      <w:r>
        <w:rPr>
          <w:rFonts w:hint="eastAsia" w:ascii="宋体" w:hAnsi="宋体" w:cs="宋体"/>
          <w:color w:val="000000" w:themeColor="text1"/>
        </w:rPr>
        <w:t>作为参与</w:t>
      </w:r>
      <w:r>
        <w:rPr>
          <w:rFonts w:hint="eastAsia" w:ascii="宋体" w:hAnsi="宋体" w:cs="宋体"/>
          <w:color w:val="000000" w:themeColor="text1"/>
          <w:szCs w:val="21"/>
          <w:u w:val="single"/>
        </w:rPr>
        <w:t>                  </w:t>
      </w:r>
      <w:r>
        <w:rPr>
          <w:rFonts w:hint="eastAsia" w:ascii="宋体" w:hAnsi="宋体" w:cs="宋体"/>
          <w:color w:val="000000" w:themeColor="text1"/>
        </w:rPr>
        <w:t>（工程名称）项目的竞标方，根据国家、自治区相关文件规定，我方在此向采购人承诺：</w:t>
      </w:r>
    </w:p>
    <w:p w14:paraId="4BF2166B">
      <w:pPr>
        <w:spacing w:line="520" w:lineRule="exact"/>
        <w:ind w:left="-10" w:firstLine="455" w:firstLineChars="217"/>
        <w:jc w:val="left"/>
        <w:rPr>
          <w:rFonts w:hint="eastAsia" w:ascii="宋体" w:hAnsi="宋体" w:cs="宋体"/>
          <w:color w:val="000000" w:themeColor="text1"/>
        </w:rPr>
      </w:pPr>
      <w:r>
        <w:rPr>
          <w:rFonts w:hint="eastAsia" w:ascii="宋体" w:hAnsi="宋体" w:cs="宋体"/>
          <w:color w:val="000000" w:themeColor="text1"/>
        </w:rPr>
        <w:t>1、一旦中标，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76E0FBE1">
      <w:pPr>
        <w:spacing w:line="520" w:lineRule="exact"/>
        <w:ind w:left="-10" w:firstLine="455" w:firstLineChars="217"/>
        <w:jc w:val="left"/>
        <w:rPr>
          <w:rFonts w:hint="eastAsia" w:ascii="宋体" w:hAnsi="宋体" w:cs="宋体"/>
          <w:color w:val="000000" w:themeColor="text1"/>
        </w:rPr>
      </w:pPr>
      <w:r>
        <w:rPr>
          <w:rFonts w:hint="eastAsia" w:ascii="宋体" w:hAnsi="宋体" w:cs="宋体"/>
          <w:color w:val="000000" w:themeColor="text1"/>
        </w:rPr>
        <w:t>2、一旦中标，我方保证在施工过程中，严格执行《广西壮族自治区建设工程安全文明施工费使用管理细则》（</w:t>
      </w:r>
      <w:bookmarkStart w:id="1768" w:name="OLE_LINK19"/>
      <w:r>
        <w:rPr>
          <w:rFonts w:hint="eastAsia" w:ascii="宋体" w:hAnsi="宋体" w:cs="宋体"/>
          <w:color w:val="000000" w:themeColor="text1"/>
        </w:rPr>
        <w:t>桂建质【2015】16号</w:t>
      </w:r>
      <w:bookmarkEnd w:id="1768"/>
      <w:r>
        <w:rPr>
          <w:rFonts w:hint="eastAsia" w:ascii="宋体" w:hAnsi="宋体" w:cs="宋体"/>
          <w:color w:val="000000" w:themeColor="text1"/>
        </w:rPr>
        <w:t>）的有关规定，确保建设工程各项安全防护、文明施工措施落实到位。如我方在该项目的承包中出现未按桂建质【2015】16号文附件一规定执行的情形，我方愿意按照相关规定接受建设单位及有关主管部门的处罚。</w:t>
      </w:r>
    </w:p>
    <w:p w14:paraId="4286BED9">
      <w:pPr>
        <w:spacing w:line="520" w:lineRule="exact"/>
        <w:ind w:left="-2" w:leftChars="-1" w:firstLine="449" w:firstLineChars="214"/>
        <w:jc w:val="left"/>
        <w:rPr>
          <w:rFonts w:hint="eastAsia" w:ascii="宋体" w:hAnsi="宋体" w:cs="宋体"/>
          <w:color w:val="000000" w:themeColor="text1"/>
        </w:rPr>
      </w:pPr>
      <w:r>
        <w:rPr>
          <w:rFonts w:hint="eastAsia" w:ascii="宋体" w:hAnsi="宋体" w:cs="宋体"/>
          <w:color w:val="000000" w:themeColor="text1"/>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33264AA">
      <w:pPr>
        <w:spacing w:line="520" w:lineRule="exact"/>
        <w:ind w:left="-10" w:firstLine="455" w:firstLineChars="217"/>
        <w:jc w:val="left"/>
        <w:rPr>
          <w:rFonts w:hint="eastAsia" w:ascii="宋体" w:hAnsi="宋体" w:cs="宋体"/>
          <w:color w:val="000000" w:themeColor="text1"/>
        </w:rPr>
      </w:pPr>
      <w:r>
        <w:rPr>
          <w:rFonts w:hint="eastAsia" w:ascii="宋体" w:hAnsi="宋体" w:cs="宋体"/>
          <w:color w:val="000000" w:themeColor="text1"/>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4A16B5AB">
      <w:pPr>
        <w:spacing w:line="520" w:lineRule="exact"/>
        <w:ind w:left="-2" w:leftChars="-1" w:firstLine="449" w:firstLineChars="214"/>
        <w:jc w:val="left"/>
        <w:rPr>
          <w:rFonts w:hint="eastAsia" w:ascii="宋体" w:hAnsi="宋体" w:cs="宋体"/>
          <w:color w:val="000000" w:themeColor="text1"/>
        </w:rPr>
      </w:pPr>
    </w:p>
    <w:p w14:paraId="2FADC18F">
      <w:pPr>
        <w:spacing w:line="360" w:lineRule="auto"/>
        <w:jc w:val="left"/>
        <w:rPr>
          <w:rFonts w:hint="eastAsia" w:ascii="宋体" w:hAnsi="宋体" w:cs="宋体"/>
          <w:color w:val="000000" w:themeColor="text1"/>
        </w:rPr>
      </w:pPr>
    </w:p>
    <w:p w14:paraId="2362942A">
      <w:pPr>
        <w:spacing w:line="360" w:lineRule="auto"/>
        <w:jc w:val="left"/>
        <w:rPr>
          <w:rFonts w:hint="eastAsia" w:ascii="宋体" w:hAnsi="宋体" w:cs="宋体"/>
          <w:color w:val="000000" w:themeColor="text1"/>
        </w:rPr>
      </w:pPr>
    </w:p>
    <w:p w14:paraId="368A3D98">
      <w:pPr>
        <w:spacing w:line="360" w:lineRule="auto"/>
        <w:ind w:firstLine="4410" w:firstLineChars="2100"/>
        <w:jc w:val="left"/>
        <w:rPr>
          <w:rFonts w:hint="eastAsia" w:ascii="宋体" w:hAnsi="宋体" w:cs="宋体"/>
          <w:color w:val="000000" w:themeColor="text1"/>
          <w:u w:val="single"/>
        </w:rPr>
      </w:pPr>
      <w:r>
        <w:rPr>
          <w:rFonts w:hint="eastAsia" w:ascii="宋体" w:hAnsi="宋体" w:cs="宋体"/>
          <w:color w:val="000000" w:themeColor="text1"/>
        </w:rPr>
        <w:t>竞标人：</w:t>
      </w:r>
      <w:r>
        <w:rPr>
          <w:rFonts w:hint="eastAsia" w:ascii="宋体" w:hAnsi="宋体" w:cs="宋体"/>
          <w:color w:val="000000" w:themeColor="text1"/>
          <w:u w:val="single"/>
        </w:rPr>
        <w:t xml:space="preserve">                     （盖单位章）</w:t>
      </w:r>
    </w:p>
    <w:p w14:paraId="352A97F1">
      <w:pPr>
        <w:spacing w:line="360" w:lineRule="auto"/>
        <w:ind w:firstLine="1260" w:firstLineChars="600"/>
        <w:jc w:val="left"/>
        <w:rPr>
          <w:rFonts w:hint="eastAsia" w:ascii="宋体" w:hAnsi="宋体" w:cs="宋体"/>
          <w:color w:val="000000" w:themeColor="text1"/>
        </w:rPr>
      </w:pPr>
    </w:p>
    <w:p w14:paraId="1CBD8AE7">
      <w:pPr>
        <w:spacing w:line="360" w:lineRule="auto"/>
        <w:ind w:firstLine="3465" w:firstLineChars="1650"/>
        <w:jc w:val="left"/>
        <w:rPr>
          <w:rFonts w:hint="eastAsia" w:ascii="宋体" w:hAnsi="宋体" w:cs="宋体"/>
          <w:color w:val="000000" w:themeColor="text1"/>
          <w:u w:val="single"/>
        </w:rPr>
      </w:pPr>
      <w:r>
        <w:rPr>
          <w:rFonts w:hint="eastAsia" w:ascii="宋体" w:hAnsi="宋体" w:cs="宋体"/>
          <w:color w:val="000000" w:themeColor="text1"/>
        </w:rPr>
        <w:t>法定代表人或授权代理人：</w:t>
      </w:r>
      <w:r>
        <w:rPr>
          <w:rFonts w:hint="eastAsia" w:ascii="宋体" w:hAnsi="宋体" w:cs="宋体"/>
          <w:color w:val="000000" w:themeColor="text1"/>
          <w:u w:val="single"/>
        </w:rPr>
        <w:t xml:space="preserve">              （签字或盖章）</w:t>
      </w:r>
    </w:p>
    <w:p w14:paraId="0726CB21">
      <w:pPr>
        <w:spacing w:line="360" w:lineRule="auto"/>
        <w:ind w:firstLine="1260" w:firstLineChars="600"/>
        <w:jc w:val="left"/>
        <w:rPr>
          <w:rFonts w:hint="eastAsia" w:ascii="宋体" w:hAnsi="宋体" w:cs="宋体"/>
          <w:color w:val="000000" w:themeColor="text1"/>
        </w:rPr>
      </w:pPr>
    </w:p>
    <w:p w14:paraId="43B50FED">
      <w:pPr>
        <w:spacing w:line="360" w:lineRule="auto"/>
        <w:ind w:firstLine="4515" w:firstLineChars="2150"/>
        <w:jc w:val="left"/>
        <w:rPr>
          <w:rFonts w:hint="eastAsia" w:ascii="宋体" w:hAnsi="宋体" w:cs="宋体"/>
          <w:color w:val="000000" w:themeColor="text1"/>
        </w:rPr>
      </w:pPr>
      <w:r>
        <w:rPr>
          <w:rFonts w:hint="eastAsia" w:ascii="宋体" w:hAnsi="宋体" w:cs="宋体"/>
          <w:color w:val="000000" w:themeColor="text1"/>
        </w:rPr>
        <w:t>日期：</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年</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月</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日</w:t>
      </w:r>
    </w:p>
    <w:p w14:paraId="4A93439D">
      <w:pPr>
        <w:spacing w:line="360" w:lineRule="auto"/>
        <w:ind w:firstLine="525" w:firstLineChars="250"/>
        <w:jc w:val="center"/>
        <w:rPr>
          <w:rFonts w:hint="eastAsia" w:ascii="宋体" w:hAnsi="宋体" w:cs="宋体"/>
          <w:b/>
          <w:color w:val="000000" w:themeColor="text1"/>
          <w:sz w:val="28"/>
          <w:szCs w:val="28"/>
        </w:rPr>
      </w:pPr>
      <w:r>
        <w:rPr>
          <w:rFonts w:hint="eastAsia" w:ascii="宋体" w:hAnsi="宋体" w:cs="宋体"/>
          <w:color w:val="000000" w:themeColor="text1"/>
          <w:szCs w:val="21"/>
        </w:rPr>
        <w:br w:type="page"/>
      </w:r>
      <w:r>
        <w:rPr>
          <w:rFonts w:hint="eastAsia" w:ascii="宋体" w:hAnsi="宋体" w:cs="宋体"/>
          <w:b/>
          <w:color w:val="000000" w:themeColor="text1"/>
          <w:sz w:val="28"/>
          <w:szCs w:val="28"/>
        </w:rPr>
        <w:t>广西壮族自治区建筑工程安全文明施工措施项目清单内容</w:t>
      </w:r>
    </w:p>
    <w:p w14:paraId="695A846D">
      <w:pPr>
        <w:pStyle w:val="144"/>
        <w:spacing w:line="360" w:lineRule="auto"/>
        <w:jc w:val="center"/>
        <w:rPr>
          <w:rFonts w:hint="eastAsia" w:ascii="宋体" w:hAnsi="宋体" w:cs="宋体"/>
          <w:color w:val="000000" w:themeColor="text1"/>
        </w:rPr>
      </w:pPr>
      <w:r>
        <w:rPr>
          <w:rFonts w:hint="eastAsia" w:ascii="宋体" w:hAnsi="宋体" w:cs="宋体"/>
          <w:color w:val="000000" w:themeColor="text1"/>
          <w:sz w:val="24"/>
        </w:rPr>
        <w:t>（桂建质【2015】16号文附件一）</w:t>
      </w:r>
    </w:p>
    <w:p w14:paraId="1B088A3D">
      <w:pPr>
        <w:pStyle w:val="162"/>
        <w:spacing w:line="0" w:lineRule="atLeast"/>
        <w:jc w:val="center"/>
        <w:rPr>
          <w:rFonts w:hint="eastAsia" w:ascii="宋体" w:hAnsi="宋体" w:cs="宋体"/>
          <w:b/>
          <w:bCs/>
          <w:color w:val="000000" w:themeColor="text1"/>
          <w:sz w:val="24"/>
        </w:rPr>
      </w:pPr>
      <w:r>
        <w:rPr>
          <w:rFonts w:hint="eastAsia" w:ascii="宋体" w:hAnsi="宋体" w:cs="宋体"/>
          <w:b/>
          <w:bCs/>
          <w:color w:val="000000" w:themeColor="text1"/>
          <w:sz w:val="24"/>
        </w:rPr>
        <w:t>广西壮族自治区</w:t>
      </w:r>
    </w:p>
    <w:p w14:paraId="02A6EDBA">
      <w:pPr>
        <w:pStyle w:val="162"/>
        <w:spacing w:line="0" w:lineRule="atLeast"/>
        <w:jc w:val="center"/>
        <w:rPr>
          <w:rFonts w:hint="eastAsia" w:ascii="宋体" w:hAnsi="宋体" w:cs="宋体"/>
          <w:b/>
          <w:bCs/>
          <w:color w:val="000000" w:themeColor="text1"/>
          <w:w w:val="90"/>
          <w:sz w:val="24"/>
        </w:rPr>
      </w:pPr>
      <w:r>
        <w:rPr>
          <w:rFonts w:hint="eastAsia" w:ascii="宋体" w:hAnsi="宋体" w:cs="宋体"/>
          <w:b/>
          <w:bCs/>
          <w:color w:val="000000" w:themeColor="text1"/>
          <w:w w:val="90"/>
          <w:sz w:val="24"/>
        </w:rPr>
        <w:t>建设工程安全文明施工措施项目清单内容</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385F4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vAlign w:val="center"/>
          </w:tcPr>
          <w:p w14:paraId="7836F37A">
            <w:pPr>
              <w:pStyle w:val="162"/>
              <w:spacing w:line="300" w:lineRule="exact"/>
              <w:jc w:val="center"/>
              <w:rPr>
                <w:rFonts w:hint="eastAsia" w:ascii="宋体" w:hAnsi="宋体" w:cs="宋体"/>
                <w:b/>
                <w:bCs/>
                <w:color w:val="000000" w:themeColor="text1"/>
                <w:szCs w:val="21"/>
              </w:rPr>
            </w:pPr>
            <w:r>
              <w:rPr>
                <w:rFonts w:hint="eastAsia" w:ascii="宋体" w:hAnsi="宋体" w:cs="宋体"/>
                <w:b/>
                <w:bCs/>
                <w:color w:val="000000" w:themeColor="text1"/>
                <w:szCs w:val="21"/>
              </w:rPr>
              <w:t>类别</w:t>
            </w:r>
          </w:p>
        </w:tc>
        <w:tc>
          <w:tcPr>
            <w:tcW w:w="2070" w:type="dxa"/>
            <w:gridSpan w:val="2"/>
            <w:vAlign w:val="center"/>
          </w:tcPr>
          <w:p w14:paraId="1A31BCF6">
            <w:pPr>
              <w:pStyle w:val="162"/>
              <w:spacing w:line="300" w:lineRule="exact"/>
              <w:jc w:val="center"/>
              <w:rPr>
                <w:rFonts w:hint="eastAsia" w:ascii="宋体" w:hAnsi="宋体" w:cs="宋体"/>
                <w:b/>
                <w:bCs/>
                <w:color w:val="000000" w:themeColor="text1"/>
                <w:szCs w:val="21"/>
              </w:rPr>
            </w:pPr>
            <w:r>
              <w:rPr>
                <w:rFonts w:hint="eastAsia" w:ascii="宋体" w:hAnsi="宋体" w:cs="宋体"/>
                <w:b/>
                <w:bCs/>
                <w:color w:val="000000" w:themeColor="text1"/>
                <w:szCs w:val="21"/>
              </w:rPr>
              <w:t>项目名称</w:t>
            </w:r>
          </w:p>
        </w:tc>
        <w:tc>
          <w:tcPr>
            <w:tcW w:w="6645" w:type="dxa"/>
            <w:vAlign w:val="center"/>
          </w:tcPr>
          <w:p w14:paraId="51744E2E">
            <w:pPr>
              <w:pStyle w:val="162"/>
              <w:spacing w:line="300" w:lineRule="exact"/>
              <w:jc w:val="center"/>
              <w:rPr>
                <w:rFonts w:hint="eastAsia" w:ascii="宋体" w:hAnsi="宋体" w:cs="宋体"/>
                <w:b/>
                <w:bCs/>
                <w:color w:val="000000" w:themeColor="text1"/>
                <w:szCs w:val="21"/>
              </w:rPr>
            </w:pPr>
            <w:r>
              <w:rPr>
                <w:rFonts w:hint="eastAsia" w:ascii="宋体" w:hAnsi="宋体" w:cs="宋体"/>
                <w:b/>
                <w:bCs/>
                <w:color w:val="000000" w:themeColor="text1"/>
                <w:szCs w:val="21"/>
              </w:rPr>
              <w:t>主要内容和要求</w:t>
            </w:r>
          </w:p>
        </w:tc>
      </w:tr>
      <w:tr w14:paraId="0C729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6FC574A4">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文明</w:t>
            </w:r>
          </w:p>
          <w:p w14:paraId="16ED47B4">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施工</w:t>
            </w:r>
          </w:p>
          <w:p w14:paraId="2D261B82">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与</w:t>
            </w:r>
          </w:p>
          <w:p w14:paraId="288391CE">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环境</w:t>
            </w:r>
          </w:p>
          <w:p w14:paraId="5AEE970B">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保护</w:t>
            </w:r>
          </w:p>
        </w:tc>
        <w:tc>
          <w:tcPr>
            <w:tcW w:w="2070" w:type="dxa"/>
            <w:gridSpan w:val="2"/>
            <w:vAlign w:val="center"/>
          </w:tcPr>
          <w:p w14:paraId="2EC6B31F">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安全警示</w:t>
            </w:r>
          </w:p>
          <w:p w14:paraId="5F26BAA2">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标志牌</w:t>
            </w:r>
          </w:p>
        </w:tc>
        <w:tc>
          <w:tcPr>
            <w:tcW w:w="6645" w:type="dxa"/>
            <w:vAlign w:val="center"/>
          </w:tcPr>
          <w:p w14:paraId="470ED1DD">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在易发伤亡事故（或危险）处设置明显的、符合国家标准要求的安全警示标志牌。</w:t>
            </w:r>
          </w:p>
        </w:tc>
      </w:tr>
      <w:tr w14:paraId="3C36E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74238E1">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386C939F">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现场围挡</w:t>
            </w:r>
          </w:p>
        </w:tc>
        <w:tc>
          <w:tcPr>
            <w:tcW w:w="6645" w:type="dxa"/>
            <w:vAlign w:val="center"/>
          </w:tcPr>
          <w:p w14:paraId="7CD5FECD">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1. 现场采用封闭围挡，高度不小于1.8m。</w:t>
            </w:r>
          </w:p>
          <w:p w14:paraId="4FCC5C7B">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2. 围挡材料可用彩色、定型钢板，砌块等墙体。</w:t>
            </w:r>
          </w:p>
        </w:tc>
      </w:tr>
      <w:tr w14:paraId="25576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8FC0990">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23180041">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七牌二图</w:t>
            </w:r>
          </w:p>
        </w:tc>
        <w:tc>
          <w:tcPr>
            <w:tcW w:w="6645" w:type="dxa"/>
            <w:vAlign w:val="center"/>
          </w:tcPr>
          <w:p w14:paraId="6716EB4C">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在进门处悬挂工程概况、现场出入制度、管理人员名单及监督电话、安全生产规定、文明施工、消防保卫、节能公示等七牌以及施工现场总平面图、工程效果图。</w:t>
            </w:r>
          </w:p>
        </w:tc>
      </w:tr>
      <w:tr w14:paraId="3F62F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3E8BD679">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5331DFD5">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企业标志</w:t>
            </w:r>
          </w:p>
        </w:tc>
        <w:tc>
          <w:tcPr>
            <w:tcW w:w="6645" w:type="dxa"/>
            <w:vAlign w:val="center"/>
          </w:tcPr>
          <w:p w14:paraId="54655416">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现场出入的大门应设有本企业标志或企业标识。</w:t>
            </w:r>
          </w:p>
        </w:tc>
      </w:tr>
      <w:tr w14:paraId="30E19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2CC56F7">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39A34DFD">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场容场貌</w:t>
            </w:r>
          </w:p>
        </w:tc>
        <w:tc>
          <w:tcPr>
            <w:tcW w:w="6645" w:type="dxa"/>
            <w:vAlign w:val="center"/>
          </w:tcPr>
          <w:p w14:paraId="0064FE62">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1. 道路畅通。</w:t>
            </w:r>
          </w:p>
          <w:p w14:paraId="26A4F913">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2. 排水设施齐全畅通。</w:t>
            </w:r>
          </w:p>
          <w:p w14:paraId="5BBA905C">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3. 工地地面硬化处理（办公区、生活区、现场道路、材料堆放、混凝土搅拌、砂浆搅拌、钢筋加工等场地和外脚手架基础等）。</w:t>
            </w:r>
          </w:p>
        </w:tc>
      </w:tr>
      <w:tr w14:paraId="34DA5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60D6DB1">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61EF7FBF">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材料堆放</w:t>
            </w:r>
          </w:p>
        </w:tc>
        <w:tc>
          <w:tcPr>
            <w:tcW w:w="6645" w:type="dxa"/>
            <w:vAlign w:val="center"/>
          </w:tcPr>
          <w:p w14:paraId="54A80B89">
            <w:pPr>
              <w:pStyle w:val="162"/>
              <w:numPr>
                <w:ilvl w:val="0"/>
                <w:numId w:val="3"/>
              </w:numPr>
              <w:spacing w:line="300" w:lineRule="exact"/>
              <w:rPr>
                <w:rFonts w:hint="eastAsia" w:ascii="宋体" w:hAnsi="宋体" w:cs="宋体"/>
                <w:color w:val="000000" w:themeColor="text1"/>
                <w:szCs w:val="21"/>
              </w:rPr>
            </w:pPr>
            <w:r>
              <w:rPr>
                <w:rFonts w:hint="eastAsia" w:ascii="宋体" w:hAnsi="宋体" w:cs="宋体"/>
                <w:color w:val="000000" w:themeColor="text1"/>
                <w:szCs w:val="21"/>
              </w:rPr>
              <w:t>材料、构件、料具等堆放时，应有名称、品种、规格等标牌。</w:t>
            </w:r>
          </w:p>
          <w:p w14:paraId="2A832D2B">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2. 水泥和其它易飞扬细颗粒建筑材料应封闭存放或采取覆盖等措施。</w:t>
            </w:r>
          </w:p>
          <w:p w14:paraId="73B2441E">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3. 易燃、易爆和有毒有害物品分类存放。</w:t>
            </w:r>
          </w:p>
        </w:tc>
      </w:tr>
      <w:tr w14:paraId="2FE2A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5BEFE202">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3E32EFAC">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现场防火</w:t>
            </w:r>
          </w:p>
        </w:tc>
        <w:tc>
          <w:tcPr>
            <w:tcW w:w="6645" w:type="dxa"/>
            <w:vAlign w:val="center"/>
          </w:tcPr>
          <w:p w14:paraId="2B32F355">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消防器材配置合理，符合消防要求。</w:t>
            </w:r>
          </w:p>
        </w:tc>
      </w:tr>
      <w:tr w14:paraId="3FA3D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C26F05A">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13D1628C">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垃圾清运</w:t>
            </w:r>
          </w:p>
        </w:tc>
        <w:tc>
          <w:tcPr>
            <w:tcW w:w="6645" w:type="dxa"/>
            <w:vAlign w:val="center"/>
          </w:tcPr>
          <w:p w14:paraId="098263AB">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1. 施工现场应设置密闭式垃圾站，施工垃圾、生活垃圾应分类存放。</w:t>
            </w:r>
          </w:p>
          <w:p w14:paraId="6FEA919B">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2. 施工垃圾必须采用相应容器或管道运输。</w:t>
            </w:r>
          </w:p>
        </w:tc>
      </w:tr>
      <w:tr w14:paraId="0B773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EF6C034">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7D407BE3">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宣传栏、环保及不扰民措施</w:t>
            </w:r>
          </w:p>
        </w:tc>
        <w:tc>
          <w:tcPr>
            <w:tcW w:w="6645" w:type="dxa"/>
            <w:vAlign w:val="center"/>
          </w:tcPr>
          <w:p w14:paraId="1482BF51">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宣传栏、安全宣传标语等，洗车（防止污染市区道路）、粉尘、噪声控制和排污（污水、废气）措施等。</w:t>
            </w:r>
          </w:p>
        </w:tc>
      </w:tr>
      <w:tr w14:paraId="511CC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6D556F34">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临时设施</w:t>
            </w:r>
          </w:p>
        </w:tc>
        <w:tc>
          <w:tcPr>
            <w:tcW w:w="2070" w:type="dxa"/>
            <w:gridSpan w:val="2"/>
            <w:vAlign w:val="center"/>
          </w:tcPr>
          <w:p w14:paraId="7D2D7AD6">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现场办公</w:t>
            </w:r>
          </w:p>
          <w:p w14:paraId="6E3E52B9">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生活设施</w:t>
            </w:r>
          </w:p>
        </w:tc>
        <w:tc>
          <w:tcPr>
            <w:tcW w:w="6645" w:type="dxa"/>
            <w:vAlign w:val="center"/>
          </w:tcPr>
          <w:p w14:paraId="08AFA303">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1. 施工现场办公、生活区与作业区分开设置，保持安全距离。</w:t>
            </w:r>
          </w:p>
          <w:p w14:paraId="59635981">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2. 工地办公室、现场宿舍、食堂、厕所、饮水、沐浴、休息场所等符合卫生、消防安全要求。</w:t>
            </w:r>
          </w:p>
        </w:tc>
      </w:tr>
      <w:tr w14:paraId="5155F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C79A501">
            <w:pPr>
              <w:pStyle w:val="162"/>
              <w:spacing w:line="300" w:lineRule="exact"/>
              <w:jc w:val="center"/>
              <w:rPr>
                <w:rFonts w:hint="eastAsia" w:ascii="宋体" w:hAnsi="宋体" w:cs="宋体"/>
                <w:color w:val="000000" w:themeColor="text1"/>
                <w:szCs w:val="21"/>
              </w:rPr>
            </w:pPr>
          </w:p>
        </w:tc>
        <w:tc>
          <w:tcPr>
            <w:tcW w:w="525" w:type="dxa"/>
            <w:vMerge w:val="restart"/>
            <w:vAlign w:val="center"/>
          </w:tcPr>
          <w:p w14:paraId="7D3E1E20">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施工现场</w:t>
            </w:r>
          </w:p>
          <w:p w14:paraId="08D0E94F">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临时用电</w:t>
            </w:r>
          </w:p>
        </w:tc>
        <w:tc>
          <w:tcPr>
            <w:tcW w:w="1545" w:type="dxa"/>
            <w:vAlign w:val="center"/>
          </w:tcPr>
          <w:p w14:paraId="73C7A2EB">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配电线路</w:t>
            </w:r>
          </w:p>
        </w:tc>
        <w:tc>
          <w:tcPr>
            <w:tcW w:w="6645" w:type="dxa"/>
            <w:vAlign w:val="center"/>
          </w:tcPr>
          <w:p w14:paraId="2491C7B9">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1. 按照TN-S系统要求配备五芯电缆、四芯电缆和三芯电缆。</w:t>
            </w:r>
          </w:p>
          <w:p w14:paraId="3AF72634">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2. 按要求架设临时用电线路的电杆、横担、瓷夹、瓷瓶等，或电缆埋地的地沟。</w:t>
            </w:r>
          </w:p>
          <w:p w14:paraId="08A211BE">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3. 对靠近施工现场的外电线路，设置木质、塑料等绝缘体的防护设施。</w:t>
            </w:r>
          </w:p>
        </w:tc>
      </w:tr>
      <w:tr w14:paraId="27AD1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D151DD9">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2B22619A">
            <w:pPr>
              <w:pStyle w:val="162"/>
              <w:spacing w:line="300" w:lineRule="exact"/>
              <w:jc w:val="center"/>
              <w:rPr>
                <w:rFonts w:hint="eastAsia" w:ascii="宋体" w:hAnsi="宋体" w:cs="宋体"/>
                <w:color w:val="000000" w:themeColor="text1"/>
                <w:szCs w:val="21"/>
              </w:rPr>
            </w:pPr>
          </w:p>
        </w:tc>
        <w:tc>
          <w:tcPr>
            <w:tcW w:w="1545" w:type="dxa"/>
            <w:vAlign w:val="center"/>
          </w:tcPr>
          <w:p w14:paraId="41115F30">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配电箱</w:t>
            </w:r>
          </w:p>
          <w:p w14:paraId="6814C5D7">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开关箱</w:t>
            </w:r>
          </w:p>
        </w:tc>
        <w:tc>
          <w:tcPr>
            <w:tcW w:w="6645" w:type="dxa"/>
            <w:vAlign w:val="center"/>
          </w:tcPr>
          <w:p w14:paraId="4690217E">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1. 按三级配电要求，配备总配电箱、分配电箱、开关箱三类（铁质）标准电箱，开关箱应符合“一机、一箱、一闸、一漏”，三类电箱中的各类电器应是合格品。</w:t>
            </w:r>
          </w:p>
          <w:p w14:paraId="6A25465C">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2. 按两级保护的要求，选取符合容量要求和质量合格的总配电箱和开关箱中的漏电保护器。</w:t>
            </w:r>
          </w:p>
          <w:p w14:paraId="6B5BFE70">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3. 对大型、落地式分配电箱、开关箱设置防护棚和通透式围挡。</w:t>
            </w:r>
          </w:p>
        </w:tc>
      </w:tr>
      <w:tr w14:paraId="73476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1D89B3CD">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26C94093">
            <w:pPr>
              <w:pStyle w:val="162"/>
              <w:spacing w:line="300" w:lineRule="exact"/>
              <w:jc w:val="center"/>
              <w:rPr>
                <w:rFonts w:hint="eastAsia" w:ascii="宋体" w:hAnsi="宋体" w:cs="宋体"/>
                <w:color w:val="000000" w:themeColor="text1"/>
                <w:szCs w:val="21"/>
              </w:rPr>
            </w:pPr>
          </w:p>
        </w:tc>
        <w:tc>
          <w:tcPr>
            <w:tcW w:w="1545" w:type="dxa"/>
            <w:vAlign w:val="center"/>
          </w:tcPr>
          <w:p w14:paraId="2A04D55B">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接地装置</w:t>
            </w:r>
          </w:p>
        </w:tc>
        <w:tc>
          <w:tcPr>
            <w:tcW w:w="6645" w:type="dxa"/>
            <w:vAlign w:val="center"/>
          </w:tcPr>
          <w:p w14:paraId="1FB83C88">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施工现场应设置不少于三处的重复接地装置。</w:t>
            </w:r>
          </w:p>
        </w:tc>
      </w:tr>
      <w:tr w14:paraId="69580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0D9883AC">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639B387B">
            <w:pPr>
              <w:pStyle w:val="162"/>
              <w:spacing w:line="300" w:lineRule="exact"/>
              <w:jc w:val="center"/>
              <w:rPr>
                <w:rFonts w:hint="eastAsia" w:ascii="宋体" w:hAnsi="宋体" w:cs="宋体"/>
                <w:color w:val="000000" w:themeColor="text1"/>
                <w:szCs w:val="21"/>
              </w:rPr>
            </w:pPr>
          </w:p>
        </w:tc>
        <w:tc>
          <w:tcPr>
            <w:tcW w:w="1545" w:type="dxa"/>
            <w:vAlign w:val="center"/>
          </w:tcPr>
          <w:p w14:paraId="76FFA0E0">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现场变配电装置</w:t>
            </w:r>
          </w:p>
        </w:tc>
        <w:tc>
          <w:tcPr>
            <w:tcW w:w="6645" w:type="dxa"/>
            <w:vAlign w:val="center"/>
          </w:tcPr>
          <w:p w14:paraId="50C685A9">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总配电房建筑材料必须达到消防防火要求，室内做硬地坪、电缆沟。</w:t>
            </w:r>
          </w:p>
        </w:tc>
      </w:tr>
      <w:tr w14:paraId="041BE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vAlign w:val="center"/>
          </w:tcPr>
          <w:p w14:paraId="6542CC91">
            <w:pPr>
              <w:pStyle w:val="162"/>
              <w:spacing w:line="300" w:lineRule="exact"/>
              <w:jc w:val="center"/>
              <w:rPr>
                <w:rFonts w:hint="eastAsia" w:ascii="宋体" w:hAnsi="宋体" w:cs="宋体"/>
                <w:b/>
                <w:bCs/>
                <w:color w:val="000000" w:themeColor="text1"/>
                <w:szCs w:val="21"/>
              </w:rPr>
            </w:pPr>
            <w:r>
              <w:rPr>
                <w:rFonts w:hint="eastAsia" w:ascii="宋体" w:hAnsi="宋体" w:cs="宋体"/>
                <w:b/>
                <w:bCs/>
                <w:color w:val="000000" w:themeColor="text1"/>
                <w:szCs w:val="21"/>
              </w:rPr>
              <w:t>类别</w:t>
            </w:r>
          </w:p>
        </w:tc>
        <w:tc>
          <w:tcPr>
            <w:tcW w:w="2070" w:type="dxa"/>
            <w:gridSpan w:val="2"/>
            <w:vAlign w:val="center"/>
          </w:tcPr>
          <w:p w14:paraId="775BF152">
            <w:pPr>
              <w:pStyle w:val="162"/>
              <w:spacing w:line="300" w:lineRule="exact"/>
              <w:jc w:val="center"/>
              <w:rPr>
                <w:rFonts w:hint="eastAsia" w:ascii="宋体" w:hAnsi="宋体" w:cs="宋体"/>
                <w:b/>
                <w:bCs/>
                <w:color w:val="000000" w:themeColor="text1"/>
                <w:szCs w:val="21"/>
              </w:rPr>
            </w:pPr>
            <w:r>
              <w:rPr>
                <w:rFonts w:hint="eastAsia" w:ascii="宋体" w:hAnsi="宋体" w:cs="宋体"/>
                <w:b/>
                <w:bCs/>
                <w:color w:val="000000" w:themeColor="text1"/>
                <w:szCs w:val="21"/>
              </w:rPr>
              <w:t>项目名称</w:t>
            </w:r>
          </w:p>
        </w:tc>
        <w:tc>
          <w:tcPr>
            <w:tcW w:w="6645" w:type="dxa"/>
            <w:vAlign w:val="center"/>
          </w:tcPr>
          <w:p w14:paraId="12F869D6">
            <w:pPr>
              <w:pStyle w:val="162"/>
              <w:spacing w:line="300" w:lineRule="exact"/>
              <w:jc w:val="center"/>
              <w:rPr>
                <w:rFonts w:hint="eastAsia" w:ascii="宋体" w:hAnsi="宋体" w:cs="宋体"/>
                <w:b/>
                <w:bCs/>
                <w:color w:val="000000" w:themeColor="text1"/>
                <w:szCs w:val="21"/>
              </w:rPr>
            </w:pPr>
            <w:r>
              <w:rPr>
                <w:rFonts w:hint="eastAsia" w:ascii="宋体" w:hAnsi="宋体" w:cs="宋体"/>
                <w:b/>
                <w:bCs/>
                <w:color w:val="000000" w:themeColor="text1"/>
                <w:szCs w:val="21"/>
              </w:rPr>
              <w:t>主要内容和要求</w:t>
            </w:r>
          </w:p>
        </w:tc>
      </w:tr>
      <w:tr w14:paraId="64225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4CC59B37">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安全施工</w:t>
            </w:r>
          </w:p>
        </w:tc>
        <w:tc>
          <w:tcPr>
            <w:tcW w:w="525" w:type="dxa"/>
            <w:vMerge w:val="restart"/>
            <w:vAlign w:val="center"/>
          </w:tcPr>
          <w:p w14:paraId="4F34AC68">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高处作业防护</w:t>
            </w:r>
          </w:p>
        </w:tc>
        <w:tc>
          <w:tcPr>
            <w:tcW w:w="1545" w:type="dxa"/>
            <w:vAlign w:val="center"/>
          </w:tcPr>
          <w:p w14:paraId="41D3D72F">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楼层、屋面、阳台等临边</w:t>
            </w:r>
          </w:p>
        </w:tc>
        <w:tc>
          <w:tcPr>
            <w:tcW w:w="6645" w:type="dxa"/>
            <w:vAlign w:val="center"/>
          </w:tcPr>
          <w:p w14:paraId="210D262C">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设两道防护栏杆和18cm高的踢脚板，用密目式安全立网全封闭。</w:t>
            </w:r>
          </w:p>
        </w:tc>
      </w:tr>
      <w:tr w14:paraId="4DE14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3970476">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256AE627">
            <w:pPr>
              <w:pStyle w:val="162"/>
              <w:spacing w:line="300" w:lineRule="exact"/>
              <w:jc w:val="center"/>
              <w:rPr>
                <w:rFonts w:hint="eastAsia" w:ascii="宋体" w:hAnsi="宋体" w:cs="宋体"/>
                <w:color w:val="000000" w:themeColor="text1"/>
                <w:szCs w:val="21"/>
              </w:rPr>
            </w:pPr>
          </w:p>
        </w:tc>
        <w:tc>
          <w:tcPr>
            <w:tcW w:w="1545" w:type="dxa"/>
            <w:vAlign w:val="center"/>
          </w:tcPr>
          <w:p w14:paraId="790AE33D">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通道口</w:t>
            </w:r>
          </w:p>
        </w:tc>
        <w:tc>
          <w:tcPr>
            <w:tcW w:w="6645" w:type="dxa"/>
            <w:vAlign w:val="center"/>
          </w:tcPr>
          <w:p w14:paraId="0B2AF735">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设防护棚，防护棚应为不小于5cm厚的木板或两道相距50cm的竹笆。两侧应沿栏杆架用密目式安全网封闭。</w:t>
            </w:r>
          </w:p>
        </w:tc>
      </w:tr>
      <w:tr w14:paraId="7260A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BCA77F6">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01E0D4A5">
            <w:pPr>
              <w:pStyle w:val="162"/>
              <w:spacing w:line="300" w:lineRule="exact"/>
              <w:jc w:val="center"/>
              <w:rPr>
                <w:rFonts w:hint="eastAsia" w:ascii="宋体" w:hAnsi="宋体" w:cs="宋体"/>
                <w:color w:val="000000" w:themeColor="text1"/>
                <w:szCs w:val="21"/>
              </w:rPr>
            </w:pPr>
          </w:p>
        </w:tc>
        <w:tc>
          <w:tcPr>
            <w:tcW w:w="1545" w:type="dxa"/>
            <w:vAlign w:val="center"/>
          </w:tcPr>
          <w:p w14:paraId="172C7A9D">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预留洞口</w:t>
            </w:r>
          </w:p>
        </w:tc>
        <w:tc>
          <w:tcPr>
            <w:tcW w:w="6645" w:type="dxa"/>
            <w:vAlign w:val="center"/>
          </w:tcPr>
          <w:p w14:paraId="5B86E646">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用硬质材料全封闭，短边超过1.5m长的洞口，除封闭外四周还应设有防护栏杆。</w:t>
            </w:r>
          </w:p>
        </w:tc>
      </w:tr>
      <w:tr w14:paraId="247A2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3424F010">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185D0A5F">
            <w:pPr>
              <w:pStyle w:val="162"/>
              <w:spacing w:line="300" w:lineRule="exact"/>
              <w:jc w:val="center"/>
              <w:rPr>
                <w:rFonts w:hint="eastAsia" w:ascii="宋体" w:hAnsi="宋体" w:cs="宋体"/>
                <w:color w:val="000000" w:themeColor="text1"/>
                <w:szCs w:val="21"/>
              </w:rPr>
            </w:pPr>
          </w:p>
        </w:tc>
        <w:tc>
          <w:tcPr>
            <w:tcW w:w="1545" w:type="dxa"/>
            <w:vAlign w:val="center"/>
          </w:tcPr>
          <w:p w14:paraId="7370808F">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电梯井口</w:t>
            </w:r>
          </w:p>
        </w:tc>
        <w:tc>
          <w:tcPr>
            <w:tcW w:w="6645" w:type="dxa"/>
            <w:vAlign w:val="center"/>
          </w:tcPr>
          <w:p w14:paraId="45326F76">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设置定型化、工具化的防护门，在电梯井内每隔2层（不大于10m）设置一道水平防护。</w:t>
            </w:r>
          </w:p>
        </w:tc>
      </w:tr>
      <w:tr w14:paraId="36540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7361249">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2853179C">
            <w:pPr>
              <w:pStyle w:val="162"/>
              <w:spacing w:line="300" w:lineRule="exact"/>
              <w:jc w:val="center"/>
              <w:rPr>
                <w:rFonts w:hint="eastAsia" w:ascii="宋体" w:hAnsi="宋体" w:cs="宋体"/>
                <w:color w:val="000000" w:themeColor="text1"/>
                <w:szCs w:val="21"/>
              </w:rPr>
            </w:pPr>
          </w:p>
        </w:tc>
        <w:tc>
          <w:tcPr>
            <w:tcW w:w="1545" w:type="dxa"/>
            <w:vAlign w:val="center"/>
          </w:tcPr>
          <w:p w14:paraId="585EC128">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楼梯边</w:t>
            </w:r>
          </w:p>
        </w:tc>
        <w:tc>
          <w:tcPr>
            <w:tcW w:w="6645" w:type="dxa"/>
            <w:vAlign w:val="center"/>
          </w:tcPr>
          <w:p w14:paraId="0F84421F">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设1.2m高的定型化、工具化的防护栏，18cm高的踢脚板。</w:t>
            </w:r>
          </w:p>
        </w:tc>
      </w:tr>
      <w:tr w14:paraId="3BDF5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B2133E8">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050341AA">
            <w:pPr>
              <w:pStyle w:val="162"/>
              <w:spacing w:line="300" w:lineRule="exact"/>
              <w:jc w:val="center"/>
              <w:rPr>
                <w:rFonts w:hint="eastAsia" w:ascii="宋体" w:hAnsi="宋体" w:cs="宋体"/>
                <w:color w:val="000000" w:themeColor="text1"/>
                <w:szCs w:val="21"/>
              </w:rPr>
            </w:pPr>
          </w:p>
        </w:tc>
        <w:tc>
          <w:tcPr>
            <w:tcW w:w="1545" w:type="dxa"/>
            <w:vAlign w:val="center"/>
          </w:tcPr>
          <w:p w14:paraId="65B62363">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垂直方向交叉作业</w:t>
            </w:r>
          </w:p>
        </w:tc>
        <w:tc>
          <w:tcPr>
            <w:tcW w:w="6645" w:type="dxa"/>
            <w:vAlign w:val="center"/>
          </w:tcPr>
          <w:p w14:paraId="22944270">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设置防护隔离棚或其它设施。</w:t>
            </w:r>
          </w:p>
        </w:tc>
      </w:tr>
      <w:tr w14:paraId="14D60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22829EF">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75E7907F">
            <w:pPr>
              <w:pStyle w:val="162"/>
              <w:spacing w:line="300" w:lineRule="exact"/>
              <w:jc w:val="center"/>
              <w:rPr>
                <w:rFonts w:hint="eastAsia" w:ascii="宋体" w:hAnsi="宋体" w:cs="宋体"/>
                <w:color w:val="000000" w:themeColor="text1"/>
                <w:szCs w:val="21"/>
              </w:rPr>
            </w:pPr>
          </w:p>
        </w:tc>
        <w:tc>
          <w:tcPr>
            <w:tcW w:w="1545" w:type="dxa"/>
            <w:vAlign w:val="center"/>
          </w:tcPr>
          <w:p w14:paraId="7C196F5B">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高处作业</w:t>
            </w:r>
          </w:p>
        </w:tc>
        <w:tc>
          <w:tcPr>
            <w:tcW w:w="6645" w:type="dxa"/>
            <w:vAlign w:val="center"/>
          </w:tcPr>
          <w:p w14:paraId="197CACBE">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有悬挂安全带的悬索或其它设施，有操作平台，有上下的梯子或其它形式的通道。</w:t>
            </w:r>
          </w:p>
        </w:tc>
      </w:tr>
      <w:tr w14:paraId="55611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8BEA2A1">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513A8C71">
            <w:pPr>
              <w:pStyle w:val="162"/>
              <w:spacing w:line="300" w:lineRule="exact"/>
              <w:jc w:val="center"/>
              <w:rPr>
                <w:rFonts w:hint="eastAsia" w:ascii="宋体" w:hAnsi="宋体" w:cs="宋体"/>
                <w:color w:val="000000" w:themeColor="text1"/>
                <w:szCs w:val="21"/>
              </w:rPr>
            </w:pPr>
          </w:p>
        </w:tc>
        <w:tc>
          <w:tcPr>
            <w:tcW w:w="1545" w:type="dxa"/>
            <w:vAlign w:val="center"/>
          </w:tcPr>
          <w:p w14:paraId="16B9DD2F">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基坑、物料平台</w:t>
            </w:r>
          </w:p>
        </w:tc>
        <w:tc>
          <w:tcPr>
            <w:tcW w:w="6645" w:type="dxa"/>
            <w:vAlign w:val="center"/>
          </w:tcPr>
          <w:p w14:paraId="64B0621D">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设1.2m高标准化的防护栏，用密目式安全立网封闭，悬挂标识。</w:t>
            </w:r>
          </w:p>
        </w:tc>
      </w:tr>
      <w:tr w14:paraId="7B62C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61B9E7C">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65187CF8">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安全防护用品</w:t>
            </w:r>
          </w:p>
        </w:tc>
        <w:tc>
          <w:tcPr>
            <w:tcW w:w="6645" w:type="dxa"/>
            <w:vAlign w:val="center"/>
          </w:tcPr>
          <w:p w14:paraId="5A7258A5">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安全帽、安全带、特种作业人员（电工、焊工、架子工等）防护服装、用品等。</w:t>
            </w:r>
          </w:p>
        </w:tc>
      </w:tr>
      <w:tr w14:paraId="141D4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18DE328A">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其它</w:t>
            </w:r>
          </w:p>
        </w:tc>
        <w:tc>
          <w:tcPr>
            <w:tcW w:w="525" w:type="dxa"/>
            <w:vMerge w:val="restart"/>
            <w:vAlign w:val="center"/>
          </w:tcPr>
          <w:p w14:paraId="1CD38F4E">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机械设备防护</w:t>
            </w:r>
          </w:p>
        </w:tc>
        <w:tc>
          <w:tcPr>
            <w:tcW w:w="1545" w:type="dxa"/>
            <w:vAlign w:val="center"/>
          </w:tcPr>
          <w:p w14:paraId="0BCD128E">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中小型机械</w:t>
            </w:r>
          </w:p>
        </w:tc>
        <w:tc>
          <w:tcPr>
            <w:tcW w:w="6645" w:type="dxa"/>
            <w:vAlign w:val="center"/>
          </w:tcPr>
          <w:p w14:paraId="4353181D">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设防护棚（同通道口防护并有防雨措施）。</w:t>
            </w:r>
          </w:p>
        </w:tc>
      </w:tr>
      <w:tr w14:paraId="0DA38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71279D1">
            <w:pPr>
              <w:pStyle w:val="162"/>
              <w:spacing w:line="300" w:lineRule="exact"/>
              <w:jc w:val="center"/>
              <w:rPr>
                <w:rFonts w:hint="eastAsia" w:ascii="宋体" w:hAnsi="宋体" w:cs="宋体"/>
                <w:color w:val="000000" w:themeColor="text1"/>
                <w:szCs w:val="21"/>
              </w:rPr>
            </w:pPr>
          </w:p>
        </w:tc>
        <w:tc>
          <w:tcPr>
            <w:tcW w:w="525" w:type="dxa"/>
            <w:vMerge w:val="continue"/>
            <w:vAlign w:val="center"/>
          </w:tcPr>
          <w:p w14:paraId="4CD1DCF4">
            <w:pPr>
              <w:pStyle w:val="162"/>
              <w:spacing w:line="300" w:lineRule="exact"/>
              <w:jc w:val="center"/>
              <w:rPr>
                <w:rFonts w:hint="eastAsia" w:ascii="宋体" w:hAnsi="宋体" w:cs="宋体"/>
                <w:color w:val="000000" w:themeColor="text1"/>
                <w:szCs w:val="21"/>
              </w:rPr>
            </w:pPr>
          </w:p>
        </w:tc>
        <w:tc>
          <w:tcPr>
            <w:tcW w:w="1545" w:type="dxa"/>
            <w:vAlign w:val="center"/>
          </w:tcPr>
          <w:p w14:paraId="38A78B68">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垂直运输设备</w:t>
            </w:r>
          </w:p>
        </w:tc>
        <w:tc>
          <w:tcPr>
            <w:tcW w:w="6645" w:type="dxa"/>
            <w:vAlign w:val="center"/>
          </w:tcPr>
          <w:p w14:paraId="6A4E2E68">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1. 垂直运输设备检测、检验、日常维护、保养等。</w:t>
            </w:r>
          </w:p>
          <w:p w14:paraId="60E924A4">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2. 物料提升机、施工电梯等物料平台搭设、外侧用密目式安全立网全封闭，有安全通道、安全防护门、防护棚等。</w:t>
            </w:r>
          </w:p>
        </w:tc>
      </w:tr>
      <w:tr w14:paraId="71CEF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19ADDDC3">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0BC1179A">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专家论证审查</w:t>
            </w:r>
          </w:p>
        </w:tc>
        <w:tc>
          <w:tcPr>
            <w:tcW w:w="6645" w:type="dxa"/>
            <w:vAlign w:val="center"/>
          </w:tcPr>
          <w:p w14:paraId="6F89012C">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超过一定规模的危险性较大分部分项工程专家论证审查。</w:t>
            </w:r>
          </w:p>
        </w:tc>
      </w:tr>
      <w:tr w14:paraId="32747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594E52D5">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2587F90B">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应急救援预案</w:t>
            </w:r>
          </w:p>
        </w:tc>
        <w:tc>
          <w:tcPr>
            <w:tcW w:w="6645" w:type="dxa"/>
            <w:vAlign w:val="center"/>
          </w:tcPr>
          <w:p w14:paraId="2E0AF298">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救援器材准备及演练等。</w:t>
            </w:r>
          </w:p>
        </w:tc>
      </w:tr>
      <w:tr w14:paraId="0F185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AE9B335">
            <w:pPr>
              <w:pStyle w:val="162"/>
              <w:spacing w:line="300" w:lineRule="exact"/>
              <w:jc w:val="center"/>
              <w:rPr>
                <w:rFonts w:hint="eastAsia" w:ascii="宋体" w:hAnsi="宋体" w:cs="宋体"/>
                <w:color w:val="000000" w:themeColor="text1"/>
                <w:szCs w:val="21"/>
              </w:rPr>
            </w:pPr>
          </w:p>
        </w:tc>
        <w:tc>
          <w:tcPr>
            <w:tcW w:w="2070" w:type="dxa"/>
            <w:gridSpan w:val="2"/>
            <w:vAlign w:val="center"/>
          </w:tcPr>
          <w:p w14:paraId="2B429CAB">
            <w:pPr>
              <w:pStyle w:val="162"/>
              <w:spacing w:line="300" w:lineRule="exact"/>
              <w:jc w:val="center"/>
              <w:rPr>
                <w:rFonts w:hint="eastAsia" w:ascii="宋体" w:hAnsi="宋体" w:cs="宋体"/>
                <w:color w:val="000000" w:themeColor="text1"/>
                <w:szCs w:val="21"/>
              </w:rPr>
            </w:pPr>
            <w:r>
              <w:rPr>
                <w:rFonts w:hint="eastAsia" w:ascii="宋体" w:hAnsi="宋体" w:cs="宋体"/>
                <w:color w:val="000000" w:themeColor="text1"/>
                <w:szCs w:val="21"/>
              </w:rPr>
              <w:t>非正常情况施工</w:t>
            </w:r>
          </w:p>
        </w:tc>
        <w:tc>
          <w:tcPr>
            <w:tcW w:w="6645" w:type="dxa"/>
            <w:vAlign w:val="center"/>
          </w:tcPr>
          <w:p w14:paraId="4D9252D8">
            <w:pPr>
              <w:pStyle w:val="162"/>
              <w:spacing w:line="300" w:lineRule="exact"/>
              <w:rPr>
                <w:rFonts w:hint="eastAsia" w:ascii="宋体" w:hAnsi="宋体" w:cs="宋体"/>
                <w:color w:val="000000" w:themeColor="text1"/>
                <w:szCs w:val="21"/>
              </w:rPr>
            </w:pPr>
            <w:r>
              <w:rPr>
                <w:rFonts w:hint="eastAsia" w:ascii="宋体" w:hAnsi="宋体" w:cs="宋体"/>
                <w:color w:val="000000" w:themeColor="text1"/>
                <w:szCs w:val="21"/>
              </w:rPr>
              <w:t>其它特殊情况下的防护费用，如：城市主干道、人流密集、河边等处施工及文物、古建筑、古树保护等。</w:t>
            </w:r>
          </w:p>
        </w:tc>
      </w:tr>
    </w:tbl>
    <w:p w14:paraId="685E9740">
      <w:pPr>
        <w:pStyle w:val="144"/>
        <w:spacing w:line="360" w:lineRule="auto"/>
        <w:ind w:firstLine="525" w:firstLineChars="250"/>
        <w:jc w:val="center"/>
        <w:rPr>
          <w:rFonts w:hint="eastAsia" w:ascii="宋体" w:hAnsi="宋体" w:cs="宋体"/>
          <w:color w:val="000000" w:themeColor="text1"/>
        </w:rPr>
      </w:pPr>
      <w:r>
        <w:rPr>
          <w:rFonts w:hint="eastAsia" w:ascii="宋体" w:hAnsi="宋体" w:cs="宋体"/>
          <w:color w:val="000000" w:themeColor="text1"/>
          <w:szCs w:val="21"/>
        </w:rPr>
        <w:t>注：本表所列建设工程安全文明施工费，是依据现行法律法规及标准、规范确定的。如法律法规和标准、规范修订，本表所列项目应按照修订后的法律法规和标准规范进行调整。</w:t>
      </w:r>
    </w:p>
    <w:p w14:paraId="75955410">
      <w:pPr>
        <w:ind w:firstLine="420" w:firstLineChars="200"/>
        <w:rPr>
          <w:rFonts w:hint="eastAsia" w:ascii="宋体" w:hAnsi="宋体" w:cs="宋体"/>
          <w:color w:val="000000" w:themeColor="text1"/>
        </w:rPr>
      </w:pPr>
    </w:p>
    <w:p w14:paraId="606A5513">
      <w:pPr>
        <w:spacing w:line="360" w:lineRule="auto"/>
        <w:rPr>
          <w:rFonts w:hint="eastAsia" w:ascii="宋体" w:hAnsi="宋体" w:cs="宋体"/>
          <w:color w:val="000000" w:themeColor="text1"/>
          <w:sz w:val="24"/>
        </w:rPr>
      </w:pPr>
    </w:p>
    <w:p w14:paraId="4D237E85">
      <w:pPr>
        <w:spacing w:line="360" w:lineRule="auto"/>
        <w:rPr>
          <w:rFonts w:hint="eastAsia" w:ascii="宋体" w:hAnsi="宋体" w:cs="宋体"/>
          <w:b/>
          <w:color w:val="000000" w:themeColor="text1"/>
          <w:sz w:val="28"/>
          <w:szCs w:val="28"/>
        </w:rPr>
        <w:sectPr>
          <w:footerReference r:id="rId6" w:type="default"/>
          <w:pgSz w:w="11907" w:h="16840"/>
          <w:pgMar w:top="1440" w:right="1080" w:bottom="1440" w:left="1080" w:header="851" w:footer="851" w:gutter="0"/>
          <w:cols w:space="720" w:num="1"/>
          <w:docGrid w:linePitch="312" w:charSpace="0"/>
        </w:sectPr>
      </w:pPr>
    </w:p>
    <w:p w14:paraId="61930E07">
      <w:pPr>
        <w:pStyle w:val="194"/>
        <w:jc w:val="center"/>
        <w:outlineLvl w:val="0"/>
        <w:rPr>
          <w:rFonts w:hint="eastAsia" w:ascii="宋体" w:hAnsi="宋体" w:eastAsia="宋体" w:cs="宋体"/>
          <w:color w:val="000000" w:themeColor="text1"/>
          <w:highlight w:val="none"/>
          <w:u w:val="single"/>
        </w:rPr>
      </w:pPr>
      <w:bookmarkStart w:id="1769" w:name="_Toc19709"/>
      <w:bookmarkStart w:id="1770" w:name="_Toc10394"/>
      <w:r>
        <w:rPr>
          <w:rFonts w:hint="eastAsia" w:ascii="宋体" w:hAnsi="宋体" w:cs="宋体"/>
          <w:b/>
          <w:color w:val="000000" w:themeColor="text1"/>
          <w:sz w:val="28"/>
          <w:szCs w:val="28"/>
          <w:highlight w:val="none"/>
          <w:lang w:val="en-US" w:eastAsia="zh-CN"/>
        </w:rPr>
        <w:t>4、</w:t>
      </w:r>
      <w:r>
        <w:rPr>
          <w:rFonts w:hint="eastAsia" w:ascii="宋体" w:hAnsi="宋体" w:eastAsia="宋体" w:cs="宋体"/>
          <w:b/>
          <w:color w:val="000000" w:themeColor="text1"/>
          <w:sz w:val="28"/>
          <w:szCs w:val="28"/>
          <w:highlight w:val="none"/>
        </w:rPr>
        <w:t>项目经理（注册建造师）简历表</w:t>
      </w:r>
      <w:bookmarkEnd w:id="1769"/>
      <w:bookmarkEnd w:id="1770"/>
    </w:p>
    <w:p w14:paraId="3E70CFF4">
      <w:pPr>
        <w:pStyle w:val="194"/>
        <w:rPr>
          <w:rFonts w:hint="eastAsia" w:ascii="宋体" w:hAnsi="宋体" w:eastAsia="宋体" w:cs="宋体"/>
          <w:color w:val="000000" w:themeColor="text1"/>
          <w:highlight w:val="none"/>
          <w:u w:val="single"/>
        </w:rPr>
      </w:pPr>
    </w:p>
    <w:p w14:paraId="5376C2DC">
      <w:pPr>
        <w:pStyle w:val="194"/>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u w:val="single"/>
        </w:rPr>
        <w:t xml:space="preserve">            （采购工程项目名称）        </w:t>
      </w:r>
      <w:r>
        <w:rPr>
          <w:rFonts w:hint="eastAsia" w:ascii="宋体" w:hAnsi="宋体" w:eastAsia="宋体" w:cs="宋体"/>
          <w:color w:val="000000" w:themeColor="text1"/>
          <w:highlight w:val="none"/>
        </w:rPr>
        <w:t xml:space="preserve"> 工程</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B98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335AC5B0">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姓名</w:t>
            </w:r>
          </w:p>
        </w:tc>
        <w:tc>
          <w:tcPr>
            <w:tcW w:w="2340" w:type="dxa"/>
            <w:gridSpan w:val="3"/>
            <w:noWrap w:val="0"/>
            <w:vAlign w:val="center"/>
          </w:tcPr>
          <w:p w14:paraId="6D458A60">
            <w:pPr>
              <w:jc w:val="center"/>
              <w:rPr>
                <w:rFonts w:hint="eastAsia" w:ascii="宋体" w:hAnsi="宋体" w:eastAsia="宋体" w:cs="宋体"/>
                <w:color w:val="000000" w:themeColor="text1"/>
                <w:szCs w:val="24"/>
                <w:highlight w:val="none"/>
              </w:rPr>
            </w:pPr>
          </w:p>
        </w:tc>
        <w:tc>
          <w:tcPr>
            <w:tcW w:w="1893" w:type="dxa"/>
            <w:gridSpan w:val="2"/>
            <w:noWrap w:val="0"/>
            <w:vAlign w:val="center"/>
          </w:tcPr>
          <w:p w14:paraId="45DF748C">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性别</w:t>
            </w:r>
          </w:p>
        </w:tc>
        <w:tc>
          <w:tcPr>
            <w:tcW w:w="1585" w:type="dxa"/>
            <w:gridSpan w:val="2"/>
            <w:noWrap w:val="0"/>
            <w:vAlign w:val="center"/>
          </w:tcPr>
          <w:p w14:paraId="385BABCD">
            <w:pPr>
              <w:jc w:val="center"/>
              <w:rPr>
                <w:rFonts w:hint="eastAsia" w:ascii="宋体" w:hAnsi="宋体" w:eastAsia="宋体" w:cs="宋体"/>
                <w:color w:val="000000" w:themeColor="text1"/>
                <w:szCs w:val="24"/>
                <w:highlight w:val="none"/>
              </w:rPr>
            </w:pPr>
          </w:p>
        </w:tc>
        <w:tc>
          <w:tcPr>
            <w:tcW w:w="1108" w:type="dxa"/>
            <w:gridSpan w:val="2"/>
            <w:noWrap w:val="0"/>
            <w:vAlign w:val="center"/>
          </w:tcPr>
          <w:p w14:paraId="633C34BB">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年龄</w:t>
            </w:r>
          </w:p>
        </w:tc>
        <w:tc>
          <w:tcPr>
            <w:tcW w:w="1276" w:type="dxa"/>
            <w:noWrap w:val="0"/>
            <w:vAlign w:val="center"/>
          </w:tcPr>
          <w:p w14:paraId="1A84316E">
            <w:pPr>
              <w:jc w:val="center"/>
              <w:rPr>
                <w:rFonts w:hint="eastAsia" w:ascii="宋体" w:hAnsi="宋体" w:eastAsia="宋体" w:cs="宋体"/>
                <w:color w:val="000000" w:themeColor="text1"/>
                <w:szCs w:val="24"/>
                <w:highlight w:val="none"/>
              </w:rPr>
            </w:pPr>
          </w:p>
        </w:tc>
      </w:tr>
      <w:tr w14:paraId="7232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7F81CD6D">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职务</w:t>
            </w:r>
          </w:p>
        </w:tc>
        <w:tc>
          <w:tcPr>
            <w:tcW w:w="2340" w:type="dxa"/>
            <w:gridSpan w:val="3"/>
            <w:noWrap w:val="0"/>
            <w:vAlign w:val="center"/>
          </w:tcPr>
          <w:p w14:paraId="33CD06B3">
            <w:pPr>
              <w:jc w:val="center"/>
              <w:rPr>
                <w:rFonts w:hint="eastAsia" w:ascii="宋体" w:hAnsi="宋体" w:eastAsia="宋体" w:cs="宋体"/>
                <w:color w:val="000000" w:themeColor="text1"/>
                <w:szCs w:val="24"/>
                <w:highlight w:val="none"/>
              </w:rPr>
            </w:pPr>
          </w:p>
        </w:tc>
        <w:tc>
          <w:tcPr>
            <w:tcW w:w="1893" w:type="dxa"/>
            <w:gridSpan w:val="2"/>
            <w:noWrap w:val="0"/>
            <w:vAlign w:val="center"/>
          </w:tcPr>
          <w:p w14:paraId="11B02424">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职称</w:t>
            </w:r>
          </w:p>
        </w:tc>
        <w:tc>
          <w:tcPr>
            <w:tcW w:w="1585" w:type="dxa"/>
            <w:gridSpan w:val="2"/>
            <w:noWrap w:val="0"/>
            <w:vAlign w:val="center"/>
          </w:tcPr>
          <w:p w14:paraId="31EAA157">
            <w:pPr>
              <w:jc w:val="center"/>
              <w:rPr>
                <w:rFonts w:hint="eastAsia" w:ascii="宋体" w:hAnsi="宋体" w:eastAsia="宋体" w:cs="宋体"/>
                <w:color w:val="000000" w:themeColor="text1"/>
                <w:szCs w:val="24"/>
                <w:highlight w:val="none"/>
              </w:rPr>
            </w:pPr>
          </w:p>
        </w:tc>
        <w:tc>
          <w:tcPr>
            <w:tcW w:w="1108" w:type="dxa"/>
            <w:gridSpan w:val="2"/>
            <w:noWrap w:val="0"/>
            <w:vAlign w:val="center"/>
          </w:tcPr>
          <w:p w14:paraId="3FDE8F1F">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学历</w:t>
            </w:r>
          </w:p>
        </w:tc>
        <w:tc>
          <w:tcPr>
            <w:tcW w:w="1276" w:type="dxa"/>
            <w:noWrap w:val="0"/>
            <w:vAlign w:val="center"/>
          </w:tcPr>
          <w:p w14:paraId="13A6B76B">
            <w:pPr>
              <w:jc w:val="center"/>
              <w:rPr>
                <w:rFonts w:hint="eastAsia" w:ascii="宋体" w:hAnsi="宋体" w:eastAsia="宋体" w:cs="宋体"/>
                <w:color w:val="000000" w:themeColor="text1"/>
                <w:szCs w:val="24"/>
                <w:highlight w:val="none"/>
              </w:rPr>
            </w:pPr>
          </w:p>
        </w:tc>
      </w:tr>
      <w:tr w14:paraId="562F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1180829">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参加工作时间</w:t>
            </w:r>
          </w:p>
        </w:tc>
        <w:tc>
          <w:tcPr>
            <w:tcW w:w="1893" w:type="dxa"/>
            <w:gridSpan w:val="2"/>
            <w:noWrap w:val="0"/>
            <w:vAlign w:val="center"/>
          </w:tcPr>
          <w:p w14:paraId="31BA3E31">
            <w:pPr>
              <w:jc w:val="center"/>
              <w:rPr>
                <w:rFonts w:hint="eastAsia" w:ascii="宋体" w:hAnsi="宋体" w:eastAsia="宋体" w:cs="宋体"/>
                <w:color w:val="000000" w:themeColor="text1"/>
                <w:szCs w:val="24"/>
                <w:highlight w:val="none"/>
              </w:rPr>
            </w:pPr>
          </w:p>
        </w:tc>
        <w:tc>
          <w:tcPr>
            <w:tcW w:w="2693" w:type="dxa"/>
            <w:gridSpan w:val="4"/>
            <w:noWrap w:val="0"/>
            <w:vAlign w:val="center"/>
          </w:tcPr>
          <w:p w14:paraId="565F3DB3">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担任项目经理年限</w:t>
            </w:r>
          </w:p>
        </w:tc>
        <w:tc>
          <w:tcPr>
            <w:tcW w:w="1276" w:type="dxa"/>
            <w:noWrap w:val="0"/>
            <w:vAlign w:val="center"/>
          </w:tcPr>
          <w:p w14:paraId="6B19F7A6">
            <w:pPr>
              <w:jc w:val="center"/>
              <w:rPr>
                <w:rFonts w:hint="eastAsia" w:ascii="宋体" w:hAnsi="宋体" w:eastAsia="宋体" w:cs="宋体"/>
                <w:color w:val="000000" w:themeColor="text1"/>
                <w:szCs w:val="24"/>
                <w:highlight w:val="none"/>
              </w:rPr>
            </w:pPr>
          </w:p>
        </w:tc>
      </w:tr>
      <w:tr w14:paraId="59EE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88E9B28">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建造师注册编号</w:t>
            </w:r>
          </w:p>
        </w:tc>
        <w:tc>
          <w:tcPr>
            <w:tcW w:w="5862" w:type="dxa"/>
            <w:gridSpan w:val="7"/>
            <w:noWrap w:val="0"/>
            <w:vAlign w:val="center"/>
          </w:tcPr>
          <w:p w14:paraId="573A4453">
            <w:pPr>
              <w:jc w:val="center"/>
              <w:rPr>
                <w:rFonts w:hint="eastAsia" w:ascii="宋体" w:hAnsi="宋体" w:eastAsia="宋体" w:cs="宋体"/>
                <w:color w:val="000000" w:themeColor="text1"/>
                <w:szCs w:val="24"/>
                <w:highlight w:val="none"/>
              </w:rPr>
            </w:pPr>
          </w:p>
        </w:tc>
      </w:tr>
      <w:tr w14:paraId="1FD9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4F7D8C04">
            <w:pPr>
              <w:jc w:val="center"/>
              <w:rPr>
                <w:rFonts w:hint="eastAsia" w:ascii="宋体" w:hAnsi="宋体" w:eastAsia="宋体" w:cs="宋体"/>
                <w:color w:val="000000" w:themeColor="text1"/>
                <w:szCs w:val="24"/>
                <w:highlight w:val="none"/>
                <w:lang w:eastAsia="zh-CN"/>
              </w:rPr>
            </w:pPr>
            <w:r>
              <w:rPr>
                <w:rFonts w:hint="eastAsia" w:hAnsi="宋体" w:eastAsia="宋体" w:cs="宋体"/>
                <w:color w:val="000000" w:themeColor="text1"/>
                <w:szCs w:val="24"/>
                <w:highlight w:val="none"/>
                <w:lang w:eastAsia="zh-CN"/>
              </w:rPr>
              <w:t>身份证号</w:t>
            </w:r>
          </w:p>
        </w:tc>
        <w:tc>
          <w:tcPr>
            <w:tcW w:w="5862" w:type="dxa"/>
            <w:gridSpan w:val="7"/>
            <w:noWrap w:val="0"/>
            <w:vAlign w:val="center"/>
          </w:tcPr>
          <w:p w14:paraId="73D7BF8D">
            <w:pPr>
              <w:jc w:val="center"/>
              <w:rPr>
                <w:rFonts w:hint="eastAsia" w:ascii="宋体" w:hAnsi="宋体" w:eastAsia="宋体" w:cs="宋体"/>
                <w:color w:val="000000" w:themeColor="text1"/>
                <w:szCs w:val="24"/>
                <w:highlight w:val="none"/>
              </w:rPr>
            </w:pPr>
          </w:p>
        </w:tc>
      </w:tr>
      <w:tr w14:paraId="3095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64E0A7E6">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在建和已完工程项目情况</w:t>
            </w:r>
          </w:p>
        </w:tc>
      </w:tr>
      <w:tr w14:paraId="5069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5AEB24D6">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建设单位</w:t>
            </w:r>
          </w:p>
        </w:tc>
        <w:tc>
          <w:tcPr>
            <w:tcW w:w="1548" w:type="dxa"/>
            <w:noWrap w:val="0"/>
            <w:vAlign w:val="center"/>
          </w:tcPr>
          <w:p w14:paraId="06A356F5">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项目名称</w:t>
            </w:r>
          </w:p>
        </w:tc>
        <w:tc>
          <w:tcPr>
            <w:tcW w:w="1547" w:type="dxa"/>
            <w:gridSpan w:val="2"/>
            <w:noWrap w:val="0"/>
            <w:vAlign w:val="center"/>
          </w:tcPr>
          <w:p w14:paraId="06B21E66">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建设规模</w:t>
            </w:r>
          </w:p>
        </w:tc>
        <w:tc>
          <w:tcPr>
            <w:tcW w:w="1548" w:type="dxa"/>
            <w:gridSpan w:val="2"/>
            <w:noWrap w:val="0"/>
            <w:vAlign w:val="center"/>
          </w:tcPr>
          <w:p w14:paraId="5A8C7369">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开、竣工日期</w:t>
            </w:r>
          </w:p>
        </w:tc>
        <w:tc>
          <w:tcPr>
            <w:tcW w:w="1547" w:type="dxa"/>
            <w:gridSpan w:val="2"/>
            <w:noWrap w:val="0"/>
            <w:vAlign w:val="center"/>
          </w:tcPr>
          <w:p w14:paraId="59709AE2">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在建或已完</w:t>
            </w:r>
          </w:p>
        </w:tc>
        <w:tc>
          <w:tcPr>
            <w:tcW w:w="1548" w:type="dxa"/>
            <w:gridSpan w:val="2"/>
            <w:noWrap w:val="0"/>
            <w:vAlign w:val="center"/>
          </w:tcPr>
          <w:p w14:paraId="7349DA81">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工程质量</w:t>
            </w:r>
          </w:p>
        </w:tc>
      </w:tr>
      <w:tr w14:paraId="39BA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18F1CCF">
            <w:pPr>
              <w:jc w:val="center"/>
              <w:rPr>
                <w:rFonts w:hint="eastAsia" w:ascii="宋体" w:hAnsi="宋体" w:eastAsia="宋体" w:cs="宋体"/>
                <w:color w:val="000000" w:themeColor="text1"/>
                <w:szCs w:val="24"/>
                <w:highlight w:val="none"/>
              </w:rPr>
            </w:pPr>
          </w:p>
        </w:tc>
        <w:tc>
          <w:tcPr>
            <w:tcW w:w="1548" w:type="dxa"/>
            <w:noWrap w:val="0"/>
            <w:vAlign w:val="center"/>
          </w:tcPr>
          <w:p w14:paraId="7D0B7956">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04D5A5AA">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05E3D3F8">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5BD9F7E9">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00687DA2">
            <w:pPr>
              <w:jc w:val="center"/>
              <w:rPr>
                <w:rFonts w:hint="eastAsia" w:ascii="宋体" w:hAnsi="宋体" w:eastAsia="宋体" w:cs="宋体"/>
                <w:color w:val="000000" w:themeColor="text1"/>
                <w:szCs w:val="24"/>
                <w:highlight w:val="none"/>
              </w:rPr>
            </w:pPr>
          </w:p>
        </w:tc>
      </w:tr>
      <w:tr w14:paraId="121F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7167B57B">
            <w:pPr>
              <w:jc w:val="center"/>
              <w:rPr>
                <w:rFonts w:hint="eastAsia" w:ascii="宋体" w:hAnsi="宋体" w:eastAsia="宋体" w:cs="宋体"/>
                <w:color w:val="000000" w:themeColor="text1"/>
                <w:szCs w:val="24"/>
                <w:highlight w:val="none"/>
              </w:rPr>
            </w:pPr>
          </w:p>
        </w:tc>
        <w:tc>
          <w:tcPr>
            <w:tcW w:w="1548" w:type="dxa"/>
            <w:noWrap w:val="0"/>
            <w:vAlign w:val="center"/>
          </w:tcPr>
          <w:p w14:paraId="728B0D96">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04299850">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523BF82B">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13ADD031">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52499CD6">
            <w:pPr>
              <w:jc w:val="center"/>
              <w:rPr>
                <w:rFonts w:hint="eastAsia" w:ascii="宋体" w:hAnsi="宋体" w:eastAsia="宋体" w:cs="宋体"/>
                <w:color w:val="000000" w:themeColor="text1"/>
                <w:szCs w:val="24"/>
                <w:highlight w:val="none"/>
              </w:rPr>
            </w:pPr>
          </w:p>
        </w:tc>
      </w:tr>
      <w:tr w14:paraId="778C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4408910">
            <w:pPr>
              <w:jc w:val="center"/>
              <w:rPr>
                <w:rFonts w:hint="eastAsia" w:ascii="宋体" w:hAnsi="宋体" w:eastAsia="宋体" w:cs="宋体"/>
                <w:color w:val="000000" w:themeColor="text1"/>
                <w:szCs w:val="24"/>
                <w:highlight w:val="none"/>
              </w:rPr>
            </w:pPr>
          </w:p>
        </w:tc>
        <w:tc>
          <w:tcPr>
            <w:tcW w:w="1548" w:type="dxa"/>
            <w:noWrap w:val="0"/>
            <w:vAlign w:val="center"/>
          </w:tcPr>
          <w:p w14:paraId="6ADD15F4">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1C22D46C">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6A32C45F">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6E6397B2">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0FF151CB">
            <w:pPr>
              <w:jc w:val="center"/>
              <w:rPr>
                <w:rFonts w:hint="eastAsia" w:ascii="宋体" w:hAnsi="宋体" w:eastAsia="宋体" w:cs="宋体"/>
                <w:color w:val="000000" w:themeColor="text1"/>
                <w:szCs w:val="24"/>
                <w:highlight w:val="none"/>
              </w:rPr>
            </w:pPr>
          </w:p>
        </w:tc>
      </w:tr>
      <w:tr w14:paraId="5C22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23DF2FC3">
            <w:pPr>
              <w:jc w:val="center"/>
              <w:rPr>
                <w:rFonts w:hint="eastAsia" w:ascii="宋体" w:hAnsi="宋体" w:eastAsia="宋体" w:cs="宋体"/>
                <w:color w:val="000000" w:themeColor="text1"/>
                <w:szCs w:val="24"/>
                <w:highlight w:val="none"/>
              </w:rPr>
            </w:pPr>
          </w:p>
        </w:tc>
        <w:tc>
          <w:tcPr>
            <w:tcW w:w="1548" w:type="dxa"/>
            <w:noWrap w:val="0"/>
            <w:vAlign w:val="center"/>
          </w:tcPr>
          <w:p w14:paraId="1D4676AE">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3E2D466C">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3A5008E4">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19106293">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14C52788">
            <w:pPr>
              <w:jc w:val="center"/>
              <w:rPr>
                <w:rFonts w:hint="eastAsia" w:ascii="宋体" w:hAnsi="宋体" w:eastAsia="宋体" w:cs="宋体"/>
                <w:color w:val="000000" w:themeColor="text1"/>
                <w:szCs w:val="24"/>
                <w:highlight w:val="none"/>
              </w:rPr>
            </w:pPr>
          </w:p>
        </w:tc>
      </w:tr>
    </w:tbl>
    <w:p w14:paraId="6AEE261F">
      <w:pPr>
        <w:spacing w:line="360" w:lineRule="auto"/>
        <w:rPr>
          <w:rFonts w:hint="eastAsia" w:ascii="宋体" w:hAnsi="宋体" w:eastAsia="宋体" w:cs="宋体"/>
          <w:color w:val="000000" w:themeColor="text1"/>
          <w:szCs w:val="21"/>
          <w:highlight w:val="none"/>
        </w:rPr>
      </w:pPr>
    </w:p>
    <w:p w14:paraId="3B73D13F">
      <w:pPr>
        <w:spacing w:line="360" w:lineRule="auto"/>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备注：</w:t>
      </w:r>
    </w:p>
    <w:p w14:paraId="58AC280F">
      <w:pPr>
        <w:spacing w:line="360" w:lineRule="auto"/>
        <w:ind w:firstLine="420" w:firstLineChars="200"/>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1、附项目经理注册建造师注册证书、安全生产考核合格证书（B证）</w:t>
      </w:r>
      <w:r>
        <w:rPr>
          <w:rFonts w:hint="eastAsia" w:hAnsi="宋体" w:eastAsia="宋体" w:cs="宋体"/>
          <w:color w:val="000000" w:themeColor="text1"/>
          <w:szCs w:val="24"/>
          <w:highlight w:val="none"/>
          <w:lang w:eastAsia="zh-CN"/>
        </w:rPr>
        <w:t>、身份证</w:t>
      </w:r>
      <w:r>
        <w:rPr>
          <w:rFonts w:hint="eastAsia" w:ascii="宋体" w:hAnsi="宋体" w:eastAsia="宋体" w:cs="宋体"/>
          <w:color w:val="000000" w:themeColor="text1"/>
          <w:szCs w:val="24"/>
          <w:highlight w:val="none"/>
        </w:rPr>
        <w:t>和已完工程成交通知书（如有）、工程合同协议书、工程竣工验收证明材料的</w:t>
      </w:r>
      <w:r>
        <w:rPr>
          <w:rFonts w:hint="eastAsia" w:hAnsi="宋体" w:eastAsia="宋体" w:cs="宋体"/>
          <w:color w:val="000000" w:themeColor="text1"/>
          <w:szCs w:val="24"/>
          <w:highlight w:val="none"/>
          <w:lang w:eastAsia="zh-CN"/>
        </w:rPr>
        <w:t>复印件</w:t>
      </w:r>
      <w:r>
        <w:rPr>
          <w:rFonts w:hint="eastAsia" w:ascii="宋体" w:hAnsi="宋体" w:eastAsia="宋体" w:cs="宋体"/>
          <w:color w:val="000000" w:themeColor="text1"/>
          <w:szCs w:val="24"/>
          <w:highlight w:val="none"/>
        </w:rPr>
        <w:t>，以及</w:t>
      </w:r>
      <w:r>
        <w:rPr>
          <w:rFonts w:hint="eastAsia" w:hAnsi="宋体" w:eastAsia="宋体" w:cs="宋体"/>
          <w:color w:val="000000" w:themeColor="text1"/>
          <w:szCs w:val="24"/>
          <w:highlight w:val="none"/>
          <w:lang w:eastAsia="zh-CN"/>
        </w:rPr>
        <w:t>竞标人</w:t>
      </w:r>
      <w:r>
        <w:rPr>
          <w:rFonts w:hint="eastAsia" w:ascii="宋体" w:hAnsi="宋体" w:eastAsia="宋体" w:cs="宋体"/>
          <w:color w:val="000000" w:themeColor="text1"/>
          <w:szCs w:val="24"/>
          <w:highlight w:val="none"/>
        </w:rPr>
        <w:t>认为需要增加的其他证明材料复印件，以上复印件须加盖</w:t>
      </w:r>
      <w:r>
        <w:rPr>
          <w:rFonts w:hint="eastAsia" w:hAnsi="宋体" w:eastAsia="宋体" w:cs="宋体"/>
          <w:color w:val="000000" w:themeColor="text1"/>
          <w:szCs w:val="24"/>
          <w:highlight w:val="none"/>
          <w:lang w:eastAsia="zh-CN"/>
        </w:rPr>
        <w:t>竞标人</w:t>
      </w:r>
      <w:r>
        <w:rPr>
          <w:rFonts w:hint="eastAsia" w:ascii="宋体" w:hAnsi="宋体" w:eastAsia="宋体" w:cs="宋体"/>
          <w:color w:val="000000" w:themeColor="text1"/>
          <w:szCs w:val="24"/>
          <w:highlight w:val="none"/>
        </w:rPr>
        <w:t>单位公章。</w:t>
      </w:r>
    </w:p>
    <w:p w14:paraId="1A4C2426">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3A3F48EE">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3FF08215">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223E6AF5">
      <w:pPr>
        <w:pStyle w:val="29"/>
        <w:rPr>
          <w:rFonts w:hint="eastAsia" w:hAnsi="宋体" w:cs="宋体"/>
          <w:b/>
          <w:bCs/>
          <w:color w:val="000000" w:themeColor="text1"/>
          <w:sz w:val="28"/>
          <w:szCs w:val="28"/>
        </w:rPr>
      </w:pPr>
    </w:p>
    <w:p w14:paraId="043EFAC7">
      <w:pPr>
        <w:pStyle w:val="29"/>
        <w:rPr>
          <w:rFonts w:hint="eastAsia" w:hAnsi="宋体" w:cs="宋体"/>
          <w:b/>
          <w:bCs/>
          <w:color w:val="000000" w:themeColor="text1"/>
          <w:sz w:val="28"/>
          <w:szCs w:val="28"/>
        </w:rPr>
      </w:pPr>
    </w:p>
    <w:p w14:paraId="2B257A60">
      <w:pPr>
        <w:pStyle w:val="29"/>
        <w:rPr>
          <w:rFonts w:hint="eastAsia" w:hAnsi="宋体" w:cs="宋体"/>
          <w:b/>
          <w:bCs/>
          <w:color w:val="000000" w:themeColor="text1"/>
          <w:sz w:val="28"/>
          <w:szCs w:val="28"/>
        </w:rPr>
      </w:pPr>
    </w:p>
    <w:p w14:paraId="6E78BCF0">
      <w:pPr>
        <w:pStyle w:val="29"/>
        <w:rPr>
          <w:rFonts w:hint="eastAsia" w:hAnsi="宋体" w:cs="宋体"/>
          <w:b/>
          <w:bCs/>
          <w:color w:val="000000" w:themeColor="text1"/>
          <w:sz w:val="28"/>
          <w:szCs w:val="28"/>
        </w:rPr>
      </w:pPr>
    </w:p>
    <w:p w14:paraId="5A0B23BD">
      <w:pPr>
        <w:pStyle w:val="3"/>
        <w:rPr>
          <w:rFonts w:hint="eastAsia"/>
          <w:color w:val="000000" w:themeColor="text1"/>
          <w:lang w:val="en-US" w:eastAsia="zh-CN"/>
        </w:rPr>
      </w:pPr>
    </w:p>
    <w:p w14:paraId="1BD31004">
      <w:pPr>
        <w:widowControl w:val="0"/>
        <w:jc w:val="center"/>
        <w:outlineLvl w:val="0"/>
        <w:rPr>
          <w:rFonts w:hint="eastAsia" w:hAnsi="宋体" w:eastAsia="宋体" w:cs="宋体"/>
          <w:b/>
          <w:color w:val="000000" w:themeColor="text1"/>
          <w:kern w:val="2"/>
          <w:sz w:val="28"/>
          <w:szCs w:val="28"/>
          <w:highlight w:val="none"/>
          <w:lang w:val="en-US" w:eastAsia="zh-CN" w:bidi="ar-SA"/>
        </w:rPr>
      </w:pPr>
      <w:bookmarkStart w:id="1771" w:name="_Toc2922"/>
      <w:bookmarkStart w:id="1772" w:name="_Toc28493"/>
    </w:p>
    <w:p w14:paraId="43B8C2E0">
      <w:pPr>
        <w:widowControl w:val="0"/>
        <w:jc w:val="center"/>
        <w:outlineLvl w:val="0"/>
        <w:rPr>
          <w:rFonts w:hint="eastAsia" w:ascii="宋体" w:hAnsi="宋体" w:eastAsia="宋体" w:cs="宋体"/>
          <w:color w:val="000000" w:themeColor="text1"/>
          <w:kern w:val="2"/>
          <w:sz w:val="28"/>
          <w:szCs w:val="28"/>
          <w:highlight w:val="none"/>
          <w:u w:val="single"/>
          <w:lang w:val="en-US" w:eastAsia="zh-CN" w:bidi="ar-SA"/>
        </w:rPr>
      </w:pPr>
      <w:r>
        <w:rPr>
          <w:rFonts w:hint="eastAsia" w:hAnsi="宋体" w:eastAsia="宋体" w:cs="宋体"/>
          <w:b/>
          <w:color w:val="000000" w:themeColor="text1"/>
          <w:kern w:val="2"/>
          <w:sz w:val="28"/>
          <w:szCs w:val="28"/>
          <w:highlight w:val="none"/>
          <w:lang w:val="en-US" w:eastAsia="zh-CN" w:bidi="ar-SA"/>
        </w:rPr>
        <w:t>5</w:t>
      </w:r>
      <w:r>
        <w:rPr>
          <w:rFonts w:hint="eastAsia" w:ascii="宋体" w:hAnsi="宋体" w:eastAsia="宋体" w:cs="宋体"/>
          <w:b/>
          <w:color w:val="000000" w:themeColor="text1"/>
          <w:kern w:val="2"/>
          <w:sz w:val="28"/>
          <w:szCs w:val="28"/>
          <w:highlight w:val="none"/>
          <w:lang w:val="en-US" w:eastAsia="zh-CN" w:bidi="ar-SA"/>
        </w:rPr>
        <w:t>、专职安全员简历表</w:t>
      </w:r>
      <w:bookmarkEnd w:id="1771"/>
      <w:bookmarkEnd w:id="1772"/>
    </w:p>
    <w:p w14:paraId="487555F2">
      <w:pPr>
        <w:widowControl w:val="0"/>
        <w:jc w:val="both"/>
        <w:rPr>
          <w:rFonts w:hint="eastAsia" w:ascii="宋体" w:hAnsi="宋体" w:eastAsia="宋体" w:cs="宋体"/>
          <w:color w:val="000000" w:themeColor="text1"/>
          <w:kern w:val="2"/>
          <w:sz w:val="21"/>
          <w:szCs w:val="24"/>
          <w:highlight w:val="none"/>
          <w:u w:val="single"/>
          <w:lang w:val="en-US" w:eastAsia="zh-CN" w:bidi="ar-SA"/>
        </w:rPr>
      </w:pPr>
    </w:p>
    <w:p w14:paraId="313663B6">
      <w:pPr>
        <w:widowControl w:val="0"/>
        <w:jc w:val="both"/>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u w:val="single"/>
          <w:lang w:val="en-US" w:eastAsia="zh-CN" w:bidi="ar-SA"/>
        </w:rPr>
        <w:t xml:space="preserve">            （采购工程项目名称）        </w:t>
      </w:r>
      <w:r>
        <w:rPr>
          <w:rFonts w:hint="eastAsia" w:ascii="宋体" w:hAnsi="宋体" w:eastAsia="宋体" w:cs="宋体"/>
          <w:color w:val="000000" w:themeColor="text1"/>
          <w:kern w:val="2"/>
          <w:sz w:val="21"/>
          <w:szCs w:val="24"/>
          <w:highlight w:val="none"/>
          <w:lang w:val="en-US" w:eastAsia="zh-CN" w:bidi="ar-SA"/>
        </w:rPr>
        <w:t xml:space="preserve"> 工程</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647"/>
        <w:gridCol w:w="900"/>
        <w:gridCol w:w="674"/>
        <w:gridCol w:w="874"/>
        <w:gridCol w:w="711"/>
        <w:gridCol w:w="836"/>
        <w:gridCol w:w="272"/>
        <w:gridCol w:w="1276"/>
      </w:tblGrid>
      <w:tr w14:paraId="0729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174F8E09">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姓名</w:t>
            </w:r>
          </w:p>
        </w:tc>
        <w:tc>
          <w:tcPr>
            <w:tcW w:w="2659" w:type="dxa"/>
            <w:gridSpan w:val="3"/>
            <w:noWrap w:val="0"/>
            <w:vAlign w:val="center"/>
          </w:tcPr>
          <w:p w14:paraId="0A9AF5D3">
            <w:pPr>
              <w:jc w:val="center"/>
              <w:rPr>
                <w:rFonts w:hint="eastAsia" w:ascii="宋体" w:hAnsi="宋体" w:eastAsia="宋体" w:cs="宋体"/>
                <w:color w:val="000000" w:themeColor="text1"/>
                <w:szCs w:val="24"/>
                <w:highlight w:val="none"/>
              </w:rPr>
            </w:pPr>
          </w:p>
        </w:tc>
        <w:tc>
          <w:tcPr>
            <w:tcW w:w="1574" w:type="dxa"/>
            <w:gridSpan w:val="2"/>
            <w:noWrap w:val="0"/>
            <w:vAlign w:val="center"/>
          </w:tcPr>
          <w:p w14:paraId="1C30DA0E">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性别</w:t>
            </w:r>
          </w:p>
        </w:tc>
        <w:tc>
          <w:tcPr>
            <w:tcW w:w="1585" w:type="dxa"/>
            <w:gridSpan w:val="2"/>
            <w:noWrap w:val="0"/>
            <w:vAlign w:val="center"/>
          </w:tcPr>
          <w:p w14:paraId="1DD5CAA6">
            <w:pPr>
              <w:jc w:val="center"/>
              <w:rPr>
                <w:rFonts w:hint="eastAsia" w:ascii="宋体" w:hAnsi="宋体" w:eastAsia="宋体" w:cs="宋体"/>
                <w:color w:val="000000" w:themeColor="text1"/>
                <w:szCs w:val="24"/>
                <w:highlight w:val="none"/>
              </w:rPr>
            </w:pPr>
          </w:p>
        </w:tc>
        <w:tc>
          <w:tcPr>
            <w:tcW w:w="1108" w:type="dxa"/>
            <w:gridSpan w:val="2"/>
            <w:noWrap w:val="0"/>
            <w:vAlign w:val="center"/>
          </w:tcPr>
          <w:p w14:paraId="0BB4AA4D">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年龄</w:t>
            </w:r>
          </w:p>
        </w:tc>
        <w:tc>
          <w:tcPr>
            <w:tcW w:w="1276" w:type="dxa"/>
            <w:noWrap w:val="0"/>
            <w:vAlign w:val="center"/>
          </w:tcPr>
          <w:p w14:paraId="6B630432">
            <w:pPr>
              <w:jc w:val="center"/>
              <w:rPr>
                <w:rFonts w:hint="eastAsia" w:ascii="宋体" w:hAnsi="宋体" w:eastAsia="宋体" w:cs="宋体"/>
                <w:color w:val="000000" w:themeColor="text1"/>
                <w:szCs w:val="24"/>
                <w:highlight w:val="none"/>
              </w:rPr>
            </w:pPr>
          </w:p>
        </w:tc>
      </w:tr>
      <w:tr w14:paraId="23D0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7896959C">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职务</w:t>
            </w:r>
          </w:p>
        </w:tc>
        <w:tc>
          <w:tcPr>
            <w:tcW w:w="2659" w:type="dxa"/>
            <w:gridSpan w:val="3"/>
            <w:noWrap w:val="0"/>
            <w:vAlign w:val="center"/>
          </w:tcPr>
          <w:p w14:paraId="26045717">
            <w:pPr>
              <w:jc w:val="center"/>
              <w:rPr>
                <w:rFonts w:hint="eastAsia" w:ascii="宋体" w:hAnsi="宋体" w:eastAsia="宋体" w:cs="宋体"/>
                <w:color w:val="000000" w:themeColor="text1"/>
                <w:szCs w:val="24"/>
                <w:highlight w:val="none"/>
              </w:rPr>
            </w:pPr>
          </w:p>
        </w:tc>
        <w:tc>
          <w:tcPr>
            <w:tcW w:w="1574" w:type="dxa"/>
            <w:gridSpan w:val="2"/>
            <w:noWrap w:val="0"/>
            <w:vAlign w:val="center"/>
          </w:tcPr>
          <w:p w14:paraId="1FFE743A">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职称</w:t>
            </w:r>
          </w:p>
        </w:tc>
        <w:tc>
          <w:tcPr>
            <w:tcW w:w="1585" w:type="dxa"/>
            <w:gridSpan w:val="2"/>
            <w:noWrap w:val="0"/>
            <w:vAlign w:val="center"/>
          </w:tcPr>
          <w:p w14:paraId="27AB7C54">
            <w:pPr>
              <w:jc w:val="center"/>
              <w:rPr>
                <w:rFonts w:hint="eastAsia" w:ascii="宋体" w:hAnsi="宋体" w:eastAsia="宋体" w:cs="宋体"/>
                <w:color w:val="000000" w:themeColor="text1"/>
                <w:szCs w:val="24"/>
                <w:highlight w:val="none"/>
              </w:rPr>
            </w:pPr>
          </w:p>
        </w:tc>
        <w:tc>
          <w:tcPr>
            <w:tcW w:w="1108" w:type="dxa"/>
            <w:gridSpan w:val="2"/>
            <w:noWrap w:val="0"/>
            <w:vAlign w:val="center"/>
          </w:tcPr>
          <w:p w14:paraId="425B4DC5">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学历</w:t>
            </w:r>
          </w:p>
        </w:tc>
        <w:tc>
          <w:tcPr>
            <w:tcW w:w="1276" w:type="dxa"/>
            <w:noWrap w:val="0"/>
            <w:vAlign w:val="center"/>
          </w:tcPr>
          <w:p w14:paraId="2656B716">
            <w:pPr>
              <w:jc w:val="center"/>
              <w:rPr>
                <w:rFonts w:hint="eastAsia" w:ascii="宋体" w:hAnsi="宋体" w:eastAsia="宋体" w:cs="宋体"/>
                <w:color w:val="000000" w:themeColor="text1"/>
                <w:szCs w:val="24"/>
                <w:highlight w:val="none"/>
              </w:rPr>
            </w:pPr>
          </w:p>
        </w:tc>
      </w:tr>
      <w:tr w14:paraId="4FE2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742" w:type="dxa"/>
            <w:gridSpan w:val="4"/>
            <w:noWrap w:val="0"/>
            <w:vAlign w:val="center"/>
          </w:tcPr>
          <w:p w14:paraId="471330D8">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参加工作时间</w:t>
            </w:r>
          </w:p>
        </w:tc>
        <w:tc>
          <w:tcPr>
            <w:tcW w:w="1574" w:type="dxa"/>
            <w:gridSpan w:val="2"/>
            <w:noWrap w:val="0"/>
            <w:vAlign w:val="center"/>
          </w:tcPr>
          <w:p w14:paraId="2C27381E">
            <w:pPr>
              <w:jc w:val="center"/>
              <w:rPr>
                <w:rFonts w:hint="eastAsia" w:ascii="宋体" w:hAnsi="宋体" w:eastAsia="宋体" w:cs="宋体"/>
                <w:color w:val="000000" w:themeColor="text1"/>
                <w:szCs w:val="24"/>
                <w:highlight w:val="none"/>
              </w:rPr>
            </w:pPr>
          </w:p>
        </w:tc>
        <w:tc>
          <w:tcPr>
            <w:tcW w:w="2693" w:type="dxa"/>
            <w:gridSpan w:val="4"/>
            <w:noWrap w:val="0"/>
            <w:vAlign w:val="center"/>
          </w:tcPr>
          <w:p w14:paraId="2D1D78C1">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担任专职安全员年限</w:t>
            </w:r>
          </w:p>
        </w:tc>
        <w:tc>
          <w:tcPr>
            <w:tcW w:w="1276" w:type="dxa"/>
            <w:noWrap w:val="0"/>
            <w:vAlign w:val="center"/>
          </w:tcPr>
          <w:p w14:paraId="7F69944F">
            <w:pPr>
              <w:jc w:val="center"/>
              <w:rPr>
                <w:rFonts w:hint="eastAsia" w:ascii="宋体" w:hAnsi="宋体" w:eastAsia="宋体" w:cs="宋体"/>
                <w:color w:val="000000" w:themeColor="text1"/>
                <w:szCs w:val="24"/>
                <w:highlight w:val="none"/>
              </w:rPr>
            </w:pPr>
          </w:p>
        </w:tc>
      </w:tr>
      <w:tr w14:paraId="78DB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742" w:type="dxa"/>
            <w:gridSpan w:val="4"/>
            <w:noWrap w:val="0"/>
            <w:vAlign w:val="center"/>
          </w:tcPr>
          <w:p w14:paraId="552C1501">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安全生产考核合格证书（C类）编号</w:t>
            </w:r>
          </w:p>
        </w:tc>
        <w:tc>
          <w:tcPr>
            <w:tcW w:w="5543" w:type="dxa"/>
            <w:gridSpan w:val="7"/>
            <w:noWrap w:val="0"/>
            <w:vAlign w:val="center"/>
          </w:tcPr>
          <w:p w14:paraId="00562B39">
            <w:pPr>
              <w:jc w:val="center"/>
              <w:rPr>
                <w:rFonts w:hint="eastAsia" w:ascii="宋体" w:hAnsi="宋体" w:eastAsia="宋体" w:cs="宋体"/>
                <w:color w:val="000000" w:themeColor="text1"/>
                <w:szCs w:val="24"/>
                <w:highlight w:val="none"/>
              </w:rPr>
            </w:pPr>
          </w:p>
        </w:tc>
      </w:tr>
      <w:tr w14:paraId="341E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742" w:type="dxa"/>
            <w:gridSpan w:val="4"/>
            <w:noWrap w:val="0"/>
            <w:vAlign w:val="center"/>
          </w:tcPr>
          <w:p w14:paraId="6336E09C">
            <w:pPr>
              <w:jc w:val="center"/>
              <w:rPr>
                <w:rFonts w:hint="eastAsia" w:ascii="宋体" w:hAnsi="宋体" w:eastAsia="宋体" w:cs="宋体"/>
                <w:color w:val="000000" w:themeColor="text1"/>
                <w:szCs w:val="24"/>
                <w:highlight w:val="none"/>
                <w:lang w:eastAsia="zh-CN"/>
              </w:rPr>
            </w:pPr>
            <w:r>
              <w:rPr>
                <w:rFonts w:hint="eastAsia" w:hAnsi="宋体" w:eastAsia="宋体" w:cs="宋体"/>
                <w:color w:val="000000" w:themeColor="text1"/>
                <w:szCs w:val="24"/>
                <w:highlight w:val="none"/>
                <w:lang w:eastAsia="zh-CN"/>
              </w:rPr>
              <w:t>身份证号</w:t>
            </w:r>
          </w:p>
        </w:tc>
        <w:tc>
          <w:tcPr>
            <w:tcW w:w="5543" w:type="dxa"/>
            <w:gridSpan w:val="7"/>
            <w:noWrap w:val="0"/>
            <w:vAlign w:val="center"/>
          </w:tcPr>
          <w:p w14:paraId="61C85904">
            <w:pPr>
              <w:jc w:val="center"/>
              <w:rPr>
                <w:rFonts w:hint="eastAsia" w:ascii="宋体" w:hAnsi="宋体" w:eastAsia="宋体" w:cs="宋体"/>
                <w:color w:val="000000" w:themeColor="text1"/>
                <w:szCs w:val="24"/>
                <w:highlight w:val="none"/>
              </w:rPr>
            </w:pPr>
          </w:p>
        </w:tc>
      </w:tr>
      <w:tr w14:paraId="341D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5118C8D6">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在建和已完工程项目情况</w:t>
            </w:r>
          </w:p>
        </w:tc>
      </w:tr>
      <w:tr w14:paraId="13E9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45817488">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建设单位</w:t>
            </w:r>
          </w:p>
        </w:tc>
        <w:tc>
          <w:tcPr>
            <w:tcW w:w="1548" w:type="dxa"/>
            <w:noWrap w:val="0"/>
            <w:vAlign w:val="center"/>
          </w:tcPr>
          <w:p w14:paraId="4D79FCE1">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项目名称</w:t>
            </w:r>
          </w:p>
        </w:tc>
        <w:tc>
          <w:tcPr>
            <w:tcW w:w="1547" w:type="dxa"/>
            <w:gridSpan w:val="2"/>
            <w:noWrap w:val="0"/>
            <w:vAlign w:val="center"/>
          </w:tcPr>
          <w:p w14:paraId="3A217745">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建设规模</w:t>
            </w:r>
          </w:p>
        </w:tc>
        <w:tc>
          <w:tcPr>
            <w:tcW w:w="1548" w:type="dxa"/>
            <w:gridSpan w:val="2"/>
            <w:noWrap w:val="0"/>
            <w:vAlign w:val="center"/>
          </w:tcPr>
          <w:p w14:paraId="3509B97F">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开、竣工日期</w:t>
            </w:r>
          </w:p>
        </w:tc>
        <w:tc>
          <w:tcPr>
            <w:tcW w:w="1547" w:type="dxa"/>
            <w:gridSpan w:val="2"/>
            <w:noWrap w:val="0"/>
            <w:vAlign w:val="center"/>
          </w:tcPr>
          <w:p w14:paraId="3799C292">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在建或已完</w:t>
            </w:r>
          </w:p>
        </w:tc>
        <w:tc>
          <w:tcPr>
            <w:tcW w:w="1548" w:type="dxa"/>
            <w:gridSpan w:val="2"/>
            <w:noWrap w:val="0"/>
            <w:vAlign w:val="center"/>
          </w:tcPr>
          <w:p w14:paraId="152FF4B5">
            <w:pPr>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工程质量</w:t>
            </w:r>
          </w:p>
        </w:tc>
      </w:tr>
      <w:tr w14:paraId="6F19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ADDAC16">
            <w:pPr>
              <w:jc w:val="center"/>
              <w:rPr>
                <w:rFonts w:hint="eastAsia" w:ascii="宋体" w:hAnsi="宋体" w:eastAsia="宋体" w:cs="宋体"/>
                <w:color w:val="000000" w:themeColor="text1"/>
                <w:szCs w:val="24"/>
                <w:highlight w:val="none"/>
              </w:rPr>
            </w:pPr>
          </w:p>
        </w:tc>
        <w:tc>
          <w:tcPr>
            <w:tcW w:w="1548" w:type="dxa"/>
            <w:noWrap w:val="0"/>
            <w:vAlign w:val="center"/>
          </w:tcPr>
          <w:p w14:paraId="367CA44B">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55E85767">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0A0AE13F">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32E8916F">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7402C187">
            <w:pPr>
              <w:jc w:val="center"/>
              <w:rPr>
                <w:rFonts w:hint="eastAsia" w:ascii="宋体" w:hAnsi="宋体" w:eastAsia="宋体" w:cs="宋体"/>
                <w:color w:val="000000" w:themeColor="text1"/>
                <w:szCs w:val="24"/>
                <w:highlight w:val="none"/>
              </w:rPr>
            </w:pPr>
          </w:p>
        </w:tc>
      </w:tr>
      <w:tr w14:paraId="57CB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9180D53">
            <w:pPr>
              <w:jc w:val="center"/>
              <w:rPr>
                <w:rFonts w:hint="eastAsia" w:ascii="宋体" w:hAnsi="宋体" w:eastAsia="宋体" w:cs="宋体"/>
                <w:color w:val="000000" w:themeColor="text1"/>
                <w:szCs w:val="24"/>
                <w:highlight w:val="none"/>
              </w:rPr>
            </w:pPr>
          </w:p>
        </w:tc>
        <w:tc>
          <w:tcPr>
            <w:tcW w:w="1548" w:type="dxa"/>
            <w:noWrap w:val="0"/>
            <w:vAlign w:val="center"/>
          </w:tcPr>
          <w:p w14:paraId="4E675D7F">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689ABE16">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2C1B6E78">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152164EF">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3BFB15DF">
            <w:pPr>
              <w:jc w:val="center"/>
              <w:rPr>
                <w:rFonts w:hint="eastAsia" w:ascii="宋体" w:hAnsi="宋体" w:eastAsia="宋体" w:cs="宋体"/>
                <w:color w:val="000000" w:themeColor="text1"/>
                <w:szCs w:val="24"/>
                <w:highlight w:val="none"/>
              </w:rPr>
            </w:pPr>
          </w:p>
        </w:tc>
      </w:tr>
      <w:tr w14:paraId="7113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2E81DEEB">
            <w:pPr>
              <w:jc w:val="center"/>
              <w:rPr>
                <w:rFonts w:hint="eastAsia" w:ascii="宋体" w:hAnsi="宋体" w:eastAsia="宋体" w:cs="宋体"/>
                <w:color w:val="000000" w:themeColor="text1"/>
                <w:szCs w:val="24"/>
                <w:highlight w:val="none"/>
              </w:rPr>
            </w:pPr>
          </w:p>
        </w:tc>
        <w:tc>
          <w:tcPr>
            <w:tcW w:w="1548" w:type="dxa"/>
            <w:noWrap w:val="0"/>
            <w:vAlign w:val="center"/>
          </w:tcPr>
          <w:p w14:paraId="28D01123">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21C80E5A">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406C529D">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7705FE45">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2E516DEA">
            <w:pPr>
              <w:jc w:val="center"/>
              <w:rPr>
                <w:rFonts w:hint="eastAsia" w:ascii="宋体" w:hAnsi="宋体" w:eastAsia="宋体" w:cs="宋体"/>
                <w:color w:val="000000" w:themeColor="text1"/>
                <w:szCs w:val="24"/>
                <w:highlight w:val="none"/>
              </w:rPr>
            </w:pPr>
          </w:p>
        </w:tc>
      </w:tr>
      <w:tr w14:paraId="71F4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1A4E9F2A">
            <w:pPr>
              <w:jc w:val="center"/>
              <w:rPr>
                <w:rFonts w:hint="eastAsia" w:ascii="宋体" w:hAnsi="宋体" w:eastAsia="宋体" w:cs="宋体"/>
                <w:color w:val="000000" w:themeColor="text1"/>
                <w:szCs w:val="24"/>
                <w:highlight w:val="none"/>
              </w:rPr>
            </w:pPr>
          </w:p>
        </w:tc>
        <w:tc>
          <w:tcPr>
            <w:tcW w:w="1548" w:type="dxa"/>
            <w:noWrap w:val="0"/>
            <w:vAlign w:val="center"/>
          </w:tcPr>
          <w:p w14:paraId="615A35C4">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52F063C9">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28402966">
            <w:pPr>
              <w:jc w:val="center"/>
              <w:rPr>
                <w:rFonts w:hint="eastAsia" w:ascii="宋体" w:hAnsi="宋体" w:eastAsia="宋体" w:cs="宋体"/>
                <w:color w:val="000000" w:themeColor="text1"/>
                <w:szCs w:val="24"/>
                <w:highlight w:val="none"/>
              </w:rPr>
            </w:pPr>
          </w:p>
        </w:tc>
        <w:tc>
          <w:tcPr>
            <w:tcW w:w="1547" w:type="dxa"/>
            <w:gridSpan w:val="2"/>
            <w:noWrap w:val="0"/>
            <w:vAlign w:val="center"/>
          </w:tcPr>
          <w:p w14:paraId="35761702">
            <w:pPr>
              <w:jc w:val="center"/>
              <w:rPr>
                <w:rFonts w:hint="eastAsia" w:ascii="宋体" w:hAnsi="宋体" w:eastAsia="宋体" w:cs="宋体"/>
                <w:color w:val="000000" w:themeColor="text1"/>
                <w:szCs w:val="24"/>
                <w:highlight w:val="none"/>
              </w:rPr>
            </w:pPr>
          </w:p>
        </w:tc>
        <w:tc>
          <w:tcPr>
            <w:tcW w:w="1548" w:type="dxa"/>
            <w:gridSpan w:val="2"/>
            <w:noWrap w:val="0"/>
            <w:vAlign w:val="center"/>
          </w:tcPr>
          <w:p w14:paraId="6E320538">
            <w:pPr>
              <w:jc w:val="center"/>
              <w:rPr>
                <w:rFonts w:hint="eastAsia" w:ascii="宋体" w:hAnsi="宋体" w:eastAsia="宋体" w:cs="宋体"/>
                <w:color w:val="000000" w:themeColor="text1"/>
                <w:szCs w:val="24"/>
                <w:highlight w:val="none"/>
              </w:rPr>
            </w:pPr>
          </w:p>
        </w:tc>
      </w:tr>
    </w:tbl>
    <w:p w14:paraId="7EBA5A0E">
      <w:pPr>
        <w:spacing w:line="360" w:lineRule="auto"/>
        <w:rPr>
          <w:rFonts w:hint="eastAsia" w:ascii="宋体" w:hAnsi="宋体" w:eastAsia="宋体" w:cs="宋体"/>
          <w:color w:val="000000" w:themeColor="text1"/>
          <w:szCs w:val="21"/>
          <w:highlight w:val="none"/>
        </w:rPr>
      </w:pPr>
    </w:p>
    <w:p w14:paraId="5F5BCAB3">
      <w:pPr>
        <w:spacing w:line="360" w:lineRule="auto"/>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备注：</w:t>
      </w:r>
    </w:p>
    <w:p w14:paraId="37B371DD">
      <w:pPr>
        <w:spacing w:line="360" w:lineRule="auto"/>
        <w:ind w:firstLine="420" w:firstLineChars="200"/>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1、附专职安全员安全生产考核合格证书（C类）</w:t>
      </w:r>
      <w:r>
        <w:rPr>
          <w:rFonts w:hint="eastAsia" w:hAnsi="宋体" w:eastAsia="宋体" w:cs="宋体"/>
          <w:color w:val="000000" w:themeColor="text1"/>
          <w:szCs w:val="24"/>
          <w:highlight w:val="none"/>
          <w:lang w:eastAsia="zh-CN"/>
        </w:rPr>
        <w:t>、身份证</w:t>
      </w:r>
      <w:r>
        <w:rPr>
          <w:rFonts w:hint="eastAsia" w:ascii="宋体" w:hAnsi="宋体" w:eastAsia="宋体" w:cs="宋体"/>
          <w:color w:val="000000" w:themeColor="text1"/>
          <w:szCs w:val="24"/>
          <w:highlight w:val="none"/>
        </w:rPr>
        <w:t>和已完工程成交通知书（如有）、工程合同协议书、工程竣工验收证明材料的</w:t>
      </w:r>
      <w:r>
        <w:rPr>
          <w:rFonts w:hint="eastAsia" w:hAnsi="宋体" w:eastAsia="宋体" w:cs="宋体"/>
          <w:color w:val="000000" w:themeColor="text1"/>
          <w:szCs w:val="24"/>
          <w:highlight w:val="none"/>
          <w:lang w:eastAsia="zh-CN"/>
        </w:rPr>
        <w:t>复印件</w:t>
      </w:r>
      <w:r>
        <w:rPr>
          <w:rFonts w:hint="eastAsia" w:ascii="宋体" w:hAnsi="宋体" w:eastAsia="宋体" w:cs="宋体"/>
          <w:color w:val="000000" w:themeColor="text1"/>
          <w:szCs w:val="24"/>
          <w:highlight w:val="none"/>
        </w:rPr>
        <w:t>，以及</w:t>
      </w:r>
      <w:r>
        <w:rPr>
          <w:rFonts w:hint="eastAsia" w:hAnsi="宋体" w:eastAsia="宋体" w:cs="宋体"/>
          <w:color w:val="000000" w:themeColor="text1"/>
          <w:szCs w:val="24"/>
          <w:highlight w:val="none"/>
          <w:lang w:eastAsia="zh-CN"/>
        </w:rPr>
        <w:t>竞标人</w:t>
      </w:r>
      <w:r>
        <w:rPr>
          <w:rFonts w:hint="eastAsia" w:ascii="宋体" w:hAnsi="宋体" w:eastAsia="宋体" w:cs="宋体"/>
          <w:color w:val="000000" w:themeColor="text1"/>
          <w:szCs w:val="24"/>
          <w:highlight w:val="none"/>
        </w:rPr>
        <w:t>认为需要增加的其他证明材料复印件，以上复印件须加盖</w:t>
      </w:r>
      <w:r>
        <w:rPr>
          <w:rFonts w:hint="eastAsia" w:hAnsi="宋体" w:eastAsia="宋体" w:cs="宋体"/>
          <w:color w:val="000000" w:themeColor="text1"/>
          <w:szCs w:val="24"/>
          <w:highlight w:val="none"/>
          <w:lang w:eastAsia="zh-CN"/>
        </w:rPr>
        <w:t>竞标人</w:t>
      </w:r>
      <w:r>
        <w:rPr>
          <w:rFonts w:hint="eastAsia" w:ascii="宋体" w:hAnsi="宋体" w:eastAsia="宋体" w:cs="宋体"/>
          <w:color w:val="000000" w:themeColor="text1"/>
          <w:szCs w:val="24"/>
          <w:highlight w:val="none"/>
        </w:rPr>
        <w:t>单位公章。</w:t>
      </w:r>
    </w:p>
    <w:p w14:paraId="3BB411C6">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24B457BD">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658D3E27">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4A1B6EFE">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18B32198">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0BABEE12">
      <w:pPr>
        <w:numPr>
          <w:ilvl w:val="0"/>
          <w:numId w:val="0"/>
        </w:numPr>
        <w:snapToGrid w:val="0"/>
        <w:spacing w:before="50" w:after="165" w:afterLines="50" w:line="400" w:lineRule="exact"/>
        <w:jc w:val="left"/>
        <w:rPr>
          <w:rFonts w:hint="eastAsia" w:hAnsi="宋体" w:cs="宋体"/>
          <w:b/>
          <w:bCs/>
          <w:color w:val="000000" w:themeColor="text1"/>
          <w:sz w:val="28"/>
          <w:szCs w:val="28"/>
        </w:rPr>
      </w:pPr>
    </w:p>
    <w:p w14:paraId="4EEB6393">
      <w:pPr>
        <w:pStyle w:val="3"/>
        <w:rPr>
          <w:rFonts w:hint="eastAsia"/>
          <w:color w:val="000000" w:themeColor="text1"/>
        </w:rPr>
      </w:pPr>
    </w:p>
    <w:p w14:paraId="43C38B83">
      <w:pPr>
        <w:numPr>
          <w:ilvl w:val="0"/>
          <w:numId w:val="0"/>
        </w:numPr>
        <w:snapToGrid w:val="0"/>
        <w:spacing w:before="50" w:after="165" w:afterLines="50" w:line="400" w:lineRule="exact"/>
        <w:jc w:val="left"/>
        <w:rPr>
          <w:rFonts w:hint="eastAsia" w:hAnsi="宋体" w:cs="宋体"/>
          <w:b/>
          <w:bCs/>
          <w:color w:val="000000" w:themeColor="text1"/>
          <w:sz w:val="28"/>
          <w:szCs w:val="28"/>
          <w:lang w:eastAsia="zh-CN"/>
        </w:rPr>
      </w:pPr>
    </w:p>
    <w:p w14:paraId="4D3A5C02">
      <w:pPr>
        <w:numPr>
          <w:ilvl w:val="0"/>
          <w:numId w:val="4"/>
        </w:numPr>
        <w:snapToGrid w:val="0"/>
        <w:spacing w:before="50" w:after="165" w:afterLines="50" w:line="400" w:lineRule="exact"/>
        <w:jc w:val="left"/>
        <w:rPr>
          <w:rFonts w:hint="eastAsia" w:hAnsi="宋体" w:cs="宋体"/>
          <w:b/>
          <w:bCs/>
          <w:color w:val="000000" w:themeColor="text1"/>
          <w:sz w:val="28"/>
          <w:szCs w:val="28"/>
          <w:lang w:eastAsia="zh-CN"/>
        </w:rPr>
      </w:pPr>
      <w:r>
        <w:rPr>
          <w:rFonts w:hint="eastAsia" w:hAnsi="宋体" w:cs="宋体"/>
          <w:b/>
          <w:bCs/>
          <w:color w:val="000000" w:themeColor="text1"/>
          <w:sz w:val="28"/>
          <w:szCs w:val="28"/>
          <w:lang w:eastAsia="zh-CN"/>
        </w:rPr>
        <w:t>竞标人</w:t>
      </w:r>
      <w:r>
        <w:rPr>
          <w:rFonts w:hint="eastAsia" w:hAnsi="宋体" w:cs="宋体"/>
          <w:b/>
          <w:bCs/>
          <w:color w:val="000000" w:themeColor="text1"/>
          <w:sz w:val="28"/>
          <w:szCs w:val="28"/>
          <w:lang w:val="en-US" w:eastAsia="zh-CN"/>
        </w:rPr>
        <w:t>2026年2月-4月</w:t>
      </w:r>
      <w:r>
        <w:rPr>
          <w:rFonts w:hint="eastAsia" w:hAnsi="宋体" w:cs="宋体"/>
          <w:b/>
          <w:bCs/>
          <w:color w:val="000000" w:themeColor="text1"/>
          <w:sz w:val="28"/>
          <w:szCs w:val="28"/>
          <w:lang w:eastAsia="zh-CN"/>
        </w:rPr>
        <w:t>为拟投入本项目的主要管理人员依法缴纳社保费的缴费证明（复印件，格式自拟）；无缴费记录的，应提供由竞标人所在地社保部门出具的《依法缴纳或依法免缴社保费证明》。（社保证明要求列明的缴纳社保人员名单应包含主要施工管理人员名单）；</w:t>
      </w:r>
    </w:p>
    <w:p w14:paraId="57E14963">
      <w:pPr>
        <w:pStyle w:val="29"/>
        <w:numPr>
          <w:ilvl w:val="0"/>
          <w:numId w:val="0"/>
        </w:numPr>
        <w:rPr>
          <w:rFonts w:hint="eastAsia"/>
          <w:color w:val="000000" w:themeColor="text1"/>
          <w:lang w:eastAsia="zh-CN"/>
        </w:rPr>
      </w:pPr>
    </w:p>
    <w:p w14:paraId="58EEEE29">
      <w:pPr>
        <w:pStyle w:val="29"/>
        <w:numPr>
          <w:ilvl w:val="0"/>
          <w:numId w:val="0"/>
        </w:numPr>
        <w:rPr>
          <w:rFonts w:hint="eastAsia"/>
          <w:color w:val="000000" w:themeColor="text1"/>
          <w:lang w:eastAsia="zh-CN"/>
        </w:rPr>
      </w:pPr>
    </w:p>
    <w:p w14:paraId="5791EA1D">
      <w:pPr>
        <w:pStyle w:val="29"/>
        <w:numPr>
          <w:ilvl w:val="0"/>
          <w:numId w:val="0"/>
        </w:numPr>
        <w:rPr>
          <w:rFonts w:hint="eastAsia"/>
          <w:color w:val="000000" w:themeColor="text1"/>
          <w:lang w:eastAsia="zh-CN"/>
        </w:rPr>
      </w:pPr>
    </w:p>
    <w:p w14:paraId="1EFEBCCE">
      <w:pPr>
        <w:pStyle w:val="29"/>
        <w:numPr>
          <w:ilvl w:val="0"/>
          <w:numId w:val="4"/>
        </w:numPr>
        <w:ind w:left="0" w:leftChars="0" w:firstLine="0" w:firstLineChars="0"/>
        <w:rPr>
          <w:rFonts w:hint="eastAsia"/>
          <w:b/>
          <w:bCs/>
          <w:color w:val="000000" w:themeColor="text1"/>
          <w:sz w:val="28"/>
          <w:szCs w:val="28"/>
        </w:rPr>
      </w:pPr>
      <w:r>
        <w:rPr>
          <w:rFonts w:hint="eastAsia"/>
          <w:b/>
          <w:bCs/>
          <w:color w:val="000000" w:themeColor="text1"/>
          <w:sz w:val="28"/>
          <w:szCs w:val="28"/>
          <w:lang w:eastAsia="zh-CN"/>
        </w:rPr>
        <w:t>竞标人</w:t>
      </w:r>
      <w:r>
        <w:rPr>
          <w:rFonts w:hint="eastAsia"/>
          <w:b/>
          <w:bCs/>
          <w:color w:val="000000" w:themeColor="text1"/>
          <w:sz w:val="28"/>
          <w:szCs w:val="28"/>
          <w:lang w:val="en-US" w:eastAsia="zh-CN"/>
        </w:rPr>
        <w:t>2026年1月-3月</w:t>
      </w:r>
      <w:r>
        <w:rPr>
          <w:rFonts w:hint="eastAsia"/>
          <w:b/>
          <w:bCs/>
          <w:color w:val="000000" w:themeColor="text1"/>
          <w:sz w:val="28"/>
          <w:szCs w:val="28"/>
        </w:rPr>
        <w:t>依法缴纳税费或依法免缴税费的证明（复印件，格式自拟）；无纳税记录的，应提供由</w:t>
      </w:r>
      <w:r>
        <w:rPr>
          <w:rFonts w:hint="eastAsia"/>
          <w:b/>
          <w:bCs/>
          <w:color w:val="000000" w:themeColor="text1"/>
          <w:sz w:val="28"/>
          <w:szCs w:val="28"/>
          <w:lang w:eastAsia="zh-CN"/>
        </w:rPr>
        <w:t>竞标人</w:t>
      </w:r>
      <w:r>
        <w:rPr>
          <w:rFonts w:hint="eastAsia"/>
          <w:b/>
          <w:bCs/>
          <w:color w:val="000000" w:themeColor="text1"/>
          <w:sz w:val="28"/>
          <w:szCs w:val="28"/>
        </w:rPr>
        <w:t>所在地主管国税、地税部门出具的《依法纳税或依法免税证明》）</w:t>
      </w:r>
    </w:p>
    <w:p w14:paraId="7B071F31">
      <w:pPr>
        <w:pStyle w:val="29"/>
        <w:numPr>
          <w:ilvl w:val="0"/>
          <w:numId w:val="0"/>
        </w:numPr>
        <w:ind w:leftChars="0"/>
        <w:rPr>
          <w:rFonts w:hint="eastAsia"/>
          <w:b/>
          <w:bCs/>
          <w:color w:val="000000" w:themeColor="text1"/>
          <w:sz w:val="28"/>
          <w:szCs w:val="28"/>
        </w:rPr>
      </w:pPr>
    </w:p>
    <w:p w14:paraId="26FDC1B4">
      <w:pPr>
        <w:pStyle w:val="29"/>
        <w:numPr>
          <w:ilvl w:val="0"/>
          <w:numId w:val="0"/>
        </w:numPr>
        <w:ind w:leftChars="0"/>
        <w:rPr>
          <w:rFonts w:hint="eastAsia"/>
          <w:b/>
          <w:bCs/>
          <w:color w:val="000000" w:themeColor="text1"/>
          <w:sz w:val="28"/>
          <w:szCs w:val="28"/>
        </w:rPr>
      </w:pPr>
    </w:p>
    <w:p w14:paraId="6BC3DE61">
      <w:pPr>
        <w:pStyle w:val="29"/>
        <w:numPr>
          <w:ilvl w:val="0"/>
          <w:numId w:val="0"/>
        </w:numPr>
        <w:ind w:leftChars="0"/>
        <w:rPr>
          <w:rFonts w:hint="eastAsia"/>
          <w:b/>
          <w:bCs/>
          <w:color w:val="000000" w:themeColor="text1"/>
          <w:sz w:val="28"/>
          <w:szCs w:val="28"/>
        </w:rPr>
      </w:pPr>
    </w:p>
    <w:p w14:paraId="1721DCD2">
      <w:pPr>
        <w:pStyle w:val="29"/>
        <w:numPr>
          <w:ilvl w:val="0"/>
          <w:numId w:val="0"/>
        </w:numPr>
        <w:ind w:leftChars="0"/>
        <w:rPr>
          <w:rFonts w:hint="eastAsia"/>
          <w:b/>
          <w:bCs/>
          <w:color w:val="000000" w:themeColor="text1"/>
          <w:sz w:val="28"/>
          <w:szCs w:val="28"/>
        </w:rPr>
      </w:pPr>
    </w:p>
    <w:p w14:paraId="590A6B76">
      <w:pPr>
        <w:pStyle w:val="29"/>
        <w:numPr>
          <w:ilvl w:val="0"/>
          <w:numId w:val="0"/>
        </w:numPr>
        <w:ind w:leftChars="0"/>
        <w:rPr>
          <w:rFonts w:hint="eastAsia"/>
          <w:b/>
          <w:bCs/>
          <w:color w:val="000000" w:themeColor="text1"/>
          <w:sz w:val="28"/>
          <w:szCs w:val="28"/>
        </w:rPr>
      </w:pPr>
    </w:p>
    <w:p w14:paraId="172A68DF">
      <w:pPr>
        <w:pStyle w:val="29"/>
        <w:numPr>
          <w:ilvl w:val="0"/>
          <w:numId w:val="0"/>
        </w:numPr>
        <w:ind w:leftChars="0"/>
        <w:rPr>
          <w:rFonts w:hint="eastAsia"/>
          <w:b/>
          <w:bCs/>
          <w:color w:val="000000" w:themeColor="text1"/>
          <w:sz w:val="28"/>
          <w:szCs w:val="28"/>
        </w:rPr>
      </w:pPr>
    </w:p>
    <w:p w14:paraId="396B62A4">
      <w:pPr>
        <w:pStyle w:val="29"/>
        <w:numPr>
          <w:ilvl w:val="0"/>
          <w:numId w:val="0"/>
        </w:numPr>
        <w:ind w:leftChars="0"/>
        <w:rPr>
          <w:rFonts w:hint="eastAsia"/>
          <w:b/>
          <w:bCs/>
          <w:color w:val="000000" w:themeColor="text1"/>
          <w:sz w:val="28"/>
          <w:szCs w:val="28"/>
        </w:rPr>
      </w:pPr>
    </w:p>
    <w:p w14:paraId="15FA6946">
      <w:pPr>
        <w:pStyle w:val="29"/>
        <w:numPr>
          <w:ilvl w:val="0"/>
          <w:numId w:val="0"/>
        </w:numPr>
        <w:ind w:leftChars="0"/>
        <w:rPr>
          <w:rFonts w:hint="eastAsia"/>
          <w:b/>
          <w:bCs/>
          <w:color w:val="000000" w:themeColor="text1"/>
          <w:sz w:val="28"/>
          <w:szCs w:val="28"/>
        </w:rPr>
      </w:pPr>
    </w:p>
    <w:p w14:paraId="6E1AE811">
      <w:pPr>
        <w:pStyle w:val="29"/>
        <w:numPr>
          <w:ilvl w:val="0"/>
          <w:numId w:val="0"/>
        </w:numPr>
        <w:ind w:leftChars="0"/>
        <w:rPr>
          <w:rFonts w:hint="eastAsia"/>
          <w:b/>
          <w:bCs/>
          <w:color w:val="000000" w:themeColor="text1"/>
          <w:sz w:val="28"/>
          <w:szCs w:val="28"/>
        </w:rPr>
      </w:pPr>
    </w:p>
    <w:p w14:paraId="50FB76B8">
      <w:pPr>
        <w:pStyle w:val="29"/>
        <w:numPr>
          <w:ilvl w:val="0"/>
          <w:numId w:val="0"/>
        </w:numPr>
        <w:ind w:leftChars="0"/>
        <w:rPr>
          <w:rFonts w:hint="eastAsia"/>
          <w:b/>
          <w:bCs/>
          <w:color w:val="000000" w:themeColor="text1"/>
          <w:sz w:val="28"/>
          <w:szCs w:val="28"/>
        </w:rPr>
      </w:pPr>
    </w:p>
    <w:p w14:paraId="17229E86">
      <w:pPr>
        <w:pStyle w:val="29"/>
        <w:numPr>
          <w:ilvl w:val="0"/>
          <w:numId w:val="0"/>
        </w:numPr>
        <w:ind w:leftChars="0"/>
        <w:rPr>
          <w:rFonts w:hint="eastAsia"/>
          <w:b/>
          <w:bCs/>
          <w:color w:val="000000" w:themeColor="text1"/>
          <w:sz w:val="28"/>
          <w:szCs w:val="28"/>
        </w:rPr>
      </w:pPr>
    </w:p>
    <w:p w14:paraId="7B85AB03">
      <w:pPr>
        <w:pStyle w:val="29"/>
        <w:numPr>
          <w:ilvl w:val="0"/>
          <w:numId w:val="0"/>
        </w:numPr>
        <w:ind w:leftChars="0"/>
        <w:rPr>
          <w:rFonts w:hint="eastAsia"/>
          <w:b/>
          <w:bCs/>
          <w:color w:val="000000" w:themeColor="text1"/>
          <w:sz w:val="28"/>
          <w:szCs w:val="28"/>
        </w:rPr>
      </w:pPr>
    </w:p>
    <w:p w14:paraId="120B514B">
      <w:pPr>
        <w:pStyle w:val="29"/>
        <w:numPr>
          <w:ilvl w:val="0"/>
          <w:numId w:val="0"/>
        </w:numPr>
        <w:ind w:leftChars="0"/>
        <w:rPr>
          <w:rFonts w:hint="eastAsia"/>
          <w:b/>
          <w:bCs/>
          <w:color w:val="000000" w:themeColor="text1"/>
          <w:sz w:val="28"/>
          <w:szCs w:val="28"/>
        </w:rPr>
      </w:pPr>
    </w:p>
    <w:p w14:paraId="56EF1A06">
      <w:pPr>
        <w:pStyle w:val="29"/>
        <w:numPr>
          <w:ilvl w:val="0"/>
          <w:numId w:val="0"/>
        </w:numPr>
        <w:ind w:leftChars="0"/>
        <w:rPr>
          <w:rFonts w:hint="eastAsia"/>
          <w:b/>
          <w:bCs/>
          <w:color w:val="000000" w:themeColor="text1"/>
          <w:sz w:val="28"/>
          <w:szCs w:val="28"/>
        </w:rPr>
      </w:pPr>
    </w:p>
    <w:p w14:paraId="13F0574A">
      <w:pPr>
        <w:pStyle w:val="29"/>
        <w:numPr>
          <w:ilvl w:val="0"/>
          <w:numId w:val="0"/>
        </w:numPr>
        <w:ind w:leftChars="0"/>
        <w:rPr>
          <w:rFonts w:hint="eastAsia"/>
          <w:b/>
          <w:bCs/>
          <w:color w:val="000000" w:themeColor="text1"/>
          <w:sz w:val="28"/>
          <w:szCs w:val="28"/>
        </w:rPr>
      </w:pPr>
    </w:p>
    <w:p w14:paraId="760B5A6E">
      <w:pPr>
        <w:pStyle w:val="29"/>
        <w:numPr>
          <w:ilvl w:val="0"/>
          <w:numId w:val="0"/>
        </w:numPr>
        <w:ind w:leftChars="0"/>
        <w:rPr>
          <w:rFonts w:hint="eastAsia"/>
          <w:b/>
          <w:bCs/>
          <w:color w:val="000000" w:themeColor="text1"/>
          <w:sz w:val="28"/>
          <w:szCs w:val="28"/>
        </w:rPr>
      </w:pPr>
    </w:p>
    <w:p w14:paraId="61CA266C">
      <w:pPr>
        <w:pStyle w:val="29"/>
        <w:numPr>
          <w:ilvl w:val="0"/>
          <w:numId w:val="0"/>
        </w:numPr>
        <w:ind w:leftChars="0"/>
        <w:rPr>
          <w:rFonts w:hint="eastAsia"/>
          <w:b/>
          <w:bCs/>
          <w:color w:val="000000" w:themeColor="text1"/>
          <w:sz w:val="28"/>
          <w:szCs w:val="28"/>
        </w:rPr>
      </w:pPr>
    </w:p>
    <w:p w14:paraId="6CFF3E6D">
      <w:pPr>
        <w:pStyle w:val="29"/>
        <w:numPr>
          <w:ilvl w:val="0"/>
          <w:numId w:val="0"/>
        </w:numPr>
        <w:ind w:leftChars="0"/>
        <w:rPr>
          <w:rFonts w:hint="eastAsia"/>
          <w:b/>
          <w:bCs/>
          <w:color w:val="000000" w:themeColor="text1"/>
          <w:sz w:val="28"/>
          <w:szCs w:val="28"/>
        </w:rPr>
      </w:pPr>
    </w:p>
    <w:p w14:paraId="0D7209F2">
      <w:pPr>
        <w:pStyle w:val="29"/>
        <w:numPr>
          <w:ilvl w:val="0"/>
          <w:numId w:val="0"/>
        </w:numPr>
        <w:ind w:leftChars="0"/>
        <w:rPr>
          <w:rFonts w:hint="eastAsia"/>
          <w:b/>
          <w:bCs/>
          <w:color w:val="000000" w:themeColor="text1"/>
          <w:sz w:val="28"/>
          <w:szCs w:val="28"/>
        </w:rPr>
      </w:pPr>
    </w:p>
    <w:p w14:paraId="3C244AFB">
      <w:pPr>
        <w:pStyle w:val="29"/>
        <w:numPr>
          <w:ilvl w:val="0"/>
          <w:numId w:val="0"/>
        </w:numPr>
        <w:ind w:leftChars="0"/>
        <w:rPr>
          <w:rFonts w:hint="eastAsia"/>
          <w:b/>
          <w:bCs/>
          <w:color w:val="000000" w:themeColor="text1"/>
          <w:sz w:val="28"/>
          <w:szCs w:val="28"/>
        </w:rPr>
      </w:pPr>
    </w:p>
    <w:p w14:paraId="47721512">
      <w:pPr>
        <w:pStyle w:val="29"/>
        <w:numPr>
          <w:ilvl w:val="0"/>
          <w:numId w:val="0"/>
        </w:numPr>
        <w:ind w:leftChars="0"/>
        <w:rPr>
          <w:rFonts w:hint="eastAsia"/>
          <w:b/>
          <w:bCs/>
          <w:color w:val="000000" w:themeColor="text1"/>
          <w:sz w:val="28"/>
          <w:szCs w:val="28"/>
        </w:rPr>
      </w:pPr>
    </w:p>
    <w:p w14:paraId="6692052D">
      <w:pPr>
        <w:pStyle w:val="29"/>
        <w:numPr>
          <w:ilvl w:val="0"/>
          <w:numId w:val="0"/>
        </w:numPr>
        <w:ind w:leftChars="0"/>
        <w:rPr>
          <w:rFonts w:hint="eastAsia"/>
          <w:b/>
          <w:bCs/>
          <w:color w:val="000000" w:themeColor="text1"/>
          <w:sz w:val="28"/>
          <w:szCs w:val="28"/>
        </w:rPr>
      </w:pPr>
    </w:p>
    <w:p w14:paraId="0AA9A252">
      <w:pPr>
        <w:pStyle w:val="29"/>
        <w:numPr>
          <w:ilvl w:val="0"/>
          <w:numId w:val="0"/>
        </w:numPr>
        <w:ind w:leftChars="0"/>
        <w:rPr>
          <w:rFonts w:hint="eastAsia"/>
          <w:b/>
          <w:bCs/>
          <w:color w:val="000000" w:themeColor="text1"/>
          <w:sz w:val="28"/>
          <w:szCs w:val="28"/>
        </w:rPr>
      </w:pPr>
    </w:p>
    <w:p w14:paraId="5422E7B1">
      <w:pPr>
        <w:pStyle w:val="29"/>
        <w:numPr>
          <w:ilvl w:val="0"/>
          <w:numId w:val="0"/>
        </w:numPr>
        <w:ind w:leftChars="0"/>
        <w:rPr>
          <w:rFonts w:hint="eastAsia"/>
          <w:b/>
          <w:bCs/>
          <w:color w:val="000000" w:themeColor="text1"/>
          <w:sz w:val="28"/>
          <w:szCs w:val="28"/>
        </w:rPr>
      </w:pPr>
    </w:p>
    <w:p w14:paraId="7E0B3E38">
      <w:pPr>
        <w:pStyle w:val="29"/>
        <w:numPr>
          <w:ilvl w:val="0"/>
          <w:numId w:val="0"/>
        </w:numPr>
        <w:ind w:leftChars="0"/>
        <w:rPr>
          <w:rFonts w:hint="eastAsia"/>
          <w:b/>
          <w:bCs/>
          <w:color w:val="000000" w:themeColor="text1"/>
          <w:sz w:val="28"/>
          <w:szCs w:val="28"/>
        </w:rPr>
      </w:pPr>
    </w:p>
    <w:p w14:paraId="42BE9D2D">
      <w:pPr>
        <w:pStyle w:val="29"/>
        <w:numPr>
          <w:ilvl w:val="0"/>
          <w:numId w:val="0"/>
        </w:numPr>
        <w:ind w:leftChars="0"/>
        <w:rPr>
          <w:rFonts w:hint="eastAsia"/>
          <w:b/>
          <w:bCs/>
          <w:color w:val="000000" w:themeColor="text1"/>
          <w:sz w:val="28"/>
          <w:szCs w:val="28"/>
        </w:rPr>
      </w:pPr>
    </w:p>
    <w:p w14:paraId="4E8939FE">
      <w:pPr>
        <w:pStyle w:val="29"/>
        <w:numPr>
          <w:ilvl w:val="0"/>
          <w:numId w:val="0"/>
        </w:numPr>
        <w:ind w:leftChars="0"/>
        <w:rPr>
          <w:rFonts w:hint="eastAsia"/>
          <w:b/>
          <w:bCs/>
          <w:color w:val="000000" w:themeColor="text1"/>
          <w:sz w:val="28"/>
          <w:szCs w:val="28"/>
        </w:rPr>
      </w:pPr>
    </w:p>
    <w:p w14:paraId="62135876">
      <w:pPr>
        <w:pStyle w:val="29"/>
        <w:numPr>
          <w:ilvl w:val="0"/>
          <w:numId w:val="0"/>
        </w:numPr>
        <w:ind w:leftChars="0"/>
        <w:rPr>
          <w:rFonts w:hint="eastAsia"/>
          <w:b/>
          <w:bCs/>
          <w:color w:val="000000" w:themeColor="text1"/>
          <w:sz w:val="28"/>
          <w:szCs w:val="28"/>
        </w:rPr>
      </w:pPr>
    </w:p>
    <w:p w14:paraId="6961A90B">
      <w:pPr>
        <w:pStyle w:val="29"/>
        <w:numPr>
          <w:ilvl w:val="0"/>
          <w:numId w:val="0"/>
        </w:numPr>
        <w:ind w:leftChars="0"/>
        <w:rPr>
          <w:rFonts w:hint="eastAsia"/>
          <w:b/>
          <w:bCs/>
          <w:color w:val="000000" w:themeColor="text1"/>
          <w:sz w:val="28"/>
          <w:szCs w:val="28"/>
        </w:rPr>
      </w:pPr>
    </w:p>
    <w:p w14:paraId="100EEF28">
      <w:pPr>
        <w:pStyle w:val="29"/>
        <w:numPr>
          <w:ilvl w:val="0"/>
          <w:numId w:val="0"/>
        </w:numPr>
        <w:ind w:leftChars="0"/>
        <w:rPr>
          <w:rFonts w:hint="eastAsia"/>
          <w:b/>
          <w:bCs/>
          <w:color w:val="000000" w:themeColor="text1"/>
          <w:sz w:val="28"/>
          <w:szCs w:val="28"/>
        </w:rPr>
      </w:pPr>
    </w:p>
    <w:p w14:paraId="1072D49A">
      <w:pPr>
        <w:pStyle w:val="29"/>
        <w:numPr>
          <w:ilvl w:val="0"/>
          <w:numId w:val="0"/>
        </w:numPr>
        <w:ind w:leftChars="0"/>
        <w:rPr>
          <w:rFonts w:hint="eastAsia"/>
          <w:b/>
          <w:bCs/>
          <w:color w:val="000000" w:themeColor="text1"/>
          <w:sz w:val="28"/>
          <w:szCs w:val="28"/>
        </w:rPr>
      </w:pPr>
    </w:p>
    <w:p w14:paraId="2120A43C">
      <w:pPr>
        <w:pStyle w:val="29"/>
        <w:numPr>
          <w:ilvl w:val="0"/>
          <w:numId w:val="0"/>
        </w:numPr>
        <w:ind w:leftChars="0"/>
        <w:rPr>
          <w:rFonts w:hint="eastAsia"/>
          <w:b/>
          <w:bCs/>
          <w:color w:val="000000" w:themeColor="text1"/>
          <w:sz w:val="28"/>
          <w:szCs w:val="28"/>
        </w:rPr>
      </w:pPr>
    </w:p>
    <w:p w14:paraId="06BC5DB1">
      <w:pPr>
        <w:spacing w:line="380" w:lineRule="exact"/>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lang w:val="en-US" w:eastAsia="zh-CN"/>
        </w:rPr>
        <w:t>8</w:t>
      </w:r>
      <w:r>
        <w:rPr>
          <w:rFonts w:hint="eastAsia" w:ascii="宋体" w:hAnsi="宋体" w:eastAsia="宋体" w:cs="宋体"/>
          <w:b/>
          <w:bCs/>
          <w:color w:val="000000" w:themeColor="text1"/>
          <w:sz w:val="32"/>
          <w:szCs w:val="32"/>
        </w:rPr>
        <w:t>、中小企业声明函（如</w:t>
      </w:r>
      <w:r>
        <w:rPr>
          <w:rFonts w:hint="eastAsia" w:ascii="宋体" w:hAnsi="宋体" w:eastAsia="宋体" w:cs="宋体"/>
          <w:b/>
          <w:bCs/>
          <w:color w:val="000000" w:themeColor="text1"/>
          <w:sz w:val="32"/>
          <w:szCs w:val="32"/>
          <w:lang w:eastAsia="zh-CN"/>
        </w:rPr>
        <w:t>竞标人</w:t>
      </w:r>
      <w:r>
        <w:rPr>
          <w:rFonts w:hint="eastAsia" w:ascii="宋体" w:hAnsi="宋体" w:eastAsia="宋体" w:cs="宋体"/>
          <w:b/>
          <w:bCs/>
          <w:color w:val="000000" w:themeColor="text1"/>
          <w:sz w:val="32"/>
          <w:szCs w:val="32"/>
        </w:rPr>
        <w:t>为中小微型企业的</w:t>
      </w:r>
      <w:r>
        <w:rPr>
          <w:rFonts w:hint="eastAsia" w:ascii="宋体" w:hAnsi="宋体" w:eastAsia="宋体" w:cs="宋体"/>
          <w:b/>
          <w:bCs/>
          <w:color w:val="000000" w:themeColor="text1"/>
          <w:sz w:val="32"/>
          <w:szCs w:val="32"/>
          <w:lang w:eastAsia="zh-CN"/>
        </w:rPr>
        <w:t>必须提供</w:t>
      </w:r>
      <w:r>
        <w:rPr>
          <w:rFonts w:hint="eastAsia" w:ascii="宋体" w:hAnsi="宋体" w:eastAsia="宋体" w:cs="宋体"/>
          <w:b/>
          <w:bCs/>
          <w:color w:val="000000" w:themeColor="text1"/>
          <w:sz w:val="32"/>
          <w:szCs w:val="32"/>
        </w:rPr>
        <w:t>，格式见附件，</w:t>
      </w:r>
      <w:r>
        <w:rPr>
          <w:rFonts w:hint="eastAsia" w:ascii="宋体" w:hAnsi="宋体" w:eastAsia="宋体" w:cs="宋体"/>
          <w:b/>
          <w:bCs/>
          <w:color w:val="000000" w:themeColor="text1"/>
          <w:sz w:val="32"/>
          <w:szCs w:val="32"/>
          <w:lang w:eastAsia="zh-CN"/>
        </w:rPr>
        <w:t>竞标人</w:t>
      </w:r>
      <w:r>
        <w:rPr>
          <w:rFonts w:hint="eastAsia" w:ascii="宋体" w:hAnsi="宋体" w:eastAsia="宋体" w:cs="宋体"/>
          <w:b/>
          <w:bCs/>
          <w:color w:val="000000" w:themeColor="text1"/>
          <w:sz w:val="32"/>
          <w:szCs w:val="32"/>
        </w:rPr>
        <w:t>对出具的声明函真实性负责，成交结果将同时公告企业《中小企业声明函》，接受社会监督）；</w:t>
      </w:r>
    </w:p>
    <w:p w14:paraId="770BCED1">
      <w:pPr>
        <w:snapToGrid w:val="0"/>
        <w:spacing w:line="360" w:lineRule="exact"/>
        <w:ind w:left="937" w:leftChars="196" w:hanging="525" w:hangingChars="250"/>
        <w:jc w:val="left"/>
        <w:rPr>
          <w:rFonts w:hint="eastAsia" w:ascii="宋体" w:hAnsi="宋体" w:eastAsia="宋体" w:cs="宋体"/>
          <w:color w:val="000000" w:themeColor="text1"/>
        </w:rPr>
      </w:pPr>
    </w:p>
    <w:p w14:paraId="0A03846F">
      <w:pPr>
        <w:spacing w:line="588" w:lineRule="exact"/>
        <w:jc w:val="center"/>
        <w:rPr>
          <w:rFonts w:hint="eastAsia" w:ascii="宋体" w:hAnsi="宋体" w:cs="宋体"/>
          <w:b/>
          <w:color w:val="000000" w:themeColor="text1"/>
          <w:spacing w:val="6"/>
          <w:sz w:val="32"/>
          <w:szCs w:val="32"/>
        </w:rPr>
      </w:pPr>
      <w:r>
        <w:rPr>
          <w:rFonts w:hint="eastAsia" w:ascii="宋体" w:hAnsi="宋体" w:cs="宋体"/>
          <w:b/>
          <w:color w:val="000000" w:themeColor="text1"/>
          <w:spacing w:val="6"/>
          <w:sz w:val="32"/>
          <w:szCs w:val="32"/>
        </w:rPr>
        <w:t>中小企业声明函</w:t>
      </w:r>
    </w:p>
    <w:p w14:paraId="134C20EA">
      <w:pPr>
        <w:spacing w:line="588" w:lineRule="exact"/>
        <w:rPr>
          <w:rFonts w:hint="eastAsia" w:ascii="宋体" w:hAnsi="宋体" w:cs="宋体"/>
          <w:b/>
          <w:color w:val="000000" w:themeColor="text1"/>
          <w:spacing w:val="6"/>
          <w:sz w:val="30"/>
          <w:szCs w:val="30"/>
        </w:rPr>
      </w:pPr>
    </w:p>
    <w:p w14:paraId="04804060">
      <w:pPr>
        <w:spacing w:line="588" w:lineRule="exact"/>
        <w:ind w:firstLine="504" w:firstLineChars="200"/>
        <w:rPr>
          <w:rFonts w:hint="eastAsia" w:ascii="宋体" w:hAnsi="宋体" w:cs="宋体"/>
          <w:color w:val="000000" w:themeColor="text1"/>
          <w:spacing w:val="6"/>
          <w:sz w:val="24"/>
        </w:rPr>
      </w:pPr>
      <w:r>
        <w:rPr>
          <w:rFonts w:hint="eastAsia" w:ascii="宋体" w:hAnsi="宋体" w:cs="宋体"/>
          <w:color w:val="000000" w:themeColor="text1"/>
          <w:spacing w:val="6"/>
          <w:sz w:val="24"/>
        </w:rPr>
        <w:t>本公司</w:t>
      </w:r>
      <w:r>
        <w:rPr>
          <w:rFonts w:hint="eastAsia" w:ascii="宋体" w:hAnsi="宋体" w:cs="宋体"/>
          <w:color w:val="000000" w:themeColor="text1"/>
          <w:spacing w:val="6"/>
          <w:sz w:val="24"/>
          <w:u w:val="single"/>
        </w:rPr>
        <w:t xml:space="preserve">    （联合体）</w:t>
      </w:r>
      <w:r>
        <w:rPr>
          <w:rFonts w:hint="eastAsia" w:ascii="宋体" w:hAnsi="宋体" w:cs="宋体"/>
          <w:color w:val="000000" w:themeColor="text1"/>
          <w:spacing w:val="6"/>
          <w:sz w:val="24"/>
        </w:rPr>
        <w:t>郑重声明，根据《政府采购促进中小企业发展管理办法》（财库﹝2020﹞46号）的规定，本公司</w:t>
      </w:r>
      <w:r>
        <w:rPr>
          <w:rFonts w:hint="eastAsia" w:ascii="宋体" w:hAnsi="宋体" w:cs="宋体"/>
          <w:color w:val="000000" w:themeColor="text1"/>
          <w:spacing w:val="6"/>
          <w:sz w:val="24"/>
          <w:u w:val="single"/>
        </w:rPr>
        <w:t xml:space="preserve">      （联合体）</w:t>
      </w:r>
      <w:r>
        <w:rPr>
          <w:rFonts w:hint="eastAsia" w:ascii="宋体" w:hAnsi="宋体" w:cs="宋体"/>
          <w:color w:val="000000" w:themeColor="text1"/>
          <w:spacing w:val="6"/>
          <w:sz w:val="24"/>
        </w:rPr>
        <w:t>参加</w:t>
      </w:r>
      <w:r>
        <w:rPr>
          <w:rFonts w:hint="eastAsia" w:ascii="宋体" w:hAnsi="宋体" w:cs="宋体"/>
          <w:color w:val="000000" w:themeColor="text1"/>
          <w:spacing w:val="6"/>
          <w:sz w:val="24"/>
          <w:u w:val="single"/>
        </w:rPr>
        <w:t xml:space="preserve">     （单位名称）</w:t>
      </w:r>
      <w:r>
        <w:rPr>
          <w:rFonts w:hint="eastAsia" w:ascii="宋体" w:hAnsi="宋体" w:cs="宋体"/>
          <w:color w:val="000000" w:themeColor="text1"/>
          <w:spacing w:val="6"/>
          <w:sz w:val="24"/>
        </w:rPr>
        <w:t>的</w:t>
      </w:r>
      <w:r>
        <w:rPr>
          <w:rFonts w:hint="eastAsia" w:ascii="宋体" w:hAnsi="宋体" w:cs="宋体"/>
          <w:color w:val="000000" w:themeColor="text1"/>
          <w:spacing w:val="6"/>
          <w:sz w:val="24"/>
          <w:u w:val="single"/>
        </w:rPr>
        <w:t xml:space="preserve">  （项目名称）</w:t>
      </w:r>
      <w:r>
        <w:rPr>
          <w:rFonts w:hint="eastAsia" w:ascii="宋体" w:hAnsi="宋体" w:cs="宋体"/>
          <w:color w:val="000000" w:themeColor="text1"/>
          <w:spacing w:val="6"/>
          <w:sz w:val="24"/>
        </w:rPr>
        <w:t>采购活动，工程的施工单位全部为符合政策要求的中小企业。相关企业（含联合体中的中小企业、签订分包意向协议的中小企业）的具体情况如下：</w:t>
      </w:r>
    </w:p>
    <w:p w14:paraId="24E0D9A5">
      <w:pPr>
        <w:spacing w:line="588" w:lineRule="exact"/>
        <w:ind w:firstLine="504" w:firstLineChars="200"/>
        <w:rPr>
          <w:rFonts w:hint="eastAsia" w:ascii="宋体" w:hAnsi="宋体" w:cs="宋体"/>
          <w:color w:val="000000" w:themeColor="text1"/>
          <w:spacing w:val="6"/>
          <w:sz w:val="24"/>
        </w:rPr>
      </w:pPr>
      <w:r>
        <w:rPr>
          <w:rFonts w:hint="eastAsia" w:ascii="宋体" w:hAnsi="宋体" w:cs="宋体"/>
          <w:color w:val="000000" w:themeColor="text1"/>
          <w:spacing w:val="6"/>
          <w:sz w:val="24"/>
        </w:rPr>
        <w:t>1.</w:t>
      </w:r>
      <w:r>
        <w:rPr>
          <w:rFonts w:hint="eastAsia" w:ascii="宋体" w:hAnsi="宋体" w:cs="宋体"/>
          <w:color w:val="000000" w:themeColor="text1"/>
          <w:spacing w:val="6"/>
          <w:sz w:val="24"/>
          <w:u w:val="single"/>
        </w:rPr>
        <w:t xml:space="preserve">（标的名称） </w:t>
      </w:r>
      <w:r>
        <w:rPr>
          <w:rFonts w:hint="eastAsia" w:ascii="宋体" w:hAnsi="宋体" w:cs="宋体"/>
          <w:color w:val="000000" w:themeColor="text1"/>
          <w:spacing w:val="6"/>
          <w:sz w:val="24"/>
        </w:rPr>
        <w:t>，属于</w:t>
      </w:r>
      <w:r>
        <w:rPr>
          <w:rFonts w:hint="eastAsia" w:ascii="宋体" w:hAnsi="宋体" w:cs="宋体"/>
          <w:color w:val="000000" w:themeColor="text1"/>
          <w:spacing w:val="6"/>
          <w:sz w:val="24"/>
          <w:u w:val="single"/>
        </w:rPr>
        <w:t xml:space="preserve">  （采购文件中明确的所属行业）</w:t>
      </w:r>
      <w:r>
        <w:rPr>
          <w:rFonts w:hint="eastAsia" w:ascii="宋体" w:hAnsi="宋体" w:cs="宋体"/>
          <w:color w:val="000000" w:themeColor="text1"/>
          <w:spacing w:val="6"/>
          <w:sz w:val="24"/>
        </w:rPr>
        <w:t>；承接企业为</w:t>
      </w:r>
      <w:r>
        <w:rPr>
          <w:rFonts w:hint="eastAsia" w:ascii="宋体" w:hAnsi="宋体" w:cs="宋体"/>
          <w:color w:val="000000" w:themeColor="text1"/>
          <w:spacing w:val="6"/>
          <w:sz w:val="24"/>
          <w:u w:val="single"/>
        </w:rPr>
        <w:t xml:space="preserve">  （企业名称）</w:t>
      </w:r>
      <w:r>
        <w:rPr>
          <w:rFonts w:hint="eastAsia" w:ascii="宋体" w:hAnsi="宋体" w:cs="宋体"/>
          <w:color w:val="000000" w:themeColor="text1"/>
          <w:spacing w:val="6"/>
          <w:sz w:val="24"/>
        </w:rPr>
        <w:t>，从业人员</w:t>
      </w:r>
      <w:r>
        <w:rPr>
          <w:rFonts w:hint="eastAsia" w:ascii="宋体" w:hAnsi="宋体" w:cs="宋体"/>
          <w:color w:val="000000" w:themeColor="text1"/>
          <w:spacing w:val="6"/>
          <w:sz w:val="24"/>
          <w:u w:val="single"/>
        </w:rPr>
        <w:t xml:space="preserve">    </w:t>
      </w:r>
      <w:r>
        <w:rPr>
          <w:rFonts w:hint="eastAsia" w:ascii="宋体" w:hAnsi="宋体" w:cs="宋体"/>
          <w:color w:val="000000" w:themeColor="text1"/>
          <w:spacing w:val="6"/>
          <w:sz w:val="24"/>
        </w:rPr>
        <w:t>人，营业收入为</w:t>
      </w:r>
      <w:r>
        <w:rPr>
          <w:rFonts w:hint="eastAsia" w:ascii="宋体" w:hAnsi="宋体" w:cs="宋体"/>
          <w:color w:val="000000" w:themeColor="text1"/>
          <w:spacing w:val="6"/>
          <w:sz w:val="24"/>
          <w:u w:val="single"/>
        </w:rPr>
        <w:t xml:space="preserve">     </w:t>
      </w:r>
      <w:r>
        <w:rPr>
          <w:rFonts w:hint="eastAsia" w:ascii="宋体" w:hAnsi="宋体" w:cs="宋体"/>
          <w:color w:val="000000" w:themeColor="text1"/>
          <w:spacing w:val="6"/>
          <w:sz w:val="24"/>
        </w:rPr>
        <w:t>万元，资产总额为</w:t>
      </w:r>
      <w:r>
        <w:rPr>
          <w:rFonts w:hint="eastAsia" w:ascii="宋体" w:hAnsi="宋体" w:cs="宋体"/>
          <w:color w:val="000000" w:themeColor="text1"/>
          <w:spacing w:val="6"/>
          <w:sz w:val="24"/>
          <w:u w:val="single"/>
        </w:rPr>
        <w:t xml:space="preserve">     </w:t>
      </w:r>
      <w:r>
        <w:rPr>
          <w:rFonts w:hint="eastAsia" w:ascii="宋体" w:hAnsi="宋体" w:cs="宋体"/>
          <w:color w:val="000000" w:themeColor="text1"/>
          <w:spacing w:val="6"/>
          <w:sz w:val="24"/>
        </w:rPr>
        <w:t>万元，属于</w:t>
      </w:r>
      <w:r>
        <w:rPr>
          <w:rFonts w:hint="eastAsia" w:ascii="宋体" w:hAnsi="宋体" w:cs="宋体"/>
          <w:color w:val="000000" w:themeColor="text1"/>
          <w:spacing w:val="6"/>
          <w:sz w:val="24"/>
          <w:u w:val="single"/>
        </w:rPr>
        <w:t xml:space="preserve">  （中型企业、小型企业、微型企业）</w:t>
      </w:r>
      <w:r>
        <w:rPr>
          <w:rFonts w:hint="eastAsia" w:ascii="宋体" w:hAnsi="宋体" w:cs="宋体"/>
          <w:color w:val="000000" w:themeColor="text1"/>
          <w:spacing w:val="6"/>
          <w:sz w:val="24"/>
        </w:rPr>
        <w:t xml:space="preserve">； </w:t>
      </w:r>
    </w:p>
    <w:p w14:paraId="65D00F78">
      <w:pPr>
        <w:spacing w:line="588" w:lineRule="exact"/>
        <w:ind w:firstLine="504" w:firstLineChars="200"/>
        <w:rPr>
          <w:rFonts w:hint="eastAsia" w:ascii="宋体" w:hAnsi="宋体" w:cs="宋体"/>
          <w:color w:val="000000" w:themeColor="text1"/>
          <w:spacing w:val="6"/>
          <w:sz w:val="24"/>
        </w:rPr>
      </w:pPr>
      <w:r>
        <w:rPr>
          <w:rFonts w:hint="eastAsia" w:ascii="宋体" w:hAnsi="宋体" w:cs="宋体"/>
          <w:color w:val="000000" w:themeColor="text1"/>
          <w:spacing w:val="6"/>
          <w:sz w:val="24"/>
        </w:rPr>
        <w:t>2.</w:t>
      </w:r>
      <w:r>
        <w:rPr>
          <w:rFonts w:hint="eastAsia" w:ascii="宋体" w:hAnsi="宋体" w:cs="宋体"/>
          <w:color w:val="000000" w:themeColor="text1"/>
          <w:spacing w:val="6"/>
          <w:sz w:val="24"/>
          <w:u w:val="single"/>
        </w:rPr>
        <w:t xml:space="preserve">（标的名称） </w:t>
      </w:r>
      <w:r>
        <w:rPr>
          <w:rFonts w:hint="eastAsia" w:ascii="宋体" w:hAnsi="宋体" w:cs="宋体"/>
          <w:color w:val="000000" w:themeColor="text1"/>
          <w:spacing w:val="6"/>
          <w:sz w:val="24"/>
        </w:rPr>
        <w:t>，属于</w:t>
      </w:r>
      <w:r>
        <w:rPr>
          <w:rFonts w:hint="eastAsia" w:ascii="宋体" w:hAnsi="宋体" w:cs="宋体"/>
          <w:color w:val="000000" w:themeColor="text1"/>
          <w:spacing w:val="6"/>
          <w:sz w:val="24"/>
          <w:u w:val="single"/>
        </w:rPr>
        <w:t xml:space="preserve">  （采购文件中明确的所属行业）</w:t>
      </w:r>
      <w:r>
        <w:rPr>
          <w:rFonts w:hint="eastAsia" w:ascii="宋体" w:hAnsi="宋体" w:cs="宋体"/>
          <w:color w:val="000000" w:themeColor="text1"/>
          <w:spacing w:val="6"/>
          <w:sz w:val="24"/>
        </w:rPr>
        <w:t>；承接企业为</w:t>
      </w:r>
      <w:r>
        <w:rPr>
          <w:rFonts w:hint="eastAsia" w:ascii="宋体" w:hAnsi="宋体" w:cs="宋体"/>
          <w:color w:val="000000" w:themeColor="text1"/>
          <w:spacing w:val="6"/>
          <w:sz w:val="24"/>
          <w:u w:val="single"/>
        </w:rPr>
        <w:t>（企业名称）</w:t>
      </w:r>
      <w:r>
        <w:rPr>
          <w:rFonts w:hint="eastAsia" w:ascii="宋体" w:hAnsi="宋体" w:cs="宋体"/>
          <w:color w:val="000000" w:themeColor="text1"/>
          <w:spacing w:val="6"/>
          <w:sz w:val="24"/>
        </w:rPr>
        <w:t>，从业人员</w:t>
      </w:r>
      <w:r>
        <w:rPr>
          <w:rFonts w:hint="eastAsia" w:ascii="宋体" w:hAnsi="宋体" w:cs="宋体"/>
          <w:color w:val="000000" w:themeColor="text1"/>
          <w:spacing w:val="6"/>
          <w:sz w:val="24"/>
          <w:u w:val="single"/>
        </w:rPr>
        <w:t xml:space="preserve">   </w:t>
      </w:r>
      <w:r>
        <w:rPr>
          <w:rFonts w:hint="eastAsia" w:ascii="宋体" w:hAnsi="宋体" w:cs="宋体"/>
          <w:color w:val="000000" w:themeColor="text1"/>
          <w:spacing w:val="6"/>
          <w:sz w:val="24"/>
        </w:rPr>
        <w:t>人，营业收入为</w:t>
      </w:r>
      <w:r>
        <w:rPr>
          <w:rFonts w:hint="eastAsia" w:ascii="宋体" w:hAnsi="宋体" w:cs="宋体"/>
          <w:color w:val="000000" w:themeColor="text1"/>
          <w:spacing w:val="6"/>
          <w:sz w:val="24"/>
          <w:u w:val="single"/>
        </w:rPr>
        <w:t xml:space="preserve">    </w:t>
      </w:r>
      <w:r>
        <w:rPr>
          <w:rFonts w:hint="eastAsia" w:ascii="宋体" w:hAnsi="宋体" w:cs="宋体"/>
          <w:color w:val="000000" w:themeColor="text1"/>
          <w:spacing w:val="6"/>
          <w:sz w:val="24"/>
        </w:rPr>
        <w:t>万元，资产总额为</w:t>
      </w:r>
      <w:r>
        <w:rPr>
          <w:rFonts w:hint="eastAsia" w:ascii="宋体" w:hAnsi="宋体" w:cs="宋体"/>
          <w:color w:val="000000" w:themeColor="text1"/>
          <w:spacing w:val="6"/>
          <w:sz w:val="24"/>
          <w:u w:val="single"/>
        </w:rPr>
        <w:t xml:space="preserve">     </w:t>
      </w:r>
      <w:r>
        <w:rPr>
          <w:rFonts w:hint="eastAsia" w:ascii="宋体" w:hAnsi="宋体" w:cs="宋体"/>
          <w:color w:val="000000" w:themeColor="text1"/>
          <w:spacing w:val="6"/>
          <w:sz w:val="24"/>
        </w:rPr>
        <w:t>万元，属于</w:t>
      </w:r>
      <w:r>
        <w:rPr>
          <w:rFonts w:hint="eastAsia" w:ascii="宋体" w:hAnsi="宋体" w:cs="宋体"/>
          <w:color w:val="000000" w:themeColor="text1"/>
          <w:spacing w:val="6"/>
          <w:sz w:val="24"/>
          <w:u w:val="single"/>
        </w:rPr>
        <w:t xml:space="preserve">  （中型企业、 小型企业、微型企业）</w:t>
      </w:r>
      <w:r>
        <w:rPr>
          <w:rFonts w:hint="eastAsia" w:ascii="宋体" w:hAnsi="宋体" w:cs="宋体"/>
          <w:color w:val="000000" w:themeColor="text1"/>
          <w:spacing w:val="6"/>
          <w:sz w:val="24"/>
        </w:rPr>
        <w:t xml:space="preserve">； </w:t>
      </w:r>
    </w:p>
    <w:p w14:paraId="688A59ED">
      <w:pPr>
        <w:spacing w:line="588" w:lineRule="exact"/>
        <w:ind w:firstLine="504" w:firstLineChars="200"/>
        <w:rPr>
          <w:rFonts w:hint="eastAsia" w:ascii="宋体" w:hAnsi="宋体" w:cs="宋体"/>
          <w:color w:val="000000" w:themeColor="text1"/>
          <w:spacing w:val="6"/>
          <w:sz w:val="24"/>
        </w:rPr>
      </w:pPr>
      <w:r>
        <w:rPr>
          <w:rFonts w:hint="eastAsia" w:ascii="宋体" w:hAnsi="宋体" w:cs="宋体"/>
          <w:color w:val="000000" w:themeColor="text1"/>
          <w:spacing w:val="6"/>
          <w:sz w:val="24"/>
        </w:rPr>
        <w:t>……</w:t>
      </w:r>
    </w:p>
    <w:p w14:paraId="4BB48545">
      <w:pPr>
        <w:spacing w:line="588" w:lineRule="exact"/>
        <w:ind w:firstLine="504" w:firstLineChars="200"/>
        <w:rPr>
          <w:rFonts w:hint="eastAsia" w:ascii="宋体" w:hAnsi="宋体" w:cs="宋体"/>
          <w:color w:val="000000" w:themeColor="text1"/>
          <w:spacing w:val="6"/>
          <w:sz w:val="24"/>
        </w:rPr>
      </w:pPr>
      <w:r>
        <w:rPr>
          <w:rFonts w:hint="eastAsia" w:ascii="宋体" w:hAnsi="宋体" w:cs="宋体"/>
          <w:color w:val="000000" w:themeColor="text1"/>
          <w:spacing w:val="6"/>
          <w:sz w:val="24"/>
        </w:rPr>
        <w:t xml:space="preserve">以上企业，不属于大企业的分支机构，不存在控股股东为大企业的情形，也不存在与大企业的负责人为同一人的情形。本企业对上述声明内容的真实性负责。如有虚假，将依法承担相应责任。 </w:t>
      </w:r>
    </w:p>
    <w:p w14:paraId="6282A637">
      <w:pPr>
        <w:spacing w:line="588" w:lineRule="exact"/>
        <w:ind w:firstLine="4788" w:firstLineChars="1900"/>
        <w:rPr>
          <w:rFonts w:hint="eastAsia" w:ascii="宋体" w:hAnsi="宋体" w:cs="宋体"/>
          <w:color w:val="000000" w:themeColor="text1"/>
          <w:spacing w:val="6"/>
          <w:sz w:val="24"/>
          <w:u w:val="single"/>
        </w:rPr>
      </w:pPr>
      <w:r>
        <w:rPr>
          <w:rFonts w:hint="eastAsia" w:ascii="宋体" w:hAnsi="宋体" w:cs="宋体"/>
          <w:color w:val="000000" w:themeColor="text1"/>
          <w:spacing w:val="6"/>
          <w:sz w:val="24"/>
        </w:rPr>
        <w:t>企业名称（盖章）：</w:t>
      </w:r>
      <w:r>
        <w:rPr>
          <w:rFonts w:hint="eastAsia" w:ascii="宋体" w:hAnsi="宋体" w:cs="宋体"/>
          <w:color w:val="000000" w:themeColor="text1"/>
          <w:spacing w:val="6"/>
          <w:sz w:val="24"/>
          <w:u w:val="single"/>
        </w:rPr>
        <w:t xml:space="preserve">                   </w:t>
      </w:r>
    </w:p>
    <w:p w14:paraId="6588E741">
      <w:pPr>
        <w:spacing w:line="588" w:lineRule="exact"/>
        <w:ind w:firstLine="6048" w:firstLineChars="2400"/>
        <w:rPr>
          <w:rFonts w:hint="eastAsia" w:ascii="宋体" w:hAnsi="宋体" w:cs="宋体"/>
          <w:color w:val="000000" w:themeColor="text1"/>
          <w:spacing w:val="6"/>
          <w:sz w:val="24"/>
          <w:u w:val="single"/>
        </w:rPr>
      </w:pPr>
      <w:r>
        <w:rPr>
          <w:rFonts w:hint="eastAsia" w:ascii="宋体" w:hAnsi="宋体" w:cs="宋体"/>
          <w:color w:val="000000" w:themeColor="text1"/>
          <w:spacing w:val="6"/>
          <w:sz w:val="24"/>
        </w:rPr>
        <w:t>日 期：</w:t>
      </w:r>
      <w:r>
        <w:rPr>
          <w:rFonts w:hint="eastAsia" w:ascii="宋体" w:hAnsi="宋体" w:cs="宋体"/>
          <w:color w:val="000000" w:themeColor="text1"/>
          <w:spacing w:val="6"/>
          <w:sz w:val="24"/>
          <w:u w:val="single"/>
        </w:rPr>
        <w:t xml:space="preserve">                    </w:t>
      </w:r>
    </w:p>
    <w:p w14:paraId="01ED93AF">
      <w:pPr>
        <w:spacing w:line="588" w:lineRule="exact"/>
        <w:rPr>
          <w:rFonts w:hint="eastAsia" w:ascii="宋体" w:hAnsi="宋体" w:cs="宋体"/>
          <w:color w:val="000000" w:themeColor="text1"/>
          <w:spacing w:val="6"/>
          <w:sz w:val="24"/>
        </w:rPr>
      </w:pPr>
    </w:p>
    <w:p w14:paraId="6A225273">
      <w:pPr>
        <w:widowControl/>
        <w:shd w:val="clear" w:color="auto" w:fill="FFFFFF"/>
        <w:spacing w:after="240" w:line="360" w:lineRule="atLeast"/>
        <w:ind w:firstLine="630" w:firstLineChars="250"/>
        <w:jc w:val="left"/>
        <w:rPr>
          <w:rFonts w:hint="eastAsia" w:ascii="宋体" w:hAnsi="宋体" w:eastAsia="宋体" w:cs="宋体"/>
          <w:b/>
          <w:color w:val="000000" w:themeColor="text1"/>
        </w:rPr>
      </w:pPr>
      <w:r>
        <w:rPr>
          <w:rFonts w:hint="eastAsia" w:ascii="宋体" w:hAnsi="宋体" w:cs="宋体"/>
          <w:color w:val="000000" w:themeColor="text1"/>
          <w:spacing w:val="6"/>
          <w:sz w:val="24"/>
        </w:rPr>
        <w:t>注：从业人员、营业收入、资产总额填报上一年度数据，无上一年度数据的新成立企业可不填报。</w:t>
      </w:r>
    </w:p>
    <w:p w14:paraId="58C9D9FD">
      <w:pPr>
        <w:pStyle w:val="29"/>
        <w:rPr>
          <w:rFonts w:hint="eastAsia"/>
          <w:color w:val="000000" w:themeColor="text1"/>
        </w:rPr>
      </w:pPr>
    </w:p>
    <w:p w14:paraId="0594ACB5">
      <w:pPr>
        <w:spacing w:line="380" w:lineRule="exact"/>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lang w:val="en-US" w:eastAsia="zh-CN"/>
        </w:rPr>
        <w:t>9</w:t>
      </w:r>
      <w:r>
        <w:rPr>
          <w:rFonts w:hint="eastAsia" w:ascii="宋体" w:hAnsi="宋体" w:eastAsia="宋体" w:cs="宋体"/>
          <w:b/>
          <w:bCs/>
          <w:color w:val="000000" w:themeColor="text1"/>
          <w:sz w:val="32"/>
          <w:szCs w:val="32"/>
        </w:rPr>
        <w:t>、监狱企业的证明文件[</w:t>
      </w:r>
      <w:r>
        <w:rPr>
          <w:rFonts w:hint="eastAsia" w:ascii="宋体" w:hAnsi="宋体" w:eastAsia="宋体" w:cs="宋体"/>
          <w:b/>
          <w:bCs/>
          <w:color w:val="000000" w:themeColor="text1"/>
          <w:sz w:val="32"/>
          <w:szCs w:val="32"/>
          <w:lang w:eastAsia="zh-CN"/>
        </w:rPr>
        <w:t>竞标人</w:t>
      </w:r>
      <w:r>
        <w:rPr>
          <w:rFonts w:hint="eastAsia" w:ascii="宋体" w:hAnsi="宋体" w:eastAsia="宋体" w:cs="宋体"/>
          <w:b/>
          <w:bCs/>
          <w:color w:val="000000" w:themeColor="text1"/>
          <w:sz w:val="32"/>
          <w:szCs w:val="32"/>
        </w:rPr>
        <w:t>如为监狱企业的</w:t>
      </w:r>
      <w:r>
        <w:rPr>
          <w:rFonts w:hint="eastAsia" w:ascii="宋体" w:hAnsi="宋体" w:eastAsia="宋体" w:cs="宋体"/>
          <w:b/>
          <w:bCs/>
          <w:color w:val="000000" w:themeColor="text1"/>
          <w:sz w:val="32"/>
          <w:szCs w:val="32"/>
          <w:lang w:eastAsia="zh-CN"/>
        </w:rPr>
        <w:t>，必须</w:t>
      </w:r>
      <w:r>
        <w:rPr>
          <w:rFonts w:hint="eastAsia" w:ascii="宋体" w:hAnsi="宋体" w:eastAsia="宋体" w:cs="宋体"/>
          <w:b/>
          <w:bCs/>
          <w:color w:val="000000" w:themeColor="text1"/>
          <w:sz w:val="32"/>
          <w:szCs w:val="32"/>
        </w:rPr>
        <w:t>提供由省级以上监狱管理局、戒毒管理局（含新疆生产建设兵团）出具的属于监狱企业的证明文件, 否则不予享受优惠政策] ；</w:t>
      </w:r>
    </w:p>
    <w:p w14:paraId="6EF24898">
      <w:pPr>
        <w:pStyle w:val="3"/>
        <w:rPr>
          <w:rFonts w:hint="eastAsia" w:ascii="宋体" w:hAnsi="宋体" w:eastAsia="宋体" w:cs="宋体"/>
          <w:color w:val="000000" w:themeColor="text1"/>
          <w:sz w:val="32"/>
          <w:szCs w:val="32"/>
        </w:rPr>
      </w:pPr>
    </w:p>
    <w:p w14:paraId="0DD2C19E">
      <w:pPr>
        <w:rPr>
          <w:rFonts w:hint="eastAsia" w:ascii="宋体" w:hAnsi="宋体" w:eastAsia="宋体" w:cs="宋体"/>
          <w:color w:val="000000" w:themeColor="text1"/>
          <w:sz w:val="32"/>
          <w:szCs w:val="32"/>
        </w:rPr>
      </w:pPr>
    </w:p>
    <w:p w14:paraId="0B07E455">
      <w:pPr>
        <w:numPr>
          <w:ilvl w:val="0"/>
          <w:numId w:val="0"/>
        </w:numPr>
        <w:spacing w:line="380" w:lineRule="exact"/>
        <w:rPr>
          <w:rFonts w:hint="eastAsia" w:ascii="宋体" w:hAnsi="宋体" w:eastAsia="宋体" w:cs="宋体"/>
          <w:b/>
          <w:bCs/>
          <w:color w:val="000000" w:themeColor="text1"/>
          <w:sz w:val="32"/>
          <w:szCs w:val="32"/>
        </w:rPr>
      </w:pPr>
      <w:r>
        <w:rPr>
          <w:rFonts w:hint="eastAsia" w:ascii="宋体" w:hAnsi="宋体" w:eastAsia="宋体" w:cs="宋体"/>
          <w:b/>
          <w:bCs/>
          <w:color w:val="000000" w:themeColor="text1"/>
          <w:sz w:val="32"/>
          <w:szCs w:val="32"/>
          <w:lang w:val="en-US" w:eastAsia="zh-CN"/>
        </w:rPr>
        <w:t>10、</w:t>
      </w:r>
      <w:r>
        <w:rPr>
          <w:rFonts w:hint="eastAsia" w:ascii="宋体" w:hAnsi="宋体" w:eastAsia="宋体" w:cs="宋体"/>
          <w:b/>
          <w:bCs/>
          <w:color w:val="000000" w:themeColor="text1"/>
          <w:sz w:val="32"/>
          <w:szCs w:val="32"/>
        </w:rPr>
        <w:t>《残疾人福利性单位声明函》【符合条件的残疾人福利性单位在参加政府采购活动时，</w:t>
      </w:r>
      <w:r>
        <w:rPr>
          <w:rFonts w:hint="eastAsia" w:ascii="宋体" w:hAnsi="宋体" w:eastAsia="宋体" w:cs="宋体"/>
          <w:b/>
          <w:bCs/>
          <w:color w:val="000000" w:themeColor="text1"/>
          <w:sz w:val="32"/>
          <w:szCs w:val="32"/>
          <w:lang w:eastAsia="zh-CN"/>
        </w:rPr>
        <w:t>必须</w:t>
      </w:r>
      <w:r>
        <w:rPr>
          <w:rFonts w:hint="eastAsia" w:ascii="宋体" w:hAnsi="宋体" w:eastAsia="宋体" w:cs="宋体"/>
          <w:b/>
          <w:bCs/>
          <w:color w:val="000000" w:themeColor="text1"/>
          <w:sz w:val="32"/>
          <w:szCs w:val="32"/>
        </w:rPr>
        <w:t>提供《残疾人福利性单位声明函》（格式见附件），并对声明的真实性负责，成交结果将同时公告企业《残疾人福利性单位声明函》，接受社会监督】；</w:t>
      </w:r>
    </w:p>
    <w:p w14:paraId="6AF01177">
      <w:pPr>
        <w:pStyle w:val="29"/>
        <w:numPr>
          <w:ilvl w:val="0"/>
          <w:numId w:val="0"/>
        </w:numPr>
        <w:rPr>
          <w:rFonts w:hint="eastAsia"/>
          <w:color w:val="000000" w:themeColor="text1"/>
        </w:rPr>
      </w:pPr>
    </w:p>
    <w:p w14:paraId="0D1242DF">
      <w:pPr>
        <w:pStyle w:val="29"/>
        <w:numPr>
          <w:ilvl w:val="0"/>
          <w:numId w:val="0"/>
        </w:numPr>
        <w:rPr>
          <w:rFonts w:hint="eastAsia"/>
          <w:color w:val="000000" w:themeColor="text1"/>
        </w:rPr>
      </w:pPr>
    </w:p>
    <w:p w14:paraId="043D03E1">
      <w:pPr>
        <w:pStyle w:val="29"/>
        <w:numPr>
          <w:ilvl w:val="0"/>
          <w:numId w:val="0"/>
        </w:numPr>
        <w:rPr>
          <w:rFonts w:hint="eastAsia"/>
          <w:color w:val="000000" w:themeColor="text1"/>
        </w:rPr>
      </w:pPr>
    </w:p>
    <w:p w14:paraId="51EC7F45">
      <w:pPr>
        <w:pStyle w:val="29"/>
        <w:numPr>
          <w:ilvl w:val="0"/>
          <w:numId w:val="0"/>
        </w:numPr>
        <w:rPr>
          <w:rFonts w:hint="eastAsia"/>
          <w:color w:val="000000" w:themeColor="text1"/>
        </w:rPr>
      </w:pPr>
    </w:p>
    <w:p w14:paraId="78060B31">
      <w:pPr>
        <w:spacing w:line="588" w:lineRule="exact"/>
        <w:jc w:val="center"/>
        <w:rPr>
          <w:rFonts w:hint="eastAsia" w:ascii="宋体" w:hAnsi="宋体" w:eastAsia="宋体" w:cs="宋体"/>
          <w:b/>
          <w:color w:val="000000" w:themeColor="text1"/>
          <w:spacing w:val="6"/>
          <w:sz w:val="32"/>
          <w:szCs w:val="32"/>
        </w:rPr>
      </w:pPr>
      <w:r>
        <w:rPr>
          <w:rFonts w:hint="eastAsia" w:ascii="宋体" w:hAnsi="宋体" w:eastAsia="宋体" w:cs="宋体"/>
          <w:b/>
          <w:color w:val="000000" w:themeColor="text1"/>
          <w:spacing w:val="6"/>
          <w:sz w:val="32"/>
          <w:szCs w:val="32"/>
        </w:rPr>
        <w:t>残疾人福利性单位声明函</w:t>
      </w:r>
    </w:p>
    <w:p w14:paraId="45845442">
      <w:pPr>
        <w:spacing w:line="588" w:lineRule="exact"/>
        <w:rPr>
          <w:rFonts w:hint="eastAsia" w:ascii="宋体" w:hAnsi="宋体" w:eastAsia="宋体" w:cs="宋体"/>
          <w:b/>
          <w:color w:val="000000" w:themeColor="text1"/>
          <w:spacing w:val="6"/>
          <w:sz w:val="30"/>
          <w:szCs w:val="30"/>
        </w:rPr>
      </w:pPr>
    </w:p>
    <w:p w14:paraId="6D41ED9E">
      <w:pPr>
        <w:spacing w:line="588" w:lineRule="exact"/>
        <w:ind w:firstLine="444" w:firstLineChars="200"/>
        <w:rPr>
          <w:rFonts w:hint="eastAsia" w:ascii="宋体" w:hAnsi="宋体" w:eastAsia="宋体" w:cs="宋体"/>
          <w:color w:val="000000" w:themeColor="text1"/>
          <w:spacing w:val="6"/>
        </w:rPr>
      </w:pPr>
      <w:r>
        <w:rPr>
          <w:rFonts w:hint="eastAsia" w:ascii="宋体" w:hAnsi="宋体" w:eastAsia="宋体" w:cs="宋体"/>
          <w:color w:val="000000" w:themeColor="text1"/>
          <w:spacing w:val="6"/>
        </w:rPr>
        <w:t>本单位郑重声明，根据《财政部 民政部 中国残疾人联合会关于促进残疾人就业政府采购政策的通知》（财库</w:t>
      </w:r>
      <w:r>
        <w:rPr>
          <w:rFonts w:hint="eastAsia" w:ascii="宋体" w:hAnsi="宋体" w:eastAsia="宋体" w:cs="宋体"/>
          <w:color w:val="000000" w:themeColor="text1"/>
        </w:rPr>
        <w:t>〔2017〕 141</w:t>
      </w:r>
      <w:r>
        <w:rPr>
          <w:rFonts w:hint="eastAsia" w:ascii="宋体" w:hAnsi="宋体" w:eastAsia="宋体" w:cs="宋体"/>
          <w:color w:val="000000" w:themeColor="text1"/>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80731B">
      <w:pPr>
        <w:spacing w:line="588" w:lineRule="exact"/>
        <w:ind w:firstLine="444" w:firstLineChars="200"/>
        <w:rPr>
          <w:rFonts w:hint="eastAsia" w:ascii="宋体" w:hAnsi="宋体" w:eastAsia="宋体" w:cs="宋体"/>
          <w:color w:val="000000" w:themeColor="text1"/>
          <w:spacing w:val="6"/>
        </w:rPr>
      </w:pPr>
      <w:r>
        <w:rPr>
          <w:rFonts w:hint="eastAsia" w:ascii="宋体" w:hAnsi="宋体" w:eastAsia="宋体" w:cs="宋体"/>
          <w:color w:val="000000" w:themeColor="text1"/>
          <w:spacing w:val="6"/>
        </w:rPr>
        <w:t>本单位对上述声明的真实性负责。如有虚假，将依法承担相应责任。</w:t>
      </w:r>
    </w:p>
    <w:p w14:paraId="0E5FE3C2">
      <w:pPr>
        <w:spacing w:line="588" w:lineRule="exact"/>
        <w:ind w:firstLine="444" w:firstLineChars="200"/>
        <w:rPr>
          <w:rFonts w:hint="eastAsia" w:ascii="宋体" w:hAnsi="宋体" w:eastAsia="宋体" w:cs="宋体"/>
          <w:color w:val="000000" w:themeColor="text1"/>
          <w:spacing w:val="6"/>
        </w:rPr>
      </w:pPr>
    </w:p>
    <w:p w14:paraId="15522C6C">
      <w:pPr>
        <w:spacing w:line="588" w:lineRule="exact"/>
        <w:ind w:firstLine="444" w:firstLineChars="200"/>
        <w:rPr>
          <w:rFonts w:hint="eastAsia" w:ascii="宋体" w:hAnsi="宋体" w:eastAsia="宋体" w:cs="宋体"/>
          <w:color w:val="000000" w:themeColor="text1"/>
          <w:spacing w:val="6"/>
        </w:rPr>
      </w:pPr>
    </w:p>
    <w:p w14:paraId="44F959FD">
      <w:pPr>
        <w:tabs>
          <w:tab w:val="left" w:pos="4860"/>
        </w:tabs>
        <w:spacing w:line="588" w:lineRule="exact"/>
        <w:ind w:right="1560" w:firstLine="444" w:firstLineChars="200"/>
        <w:jc w:val="center"/>
        <w:rPr>
          <w:rFonts w:hint="eastAsia" w:ascii="宋体" w:hAnsi="宋体" w:eastAsia="宋体" w:cs="宋体"/>
          <w:color w:val="000000" w:themeColor="text1"/>
          <w:spacing w:val="6"/>
        </w:rPr>
      </w:pPr>
      <w:r>
        <w:rPr>
          <w:rFonts w:hint="eastAsia" w:ascii="宋体" w:hAnsi="宋体" w:eastAsia="宋体" w:cs="宋体"/>
          <w:color w:val="000000" w:themeColor="text1"/>
          <w:spacing w:val="6"/>
        </w:rPr>
        <w:t>单位名称（盖章）：</w:t>
      </w:r>
    </w:p>
    <w:p w14:paraId="7BD99956">
      <w:pPr>
        <w:tabs>
          <w:tab w:val="left" w:pos="4860"/>
        </w:tabs>
        <w:spacing w:line="588" w:lineRule="exact"/>
        <w:ind w:right="1560" w:firstLine="444" w:firstLineChars="200"/>
        <w:jc w:val="center"/>
        <w:rPr>
          <w:rFonts w:hint="eastAsia" w:ascii="宋体" w:hAnsi="宋体" w:eastAsia="宋体" w:cs="宋体"/>
          <w:color w:val="000000" w:themeColor="text1"/>
          <w:spacing w:val="6"/>
        </w:rPr>
      </w:pPr>
      <w:r>
        <w:rPr>
          <w:rFonts w:hint="eastAsia" w:ascii="宋体" w:hAnsi="宋体" w:eastAsia="宋体" w:cs="宋体"/>
          <w:color w:val="000000" w:themeColor="text1"/>
          <w:spacing w:val="6"/>
        </w:rPr>
        <w:t>日  期：</w:t>
      </w:r>
    </w:p>
    <w:p w14:paraId="3EE0FE10">
      <w:pPr>
        <w:autoSpaceDE w:val="0"/>
        <w:autoSpaceDN w:val="0"/>
        <w:adjustRightInd w:val="0"/>
        <w:spacing w:line="520" w:lineRule="exact"/>
        <w:rPr>
          <w:rFonts w:hint="eastAsia" w:ascii="宋体" w:hAnsi="宋体" w:eastAsia="宋体" w:cs="宋体"/>
          <w:color w:val="000000" w:themeColor="text1"/>
          <w:kern w:val="0"/>
          <w:szCs w:val="21"/>
          <w:highlight w:val="green"/>
        </w:rPr>
      </w:pPr>
    </w:p>
    <w:p w14:paraId="06DED89A">
      <w:pPr>
        <w:pStyle w:val="29"/>
        <w:numPr>
          <w:ilvl w:val="0"/>
          <w:numId w:val="0"/>
        </w:numPr>
        <w:ind w:leftChars="0"/>
        <w:rPr>
          <w:rFonts w:hint="eastAsia"/>
          <w:b/>
          <w:bCs/>
          <w:color w:val="000000" w:themeColor="text1"/>
          <w:sz w:val="28"/>
          <w:szCs w:val="28"/>
        </w:rPr>
      </w:pPr>
    </w:p>
    <w:p w14:paraId="7030301C">
      <w:pPr>
        <w:pStyle w:val="29"/>
        <w:numPr>
          <w:ilvl w:val="0"/>
          <w:numId w:val="0"/>
        </w:numPr>
        <w:ind w:leftChars="0"/>
        <w:rPr>
          <w:rFonts w:hint="eastAsia"/>
          <w:b/>
          <w:bCs/>
          <w:color w:val="000000" w:themeColor="text1"/>
          <w:sz w:val="28"/>
          <w:szCs w:val="28"/>
        </w:rPr>
      </w:pPr>
    </w:p>
    <w:p w14:paraId="6AF4A167">
      <w:pPr>
        <w:pStyle w:val="29"/>
        <w:numPr>
          <w:ilvl w:val="0"/>
          <w:numId w:val="0"/>
        </w:numPr>
        <w:ind w:leftChars="0"/>
        <w:rPr>
          <w:rFonts w:hint="eastAsia"/>
          <w:b/>
          <w:bCs/>
          <w:color w:val="000000" w:themeColor="text1"/>
          <w:sz w:val="28"/>
          <w:szCs w:val="28"/>
        </w:rPr>
      </w:pPr>
    </w:p>
    <w:p w14:paraId="51B11E8D">
      <w:pPr>
        <w:pStyle w:val="29"/>
        <w:numPr>
          <w:ilvl w:val="0"/>
          <w:numId w:val="0"/>
        </w:numPr>
        <w:ind w:leftChars="0"/>
        <w:rPr>
          <w:rFonts w:hint="eastAsia"/>
          <w:b/>
          <w:bCs/>
          <w:color w:val="000000" w:themeColor="text1"/>
          <w:sz w:val="28"/>
          <w:szCs w:val="28"/>
        </w:rPr>
      </w:pPr>
    </w:p>
    <w:p w14:paraId="15EC8716">
      <w:pPr>
        <w:spacing w:before="156" w:beforeLines="50" w:after="312" w:afterLines="100" w:line="440" w:lineRule="exact"/>
        <w:rPr>
          <w:rFonts w:hint="eastAsia" w:hAnsi="宋体" w:cs="宋体"/>
          <w:b/>
          <w:bCs/>
          <w:color w:val="000000" w:themeColor="text1"/>
          <w:sz w:val="28"/>
          <w:szCs w:val="28"/>
          <w:lang w:val="en-US" w:eastAsia="zh-CN"/>
        </w:rPr>
      </w:pPr>
      <w:r>
        <w:rPr>
          <w:rFonts w:hint="eastAsia" w:hAnsi="宋体" w:cs="宋体"/>
          <w:b/>
          <w:bCs/>
          <w:color w:val="000000" w:themeColor="text1"/>
          <w:sz w:val="28"/>
          <w:szCs w:val="28"/>
          <w:lang w:val="en-US" w:eastAsia="zh-CN"/>
        </w:rPr>
        <w:t>11、资格审查需要的其他材料：项目管理机构配备情况表、拟投入施工机械设备情况表、企业近年已完成类似项目一览表、企业近年信誉实力一览表（如有）、竞标人2025年的财务报表，包括资产负债表、现金流量表、利润表复印件或竞标人基本开户银行出具的应能反映竞标人在资金结算、信贷业务、执行结算、银行纪律等方面无不良记录的资信证明复印件，原件备查；（注：对于从取得营业执照时间起到磋商截止时间为止不足要求年数的企业，只需提交企业取得营业执照年份至磋商截止之日前一个月的财务报表））、竞标人在“信用中国”网站、中国政府采购网等渠道列入失信被执行人、重大税收违法案件当事人名单、政府采购严重违法失信行为记录名单查询记录等；</w:t>
      </w:r>
    </w:p>
    <w:p w14:paraId="256398C3">
      <w:pPr>
        <w:spacing w:before="156" w:beforeLines="50" w:after="312" w:afterLines="100" w:line="440" w:lineRule="exact"/>
        <w:rPr>
          <w:rFonts w:hint="eastAsia" w:ascii="宋体" w:hAnsi="宋体" w:eastAsia="宋体" w:cs="宋体"/>
          <w:b/>
          <w:color w:val="000000" w:themeColor="text1"/>
          <w:sz w:val="28"/>
          <w:szCs w:val="28"/>
          <w:highlight w:val="none"/>
        </w:rPr>
      </w:pPr>
    </w:p>
    <w:p w14:paraId="28156D75">
      <w:pPr>
        <w:spacing w:before="156" w:beforeLines="50" w:after="312" w:afterLines="100" w:line="440" w:lineRule="exact"/>
        <w:rPr>
          <w:rFonts w:hint="eastAsia" w:ascii="宋体" w:hAnsi="宋体" w:eastAsia="宋体" w:cs="宋体"/>
          <w:b/>
          <w:color w:val="000000" w:themeColor="text1"/>
          <w:sz w:val="28"/>
          <w:szCs w:val="28"/>
          <w:highlight w:val="none"/>
        </w:rPr>
      </w:pPr>
    </w:p>
    <w:p w14:paraId="2BD4481B">
      <w:pPr>
        <w:spacing w:before="156" w:beforeLines="50" w:after="312" w:afterLines="100" w:line="440" w:lineRule="exact"/>
        <w:rPr>
          <w:rFonts w:hint="eastAsia" w:ascii="宋体" w:hAnsi="宋体" w:eastAsia="宋体" w:cs="宋体"/>
          <w:b/>
          <w:color w:val="000000" w:themeColor="text1"/>
          <w:sz w:val="28"/>
          <w:szCs w:val="28"/>
          <w:highlight w:val="none"/>
        </w:rPr>
      </w:pPr>
    </w:p>
    <w:p w14:paraId="72E3E0B7">
      <w:pPr>
        <w:spacing w:before="156" w:beforeLines="50" w:after="312" w:afterLines="100" w:line="440" w:lineRule="exact"/>
        <w:rPr>
          <w:rFonts w:hint="eastAsia" w:ascii="宋体" w:hAnsi="宋体" w:eastAsia="宋体" w:cs="宋体"/>
          <w:b/>
          <w:color w:val="000000" w:themeColor="text1"/>
          <w:sz w:val="28"/>
          <w:szCs w:val="28"/>
          <w:highlight w:val="none"/>
        </w:rPr>
      </w:pPr>
    </w:p>
    <w:p w14:paraId="726CE402">
      <w:pPr>
        <w:spacing w:before="156" w:beforeLines="50" w:after="312" w:afterLines="100" w:line="440" w:lineRule="exact"/>
        <w:rPr>
          <w:rFonts w:hint="eastAsia" w:ascii="宋体" w:hAnsi="宋体" w:eastAsia="宋体" w:cs="宋体"/>
          <w:b/>
          <w:color w:val="000000" w:themeColor="text1"/>
          <w:sz w:val="28"/>
          <w:szCs w:val="28"/>
          <w:highlight w:val="none"/>
        </w:rPr>
      </w:pPr>
    </w:p>
    <w:p w14:paraId="57E95CE2">
      <w:pPr>
        <w:spacing w:before="156" w:beforeLines="50" w:after="312" w:afterLines="100" w:line="440" w:lineRule="exact"/>
        <w:rPr>
          <w:rFonts w:hint="eastAsia" w:ascii="宋体" w:hAnsi="宋体" w:eastAsia="宋体" w:cs="宋体"/>
          <w:b/>
          <w:color w:val="000000" w:themeColor="text1"/>
          <w:sz w:val="28"/>
          <w:szCs w:val="28"/>
          <w:highlight w:val="none"/>
        </w:rPr>
      </w:pPr>
    </w:p>
    <w:p w14:paraId="15C3E838">
      <w:pPr>
        <w:spacing w:before="156" w:beforeLines="50" w:after="312" w:afterLines="100" w:line="440" w:lineRule="exact"/>
        <w:rPr>
          <w:rFonts w:hint="eastAsia" w:ascii="宋体" w:hAnsi="宋体" w:eastAsia="宋体" w:cs="宋体"/>
          <w:b/>
          <w:color w:val="000000" w:themeColor="text1"/>
          <w:sz w:val="28"/>
          <w:szCs w:val="28"/>
          <w:highlight w:val="none"/>
        </w:rPr>
      </w:pPr>
    </w:p>
    <w:p w14:paraId="0F6CE560">
      <w:pPr>
        <w:pStyle w:val="29"/>
        <w:rPr>
          <w:rFonts w:hint="eastAsia" w:ascii="宋体" w:hAnsi="宋体" w:eastAsia="宋体" w:cs="宋体"/>
          <w:b/>
          <w:color w:val="000000" w:themeColor="text1"/>
          <w:sz w:val="28"/>
          <w:szCs w:val="28"/>
          <w:highlight w:val="none"/>
        </w:rPr>
      </w:pPr>
    </w:p>
    <w:p w14:paraId="3D160BAD">
      <w:pPr>
        <w:pStyle w:val="29"/>
        <w:rPr>
          <w:rFonts w:hint="eastAsia" w:ascii="宋体" w:hAnsi="宋体" w:eastAsia="宋体" w:cs="宋体"/>
          <w:b/>
          <w:color w:val="000000" w:themeColor="text1"/>
          <w:sz w:val="28"/>
          <w:szCs w:val="28"/>
          <w:highlight w:val="none"/>
        </w:rPr>
      </w:pPr>
    </w:p>
    <w:p w14:paraId="29BE9ACF">
      <w:pPr>
        <w:pStyle w:val="29"/>
        <w:rPr>
          <w:rFonts w:hint="eastAsia" w:ascii="宋体" w:hAnsi="宋体" w:eastAsia="宋体" w:cs="宋体"/>
          <w:b/>
          <w:color w:val="000000" w:themeColor="text1"/>
          <w:sz w:val="28"/>
          <w:szCs w:val="28"/>
          <w:highlight w:val="none"/>
        </w:rPr>
      </w:pPr>
    </w:p>
    <w:p w14:paraId="5277225B">
      <w:pPr>
        <w:pStyle w:val="29"/>
        <w:rPr>
          <w:rFonts w:hint="eastAsia" w:ascii="宋体" w:hAnsi="宋体" w:eastAsia="宋体" w:cs="宋体"/>
          <w:b/>
          <w:color w:val="000000" w:themeColor="text1"/>
          <w:sz w:val="28"/>
          <w:szCs w:val="28"/>
          <w:highlight w:val="none"/>
        </w:rPr>
      </w:pPr>
    </w:p>
    <w:p w14:paraId="706D9E98">
      <w:pPr>
        <w:pStyle w:val="29"/>
        <w:rPr>
          <w:rFonts w:hint="eastAsia" w:ascii="宋体" w:hAnsi="宋体" w:eastAsia="宋体" w:cs="宋体"/>
          <w:b/>
          <w:color w:val="000000" w:themeColor="text1"/>
          <w:sz w:val="28"/>
          <w:szCs w:val="28"/>
          <w:highlight w:val="none"/>
        </w:rPr>
      </w:pPr>
    </w:p>
    <w:p w14:paraId="54DE0E22">
      <w:pPr>
        <w:pStyle w:val="29"/>
        <w:rPr>
          <w:rFonts w:hint="eastAsia" w:ascii="宋体" w:hAnsi="宋体" w:eastAsia="宋体" w:cs="宋体"/>
          <w:b/>
          <w:color w:val="000000" w:themeColor="text1"/>
          <w:sz w:val="28"/>
          <w:szCs w:val="28"/>
          <w:highlight w:val="none"/>
        </w:rPr>
      </w:pPr>
    </w:p>
    <w:p w14:paraId="337C0977">
      <w:pPr>
        <w:pStyle w:val="29"/>
        <w:rPr>
          <w:rFonts w:hint="eastAsia" w:ascii="宋体" w:hAnsi="宋体" w:eastAsia="宋体" w:cs="宋体"/>
          <w:b/>
          <w:color w:val="000000" w:themeColor="text1"/>
          <w:sz w:val="28"/>
          <w:szCs w:val="28"/>
          <w:highlight w:val="none"/>
        </w:rPr>
      </w:pPr>
    </w:p>
    <w:p w14:paraId="3F64D47F">
      <w:pPr>
        <w:pStyle w:val="29"/>
        <w:rPr>
          <w:rFonts w:hint="eastAsia" w:ascii="宋体" w:hAnsi="宋体" w:eastAsia="宋体" w:cs="宋体"/>
          <w:b/>
          <w:color w:val="000000" w:themeColor="text1"/>
          <w:sz w:val="28"/>
          <w:szCs w:val="28"/>
          <w:highlight w:val="none"/>
        </w:rPr>
      </w:pPr>
    </w:p>
    <w:p w14:paraId="523C3DCB">
      <w:pPr>
        <w:pStyle w:val="29"/>
        <w:rPr>
          <w:rFonts w:hint="eastAsia" w:ascii="宋体" w:hAnsi="宋体" w:eastAsia="宋体" w:cs="宋体"/>
          <w:b/>
          <w:color w:val="000000" w:themeColor="text1"/>
          <w:sz w:val="28"/>
          <w:szCs w:val="28"/>
          <w:highlight w:val="none"/>
        </w:rPr>
      </w:pPr>
    </w:p>
    <w:p w14:paraId="137C430C">
      <w:pPr>
        <w:pStyle w:val="29"/>
        <w:rPr>
          <w:rFonts w:hint="eastAsia" w:ascii="宋体" w:hAnsi="宋体" w:eastAsia="宋体" w:cs="宋体"/>
          <w:b/>
          <w:color w:val="000000" w:themeColor="text1"/>
          <w:sz w:val="28"/>
          <w:szCs w:val="28"/>
          <w:highlight w:val="none"/>
        </w:rPr>
      </w:pPr>
    </w:p>
    <w:p w14:paraId="5FC3200C">
      <w:pPr>
        <w:pStyle w:val="29"/>
        <w:rPr>
          <w:rFonts w:hint="eastAsia" w:ascii="宋体" w:hAnsi="宋体" w:eastAsia="宋体" w:cs="宋体"/>
          <w:b/>
          <w:color w:val="000000" w:themeColor="text1"/>
          <w:sz w:val="28"/>
          <w:szCs w:val="28"/>
          <w:highlight w:val="none"/>
        </w:rPr>
      </w:pPr>
    </w:p>
    <w:p w14:paraId="18CEE78A">
      <w:pPr>
        <w:pStyle w:val="29"/>
        <w:rPr>
          <w:rFonts w:hint="eastAsia" w:ascii="宋体" w:hAnsi="宋体" w:eastAsia="宋体" w:cs="宋体"/>
          <w:b/>
          <w:color w:val="000000" w:themeColor="text1"/>
          <w:sz w:val="28"/>
          <w:szCs w:val="28"/>
          <w:highlight w:val="none"/>
        </w:rPr>
      </w:pPr>
    </w:p>
    <w:p w14:paraId="3E4C9251">
      <w:pPr>
        <w:pStyle w:val="29"/>
        <w:rPr>
          <w:rFonts w:hint="eastAsia" w:ascii="宋体" w:hAnsi="宋体" w:eastAsia="宋体" w:cs="宋体"/>
          <w:b/>
          <w:color w:val="000000" w:themeColor="text1"/>
          <w:sz w:val="28"/>
          <w:szCs w:val="28"/>
          <w:highlight w:val="none"/>
        </w:rPr>
      </w:pPr>
    </w:p>
    <w:p w14:paraId="3AD3D604">
      <w:pPr>
        <w:spacing w:before="156" w:beforeLines="50" w:after="312" w:afterLines="100" w:line="440" w:lineRule="exact"/>
        <w:rPr>
          <w:rFonts w:hint="eastAsia" w:ascii="宋体" w:hAnsi="宋体" w:eastAsia="宋体" w:cs="宋体"/>
          <w:b/>
          <w:color w:val="000000" w:themeColor="text1"/>
          <w:sz w:val="28"/>
          <w:szCs w:val="28"/>
          <w:highlight w:val="none"/>
        </w:rPr>
      </w:pPr>
      <w:r>
        <w:rPr>
          <w:rFonts w:hint="eastAsia" w:ascii="宋体" w:hAnsi="宋体" w:eastAsia="宋体" w:cs="宋体"/>
          <w:b/>
          <w:color w:val="000000" w:themeColor="text1"/>
          <w:sz w:val="28"/>
          <w:szCs w:val="28"/>
          <w:highlight w:val="none"/>
        </w:rPr>
        <w:t>附表：</w:t>
      </w:r>
    </w:p>
    <w:p w14:paraId="328527F3">
      <w:pPr>
        <w:tabs>
          <w:tab w:val="left" w:pos="826"/>
        </w:tabs>
        <w:snapToGrid w:val="0"/>
        <w:rPr>
          <w:rFonts w:hint="eastAsia" w:ascii="宋体" w:hAnsi="宋体" w:eastAsia="宋体" w:cs="宋体"/>
          <w:b/>
          <w:color w:val="000000" w:themeColor="text1"/>
          <w:sz w:val="24"/>
          <w:szCs w:val="24"/>
          <w:highlight w:val="none"/>
        </w:rPr>
      </w:pPr>
      <w:r>
        <w:rPr>
          <w:rFonts w:hint="eastAsia" w:ascii="宋体" w:hAnsi="宋体" w:eastAsia="宋体" w:cs="宋体"/>
          <w:b/>
          <w:color w:val="000000" w:themeColor="text1"/>
          <w:sz w:val="24"/>
          <w:szCs w:val="24"/>
          <w:highlight w:val="none"/>
        </w:rPr>
        <w:t>（1）项目管理机构配备情况表</w:t>
      </w:r>
    </w:p>
    <w:p w14:paraId="6E13BDAF">
      <w:pPr>
        <w:tabs>
          <w:tab w:val="left" w:pos="826"/>
        </w:tabs>
        <w:snapToGrid w:val="0"/>
        <w:ind w:firstLine="482" w:firstLineChars="200"/>
        <w:rPr>
          <w:rFonts w:hint="eastAsia" w:ascii="宋体" w:hAnsi="宋体" w:eastAsia="宋体" w:cs="宋体"/>
          <w:b/>
          <w:color w:val="000000" w:themeColor="text1"/>
          <w:sz w:val="24"/>
          <w:szCs w:val="24"/>
          <w:highlight w:val="none"/>
        </w:rPr>
      </w:pPr>
    </w:p>
    <w:p w14:paraId="0B9D34A9">
      <w:pPr>
        <w:pStyle w:val="190"/>
        <w:outlineLvl w:val="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u w:val="single"/>
        </w:rPr>
        <w:t xml:space="preserve">            </w:t>
      </w:r>
      <w:bookmarkStart w:id="1773" w:name="_Toc6674"/>
      <w:r>
        <w:rPr>
          <w:rFonts w:hint="eastAsia" w:ascii="宋体" w:hAnsi="宋体" w:eastAsia="宋体" w:cs="宋体"/>
          <w:color w:val="000000" w:themeColor="text1"/>
          <w:highlight w:val="none"/>
          <w:u w:val="single"/>
        </w:rPr>
        <w:t xml:space="preserve">（采购工程项目名称）        </w:t>
      </w:r>
      <w:r>
        <w:rPr>
          <w:rFonts w:hint="eastAsia" w:ascii="宋体" w:hAnsi="宋体" w:eastAsia="宋体" w:cs="宋体"/>
          <w:color w:val="000000" w:themeColor="text1"/>
          <w:highlight w:val="none"/>
        </w:rPr>
        <w:t xml:space="preserve"> 工程</w:t>
      </w:r>
      <w:bookmarkEnd w:id="1773"/>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679"/>
      </w:tblGrid>
      <w:tr w14:paraId="5304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2075088A">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岗位</w:t>
            </w:r>
          </w:p>
        </w:tc>
        <w:tc>
          <w:tcPr>
            <w:tcW w:w="829" w:type="dxa"/>
            <w:vMerge w:val="restart"/>
            <w:noWrap w:val="0"/>
            <w:vAlign w:val="center"/>
          </w:tcPr>
          <w:p w14:paraId="4B86689C">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姓名</w:t>
            </w:r>
          </w:p>
        </w:tc>
        <w:tc>
          <w:tcPr>
            <w:tcW w:w="816" w:type="dxa"/>
            <w:vMerge w:val="restart"/>
            <w:noWrap w:val="0"/>
            <w:vAlign w:val="center"/>
          </w:tcPr>
          <w:p w14:paraId="21937844">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职称</w:t>
            </w:r>
          </w:p>
        </w:tc>
        <w:tc>
          <w:tcPr>
            <w:tcW w:w="4592" w:type="dxa"/>
            <w:gridSpan w:val="4"/>
            <w:noWrap w:val="0"/>
            <w:vAlign w:val="center"/>
          </w:tcPr>
          <w:p w14:paraId="3F51469C">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执业或职业资格证明</w:t>
            </w:r>
          </w:p>
        </w:tc>
        <w:tc>
          <w:tcPr>
            <w:tcW w:w="2529" w:type="dxa"/>
            <w:gridSpan w:val="2"/>
            <w:noWrap w:val="0"/>
            <w:vAlign w:val="center"/>
          </w:tcPr>
          <w:p w14:paraId="2F9EFF31">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承担完工工程情况</w:t>
            </w:r>
          </w:p>
        </w:tc>
      </w:tr>
      <w:tr w14:paraId="3C7D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236586CE">
            <w:pPr>
              <w:ind w:left="223" w:hanging="222" w:hangingChars="106"/>
              <w:jc w:val="center"/>
              <w:rPr>
                <w:rFonts w:hint="eastAsia" w:ascii="宋体" w:hAnsi="宋体" w:eastAsia="宋体" w:cs="宋体"/>
                <w:color w:val="000000" w:themeColor="text1"/>
                <w:szCs w:val="24"/>
                <w:highlight w:val="none"/>
              </w:rPr>
            </w:pPr>
          </w:p>
        </w:tc>
        <w:tc>
          <w:tcPr>
            <w:tcW w:w="829" w:type="dxa"/>
            <w:vMerge w:val="continue"/>
            <w:noWrap w:val="0"/>
            <w:vAlign w:val="center"/>
          </w:tcPr>
          <w:p w14:paraId="2EB18DE6">
            <w:pPr>
              <w:ind w:left="223" w:hanging="222" w:hangingChars="106"/>
              <w:jc w:val="center"/>
              <w:rPr>
                <w:rFonts w:hint="eastAsia" w:ascii="宋体" w:hAnsi="宋体" w:eastAsia="宋体" w:cs="宋体"/>
                <w:color w:val="000000" w:themeColor="text1"/>
                <w:szCs w:val="24"/>
                <w:highlight w:val="none"/>
              </w:rPr>
            </w:pPr>
          </w:p>
        </w:tc>
        <w:tc>
          <w:tcPr>
            <w:tcW w:w="816" w:type="dxa"/>
            <w:vMerge w:val="continue"/>
            <w:noWrap w:val="0"/>
            <w:vAlign w:val="center"/>
          </w:tcPr>
          <w:p w14:paraId="51EBA205">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0A99FED1">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证书名称</w:t>
            </w:r>
          </w:p>
        </w:tc>
        <w:tc>
          <w:tcPr>
            <w:tcW w:w="1148" w:type="dxa"/>
            <w:noWrap w:val="0"/>
            <w:vAlign w:val="center"/>
          </w:tcPr>
          <w:p w14:paraId="79DB77A2">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级别</w:t>
            </w:r>
          </w:p>
        </w:tc>
        <w:tc>
          <w:tcPr>
            <w:tcW w:w="1148" w:type="dxa"/>
            <w:noWrap w:val="0"/>
            <w:vAlign w:val="center"/>
          </w:tcPr>
          <w:p w14:paraId="69856EB1">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证号</w:t>
            </w:r>
          </w:p>
        </w:tc>
        <w:tc>
          <w:tcPr>
            <w:tcW w:w="1148" w:type="dxa"/>
            <w:noWrap w:val="0"/>
            <w:vAlign w:val="center"/>
          </w:tcPr>
          <w:p w14:paraId="15788587">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专业</w:t>
            </w:r>
          </w:p>
        </w:tc>
        <w:tc>
          <w:tcPr>
            <w:tcW w:w="850" w:type="dxa"/>
            <w:noWrap w:val="0"/>
            <w:vAlign w:val="center"/>
          </w:tcPr>
          <w:p w14:paraId="4DFD5B26">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项目数</w:t>
            </w:r>
          </w:p>
        </w:tc>
        <w:tc>
          <w:tcPr>
            <w:tcW w:w="1679" w:type="dxa"/>
            <w:noWrap w:val="0"/>
            <w:vAlign w:val="center"/>
          </w:tcPr>
          <w:p w14:paraId="34EABF4D">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主要项目</w:t>
            </w:r>
          </w:p>
          <w:p w14:paraId="4FFBFE5E">
            <w:pPr>
              <w:ind w:left="223" w:hanging="222" w:hangingChars="106"/>
              <w:jc w:val="center"/>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名称</w:t>
            </w:r>
          </w:p>
        </w:tc>
      </w:tr>
      <w:tr w14:paraId="639B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3114903">
            <w:pPr>
              <w:ind w:left="223" w:hanging="222" w:hangingChars="106"/>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kern w:val="0"/>
                <w:szCs w:val="21"/>
                <w:highlight w:val="none"/>
              </w:rPr>
              <w:t>安全员</w:t>
            </w:r>
          </w:p>
        </w:tc>
        <w:tc>
          <w:tcPr>
            <w:tcW w:w="829" w:type="dxa"/>
            <w:noWrap w:val="0"/>
            <w:vAlign w:val="center"/>
          </w:tcPr>
          <w:p w14:paraId="316BEA8A">
            <w:pPr>
              <w:ind w:left="223" w:hanging="222" w:hangingChars="106"/>
              <w:jc w:val="center"/>
              <w:rPr>
                <w:rFonts w:hint="eastAsia" w:ascii="宋体" w:hAnsi="宋体" w:eastAsia="宋体" w:cs="宋体"/>
                <w:color w:val="000000" w:themeColor="text1"/>
                <w:szCs w:val="24"/>
                <w:highlight w:val="none"/>
              </w:rPr>
            </w:pPr>
          </w:p>
        </w:tc>
        <w:tc>
          <w:tcPr>
            <w:tcW w:w="816" w:type="dxa"/>
            <w:noWrap w:val="0"/>
            <w:vAlign w:val="center"/>
          </w:tcPr>
          <w:p w14:paraId="1467EF68">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4654E42D">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715DB427">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1A03A933">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4242F9CE">
            <w:pPr>
              <w:ind w:left="223" w:hanging="222" w:hangingChars="106"/>
              <w:jc w:val="center"/>
              <w:rPr>
                <w:rFonts w:hint="eastAsia" w:ascii="宋体" w:hAnsi="宋体" w:eastAsia="宋体" w:cs="宋体"/>
                <w:color w:val="000000" w:themeColor="text1"/>
                <w:szCs w:val="24"/>
                <w:highlight w:val="none"/>
              </w:rPr>
            </w:pPr>
          </w:p>
        </w:tc>
        <w:tc>
          <w:tcPr>
            <w:tcW w:w="850" w:type="dxa"/>
            <w:noWrap w:val="0"/>
            <w:vAlign w:val="center"/>
          </w:tcPr>
          <w:p w14:paraId="2EDA07D9">
            <w:pPr>
              <w:ind w:left="223" w:hanging="222" w:hangingChars="106"/>
              <w:jc w:val="center"/>
              <w:rPr>
                <w:rFonts w:hint="eastAsia" w:ascii="宋体" w:hAnsi="宋体" w:eastAsia="宋体" w:cs="宋体"/>
                <w:color w:val="000000" w:themeColor="text1"/>
                <w:szCs w:val="24"/>
                <w:highlight w:val="none"/>
              </w:rPr>
            </w:pPr>
          </w:p>
        </w:tc>
        <w:tc>
          <w:tcPr>
            <w:tcW w:w="1679" w:type="dxa"/>
            <w:noWrap w:val="0"/>
            <w:vAlign w:val="center"/>
          </w:tcPr>
          <w:p w14:paraId="40B274B4">
            <w:pPr>
              <w:ind w:left="223" w:hanging="222" w:hangingChars="106"/>
              <w:jc w:val="center"/>
              <w:rPr>
                <w:rFonts w:hint="eastAsia" w:ascii="宋体" w:hAnsi="宋体" w:eastAsia="宋体" w:cs="宋体"/>
                <w:color w:val="000000" w:themeColor="text1"/>
                <w:szCs w:val="24"/>
                <w:highlight w:val="none"/>
              </w:rPr>
            </w:pPr>
          </w:p>
        </w:tc>
      </w:tr>
      <w:tr w14:paraId="7DCF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223B74C">
            <w:pPr>
              <w:ind w:left="223" w:hanging="222" w:hangingChars="106"/>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kern w:val="0"/>
                <w:szCs w:val="21"/>
                <w:highlight w:val="none"/>
              </w:rPr>
              <w:t>施工员</w:t>
            </w:r>
          </w:p>
        </w:tc>
        <w:tc>
          <w:tcPr>
            <w:tcW w:w="829" w:type="dxa"/>
            <w:noWrap w:val="0"/>
            <w:vAlign w:val="center"/>
          </w:tcPr>
          <w:p w14:paraId="76A40436">
            <w:pPr>
              <w:ind w:left="223" w:hanging="222" w:hangingChars="106"/>
              <w:jc w:val="center"/>
              <w:rPr>
                <w:rFonts w:hint="eastAsia" w:ascii="宋体" w:hAnsi="宋体" w:eastAsia="宋体" w:cs="宋体"/>
                <w:color w:val="000000" w:themeColor="text1"/>
                <w:szCs w:val="24"/>
                <w:highlight w:val="none"/>
              </w:rPr>
            </w:pPr>
          </w:p>
        </w:tc>
        <w:tc>
          <w:tcPr>
            <w:tcW w:w="816" w:type="dxa"/>
            <w:noWrap w:val="0"/>
            <w:vAlign w:val="center"/>
          </w:tcPr>
          <w:p w14:paraId="27378C77">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7FA23878">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40A1A74D">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76EDDDED">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71C824BD">
            <w:pPr>
              <w:ind w:left="223" w:hanging="222" w:hangingChars="106"/>
              <w:jc w:val="center"/>
              <w:rPr>
                <w:rFonts w:hint="eastAsia" w:ascii="宋体" w:hAnsi="宋体" w:eastAsia="宋体" w:cs="宋体"/>
                <w:color w:val="000000" w:themeColor="text1"/>
                <w:szCs w:val="24"/>
                <w:highlight w:val="none"/>
              </w:rPr>
            </w:pPr>
          </w:p>
        </w:tc>
        <w:tc>
          <w:tcPr>
            <w:tcW w:w="850" w:type="dxa"/>
            <w:noWrap w:val="0"/>
            <w:vAlign w:val="center"/>
          </w:tcPr>
          <w:p w14:paraId="4BA430BA">
            <w:pPr>
              <w:ind w:left="223" w:hanging="222" w:hangingChars="106"/>
              <w:jc w:val="center"/>
              <w:rPr>
                <w:rFonts w:hint="eastAsia" w:ascii="宋体" w:hAnsi="宋体" w:eastAsia="宋体" w:cs="宋体"/>
                <w:color w:val="000000" w:themeColor="text1"/>
                <w:szCs w:val="24"/>
                <w:highlight w:val="none"/>
              </w:rPr>
            </w:pPr>
          </w:p>
        </w:tc>
        <w:tc>
          <w:tcPr>
            <w:tcW w:w="1679" w:type="dxa"/>
            <w:noWrap w:val="0"/>
            <w:vAlign w:val="center"/>
          </w:tcPr>
          <w:p w14:paraId="7DB27211">
            <w:pPr>
              <w:ind w:left="223" w:hanging="222" w:hangingChars="106"/>
              <w:jc w:val="center"/>
              <w:rPr>
                <w:rFonts w:hint="eastAsia" w:ascii="宋体" w:hAnsi="宋体" w:eastAsia="宋体" w:cs="宋体"/>
                <w:color w:val="000000" w:themeColor="text1"/>
                <w:szCs w:val="24"/>
                <w:highlight w:val="none"/>
              </w:rPr>
            </w:pPr>
          </w:p>
        </w:tc>
      </w:tr>
      <w:tr w14:paraId="6454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20CB022">
            <w:pPr>
              <w:ind w:left="223" w:hanging="222" w:hangingChars="106"/>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kern w:val="0"/>
                <w:szCs w:val="21"/>
                <w:highlight w:val="none"/>
              </w:rPr>
              <w:t>质量员</w:t>
            </w:r>
          </w:p>
        </w:tc>
        <w:tc>
          <w:tcPr>
            <w:tcW w:w="829" w:type="dxa"/>
            <w:noWrap w:val="0"/>
            <w:vAlign w:val="center"/>
          </w:tcPr>
          <w:p w14:paraId="62D69A04">
            <w:pPr>
              <w:ind w:left="223" w:hanging="222" w:hangingChars="106"/>
              <w:jc w:val="center"/>
              <w:rPr>
                <w:rFonts w:hint="eastAsia" w:ascii="宋体" w:hAnsi="宋体" w:eastAsia="宋体" w:cs="宋体"/>
                <w:color w:val="000000" w:themeColor="text1"/>
                <w:szCs w:val="24"/>
                <w:highlight w:val="none"/>
              </w:rPr>
            </w:pPr>
          </w:p>
        </w:tc>
        <w:tc>
          <w:tcPr>
            <w:tcW w:w="816" w:type="dxa"/>
            <w:noWrap w:val="0"/>
            <w:vAlign w:val="center"/>
          </w:tcPr>
          <w:p w14:paraId="12E415E5">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10FA29BB">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51A455B9">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070AA9C9">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7816168F">
            <w:pPr>
              <w:ind w:left="223" w:hanging="222" w:hangingChars="106"/>
              <w:jc w:val="center"/>
              <w:rPr>
                <w:rFonts w:hint="eastAsia" w:ascii="宋体" w:hAnsi="宋体" w:eastAsia="宋体" w:cs="宋体"/>
                <w:color w:val="000000" w:themeColor="text1"/>
                <w:szCs w:val="24"/>
                <w:highlight w:val="none"/>
              </w:rPr>
            </w:pPr>
          </w:p>
        </w:tc>
        <w:tc>
          <w:tcPr>
            <w:tcW w:w="850" w:type="dxa"/>
            <w:noWrap w:val="0"/>
            <w:vAlign w:val="center"/>
          </w:tcPr>
          <w:p w14:paraId="11CE1826">
            <w:pPr>
              <w:ind w:left="223" w:hanging="222" w:hangingChars="106"/>
              <w:jc w:val="center"/>
              <w:rPr>
                <w:rFonts w:hint="eastAsia" w:ascii="宋体" w:hAnsi="宋体" w:eastAsia="宋体" w:cs="宋体"/>
                <w:color w:val="000000" w:themeColor="text1"/>
                <w:szCs w:val="24"/>
                <w:highlight w:val="none"/>
              </w:rPr>
            </w:pPr>
          </w:p>
        </w:tc>
        <w:tc>
          <w:tcPr>
            <w:tcW w:w="1679" w:type="dxa"/>
            <w:noWrap w:val="0"/>
            <w:vAlign w:val="center"/>
          </w:tcPr>
          <w:p w14:paraId="02BBABF9">
            <w:pPr>
              <w:ind w:left="223" w:hanging="222" w:hangingChars="106"/>
              <w:jc w:val="center"/>
              <w:rPr>
                <w:rFonts w:hint="eastAsia" w:ascii="宋体" w:hAnsi="宋体" w:eastAsia="宋体" w:cs="宋体"/>
                <w:color w:val="000000" w:themeColor="text1"/>
                <w:szCs w:val="24"/>
                <w:highlight w:val="none"/>
              </w:rPr>
            </w:pPr>
          </w:p>
        </w:tc>
      </w:tr>
      <w:tr w14:paraId="744D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25061F8">
            <w:pPr>
              <w:ind w:left="223" w:hanging="222" w:hangingChars="106"/>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kern w:val="0"/>
                <w:szCs w:val="21"/>
                <w:highlight w:val="none"/>
              </w:rPr>
              <w:t>材料员</w:t>
            </w:r>
          </w:p>
        </w:tc>
        <w:tc>
          <w:tcPr>
            <w:tcW w:w="829" w:type="dxa"/>
            <w:noWrap w:val="0"/>
            <w:vAlign w:val="center"/>
          </w:tcPr>
          <w:p w14:paraId="58490F4F">
            <w:pPr>
              <w:ind w:left="223" w:hanging="222" w:hangingChars="106"/>
              <w:jc w:val="center"/>
              <w:rPr>
                <w:rFonts w:hint="eastAsia" w:ascii="宋体" w:hAnsi="宋体" w:eastAsia="宋体" w:cs="宋体"/>
                <w:color w:val="000000" w:themeColor="text1"/>
                <w:szCs w:val="24"/>
                <w:highlight w:val="none"/>
              </w:rPr>
            </w:pPr>
          </w:p>
        </w:tc>
        <w:tc>
          <w:tcPr>
            <w:tcW w:w="816" w:type="dxa"/>
            <w:noWrap w:val="0"/>
            <w:vAlign w:val="center"/>
          </w:tcPr>
          <w:p w14:paraId="1DC8328C">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12ACEF78">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55D12F9E">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7975147B">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2190C518">
            <w:pPr>
              <w:ind w:left="223" w:hanging="222" w:hangingChars="106"/>
              <w:jc w:val="center"/>
              <w:rPr>
                <w:rFonts w:hint="eastAsia" w:ascii="宋体" w:hAnsi="宋体" w:eastAsia="宋体" w:cs="宋体"/>
                <w:color w:val="000000" w:themeColor="text1"/>
                <w:szCs w:val="24"/>
                <w:highlight w:val="none"/>
              </w:rPr>
            </w:pPr>
          </w:p>
        </w:tc>
        <w:tc>
          <w:tcPr>
            <w:tcW w:w="850" w:type="dxa"/>
            <w:noWrap w:val="0"/>
            <w:vAlign w:val="center"/>
          </w:tcPr>
          <w:p w14:paraId="13203F0D">
            <w:pPr>
              <w:ind w:left="223" w:hanging="222" w:hangingChars="106"/>
              <w:jc w:val="center"/>
              <w:rPr>
                <w:rFonts w:hint="eastAsia" w:ascii="宋体" w:hAnsi="宋体" w:eastAsia="宋体" w:cs="宋体"/>
                <w:color w:val="000000" w:themeColor="text1"/>
                <w:szCs w:val="24"/>
                <w:highlight w:val="none"/>
              </w:rPr>
            </w:pPr>
          </w:p>
        </w:tc>
        <w:tc>
          <w:tcPr>
            <w:tcW w:w="1679" w:type="dxa"/>
            <w:noWrap w:val="0"/>
            <w:vAlign w:val="center"/>
          </w:tcPr>
          <w:p w14:paraId="5B39EA6D">
            <w:pPr>
              <w:ind w:left="223" w:hanging="222" w:hangingChars="106"/>
              <w:jc w:val="center"/>
              <w:rPr>
                <w:rFonts w:hint="eastAsia" w:ascii="宋体" w:hAnsi="宋体" w:eastAsia="宋体" w:cs="宋体"/>
                <w:color w:val="000000" w:themeColor="text1"/>
                <w:szCs w:val="24"/>
                <w:highlight w:val="none"/>
              </w:rPr>
            </w:pPr>
          </w:p>
        </w:tc>
      </w:tr>
      <w:tr w14:paraId="66D0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90B1A47">
            <w:pPr>
              <w:ind w:left="223" w:hanging="222" w:hangingChars="106"/>
              <w:jc w:val="center"/>
              <w:rPr>
                <w:rFonts w:hint="eastAsia" w:ascii="宋体" w:hAnsi="宋体" w:eastAsia="宋体" w:cs="宋体"/>
                <w:color w:val="000000" w:themeColor="text1"/>
                <w:szCs w:val="21"/>
                <w:highlight w:val="none"/>
                <w:lang w:eastAsia="zh-CN"/>
              </w:rPr>
            </w:pPr>
          </w:p>
        </w:tc>
        <w:tc>
          <w:tcPr>
            <w:tcW w:w="829" w:type="dxa"/>
            <w:noWrap w:val="0"/>
            <w:vAlign w:val="center"/>
          </w:tcPr>
          <w:p w14:paraId="2EA3CDDA">
            <w:pPr>
              <w:ind w:left="223" w:hanging="222" w:hangingChars="106"/>
              <w:jc w:val="center"/>
              <w:rPr>
                <w:rFonts w:hint="eastAsia" w:ascii="宋体" w:hAnsi="宋体" w:eastAsia="宋体" w:cs="宋体"/>
                <w:color w:val="000000" w:themeColor="text1"/>
                <w:szCs w:val="24"/>
                <w:highlight w:val="none"/>
              </w:rPr>
            </w:pPr>
          </w:p>
        </w:tc>
        <w:tc>
          <w:tcPr>
            <w:tcW w:w="816" w:type="dxa"/>
            <w:noWrap w:val="0"/>
            <w:vAlign w:val="center"/>
          </w:tcPr>
          <w:p w14:paraId="1EC2818A">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2314B552">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34382B0D">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4ADBF1B7">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60D7319B">
            <w:pPr>
              <w:ind w:left="223" w:hanging="222" w:hangingChars="106"/>
              <w:jc w:val="center"/>
              <w:rPr>
                <w:rFonts w:hint="eastAsia" w:ascii="宋体" w:hAnsi="宋体" w:eastAsia="宋体" w:cs="宋体"/>
                <w:color w:val="000000" w:themeColor="text1"/>
                <w:szCs w:val="24"/>
                <w:highlight w:val="none"/>
              </w:rPr>
            </w:pPr>
          </w:p>
        </w:tc>
        <w:tc>
          <w:tcPr>
            <w:tcW w:w="850" w:type="dxa"/>
            <w:noWrap w:val="0"/>
            <w:vAlign w:val="center"/>
          </w:tcPr>
          <w:p w14:paraId="37038EA7">
            <w:pPr>
              <w:ind w:left="223" w:hanging="222" w:hangingChars="106"/>
              <w:jc w:val="center"/>
              <w:rPr>
                <w:rFonts w:hint="eastAsia" w:ascii="宋体" w:hAnsi="宋体" w:eastAsia="宋体" w:cs="宋体"/>
                <w:color w:val="000000" w:themeColor="text1"/>
                <w:szCs w:val="24"/>
                <w:highlight w:val="none"/>
              </w:rPr>
            </w:pPr>
          </w:p>
        </w:tc>
        <w:tc>
          <w:tcPr>
            <w:tcW w:w="1679" w:type="dxa"/>
            <w:noWrap w:val="0"/>
            <w:vAlign w:val="center"/>
          </w:tcPr>
          <w:p w14:paraId="63B54347">
            <w:pPr>
              <w:ind w:left="223" w:hanging="222" w:hangingChars="106"/>
              <w:jc w:val="center"/>
              <w:rPr>
                <w:rFonts w:hint="eastAsia" w:ascii="宋体" w:hAnsi="宋体" w:eastAsia="宋体" w:cs="宋体"/>
                <w:color w:val="000000" w:themeColor="text1"/>
                <w:szCs w:val="24"/>
                <w:highlight w:val="none"/>
              </w:rPr>
            </w:pPr>
          </w:p>
        </w:tc>
      </w:tr>
      <w:tr w14:paraId="2170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4BB44BF">
            <w:pPr>
              <w:ind w:left="223" w:hanging="222" w:hangingChars="106"/>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w:t>
            </w:r>
          </w:p>
        </w:tc>
        <w:tc>
          <w:tcPr>
            <w:tcW w:w="829" w:type="dxa"/>
            <w:noWrap w:val="0"/>
            <w:vAlign w:val="center"/>
          </w:tcPr>
          <w:p w14:paraId="266CB403">
            <w:pPr>
              <w:ind w:left="223" w:hanging="222" w:hangingChars="106"/>
              <w:jc w:val="center"/>
              <w:rPr>
                <w:rFonts w:hint="eastAsia" w:ascii="宋体" w:hAnsi="宋体" w:eastAsia="宋体" w:cs="宋体"/>
                <w:color w:val="000000" w:themeColor="text1"/>
                <w:szCs w:val="24"/>
                <w:highlight w:val="none"/>
              </w:rPr>
            </w:pPr>
          </w:p>
        </w:tc>
        <w:tc>
          <w:tcPr>
            <w:tcW w:w="816" w:type="dxa"/>
            <w:noWrap w:val="0"/>
            <w:vAlign w:val="center"/>
          </w:tcPr>
          <w:p w14:paraId="04B6CD05">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3AE13F6C">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4A792A8C">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3674F422">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1681AF21">
            <w:pPr>
              <w:ind w:left="223" w:hanging="222" w:hangingChars="106"/>
              <w:jc w:val="center"/>
              <w:rPr>
                <w:rFonts w:hint="eastAsia" w:ascii="宋体" w:hAnsi="宋体" w:eastAsia="宋体" w:cs="宋体"/>
                <w:color w:val="000000" w:themeColor="text1"/>
                <w:szCs w:val="24"/>
                <w:highlight w:val="none"/>
              </w:rPr>
            </w:pPr>
          </w:p>
        </w:tc>
        <w:tc>
          <w:tcPr>
            <w:tcW w:w="850" w:type="dxa"/>
            <w:noWrap w:val="0"/>
            <w:vAlign w:val="center"/>
          </w:tcPr>
          <w:p w14:paraId="0D5914F7">
            <w:pPr>
              <w:ind w:left="223" w:hanging="222" w:hangingChars="106"/>
              <w:jc w:val="center"/>
              <w:rPr>
                <w:rFonts w:hint="eastAsia" w:ascii="宋体" w:hAnsi="宋体" w:eastAsia="宋体" w:cs="宋体"/>
                <w:color w:val="000000" w:themeColor="text1"/>
                <w:szCs w:val="24"/>
                <w:highlight w:val="none"/>
              </w:rPr>
            </w:pPr>
          </w:p>
        </w:tc>
        <w:tc>
          <w:tcPr>
            <w:tcW w:w="1679" w:type="dxa"/>
            <w:noWrap w:val="0"/>
            <w:vAlign w:val="center"/>
          </w:tcPr>
          <w:p w14:paraId="3A495120">
            <w:pPr>
              <w:ind w:left="223" w:hanging="222" w:hangingChars="106"/>
              <w:jc w:val="center"/>
              <w:rPr>
                <w:rFonts w:hint="eastAsia" w:ascii="宋体" w:hAnsi="宋体" w:eastAsia="宋体" w:cs="宋体"/>
                <w:color w:val="000000" w:themeColor="text1"/>
                <w:szCs w:val="24"/>
                <w:highlight w:val="none"/>
              </w:rPr>
            </w:pPr>
          </w:p>
        </w:tc>
      </w:tr>
      <w:tr w14:paraId="0FAB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89DA8E9">
            <w:pPr>
              <w:ind w:left="223" w:hanging="222" w:hangingChars="106"/>
              <w:jc w:val="center"/>
              <w:rPr>
                <w:rFonts w:hint="eastAsia" w:ascii="宋体" w:hAnsi="宋体" w:eastAsia="宋体" w:cs="宋体"/>
                <w:color w:val="000000" w:themeColor="text1"/>
                <w:szCs w:val="21"/>
                <w:highlight w:val="none"/>
              </w:rPr>
            </w:pPr>
          </w:p>
        </w:tc>
        <w:tc>
          <w:tcPr>
            <w:tcW w:w="829" w:type="dxa"/>
            <w:noWrap w:val="0"/>
            <w:vAlign w:val="center"/>
          </w:tcPr>
          <w:p w14:paraId="37B99041">
            <w:pPr>
              <w:ind w:left="223" w:hanging="222" w:hangingChars="106"/>
              <w:jc w:val="center"/>
              <w:rPr>
                <w:rFonts w:hint="eastAsia" w:ascii="宋体" w:hAnsi="宋体" w:eastAsia="宋体" w:cs="宋体"/>
                <w:color w:val="000000" w:themeColor="text1"/>
                <w:szCs w:val="24"/>
                <w:highlight w:val="none"/>
              </w:rPr>
            </w:pPr>
          </w:p>
        </w:tc>
        <w:tc>
          <w:tcPr>
            <w:tcW w:w="816" w:type="dxa"/>
            <w:noWrap w:val="0"/>
            <w:vAlign w:val="center"/>
          </w:tcPr>
          <w:p w14:paraId="68B8C1F3">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64C42720">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4338B666">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3B8A8155">
            <w:pPr>
              <w:ind w:left="223" w:hanging="222" w:hangingChars="106"/>
              <w:jc w:val="center"/>
              <w:rPr>
                <w:rFonts w:hint="eastAsia" w:ascii="宋体" w:hAnsi="宋体" w:eastAsia="宋体" w:cs="宋体"/>
                <w:color w:val="000000" w:themeColor="text1"/>
                <w:szCs w:val="24"/>
                <w:highlight w:val="none"/>
              </w:rPr>
            </w:pPr>
          </w:p>
        </w:tc>
        <w:tc>
          <w:tcPr>
            <w:tcW w:w="1148" w:type="dxa"/>
            <w:noWrap w:val="0"/>
            <w:vAlign w:val="center"/>
          </w:tcPr>
          <w:p w14:paraId="16592E4D">
            <w:pPr>
              <w:ind w:left="223" w:hanging="222" w:hangingChars="106"/>
              <w:jc w:val="center"/>
              <w:rPr>
                <w:rFonts w:hint="eastAsia" w:ascii="宋体" w:hAnsi="宋体" w:eastAsia="宋体" w:cs="宋体"/>
                <w:color w:val="000000" w:themeColor="text1"/>
                <w:szCs w:val="24"/>
                <w:highlight w:val="none"/>
              </w:rPr>
            </w:pPr>
          </w:p>
        </w:tc>
        <w:tc>
          <w:tcPr>
            <w:tcW w:w="850" w:type="dxa"/>
            <w:noWrap w:val="0"/>
            <w:vAlign w:val="center"/>
          </w:tcPr>
          <w:p w14:paraId="10097807">
            <w:pPr>
              <w:ind w:left="223" w:hanging="222" w:hangingChars="106"/>
              <w:jc w:val="center"/>
              <w:rPr>
                <w:rFonts w:hint="eastAsia" w:ascii="宋体" w:hAnsi="宋体" w:eastAsia="宋体" w:cs="宋体"/>
                <w:color w:val="000000" w:themeColor="text1"/>
                <w:szCs w:val="24"/>
                <w:highlight w:val="none"/>
              </w:rPr>
            </w:pPr>
          </w:p>
        </w:tc>
        <w:tc>
          <w:tcPr>
            <w:tcW w:w="1679" w:type="dxa"/>
            <w:noWrap w:val="0"/>
            <w:vAlign w:val="center"/>
          </w:tcPr>
          <w:p w14:paraId="0BBE1FB9">
            <w:pPr>
              <w:ind w:left="223" w:hanging="222" w:hangingChars="106"/>
              <w:jc w:val="center"/>
              <w:rPr>
                <w:rFonts w:hint="eastAsia" w:ascii="宋体" w:hAnsi="宋体" w:eastAsia="宋体" w:cs="宋体"/>
                <w:color w:val="000000" w:themeColor="text1"/>
                <w:szCs w:val="24"/>
                <w:highlight w:val="none"/>
              </w:rPr>
            </w:pPr>
          </w:p>
        </w:tc>
      </w:tr>
      <w:tr w14:paraId="4F91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759" w:type="dxa"/>
            <w:gridSpan w:val="9"/>
            <w:noWrap w:val="0"/>
            <w:vAlign w:val="top"/>
          </w:tcPr>
          <w:p w14:paraId="31170376">
            <w:pPr>
              <w:spacing w:before="156" w:beforeLines="50" w:after="156" w:afterLines="50" w:line="360" w:lineRule="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一旦我单位中标，将实行项目经理负责制，我方保证并配备上述项目管理机构。上述填报内容真实，若不真实，愿按有关规定接受处理。项目管理班子机构设置、职责分工等情况另附资料说明。</w:t>
            </w:r>
          </w:p>
        </w:tc>
      </w:tr>
    </w:tbl>
    <w:p w14:paraId="0F33AD75">
      <w:pPr>
        <w:tabs>
          <w:tab w:val="left" w:pos="0"/>
        </w:tabs>
        <w:spacing w:line="360" w:lineRule="auto"/>
        <w:ind w:right="-210"/>
        <w:rPr>
          <w:rFonts w:hint="eastAsia" w:ascii="宋体" w:hAnsi="宋体" w:eastAsia="宋体" w:cs="宋体"/>
          <w:color w:val="000000" w:themeColor="text1"/>
          <w:szCs w:val="24"/>
          <w:highlight w:val="none"/>
        </w:rPr>
      </w:pPr>
    </w:p>
    <w:p w14:paraId="252702B5">
      <w:pPr>
        <w:tabs>
          <w:tab w:val="left" w:pos="0"/>
        </w:tabs>
        <w:spacing w:line="360" w:lineRule="auto"/>
        <w:ind w:right="-210"/>
        <w:rPr>
          <w:rFonts w:hint="eastAsia"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【备注：附以上各岗位人员资格证件的</w:t>
      </w:r>
      <w:r>
        <w:rPr>
          <w:rFonts w:hint="eastAsia" w:hAnsi="宋体" w:eastAsia="宋体" w:cs="宋体"/>
          <w:color w:val="000000" w:themeColor="text1"/>
          <w:szCs w:val="24"/>
          <w:highlight w:val="none"/>
          <w:lang w:eastAsia="zh-CN"/>
        </w:rPr>
        <w:t>复印件</w:t>
      </w:r>
      <w:r>
        <w:rPr>
          <w:rFonts w:hint="eastAsia" w:ascii="宋体" w:hAnsi="宋体" w:eastAsia="宋体" w:cs="宋体"/>
          <w:color w:val="000000" w:themeColor="text1"/>
          <w:szCs w:val="24"/>
          <w:highlight w:val="none"/>
        </w:rPr>
        <w:t>，以及</w:t>
      </w:r>
      <w:r>
        <w:rPr>
          <w:rFonts w:hint="eastAsia" w:hAnsi="宋体" w:eastAsia="宋体" w:cs="宋体"/>
          <w:color w:val="000000" w:themeColor="text1"/>
          <w:szCs w:val="24"/>
          <w:highlight w:val="none"/>
          <w:lang w:eastAsia="zh-CN"/>
        </w:rPr>
        <w:t>竞标人</w:t>
      </w:r>
      <w:r>
        <w:rPr>
          <w:rFonts w:hint="eastAsia" w:ascii="宋体" w:hAnsi="宋体" w:eastAsia="宋体" w:cs="宋体"/>
          <w:color w:val="000000" w:themeColor="text1"/>
          <w:szCs w:val="24"/>
          <w:highlight w:val="none"/>
        </w:rPr>
        <w:t>认为需要的其他证明材料复印件。以上复印件须加盖</w:t>
      </w:r>
      <w:r>
        <w:rPr>
          <w:rFonts w:hint="eastAsia" w:hAnsi="宋体" w:eastAsia="宋体" w:cs="宋体"/>
          <w:color w:val="000000" w:themeColor="text1"/>
          <w:szCs w:val="24"/>
          <w:highlight w:val="none"/>
          <w:lang w:eastAsia="zh-CN"/>
        </w:rPr>
        <w:t>竞标人</w:t>
      </w:r>
      <w:r>
        <w:rPr>
          <w:rFonts w:hint="eastAsia" w:ascii="宋体" w:hAnsi="宋体" w:eastAsia="宋体" w:cs="宋体"/>
          <w:color w:val="000000" w:themeColor="text1"/>
          <w:szCs w:val="24"/>
          <w:highlight w:val="none"/>
        </w:rPr>
        <w:t>单位公章】</w:t>
      </w:r>
    </w:p>
    <w:p w14:paraId="7F5626D9">
      <w:pPr>
        <w:numPr>
          <w:ilvl w:val="0"/>
          <w:numId w:val="5"/>
        </w:numPr>
        <w:snapToGrid w:val="0"/>
        <w:spacing w:before="50" w:after="165" w:afterLines="50" w:line="400" w:lineRule="exact"/>
        <w:jc w:val="left"/>
        <w:rPr>
          <w:rFonts w:hint="eastAsia" w:hAnsi="宋体" w:cs="宋体"/>
          <w:b/>
          <w:bCs/>
          <w:color w:val="000000" w:themeColor="text1"/>
          <w:sz w:val="24"/>
          <w:szCs w:val="24"/>
        </w:rPr>
      </w:pPr>
      <w:r>
        <w:rPr>
          <w:rFonts w:hint="eastAsia" w:hAnsi="宋体" w:cs="宋体"/>
          <w:b/>
          <w:bCs/>
          <w:color w:val="000000" w:themeColor="text1"/>
          <w:sz w:val="24"/>
          <w:szCs w:val="24"/>
        </w:rPr>
        <w:t>拟投入施工机械设备情况表、企业近年已完成类似项目一览表、企业近年信誉实力一览表</w:t>
      </w:r>
      <w:r>
        <w:rPr>
          <w:rFonts w:hint="eastAsia" w:hAnsi="宋体" w:cs="宋体"/>
          <w:b/>
          <w:bCs/>
          <w:color w:val="000000" w:themeColor="text1"/>
          <w:sz w:val="24"/>
          <w:szCs w:val="24"/>
          <w:lang w:eastAsia="zh-CN"/>
        </w:rPr>
        <w:t>（如有）</w:t>
      </w:r>
      <w:r>
        <w:rPr>
          <w:rFonts w:hint="eastAsia" w:hAnsi="宋体" w:cs="宋体"/>
          <w:b/>
          <w:bCs/>
          <w:color w:val="000000" w:themeColor="text1"/>
          <w:sz w:val="24"/>
          <w:szCs w:val="24"/>
        </w:rPr>
        <w:t>（格式自拟）</w:t>
      </w:r>
    </w:p>
    <w:p w14:paraId="63EB5F67">
      <w:pPr>
        <w:pStyle w:val="29"/>
        <w:rPr>
          <w:rFonts w:hint="eastAsia" w:hAnsi="宋体" w:cs="宋体"/>
          <w:b/>
          <w:bCs/>
          <w:color w:val="000000" w:themeColor="text1"/>
          <w:sz w:val="24"/>
          <w:szCs w:val="24"/>
        </w:rPr>
      </w:pPr>
    </w:p>
    <w:p w14:paraId="5E9172EA">
      <w:pPr>
        <w:tabs>
          <w:tab w:val="left" w:pos="826"/>
        </w:tabs>
        <w:snapToGrid w:val="0"/>
        <w:rPr>
          <w:rFonts w:hint="eastAsia" w:hAnsi="宋体" w:cs="宋体"/>
          <w:b/>
          <w:bCs/>
          <w:color w:val="000000" w:themeColor="text1"/>
          <w:sz w:val="24"/>
          <w:szCs w:val="24"/>
          <w:lang w:eastAsia="zh-CN"/>
        </w:rPr>
      </w:pPr>
    </w:p>
    <w:p w14:paraId="5B3A9079">
      <w:pPr>
        <w:pStyle w:val="29"/>
        <w:numPr>
          <w:ilvl w:val="0"/>
          <w:numId w:val="0"/>
        </w:numPr>
        <w:ind w:leftChars="0"/>
        <w:rPr>
          <w:rFonts w:hint="eastAsia" w:hAnsi="宋体" w:cs="宋体"/>
          <w:b/>
          <w:bCs/>
          <w:color w:val="000000" w:themeColor="text1"/>
          <w:sz w:val="24"/>
          <w:szCs w:val="24"/>
          <w:lang w:eastAsia="zh-CN"/>
        </w:rPr>
      </w:pPr>
      <w:r>
        <w:rPr>
          <w:rFonts w:hint="eastAsia" w:hAnsi="宋体" w:cs="宋体"/>
          <w:b/>
          <w:bCs/>
          <w:color w:val="000000" w:themeColor="text1"/>
          <w:sz w:val="24"/>
          <w:szCs w:val="24"/>
          <w:lang w:eastAsia="zh-CN"/>
        </w:rPr>
        <w:t>（</w:t>
      </w:r>
      <w:r>
        <w:rPr>
          <w:rFonts w:hint="eastAsia" w:hAnsi="宋体" w:cs="宋体"/>
          <w:b/>
          <w:bCs/>
          <w:color w:val="000000" w:themeColor="text1"/>
          <w:sz w:val="24"/>
          <w:szCs w:val="24"/>
          <w:lang w:val="en-US" w:eastAsia="zh-CN"/>
        </w:rPr>
        <w:t>3</w:t>
      </w:r>
      <w:r>
        <w:rPr>
          <w:rFonts w:hint="eastAsia" w:hAnsi="宋体" w:cs="宋体"/>
          <w:b/>
          <w:bCs/>
          <w:color w:val="000000" w:themeColor="text1"/>
          <w:sz w:val="24"/>
          <w:szCs w:val="24"/>
          <w:lang w:eastAsia="zh-CN"/>
        </w:rPr>
        <w:t>）竞标人在“信用中国”网站、中国政府采购网等渠道列入失信被执行人、重大税收违法案件当事人名单、政府采购严重违法失信行为记录名单查询记录。</w:t>
      </w:r>
    </w:p>
    <w:p w14:paraId="365E7711">
      <w:pPr>
        <w:pStyle w:val="29"/>
        <w:numPr>
          <w:ilvl w:val="0"/>
          <w:numId w:val="0"/>
        </w:numPr>
        <w:ind w:leftChars="0"/>
        <w:rPr>
          <w:rFonts w:hint="eastAsia" w:hAnsi="宋体" w:cs="宋体"/>
          <w:b/>
          <w:bCs/>
          <w:color w:val="000000" w:themeColor="text1"/>
          <w:sz w:val="24"/>
          <w:szCs w:val="24"/>
          <w:lang w:eastAsia="zh-CN"/>
        </w:rPr>
      </w:pPr>
    </w:p>
    <w:p w14:paraId="766D87F3">
      <w:pPr>
        <w:pStyle w:val="29"/>
        <w:numPr>
          <w:ilvl w:val="0"/>
          <w:numId w:val="0"/>
        </w:numPr>
        <w:ind w:leftChars="0"/>
        <w:rPr>
          <w:rFonts w:hint="eastAsia" w:hAnsi="宋体" w:cs="宋体"/>
          <w:b/>
          <w:bCs/>
          <w:color w:val="000000" w:themeColor="text1"/>
          <w:sz w:val="24"/>
          <w:szCs w:val="24"/>
          <w:lang w:eastAsia="zh-CN"/>
        </w:rPr>
      </w:pPr>
    </w:p>
    <w:p w14:paraId="66BE6609">
      <w:pPr>
        <w:pStyle w:val="29"/>
        <w:numPr>
          <w:ilvl w:val="0"/>
          <w:numId w:val="0"/>
        </w:numPr>
        <w:ind w:leftChars="0"/>
        <w:rPr>
          <w:rFonts w:hint="eastAsia" w:hAnsi="宋体" w:cs="宋体"/>
          <w:b/>
          <w:bCs/>
          <w:color w:val="000000" w:themeColor="text1"/>
          <w:sz w:val="24"/>
          <w:szCs w:val="24"/>
          <w:lang w:eastAsia="zh-CN"/>
        </w:rPr>
      </w:pPr>
    </w:p>
    <w:p w14:paraId="4D3E462C">
      <w:pPr>
        <w:numPr>
          <w:ilvl w:val="0"/>
          <w:numId w:val="0"/>
        </w:numPr>
        <w:tabs>
          <w:tab w:val="left" w:pos="826"/>
        </w:tabs>
        <w:snapToGrid w:val="0"/>
        <w:rPr>
          <w:rFonts w:hint="eastAsia" w:ascii="宋体" w:hAnsi="宋体" w:eastAsia="宋体" w:cs="宋体"/>
          <w:b/>
          <w:color w:val="000000" w:themeColor="text1"/>
          <w:sz w:val="24"/>
        </w:rPr>
      </w:pPr>
      <w:r>
        <w:rPr>
          <w:rFonts w:hint="eastAsia"/>
          <w:b/>
          <w:bCs/>
          <w:color w:val="000000" w:themeColor="text1"/>
          <w:sz w:val="28"/>
          <w:szCs w:val="28"/>
          <w:lang w:val="en-US" w:eastAsia="zh-CN"/>
        </w:rPr>
        <w:t>12、</w:t>
      </w:r>
      <w:r>
        <w:rPr>
          <w:rFonts w:hint="eastAsia"/>
          <w:b/>
          <w:bCs/>
          <w:color w:val="000000" w:themeColor="text1"/>
          <w:sz w:val="28"/>
          <w:szCs w:val="28"/>
          <w:lang w:eastAsia="zh-CN"/>
        </w:rPr>
        <w:t>竞标人认为必要提供的其他资格文件。</w:t>
      </w:r>
    </w:p>
    <w:p w14:paraId="79BC5D5B">
      <w:pPr>
        <w:pStyle w:val="207"/>
        <w:rPr>
          <w:rFonts w:hint="eastAsia" w:ascii="宋体" w:hAnsi="宋体" w:eastAsia="宋体" w:cs="宋体"/>
          <w:b/>
          <w:color w:val="000000" w:themeColor="text1"/>
          <w:sz w:val="24"/>
        </w:rPr>
      </w:pPr>
    </w:p>
    <w:p w14:paraId="2E572F98">
      <w:pPr>
        <w:rPr>
          <w:rFonts w:hint="eastAsia" w:ascii="宋体" w:hAnsi="宋体" w:eastAsia="宋体" w:cs="宋体"/>
          <w:b/>
          <w:color w:val="000000" w:themeColor="text1"/>
          <w:sz w:val="24"/>
        </w:rPr>
      </w:pPr>
    </w:p>
    <w:p w14:paraId="50F18977">
      <w:pPr>
        <w:rPr>
          <w:rFonts w:hint="eastAsia" w:ascii="宋体" w:hAnsi="宋体" w:eastAsia="宋体" w:cs="宋体"/>
          <w:color w:val="000000" w:themeColor="text1"/>
        </w:rPr>
      </w:pPr>
    </w:p>
    <w:p w14:paraId="429DBAA7">
      <w:pPr>
        <w:tabs>
          <w:tab w:val="left" w:pos="826"/>
        </w:tabs>
        <w:snapToGrid w:val="0"/>
        <w:rPr>
          <w:rFonts w:hint="eastAsia" w:ascii="宋体" w:hAnsi="宋体" w:eastAsia="宋体" w:cs="宋体"/>
          <w:b/>
          <w:color w:val="000000" w:themeColor="text1"/>
          <w:sz w:val="24"/>
        </w:rPr>
      </w:pPr>
      <w:r>
        <w:rPr>
          <w:rFonts w:hint="eastAsia" w:ascii="宋体" w:hAnsi="宋体" w:eastAsia="宋体" w:cs="宋体"/>
          <w:b/>
          <w:color w:val="000000" w:themeColor="text1"/>
          <w:sz w:val="24"/>
        </w:rPr>
        <w:t>商务标部分：</w:t>
      </w:r>
    </w:p>
    <w:p w14:paraId="02EAB8DC">
      <w:pPr>
        <w:jc w:val="right"/>
        <w:rPr>
          <w:rFonts w:hint="eastAsia" w:ascii="宋体" w:hAnsi="宋体" w:eastAsia="宋体" w:cs="宋体"/>
          <w:color w:val="000000" w:themeColor="text1"/>
          <w:sz w:val="28"/>
          <w:szCs w:val="28"/>
        </w:rPr>
      </w:pPr>
    </w:p>
    <w:p w14:paraId="79C5F968">
      <w:pPr>
        <w:jc w:val="right"/>
        <w:rPr>
          <w:rFonts w:hint="eastAsia" w:ascii="宋体" w:hAnsi="宋体" w:eastAsia="宋体" w:cs="宋体"/>
          <w:color w:val="000000" w:themeColor="text1"/>
          <w:sz w:val="28"/>
          <w:szCs w:val="28"/>
        </w:rPr>
      </w:pPr>
    </w:p>
    <w:p w14:paraId="1DE602F9">
      <w:pPr>
        <w:jc w:val="right"/>
        <w:rPr>
          <w:rFonts w:hint="eastAsia" w:ascii="宋体" w:hAnsi="宋体" w:eastAsia="宋体" w:cs="宋体"/>
          <w:color w:val="000000" w:themeColor="text1"/>
          <w:sz w:val="28"/>
          <w:szCs w:val="28"/>
        </w:rPr>
      </w:pPr>
    </w:p>
    <w:p w14:paraId="25914C56">
      <w:pPr>
        <w:jc w:val="right"/>
        <w:rPr>
          <w:rFonts w:hint="eastAsia" w:ascii="宋体" w:hAnsi="宋体" w:eastAsia="宋体" w:cs="宋体"/>
          <w:color w:val="000000" w:themeColor="text1"/>
          <w:sz w:val="28"/>
          <w:szCs w:val="28"/>
        </w:rPr>
      </w:pPr>
    </w:p>
    <w:p w14:paraId="65110F64">
      <w:pPr>
        <w:jc w:val="right"/>
        <w:rPr>
          <w:rFonts w:hint="eastAsia" w:ascii="宋体" w:hAnsi="宋体" w:eastAsia="宋体" w:cs="宋体"/>
          <w:color w:val="000000" w:themeColor="text1"/>
          <w:szCs w:val="21"/>
        </w:rPr>
      </w:pPr>
    </w:p>
    <w:p w14:paraId="416BB7D1">
      <w:pPr>
        <w:jc w:val="right"/>
        <w:rPr>
          <w:rFonts w:hint="eastAsia" w:ascii="宋体" w:hAnsi="宋体" w:eastAsia="宋体" w:cs="宋体"/>
          <w:color w:val="000000" w:themeColor="text1"/>
          <w:szCs w:val="21"/>
        </w:rPr>
      </w:pPr>
    </w:p>
    <w:p w14:paraId="74E1231C">
      <w:pPr>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32"/>
          <w:szCs w:val="32"/>
          <w:u w:val="single"/>
        </w:rPr>
        <w:t xml:space="preserve">             </w:t>
      </w:r>
      <w:r>
        <w:rPr>
          <w:rFonts w:hint="eastAsia" w:ascii="宋体" w:hAnsi="宋体" w:eastAsia="宋体" w:cs="宋体"/>
          <w:color w:val="000000" w:themeColor="text1"/>
          <w:sz w:val="28"/>
          <w:szCs w:val="28"/>
        </w:rPr>
        <w:t>（项目名称）</w:t>
      </w:r>
    </w:p>
    <w:p w14:paraId="4613A015">
      <w:pPr>
        <w:jc w:val="center"/>
        <w:rPr>
          <w:rFonts w:hint="eastAsia" w:ascii="宋体" w:hAnsi="宋体" w:eastAsia="宋体" w:cs="宋体"/>
          <w:color w:val="000000" w:themeColor="text1"/>
          <w:sz w:val="28"/>
          <w:szCs w:val="28"/>
        </w:rPr>
      </w:pPr>
    </w:p>
    <w:p w14:paraId="4F52D996">
      <w:pPr>
        <w:jc w:val="center"/>
        <w:rPr>
          <w:rFonts w:hint="eastAsia" w:ascii="宋体" w:hAnsi="宋体" w:eastAsia="宋体" w:cs="宋体"/>
          <w:color w:val="000000" w:themeColor="text1"/>
          <w:sz w:val="28"/>
          <w:szCs w:val="28"/>
        </w:rPr>
      </w:pPr>
    </w:p>
    <w:p w14:paraId="36D2D8AF">
      <w:pPr>
        <w:spacing w:beforeLines="100"/>
        <w:jc w:val="center"/>
        <w:rPr>
          <w:rFonts w:hint="eastAsia" w:ascii="宋体" w:hAnsi="宋体" w:eastAsia="宋体" w:cs="宋体"/>
          <w:color w:val="000000" w:themeColor="text1"/>
          <w:sz w:val="52"/>
          <w:szCs w:val="52"/>
        </w:rPr>
      </w:pPr>
      <w:r>
        <w:rPr>
          <w:rFonts w:hint="eastAsia" w:ascii="宋体" w:hAnsi="宋体" w:eastAsia="宋体" w:cs="宋体"/>
          <w:color w:val="000000" w:themeColor="text1"/>
          <w:sz w:val="52"/>
          <w:szCs w:val="52"/>
        </w:rPr>
        <w:t>投  标  文  件</w:t>
      </w:r>
    </w:p>
    <w:p w14:paraId="411DA7DD">
      <w:pPr>
        <w:jc w:val="center"/>
        <w:rPr>
          <w:rFonts w:hint="eastAsia" w:ascii="宋体" w:hAnsi="宋体" w:eastAsia="宋体" w:cs="宋体"/>
          <w:color w:val="000000" w:themeColor="text1"/>
          <w:sz w:val="32"/>
          <w:szCs w:val="32"/>
        </w:rPr>
      </w:pPr>
    </w:p>
    <w:p w14:paraId="1CA7EBF1">
      <w:pPr>
        <w:jc w:val="center"/>
        <w:rPr>
          <w:rFonts w:hint="eastAsia" w:ascii="宋体" w:hAnsi="宋体" w:eastAsia="宋体" w:cs="宋体"/>
          <w:color w:val="000000" w:themeColor="text1"/>
          <w:sz w:val="32"/>
          <w:szCs w:val="32"/>
        </w:rPr>
      </w:pPr>
    </w:p>
    <w:p w14:paraId="511C7F92">
      <w:pPr>
        <w:jc w:val="center"/>
        <w:rPr>
          <w:rFonts w:hint="eastAsia" w:ascii="宋体" w:hAnsi="宋体" w:eastAsia="宋体" w:cs="宋体"/>
          <w:color w:val="000000" w:themeColor="text1"/>
          <w:sz w:val="32"/>
          <w:szCs w:val="32"/>
        </w:rPr>
      </w:pPr>
    </w:p>
    <w:p w14:paraId="4427FFD1">
      <w:pPr>
        <w:jc w:val="center"/>
        <w:rPr>
          <w:rFonts w:hint="eastAsia" w:ascii="宋体" w:hAnsi="宋体" w:eastAsia="宋体" w:cs="宋体"/>
          <w:color w:val="000000" w:themeColor="text1"/>
          <w:sz w:val="32"/>
          <w:szCs w:val="32"/>
        </w:rPr>
      </w:pPr>
    </w:p>
    <w:p w14:paraId="2CCD9DDD">
      <w:pPr>
        <w:spacing w:line="360" w:lineRule="auto"/>
        <w:ind w:firstLine="2380" w:firstLineChars="850"/>
        <w:rPr>
          <w:rFonts w:hint="eastAsia"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项目采购编号：</w:t>
      </w:r>
      <w:r>
        <w:rPr>
          <w:rFonts w:hint="eastAsia" w:ascii="宋体" w:hAnsi="宋体" w:eastAsia="宋体" w:cs="宋体"/>
          <w:color w:val="000000" w:themeColor="text1"/>
          <w:sz w:val="28"/>
          <w:szCs w:val="28"/>
          <w:u w:val="single"/>
        </w:rPr>
        <w:t xml:space="preserve">                   </w:t>
      </w:r>
    </w:p>
    <w:p w14:paraId="3C1E0D68">
      <w:pPr>
        <w:jc w:val="center"/>
        <w:rPr>
          <w:rFonts w:hint="eastAsia" w:ascii="宋体" w:hAnsi="宋体" w:eastAsia="宋体" w:cs="宋体"/>
          <w:color w:val="000000" w:themeColor="text1"/>
          <w:sz w:val="32"/>
          <w:szCs w:val="32"/>
        </w:rPr>
      </w:pPr>
    </w:p>
    <w:p w14:paraId="4F846583">
      <w:pPr>
        <w:jc w:val="center"/>
        <w:rPr>
          <w:rFonts w:hint="eastAsia" w:ascii="宋体" w:hAnsi="宋体" w:eastAsia="宋体" w:cs="宋体"/>
          <w:color w:val="000000" w:themeColor="text1"/>
          <w:sz w:val="32"/>
          <w:szCs w:val="32"/>
        </w:rPr>
      </w:pPr>
    </w:p>
    <w:p w14:paraId="4C5354DF">
      <w:pPr>
        <w:jc w:val="center"/>
        <w:rPr>
          <w:rFonts w:hint="eastAsia" w:ascii="宋体" w:hAnsi="宋体" w:eastAsia="宋体" w:cs="宋体"/>
          <w:color w:val="000000" w:themeColor="text1"/>
          <w:sz w:val="32"/>
          <w:szCs w:val="32"/>
        </w:rPr>
      </w:pPr>
    </w:p>
    <w:p w14:paraId="0579D0FC">
      <w:pPr>
        <w:jc w:val="center"/>
        <w:rPr>
          <w:rFonts w:hint="eastAsia" w:ascii="宋体" w:hAnsi="宋体" w:eastAsia="宋体" w:cs="宋体"/>
          <w:color w:val="000000" w:themeColor="text1"/>
          <w:sz w:val="32"/>
          <w:szCs w:val="32"/>
        </w:rPr>
      </w:pPr>
    </w:p>
    <w:p w14:paraId="61DC559F">
      <w:pPr>
        <w:jc w:val="center"/>
        <w:rPr>
          <w:rFonts w:hint="eastAsia" w:ascii="宋体" w:hAnsi="宋体" w:eastAsia="宋体" w:cs="宋体"/>
          <w:color w:val="000000" w:themeColor="text1"/>
          <w:sz w:val="32"/>
          <w:szCs w:val="32"/>
        </w:rPr>
      </w:pPr>
    </w:p>
    <w:p w14:paraId="00B298E0">
      <w:pPr>
        <w:jc w:val="center"/>
        <w:rPr>
          <w:rFonts w:hint="eastAsia" w:ascii="宋体" w:hAnsi="宋体" w:eastAsia="宋体" w:cs="宋体"/>
          <w:color w:val="000000" w:themeColor="text1"/>
          <w:sz w:val="32"/>
          <w:szCs w:val="32"/>
        </w:rPr>
      </w:pPr>
    </w:p>
    <w:p w14:paraId="7632C29F">
      <w:pPr>
        <w:jc w:val="center"/>
        <w:rPr>
          <w:rFonts w:hint="eastAsia" w:ascii="宋体" w:hAnsi="宋体" w:eastAsia="宋体" w:cs="宋体"/>
          <w:color w:val="000000" w:themeColor="text1"/>
          <w:sz w:val="32"/>
          <w:szCs w:val="32"/>
        </w:rPr>
      </w:pPr>
    </w:p>
    <w:p w14:paraId="1A0B612A">
      <w:pPr>
        <w:jc w:val="center"/>
        <w:rPr>
          <w:rFonts w:hint="eastAsia" w:ascii="宋体" w:hAnsi="宋体" w:eastAsia="宋体" w:cs="宋体"/>
          <w:color w:val="000000" w:themeColor="text1"/>
          <w:sz w:val="32"/>
          <w:szCs w:val="32"/>
        </w:rPr>
      </w:pPr>
    </w:p>
    <w:p w14:paraId="49FFCC58">
      <w:pPr>
        <w:jc w:val="center"/>
        <w:rPr>
          <w:rFonts w:hint="eastAsia" w:ascii="宋体" w:hAnsi="宋体" w:eastAsia="宋体" w:cs="宋体"/>
          <w:color w:val="000000" w:themeColor="text1"/>
          <w:sz w:val="32"/>
          <w:szCs w:val="32"/>
        </w:rPr>
      </w:pPr>
    </w:p>
    <w:p w14:paraId="2554D953">
      <w:pPr>
        <w:spacing w:line="360" w:lineRule="auto"/>
        <w:ind w:firstLine="1400" w:firstLineChars="5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竞标内容：</w:t>
      </w:r>
      <w:r>
        <w:rPr>
          <w:rFonts w:hint="eastAsia" w:ascii="宋体" w:hAnsi="宋体" w:eastAsia="宋体" w:cs="宋体"/>
          <w:color w:val="000000" w:themeColor="text1"/>
          <w:sz w:val="28"/>
          <w:szCs w:val="28"/>
          <w:u w:val="single"/>
        </w:rPr>
        <w:t xml:space="preserve">            商务标部分           </w:t>
      </w:r>
    </w:p>
    <w:p w14:paraId="719B668A">
      <w:pPr>
        <w:spacing w:line="360" w:lineRule="auto"/>
        <w:ind w:firstLine="1400" w:firstLineChars="5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竞标人：</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（盖单位章）</w:t>
      </w:r>
    </w:p>
    <w:p w14:paraId="4D6F4623">
      <w:pPr>
        <w:spacing w:line="360" w:lineRule="auto"/>
        <w:ind w:firstLine="1400" w:firstLineChars="500"/>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法定代表人或其委托代理人：</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（签字或盖章）</w:t>
      </w:r>
    </w:p>
    <w:p w14:paraId="1F13C3AB">
      <w:pPr>
        <w:jc w:val="center"/>
        <w:rPr>
          <w:rFonts w:hint="eastAsia" w:ascii="宋体" w:hAnsi="宋体" w:eastAsia="宋体" w:cs="宋体"/>
          <w:color w:val="000000" w:themeColor="text1"/>
          <w:sz w:val="28"/>
          <w:szCs w:val="28"/>
        </w:rPr>
      </w:pPr>
    </w:p>
    <w:p w14:paraId="3634AFCE">
      <w:pPr>
        <w:jc w:val="center"/>
        <w:rPr>
          <w:rFonts w:hint="eastAsia" w:ascii="宋体" w:hAnsi="宋体" w:eastAsia="宋体" w:cs="宋体"/>
          <w:color w:val="000000" w:themeColor="text1"/>
          <w:sz w:val="28"/>
          <w:szCs w:val="28"/>
        </w:rPr>
      </w:pPr>
    </w:p>
    <w:p w14:paraId="3E289B24">
      <w:pPr>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年</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月</w:t>
      </w:r>
      <w:r>
        <w:rPr>
          <w:rFonts w:hint="eastAsia" w:ascii="宋体" w:hAnsi="宋体" w:eastAsia="宋体" w:cs="宋体"/>
          <w:color w:val="000000" w:themeColor="text1"/>
          <w:sz w:val="28"/>
          <w:szCs w:val="28"/>
          <w:u w:val="single"/>
        </w:rPr>
        <w:t xml:space="preserve">         </w:t>
      </w:r>
      <w:r>
        <w:rPr>
          <w:rFonts w:hint="eastAsia" w:ascii="宋体" w:hAnsi="宋体" w:eastAsia="宋体" w:cs="宋体"/>
          <w:color w:val="000000" w:themeColor="text1"/>
          <w:sz w:val="28"/>
          <w:szCs w:val="28"/>
        </w:rPr>
        <w:t>日</w:t>
      </w:r>
    </w:p>
    <w:p w14:paraId="29E39F83">
      <w:pPr>
        <w:snapToGrid w:val="0"/>
        <w:spacing w:before="165" w:beforeLines="50" w:after="50" w:line="400" w:lineRule="exact"/>
        <w:jc w:val="center"/>
        <w:rPr>
          <w:rFonts w:hint="eastAsia" w:ascii="宋体" w:hAnsi="宋体" w:eastAsia="宋体" w:cs="宋体"/>
          <w:b/>
          <w:bCs/>
          <w:color w:val="000000" w:themeColor="text1"/>
          <w:sz w:val="28"/>
          <w:szCs w:val="28"/>
          <w:lang w:eastAsia="zh-CN"/>
        </w:rPr>
      </w:pPr>
      <w:r>
        <w:rPr>
          <w:rFonts w:hint="eastAsia" w:ascii="宋体" w:hAnsi="宋体" w:eastAsia="宋体" w:cs="宋体"/>
          <w:color w:val="000000" w:themeColor="text1"/>
        </w:rPr>
        <w:br w:type="page"/>
      </w:r>
      <w:bookmarkStart w:id="1774" w:name="_Toc6163"/>
      <w:bookmarkStart w:id="1775" w:name="_Toc389065355"/>
      <w:bookmarkStart w:id="1776" w:name="_Toc17733"/>
      <w:bookmarkStart w:id="1777" w:name="_Toc25626"/>
      <w:bookmarkStart w:id="1778" w:name="_Toc4238"/>
      <w:bookmarkStart w:id="1779" w:name="_Toc494118870"/>
      <w:r>
        <w:rPr>
          <w:rFonts w:hint="eastAsia" w:ascii="宋体" w:hAnsi="宋体" w:eastAsia="宋体" w:cs="宋体"/>
          <w:b/>
          <w:bCs/>
          <w:color w:val="000000" w:themeColor="text1"/>
          <w:sz w:val="28"/>
          <w:szCs w:val="28"/>
          <w:lang w:eastAsia="zh-CN"/>
        </w:rPr>
        <w:t>目录</w:t>
      </w:r>
    </w:p>
    <w:p w14:paraId="4750543C">
      <w:pPr>
        <w:snapToGrid w:val="0"/>
        <w:spacing w:before="165" w:beforeLines="50" w:after="50" w:line="400" w:lineRule="exact"/>
        <w:jc w:val="center"/>
        <w:rPr>
          <w:rFonts w:hint="eastAsia" w:ascii="宋体" w:hAnsi="宋体" w:eastAsia="宋体" w:cs="宋体"/>
          <w:b/>
          <w:bCs/>
          <w:color w:val="000000" w:themeColor="text1"/>
          <w:sz w:val="28"/>
          <w:szCs w:val="28"/>
          <w:lang w:eastAsia="zh-CN"/>
        </w:rPr>
      </w:pPr>
      <w:r>
        <w:rPr>
          <w:rFonts w:hint="eastAsia" w:ascii="宋体" w:hAnsi="宋体" w:eastAsia="宋体" w:cs="宋体"/>
          <w:b/>
          <w:bCs/>
          <w:color w:val="000000" w:themeColor="text1"/>
          <w:sz w:val="28"/>
          <w:szCs w:val="28"/>
          <w:lang w:eastAsia="zh-CN"/>
        </w:rPr>
        <w:t>（应附页码）</w:t>
      </w:r>
    </w:p>
    <w:p w14:paraId="6E58CC65">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lang w:eastAsia="zh-CN"/>
        </w:rPr>
        <w:t>竞标函；</w:t>
      </w:r>
    </w:p>
    <w:p w14:paraId="3FE5A44E">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lang w:eastAsia="zh-CN"/>
        </w:rPr>
        <w:t>竞标函附录；</w:t>
      </w:r>
    </w:p>
    <w:p w14:paraId="0390EAF4">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lang w:eastAsia="zh-CN"/>
        </w:rPr>
        <w:t>竞标报价表；</w:t>
      </w:r>
    </w:p>
    <w:p w14:paraId="7EF5E0B7">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lang w:eastAsia="zh-CN"/>
        </w:rPr>
        <w:t>已标价工程量清单。</w:t>
      </w:r>
    </w:p>
    <w:p w14:paraId="28E83F9C">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rPr>
      </w:pPr>
    </w:p>
    <w:p w14:paraId="055C6CC9">
      <w:pPr>
        <w:pStyle w:val="190"/>
        <w:jc w:val="center"/>
        <w:outlineLvl w:val="0"/>
        <w:rPr>
          <w:rFonts w:hint="eastAsia" w:ascii="宋体" w:hAnsi="宋体" w:eastAsia="宋体" w:cs="宋体"/>
          <w:b/>
          <w:color w:val="000000" w:themeColor="text1"/>
          <w:sz w:val="24"/>
        </w:rPr>
      </w:pPr>
    </w:p>
    <w:p w14:paraId="302E35FD">
      <w:pPr>
        <w:pStyle w:val="190"/>
        <w:jc w:val="center"/>
        <w:outlineLvl w:val="0"/>
        <w:rPr>
          <w:rFonts w:hint="eastAsia" w:ascii="宋体" w:hAnsi="宋体" w:eastAsia="宋体" w:cs="宋体"/>
          <w:b/>
          <w:color w:val="000000" w:themeColor="text1"/>
          <w:sz w:val="24"/>
        </w:rPr>
      </w:pPr>
    </w:p>
    <w:p w14:paraId="2753CB0C">
      <w:pPr>
        <w:pStyle w:val="190"/>
        <w:jc w:val="center"/>
        <w:outlineLvl w:val="0"/>
        <w:rPr>
          <w:rFonts w:hint="eastAsia" w:ascii="宋体" w:hAnsi="宋体" w:eastAsia="宋体" w:cs="宋体"/>
          <w:b/>
          <w:color w:val="000000" w:themeColor="text1"/>
          <w:sz w:val="24"/>
        </w:rPr>
      </w:pPr>
    </w:p>
    <w:p w14:paraId="157DF7C0">
      <w:pPr>
        <w:pStyle w:val="190"/>
        <w:jc w:val="center"/>
        <w:outlineLvl w:val="0"/>
        <w:rPr>
          <w:rFonts w:hint="eastAsia" w:ascii="宋体" w:hAnsi="宋体" w:eastAsia="宋体" w:cs="宋体"/>
          <w:b/>
          <w:color w:val="000000" w:themeColor="text1"/>
          <w:sz w:val="24"/>
        </w:rPr>
      </w:pPr>
    </w:p>
    <w:p w14:paraId="7725E4FC">
      <w:pPr>
        <w:pStyle w:val="190"/>
        <w:jc w:val="center"/>
        <w:outlineLvl w:val="0"/>
        <w:rPr>
          <w:rFonts w:hint="eastAsia" w:ascii="宋体" w:hAnsi="宋体" w:eastAsia="宋体" w:cs="宋体"/>
          <w:b/>
          <w:color w:val="000000" w:themeColor="text1"/>
          <w:sz w:val="24"/>
        </w:rPr>
      </w:pPr>
    </w:p>
    <w:p w14:paraId="1207E5F6">
      <w:pPr>
        <w:pStyle w:val="190"/>
        <w:jc w:val="center"/>
        <w:outlineLvl w:val="0"/>
        <w:rPr>
          <w:rFonts w:hint="eastAsia" w:ascii="宋体" w:hAnsi="宋体" w:eastAsia="宋体" w:cs="宋体"/>
          <w:b/>
          <w:color w:val="000000" w:themeColor="text1"/>
          <w:sz w:val="24"/>
        </w:rPr>
      </w:pPr>
    </w:p>
    <w:p w14:paraId="2DD0BC33">
      <w:pPr>
        <w:pStyle w:val="190"/>
        <w:jc w:val="center"/>
        <w:outlineLvl w:val="0"/>
        <w:rPr>
          <w:rFonts w:hint="eastAsia" w:ascii="宋体" w:hAnsi="宋体" w:eastAsia="宋体" w:cs="宋体"/>
          <w:b/>
          <w:color w:val="000000" w:themeColor="text1"/>
          <w:sz w:val="24"/>
        </w:rPr>
      </w:pPr>
    </w:p>
    <w:p w14:paraId="78FE9DFE">
      <w:pPr>
        <w:pStyle w:val="190"/>
        <w:jc w:val="center"/>
        <w:outlineLvl w:val="0"/>
        <w:rPr>
          <w:rFonts w:hint="eastAsia" w:ascii="宋体" w:hAnsi="宋体" w:eastAsia="宋体" w:cs="宋体"/>
          <w:b/>
          <w:color w:val="000000" w:themeColor="text1"/>
          <w:sz w:val="24"/>
        </w:rPr>
      </w:pPr>
    </w:p>
    <w:p w14:paraId="1C505F08">
      <w:pPr>
        <w:pStyle w:val="190"/>
        <w:jc w:val="center"/>
        <w:outlineLvl w:val="0"/>
        <w:rPr>
          <w:rFonts w:hint="eastAsia" w:ascii="宋体" w:hAnsi="宋体" w:eastAsia="宋体" w:cs="宋体"/>
          <w:b/>
          <w:color w:val="000000" w:themeColor="text1"/>
          <w:sz w:val="24"/>
        </w:rPr>
      </w:pPr>
    </w:p>
    <w:p w14:paraId="73CB796B">
      <w:pPr>
        <w:pStyle w:val="190"/>
        <w:jc w:val="center"/>
        <w:outlineLvl w:val="0"/>
        <w:rPr>
          <w:rFonts w:hint="eastAsia" w:ascii="宋体" w:hAnsi="宋体" w:eastAsia="宋体" w:cs="宋体"/>
          <w:b/>
          <w:color w:val="000000" w:themeColor="text1"/>
          <w:sz w:val="24"/>
        </w:rPr>
      </w:pPr>
    </w:p>
    <w:p w14:paraId="2193B346">
      <w:pPr>
        <w:pStyle w:val="190"/>
        <w:jc w:val="center"/>
        <w:outlineLvl w:val="0"/>
        <w:rPr>
          <w:rFonts w:hint="eastAsia" w:ascii="宋体" w:hAnsi="宋体" w:eastAsia="宋体" w:cs="宋体"/>
          <w:b/>
          <w:color w:val="000000" w:themeColor="text1"/>
          <w:sz w:val="24"/>
        </w:rPr>
      </w:pPr>
    </w:p>
    <w:p w14:paraId="3C30DB25">
      <w:pPr>
        <w:pStyle w:val="190"/>
        <w:jc w:val="center"/>
        <w:outlineLvl w:val="0"/>
        <w:rPr>
          <w:rFonts w:hint="eastAsia" w:ascii="宋体" w:hAnsi="宋体" w:eastAsia="宋体" w:cs="宋体"/>
          <w:b/>
          <w:color w:val="000000" w:themeColor="text1"/>
          <w:sz w:val="24"/>
        </w:rPr>
      </w:pPr>
    </w:p>
    <w:p w14:paraId="07A63CE4">
      <w:pPr>
        <w:pStyle w:val="190"/>
        <w:jc w:val="center"/>
        <w:outlineLvl w:val="0"/>
        <w:rPr>
          <w:rFonts w:hint="eastAsia" w:ascii="宋体" w:hAnsi="宋体" w:eastAsia="宋体" w:cs="宋体"/>
          <w:b/>
          <w:color w:val="000000" w:themeColor="text1"/>
          <w:sz w:val="24"/>
        </w:rPr>
      </w:pPr>
    </w:p>
    <w:p w14:paraId="6C9E6010">
      <w:pPr>
        <w:pStyle w:val="190"/>
        <w:jc w:val="center"/>
        <w:outlineLvl w:val="0"/>
        <w:rPr>
          <w:rFonts w:hint="eastAsia" w:ascii="宋体" w:hAnsi="宋体" w:eastAsia="宋体" w:cs="宋体"/>
          <w:b/>
          <w:color w:val="000000" w:themeColor="text1"/>
          <w:sz w:val="24"/>
        </w:rPr>
      </w:pPr>
    </w:p>
    <w:p w14:paraId="7BC2508D">
      <w:pPr>
        <w:pStyle w:val="190"/>
        <w:jc w:val="center"/>
        <w:outlineLvl w:val="0"/>
        <w:rPr>
          <w:rFonts w:hint="eastAsia" w:ascii="宋体" w:hAnsi="宋体" w:eastAsia="宋体" w:cs="宋体"/>
          <w:b/>
          <w:color w:val="000000" w:themeColor="text1"/>
          <w:sz w:val="24"/>
        </w:rPr>
      </w:pPr>
    </w:p>
    <w:p w14:paraId="75A61C34">
      <w:pPr>
        <w:pStyle w:val="190"/>
        <w:jc w:val="center"/>
        <w:outlineLvl w:val="0"/>
        <w:rPr>
          <w:rFonts w:hint="eastAsia" w:ascii="宋体" w:hAnsi="宋体" w:eastAsia="宋体" w:cs="宋体"/>
          <w:b/>
          <w:color w:val="000000" w:themeColor="text1"/>
          <w:sz w:val="24"/>
        </w:rPr>
      </w:pPr>
    </w:p>
    <w:p w14:paraId="0CF75B00">
      <w:pPr>
        <w:pStyle w:val="190"/>
        <w:jc w:val="center"/>
        <w:outlineLvl w:val="0"/>
        <w:rPr>
          <w:rFonts w:hint="eastAsia" w:ascii="宋体" w:hAnsi="宋体" w:eastAsia="宋体" w:cs="宋体"/>
          <w:b/>
          <w:color w:val="000000" w:themeColor="text1"/>
          <w:sz w:val="24"/>
        </w:rPr>
      </w:pPr>
    </w:p>
    <w:p w14:paraId="17A2BBB6">
      <w:pPr>
        <w:pStyle w:val="190"/>
        <w:jc w:val="center"/>
        <w:outlineLvl w:val="0"/>
        <w:rPr>
          <w:rFonts w:hint="eastAsia" w:ascii="宋体" w:hAnsi="宋体" w:eastAsia="宋体" w:cs="宋体"/>
          <w:b/>
          <w:color w:val="000000" w:themeColor="text1"/>
          <w:sz w:val="24"/>
        </w:rPr>
      </w:pPr>
    </w:p>
    <w:p w14:paraId="0DA5C94A">
      <w:pPr>
        <w:pStyle w:val="190"/>
        <w:jc w:val="center"/>
        <w:outlineLvl w:val="0"/>
        <w:rPr>
          <w:rFonts w:hint="eastAsia" w:ascii="宋体" w:hAnsi="宋体" w:eastAsia="宋体" w:cs="宋体"/>
          <w:b/>
          <w:color w:val="000000" w:themeColor="text1"/>
          <w:sz w:val="24"/>
        </w:rPr>
      </w:pPr>
    </w:p>
    <w:p w14:paraId="145FAB93">
      <w:pPr>
        <w:pStyle w:val="190"/>
        <w:jc w:val="center"/>
        <w:outlineLvl w:val="0"/>
        <w:rPr>
          <w:rFonts w:hint="eastAsia" w:ascii="宋体" w:hAnsi="宋体" w:eastAsia="宋体" w:cs="宋体"/>
          <w:b/>
          <w:color w:val="000000" w:themeColor="text1"/>
          <w:sz w:val="24"/>
        </w:rPr>
      </w:pPr>
    </w:p>
    <w:p w14:paraId="46CB2F5F">
      <w:pPr>
        <w:pStyle w:val="190"/>
        <w:jc w:val="center"/>
        <w:outlineLvl w:val="0"/>
        <w:rPr>
          <w:rFonts w:hint="eastAsia" w:ascii="宋体" w:hAnsi="宋体" w:eastAsia="宋体" w:cs="宋体"/>
          <w:b/>
          <w:color w:val="000000" w:themeColor="text1"/>
          <w:sz w:val="24"/>
        </w:rPr>
      </w:pPr>
    </w:p>
    <w:p w14:paraId="14EAFDFC">
      <w:pPr>
        <w:pStyle w:val="190"/>
        <w:jc w:val="center"/>
        <w:outlineLvl w:val="0"/>
        <w:rPr>
          <w:rFonts w:hint="eastAsia" w:ascii="宋体" w:hAnsi="宋体" w:eastAsia="宋体" w:cs="宋体"/>
          <w:b/>
          <w:color w:val="000000" w:themeColor="text1"/>
          <w:sz w:val="24"/>
        </w:rPr>
      </w:pPr>
    </w:p>
    <w:p w14:paraId="360AA674">
      <w:pPr>
        <w:pStyle w:val="190"/>
        <w:jc w:val="center"/>
        <w:outlineLvl w:val="0"/>
        <w:rPr>
          <w:rFonts w:hint="eastAsia" w:ascii="宋体" w:hAnsi="宋体" w:eastAsia="宋体" w:cs="宋体"/>
          <w:b/>
          <w:color w:val="000000" w:themeColor="text1"/>
          <w:sz w:val="24"/>
        </w:rPr>
      </w:pPr>
    </w:p>
    <w:p w14:paraId="3B6BF132">
      <w:pPr>
        <w:pStyle w:val="190"/>
        <w:jc w:val="center"/>
        <w:outlineLvl w:val="0"/>
        <w:rPr>
          <w:rFonts w:hint="eastAsia" w:ascii="宋体" w:hAnsi="宋体" w:eastAsia="宋体" w:cs="宋体"/>
          <w:b/>
          <w:color w:val="000000" w:themeColor="text1"/>
          <w:sz w:val="24"/>
        </w:rPr>
      </w:pPr>
    </w:p>
    <w:p w14:paraId="4384FC87">
      <w:pPr>
        <w:pStyle w:val="190"/>
        <w:jc w:val="center"/>
        <w:outlineLvl w:val="0"/>
        <w:rPr>
          <w:rFonts w:hint="eastAsia" w:ascii="宋体" w:hAnsi="宋体" w:eastAsia="宋体" w:cs="宋体"/>
          <w:b/>
          <w:color w:val="000000" w:themeColor="text1"/>
          <w:sz w:val="24"/>
        </w:rPr>
      </w:pPr>
    </w:p>
    <w:p w14:paraId="42B36D22">
      <w:pPr>
        <w:pStyle w:val="190"/>
        <w:jc w:val="center"/>
        <w:outlineLvl w:val="0"/>
        <w:rPr>
          <w:rFonts w:hint="eastAsia" w:ascii="宋体" w:hAnsi="宋体" w:eastAsia="宋体" w:cs="宋体"/>
          <w:b/>
          <w:color w:val="000000" w:themeColor="text1"/>
          <w:sz w:val="24"/>
        </w:rPr>
      </w:pPr>
    </w:p>
    <w:p w14:paraId="2EADCFE1">
      <w:pPr>
        <w:pStyle w:val="190"/>
        <w:jc w:val="center"/>
        <w:outlineLvl w:val="0"/>
        <w:rPr>
          <w:rFonts w:hint="eastAsia" w:ascii="宋体" w:hAnsi="宋体" w:eastAsia="宋体" w:cs="宋体"/>
          <w:b/>
          <w:color w:val="000000" w:themeColor="text1"/>
          <w:sz w:val="24"/>
        </w:rPr>
      </w:pPr>
    </w:p>
    <w:p w14:paraId="0ECEC2EE">
      <w:pPr>
        <w:pStyle w:val="190"/>
        <w:jc w:val="center"/>
        <w:outlineLvl w:val="0"/>
        <w:rPr>
          <w:rFonts w:hint="eastAsia" w:ascii="宋体" w:hAnsi="宋体" w:eastAsia="宋体" w:cs="宋体"/>
          <w:b/>
          <w:color w:val="000000" w:themeColor="text1"/>
          <w:sz w:val="24"/>
        </w:rPr>
      </w:pPr>
    </w:p>
    <w:p w14:paraId="2F42F6B0">
      <w:pPr>
        <w:pStyle w:val="190"/>
        <w:jc w:val="center"/>
        <w:outlineLvl w:val="0"/>
        <w:rPr>
          <w:rFonts w:hint="eastAsia" w:ascii="宋体" w:hAnsi="宋体" w:eastAsia="宋体" w:cs="宋体"/>
          <w:b/>
          <w:color w:val="000000" w:themeColor="text1"/>
          <w:sz w:val="24"/>
        </w:rPr>
      </w:pPr>
    </w:p>
    <w:p w14:paraId="5B760D73">
      <w:pPr>
        <w:pStyle w:val="190"/>
        <w:jc w:val="center"/>
        <w:outlineLvl w:val="0"/>
        <w:rPr>
          <w:rFonts w:hint="eastAsia" w:ascii="宋体" w:hAnsi="宋体" w:eastAsia="宋体" w:cs="宋体"/>
          <w:b/>
          <w:color w:val="000000" w:themeColor="text1"/>
          <w:sz w:val="24"/>
        </w:rPr>
      </w:pPr>
    </w:p>
    <w:p w14:paraId="71C364FB">
      <w:pPr>
        <w:pStyle w:val="190"/>
        <w:jc w:val="center"/>
        <w:outlineLvl w:val="0"/>
        <w:rPr>
          <w:rFonts w:hint="eastAsia" w:ascii="宋体" w:hAnsi="宋体" w:eastAsia="宋体" w:cs="宋体"/>
          <w:b/>
          <w:color w:val="000000" w:themeColor="text1"/>
          <w:sz w:val="24"/>
        </w:rPr>
      </w:pPr>
    </w:p>
    <w:p w14:paraId="328AA37A">
      <w:pPr>
        <w:pStyle w:val="190"/>
        <w:jc w:val="center"/>
        <w:outlineLvl w:val="0"/>
        <w:rPr>
          <w:rFonts w:hint="eastAsia" w:ascii="宋体" w:hAnsi="宋体" w:eastAsia="宋体" w:cs="宋体"/>
          <w:b/>
          <w:color w:val="000000" w:themeColor="text1"/>
          <w:sz w:val="24"/>
        </w:rPr>
      </w:pPr>
    </w:p>
    <w:bookmarkEnd w:id="1774"/>
    <w:bookmarkEnd w:id="1775"/>
    <w:bookmarkEnd w:id="1776"/>
    <w:bookmarkEnd w:id="1777"/>
    <w:bookmarkEnd w:id="1778"/>
    <w:bookmarkEnd w:id="1779"/>
    <w:p w14:paraId="2657E65C">
      <w:pPr>
        <w:pStyle w:val="190"/>
        <w:jc w:val="both"/>
        <w:rPr>
          <w:rFonts w:hint="eastAsia" w:ascii="宋体" w:hAnsi="宋体" w:eastAsia="宋体" w:cs="宋体"/>
          <w:color w:val="000000" w:themeColor="text1"/>
        </w:rPr>
      </w:pPr>
    </w:p>
    <w:p w14:paraId="41CD986D">
      <w:pPr>
        <w:pStyle w:val="190"/>
        <w:numPr>
          <w:ilvl w:val="0"/>
          <w:numId w:val="0"/>
        </w:numPr>
        <w:jc w:val="center"/>
        <w:outlineLvl w:val="0"/>
        <w:rPr>
          <w:rFonts w:hint="eastAsia" w:ascii="宋体" w:hAnsi="宋体" w:eastAsia="宋体" w:cs="宋体"/>
          <w:b/>
          <w:color w:val="000000" w:themeColor="text1"/>
          <w:sz w:val="28"/>
          <w:szCs w:val="28"/>
        </w:rPr>
      </w:pPr>
      <w:bookmarkStart w:id="1780" w:name="_Toc638"/>
      <w:bookmarkStart w:id="1781" w:name="_Toc494118871"/>
      <w:bookmarkStart w:id="1782" w:name="_Toc554"/>
      <w:bookmarkStart w:id="1783" w:name="_Toc389065356"/>
      <w:bookmarkStart w:id="1784" w:name="_Toc11724"/>
      <w:bookmarkStart w:id="1785" w:name="_Toc1761"/>
      <w:r>
        <w:rPr>
          <w:rFonts w:hint="eastAsia" w:ascii="宋体" w:hAnsi="宋体" w:eastAsia="宋体" w:cs="宋体"/>
          <w:b/>
          <w:color w:val="000000" w:themeColor="text1"/>
          <w:sz w:val="28"/>
          <w:szCs w:val="28"/>
          <w:lang w:val="en-US" w:eastAsia="zh-CN"/>
        </w:rPr>
        <w:t>1、</w:t>
      </w:r>
      <w:r>
        <w:rPr>
          <w:rFonts w:hint="eastAsia" w:ascii="宋体" w:hAnsi="宋体" w:eastAsia="宋体" w:cs="宋体"/>
          <w:b/>
          <w:color w:val="000000" w:themeColor="text1"/>
          <w:sz w:val="28"/>
          <w:szCs w:val="28"/>
        </w:rPr>
        <w:t>竞标函</w:t>
      </w:r>
      <w:bookmarkEnd w:id="1780"/>
      <w:bookmarkEnd w:id="1781"/>
      <w:bookmarkEnd w:id="1782"/>
      <w:bookmarkEnd w:id="1783"/>
      <w:bookmarkEnd w:id="1784"/>
      <w:bookmarkEnd w:id="1785"/>
    </w:p>
    <w:p w14:paraId="7D98933E">
      <w:pPr>
        <w:pStyle w:val="190"/>
        <w:outlineLvl w:val="0"/>
        <w:rPr>
          <w:rFonts w:hint="eastAsia" w:ascii="宋体" w:hAnsi="宋体" w:eastAsia="宋体" w:cs="宋体"/>
          <w:bCs/>
          <w:color w:val="000000" w:themeColor="text1"/>
          <w:u w:val="single"/>
        </w:rPr>
      </w:pPr>
    </w:p>
    <w:p w14:paraId="075BF59F">
      <w:pPr>
        <w:pStyle w:val="190"/>
        <w:outlineLvl w:val="0"/>
        <w:rPr>
          <w:rFonts w:hint="eastAsia" w:ascii="宋体" w:hAnsi="宋体" w:eastAsia="宋体" w:cs="宋体"/>
          <w:bCs/>
          <w:color w:val="000000" w:themeColor="text1"/>
          <w:u w:val="single"/>
        </w:rPr>
      </w:pPr>
    </w:p>
    <w:p w14:paraId="0AAE6EDE">
      <w:pPr>
        <w:pStyle w:val="190"/>
        <w:outlineLvl w:val="0"/>
        <w:rPr>
          <w:rFonts w:hint="eastAsia" w:ascii="宋体" w:hAnsi="宋体" w:eastAsia="宋体" w:cs="宋体"/>
          <w:b/>
          <w:color w:val="000000" w:themeColor="text1"/>
          <w:u w:val="single"/>
        </w:rPr>
      </w:pPr>
      <w:bookmarkStart w:id="1786" w:name="_Toc32706"/>
      <w:r>
        <w:rPr>
          <w:rFonts w:hint="eastAsia" w:ascii="宋体" w:hAnsi="宋体" w:eastAsia="宋体" w:cs="宋体"/>
          <w:bCs/>
          <w:color w:val="000000" w:themeColor="text1"/>
          <w:u w:val="single"/>
        </w:rPr>
        <w:t xml:space="preserve">致 </w:t>
      </w:r>
      <w:r>
        <w:rPr>
          <w:rFonts w:hint="eastAsia" w:ascii="宋体" w:hAnsi="宋体" w:eastAsia="宋体" w:cs="宋体"/>
          <w:b/>
          <w:color w:val="000000" w:themeColor="text1"/>
          <w:u w:val="single"/>
        </w:rPr>
        <w:t xml:space="preserve">  </w:t>
      </w:r>
      <w:r>
        <w:rPr>
          <w:rFonts w:hint="eastAsia" w:ascii="宋体" w:hAnsi="宋体" w:eastAsia="宋体" w:cs="宋体"/>
          <w:bCs/>
          <w:color w:val="000000" w:themeColor="text1"/>
          <w:u w:val="single"/>
        </w:rPr>
        <w:t>（采购人）</w:t>
      </w:r>
      <w:r>
        <w:rPr>
          <w:rFonts w:hint="eastAsia" w:ascii="宋体" w:hAnsi="宋体" w:eastAsia="宋体" w:cs="宋体"/>
          <w:b/>
          <w:color w:val="000000" w:themeColor="text1"/>
          <w:u w:val="single"/>
        </w:rPr>
        <w:t xml:space="preserve">   ：</w:t>
      </w:r>
      <w:bookmarkEnd w:id="1786"/>
    </w:p>
    <w:p w14:paraId="37661C0E">
      <w:pPr>
        <w:tabs>
          <w:tab w:val="left" w:pos="7560"/>
        </w:tabs>
        <w:spacing w:line="46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1、根据你方项目采购编号为</w:t>
      </w:r>
      <w:r>
        <w:rPr>
          <w:rFonts w:hint="eastAsia" w:ascii="宋体" w:hAnsi="宋体" w:eastAsia="宋体" w:cs="宋体"/>
          <w:color w:val="000000" w:themeColor="text1"/>
          <w:u w:val="single"/>
        </w:rPr>
        <w:t xml:space="preserve">  （项目采购编号）  </w:t>
      </w:r>
      <w:r>
        <w:rPr>
          <w:rFonts w:hint="eastAsia" w:ascii="宋体" w:hAnsi="宋体" w:eastAsia="宋体" w:cs="宋体"/>
          <w:color w:val="000000" w:themeColor="text1"/>
        </w:rPr>
        <w:t>的</w:t>
      </w:r>
      <w:r>
        <w:rPr>
          <w:rFonts w:hint="eastAsia" w:ascii="宋体" w:hAnsi="宋体" w:eastAsia="宋体" w:cs="宋体"/>
          <w:color w:val="000000" w:themeColor="text1"/>
          <w:u w:val="single"/>
        </w:rPr>
        <w:t xml:space="preserve">  （工程项目名称）  </w:t>
      </w:r>
      <w:r>
        <w:rPr>
          <w:rFonts w:hint="eastAsia" w:ascii="宋体" w:hAnsi="宋体" w:eastAsia="宋体" w:cs="宋体"/>
          <w:color w:val="000000" w:themeColor="text1"/>
        </w:rPr>
        <w:t>工程竞争性谈判文件，遵照《中华人民共和国采购竞标法》等有关规定，经踏勘项目现场和研究上述竞争性谈判文件的竞标须知、合同条款、图纸、工程建设标准和工程量清单及其他有关文件后，我方愿以总报价人民币（大写）</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元（RMB</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元）的竞标报价并按上述图纸、合同条款、工程建设标准和工程量清单（如有时）的条件要求承包上述工程的施工、竣工，并承担任何质量缺陷保修责任。我方保证工程质量达到</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等级。</w:t>
      </w:r>
    </w:p>
    <w:p w14:paraId="07047DFD">
      <w:pPr>
        <w:tabs>
          <w:tab w:val="left" w:pos="7560"/>
        </w:tabs>
        <w:spacing w:line="46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2、我方已详细审核全部竞争性谈判文件，包括修改文件（如有时）及有关附件。</w:t>
      </w:r>
    </w:p>
    <w:p w14:paraId="09F08EDE">
      <w:pPr>
        <w:tabs>
          <w:tab w:val="left" w:pos="7560"/>
        </w:tabs>
        <w:spacing w:line="46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3、我方承认竞标函附录是我方竞标函的组成部分。</w:t>
      </w:r>
    </w:p>
    <w:p w14:paraId="290D9393">
      <w:pPr>
        <w:tabs>
          <w:tab w:val="left" w:pos="7560"/>
        </w:tabs>
        <w:spacing w:line="46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4、一旦我方中标，我方保证按合同书中规定的工期</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日历天内完成并移交全部工程。</w:t>
      </w:r>
    </w:p>
    <w:p w14:paraId="52E2A9AD">
      <w:pPr>
        <w:tabs>
          <w:tab w:val="left" w:pos="7560"/>
        </w:tabs>
        <w:spacing w:line="46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5、如果我方中标，我方将按照文件规定提交履约保证金作为履约担保。</w:t>
      </w:r>
    </w:p>
    <w:p w14:paraId="02EA2E0E">
      <w:pPr>
        <w:tabs>
          <w:tab w:val="left" w:pos="7560"/>
        </w:tabs>
        <w:spacing w:line="46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6、我方同意所提交的竞标文件在竞争性谈判文件的“竞标人须知”中第3.3.1条规定的竞标有效期内有效，在此期间内如果中标，我方将受此约束。</w:t>
      </w:r>
    </w:p>
    <w:p w14:paraId="0A6B3011">
      <w:pPr>
        <w:tabs>
          <w:tab w:val="left" w:pos="7560"/>
        </w:tabs>
        <w:spacing w:line="46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7、除非另外达成协议并生效，你方的成交通知书和本竞标文件将成为约束双方的合同文件的组成部分。</w:t>
      </w:r>
    </w:p>
    <w:p w14:paraId="1DF5F18B">
      <w:pPr>
        <w:tabs>
          <w:tab w:val="left" w:pos="7560"/>
        </w:tabs>
        <w:spacing w:line="460" w:lineRule="exact"/>
        <w:ind w:firstLine="420" w:firstLineChars="200"/>
        <w:rPr>
          <w:rFonts w:hint="eastAsia" w:ascii="宋体" w:hAnsi="宋体" w:eastAsia="宋体" w:cs="宋体"/>
          <w:color w:val="000000" w:themeColor="text1"/>
        </w:rPr>
      </w:pPr>
      <w:r>
        <w:rPr>
          <w:rFonts w:hint="eastAsia" w:ascii="宋体" w:hAnsi="宋体" w:eastAsia="宋体" w:cs="宋体"/>
          <w:color w:val="000000" w:themeColor="text1"/>
        </w:rPr>
        <w:t>8、我方将与本竞标函一起，提交人民币</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rPr>
        <w:t>元作为竞标保证金。</w:t>
      </w:r>
    </w:p>
    <w:p w14:paraId="669885D5">
      <w:pPr>
        <w:spacing w:line="360" w:lineRule="auto"/>
        <w:rPr>
          <w:rFonts w:hint="eastAsia" w:ascii="宋体" w:hAnsi="宋体" w:eastAsia="宋体" w:cs="宋体"/>
          <w:color w:val="000000" w:themeColor="text1"/>
        </w:rPr>
      </w:pPr>
    </w:p>
    <w:p w14:paraId="336A85DA">
      <w:pPr>
        <w:spacing w:line="360" w:lineRule="auto"/>
        <w:rPr>
          <w:rFonts w:hint="eastAsia" w:ascii="宋体" w:hAnsi="宋体" w:eastAsia="宋体" w:cs="宋体"/>
          <w:color w:val="000000" w:themeColor="text1"/>
        </w:rPr>
      </w:pPr>
    </w:p>
    <w:p w14:paraId="7EE5ACB4">
      <w:pPr>
        <w:spacing w:line="360" w:lineRule="auto"/>
        <w:rPr>
          <w:rFonts w:hint="eastAsia" w:ascii="宋体" w:hAnsi="宋体" w:eastAsia="宋体" w:cs="宋体"/>
          <w:color w:val="000000" w:themeColor="text1"/>
        </w:rPr>
      </w:pPr>
    </w:p>
    <w:p w14:paraId="063E6495">
      <w:pPr>
        <w:spacing w:line="360" w:lineRule="auto"/>
        <w:ind w:left="1000"/>
        <w:rPr>
          <w:rFonts w:hint="eastAsia" w:ascii="宋体" w:hAnsi="宋体" w:eastAsia="宋体" w:cs="宋体"/>
          <w:color w:val="000000" w:themeColor="text1"/>
          <w:u w:val="single"/>
        </w:rPr>
      </w:pPr>
      <w:r>
        <w:rPr>
          <w:rFonts w:hint="eastAsia" w:ascii="宋体" w:hAnsi="宋体" w:eastAsia="宋体" w:cs="宋体"/>
          <w:color w:val="000000" w:themeColor="text1"/>
        </w:rPr>
        <w:t xml:space="preserve">         投 标 人：</w:t>
      </w:r>
      <w:r>
        <w:rPr>
          <w:rFonts w:hint="eastAsia" w:ascii="宋体" w:hAnsi="宋体" w:eastAsia="宋体" w:cs="宋体"/>
          <w:color w:val="000000" w:themeColor="text1"/>
          <w:u w:val="single"/>
        </w:rPr>
        <w:t xml:space="preserve">                                        （盖单位章）</w:t>
      </w:r>
    </w:p>
    <w:p w14:paraId="381FF155">
      <w:pPr>
        <w:spacing w:line="360" w:lineRule="auto"/>
        <w:ind w:left="1000"/>
        <w:rPr>
          <w:rFonts w:hint="eastAsia" w:ascii="宋体" w:hAnsi="宋体" w:eastAsia="宋体" w:cs="宋体"/>
          <w:color w:val="000000" w:themeColor="text1"/>
          <w:u w:val="single"/>
        </w:rPr>
      </w:pPr>
      <w:r>
        <w:rPr>
          <w:rFonts w:hint="eastAsia" w:ascii="宋体" w:hAnsi="宋体" w:eastAsia="宋体" w:cs="宋体"/>
          <w:color w:val="000000" w:themeColor="text1"/>
        </w:rPr>
        <w:t xml:space="preserve">         单位地址：</w:t>
      </w:r>
      <w:r>
        <w:rPr>
          <w:rFonts w:hint="eastAsia" w:ascii="宋体" w:hAnsi="宋体" w:eastAsia="宋体" w:cs="宋体"/>
          <w:color w:val="000000" w:themeColor="text1"/>
          <w:u w:val="single"/>
        </w:rPr>
        <w:t xml:space="preserve">                                        </w:t>
      </w:r>
    </w:p>
    <w:p w14:paraId="23C43601">
      <w:pPr>
        <w:spacing w:line="360" w:lineRule="auto"/>
        <w:ind w:left="1000"/>
        <w:rPr>
          <w:rFonts w:hint="eastAsia" w:ascii="宋体" w:hAnsi="宋体" w:eastAsia="宋体" w:cs="宋体"/>
          <w:color w:val="000000" w:themeColor="text1"/>
          <w:u w:val="single"/>
        </w:rPr>
      </w:pPr>
      <w:r>
        <w:rPr>
          <w:rFonts w:hint="eastAsia" w:ascii="宋体" w:hAnsi="宋体" w:eastAsia="宋体" w:cs="宋体"/>
          <w:color w:val="000000" w:themeColor="text1"/>
        </w:rPr>
        <w:t xml:space="preserve">         法定代表人或其委托代理人：</w:t>
      </w:r>
      <w:r>
        <w:rPr>
          <w:rFonts w:hint="eastAsia" w:ascii="宋体" w:hAnsi="宋体" w:eastAsia="宋体" w:cs="宋体"/>
          <w:color w:val="000000" w:themeColor="text1"/>
          <w:u w:val="single"/>
        </w:rPr>
        <w:t xml:space="preserve">          （签字或盖章）</w:t>
      </w:r>
    </w:p>
    <w:p w14:paraId="5CCC5B6D">
      <w:pPr>
        <w:spacing w:line="360" w:lineRule="auto"/>
        <w:ind w:left="1000" w:leftChars="476" w:firstLine="945" w:firstLineChars="450"/>
        <w:rPr>
          <w:rFonts w:hint="eastAsia" w:ascii="宋体" w:hAnsi="宋体" w:eastAsia="宋体" w:cs="宋体"/>
          <w:color w:val="000000" w:themeColor="text1"/>
        </w:rPr>
      </w:pPr>
      <w:r>
        <w:rPr>
          <w:rFonts w:hint="eastAsia" w:ascii="宋体" w:hAnsi="宋体" w:eastAsia="宋体" w:cs="宋体"/>
          <w:color w:val="000000" w:themeColor="text1"/>
        </w:rPr>
        <w:t>邮政编码：</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电话：</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 xml:space="preserve"> 传真：</w:t>
      </w:r>
      <w:r>
        <w:rPr>
          <w:rFonts w:hint="eastAsia" w:ascii="宋体" w:hAnsi="宋体" w:eastAsia="宋体" w:cs="宋体"/>
          <w:color w:val="000000" w:themeColor="text1"/>
          <w:u w:val="single"/>
        </w:rPr>
        <w:t xml:space="preserve">          </w:t>
      </w:r>
    </w:p>
    <w:p w14:paraId="22A1FB1C">
      <w:pPr>
        <w:spacing w:line="360" w:lineRule="auto"/>
        <w:ind w:left="1000"/>
        <w:rPr>
          <w:rFonts w:hint="eastAsia" w:ascii="宋体" w:hAnsi="宋体" w:eastAsia="宋体" w:cs="宋体"/>
          <w:color w:val="000000" w:themeColor="text1"/>
        </w:rPr>
      </w:pPr>
      <w:r>
        <w:rPr>
          <w:rFonts w:hint="eastAsia" w:ascii="宋体" w:hAnsi="宋体" w:eastAsia="宋体" w:cs="宋体"/>
          <w:color w:val="000000" w:themeColor="text1"/>
        </w:rPr>
        <w:t xml:space="preserve">         开户银行名称：</w:t>
      </w:r>
      <w:r>
        <w:rPr>
          <w:rFonts w:hint="eastAsia" w:ascii="宋体" w:hAnsi="宋体" w:eastAsia="宋体" w:cs="宋体"/>
          <w:color w:val="000000" w:themeColor="text1"/>
          <w:u w:val="single"/>
        </w:rPr>
        <w:t xml:space="preserve">                                    </w:t>
      </w:r>
    </w:p>
    <w:p w14:paraId="1935D597">
      <w:pPr>
        <w:spacing w:line="360" w:lineRule="auto"/>
        <w:ind w:left="1000"/>
        <w:rPr>
          <w:rFonts w:hint="eastAsia" w:ascii="宋体" w:hAnsi="宋体" w:eastAsia="宋体" w:cs="宋体"/>
          <w:color w:val="000000" w:themeColor="text1"/>
        </w:rPr>
      </w:pPr>
      <w:r>
        <w:rPr>
          <w:rFonts w:hint="eastAsia" w:ascii="宋体" w:hAnsi="宋体" w:eastAsia="宋体" w:cs="宋体"/>
          <w:color w:val="000000" w:themeColor="text1"/>
        </w:rPr>
        <w:t xml:space="preserve">         开户银行账号：</w:t>
      </w:r>
      <w:r>
        <w:rPr>
          <w:rFonts w:hint="eastAsia" w:ascii="宋体" w:hAnsi="宋体" w:eastAsia="宋体" w:cs="宋体"/>
          <w:color w:val="000000" w:themeColor="text1"/>
          <w:u w:val="single"/>
        </w:rPr>
        <w:t xml:space="preserve">                                    </w:t>
      </w:r>
    </w:p>
    <w:p w14:paraId="581261BE">
      <w:pPr>
        <w:spacing w:line="360" w:lineRule="auto"/>
        <w:ind w:left="1000"/>
        <w:rPr>
          <w:rFonts w:hint="eastAsia" w:ascii="宋体" w:hAnsi="宋体" w:eastAsia="宋体" w:cs="宋体"/>
          <w:color w:val="000000" w:themeColor="text1"/>
        </w:rPr>
      </w:pPr>
      <w:r>
        <w:rPr>
          <w:rFonts w:hint="eastAsia" w:ascii="宋体" w:hAnsi="宋体" w:eastAsia="宋体" w:cs="宋体"/>
          <w:color w:val="000000" w:themeColor="text1"/>
        </w:rPr>
        <w:t xml:space="preserve">        </w:t>
      </w:r>
      <w:r>
        <w:rPr>
          <w:rFonts w:hint="eastAsia" w:ascii="宋体" w:hAnsi="宋体" w:cs="宋体"/>
          <w:color w:val="000000" w:themeColor="text1"/>
          <w:lang w:val="en-US" w:eastAsia="zh-CN"/>
        </w:rPr>
        <w:t xml:space="preserve"> </w:t>
      </w:r>
      <w:r>
        <w:rPr>
          <w:rFonts w:hint="eastAsia" w:ascii="宋体" w:hAnsi="宋体" w:eastAsia="宋体" w:cs="宋体"/>
          <w:color w:val="000000" w:themeColor="text1"/>
        </w:rPr>
        <w:t>日期：</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w:t>
      </w:r>
    </w:p>
    <w:p w14:paraId="0C66F801">
      <w:pPr>
        <w:spacing w:beforeLines="100" w:afterLines="50" w:line="510" w:lineRule="exact"/>
        <w:rPr>
          <w:rFonts w:hint="eastAsia" w:ascii="宋体" w:hAnsi="宋体" w:eastAsia="宋体" w:cs="宋体"/>
          <w:color w:val="000000" w:themeColor="text1"/>
          <w:szCs w:val="21"/>
        </w:rPr>
      </w:pPr>
    </w:p>
    <w:p w14:paraId="35123A8D">
      <w:pPr>
        <w:spacing w:beforeLines="100" w:afterLines="50" w:line="510" w:lineRule="exact"/>
        <w:rPr>
          <w:rFonts w:hint="eastAsia" w:ascii="宋体" w:hAnsi="宋体" w:eastAsia="宋体" w:cs="宋体"/>
          <w:color w:val="000000" w:themeColor="text1"/>
          <w:szCs w:val="21"/>
        </w:rPr>
        <w:sectPr>
          <w:footerReference r:id="rId7" w:type="default"/>
          <w:pgSz w:w="11907" w:h="16840"/>
          <w:pgMar w:top="1440" w:right="1080" w:bottom="1440" w:left="1080" w:header="851" w:footer="851" w:gutter="0"/>
          <w:cols w:space="720" w:num="1"/>
          <w:docGrid w:linePitch="312" w:charSpace="0"/>
        </w:sectPr>
      </w:pPr>
    </w:p>
    <w:p w14:paraId="349AD29A">
      <w:pPr>
        <w:pStyle w:val="190"/>
        <w:jc w:val="center"/>
        <w:outlineLvl w:val="0"/>
        <w:rPr>
          <w:rFonts w:hint="eastAsia" w:ascii="宋体" w:hAnsi="宋体" w:eastAsia="宋体" w:cs="宋体"/>
          <w:b/>
          <w:color w:val="000000" w:themeColor="text1"/>
          <w:sz w:val="28"/>
          <w:szCs w:val="28"/>
        </w:rPr>
      </w:pPr>
      <w:bookmarkStart w:id="1787" w:name="_Toc11511"/>
      <w:bookmarkStart w:id="1788" w:name="_Toc24417"/>
      <w:bookmarkStart w:id="1789" w:name="_Toc494118872"/>
      <w:bookmarkStart w:id="1790" w:name="_Toc9235"/>
      <w:bookmarkStart w:id="1791" w:name="_Toc389065357"/>
      <w:bookmarkStart w:id="1792" w:name="_Toc22582"/>
      <w:r>
        <w:rPr>
          <w:rFonts w:hint="eastAsia" w:ascii="宋体" w:hAnsi="宋体" w:eastAsia="宋体" w:cs="宋体"/>
          <w:b/>
          <w:color w:val="000000" w:themeColor="text1"/>
          <w:sz w:val="28"/>
          <w:szCs w:val="28"/>
          <w:lang w:val="en-US" w:eastAsia="zh-CN"/>
        </w:rPr>
        <w:t>2、</w:t>
      </w:r>
      <w:r>
        <w:rPr>
          <w:rFonts w:hint="eastAsia" w:ascii="宋体" w:hAnsi="宋体" w:eastAsia="宋体" w:cs="宋体"/>
          <w:b/>
          <w:color w:val="000000" w:themeColor="text1"/>
          <w:sz w:val="28"/>
          <w:szCs w:val="28"/>
        </w:rPr>
        <w:t>竞标函附录</w:t>
      </w:r>
      <w:bookmarkEnd w:id="1787"/>
      <w:bookmarkEnd w:id="1788"/>
      <w:bookmarkEnd w:id="1789"/>
      <w:bookmarkEnd w:id="1790"/>
      <w:bookmarkEnd w:id="1791"/>
      <w:bookmarkEnd w:id="1792"/>
    </w:p>
    <w:p w14:paraId="58A9BAC0">
      <w:pPr>
        <w:pStyle w:val="190"/>
        <w:jc w:val="center"/>
        <w:rPr>
          <w:rFonts w:hint="eastAsia" w:ascii="宋体" w:hAnsi="宋体" w:eastAsia="宋体" w:cs="宋体"/>
          <w:color w:val="000000" w:themeColor="text1"/>
          <w:sz w:val="28"/>
          <w:szCs w:val="28"/>
        </w:rPr>
      </w:pPr>
    </w:p>
    <w:p w14:paraId="5F9701C6">
      <w:pPr>
        <w:ind w:firstLine="514" w:firstLineChars="245"/>
        <w:rPr>
          <w:rFonts w:hint="eastAsia" w:ascii="宋体" w:hAnsi="宋体" w:eastAsia="宋体" w:cs="宋体"/>
          <w:color w:val="000000" w:themeColor="text1"/>
          <w:szCs w:val="21"/>
        </w:rPr>
      </w:pPr>
      <w:r>
        <w:rPr>
          <w:rFonts w:hint="eastAsia" w:ascii="宋体" w:hAnsi="宋体" w:eastAsia="宋体" w:cs="宋体"/>
          <w:color w:val="000000" w:themeColor="text1"/>
          <w:szCs w:val="21"/>
        </w:rPr>
        <w:t>项目名称：</w:t>
      </w:r>
      <w:r>
        <w:rPr>
          <w:rFonts w:hint="eastAsia" w:ascii="宋体" w:hAnsi="宋体" w:eastAsia="宋体" w:cs="宋体"/>
          <w:color w:val="000000" w:themeColor="text1"/>
          <w:szCs w:val="21"/>
          <w:u w:val="single"/>
        </w:rPr>
        <w:t xml:space="preserve">                                项目采购编号：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5BA1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E2FFFD0">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序 号</w:t>
            </w:r>
          </w:p>
        </w:tc>
        <w:tc>
          <w:tcPr>
            <w:tcW w:w="1985" w:type="dxa"/>
            <w:vAlign w:val="center"/>
          </w:tcPr>
          <w:p w14:paraId="6EE7A5DD">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条款内容</w:t>
            </w:r>
          </w:p>
        </w:tc>
        <w:tc>
          <w:tcPr>
            <w:tcW w:w="2126" w:type="dxa"/>
            <w:vAlign w:val="center"/>
          </w:tcPr>
          <w:p w14:paraId="76A04371">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合同条款号</w:t>
            </w:r>
          </w:p>
        </w:tc>
        <w:tc>
          <w:tcPr>
            <w:tcW w:w="1984" w:type="dxa"/>
            <w:vAlign w:val="center"/>
          </w:tcPr>
          <w:p w14:paraId="022A1B26">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约定内容</w:t>
            </w:r>
          </w:p>
        </w:tc>
        <w:tc>
          <w:tcPr>
            <w:tcW w:w="1843" w:type="dxa"/>
            <w:vAlign w:val="center"/>
          </w:tcPr>
          <w:p w14:paraId="222C77E9">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备注</w:t>
            </w:r>
          </w:p>
        </w:tc>
      </w:tr>
      <w:tr w14:paraId="6553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3162475">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1985" w:type="dxa"/>
            <w:vAlign w:val="center"/>
          </w:tcPr>
          <w:p w14:paraId="370155C3">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项目经理</w:t>
            </w:r>
          </w:p>
        </w:tc>
        <w:tc>
          <w:tcPr>
            <w:tcW w:w="2126" w:type="dxa"/>
            <w:tcMar>
              <w:left w:w="170" w:type="dxa"/>
            </w:tcMar>
            <w:vAlign w:val="center"/>
          </w:tcPr>
          <w:p w14:paraId="3103C05B">
            <w:pPr>
              <w:jc w:val="center"/>
              <w:rPr>
                <w:rFonts w:hint="eastAsia" w:ascii="宋体" w:hAnsi="宋体" w:eastAsia="宋体" w:cs="宋体"/>
                <w:color w:val="000000" w:themeColor="text1"/>
                <w:szCs w:val="21"/>
              </w:rPr>
            </w:pPr>
          </w:p>
        </w:tc>
        <w:tc>
          <w:tcPr>
            <w:tcW w:w="1984" w:type="dxa"/>
            <w:vAlign w:val="center"/>
          </w:tcPr>
          <w:p w14:paraId="78111974">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姓名：</w:t>
            </w:r>
            <w:r>
              <w:rPr>
                <w:rFonts w:hint="eastAsia" w:ascii="宋体" w:hAnsi="宋体" w:eastAsia="宋体" w:cs="宋体"/>
                <w:color w:val="000000" w:themeColor="text1"/>
                <w:szCs w:val="21"/>
                <w:u w:val="single"/>
              </w:rPr>
              <w:t xml:space="preserve">          </w:t>
            </w:r>
          </w:p>
        </w:tc>
        <w:tc>
          <w:tcPr>
            <w:tcW w:w="1843" w:type="dxa"/>
            <w:vAlign w:val="center"/>
          </w:tcPr>
          <w:p w14:paraId="16661F4A">
            <w:pPr>
              <w:jc w:val="center"/>
              <w:rPr>
                <w:rFonts w:hint="eastAsia" w:ascii="宋体" w:hAnsi="宋体" w:eastAsia="宋体" w:cs="宋体"/>
                <w:color w:val="000000" w:themeColor="text1"/>
                <w:szCs w:val="21"/>
              </w:rPr>
            </w:pPr>
          </w:p>
        </w:tc>
      </w:tr>
      <w:tr w14:paraId="2682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D163654">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1985" w:type="dxa"/>
            <w:vAlign w:val="center"/>
          </w:tcPr>
          <w:p w14:paraId="79957416">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工期</w:t>
            </w:r>
          </w:p>
        </w:tc>
        <w:tc>
          <w:tcPr>
            <w:tcW w:w="2126" w:type="dxa"/>
            <w:tcMar>
              <w:left w:w="170" w:type="dxa"/>
            </w:tcMar>
            <w:vAlign w:val="center"/>
          </w:tcPr>
          <w:p w14:paraId="5CA24263">
            <w:pPr>
              <w:jc w:val="center"/>
              <w:rPr>
                <w:rFonts w:hint="eastAsia" w:ascii="宋体" w:hAnsi="宋体" w:eastAsia="宋体" w:cs="宋体"/>
                <w:color w:val="000000" w:themeColor="text1"/>
                <w:szCs w:val="21"/>
              </w:rPr>
            </w:pPr>
          </w:p>
        </w:tc>
        <w:tc>
          <w:tcPr>
            <w:tcW w:w="1984" w:type="dxa"/>
            <w:vAlign w:val="center"/>
          </w:tcPr>
          <w:p w14:paraId="327B7506">
            <w:pPr>
              <w:jc w:val="center"/>
              <w:rPr>
                <w:rFonts w:hint="eastAsia" w:ascii="宋体" w:hAnsi="宋体" w:eastAsia="宋体" w:cs="宋体"/>
                <w:color w:val="000000" w:themeColor="text1"/>
                <w:szCs w:val="21"/>
                <w:u w:val="single"/>
              </w:rPr>
            </w:pP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日历天</w:t>
            </w:r>
          </w:p>
        </w:tc>
        <w:tc>
          <w:tcPr>
            <w:tcW w:w="1843" w:type="dxa"/>
            <w:vAlign w:val="center"/>
          </w:tcPr>
          <w:p w14:paraId="755EF409">
            <w:pPr>
              <w:jc w:val="center"/>
              <w:rPr>
                <w:rFonts w:hint="eastAsia" w:ascii="宋体" w:hAnsi="宋体" w:eastAsia="宋体" w:cs="宋体"/>
                <w:color w:val="000000" w:themeColor="text1"/>
                <w:szCs w:val="21"/>
              </w:rPr>
            </w:pPr>
          </w:p>
        </w:tc>
      </w:tr>
      <w:tr w14:paraId="093B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74263C5">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1985" w:type="dxa"/>
            <w:vAlign w:val="center"/>
          </w:tcPr>
          <w:p w14:paraId="1BF918BB">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保修期</w:t>
            </w:r>
          </w:p>
        </w:tc>
        <w:tc>
          <w:tcPr>
            <w:tcW w:w="2126" w:type="dxa"/>
            <w:tcMar>
              <w:left w:w="170" w:type="dxa"/>
            </w:tcMar>
            <w:vAlign w:val="center"/>
          </w:tcPr>
          <w:p w14:paraId="7833C181">
            <w:pPr>
              <w:jc w:val="center"/>
              <w:rPr>
                <w:rFonts w:hint="eastAsia" w:ascii="宋体" w:hAnsi="宋体" w:eastAsia="宋体" w:cs="宋体"/>
                <w:color w:val="000000" w:themeColor="text1"/>
              </w:rPr>
            </w:pPr>
          </w:p>
        </w:tc>
        <w:tc>
          <w:tcPr>
            <w:tcW w:w="1984" w:type="dxa"/>
            <w:vAlign w:val="center"/>
          </w:tcPr>
          <w:p w14:paraId="60D34C81">
            <w:pPr>
              <w:jc w:val="center"/>
              <w:rPr>
                <w:rFonts w:hint="eastAsia" w:ascii="宋体" w:hAnsi="宋体" w:eastAsia="宋体" w:cs="宋体"/>
                <w:color w:val="000000" w:themeColor="text1"/>
                <w:szCs w:val="21"/>
              </w:rPr>
            </w:pPr>
          </w:p>
        </w:tc>
        <w:tc>
          <w:tcPr>
            <w:tcW w:w="1843" w:type="dxa"/>
            <w:vAlign w:val="center"/>
          </w:tcPr>
          <w:p w14:paraId="1F91BBB8">
            <w:pPr>
              <w:jc w:val="center"/>
              <w:rPr>
                <w:rFonts w:hint="eastAsia" w:ascii="宋体" w:hAnsi="宋体" w:eastAsia="宋体" w:cs="宋体"/>
                <w:color w:val="000000" w:themeColor="text1"/>
                <w:szCs w:val="21"/>
              </w:rPr>
            </w:pPr>
          </w:p>
        </w:tc>
      </w:tr>
      <w:tr w14:paraId="56C5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B8938A0">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4</w:t>
            </w:r>
          </w:p>
        </w:tc>
        <w:tc>
          <w:tcPr>
            <w:tcW w:w="1985" w:type="dxa"/>
            <w:vAlign w:val="center"/>
          </w:tcPr>
          <w:p w14:paraId="18129E00">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承包人履约担保金额</w:t>
            </w:r>
          </w:p>
        </w:tc>
        <w:tc>
          <w:tcPr>
            <w:tcW w:w="2126" w:type="dxa"/>
            <w:tcMar>
              <w:left w:w="170" w:type="dxa"/>
            </w:tcMar>
            <w:vAlign w:val="center"/>
          </w:tcPr>
          <w:p w14:paraId="1FE3E1F4">
            <w:pPr>
              <w:jc w:val="center"/>
              <w:rPr>
                <w:rFonts w:hint="eastAsia" w:ascii="宋体" w:hAnsi="宋体" w:eastAsia="宋体" w:cs="宋体"/>
                <w:color w:val="000000" w:themeColor="text1"/>
              </w:rPr>
            </w:pPr>
          </w:p>
        </w:tc>
        <w:tc>
          <w:tcPr>
            <w:tcW w:w="1984" w:type="dxa"/>
            <w:vAlign w:val="center"/>
          </w:tcPr>
          <w:p w14:paraId="2FB28AA7">
            <w:pPr>
              <w:jc w:val="center"/>
              <w:rPr>
                <w:rFonts w:hint="eastAsia" w:ascii="宋体" w:hAnsi="宋体" w:eastAsia="宋体" w:cs="宋体"/>
                <w:color w:val="000000" w:themeColor="text1"/>
                <w:szCs w:val="21"/>
              </w:rPr>
            </w:pPr>
          </w:p>
        </w:tc>
        <w:tc>
          <w:tcPr>
            <w:tcW w:w="1843" w:type="dxa"/>
            <w:vAlign w:val="center"/>
          </w:tcPr>
          <w:p w14:paraId="4C715714">
            <w:pPr>
              <w:jc w:val="center"/>
              <w:rPr>
                <w:rFonts w:hint="eastAsia" w:ascii="宋体" w:hAnsi="宋体" w:eastAsia="宋体" w:cs="宋体"/>
                <w:color w:val="000000" w:themeColor="text1"/>
                <w:szCs w:val="21"/>
              </w:rPr>
            </w:pPr>
          </w:p>
        </w:tc>
      </w:tr>
      <w:tr w14:paraId="712A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46F4332">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w:t>
            </w:r>
          </w:p>
        </w:tc>
        <w:tc>
          <w:tcPr>
            <w:tcW w:w="1985" w:type="dxa"/>
            <w:vAlign w:val="center"/>
          </w:tcPr>
          <w:p w14:paraId="7F725A7E">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分包</w:t>
            </w:r>
          </w:p>
        </w:tc>
        <w:tc>
          <w:tcPr>
            <w:tcW w:w="2126" w:type="dxa"/>
            <w:tcMar>
              <w:left w:w="170" w:type="dxa"/>
            </w:tcMar>
            <w:vAlign w:val="center"/>
          </w:tcPr>
          <w:p w14:paraId="779CBCA9">
            <w:pPr>
              <w:jc w:val="center"/>
              <w:rPr>
                <w:rFonts w:hint="eastAsia" w:ascii="宋体" w:hAnsi="宋体" w:eastAsia="宋体" w:cs="宋体"/>
                <w:color w:val="000000" w:themeColor="text1"/>
              </w:rPr>
            </w:pPr>
          </w:p>
        </w:tc>
        <w:tc>
          <w:tcPr>
            <w:tcW w:w="1984" w:type="dxa"/>
            <w:vAlign w:val="center"/>
          </w:tcPr>
          <w:p w14:paraId="2E705849">
            <w:pPr>
              <w:jc w:val="center"/>
              <w:rPr>
                <w:rFonts w:hint="eastAsia" w:ascii="宋体" w:hAnsi="宋体" w:eastAsia="宋体" w:cs="宋体"/>
                <w:color w:val="000000" w:themeColor="text1"/>
                <w:szCs w:val="21"/>
              </w:rPr>
            </w:pPr>
          </w:p>
        </w:tc>
        <w:tc>
          <w:tcPr>
            <w:tcW w:w="1843" w:type="dxa"/>
            <w:vAlign w:val="center"/>
          </w:tcPr>
          <w:p w14:paraId="5C6F3819">
            <w:pPr>
              <w:jc w:val="center"/>
              <w:rPr>
                <w:rFonts w:hint="eastAsia" w:ascii="宋体" w:hAnsi="宋体" w:eastAsia="宋体" w:cs="宋体"/>
                <w:color w:val="000000" w:themeColor="text1"/>
                <w:szCs w:val="21"/>
              </w:rPr>
            </w:pPr>
          </w:p>
        </w:tc>
      </w:tr>
      <w:tr w14:paraId="7930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0FAB4F0">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6</w:t>
            </w:r>
          </w:p>
        </w:tc>
        <w:tc>
          <w:tcPr>
            <w:tcW w:w="1985" w:type="dxa"/>
            <w:vAlign w:val="center"/>
          </w:tcPr>
          <w:p w14:paraId="60FD588A">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逾期竣工违约金</w:t>
            </w:r>
          </w:p>
        </w:tc>
        <w:tc>
          <w:tcPr>
            <w:tcW w:w="2126" w:type="dxa"/>
            <w:tcMar>
              <w:left w:w="170" w:type="dxa"/>
            </w:tcMar>
            <w:vAlign w:val="center"/>
          </w:tcPr>
          <w:p w14:paraId="355821A6">
            <w:pPr>
              <w:jc w:val="center"/>
              <w:rPr>
                <w:rFonts w:hint="eastAsia" w:ascii="宋体" w:hAnsi="宋体" w:eastAsia="宋体" w:cs="宋体"/>
                <w:color w:val="000000" w:themeColor="text1"/>
              </w:rPr>
            </w:pPr>
          </w:p>
        </w:tc>
        <w:tc>
          <w:tcPr>
            <w:tcW w:w="1984" w:type="dxa"/>
            <w:vAlign w:val="center"/>
          </w:tcPr>
          <w:p w14:paraId="6BCB0C15">
            <w:pPr>
              <w:jc w:val="center"/>
              <w:rPr>
                <w:rFonts w:hint="eastAsia" w:ascii="宋体" w:hAnsi="宋体" w:eastAsia="宋体" w:cs="宋体"/>
                <w:color w:val="000000" w:themeColor="text1"/>
                <w:szCs w:val="21"/>
              </w:rPr>
            </w:pPr>
          </w:p>
        </w:tc>
        <w:tc>
          <w:tcPr>
            <w:tcW w:w="1843" w:type="dxa"/>
            <w:vAlign w:val="center"/>
          </w:tcPr>
          <w:p w14:paraId="24A370A9">
            <w:pPr>
              <w:jc w:val="center"/>
              <w:rPr>
                <w:rFonts w:hint="eastAsia" w:ascii="宋体" w:hAnsi="宋体" w:eastAsia="宋体" w:cs="宋体"/>
                <w:color w:val="000000" w:themeColor="text1"/>
                <w:szCs w:val="21"/>
              </w:rPr>
            </w:pPr>
          </w:p>
        </w:tc>
      </w:tr>
      <w:tr w14:paraId="4F76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DB6E780">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7</w:t>
            </w:r>
          </w:p>
        </w:tc>
        <w:tc>
          <w:tcPr>
            <w:tcW w:w="1985" w:type="dxa"/>
            <w:vAlign w:val="center"/>
          </w:tcPr>
          <w:p w14:paraId="5DFFB5A3">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逾期竣工违约金最高限额</w:t>
            </w:r>
          </w:p>
        </w:tc>
        <w:tc>
          <w:tcPr>
            <w:tcW w:w="2126" w:type="dxa"/>
            <w:tcMar>
              <w:left w:w="170" w:type="dxa"/>
            </w:tcMar>
            <w:vAlign w:val="center"/>
          </w:tcPr>
          <w:p w14:paraId="34F34291">
            <w:pPr>
              <w:jc w:val="center"/>
              <w:rPr>
                <w:rFonts w:hint="eastAsia" w:ascii="宋体" w:hAnsi="宋体" w:eastAsia="宋体" w:cs="宋体"/>
                <w:color w:val="000000" w:themeColor="text1"/>
              </w:rPr>
            </w:pPr>
          </w:p>
        </w:tc>
        <w:tc>
          <w:tcPr>
            <w:tcW w:w="1984" w:type="dxa"/>
            <w:vAlign w:val="center"/>
          </w:tcPr>
          <w:p w14:paraId="7290DF60">
            <w:pPr>
              <w:rPr>
                <w:rFonts w:hint="eastAsia" w:ascii="宋体" w:hAnsi="宋体" w:eastAsia="宋体" w:cs="宋体"/>
                <w:color w:val="000000" w:themeColor="text1"/>
                <w:szCs w:val="21"/>
              </w:rPr>
            </w:pPr>
          </w:p>
        </w:tc>
        <w:tc>
          <w:tcPr>
            <w:tcW w:w="1843" w:type="dxa"/>
            <w:vAlign w:val="center"/>
          </w:tcPr>
          <w:p w14:paraId="4347D359">
            <w:pPr>
              <w:jc w:val="center"/>
              <w:rPr>
                <w:rFonts w:hint="eastAsia" w:ascii="宋体" w:hAnsi="宋体" w:eastAsia="宋体" w:cs="宋体"/>
                <w:color w:val="000000" w:themeColor="text1"/>
                <w:szCs w:val="21"/>
              </w:rPr>
            </w:pPr>
          </w:p>
        </w:tc>
      </w:tr>
      <w:tr w14:paraId="14C2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34AAFD5">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8</w:t>
            </w:r>
          </w:p>
        </w:tc>
        <w:tc>
          <w:tcPr>
            <w:tcW w:w="1985" w:type="dxa"/>
            <w:vAlign w:val="center"/>
          </w:tcPr>
          <w:p w14:paraId="0FBDF0AB">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质量标准</w:t>
            </w:r>
          </w:p>
        </w:tc>
        <w:tc>
          <w:tcPr>
            <w:tcW w:w="2126" w:type="dxa"/>
            <w:tcMar>
              <w:left w:w="170" w:type="dxa"/>
            </w:tcMar>
            <w:vAlign w:val="center"/>
          </w:tcPr>
          <w:p w14:paraId="23D2429D">
            <w:pPr>
              <w:jc w:val="center"/>
              <w:rPr>
                <w:rFonts w:hint="eastAsia" w:ascii="宋体" w:hAnsi="宋体" w:eastAsia="宋体" w:cs="宋体"/>
                <w:color w:val="000000" w:themeColor="text1"/>
              </w:rPr>
            </w:pPr>
          </w:p>
        </w:tc>
        <w:tc>
          <w:tcPr>
            <w:tcW w:w="1984" w:type="dxa"/>
            <w:vAlign w:val="center"/>
          </w:tcPr>
          <w:p w14:paraId="624DF9A2">
            <w:pPr>
              <w:rPr>
                <w:rFonts w:hint="eastAsia" w:ascii="宋体" w:hAnsi="宋体" w:eastAsia="宋体" w:cs="宋体"/>
                <w:color w:val="000000" w:themeColor="text1"/>
                <w:szCs w:val="21"/>
              </w:rPr>
            </w:pPr>
          </w:p>
        </w:tc>
        <w:tc>
          <w:tcPr>
            <w:tcW w:w="1843" w:type="dxa"/>
            <w:vAlign w:val="center"/>
          </w:tcPr>
          <w:p w14:paraId="15B0CC44">
            <w:pPr>
              <w:jc w:val="center"/>
              <w:rPr>
                <w:rFonts w:hint="eastAsia" w:ascii="宋体" w:hAnsi="宋体" w:eastAsia="宋体" w:cs="宋体"/>
                <w:color w:val="000000" w:themeColor="text1"/>
                <w:szCs w:val="21"/>
              </w:rPr>
            </w:pPr>
          </w:p>
        </w:tc>
      </w:tr>
      <w:tr w14:paraId="75CF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03B9D72">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9</w:t>
            </w:r>
          </w:p>
        </w:tc>
        <w:tc>
          <w:tcPr>
            <w:tcW w:w="1985" w:type="dxa"/>
            <w:vAlign w:val="center"/>
          </w:tcPr>
          <w:p w14:paraId="484C5E38">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预付款额度</w:t>
            </w:r>
          </w:p>
        </w:tc>
        <w:tc>
          <w:tcPr>
            <w:tcW w:w="2126" w:type="dxa"/>
            <w:tcMar>
              <w:left w:w="170" w:type="dxa"/>
            </w:tcMar>
            <w:vAlign w:val="center"/>
          </w:tcPr>
          <w:p w14:paraId="035F8424">
            <w:pPr>
              <w:jc w:val="center"/>
              <w:rPr>
                <w:rFonts w:hint="eastAsia" w:ascii="宋体" w:hAnsi="宋体" w:eastAsia="宋体" w:cs="宋体"/>
                <w:color w:val="000000" w:themeColor="text1"/>
              </w:rPr>
            </w:pPr>
          </w:p>
        </w:tc>
        <w:tc>
          <w:tcPr>
            <w:tcW w:w="1984" w:type="dxa"/>
            <w:vAlign w:val="center"/>
          </w:tcPr>
          <w:p w14:paraId="38661E51">
            <w:pPr>
              <w:jc w:val="center"/>
              <w:rPr>
                <w:rFonts w:hint="eastAsia" w:ascii="宋体" w:hAnsi="宋体" w:eastAsia="宋体" w:cs="宋体"/>
                <w:color w:val="000000" w:themeColor="text1"/>
                <w:szCs w:val="21"/>
              </w:rPr>
            </w:pPr>
          </w:p>
        </w:tc>
        <w:tc>
          <w:tcPr>
            <w:tcW w:w="1843" w:type="dxa"/>
            <w:vAlign w:val="center"/>
          </w:tcPr>
          <w:p w14:paraId="57AE07D4">
            <w:pPr>
              <w:jc w:val="center"/>
              <w:rPr>
                <w:rFonts w:hint="eastAsia" w:ascii="宋体" w:hAnsi="宋体" w:eastAsia="宋体" w:cs="宋体"/>
                <w:color w:val="000000" w:themeColor="text1"/>
                <w:szCs w:val="21"/>
              </w:rPr>
            </w:pPr>
          </w:p>
        </w:tc>
      </w:tr>
      <w:tr w14:paraId="3F71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F4DECD8">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10</w:t>
            </w:r>
          </w:p>
        </w:tc>
        <w:tc>
          <w:tcPr>
            <w:tcW w:w="1985" w:type="dxa"/>
            <w:vAlign w:val="center"/>
          </w:tcPr>
          <w:p w14:paraId="0D913511">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预付款保函金额</w:t>
            </w:r>
          </w:p>
        </w:tc>
        <w:tc>
          <w:tcPr>
            <w:tcW w:w="2126" w:type="dxa"/>
            <w:tcMar>
              <w:left w:w="170" w:type="dxa"/>
            </w:tcMar>
            <w:vAlign w:val="center"/>
          </w:tcPr>
          <w:p w14:paraId="6506C288">
            <w:pPr>
              <w:jc w:val="center"/>
              <w:rPr>
                <w:rFonts w:hint="eastAsia" w:ascii="宋体" w:hAnsi="宋体" w:eastAsia="宋体" w:cs="宋体"/>
                <w:color w:val="000000" w:themeColor="text1"/>
              </w:rPr>
            </w:pPr>
          </w:p>
        </w:tc>
        <w:tc>
          <w:tcPr>
            <w:tcW w:w="1984" w:type="dxa"/>
            <w:vAlign w:val="center"/>
          </w:tcPr>
          <w:p w14:paraId="39DD62ED">
            <w:pPr>
              <w:jc w:val="center"/>
              <w:rPr>
                <w:rFonts w:hint="eastAsia" w:ascii="宋体" w:hAnsi="宋体" w:eastAsia="宋体" w:cs="宋体"/>
                <w:color w:val="000000" w:themeColor="text1"/>
                <w:szCs w:val="21"/>
              </w:rPr>
            </w:pPr>
          </w:p>
        </w:tc>
        <w:tc>
          <w:tcPr>
            <w:tcW w:w="1843" w:type="dxa"/>
            <w:vAlign w:val="center"/>
          </w:tcPr>
          <w:p w14:paraId="3C73BB04">
            <w:pPr>
              <w:jc w:val="center"/>
              <w:rPr>
                <w:rFonts w:hint="eastAsia" w:ascii="宋体" w:hAnsi="宋体" w:eastAsia="宋体" w:cs="宋体"/>
                <w:color w:val="000000" w:themeColor="text1"/>
                <w:szCs w:val="21"/>
              </w:rPr>
            </w:pPr>
          </w:p>
        </w:tc>
      </w:tr>
      <w:tr w14:paraId="2271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93D90C">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11</w:t>
            </w:r>
          </w:p>
        </w:tc>
        <w:tc>
          <w:tcPr>
            <w:tcW w:w="1985" w:type="dxa"/>
            <w:vAlign w:val="center"/>
          </w:tcPr>
          <w:p w14:paraId="4164C4C9">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质量保证金额度</w:t>
            </w:r>
          </w:p>
        </w:tc>
        <w:tc>
          <w:tcPr>
            <w:tcW w:w="2126" w:type="dxa"/>
            <w:tcMar>
              <w:left w:w="170" w:type="dxa"/>
            </w:tcMar>
            <w:vAlign w:val="center"/>
          </w:tcPr>
          <w:p w14:paraId="7119B247">
            <w:pPr>
              <w:jc w:val="center"/>
              <w:rPr>
                <w:rFonts w:hint="eastAsia" w:ascii="宋体" w:hAnsi="宋体" w:eastAsia="宋体" w:cs="宋体"/>
                <w:color w:val="000000" w:themeColor="text1"/>
              </w:rPr>
            </w:pPr>
          </w:p>
        </w:tc>
        <w:tc>
          <w:tcPr>
            <w:tcW w:w="1984" w:type="dxa"/>
            <w:vAlign w:val="center"/>
          </w:tcPr>
          <w:p w14:paraId="2F42514E">
            <w:pPr>
              <w:jc w:val="center"/>
              <w:rPr>
                <w:rFonts w:hint="eastAsia" w:ascii="宋体" w:hAnsi="宋体" w:eastAsia="宋体" w:cs="宋体"/>
                <w:color w:val="000000" w:themeColor="text1"/>
                <w:szCs w:val="21"/>
              </w:rPr>
            </w:pPr>
          </w:p>
        </w:tc>
        <w:tc>
          <w:tcPr>
            <w:tcW w:w="1843" w:type="dxa"/>
            <w:vAlign w:val="center"/>
          </w:tcPr>
          <w:p w14:paraId="5EB6BD1E">
            <w:pPr>
              <w:jc w:val="center"/>
              <w:rPr>
                <w:rFonts w:hint="eastAsia" w:ascii="宋体" w:hAnsi="宋体" w:eastAsia="宋体" w:cs="宋体"/>
                <w:color w:val="000000" w:themeColor="text1"/>
                <w:szCs w:val="21"/>
              </w:rPr>
            </w:pPr>
          </w:p>
        </w:tc>
      </w:tr>
      <w:tr w14:paraId="5977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CA74F2">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w:t>
            </w:r>
          </w:p>
        </w:tc>
        <w:tc>
          <w:tcPr>
            <w:tcW w:w="1985" w:type="dxa"/>
            <w:vAlign w:val="center"/>
          </w:tcPr>
          <w:p w14:paraId="238862C6">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w:t>
            </w:r>
          </w:p>
        </w:tc>
        <w:tc>
          <w:tcPr>
            <w:tcW w:w="2126" w:type="dxa"/>
            <w:tcMar>
              <w:left w:w="170" w:type="dxa"/>
            </w:tcMar>
            <w:vAlign w:val="center"/>
          </w:tcPr>
          <w:p w14:paraId="76B1B97B">
            <w:pPr>
              <w:jc w:val="center"/>
              <w:rPr>
                <w:rFonts w:hint="eastAsia" w:ascii="宋体" w:hAnsi="宋体" w:eastAsia="宋体" w:cs="宋体"/>
                <w:color w:val="000000" w:themeColor="text1"/>
              </w:rPr>
            </w:pPr>
          </w:p>
        </w:tc>
        <w:tc>
          <w:tcPr>
            <w:tcW w:w="1984" w:type="dxa"/>
            <w:vAlign w:val="center"/>
          </w:tcPr>
          <w:p w14:paraId="647B4304">
            <w:pPr>
              <w:jc w:val="center"/>
              <w:rPr>
                <w:rFonts w:hint="eastAsia" w:ascii="宋体" w:hAnsi="宋体" w:eastAsia="宋体" w:cs="宋体"/>
                <w:color w:val="000000" w:themeColor="text1"/>
                <w:szCs w:val="21"/>
              </w:rPr>
            </w:pPr>
          </w:p>
        </w:tc>
        <w:tc>
          <w:tcPr>
            <w:tcW w:w="1843" w:type="dxa"/>
            <w:vAlign w:val="center"/>
          </w:tcPr>
          <w:p w14:paraId="1C8657FD">
            <w:pPr>
              <w:jc w:val="center"/>
              <w:rPr>
                <w:rFonts w:hint="eastAsia" w:ascii="宋体" w:hAnsi="宋体" w:eastAsia="宋体" w:cs="宋体"/>
                <w:color w:val="000000" w:themeColor="text1"/>
                <w:szCs w:val="21"/>
              </w:rPr>
            </w:pPr>
          </w:p>
        </w:tc>
      </w:tr>
      <w:tr w14:paraId="7454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C98E330">
            <w:pPr>
              <w:jc w:val="center"/>
              <w:rPr>
                <w:rFonts w:hint="eastAsia" w:ascii="宋体" w:hAnsi="宋体" w:eastAsia="宋体" w:cs="宋体"/>
                <w:color w:val="000000" w:themeColor="text1"/>
                <w:szCs w:val="21"/>
              </w:rPr>
            </w:pPr>
          </w:p>
        </w:tc>
        <w:tc>
          <w:tcPr>
            <w:tcW w:w="1985" w:type="dxa"/>
            <w:vAlign w:val="center"/>
          </w:tcPr>
          <w:p w14:paraId="4D1F6AC4">
            <w:pPr>
              <w:rPr>
                <w:rFonts w:hint="eastAsia" w:ascii="宋体" w:hAnsi="宋体" w:eastAsia="宋体" w:cs="宋体"/>
                <w:color w:val="000000" w:themeColor="text1"/>
                <w:szCs w:val="21"/>
              </w:rPr>
            </w:pPr>
          </w:p>
        </w:tc>
        <w:tc>
          <w:tcPr>
            <w:tcW w:w="2126" w:type="dxa"/>
            <w:tcMar>
              <w:left w:w="170" w:type="dxa"/>
            </w:tcMar>
            <w:vAlign w:val="center"/>
          </w:tcPr>
          <w:p w14:paraId="48232DE5">
            <w:pPr>
              <w:jc w:val="center"/>
              <w:rPr>
                <w:rFonts w:hint="eastAsia" w:ascii="宋体" w:hAnsi="宋体" w:eastAsia="宋体" w:cs="宋体"/>
                <w:color w:val="000000" w:themeColor="text1"/>
              </w:rPr>
            </w:pPr>
          </w:p>
        </w:tc>
        <w:tc>
          <w:tcPr>
            <w:tcW w:w="1984" w:type="dxa"/>
            <w:vAlign w:val="center"/>
          </w:tcPr>
          <w:p w14:paraId="30E5B297">
            <w:pPr>
              <w:jc w:val="center"/>
              <w:rPr>
                <w:rFonts w:hint="eastAsia" w:ascii="宋体" w:hAnsi="宋体" w:eastAsia="宋体" w:cs="宋体"/>
                <w:color w:val="000000" w:themeColor="text1"/>
                <w:szCs w:val="21"/>
              </w:rPr>
            </w:pPr>
          </w:p>
        </w:tc>
        <w:tc>
          <w:tcPr>
            <w:tcW w:w="1843" w:type="dxa"/>
            <w:vAlign w:val="center"/>
          </w:tcPr>
          <w:p w14:paraId="2B72C4CF">
            <w:pPr>
              <w:jc w:val="center"/>
              <w:rPr>
                <w:rFonts w:hint="eastAsia" w:ascii="宋体" w:hAnsi="宋体" w:eastAsia="宋体" w:cs="宋体"/>
                <w:color w:val="000000" w:themeColor="text1"/>
                <w:szCs w:val="21"/>
              </w:rPr>
            </w:pPr>
          </w:p>
        </w:tc>
      </w:tr>
      <w:tr w14:paraId="0095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19CDF5F">
            <w:pPr>
              <w:jc w:val="center"/>
              <w:rPr>
                <w:rFonts w:hint="eastAsia" w:ascii="宋体" w:hAnsi="宋体" w:eastAsia="宋体" w:cs="宋体"/>
                <w:color w:val="000000" w:themeColor="text1"/>
                <w:szCs w:val="21"/>
              </w:rPr>
            </w:pPr>
          </w:p>
        </w:tc>
        <w:tc>
          <w:tcPr>
            <w:tcW w:w="1985" w:type="dxa"/>
            <w:vAlign w:val="center"/>
          </w:tcPr>
          <w:p w14:paraId="420D0135">
            <w:pPr>
              <w:jc w:val="center"/>
              <w:rPr>
                <w:rFonts w:hint="eastAsia" w:ascii="宋体" w:hAnsi="宋体" w:eastAsia="宋体" w:cs="宋体"/>
                <w:color w:val="000000" w:themeColor="text1"/>
                <w:szCs w:val="21"/>
              </w:rPr>
            </w:pPr>
          </w:p>
        </w:tc>
        <w:tc>
          <w:tcPr>
            <w:tcW w:w="2126" w:type="dxa"/>
            <w:tcMar>
              <w:left w:w="170" w:type="dxa"/>
            </w:tcMar>
            <w:vAlign w:val="center"/>
          </w:tcPr>
          <w:p w14:paraId="297E4125">
            <w:pPr>
              <w:rPr>
                <w:rFonts w:hint="eastAsia" w:ascii="宋体" w:hAnsi="宋体" w:eastAsia="宋体" w:cs="宋体"/>
                <w:color w:val="000000" w:themeColor="text1"/>
                <w:szCs w:val="21"/>
              </w:rPr>
            </w:pPr>
          </w:p>
        </w:tc>
        <w:tc>
          <w:tcPr>
            <w:tcW w:w="1984" w:type="dxa"/>
            <w:vAlign w:val="center"/>
          </w:tcPr>
          <w:p w14:paraId="355E2496">
            <w:pPr>
              <w:jc w:val="center"/>
              <w:rPr>
                <w:rFonts w:hint="eastAsia" w:ascii="宋体" w:hAnsi="宋体" w:eastAsia="宋体" w:cs="宋体"/>
                <w:color w:val="000000" w:themeColor="text1"/>
                <w:szCs w:val="21"/>
              </w:rPr>
            </w:pPr>
          </w:p>
        </w:tc>
        <w:tc>
          <w:tcPr>
            <w:tcW w:w="1843" w:type="dxa"/>
            <w:vAlign w:val="center"/>
          </w:tcPr>
          <w:p w14:paraId="1529AAD5">
            <w:pPr>
              <w:jc w:val="center"/>
              <w:rPr>
                <w:rFonts w:hint="eastAsia" w:ascii="宋体" w:hAnsi="宋体" w:eastAsia="宋体" w:cs="宋体"/>
                <w:color w:val="000000" w:themeColor="text1"/>
                <w:szCs w:val="21"/>
              </w:rPr>
            </w:pPr>
          </w:p>
        </w:tc>
      </w:tr>
      <w:tr w14:paraId="6BCB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119E3A4E">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备注：竞标人在响应竞争性谈判文件中规定的实质性要求和条件的基础上，可做出其他有利于采购人的承诺。此类承诺可在本表中予以补充填写。</w:t>
            </w:r>
          </w:p>
        </w:tc>
      </w:tr>
    </w:tbl>
    <w:p w14:paraId="7BB35029">
      <w:pPr>
        <w:spacing w:line="48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竞标人（盖单位章）：</w:t>
      </w:r>
    </w:p>
    <w:p w14:paraId="7747F612">
      <w:pPr>
        <w:spacing w:line="48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法人代表或委托代理人（签字或盖章）：</w:t>
      </w:r>
    </w:p>
    <w:p w14:paraId="308CF0CB">
      <w:pPr>
        <w:spacing w:line="48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日期：</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w:t>
      </w:r>
    </w:p>
    <w:p w14:paraId="058B453B">
      <w:pPr>
        <w:spacing w:line="480" w:lineRule="auto"/>
        <w:ind w:firstLine="525" w:firstLineChars="250"/>
        <w:rPr>
          <w:rFonts w:hint="eastAsia" w:ascii="宋体" w:hAnsi="宋体" w:eastAsia="宋体" w:cs="宋体"/>
          <w:color w:val="000000" w:themeColor="text1"/>
          <w:szCs w:val="21"/>
        </w:rPr>
      </w:pPr>
    </w:p>
    <w:p w14:paraId="7726A980">
      <w:pPr>
        <w:spacing w:line="360" w:lineRule="auto"/>
        <w:rPr>
          <w:rFonts w:hint="eastAsia" w:ascii="宋体" w:hAnsi="宋体" w:eastAsia="宋体" w:cs="宋体"/>
          <w:color w:val="000000" w:themeColor="text1"/>
          <w:sz w:val="24"/>
        </w:rPr>
        <w:sectPr>
          <w:pgSz w:w="11907" w:h="16840"/>
          <w:pgMar w:top="1440" w:right="1080" w:bottom="1440" w:left="1080" w:header="851" w:footer="851" w:gutter="0"/>
          <w:cols w:space="720" w:num="1"/>
          <w:docGrid w:linePitch="312" w:charSpace="0"/>
        </w:sectPr>
      </w:pPr>
    </w:p>
    <w:p w14:paraId="24C115CE">
      <w:pPr>
        <w:pStyle w:val="4"/>
        <w:jc w:val="center"/>
        <w:rPr>
          <w:rFonts w:hint="eastAsia" w:ascii="宋体" w:hAnsi="宋体" w:eastAsia="宋体" w:cs="宋体"/>
          <w:color w:val="000000" w:themeColor="text1"/>
          <w:sz w:val="28"/>
          <w:szCs w:val="28"/>
        </w:rPr>
      </w:pPr>
      <w:bookmarkStart w:id="1793" w:name="_Toc389065359"/>
      <w:bookmarkStart w:id="1794" w:name="_Toc494118874"/>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竞标报价表</w:t>
      </w:r>
    </w:p>
    <w:p w14:paraId="361400C7">
      <w:pPr>
        <w:spacing w:line="380" w:lineRule="exact"/>
        <w:rPr>
          <w:rFonts w:hint="eastAsia" w:ascii="宋体" w:hAnsi="宋体" w:eastAsia="宋体" w:cs="宋体"/>
          <w:color w:val="000000" w:themeColor="text1"/>
          <w:sz w:val="36"/>
          <w:szCs w:val="36"/>
        </w:rPr>
      </w:pPr>
      <w:r>
        <w:rPr>
          <w:rFonts w:hint="eastAsia" w:ascii="宋体" w:hAnsi="宋体" w:eastAsia="宋体" w:cs="宋体"/>
          <w:b/>
          <w:color w:val="000000" w:themeColor="text1"/>
          <w:sz w:val="36"/>
          <w:szCs w:val="36"/>
        </w:rPr>
        <w:t xml:space="preserve">             </w:t>
      </w:r>
    </w:p>
    <w:tbl>
      <w:tblPr>
        <w:tblStyle w:val="46"/>
        <w:tblpPr w:leftFromText="180" w:rightFromText="180" w:vertAnchor="text" w:horzAnchor="page" w:tblpX="1250"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837"/>
      </w:tblGrid>
      <w:tr w14:paraId="15AB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269" w:type="dxa"/>
            <w:tcBorders>
              <w:top w:val="single" w:color="auto" w:sz="4" w:space="0"/>
              <w:left w:val="single" w:color="auto" w:sz="4" w:space="0"/>
              <w:bottom w:val="single" w:color="auto" w:sz="4" w:space="0"/>
              <w:right w:val="single" w:color="auto" w:sz="4" w:space="0"/>
            </w:tcBorders>
            <w:vAlign w:val="center"/>
          </w:tcPr>
          <w:p w14:paraId="7C8BDCB1">
            <w:pPr>
              <w:spacing w:line="380" w:lineRule="exact"/>
              <w:ind w:firstLine="490"/>
              <w:rPr>
                <w:rFonts w:hint="eastAsia" w:ascii="宋体" w:hAnsi="宋体" w:eastAsia="宋体" w:cs="宋体"/>
                <w:color w:val="000000" w:themeColor="text1"/>
                <w:sz w:val="24"/>
              </w:rPr>
            </w:pPr>
            <w:r>
              <w:rPr>
                <w:rFonts w:hint="eastAsia" w:ascii="宋体" w:hAnsi="宋体" w:eastAsia="宋体" w:cs="宋体"/>
                <w:color w:val="000000" w:themeColor="text1"/>
                <w:sz w:val="24"/>
              </w:rPr>
              <w:t>项目名称</w:t>
            </w:r>
          </w:p>
        </w:tc>
        <w:tc>
          <w:tcPr>
            <w:tcW w:w="6837" w:type="dxa"/>
            <w:tcBorders>
              <w:top w:val="single" w:color="auto" w:sz="4" w:space="0"/>
              <w:left w:val="single" w:color="auto" w:sz="4" w:space="0"/>
              <w:bottom w:val="single" w:color="auto" w:sz="4" w:space="0"/>
              <w:right w:val="single" w:color="auto" w:sz="4" w:space="0"/>
            </w:tcBorders>
            <w:vAlign w:val="center"/>
          </w:tcPr>
          <w:p w14:paraId="1113C784">
            <w:pPr>
              <w:spacing w:line="380" w:lineRule="exact"/>
              <w:ind w:firstLine="49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w:t>
            </w:r>
          </w:p>
          <w:p w14:paraId="71AB6519">
            <w:pPr>
              <w:spacing w:line="380" w:lineRule="exact"/>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w:t>
            </w:r>
          </w:p>
        </w:tc>
      </w:tr>
      <w:tr w14:paraId="133F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2269" w:type="dxa"/>
            <w:tcBorders>
              <w:top w:val="single" w:color="auto" w:sz="4" w:space="0"/>
              <w:left w:val="single" w:color="auto" w:sz="4" w:space="0"/>
              <w:bottom w:val="single" w:color="auto" w:sz="4" w:space="0"/>
              <w:right w:val="single" w:color="auto" w:sz="4" w:space="0"/>
            </w:tcBorders>
            <w:vAlign w:val="center"/>
          </w:tcPr>
          <w:p w14:paraId="620A4F82">
            <w:pPr>
              <w:spacing w:line="380" w:lineRule="exact"/>
              <w:ind w:firstLine="490"/>
              <w:rPr>
                <w:rFonts w:hint="eastAsia" w:ascii="宋体" w:hAnsi="宋体" w:eastAsia="宋体" w:cs="宋体"/>
                <w:color w:val="000000" w:themeColor="text1"/>
                <w:sz w:val="24"/>
              </w:rPr>
            </w:pPr>
          </w:p>
          <w:p w14:paraId="72493D60">
            <w:pPr>
              <w:spacing w:line="380" w:lineRule="exact"/>
              <w:ind w:firstLine="490"/>
              <w:rPr>
                <w:rFonts w:hint="eastAsia" w:ascii="宋体" w:hAnsi="宋体" w:eastAsia="宋体" w:cs="宋体"/>
                <w:color w:val="000000" w:themeColor="text1"/>
                <w:sz w:val="24"/>
              </w:rPr>
            </w:pPr>
            <w:r>
              <w:rPr>
                <w:rFonts w:hint="eastAsia" w:ascii="宋体" w:hAnsi="宋体" w:eastAsia="宋体" w:cs="宋体"/>
                <w:color w:val="000000" w:themeColor="text1"/>
                <w:sz w:val="24"/>
              </w:rPr>
              <w:t>竞标报价</w:t>
            </w:r>
          </w:p>
        </w:tc>
        <w:tc>
          <w:tcPr>
            <w:tcW w:w="6837" w:type="dxa"/>
            <w:tcBorders>
              <w:top w:val="single" w:color="auto" w:sz="4" w:space="0"/>
              <w:left w:val="single" w:color="auto" w:sz="4" w:space="0"/>
              <w:bottom w:val="single" w:color="auto" w:sz="4" w:space="0"/>
              <w:right w:val="single" w:color="auto" w:sz="4" w:space="0"/>
            </w:tcBorders>
            <w:vAlign w:val="center"/>
          </w:tcPr>
          <w:p w14:paraId="0E2AEEFF">
            <w:pPr>
              <w:spacing w:line="380" w:lineRule="exact"/>
              <w:ind w:firstLine="490"/>
              <w:rPr>
                <w:rFonts w:hint="eastAsia" w:ascii="宋体" w:hAnsi="宋体" w:eastAsia="宋体" w:cs="宋体"/>
                <w:color w:val="000000" w:themeColor="text1"/>
                <w:sz w:val="24"/>
              </w:rPr>
            </w:pPr>
          </w:p>
          <w:p w14:paraId="5E9FD219">
            <w:pPr>
              <w:spacing w:line="380" w:lineRule="exact"/>
              <w:rPr>
                <w:rFonts w:hint="eastAsia" w:ascii="宋体" w:hAnsi="宋体" w:eastAsia="宋体" w:cs="宋体"/>
                <w:color w:val="000000" w:themeColor="text1"/>
                <w:sz w:val="24"/>
              </w:rPr>
            </w:pPr>
            <w:r>
              <w:rPr>
                <w:rFonts w:hint="eastAsia" w:ascii="宋体" w:hAnsi="宋体" w:eastAsia="宋体" w:cs="宋体"/>
                <w:color w:val="000000" w:themeColor="text1"/>
                <w:sz w:val="24"/>
              </w:rPr>
              <w:t>（大写）</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w:t>
            </w:r>
          </w:p>
          <w:p w14:paraId="40EC3B09">
            <w:pPr>
              <w:spacing w:line="380" w:lineRule="exact"/>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（RMB￥                元）</w:t>
            </w:r>
          </w:p>
          <w:p w14:paraId="58DE525B">
            <w:pPr>
              <w:spacing w:line="380" w:lineRule="exact"/>
              <w:ind w:firstLine="490"/>
              <w:rPr>
                <w:rFonts w:hint="eastAsia" w:ascii="宋体" w:hAnsi="宋体" w:eastAsia="宋体" w:cs="宋体"/>
                <w:color w:val="000000" w:themeColor="text1"/>
                <w:sz w:val="24"/>
              </w:rPr>
            </w:pPr>
          </w:p>
        </w:tc>
      </w:tr>
      <w:tr w14:paraId="5475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2269" w:type="dxa"/>
            <w:tcBorders>
              <w:top w:val="single" w:color="auto" w:sz="4" w:space="0"/>
              <w:left w:val="single" w:color="auto" w:sz="4" w:space="0"/>
              <w:bottom w:val="single" w:color="auto" w:sz="4" w:space="0"/>
              <w:right w:val="single" w:color="auto" w:sz="4" w:space="0"/>
            </w:tcBorders>
            <w:vAlign w:val="center"/>
          </w:tcPr>
          <w:p w14:paraId="67C001D6">
            <w:pPr>
              <w:spacing w:line="38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工期</w:t>
            </w:r>
          </w:p>
        </w:tc>
        <w:tc>
          <w:tcPr>
            <w:tcW w:w="6837" w:type="dxa"/>
            <w:tcBorders>
              <w:top w:val="single" w:color="auto" w:sz="4" w:space="0"/>
              <w:left w:val="single" w:color="auto" w:sz="4" w:space="0"/>
              <w:bottom w:val="single" w:color="auto" w:sz="4" w:space="0"/>
              <w:right w:val="single" w:color="auto" w:sz="4" w:space="0"/>
            </w:tcBorders>
            <w:vAlign w:val="center"/>
          </w:tcPr>
          <w:p w14:paraId="6D2A7685">
            <w:pPr>
              <w:spacing w:line="380" w:lineRule="exact"/>
              <w:ind w:firstLine="490"/>
              <w:rPr>
                <w:rFonts w:hint="eastAsia" w:ascii="宋体" w:hAnsi="宋体" w:eastAsia="宋体" w:cs="宋体"/>
                <w:color w:val="000000" w:themeColor="text1"/>
                <w:sz w:val="24"/>
              </w:rPr>
            </w:pPr>
          </w:p>
        </w:tc>
      </w:tr>
      <w:tr w14:paraId="2AA3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tcBorders>
              <w:top w:val="single" w:color="auto" w:sz="4" w:space="0"/>
              <w:left w:val="single" w:color="auto" w:sz="4" w:space="0"/>
              <w:bottom w:val="single" w:color="auto" w:sz="4" w:space="0"/>
              <w:right w:val="single" w:color="auto" w:sz="4" w:space="0"/>
            </w:tcBorders>
            <w:vAlign w:val="center"/>
          </w:tcPr>
          <w:p w14:paraId="109C2F2E">
            <w:pPr>
              <w:spacing w:line="380" w:lineRule="exact"/>
              <w:ind w:firstLine="490"/>
              <w:rPr>
                <w:rFonts w:hint="eastAsia" w:ascii="宋体" w:hAnsi="宋体" w:eastAsia="宋体" w:cs="宋体"/>
                <w:color w:val="000000" w:themeColor="text1"/>
                <w:sz w:val="24"/>
              </w:rPr>
            </w:pPr>
          </w:p>
          <w:p w14:paraId="5A44A433">
            <w:pPr>
              <w:spacing w:line="380" w:lineRule="exact"/>
              <w:ind w:firstLine="490"/>
              <w:rPr>
                <w:rFonts w:hint="eastAsia" w:ascii="宋体" w:hAnsi="宋体" w:eastAsia="宋体" w:cs="宋体"/>
                <w:color w:val="000000" w:themeColor="text1"/>
                <w:sz w:val="24"/>
              </w:rPr>
            </w:pPr>
          </w:p>
          <w:p w14:paraId="5605BD55">
            <w:pPr>
              <w:spacing w:line="380" w:lineRule="exact"/>
              <w:ind w:firstLine="49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说明： </w:t>
            </w:r>
          </w:p>
          <w:p w14:paraId="142BAA0E">
            <w:pPr>
              <w:spacing w:line="380" w:lineRule="exact"/>
              <w:ind w:firstLine="490"/>
              <w:rPr>
                <w:rFonts w:hint="eastAsia" w:ascii="宋体" w:hAnsi="宋体" w:eastAsia="宋体" w:cs="宋体"/>
                <w:color w:val="000000" w:themeColor="text1"/>
                <w:sz w:val="24"/>
              </w:rPr>
            </w:pPr>
          </w:p>
          <w:p w14:paraId="648E23F9">
            <w:pPr>
              <w:spacing w:line="380" w:lineRule="exact"/>
              <w:ind w:firstLine="490"/>
              <w:rPr>
                <w:rFonts w:hint="eastAsia" w:ascii="宋体" w:hAnsi="宋体" w:eastAsia="宋体" w:cs="宋体"/>
                <w:color w:val="000000" w:themeColor="text1"/>
                <w:sz w:val="24"/>
              </w:rPr>
            </w:pPr>
          </w:p>
        </w:tc>
        <w:tc>
          <w:tcPr>
            <w:tcW w:w="6837" w:type="dxa"/>
            <w:tcBorders>
              <w:top w:val="single" w:color="auto" w:sz="4" w:space="0"/>
              <w:left w:val="single" w:color="auto" w:sz="4" w:space="0"/>
              <w:bottom w:val="single" w:color="auto" w:sz="4" w:space="0"/>
              <w:right w:val="single" w:color="auto" w:sz="4" w:space="0"/>
            </w:tcBorders>
            <w:vAlign w:val="center"/>
          </w:tcPr>
          <w:p w14:paraId="56069D01">
            <w:pPr>
              <w:spacing w:line="380" w:lineRule="exact"/>
              <w:ind w:firstLine="490"/>
              <w:rPr>
                <w:rFonts w:hint="eastAsia" w:ascii="宋体" w:hAnsi="宋体" w:eastAsia="宋体" w:cs="宋体"/>
                <w:color w:val="000000" w:themeColor="text1"/>
                <w:sz w:val="24"/>
              </w:rPr>
            </w:pPr>
            <w:r>
              <w:rPr>
                <w:rFonts w:hint="eastAsia" w:ascii="宋体" w:hAnsi="宋体" w:eastAsia="宋体" w:cs="宋体"/>
                <w:color w:val="000000" w:themeColor="text1"/>
                <w:sz w:val="24"/>
              </w:rPr>
              <w:t>投标报价应包括本次招标范围内劳务、管理、材料、维护、保险、利润、税金、政策性文件规定及合同包含的所有风险、责任等各项应有费用。合同单价包干,在合同实施期间不因市场变化因素而变动。</w:t>
            </w:r>
          </w:p>
        </w:tc>
      </w:tr>
    </w:tbl>
    <w:p w14:paraId="19AA4413">
      <w:pPr>
        <w:spacing w:line="380" w:lineRule="exact"/>
        <w:ind w:firstLine="490"/>
        <w:rPr>
          <w:rFonts w:hint="eastAsia" w:ascii="宋体" w:hAnsi="宋体" w:eastAsia="宋体" w:cs="宋体"/>
          <w:color w:val="000000" w:themeColor="text1"/>
          <w:sz w:val="24"/>
        </w:rPr>
      </w:pPr>
    </w:p>
    <w:p w14:paraId="2C0024E4">
      <w:pPr>
        <w:spacing w:line="380" w:lineRule="exact"/>
        <w:ind w:firstLine="490"/>
        <w:rPr>
          <w:rFonts w:hint="eastAsia" w:ascii="宋体" w:hAnsi="宋体" w:eastAsia="宋体" w:cs="宋体"/>
          <w:color w:val="000000" w:themeColor="text1"/>
          <w:sz w:val="24"/>
        </w:rPr>
      </w:pPr>
    </w:p>
    <w:p w14:paraId="4E347F88">
      <w:pPr>
        <w:spacing w:line="380" w:lineRule="exact"/>
        <w:ind w:firstLine="490"/>
        <w:rPr>
          <w:rFonts w:hint="eastAsia" w:ascii="宋体" w:hAnsi="宋体" w:eastAsia="宋体" w:cs="宋体"/>
          <w:color w:val="000000" w:themeColor="text1"/>
          <w:sz w:val="24"/>
        </w:rPr>
      </w:pPr>
    </w:p>
    <w:p w14:paraId="0E7504ED">
      <w:pPr>
        <w:spacing w:line="380" w:lineRule="exact"/>
        <w:ind w:firstLine="490"/>
        <w:rPr>
          <w:rFonts w:hint="eastAsia" w:ascii="宋体" w:hAnsi="宋体" w:eastAsia="宋体" w:cs="宋体"/>
          <w:color w:val="000000" w:themeColor="text1"/>
          <w:sz w:val="24"/>
        </w:rPr>
      </w:pPr>
    </w:p>
    <w:p w14:paraId="72E7A3EA">
      <w:pPr>
        <w:spacing w:line="380" w:lineRule="exact"/>
        <w:ind w:firstLine="490"/>
        <w:rPr>
          <w:rFonts w:hint="eastAsia" w:ascii="宋体" w:hAnsi="宋体" w:eastAsia="宋体" w:cs="宋体"/>
          <w:color w:val="000000" w:themeColor="text1"/>
          <w:sz w:val="24"/>
        </w:rPr>
      </w:pPr>
    </w:p>
    <w:p w14:paraId="568E1347">
      <w:pPr>
        <w:spacing w:line="380" w:lineRule="exact"/>
        <w:ind w:firstLine="490"/>
        <w:rPr>
          <w:rFonts w:hint="eastAsia" w:ascii="宋体" w:hAnsi="宋体" w:eastAsia="宋体" w:cs="宋体"/>
          <w:color w:val="000000" w:themeColor="text1"/>
          <w:sz w:val="24"/>
        </w:rPr>
      </w:pPr>
    </w:p>
    <w:p w14:paraId="16486511">
      <w:pPr>
        <w:spacing w:line="380" w:lineRule="exact"/>
        <w:ind w:firstLine="490"/>
        <w:rPr>
          <w:rFonts w:hint="eastAsia" w:ascii="宋体" w:hAnsi="宋体" w:eastAsia="宋体" w:cs="宋体"/>
          <w:color w:val="000000" w:themeColor="text1"/>
          <w:sz w:val="24"/>
        </w:rPr>
      </w:pPr>
    </w:p>
    <w:p w14:paraId="1DCA7889">
      <w:pPr>
        <w:spacing w:line="380" w:lineRule="exact"/>
        <w:ind w:firstLine="490"/>
        <w:rPr>
          <w:rFonts w:hint="eastAsia" w:ascii="宋体" w:hAnsi="宋体" w:eastAsia="宋体" w:cs="宋体"/>
          <w:color w:val="000000" w:themeColor="text1"/>
          <w:sz w:val="24"/>
        </w:rPr>
      </w:pPr>
    </w:p>
    <w:p w14:paraId="48210430">
      <w:pPr>
        <w:spacing w:line="380" w:lineRule="exact"/>
        <w:ind w:firstLine="490"/>
        <w:rPr>
          <w:rFonts w:hint="eastAsia" w:ascii="宋体" w:hAnsi="宋体" w:eastAsia="宋体" w:cs="宋体"/>
          <w:color w:val="000000" w:themeColor="text1"/>
          <w:sz w:val="24"/>
        </w:rPr>
      </w:pPr>
    </w:p>
    <w:p w14:paraId="0E664BA3">
      <w:pPr>
        <w:spacing w:line="380" w:lineRule="exact"/>
        <w:ind w:firstLine="490"/>
        <w:rPr>
          <w:rFonts w:hint="eastAsia" w:ascii="宋体" w:hAnsi="宋体" w:eastAsia="宋体" w:cs="宋体"/>
          <w:color w:val="000000" w:themeColor="text1"/>
          <w:sz w:val="24"/>
        </w:rPr>
      </w:pPr>
    </w:p>
    <w:p w14:paraId="4AF7EE35">
      <w:pPr>
        <w:spacing w:line="380" w:lineRule="exact"/>
        <w:ind w:firstLine="490"/>
        <w:rPr>
          <w:rFonts w:hint="eastAsia" w:ascii="宋体" w:hAnsi="宋体" w:eastAsia="宋体" w:cs="宋体"/>
          <w:color w:val="000000" w:themeColor="text1"/>
          <w:sz w:val="24"/>
        </w:rPr>
      </w:pPr>
    </w:p>
    <w:p w14:paraId="10B22AA2">
      <w:pPr>
        <w:spacing w:line="380" w:lineRule="exact"/>
        <w:ind w:firstLine="490"/>
        <w:rPr>
          <w:rFonts w:hint="eastAsia" w:ascii="宋体" w:hAnsi="宋体" w:eastAsia="宋体" w:cs="宋体"/>
          <w:color w:val="000000" w:themeColor="text1"/>
          <w:sz w:val="24"/>
        </w:rPr>
      </w:pPr>
    </w:p>
    <w:p w14:paraId="4850F907">
      <w:pPr>
        <w:spacing w:line="380" w:lineRule="exact"/>
        <w:ind w:firstLine="490"/>
        <w:rPr>
          <w:rFonts w:hint="eastAsia" w:ascii="宋体" w:hAnsi="宋体" w:eastAsia="宋体" w:cs="宋体"/>
          <w:color w:val="000000" w:themeColor="text1"/>
          <w:sz w:val="24"/>
        </w:rPr>
      </w:pPr>
    </w:p>
    <w:p w14:paraId="2051857D">
      <w:pPr>
        <w:spacing w:line="380" w:lineRule="exact"/>
        <w:ind w:firstLine="490"/>
        <w:rPr>
          <w:rFonts w:hint="eastAsia" w:ascii="宋体" w:hAnsi="宋体" w:eastAsia="宋体" w:cs="宋体"/>
          <w:color w:val="000000" w:themeColor="text1"/>
          <w:sz w:val="24"/>
        </w:rPr>
      </w:pPr>
    </w:p>
    <w:p w14:paraId="739F1F1F">
      <w:pPr>
        <w:spacing w:line="380" w:lineRule="exact"/>
        <w:ind w:firstLine="490"/>
        <w:rPr>
          <w:rFonts w:hint="eastAsia" w:ascii="宋体" w:hAnsi="宋体" w:eastAsia="宋体" w:cs="宋体"/>
          <w:color w:val="000000" w:themeColor="text1"/>
          <w:sz w:val="24"/>
        </w:rPr>
      </w:pPr>
    </w:p>
    <w:p w14:paraId="4E399C76">
      <w:pPr>
        <w:spacing w:line="380" w:lineRule="exact"/>
        <w:ind w:firstLine="490"/>
        <w:rPr>
          <w:rFonts w:hint="eastAsia" w:ascii="宋体" w:hAnsi="宋体" w:eastAsia="宋体" w:cs="宋体"/>
          <w:color w:val="000000" w:themeColor="text1"/>
          <w:sz w:val="24"/>
        </w:rPr>
      </w:pPr>
    </w:p>
    <w:p w14:paraId="5CA5E5FF">
      <w:pPr>
        <w:spacing w:line="380" w:lineRule="exact"/>
        <w:ind w:firstLine="490"/>
        <w:rPr>
          <w:rFonts w:hint="eastAsia" w:ascii="宋体" w:hAnsi="宋体" w:eastAsia="宋体" w:cs="宋体"/>
          <w:color w:val="000000" w:themeColor="text1"/>
          <w:sz w:val="24"/>
        </w:rPr>
      </w:pPr>
      <w:r>
        <w:rPr>
          <w:rFonts w:hint="eastAsia" w:ascii="宋体" w:hAnsi="宋体" w:eastAsia="宋体" w:cs="宋体"/>
          <w:color w:val="000000" w:themeColor="text1"/>
          <w:sz w:val="24"/>
        </w:rPr>
        <w:t>注：表中位置不够可以另附页。</w:t>
      </w:r>
    </w:p>
    <w:p w14:paraId="626FD377">
      <w:pPr>
        <w:widowControl/>
        <w:adjustRightInd w:val="0"/>
        <w:snapToGrid w:val="0"/>
        <w:spacing w:line="360" w:lineRule="auto"/>
        <w:ind w:firstLine="420"/>
        <w:rPr>
          <w:rFonts w:hint="eastAsia" w:ascii="宋体" w:hAnsi="宋体" w:eastAsia="宋体" w:cs="宋体"/>
          <w:bCs/>
          <w:color w:val="000000" w:themeColor="text1"/>
          <w:szCs w:val="21"/>
        </w:rPr>
      </w:pPr>
    </w:p>
    <w:p w14:paraId="3FF824C6">
      <w:pPr>
        <w:widowControl/>
        <w:spacing w:line="360" w:lineRule="auto"/>
        <w:rPr>
          <w:rFonts w:hint="eastAsia" w:ascii="宋体" w:hAnsi="宋体" w:eastAsia="宋体" w:cs="宋体"/>
          <w:bCs/>
          <w:color w:val="000000" w:themeColor="text1"/>
          <w:szCs w:val="21"/>
          <w:u w:val="single"/>
        </w:rPr>
      </w:pPr>
    </w:p>
    <w:p w14:paraId="637FBCEE">
      <w:pPr>
        <w:adjustRightInd w:val="0"/>
        <w:snapToGrid w:val="0"/>
        <w:spacing w:line="480" w:lineRule="auto"/>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法定代表人或法定代表人委托授权人签字：</w:t>
      </w:r>
      <w:r>
        <w:rPr>
          <w:rFonts w:hint="eastAsia" w:ascii="宋体" w:hAnsi="宋体" w:eastAsia="宋体" w:cs="宋体"/>
          <w:color w:val="000000" w:themeColor="text1"/>
          <w:szCs w:val="21"/>
          <w:u w:val="single"/>
        </w:rPr>
        <w:t xml:space="preserve">                         </w:t>
      </w:r>
    </w:p>
    <w:p w14:paraId="0DB5E6CB">
      <w:pPr>
        <w:adjustRightInd w:val="0"/>
        <w:snapToGrid w:val="0"/>
        <w:spacing w:line="480" w:lineRule="auto"/>
        <w:jc w:val="right"/>
        <w:rPr>
          <w:rFonts w:hint="eastAsia" w:ascii="宋体" w:hAnsi="宋体" w:eastAsia="宋体" w:cs="宋体"/>
          <w:color w:val="000000" w:themeColor="text1"/>
          <w:szCs w:val="21"/>
        </w:rPr>
      </w:pPr>
      <w:r>
        <w:rPr>
          <w:rFonts w:hint="eastAsia" w:ascii="宋体" w:hAnsi="宋体" w:eastAsia="宋体" w:cs="宋体"/>
          <w:color w:val="000000" w:themeColor="text1"/>
          <w:szCs w:val="21"/>
        </w:rPr>
        <w:t>竞标人名称：</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（盖章）</w:t>
      </w:r>
    </w:p>
    <w:p w14:paraId="6DC96209">
      <w:pPr>
        <w:adjustRightInd w:val="0"/>
        <w:snapToGrid w:val="0"/>
        <w:spacing w:line="480" w:lineRule="auto"/>
        <w:jc w:val="right"/>
        <w:rPr>
          <w:rFonts w:hint="eastAsia" w:ascii="宋体" w:hAnsi="宋体" w:eastAsia="宋体" w:cs="宋体"/>
          <w:color w:val="000000" w:themeColor="text1"/>
          <w:szCs w:val="21"/>
        </w:rPr>
      </w:pPr>
      <w:r>
        <w:rPr>
          <w:rFonts w:hint="eastAsia" w:ascii="宋体" w:hAnsi="宋体" w:eastAsia="宋体" w:cs="宋体"/>
          <w:color w:val="000000" w:themeColor="text1"/>
          <w:szCs w:val="21"/>
        </w:rPr>
        <w:t>日      期：</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年</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u w:val="single"/>
        </w:rPr>
        <w:t xml:space="preserve">      </w:t>
      </w:r>
      <w:r>
        <w:rPr>
          <w:rFonts w:hint="eastAsia" w:ascii="宋体" w:hAnsi="宋体" w:eastAsia="宋体" w:cs="宋体"/>
          <w:color w:val="000000" w:themeColor="text1"/>
          <w:szCs w:val="21"/>
        </w:rPr>
        <w:t>日</w:t>
      </w:r>
    </w:p>
    <w:p w14:paraId="0A0D5AFA">
      <w:pPr>
        <w:pStyle w:val="190"/>
        <w:ind w:firstLine="422"/>
        <w:jc w:val="center"/>
        <w:outlineLvl w:val="0"/>
        <w:rPr>
          <w:rFonts w:hint="eastAsia" w:ascii="宋体" w:hAnsi="宋体" w:eastAsia="宋体" w:cs="宋体"/>
          <w:b/>
          <w:color w:val="000000" w:themeColor="text1"/>
          <w:sz w:val="24"/>
        </w:rPr>
      </w:pPr>
    </w:p>
    <w:p w14:paraId="02988D02">
      <w:pPr>
        <w:pStyle w:val="190"/>
        <w:ind w:firstLine="422"/>
        <w:jc w:val="center"/>
        <w:outlineLvl w:val="0"/>
        <w:rPr>
          <w:rFonts w:hint="eastAsia" w:ascii="宋体" w:hAnsi="宋体" w:eastAsia="宋体" w:cs="宋体"/>
          <w:b/>
          <w:color w:val="000000" w:themeColor="text1"/>
          <w:sz w:val="24"/>
        </w:rPr>
      </w:pPr>
    </w:p>
    <w:p w14:paraId="50EE171D">
      <w:pPr>
        <w:pStyle w:val="190"/>
        <w:ind w:firstLine="422"/>
        <w:jc w:val="center"/>
        <w:outlineLvl w:val="0"/>
        <w:rPr>
          <w:rFonts w:hint="eastAsia" w:ascii="宋体" w:hAnsi="宋体" w:eastAsia="宋体" w:cs="宋体"/>
          <w:b/>
          <w:color w:val="000000" w:themeColor="text1"/>
          <w:sz w:val="24"/>
        </w:rPr>
      </w:pPr>
    </w:p>
    <w:p w14:paraId="151ADF55">
      <w:pPr>
        <w:pStyle w:val="190"/>
        <w:ind w:firstLine="422"/>
        <w:jc w:val="center"/>
        <w:outlineLvl w:val="0"/>
        <w:rPr>
          <w:rFonts w:hint="eastAsia" w:ascii="宋体" w:hAnsi="宋体" w:eastAsia="宋体" w:cs="宋体"/>
          <w:b/>
          <w:color w:val="000000" w:themeColor="text1"/>
          <w:sz w:val="24"/>
        </w:rPr>
      </w:pPr>
    </w:p>
    <w:p w14:paraId="591D54C1">
      <w:pPr>
        <w:pStyle w:val="190"/>
        <w:ind w:firstLine="422"/>
        <w:jc w:val="center"/>
        <w:outlineLvl w:val="0"/>
        <w:rPr>
          <w:rFonts w:hint="eastAsia" w:ascii="宋体" w:hAnsi="宋体" w:eastAsia="宋体" w:cs="宋体"/>
          <w:b/>
          <w:color w:val="000000" w:themeColor="text1"/>
          <w:sz w:val="24"/>
        </w:rPr>
      </w:pPr>
    </w:p>
    <w:p w14:paraId="51EAEA4E">
      <w:pPr>
        <w:pStyle w:val="190"/>
        <w:ind w:firstLine="422"/>
        <w:jc w:val="center"/>
        <w:outlineLvl w:val="0"/>
        <w:rPr>
          <w:rFonts w:hint="eastAsia" w:ascii="宋体" w:hAnsi="宋体" w:eastAsia="宋体" w:cs="宋体"/>
          <w:b/>
          <w:color w:val="000000" w:themeColor="text1"/>
          <w:sz w:val="24"/>
        </w:rPr>
      </w:pPr>
    </w:p>
    <w:p w14:paraId="544011B5">
      <w:pPr>
        <w:pStyle w:val="190"/>
        <w:ind w:firstLine="422"/>
        <w:jc w:val="center"/>
        <w:outlineLvl w:val="0"/>
        <w:rPr>
          <w:rFonts w:hint="eastAsia" w:ascii="宋体" w:hAnsi="宋体" w:eastAsia="宋体" w:cs="宋体"/>
          <w:b/>
          <w:color w:val="000000" w:themeColor="text1"/>
          <w:sz w:val="24"/>
        </w:rPr>
      </w:pPr>
    </w:p>
    <w:p w14:paraId="2854257F">
      <w:pPr>
        <w:pStyle w:val="190"/>
        <w:ind w:firstLine="422"/>
        <w:jc w:val="center"/>
        <w:outlineLvl w:val="0"/>
        <w:rPr>
          <w:rFonts w:hint="eastAsia" w:ascii="宋体" w:hAnsi="宋体" w:eastAsia="宋体" w:cs="宋体"/>
          <w:b/>
          <w:color w:val="000000" w:themeColor="text1"/>
          <w:sz w:val="24"/>
        </w:rPr>
      </w:pPr>
    </w:p>
    <w:p w14:paraId="3407EFDE">
      <w:pPr>
        <w:pStyle w:val="190"/>
        <w:ind w:firstLine="422"/>
        <w:jc w:val="center"/>
        <w:outlineLvl w:val="0"/>
        <w:rPr>
          <w:rFonts w:hint="eastAsia" w:ascii="宋体" w:hAnsi="宋体" w:eastAsia="宋体" w:cs="宋体"/>
          <w:b/>
          <w:color w:val="000000" w:themeColor="text1"/>
          <w:sz w:val="24"/>
        </w:rPr>
      </w:pPr>
    </w:p>
    <w:p w14:paraId="490ECADA">
      <w:pPr>
        <w:pStyle w:val="190"/>
        <w:ind w:firstLine="422"/>
        <w:jc w:val="center"/>
        <w:outlineLvl w:val="0"/>
        <w:rPr>
          <w:rFonts w:hint="eastAsia" w:ascii="宋体" w:hAnsi="宋体" w:eastAsia="宋体" w:cs="宋体"/>
          <w:b/>
          <w:color w:val="000000" w:themeColor="text1"/>
          <w:sz w:val="24"/>
        </w:rPr>
      </w:pPr>
    </w:p>
    <w:p w14:paraId="5821EFB7">
      <w:pPr>
        <w:pStyle w:val="190"/>
        <w:ind w:firstLine="422"/>
        <w:jc w:val="center"/>
        <w:outlineLvl w:val="0"/>
        <w:rPr>
          <w:rFonts w:hint="eastAsia" w:ascii="宋体" w:hAnsi="宋体" w:eastAsia="宋体" w:cs="宋体"/>
          <w:b/>
          <w:color w:val="000000" w:themeColor="text1"/>
          <w:sz w:val="24"/>
        </w:rPr>
      </w:pPr>
    </w:p>
    <w:bookmarkEnd w:id="1793"/>
    <w:bookmarkEnd w:id="1794"/>
    <w:p w14:paraId="29B0917B">
      <w:pPr>
        <w:pStyle w:val="159"/>
        <w:ind w:firstLine="422"/>
        <w:jc w:val="center"/>
        <w:outlineLvl w:val="0"/>
        <w:rPr>
          <w:rFonts w:hint="eastAsia" w:ascii="宋体" w:hAnsi="宋体" w:eastAsia="宋体" w:cs="宋体"/>
          <w:b/>
          <w:color w:val="000000" w:themeColor="text1"/>
          <w:sz w:val="24"/>
        </w:rPr>
        <w:sectPr>
          <w:pgSz w:w="11907" w:h="16840"/>
          <w:pgMar w:top="1440" w:right="1080" w:bottom="1440" w:left="1080" w:header="851" w:footer="851" w:gutter="0"/>
          <w:cols w:space="720" w:num="1"/>
          <w:docGrid w:linePitch="312" w:charSpace="0"/>
        </w:sectPr>
      </w:pPr>
      <w:bookmarkStart w:id="1795" w:name="_Toc26774"/>
      <w:bookmarkStart w:id="1796" w:name="_Toc20320"/>
    </w:p>
    <w:p w14:paraId="5228A952">
      <w:pPr>
        <w:pStyle w:val="159"/>
        <w:ind w:firstLine="422"/>
        <w:jc w:val="center"/>
        <w:outlineLvl w:val="0"/>
        <w:rPr>
          <w:rFonts w:hint="eastAsia" w:ascii="宋体" w:hAnsi="宋体" w:eastAsia="宋体" w:cs="宋体"/>
          <w:b/>
          <w:color w:val="000000" w:themeColor="text1"/>
          <w:sz w:val="28"/>
          <w:szCs w:val="28"/>
        </w:rPr>
      </w:pPr>
      <w:bookmarkStart w:id="1797" w:name="_Toc11713"/>
      <w:r>
        <w:rPr>
          <w:rFonts w:hint="eastAsia" w:ascii="宋体" w:hAnsi="宋体" w:eastAsia="宋体" w:cs="宋体"/>
          <w:b/>
          <w:color w:val="000000" w:themeColor="text1"/>
          <w:sz w:val="28"/>
          <w:szCs w:val="28"/>
          <w:lang w:val="en-US" w:eastAsia="zh-CN"/>
        </w:rPr>
        <w:t>4</w:t>
      </w:r>
      <w:r>
        <w:rPr>
          <w:rFonts w:hint="eastAsia" w:ascii="宋体" w:hAnsi="宋体" w:eastAsia="宋体" w:cs="宋体"/>
          <w:b/>
          <w:color w:val="000000" w:themeColor="text1"/>
          <w:sz w:val="28"/>
          <w:szCs w:val="28"/>
        </w:rPr>
        <w:t>、已标价工程量清单</w:t>
      </w:r>
      <w:bookmarkEnd w:id="1795"/>
      <w:bookmarkEnd w:id="1796"/>
      <w:bookmarkEnd w:id="1797"/>
    </w:p>
    <w:p w14:paraId="341E04C7">
      <w:pPr>
        <w:tabs>
          <w:tab w:val="left" w:pos="826"/>
        </w:tabs>
        <w:snapToGrid w:val="0"/>
        <w:ind w:firstLine="482" w:firstLineChars="200"/>
        <w:rPr>
          <w:rFonts w:hint="eastAsia" w:ascii="宋体" w:hAnsi="宋体" w:eastAsia="宋体" w:cs="宋体"/>
          <w:b/>
          <w:color w:val="000000" w:themeColor="text1"/>
          <w:sz w:val="24"/>
          <w:lang w:eastAsia="zh-CN"/>
        </w:rPr>
      </w:pPr>
    </w:p>
    <w:p w14:paraId="2E80C541">
      <w:pPr>
        <w:tabs>
          <w:tab w:val="left" w:pos="826"/>
        </w:tabs>
        <w:snapToGrid w:val="0"/>
        <w:ind w:firstLine="482" w:firstLineChars="200"/>
        <w:rPr>
          <w:rFonts w:hint="eastAsia" w:ascii="宋体" w:hAnsi="宋体" w:eastAsia="宋体" w:cs="宋体"/>
          <w:b/>
          <w:color w:val="000000" w:themeColor="text1"/>
          <w:sz w:val="24"/>
          <w:lang w:eastAsia="zh-CN"/>
        </w:rPr>
      </w:pPr>
    </w:p>
    <w:p w14:paraId="36E04F37">
      <w:pPr>
        <w:tabs>
          <w:tab w:val="left" w:pos="826"/>
        </w:tabs>
        <w:snapToGrid w:val="0"/>
        <w:rPr>
          <w:rFonts w:hint="eastAsia" w:ascii="宋体" w:hAnsi="宋体" w:eastAsia="宋体" w:cs="宋体"/>
          <w:b/>
          <w:color w:val="000000" w:themeColor="text1"/>
          <w:sz w:val="24"/>
          <w:lang w:eastAsia="zh-CN"/>
        </w:rPr>
      </w:pPr>
    </w:p>
    <w:p w14:paraId="67AD3584">
      <w:pPr>
        <w:spacing w:line="380" w:lineRule="exact"/>
        <w:rPr>
          <w:rFonts w:hint="eastAsia" w:ascii="宋体" w:hAnsi="宋体" w:eastAsia="宋体" w:cs="宋体"/>
          <w:b/>
          <w:bCs/>
          <w:color w:val="000000" w:themeColor="text1"/>
          <w:sz w:val="32"/>
          <w:szCs w:val="32"/>
          <w:lang w:val="en-US" w:eastAsia="zh-CN"/>
        </w:rPr>
      </w:pPr>
    </w:p>
    <w:p w14:paraId="73801211">
      <w:pPr>
        <w:spacing w:line="380" w:lineRule="exact"/>
        <w:rPr>
          <w:rFonts w:hint="eastAsia" w:ascii="宋体" w:hAnsi="宋体" w:eastAsia="宋体" w:cs="宋体"/>
          <w:b/>
          <w:bCs/>
          <w:color w:val="000000" w:themeColor="text1"/>
          <w:sz w:val="32"/>
          <w:szCs w:val="32"/>
          <w:lang w:val="en-US" w:eastAsia="zh-CN"/>
        </w:rPr>
      </w:pPr>
    </w:p>
    <w:p w14:paraId="3C9D2B76">
      <w:pPr>
        <w:spacing w:line="380" w:lineRule="exact"/>
        <w:rPr>
          <w:rFonts w:hint="eastAsia" w:ascii="宋体" w:hAnsi="宋体" w:eastAsia="宋体" w:cs="宋体"/>
          <w:b/>
          <w:bCs/>
          <w:color w:val="000000" w:themeColor="text1"/>
          <w:sz w:val="32"/>
          <w:szCs w:val="32"/>
          <w:lang w:val="en-US" w:eastAsia="zh-CN"/>
        </w:rPr>
      </w:pPr>
    </w:p>
    <w:p w14:paraId="23EAA927">
      <w:pPr>
        <w:spacing w:line="380" w:lineRule="exact"/>
        <w:rPr>
          <w:rFonts w:hint="eastAsia" w:ascii="宋体" w:hAnsi="宋体" w:eastAsia="宋体" w:cs="宋体"/>
          <w:b/>
          <w:bCs/>
          <w:color w:val="000000" w:themeColor="text1"/>
          <w:sz w:val="32"/>
          <w:szCs w:val="32"/>
          <w:lang w:val="en-US" w:eastAsia="zh-CN"/>
        </w:rPr>
      </w:pPr>
    </w:p>
    <w:p w14:paraId="631E9D32">
      <w:pPr>
        <w:spacing w:line="380" w:lineRule="exact"/>
        <w:rPr>
          <w:rFonts w:hint="eastAsia" w:ascii="宋体" w:hAnsi="宋体" w:eastAsia="宋体" w:cs="宋体"/>
          <w:b/>
          <w:bCs/>
          <w:color w:val="000000" w:themeColor="text1"/>
          <w:sz w:val="32"/>
          <w:szCs w:val="32"/>
          <w:lang w:val="en-US" w:eastAsia="zh-CN"/>
        </w:rPr>
      </w:pPr>
    </w:p>
    <w:p w14:paraId="18F1DC25">
      <w:pPr>
        <w:spacing w:line="380" w:lineRule="exact"/>
        <w:rPr>
          <w:rFonts w:hint="eastAsia" w:ascii="宋体" w:hAnsi="宋体" w:eastAsia="宋体" w:cs="宋体"/>
          <w:b/>
          <w:bCs/>
          <w:color w:val="000000" w:themeColor="text1"/>
          <w:sz w:val="32"/>
          <w:szCs w:val="32"/>
          <w:lang w:val="en-US" w:eastAsia="zh-CN"/>
        </w:rPr>
      </w:pPr>
    </w:p>
    <w:p w14:paraId="7B4919F7">
      <w:pPr>
        <w:spacing w:line="380" w:lineRule="exact"/>
        <w:rPr>
          <w:rFonts w:hint="eastAsia" w:ascii="宋体" w:hAnsi="宋体" w:eastAsia="宋体" w:cs="宋体"/>
          <w:b/>
          <w:bCs/>
          <w:color w:val="000000" w:themeColor="text1"/>
          <w:sz w:val="32"/>
          <w:szCs w:val="32"/>
          <w:lang w:val="en-US" w:eastAsia="zh-CN"/>
        </w:rPr>
      </w:pPr>
    </w:p>
    <w:p w14:paraId="2E61C9F4">
      <w:pPr>
        <w:spacing w:line="380" w:lineRule="exact"/>
        <w:rPr>
          <w:rFonts w:hint="eastAsia" w:ascii="宋体" w:hAnsi="宋体" w:eastAsia="宋体" w:cs="宋体"/>
          <w:b/>
          <w:bCs/>
          <w:color w:val="000000" w:themeColor="text1"/>
          <w:sz w:val="32"/>
          <w:szCs w:val="32"/>
          <w:lang w:val="en-US" w:eastAsia="zh-CN"/>
        </w:rPr>
      </w:pPr>
    </w:p>
    <w:p w14:paraId="26809DFB">
      <w:pPr>
        <w:spacing w:line="380" w:lineRule="exact"/>
        <w:rPr>
          <w:rFonts w:hint="eastAsia" w:ascii="宋体" w:hAnsi="宋体" w:eastAsia="宋体" w:cs="宋体"/>
          <w:b/>
          <w:bCs/>
          <w:color w:val="000000" w:themeColor="text1"/>
          <w:sz w:val="32"/>
          <w:szCs w:val="32"/>
          <w:lang w:val="en-US" w:eastAsia="zh-CN"/>
        </w:rPr>
      </w:pPr>
    </w:p>
    <w:p w14:paraId="6601D204">
      <w:pPr>
        <w:spacing w:line="380" w:lineRule="exact"/>
        <w:rPr>
          <w:rFonts w:hint="eastAsia" w:ascii="宋体" w:hAnsi="宋体" w:eastAsia="宋体" w:cs="宋体"/>
          <w:b/>
          <w:bCs/>
          <w:color w:val="000000" w:themeColor="text1"/>
          <w:sz w:val="32"/>
          <w:szCs w:val="32"/>
          <w:lang w:val="en-US" w:eastAsia="zh-CN"/>
        </w:rPr>
      </w:pPr>
    </w:p>
    <w:p w14:paraId="267A403F">
      <w:pPr>
        <w:spacing w:line="380" w:lineRule="exact"/>
        <w:rPr>
          <w:rFonts w:hint="eastAsia" w:ascii="宋体" w:hAnsi="宋体" w:eastAsia="宋体" w:cs="宋体"/>
          <w:b/>
          <w:bCs/>
          <w:color w:val="000000" w:themeColor="text1"/>
          <w:sz w:val="32"/>
          <w:szCs w:val="32"/>
          <w:lang w:val="en-US" w:eastAsia="zh-CN"/>
        </w:rPr>
      </w:pPr>
    </w:p>
    <w:p w14:paraId="49ED1E98">
      <w:pPr>
        <w:spacing w:line="380" w:lineRule="exact"/>
        <w:rPr>
          <w:rFonts w:hint="eastAsia" w:ascii="宋体" w:hAnsi="宋体" w:eastAsia="宋体" w:cs="宋体"/>
          <w:b/>
          <w:bCs/>
          <w:color w:val="000000" w:themeColor="text1"/>
          <w:sz w:val="32"/>
          <w:szCs w:val="32"/>
          <w:lang w:val="en-US" w:eastAsia="zh-CN"/>
        </w:rPr>
      </w:pPr>
    </w:p>
    <w:p w14:paraId="0EFC5076">
      <w:pPr>
        <w:spacing w:line="380" w:lineRule="exact"/>
        <w:rPr>
          <w:rFonts w:hint="eastAsia" w:ascii="宋体" w:hAnsi="宋体" w:eastAsia="宋体" w:cs="宋体"/>
          <w:b/>
          <w:bCs/>
          <w:color w:val="000000" w:themeColor="text1"/>
          <w:sz w:val="32"/>
          <w:szCs w:val="32"/>
          <w:lang w:val="en-US" w:eastAsia="zh-CN"/>
        </w:rPr>
      </w:pPr>
    </w:p>
    <w:p w14:paraId="1071EAA6">
      <w:pPr>
        <w:spacing w:line="380" w:lineRule="exact"/>
        <w:rPr>
          <w:rFonts w:hint="eastAsia" w:ascii="宋体" w:hAnsi="宋体" w:eastAsia="宋体" w:cs="宋体"/>
          <w:b/>
          <w:bCs/>
          <w:color w:val="000000" w:themeColor="text1"/>
          <w:sz w:val="32"/>
          <w:szCs w:val="32"/>
          <w:lang w:val="en-US" w:eastAsia="zh-CN"/>
        </w:rPr>
      </w:pPr>
    </w:p>
    <w:p w14:paraId="65E9AF34">
      <w:pPr>
        <w:spacing w:line="380" w:lineRule="exact"/>
        <w:rPr>
          <w:rFonts w:hint="eastAsia" w:ascii="宋体" w:hAnsi="宋体" w:eastAsia="宋体" w:cs="宋体"/>
          <w:b/>
          <w:bCs/>
          <w:color w:val="000000" w:themeColor="text1"/>
          <w:sz w:val="32"/>
          <w:szCs w:val="32"/>
          <w:lang w:val="en-US" w:eastAsia="zh-CN"/>
        </w:rPr>
      </w:pPr>
    </w:p>
    <w:p w14:paraId="083A5462">
      <w:pPr>
        <w:spacing w:line="380" w:lineRule="exact"/>
        <w:rPr>
          <w:rFonts w:hint="eastAsia" w:ascii="宋体" w:hAnsi="宋体" w:eastAsia="宋体" w:cs="宋体"/>
          <w:b/>
          <w:bCs/>
          <w:color w:val="000000" w:themeColor="text1"/>
          <w:sz w:val="32"/>
          <w:szCs w:val="32"/>
          <w:lang w:val="en-US" w:eastAsia="zh-CN"/>
        </w:rPr>
      </w:pPr>
    </w:p>
    <w:p w14:paraId="7BCD543E">
      <w:pPr>
        <w:spacing w:line="380" w:lineRule="exact"/>
        <w:rPr>
          <w:rFonts w:hint="eastAsia" w:ascii="宋体" w:hAnsi="宋体" w:eastAsia="宋体" w:cs="宋体"/>
          <w:b/>
          <w:bCs/>
          <w:color w:val="000000" w:themeColor="text1"/>
          <w:sz w:val="32"/>
          <w:szCs w:val="32"/>
          <w:lang w:val="en-US" w:eastAsia="zh-CN"/>
        </w:rPr>
      </w:pPr>
    </w:p>
    <w:p w14:paraId="15411EF9">
      <w:pPr>
        <w:spacing w:line="380" w:lineRule="exact"/>
        <w:rPr>
          <w:rFonts w:hint="eastAsia" w:ascii="宋体" w:hAnsi="宋体" w:eastAsia="宋体" w:cs="宋体"/>
          <w:b/>
          <w:bCs/>
          <w:color w:val="000000" w:themeColor="text1"/>
          <w:sz w:val="32"/>
          <w:szCs w:val="32"/>
          <w:lang w:val="en-US" w:eastAsia="zh-CN"/>
        </w:rPr>
      </w:pPr>
    </w:p>
    <w:p w14:paraId="6CC20214">
      <w:pPr>
        <w:spacing w:line="380" w:lineRule="exact"/>
        <w:rPr>
          <w:rFonts w:hint="eastAsia" w:ascii="宋体" w:hAnsi="宋体" w:eastAsia="宋体" w:cs="宋体"/>
          <w:b/>
          <w:bCs/>
          <w:color w:val="000000" w:themeColor="text1"/>
          <w:sz w:val="32"/>
          <w:szCs w:val="32"/>
          <w:lang w:val="en-US" w:eastAsia="zh-CN"/>
        </w:rPr>
      </w:pPr>
    </w:p>
    <w:p w14:paraId="2D17EABD">
      <w:pPr>
        <w:spacing w:line="380" w:lineRule="exact"/>
        <w:rPr>
          <w:rFonts w:hint="eastAsia" w:ascii="宋体" w:hAnsi="宋体" w:eastAsia="宋体" w:cs="宋体"/>
          <w:b/>
          <w:bCs/>
          <w:color w:val="000000" w:themeColor="text1"/>
          <w:sz w:val="32"/>
          <w:szCs w:val="32"/>
          <w:lang w:val="en-US" w:eastAsia="zh-CN"/>
        </w:rPr>
      </w:pPr>
    </w:p>
    <w:p w14:paraId="4D36582A">
      <w:pPr>
        <w:spacing w:line="380" w:lineRule="exact"/>
        <w:rPr>
          <w:rFonts w:hint="eastAsia" w:ascii="宋体" w:hAnsi="宋体" w:eastAsia="宋体" w:cs="宋体"/>
          <w:b/>
          <w:bCs/>
          <w:color w:val="000000" w:themeColor="text1"/>
          <w:sz w:val="32"/>
          <w:szCs w:val="32"/>
          <w:lang w:val="en-US" w:eastAsia="zh-CN"/>
        </w:rPr>
      </w:pPr>
    </w:p>
    <w:p w14:paraId="54C58F38">
      <w:pPr>
        <w:spacing w:line="380" w:lineRule="exact"/>
        <w:rPr>
          <w:rFonts w:hint="eastAsia" w:ascii="宋体" w:hAnsi="宋体" w:eastAsia="宋体" w:cs="宋体"/>
          <w:b/>
          <w:bCs/>
          <w:color w:val="000000" w:themeColor="text1"/>
          <w:sz w:val="32"/>
          <w:szCs w:val="32"/>
          <w:lang w:val="en-US" w:eastAsia="zh-CN"/>
        </w:rPr>
      </w:pPr>
    </w:p>
    <w:p w14:paraId="0E07443E">
      <w:pPr>
        <w:spacing w:line="380" w:lineRule="exact"/>
        <w:rPr>
          <w:rFonts w:hint="eastAsia" w:ascii="宋体" w:hAnsi="宋体" w:eastAsia="宋体" w:cs="宋体"/>
          <w:b/>
          <w:bCs/>
          <w:color w:val="000000" w:themeColor="text1"/>
          <w:sz w:val="32"/>
          <w:szCs w:val="32"/>
          <w:lang w:val="en-US" w:eastAsia="zh-CN"/>
        </w:rPr>
      </w:pPr>
    </w:p>
    <w:p w14:paraId="21FD7E3A">
      <w:pPr>
        <w:spacing w:line="380" w:lineRule="exact"/>
        <w:rPr>
          <w:rFonts w:hint="eastAsia" w:ascii="宋体" w:hAnsi="宋体" w:eastAsia="宋体" w:cs="宋体"/>
          <w:b/>
          <w:bCs/>
          <w:color w:val="000000" w:themeColor="text1"/>
          <w:sz w:val="32"/>
          <w:szCs w:val="32"/>
          <w:lang w:val="en-US" w:eastAsia="zh-CN"/>
        </w:rPr>
      </w:pPr>
    </w:p>
    <w:p w14:paraId="3A5A917E">
      <w:pPr>
        <w:spacing w:line="380" w:lineRule="exact"/>
        <w:rPr>
          <w:rFonts w:hint="eastAsia" w:ascii="宋体" w:hAnsi="宋体" w:eastAsia="宋体" w:cs="宋体"/>
          <w:b/>
          <w:bCs/>
          <w:color w:val="000000" w:themeColor="text1"/>
          <w:sz w:val="32"/>
          <w:szCs w:val="32"/>
          <w:lang w:val="en-US" w:eastAsia="zh-CN"/>
        </w:rPr>
      </w:pPr>
    </w:p>
    <w:p w14:paraId="1466E6F3">
      <w:pPr>
        <w:spacing w:line="380" w:lineRule="exact"/>
        <w:rPr>
          <w:rFonts w:hint="eastAsia" w:ascii="宋体" w:hAnsi="宋体" w:eastAsia="宋体" w:cs="宋体"/>
          <w:b/>
          <w:bCs/>
          <w:color w:val="000000" w:themeColor="text1"/>
          <w:sz w:val="32"/>
          <w:szCs w:val="32"/>
          <w:lang w:val="en-US" w:eastAsia="zh-CN"/>
        </w:rPr>
      </w:pPr>
    </w:p>
    <w:p w14:paraId="245E5D3B">
      <w:pPr>
        <w:spacing w:line="380" w:lineRule="exact"/>
        <w:rPr>
          <w:rFonts w:hint="eastAsia" w:ascii="宋体" w:hAnsi="宋体" w:eastAsia="宋体" w:cs="宋体"/>
          <w:b/>
          <w:bCs/>
          <w:color w:val="000000" w:themeColor="text1"/>
          <w:sz w:val="32"/>
          <w:szCs w:val="32"/>
          <w:lang w:val="en-US" w:eastAsia="zh-CN"/>
        </w:rPr>
      </w:pPr>
    </w:p>
    <w:p w14:paraId="55564024">
      <w:pPr>
        <w:spacing w:line="380" w:lineRule="exact"/>
        <w:rPr>
          <w:rFonts w:hint="eastAsia" w:ascii="宋体" w:hAnsi="宋体" w:eastAsia="宋体" w:cs="宋体"/>
          <w:b/>
          <w:bCs/>
          <w:color w:val="000000" w:themeColor="text1"/>
          <w:sz w:val="32"/>
          <w:szCs w:val="32"/>
          <w:lang w:val="en-US" w:eastAsia="zh-CN"/>
        </w:rPr>
      </w:pPr>
    </w:p>
    <w:p w14:paraId="79801207">
      <w:pPr>
        <w:spacing w:line="380" w:lineRule="exact"/>
        <w:rPr>
          <w:rFonts w:hint="eastAsia" w:ascii="宋体" w:hAnsi="宋体" w:eastAsia="宋体" w:cs="宋体"/>
          <w:b/>
          <w:bCs/>
          <w:color w:val="000000" w:themeColor="text1"/>
          <w:sz w:val="32"/>
          <w:szCs w:val="32"/>
          <w:lang w:val="en-US" w:eastAsia="zh-CN"/>
        </w:rPr>
      </w:pPr>
    </w:p>
    <w:p w14:paraId="1DA14533">
      <w:pPr>
        <w:spacing w:line="380" w:lineRule="exact"/>
        <w:rPr>
          <w:rFonts w:hint="eastAsia" w:ascii="宋体" w:hAnsi="宋体" w:eastAsia="宋体" w:cs="宋体"/>
          <w:b/>
          <w:bCs/>
          <w:color w:val="000000" w:themeColor="text1"/>
          <w:sz w:val="32"/>
          <w:szCs w:val="32"/>
          <w:lang w:val="en-US" w:eastAsia="zh-CN"/>
        </w:rPr>
      </w:pPr>
    </w:p>
    <w:p w14:paraId="48B400F9">
      <w:pPr>
        <w:spacing w:line="380" w:lineRule="exact"/>
        <w:rPr>
          <w:rFonts w:hint="eastAsia" w:ascii="宋体" w:hAnsi="宋体" w:eastAsia="宋体" w:cs="宋体"/>
          <w:b/>
          <w:bCs/>
          <w:color w:val="000000" w:themeColor="text1"/>
          <w:sz w:val="32"/>
          <w:szCs w:val="32"/>
          <w:lang w:val="en-US" w:eastAsia="zh-CN"/>
        </w:rPr>
      </w:pPr>
    </w:p>
    <w:p w14:paraId="1C8FBE4F">
      <w:pPr>
        <w:spacing w:line="380" w:lineRule="exact"/>
        <w:rPr>
          <w:rFonts w:hint="eastAsia" w:ascii="宋体" w:hAnsi="宋体" w:eastAsia="宋体" w:cs="宋体"/>
          <w:b/>
          <w:bCs/>
          <w:color w:val="000000" w:themeColor="text1"/>
          <w:sz w:val="32"/>
          <w:szCs w:val="32"/>
          <w:lang w:val="en-US" w:eastAsia="zh-CN"/>
        </w:rPr>
      </w:pPr>
    </w:p>
    <w:p w14:paraId="68BCE15D">
      <w:pPr>
        <w:pStyle w:val="159"/>
        <w:jc w:val="both"/>
        <w:rPr>
          <w:rFonts w:hint="eastAsia" w:ascii="宋体" w:hAnsi="宋体" w:eastAsia="宋体" w:cs="宋体"/>
          <w:b/>
          <w:color w:val="000000" w:themeColor="text1"/>
          <w:sz w:val="28"/>
          <w:szCs w:val="28"/>
        </w:rPr>
      </w:pPr>
    </w:p>
    <w:sectPr>
      <w:footerReference r:id="rId8" w:type="default"/>
      <w:pgSz w:w="11907" w:h="16840"/>
      <w:pgMar w:top="1440" w:right="1080" w:bottom="1440" w:left="108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汉仪中宋简">
    <w:altName w:val="宋体"/>
    <w:panose1 w:val="00000000000000000000"/>
    <w:charset w:val="86"/>
    <w:family w:val="modern"/>
    <w:pitch w:val="default"/>
    <w:sig w:usb0="00000000" w:usb1="00000000" w:usb2="00000010"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DD6C">
    <w:pPr>
      <w:pStyle w:val="2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3465A2AE">
                <w:pPr>
                  <w:pStyle w:val="29"/>
                  <w:jc w:val="center"/>
                </w:pPr>
                <w:r>
                  <w:fldChar w:fldCharType="begin"/>
                </w:r>
                <w:r>
                  <w:instrText xml:space="preserve"> PAGE   \* MERGEFORMAT </w:instrText>
                </w:r>
                <w:r>
                  <w:fldChar w:fldCharType="separate"/>
                </w:r>
                <w:r>
                  <w:rPr>
                    <w:lang w:val="zh-CN" w:eastAsia="zh-CN"/>
                  </w:rPr>
                  <w:t>32</w:t>
                </w:r>
                <w:r>
                  <w:fldChar w:fldCharType="end"/>
                </w:r>
              </w:p>
            </w:txbxContent>
          </v:textbox>
        </v:shape>
      </w:pict>
    </w:r>
  </w:p>
  <w:p w14:paraId="264AD29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DF0D">
    <w:pPr>
      <w:pStyle w:val="29"/>
      <w:jc w:val="center"/>
    </w:pPr>
    <w:r>
      <w:fldChar w:fldCharType="begin"/>
    </w:r>
    <w:r>
      <w:rPr>
        <w:rStyle w:val="49"/>
      </w:rPr>
      <w:instrText xml:space="preserve"> PAGE </w:instrText>
    </w:r>
    <w:r>
      <w:fldChar w:fldCharType="separate"/>
    </w:r>
    <w:r>
      <w:rPr>
        <w:rStyle w:val="49"/>
      </w:rPr>
      <w:t>52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A7183">
    <w:pPr>
      <w:pStyle w:val="18"/>
      <w:spacing w:line="14" w:lineRule="auto"/>
      <w:rPr>
        <w:sz w:val="20"/>
      </w:rPr>
    </w:pPr>
    <w:r>
      <w:rPr>
        <w:sz w:val="20"/>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14:paraId="6E1D7044">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103</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51CA">
    <w:pPr>
      <w:pStyle w:val="18"/>
      <w:spacing w:line="14" w:lineRule="auto"/>
      <w:rPr>
        <w:sz w:val="20"/>
      </w:rPr>
    </w:pPr>
    <w:r>
      <w:rPr>
        <w:sz w:val="20"/>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0934B9F3">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103</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A833">
    <w:pPr>
      <w:pStyle w:val="18"/>
      <w:spacing w:line="14" w:lineRule="auto"/>
      <w:rPr>
        <w:sz w:val="20"/>
      </w:rPr>
    </w:pPr>
    <w:r>
      <w:rPr>
        <w:sz w:val="20"/>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4E92C525">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137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4434">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9252B"/>
    <w:multiLevelType w:val="singleLevel"/>
    <w:tmpl w:val="9E19252B"/>
    <w:lvl w:ilvl="0" w:tentative="0">
      <w:start w:val="2"/>
      <w:numFmt w:val="decimal"/>
      <w:suff w:val="nothing"/>
      <w:lvlText w:val="（%1）"/>
      <w:lvlJc w:val="left"/>
    </w:lvl>
  </w:abstractNum>
  <w:abstractNum w:abstractNumId="1">
    <w:nsid w:val="D9F8FB62"/>
    <w:multiLevelType w:val="singleLevel"/>
    <w:tmpl w:val="D9F8FB62"/>
    <w:lvl w:ilvl="0" w:tentative="0">
      <w:start w:val="6"/>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pPr>
        <w:ind w:left="0" w:firstLine="0"/>
      </w:pPr>
    </w:lvl>
  </w:abstractNum>
  <w:abstractNum w:abstractNumId="3">
    <w:nsid w:val="598BC72F"/>
    <w:multiLevelType w:val="singleLevel"/>
    <w:tmpl w:val="598BC72F"/>
    <w:lvl w:ilvl="0" w:tentative="0">
      <w:start w:val="1"/>
      <w:numFmt w:val="decimal"/>
      <w:suff w:val="nothing"/>
      <w:lvlText w:val="%1、"/>
      <w:lvlJc w:val="left"/>
    </w:lvl>
  </w:abstractNum>
  <w:abstractNum w:abstractNumId="4">
    <w:nsid w:val="6EDD6596"/>
    <w:multiLevelType w:val="singleLevel"/>
    <w:tmpl w:val="6EDD6596"/>
    <w:lvl w:ilvl="0" w:tentative="0">
      <w:start w:val="1"/>
      <w:numFmt w:val="decimal"/>
      <w:suff w:val="space"/>
      <w:lvlText w:val="%1."/>
      <w:lvlJc w:val="left"/>
    </w:lvl>
  </w:abstractNum>
  <w:num w:numId="1">
    <w:abstractNumId w:val="3"/>
  </w:num>
  <w:num w:numId="2">
    <w:abstractNumId w:val="2"/>
    <w:lvlOverride w:ilvl="0">
      <w:startOverride w:val="1"/>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forms" w:enforcement="1" w:cryptProviderType="rsaFull" w:cryptAlgorithmClass="hash" w:cryptAlgorithmType="typeAny" w:cryptAlgorithmSid="4" w:cryptSpinCount="0" w:hash="mjGgs87SBjWpsq6e+zqzOG+4uvg=" w:salt="ZoSl2FJtYUu4jD8oHbZIeA=="/>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E4YWJiOGE3Mjk0ZGJlNGUyZmFkZjNiMTAyMDUxOWUifQ=="/>
  </w:docVars>
  <w:rsids>
    <w:rsidRoot w:val="00172A27"/>
    <w:rsid w:val="0003307B"/>
    <w:rsid w:val="0009075B"/>
    <w:rsid w:val="00287A56"/>
    <w:rsid w:val="002A0D28"/>
    <w:rsid w:val="002B3032"/>
    <w:rsid w:val="002C5303"/>
    <w:rsid w:val="00395843"/>
    <w:rsid w:val="003F1A6C"/>
    <w:rsid w:val="004A402E"/>
    <w:rsid w:val="00501170"/>
    <w:rsid w:val="005F31BE"/>
    <w:rsid w:val="006552ED"/>
    <w:rsid w:val="00705272"/>
    <w:rsid w:val="0079217B"/>
    <w:rsid w:val="007B2CD3"/>
    <w:rsid w:val="007E3667"/>
    <w:rsid w:val="00857DCA"/>
    <w:rsid w:val="00963570"/>
    <w:rsid w:val="00A10993"/>
    <w:rsid w:val="00B475F0"/>
    <w:rsid w:val="00BB6141"/>
    <w:rsid w:val="00C45DDF"/>
    <w:rsid w:val="00D90BF3"/>
    <w:rsid w:val="01104F44"/>
    <w:rsid w:val="0146148E"/>
    <w:rsid w:val="016917BB"/>
    <w:rsid w:val="01F35F7A"/>
    <w:rsid w:val="02300398"/>
    <w:rsid w:val="024D3077"/>
    <w:rsid w:val="026B7B6F"/>
    <w:rsid w:val="029D57B2"/>
    <w:rsid w:val="02A824AD"/>
    <w:rsid w:val="02AA6D1A"/>
    <w:rsid w:val="02C14BDF"/>
    <w:rsid w:val="02E80535"/>
    <w:rsid w:val="031F5805"/>
    <w:rsid w:val="032929B6"/>
    <w:rsid w:val="03384BD3"/>
    <w:rsid w:val="033C0E47"/>
    <w:rsid w:val="03AA48EF"/>
    <w:rsid w:val="03BA1D9B"/>
    <w:rsid w:val="03CE6AA4"/>
    <w:rsid w:val="03E85024"/>
    <w:rsid w:val="03ED52A9"/>
    <w:rsid w:val="03FA4BC5"/>
    <w:rsid w:val="043C1F18"/>
    <w:rsid w:val="04412F37"/>
    <w:rsid w:val="047960E8"/>
    <w:rsid w:val="04970DB2"/>
    <w:rsid w:val="04A54892"/>
    <w:rsid w:val="05160036"/>
    <w:rsid w:val="05183A9B"/>
    <w:rsid w:val="051A2798"/>
    <w:rsid w:val="051B37BE"/>
    <w:rsid w:val="052D6C99"/>
    <w:rsid w:val="055C7924"/>
    <w:rsid w:val="0575085F"/>
    <w:rsid w:val="0575419C"/>
    <w:rsid w:val="059906C7"/>
    <w:rsid w:val="05C1552C"/>
    <w:rsid w:val="05C7753B"/>
    <w:rsid w:val="05F51D87"/>
    <w:rsid w:val="06914447"/>
    <w:rsid w:val="06984796"/>
    <w:rsid w:val="06CD5010"/>
    <w:rsid w:val="070339EF"/>
    <w:rsid w:val="070541D5"/>
    <w:rsid w:val="07221417"/>
    <w:rsid w:val="07713961"/>
    <w:rsid w:val="07A36F6E"/>
    <w:rsid w:val="07A50034"/>
    <w:rsid w:val="0802002D"/>
    <w:rsid w:val="080C5E35"/>
    <w:rsid w:val="08314448"/>
    <w:rsid w:val="084C6F12"/>
    <w:rsid w:val="085346CC"/>
    <w:rsid w:val="086D6693"/>
    <w:rsid w:val="088C3CD7"/>
    <w:rsid w:val="08A40C39"/>
    <w:rsid w:val="08C25CFA"/>
    <w:rsid w:val="08E53651"/>
    <w:rsid w:val="09015F29"/>
    <w:rsid w:val="093F4700"/>
    <w:rsid w:val="094436B5"/>
    <w:rsid w:val="09A841D4"/>
    <w:rsid w:val="09E406A0"/>
    <w:rsid w:val="0A0545CE"/>
    <w:rsid w:val="0A4C6713"/>
    <w:rsid w:val="0A7130E1"/>
    <w:rsid w:val="0A741F9F"/>
    <w:rsid w:val="0A7C06D3"/>
    <w:rsid w:val="0A89579B"/>
    <w:rsid w:val="0A8D5FB7"/>
    <w:rsid w:val="0AA01CBB"/>
    <w:rsid w:val="0ABF7301"/>
    <w:rsid w:val="0AEF0879"/>
    <w:rsid w:val="0B0C1822"/>
    <w:rsid w:val="0B1A128B"/>
    <w:rsid w:val="0B3F66F7"/>
    <w:rsid w:val="0B511BD2"/>
    <w:rsid w:val="0B5A630E"/>
    <w:rsid w:val="0B670D04"/>
    <w:rsid w:val="0B682376"/>
    <w:rsid w:val="0B801DDF"/>
    <w:rsid w:val="0BA53A2D"/>
    <w:rsid w:val="0BAE77A9"/>
    <w:rsid w:val="0BE1238D"/>
    <w:rsid w:val="0C081924"/>
    <w:rsid w:val="0C0B7609"/>
    <w:rsid w:val="0C513354"/>
    <w:rsid w:val="0C812100"/>
    <w:rsid w:val="0C961E12"/>
    <w:rsid w:val="0D002551"/>
    <w:rsid w:val="0D051611"/>
    <w:rsid w:val="0D290CD8"/>
    <w:rsid w:val="0D3079F3"/>
    <w:rsid w:val="0D490B9B"/>
    <w:rsid w:val="0D69445E"/>
    <w:rsid w:val="0D763AF2"/>
    <w:rsid w:val="0D8A3E13"/>
    <w:rsid w:val="0DCA2ED6"/>
    <w:rsid w:val="0DD45B65"/>
    <w:rsid w:val="0DE66D07"/>
    <w:rsid w:val="0DEF0A04"/>
    <w:rsid w:val="0E31255D"/>
    <w:rsid w:val="0EC00658"/>
    <w:rsid w:val="0ED7705A"/>
    <w:rsid w:val="0EEC1C4B"/>
    <w:rsid w:val="0EF132AB"/>
    <w:rsid w:val="0F6F0A2D"/>
    <w:rsid w:val="0F781459"/>
    <w:rsid w:val="0FEB39D9"/>
    <w:rsid w:val="0FF676BE"/>
    <w:rsid w:val="0FF92D75"/>
    <w:rsid w:val="101D5349"/>
    <w:rsid w:val="10331454"/>
    <w:rsid w:val="1048460D"/>
    <w:rsid w:val="104C58B0"/>
    <w:rsid w:val="104D0665"/>
    <w:rsid w:val="1060779A"/>
    <w:rsid w:val="109B673D"/>
    <w:rsid w:val="10A062BF"/>
    <w:rsid w:val="10B53AC2"/>
    <w:rsid w:val="10E37A01"/>
    <w:rsid w:val="10EA0D43"/>
    <w:rsid w:val="110D22D1"/>
    <w:rsid w:val="11186A50"/>
    <w:rsid w:val="112542DC"/>
    <w:rsid w:val="11262F67"/>
    <w:rsid w:val="114E67CE"/>
    <w:rsid w:val="117561D0"/>
    <w:rsid w:val="117C699D"/>
    <w:rsid w:val="1181767A"/>
    <w:rsid w:val="11ED5EAE"/>
    <w:rsid w:val="125E2160"/>
    <w:rsid w:val="131D27E1"/>
    <w:rsid w:val="13860C34"/>
    <w:rsid w:val="138E65E1"/>
    <w:rsid w:val="139A4983"/>
    <w:rsid w:val="13D6567C"/>
    <w:rsid w:val="14067E57"/>
    <w:rsid w:val="146C05F1"/>
    <w:rsid w:val="14B95421"/>
    <w:rsid w:val="14D700D3"/>
    <w:rsid w:val="14F437AB"/>
    <w:rsid w:val="14FC12E3"/>
    <w:rsid w:val="152A17BA"/>
    <w:rsid w:val="152E30C5"/>
    <w:rsid w:val="153D04A3"/>
    <w:rsid w:val="15506BA6"/>
    <w:rsid w:val="15755A2E"/>
    <w:rsid w:val="158808E3"/>
    <w:rsid w:val="15AE7301"/>
    <w:rsid w:val="15D206E0"/>
    <w:rsid w:val="15D87FCC"/>
    <w:rsid w:val="15E769F0"/>
    <w:rsid w:val="16135533"/>
    <w:rsid w:val="162D44B5"/>
    <w:rsid w:val="163F6513"/>
    <w:rsid w:val="1642074E"/>
    <w:rsid w:val="166520B6"/>
    <w:rsid w:val="167D4856"/>
    <w:rsid w:val="16842491"/>
    <w:rsid w:val="16922EA0"/>
    <w:rsid w:val="169721C5"/>
    <w:rsid w:val="16AE239E"/>
    <w:rsid w:val="16E82A20"/>
    <w:rsid w:val="16EE4579"/>
    <w:rsid w:val="16F31422"/>
    <w:rsid w:val="17024E97"/>
    <w:rsid w:val="171D389B"/>
    <w:rsid w:val="17BA08DA"/>
    <w:rsid w:val="17BC0076"/>
    <w:rsid w:val="17C6679C"/>
    <w:rsid w:val="18140449"/>
    <w:rsid w:val="18451633"/>
    <w:rsid w:val="18453AA5"/>
    <w:rsid w:val="184E6568"/>
    <w:rsid w:val="18743B51"/>
    <w:rsid w:val="187F0C51"/>
    <w:rsid w:val="18932B5F"/>
    <w:rsid w:val="18A35736"/>
    <w:rsid w:val="18A903B0"/>
    <w:rsid w:val="192341E3"/>
    <w:rsid w:val="1927541A"/>
    <w:rsid w:val="193463F1"/>
    <w:rsid w:val="193C5F9B"/>
    <w:rsid w:val="195A5EC8"/>
    <w:rsid w:val="1977008B"/>
    <w:rsid w:val="19BF54A1"/>
    <w:rsid w:val="19D56FD5"/>
    <w:rsid w:val="19EC594E"/>
    <w:rsid w:val="19FC0AE0"/>
    <w:rsid w:val="1A0244D0"/>
    <w:rsid w:val="1A141EA3"/>
    <w:rsid w:val="1A4B710F"/>
    <w:rsid w:val="1A637586"/>
    <w:rsid w:val="1A7F369B"/>
    <w:rsid w:val="1A812D0D"/>
    <w:rsid w:val="1A8569AA"/>
    <w:rsid w:val="1AA902ED"/>
    <w:rsid w:val="1AB65095"/>
    <w:rsid w:val="1ACE0347"/>
    <w:rsid w:val="1ACF2441"/>
    <w:rsid w:val="1AF30BDE"/>
    <w:rsid w:val="1AFC6A9A"/>
    <w:rsid w:val="1B54384A"/>
    <w:rsid w:val="1B6D35D7"/>
    <w:rsid w:val="1B90472D"/>
    <w:rsid w:val="1B9B6FE2"/>
    <w:rsid w:val="1BB024A3"/>
    <w:rsid w:val="1BCC7EC8"/>
    <w:rsid w:val="1C001629"/>
    <w:rsid w:val="1C311D23"/>
    <w:rsid w:val="1C715254"/>
    <w:rsid w:val="1C7A3931"/>
    <w:rsid w:val="1CA1400D"/>
    <w:rsid w:val="1CA463EA"/>
    <w:rsid w:val="1CC975E1"/>
    <w:rsid w:val="1D0A0829"/>
    <w:rsid w:val="1D1A7A52"/>
    <w:rsid w:val="1D23152D"/>
    <w:rsid w:val="1D3E7FF9"/>
    <w:rsid w:val="1D5A3291"/>
    <w:rsid w:val="1D5E0318"/>
    <w:rsid w:val="1D92521A"/>
    <w:rsid w:val="1DAD0520"/>
    <w:rsid w:val="1DCF66E8"/>
    <w:rsid w:val="1DDC0E05"/>
    <w:rsid w:val="1DDD2668"/>
    <w:rsid w:val="1E3D60DD"/>
    <w:rsid w:val="1E4A7572"/>
    <w:rsid w:val="1E876E83"/>
    <w:rsid w:val="1E9C57A4"/>
    <w:rsid w:val="1ED51267"/>
    <w:rsid w:val="1ED829FB"/>
    <w:rsid w:val="1EDA458A"/>
    <w:rsid w:val="1F0B1394"/>
    <w:rsid w:val="1F1B577D"/>
    <w:rsid w:val="1F1E6095"/>
    <w:rsid w:val="1F4A511B"/>
    <w:rsid w:val="1F4B14A5"/>
    <w:rsid w:val="1F5E48BA"/>
    <w:rsid w:val="1F8D3BAC"/>
    <w:rsid w:val="1FBA5867"/>
    <w:rsid w:val="1FF46391"/>
    <w:rsid w:val="20731B7A"/>
    <w:rsid w:val="207672EF"/>
    <w:rsid w:val="20A73226"/>
    <w:rsid w:val="20BF6C3E"/>
    <w:rsid w:val="20FD08F2"/>
    <w:rsid w:val="21132B73"/>
    <w:rsid w:val="211D50E8"/>
    <w:rsid w:val="215D0446"/>
    <w:rsid w:val="2160314F"/>
    <w:rsid w:val="218513B0"/>
    <w:rsid w:val="218E11DA"/>
    <w:rsid w:val="21AB0703"/>
    <w:rsid w:val="21B260C9"/>
    <w:rsid w:val="21C32E08"/>
    <w:rsid w:val="227301FD"/>
    <w:rsid w:val="227D6A38"/>
    <w:rsid w:val="229B2F41"/>
    <w:rsid w:val="22E912C0"/>
    <w:rsid w:val="22F51F23"/>
    <w:rsid w:val="234741AC"/>
    <w:rsid w:val="235069A0"/>
    <w:rsid w:val="235E7A84"/>
    <w:rsid w:val="23670135"/>
    <w:rsid w:val="236B69BE"/>
    <w:rsid w:val="239F090A"/>
    <w:rsid w:val="23AD6125"/>
    <w:rsid w:val="23AE6F54"/>
    <w:rsid w:val="23C21D93"/>
    <w:rsid w:val="23C86AA0"/>
    <w:rsid w:val="23EA0123"/>
    <w:rsid w:val="246C74A3"/>
    <w:rsid w:val="24855825"/>
    <w:rsid w:val="24901FCE"/>
    <w:rsid w:val="24BA3E27"/>
    <w:rsid w:val="24E31E06"/>
    <w:rsid w:val="24E64C43"/>
    <w:rsid w:val="24EB26DC"/>
    <w:rsid w:val="252A3791"/>
    <w:rsid w:val="252E3D41"/>
    <w:rsid w:val="255D3FFF"/>
    <w:rsid w:val="25676B61"/>
    <w:rsid w:val="256B6C96"/>
    <w:rsid w:val="258E08A3"/>
    <w:rsid w:val="25AF402C"/>
    <w:rsid w:val="25E30B90"/>
    <w:rsid w:val="25EA7551"/>
    <w:rsid w:val="264549D3"/>
    <w:rsid w:val="26666480"/>
    <w:rsid w:val="26872B42"/>
    <w:rsid w:val="26B9051E"/>
    <w:rsid w:val="26C578AD"/>
    <w:rsid w:val="26D01617"/>
    <w:rsid w:val="27035D6F"/>
    <w:rsid w:val="27073235"/>
    <w:rsid w:val="271436B7"/>
    <w:rsid w:val="27352DDB"/>
    <w:rsid w:val="27571738"/>
    <w:rsid w:val="275D2D07"/>
    <w:rsid w:val="277125BE"/>
    <w:rsid w:val="27867CAC"/>
    <w:rsid w:val="27B820FF"/>
    <w:rsid w:val="27BB09E0"/>
    <w:rsid w:val="27C84BBE"/>
    <w:rsid w:val="286236F4"/>
    <w:rsid w:val="288766EA"/>
    <w:rsid w:val="28C11C00"/>
    <w:rsid w:val="28D13323"/>
    <w:rsid w:val="28E378E0"/>
    <w:rsid w:val="28EB63A0"/>
    <w:rsid w:val="28FB4584"/>
    <w:rsid w:val="29180BBD"/>
    <w:rsid w:val="29304812"/>
    <w:rsid w:val="29760032"/>
    <w:rsid w:val="29C114A0"/>
    <w:rsid w:val="29FD0CD0"/>
    <w:rsid w:val="2A1662F4"/>
    <w:rsid w:val="2A2211E4"/>
    <w:rsid w:val="2A2C4EA5"/>
    <w:rsid w:val="2A325C72"/>
    <w:rsid w:val="2A461F39"/>
    <w:rsid w:val="2A4C064D"/>
    <w:rsid w:val="2A811B73"/>
    <w:rsid w:val="2AAE41BF"/>
    <w:rsid w:val="2AB11DA7"/>
    <w:rsid w:val="2AB44057"/>
    <w:rsid w:val="2ACF5A7F"/>
    <w:rsid w:val="2ADE1DA5"/>
    <w:rsid w:val="2AF21C68"/>
    <w:rsid w:val="2AFA339E"/>
    <w:rsid w:val="2B0915C9"/>
    <w:rsid w:val="2B31650E"/>
    <w:rsid w:val="2B4456C1"/>
    <w:rsid w:val="2B51495E"/>
    <w:rsid w:val="2B5160C3"/>
    <w:rsid w:val="2BA2543C"/>
    <w:rsid w:val="2BD1105A"/>
    <w:rsid w:val="2C164611"/>
    <w:rsid w:val="2CF23064"/>
    <w:rsid w:val="2CF402C6"/>
    <w:rsid w:val="2D2D1383"/>
    <w:rsid w:val="2D6A53DF"/>
    <w:rsid w:val="2D6D1A79"/>
    <w:rsid w:val="2D726292"/>
    <w:rsid w:val="2D910AE5"/>
    <w:rsid w:val="2DAB51C0"/>
    <w:rsid w:val="2DC94987"/>
    <w:rsid w:val="2DFA3F4E"/>
    <w:rsid w:val="2E0E724B"/>
    <w:rsid w:val="2E1D2131"/>
    <w:rsid w:val="2E3B0EE0"/>
    <w:rsid w:val="2E414C30"/>
    <w:rsid w:val="2EAD65D1"/>
    <w:rsid w:val="2EE008DD"/>
    <w:rsid w:val="2F4244D3"/>
    <w:rsid w:val="2F4E2DF2"/>
    <w:rsid w:val="2FBB5D2A"/>
    <w:rsid w:val="2FCB252C"/>
    <w:rsid w:val="2FDA66FB"/>
    <w:rsid w:val="2FE57FED"/>
    <w:rsid w:val="2FFD4B46"/>
    <w:rsid w:val="302B52D1"/>
    <w:rsid w:val="30323144"/>
    <w:rsid w:val="3051635F"/>
    <w:rsid w:val="30952B50"/>
    <w:rsid w:val="30A436E2"/>
    <w:rsid w:val="30E94B46"/>
    <w:rsid w:val="31092AA0"/>
    <w:rsid w:val="31157291"/>
    <w:rsid w:val="313650AA"/>
    <w:rsid w:val="319B3D9D"/>
    <w:rsid w:val="31AA7829"/>
    <w:rsid w:val="31C15B5A"/>
    <w:rsid w:val="31CC0377"/>
    <w:rsid w:val="320721E6"/>
    <w:rsid w:val="322D4DE8"/>
    <w:rsid w:val="3259698F"/>
    <w:rsid w:val="32830580"/>
    <w:rsid w:val="32AF5D67"/>
    <w:rsid w:val="32E87499"/>
    <w:rsid w:val="33122EA7"/>
    <w:rsid w:val="331F5899"/>
    <w:rsid w:val="332963BF"/>
    <w:rsid w:val="333051D9"/>
    <w:rsid w:val="334F01D5"/>
    <w:rsid w:val="335138A1"/>
    <w:rsid w:val="33645FE4"/>
    <w:rsid w:val="33A07957"/>
    <w:rsid w:val="33E82F1E"/>
    <w:rsid w:val="33F170D7"/>
    <w:rsid w:val="340317F5"/>
    <w:rsid w:val="342D3BA4"/>
    <w:rsid w:val="34687196"/>
    <w:rsid w:val="34BA7A7B"/>
    <w:rsid w:val="34D31F18"/>
    <w:rsid w:val="34DE7A36"/>
    <w:rsid w:val="34E80980"/>
    <w:rsid w:val="34FC1F63"/>
    <w:rsid w:val="35032150"/>
    <w:rsid w:val="35181016"/>
    <w:rsid w:val="351931CD"/>
    <w:rsid w:val="35313B98"/>
    <w:rsid w:val="353270E7"/>
    <w:rsid w:val="35944047"/>
    <w:rsid w:val="35956011"/>
    <w:rsid w:val="35B2361F"/>
    <w:rsid w:val="35CD532C"/>
    <w:rsid w:val="35D2072A"/>
    <w:rsid w:val="361F08B2"/>
    <w:rsid w:val="362313EC"/>
    <w:rsid w:val="36503241"/>
    <w:rsid w:val="365E563F"/>
    <w:rsid w:val="36B97E73"/>
    <w:rsid w:val="36BA3BEC"/>
    <w:rsid w:val="36E67037"/>
    <w:rsid w:val="36ED5697"/>
    <w:rsid w:val="36F5732D"/>
    <w:rsid w:val="37081769"/>
    <w:rsid w:val="370F4918"/>
    <w:rsid w:val="372C4884"/>
    <w:rsid w:val="374013A1"/>
    <w:rsid w:val="3744322C"/>
    <w:rsid w:val="3762649D"/>
    <w:rsid w:val="37CB5EBA"/>
    <w:rsid w:val="38286644"/>
    <w:rsid w:val="38476AEB"/>
    <w:rsid w:val="38507C87"/>
    <w:rsid w:val="385850EB"/>
    <w:rsid w:val="38593E3A"/>
    <w:rsid w:val="38645720"/>
    <w:rsid w:val="38C9469A"/>
    <w:rsid w:val="38CB44B9"/>
    <w:rsid w:val="38D11532"/>
    <w:rsid w:val="38E2053D"/>
    <w:rsid w:val="38EB0BED"/>
    <w:rsid w:val="38FA604A"/>
    <w:rsid w:val="390026C7"/>
    <w:rsid w:val="3911779B"/>
    <w:rsid w:val="391233B9"/>
    <w:rsid w:val="39174C83"/>
    <w:rsid w:val="39223D2C"/>
    <w:rsid w:val="392D05C8"/>
    <w:rsid w:val="39521810"/>
    <w:rsid w:val="39723FE2"/>
    <w:rsid w:val="39736750"/>
    <w:rsid w:val="39873EC3"/>
    <w:rsid w:val="39C020A8"/>
    <w:rsid w:val="39CB342A"/>
    <w:rsid w:val="39CC7AD0"/>
    <w:rsid w:val="3A073FCF"/>
    <w:rsid w:val="3A165172"/>
    <w:rsid w:val="3A7C4539"/>
    <w:rsid w:val="3AD23F05"/>
    <w:rsid w:val="3AE956F7"/>
    <w:rsid w:val="3AFF0A60"/>
    <w:rsid w:val="3B034854"/>
    <w:rsid w:val="3B1B1190"/>
    <w:rsid w:val="3B2D7B45"/>
    <w:rsid w:val="3B50337E"/>
    <w:rsid w:val="3B636E27"/>
    <w:rsid w:val="3B707B8F"/>
    <w:rsid w:val="3BA7677A"/>
    <w:rsid w:val="3BB64BF1"/>
    <w:rsid w:val="3BBC47E0"/>
    <w:rsid w:val="3BBF6AD7"/>
    <w:rsid w:val="3BDA4880"/>
    <w:rsid w:val="3BFE01CA"/>
    <w:rsid w:val="3C104A58"/>
    <w:rsid w:val="3C122EC9"/>
    <w:rsid w:val="3C1E2AA9"/>
    <w:rsid w:val="3C362231"/>
    <w:rsid w:val="3C5C2C55"/>
    <w:rsid w:val="3C8975B8"/>
    <w:rsid w:val="3C9D17E5"/>
    <w:rsid w:val="3C9E684A"/>
    <w:rsid w:val="3CB02882"/>
    <w:rsid w:val="3CE2538F"/>
    <w:rsid w:val="3D3E226D"/>
    <w:rsid w:val="3D710E95"/>
    <w:rsid w:val="3D7F5F1C"/>
    <w:rsid w:val="3DAA1089"/>
    <w:rsid w:val="3DC4118E"/>
    <w:rsid w:val="3DF8680A"/>
    <w:rsid w:val="3E267A32"/>
    <w:rsid w:val="3E2C781A"/>
    <w:rsid w:val="3E547D12"/>
    <w:rsid w:val="3E621285"/>
    <w:rsid w:val="3E682B84"/>
    <w:rsid w:val="3E68567C"/>
    <w:rsid w:val="3E7F796F"/>
    <w:rsid w:val="3E860BED"/>
    <w:rsid w:val="3E864FD9"/>
    <w:rsid w:val="3E936056"/>
    <w:rsid w:val="3E9B35B0"/>
    <w:rsid w:val="3EA25683"/>
    <w:rsid w:val="3EA26DA2"/>
    <w:rsid w:val="3EAA18BE"/>
    <w:rsid w:val="3ECE769E"/>
    <w:rsid w:val="3ED95EFA"/>
    <w:rsid w:val="3EE23FFF"/>
    <w:rsid w:val="3F0A35CC"/>
    <w:rsid w:val="3F3F27F4"/>
    <w:rsid w:val="3F4041B0"/>
    <w:rsid w:val="3F4576DC"/>
    <w:rsid w:val="3F550463"/>
    <w:rsid w:val="3F5C0D43"/>
    <w:rsid w:val="3FB90966"/>
    <w:rsid w:val="3FE8372D"/>
    <w:rsid w:val="3FFC6B7C"/>
    <w:rsid w:val="402B2730"/>
    <w:rsid w:val="40405AAE"/>
    <w:rsid w:val="404D6649"/>
    <w:rsid w:val="40670518"/>
    <w:rsid w:val="407719C9"/>
    <w:rsid w:val="40B270E7"/>
    <w:rsid w:val="40CF687B"/>
    <w:rsid w:val="40E22635"/>
    <w:rsid w:val="40F71956"/>
    <w:rsid w:val="41010B5D"/>
    <w:rsid w:val="415264A2"/>
    <w:rsid w:val="415856E9"/>
    <w:rsid w:val="415C50FA"/>
    <w:rsid w:val="4164599C"/>
    <w:rsid w:val="41C154CE"/>
    <w:rsid w:val="4237396B"/>
    <w:rsid w:val="423E6F5A"/>
    <w:rsid w:val="42A4406A"/>
    <w:rsid w:val="431321AC"/>
    <w:rsid w:val="43243799"/>
    <w:rsid w:val="432515FF"/>
    <w:rsid w:val="433323B4"/>
    <w:rsid w:val="43373CF7"/>
    <w:rsid w:val="43423576"/>
    <w:rsid w:val="43CF26EE"/>
    <w:rsid w:val="43F9035C"/>
    <w:rsid w:val="441C7D20"/>
    <w:rsid w:val="444C7AAA"/>
    <w:rsid w:val="445F755A"/>
    <w:rsid w:val="4460149D"/>
    <w:rsid w:val="44B15927"/>
    <w:rsid w:val="44FA19ED"/>
    <w:rsid w:val="452C09D9"/>
    <w:rsid w:val="455873BC"/>
    <w:rsid w:val="457F42B3"/>
    <w:rsid w:val="45A848E7"/>
    <w:rsid w:val="45AA6F6F"/>
    <w:rsid w:val="45B4741C"/>
    <w:rsid w:val="45C456DA"/>
    <w:rsid w:val="464B681E"/>
    <w:rsid w:val="467B026B"/>
    <w:rsid w:val="467F664E"/>
    <w:rsid w:val="46A95479"/>
    <w:rsid w:val="4739757E"/>
    <w:rsid w:val="47762D29"/>
    <w:rsid w:val="47A923AE"/>
    <w:rsid w:val="47B50CD1"/>
    <w:rsid w:val="47C14766"/>
    <w:rsid w:val="47EC3DBE"/>
    <w:rsid w:val="483B218D"/>
    <w:rsid w:val="484B44ED"/>
    <w:rsid w:val="48855A71"/>
    <w:rsid w:val="48ED28E9"/>
    <w:rsid w:val="48F826E7"/>
    <w:rsid w:val="49140034"/>
    <w:rsid w:val="49221512"/>
    <w:rsid w:val="492A7F58"/>
    <w:rsid w:val="4932502C"/>
    <w:rsid w:val="498738E4"/>
    <w:rsid w:val="49C5081B"/>
    <w:rsid w:val="4A1D4958"/>
    <w:rsid w:val="4AFF3B55"/>
    <w:rsid w:val="4B1005AF"/>
    <w:rsid w:val="4B3C5AB2"/>
    <w:rsid w:val="4B5B06A4"/>
    <w:rsid w:val="4B9B7EC8"/>
    <w:rsid w:val="4BEC0155"/>
    <w:rsid w:val="4BF54CBC"/>
    <w:rsid w:val="4BF80858"/>
    <w:rsid w:val="4BFC614A"/>
    <w:rsid w:val="4C494204"/>
    <w:rsid w:val="4C4D2EDC"/>
    <w:rsid w:val="4C756579"/>
    <w:rsid w:val="4C972EDA"/>
    <w:rsid w:val="4CA305C1"/>
    <w:rsid w:val="4D127B88"/>
    <w:rsid w:val="4D241186"/>
    <w:rsid w:val="4D276F24"/>
    <w:rsid w:val="4D411CA6"/>
    <w:rsid w:val="4D493511"/>
    <w:rsid w:val="4D537EEC"/>
    <w:rsid w:val="4D6C6ED4"/>
    <w:rsid w:val="4D926C66"/>
    <w:rsid w:val="4D993C76"/>
    <w:rsid w:val="4D997F00"/>
    <w:rsid w:val="4D9D3FFC"/>
    <w:rsid w:val="4DA44BEC"/>
    <w:rsid w:val="4DCC6BCA"/>
    <w:rsid w:val="4E0462B6"/>
    <w:rsid w:val="4E104493"/>
    <w:rsid w:val="4E7554B3"/>
    <w:rsid w:val="4E8A3E88"/>
    <w:rsid w:val="4EA34E68"/>
    <w:rsid w:val="4ED61C59"/>
    <w:rsid w:val="4EF0117A"/>
    <w:rsid w:val="4EF253C4"/>
    <w:rsid w:val="4EF95503"/>
    <w:rsid w:val="4F193EE3"/>
    <w:rsid w:val="4F724CFF"/>
    <w:rsid w:val="4F78067D"/>
    <w:rsid w:val="4F7E432F"/>
    <w:rsid w:val="4F861245"/>
    <w:rsid w:val="4F9D4FAD"/>
    <w:rsid w:val="4FBC0C3F"/>
    <w:rsid w:val="4FF44D47"/>
    <w:rsid w:val="500756F9"/>
    <w:rsid w:val="500B0123"/>
    <w:rsid w:val="500D6A78"/>
    <w:rsid w:val="50190091"/>
    <w:rsid w:val="50441A9F"/>
    <w:rsid w:val="50525A92"/>
    <w:rsid w:val="507A2FC0"/>
    <w:rsid w:val="508E688D"/>
    <w:rsid w:val="50901D53"/>
    <w:rsid w:val="510337BB"/>
    <w:rsid w:val="513D1FBB"/>
    <w:rsid w:val="514F5030"/>
    <w:rsid w:val="5154120F"/>
    <w:rsid w:val="5167665C"/>
    <w:rsid w:val="516902B6"/>
    <w:rsid w:val="516C7E13"/>
    <w:rsid w:val="51703C49"/>
    <w:rsid w:val="51727915"/>
    <w:rsid w:val="51B33042"/>
    <w:rsid w:val="51C20B99"/>
    <w:rsid w:val="521554D7"/>
    <w:rsid w:val="5256609F"/>
    <w:rsid w:val="52887F86"/>
    <w:rsid w:val="528C790E"/>
    <w:rsid w:val="528E7874"/>
    <w:rsid w:val="52960EC7"/>
    <w:rsid w:val="52CD20D0"/>
    <w:rsid w:val="53100AC5"/>
    <w:rsid w:val="53375442"/>
    <w:rsid w:val="53783779"/>
    <w:rsid w:val="5379447C"/>
    <w:rsid w:val="537D0076"/>
    <w:rsid w:val="5393371B"/>
    <w:rsid w:val="539F5FBF"/>
    <w:rsid w:val="540C7632"/>
    <w:rsid w:val="542E7AB2"/>
    <w:rsid w:val="54BD5964"/>
    <w:rsid w:val="54C30785"/>
    <w:rsid w:val="55046263"/>
    <w:rsid w:val="550B6247"/>
    <w:rsid w:val="55194648"/>
    <w:rsid w:val="552461C0"/>
    <w:rsid w:val="55453A7A"/>
    <w:rsid w:val="558A6446"/>
    <w:rsid w:val="55A25EB5"/>
    <w:rsid w:val="55A8024C"/>
    <w:rsid w:val="55D1137E"/>
    <w:rsid w:val="55F17E3D"/>
    <w:rsid w:val="55F946A8"/>
    <w:rsid w:val="56013634"/>
    <w:rsid w:val="56095498"/>
    <w:rsid w:val="560E6575"/>
    <w:rsid w:val="560F3F08"/>
    <w:rsid w:val="56283B32"/>
    <w:rsid w:val="56296CA5"/>
    <w:rsid w:val="56403B82"/>
    <w:rsid w:val="56552697"/>
    <w:rsid w:val="56737A53"/>
    <w:rsid w:val="568B6949"/>
    <w:rsid w:val="56911D94"/>
    <w:rsid w:val="56B93DB6"/>
    <w:rsid w:val="56C84A35"/>
    <w:rsid w:val="56CD6E18"/>
    <w:rsid w:val="56FB40BC"/>
    <w:rsid w:val="57085635"/>
    <w:rsid w:val="57115514"/>
    <w:rsid w:val="57156BE8"/>
    <w:rsid w:val="5726548E"/>
    <w:rsid w:val="57505341"/>
    <w:rsid w:val="577B094C"/>
    <w:rsid w:val="57B23567"/>
    <w:rsid w:val="57BA7517"/>
    <w:rsid w:val="581C4275"/>
    <w:rsid w:val="58337A09"/>
    <w:rsid w:val="583E61C4"/>
    <w:rsid w:val="586F1E43"/>
    <w:rsid w:val="586F4862"/>
    <w:rsid w:val="588922AD"/>
    <w:rsid w:val="58A970A4"/>
    <w:rsid w:val="58B34DC3"/>
    <w:rsid w:val="58BB7E31"/>
    <w:rsid w:val="58CA307B"/>
    <w:rsid w:val="58E47B7A"/>
    <w:rsid w:val="58ED437A"/>
    <w:rsid w:val="59086B2F"/>
    <w:rsid w:val="590A624B"/>
    <w:rsid w:val="59536819"/>
    <w:rsid w:val="59710626"/>
    <w:rsid w:val="5986311F"/>
    <w:rsid w:val="59F16D1B"/>
    <w:rsid w:val="59F54753"/>
    <w:rsid w:val="59F64C2E"/>
    <w:rsid w:val="59F705EC"/>
    <w:rsid w:val="5A023407"/>
    <w:rsid w:val="5A43120C"/>
    <w:rsid w:val="5A5D2387"/>
    <w:rsid w:val="5AA646A3"/>
    <w:rsid w:val="5AD93D12"/>
    <w:rsid w:val="5AFE2B39"/>
    <w:rsid w:val="5B197C70"/>
    <w:rsid w:val="5B2466F0"/>
    <w:rsid w:val="5B991522"/>
    <w:rsid w:val="5BBD569B"/>
    <w:rsid w:val="5BD908DB"/>
    <w:rsid w:val="5BF851D9"/>
    <w:rsid w:val="5C1807F9"/>
    <w:rsid w:val="5C2669A0"/>
    <w:rsid w:val="5C3E6BD8"/>
    <w:rsid w:val="5C45665B"/>
    <w:rsid w:val="5C5C6E6B"/>
    <w:rsid w:val="5C5D5AE4"/>
    <w:rsid w:val="5C693BC1"/>
    <w:rsid w:val="5C8177CC"/>
    <w:rsid w:val="5CA70BF7"/>
    <w:rsid w:val="5CAB7E4B"/>
    <w:rsid w:val="5CB704F4"/>
    <w:rsid w:val="5CFB6796"/>
    <w:rsid w:val="5D4F3184"/>
    <w:rsid w:val="5D583917"/>
    <w:rsid w:val="5D651A9C"/>
    <w:rsid w:val="5D995DEF"/>
    <w:rsid w:val="5D996F7B"/>
    <w:rsid w:val="5D9C760D"/>
    <w:rsid w:val="5DA3512C"/>
    <w:rsid w:val="5DF125B1"/>
    <w:rsid w:val="5E137BE1"/>
    <w:rsid w:val="5E241ABB"/>
    <w:rsid w:val="5E40121B"/>
    <w:rsid w:val="5E59106B"/>
    <w:rsid w:val="5E730761"/>
    <w:rsid w:val="5EA21892"/>
    <w:rsid w:val="5EEB71E7"/>
    <w:rsid w:val="5F0F7AEA"/>
    <w:rsid w:val="5F297B27"/>
    <w:rsid w:val="5F516ADE"/>
    <w:rsid w:val="5FA72915"/>
    <w:rsid w:val="5FA8071C"/>
    <w:rsid w:val="5FB34F3B"/>
    <w:rsid w:val="5FB96C06"/>
    <w:rsid w:val="5FEE7F62"/>
    <w:rsid w:val="5FF86841"/>
    <w:rsid w:val="6008725C"/>
    <w:rsid w:val="603C7943"/>
    <w:rsid w:val="60671FAD"/>
    <w:rsid w:val="6088202B"/>
    <w:rsid w:val="60D71FBC"/>
    <w:rsid w:val="60DA255B"/>
    <w:rsid w:val="60F9298C"/>
    <w:rsid w:val="61044E07"/>
    <w:rsid w:val="610F1155"/>
    <w:rsid w:val="6118527D"/>
    <w:rsid w:val="612069B0"/>
    <w:rsid w:val="615E7071"/>
    <w:rsid w:val="61612DAD"/>
    <w:rsid w:val="617A59EE"/>
    <w:rsid w:val="61A7056C"/>
    <w:rsid w:val="61B22A88"/>
    <w:rsid w:val="61BB1A06"/>
    <w:rsid w:val="61C559CA"/>
    <w:rsid w:val="62156422"/>
    <w:rsid w:val="624E77A6"/>
    <w:rsid w:val="62544EDF"/>
    <w:rsid w:val="628F166E"/>
    <w:rsid w:val="62A63547"/>
    <w:rsid w:val="62C136F9"/>
    <w:rsid w:val="62C41DC2"/>
    <w:rsid w:val="62E02020"/>
    <w:rsid w:val="631417F8"/>
    <w:rsid w:val="631A63BF"/>
    <w:rsid w:val="63321FBE"/>
    <w:rsid w:val="634E47CC"/>
    <w:rsid w:val="63582166"/>
    <w:rsid w:val="63677FA4"/>
    <w:rsid w:val="636D6842"/>
    <w:rsid w:val="63845015"/>
    <w:rsid w:val="63BE002C"/>
    <w:rsid w:val="63E21489"/>
    <w:rsid w:val="63F30A50"/>
    <w:rsid w:val="643273F2"/>
    <w:rsid w:val="6447561B"/>
    <w:rsid w:val="64615C72"/>
    <w:rsid w:val="646E4C00"/>
    <w:rsid w:val="648570CD"/>
    <w:rsid w:val="648E5A81"/>
    <w:rsid w:val="64AF5FBC"/>
    <w:rsid w:val="64D94835"/>
    <w:rsid w:val="65331CB0"/>
    <w:rsid w:val="65351B5C"/>
    <w:rsid w:val="65425B14"/>
    <w:rsid w:val="654C4F26"/>
    <w:rsid w:val="6596641D"/>
    <w:rsid w:val="65982E30"/>
    <w:rsid w:val="65D07F4D"/>
    <w:rsid w:val="661F06E4"/>
    <w:rsid w:val="661F6006"/>
    <w:rsid w:val="66B731D9"/>
    <w:rsid w:val="66B8062A"/>
    <w:rsid w:val="66C82C40"/>
    <w:rsid w:val="66E933D1"/>
    <w:rsid w:val="671B17CD"/>
    <w:rsid w:val="6760451E"/>
    <w:rsid w:val="67EB4E4C"/>
    <w:rsid w:val="67FE59D3"/>
    <w:rsid w:val="68003F7B"/>
    <w:rsid w:val="683B3B8A"/>
    <w:rsid w:val="68765B83"/>
    <w:rsid w:val="68BA5C76"/>
    <w:rsid w:val="68DD2F0D"/>
    <w:rsid w:val="68E97584"/>
    <w:rsid w:val="694604EB"/>
    <w:rsid w:val="695D60F8"/>
    <w:rsid w:val="695F479B"/>
    <w:rsid w:val="6983444E"/>
    <w:rsid w:val="699E7F03"/>
    <w:rsid w:val="69C2784A"/>
    <w:rsid w:val="69D8472D"/>
    <w:rsid w:val="6A027D38"/>
    <w:rsid w:val="6A1535D5"/>
    <w:rsid w:val="6A16161A"/>
    <w:rsid w:val="6A2243BC"/>
    <w:rsid w:val="6A2764A7"/>
    <w:rsid w:val="6A2A750E"/>
    <w:rsid w:val="6A662C1F"/>
    <w:rsid w:val="6A966924"/>
    <w:rsid w:val="6ABC032B"/>
    <w:rsid w:val="6ABC2E90"/>
    <w:rsid w:val="6AC42465"/>
    <w:rsid w:val="6AE4095C"/>
    <w:rsid w:val="6AF92882"/>
    <w:rsid w:val="6AFB1E33"/>
    <w:rsid w:val="6B037612"/>
    <w:rsid w:val="6B2102A7"/>
    <w:rsid w:val="6B5E680B"/>
    <w:rsid w:val="6B6511B4"/>
    <w:rsid w:val="6B655ACA"/>
    <w:rsid w:val="6B6B546E"/>
    <w:rsid w:val="6B84001F"/>
    <w:rsid w:val="6B92732F"/>
    <w:rsid w:val="6BED3B75"/>
    <w:rsid w:val="6BF23936"/>
    <w:rsid w:val="6BFF7128"/>
    <w:rsid w:val="6C243612"/>
    <w:rsid w:val="6C3A254B"/>
    <w:rsid w:val="6C6277F5"/>
    <w:rsid w:val="6C69537D"/>
    <w:rsid w:val="6C737857"/>
    <w:rsid w:val="6D2E6CF0"/>
    <w:rsid w:val="6D430A32"/>
    <w:rsid w:val="6D4D2C17"/>
    <w:rsid w:val="6DBC2479"/>
    <w:rsid w:val="6DD35512"/>
    <w:rsid w:val="6DF51426"/>
    <w:rsid w:val="6E047F5A"/>
    <w:rsid w:val="6E054E06"/>
    <w:rsid w:val="6E0B6FDB"/>
    <w:rsid w:val="6E2133B2"/>
    <w:rsid w:val="6E3A5F10"/>
    <w:rsid w:val="6E8C20AE"/>
    <w:rsid w:val="6E8D5E37"/>
    <w:rsid w:val="6E8E0FE9"/>
    <w:rsid w:val="6E9072F5"/>
    <w:rsid w:val="6EB51863"/>
    <w:rsid w:val="6EBD0DF9"/>
    <w:rsid w:val="6EC52D82"/>
    <w:rsid w:val="6EDD6A2E"/>
    <w:rsid w:val="6F2C7C8E"/>
    <w:rsid w:val="6F6B5724"/>
    <w:rsid w:val="6FE8064E"/>
    <w:rsid w:val="6FEE70D9"/>
    <w:rsid w:val="6FF1047F"/>
    <w:rsid w:val="70047BC4"/>
    <w:rsid w:val="702545E5"/>
    <w:rsid w:val="704951D7"/>
    <w:rsid w:val="705B231D"/>
    <w:rsid w:val="70966368"/>
    <w:rsid w:val="70A10BAA"/>
    <w:rsid w:val="70C06A37"/>
    <w:rsid w:val="70C96303"/>
    <w:rsid w:val="70ED04DC"/>
    <w:rsid w:val="70EE1B56"/>
    <w:rsid w:val="7109444F"/>
    <w:rsid w:val="711E6067"/>
    <w:rsid w:val="7164006A"/>
    <w:rsid w:val="7196349E"/>
    <w:rsid w:val="71C47C60"/>
    <w:rsid w:val="71F7066A"/>
    <w:rsid w:val="720C6CC9"/>
    <w:rsid w:val="72255329"/>
    <w:rsid w:val="728D5546"/>
    <w:rsid w:val="72B9520D"/>
    <w:rsid w:val="72DA18A4"/>
    <w:rsid w:val="72FF71DA"/>
    <w:rsid w:val="73266380"/>
    <w:rsid w:val="732B7EE6"/>
    <w:rsid w:val="73491F8E"/>
    <w:rsid w:val="73536C24"/>
    <w:rsid w:val="735B4F4E"/>
    <w:rsid w:val="73763558"/>
    <w:rsid w:val="738B7229"/>
    <w:rsid w:val="73A953D7"/>
    <w:rsid w:val="73F17C64"/>
    <w:rsid w:val="74082578"/>
    <w:rsid w:val="74117839"/>
    <w:rsid w:val="74181231"/>
    <w:rsid w:val="74337243"/>
    <w:rsid w:val="7447584E"/>
    <w:rsid w:val="74607B3D"/>
    <w:rsid w:val="74685B13"/>
    <w:rsid w:val="748B0ACD"/>
    <w:rsid w:val="74987214"/>
    <w:rsid w:val="74C52896"/>
    <w:rsid w:val="74E8045C"/>
    <w:rsid w:val="7569058C"/>
    <w:rsid w:val="75891E82"/>
    <w:rsid w:val="75B47553"/>
    <w:rsid w:val="75BA5828"/>
    <w:rsid w:val="75C77296"/>
    <w:rsid w:val="75C800CF"/>
    <w:rsid w:val="75D479D8"/>
    <w:rsid w:val="75E85AB6"/>
    <w:rsid w:val="75E91DAE"/>
    <w:rsid w:val="7655186D"/>
    <w:rsid w:val="767C7DCC"/>
    <w:rsid w:val="768312A4"/>
    <w:rsid w:val="76C13F12"/>
    <w:rsid w:val="76C31FDB"/>
    <w:rsid w:val="76D66638"/>
    <w:rsid w:val="77085C60"/>
    <w:rsid w:val="772205B0"/>
    <w:rsid w:val="773F69AA"/>
    <w:rsid w:val="774F187E"/>
    <w:rsid w:val="778D4A5D"/>
    <w:rsid w:val="778D5A00"/>
    <w:rsid w:val="77AA4CAB"/>
    <w:rsid w:val="77AB4435"/>
    <w:rsid w:val="78205CD3"/>
    <w:rsid w:val="78561F45"/>
    <w:rsid w:val="7859644F"/>
    <w:rsid w:val="78636F69"/>
    <w:rsid w:val="78696CE6"/>
    <w:rsid w:val="786F35D6"/>
    <w:rsid w:val="78856D19"/>
    <w:rsid w:val="78876074"/>
    <w:rsid w:val="789631FF"/>
    <w:rsid w:val="78B149FE"/>
    <w:rsid w:val="78DB1B95"/>
    <w:rsid w:val="795E0A57"/>
    <w:rsid w:val="798E1446"/>
    <w:rsid w:val="79A67DA4"/>
    <w:rsid w:val="79BF4399"/>
    <w:rsid w:val="79E441C6"/>
    <w:rsid w:val="7A1940E8"/>
    <w:rsid w:val="7A341F45"/>
    <w:rsid w:val="7A4D39CF"/>
    <w:rsid w:val="7A521489"/>
    <w:rsid w:val="7AA24EC7"/>
    <w:rsid w:val="7ABD755A"/>
    <w:rsid w:val="7AD673CF"/>
    <w:rsid w:val="7B422091"/>
    <w:rsid w:val="7B671AA9"/>
    <w:rsid w:val="7BB35E76"/>
    <w:rsid w:val="7C01069D"/>
    <w:rsid w:val="7C396B13"/>
    <w:rsid w:val="7C3C4D99"/>
    <w:rsid w:val="7C512061"/>
    <w:rsid w:val="7C665C04"/>
    <w:rsid w:val="7CF34490"/>
    <w:rsid w:val="7D051BDC"/>
    <w:rsid w:val="7D1B3982"/>
    <w:rsid w:val="7D5A3517"/>
    <w:rsid w:val="7D824065"/>
    <w:rsid w:val="7D903C4A"/>
    <w:rsid w:val="7D936CFE"/>
    <w:rsid w:val="7DB51D02"/>
    <w:rsid w:val="7DC150D5"/>
    <w:rsid w:val="7DC26CF7"/>
    <w:rsid w:val="7E1D2858"/>
    <w:rsid w:val="7E1E4FC2"/>
    <w:rsid w:val="7E374EC5"/>
    <w:rsid w:val="7E4C758C"/>
    <w:rsid w:val="7E4F2697"/>
    <w:rsid w:val="7E654662"/>
    <w:rsid w:val="7E74378E"/>
    <w:rsid w:val="7EB75C7D"/>
    <w:rsid w:val="7ED11D79"/>
    <w:rsid w:val="7EDB6DC6"/>
    <w:rsid w:val="7EFF0C26"/>
    <w:rsid w:val="7F2A322C"/>
    <w:rsid w:val="7F2B3DE0"/>
    <w:rsid w:val="7F555359"/>
    <w:rsid w:val="7FA30950"/>
    <w:rsid w:val="7FD86ACC"/>
    <w:rsid w:val="7FE87790"/>
    <w:rsid w:val="7FFF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2"/>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0"/>
    <w:pPr>
      <w:adjustRightInd w:val="0"/>
      <w:spacing w:line="312" w:lineRule="atLeast"/>
      <w:ind w:left="420" w:leftChars="200"/>
    </w:pPr>
    <w:rPr>
      <w:rFonts w:ascii="Calibri" w:hAnsi="Calibri"/>
      <w:szCs w:val="21"/>
    </w:rPr>
  </w:style>
  <w:style w:type="paragraph" w:styleId="13">
    <w:name w:val="Normal Indent"/>
    <w:basedOn w:val="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3"/>
    <w:qFormat/>
    <w:uiPriority w:val="0"/>
    <w:pPr>
      <w:shd w:val="clear" w:color="auto" w:fill="000080"/>
    </w:pPr>
    <w:rPr>
      <w:shd w:val="clear" w:color="auto" w:fill="000080"/>
    </w:rPr>
  </w:style>
  <w:style w:type="paragraph" w:styleId="16">
    <w:name w:val="annotation text"/>
    <w:basedOn w:val="1"/>
    <w:link w:val="64"/>
    <w:qFormat/>
    <w:uiPriority w:val="0"/>
    <w:pPr>
      <w:jc w:val="left"/>
    </w:pPr>
    <w:rPr>
      <w:rFonts w:ascii="宋体"/>
      <w:sz w:val="28"/>
      <w:szCs w:val="20"/>
    </w:rPr>
  </w:style>
  <w:style w:type="paragraph" w:styleId="17">
    <w:name w:val="Body Text 3"/>
    <w:basedOn w:val="1"/>
    <w:qFormat/>
    <w:uiPriority w:val="0"/>
    <w:rPr>
      <w:rFonts w:ascii="宋体"/>
      <w:sz w:val="24"/>
      <w:szCs w:val="20"/>
    </w:rPr>
  </w:style>
  <w:style w:type="paragraph" w:styleId="18">
    <w:name w:val="Body Text"/>
    <w:basedOn w:val="1"/>
    <w:link w:val="65"/>
    <w:qFormat/>
    <w:uiPriority w:val="0"/>
    <w:pPr>
      <w:spacing w:after="120"/>
    </w:pPr>
  </w:style>
  <w:style w:type="paragraph" w:styleId="19">
    <w:name w:val="Body Text Indent"/>
    <w:basedOn w:val="1"/>
    <w:next w:val="20"/>
    <w:link w:val="66"/>
    <w:qFormat/>
    <w:uiPriority w:val="0"/>
    <w:pPr>
      <w:spacing w:after="120"/>
      <w:ind w:left="420" w:leftChars="200"/>
    </w:pPr>
  </w:style>
  <w:style w:type="paragraph" w:styleId="20">
    <w:name w:val="envelope return"/>
    <w:basedOn w:val="1"/>
    <w:qFormat/>
    <w:uiPriority w:val="0"/>
    <w:pPr>
      <w:snapToGrid w:val="0"/>
    </w:pPr>
    <w:rPr>
      <w:rFonts w:ascii="Arial" w:hAnsi="Arial"/>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67"/>
    <w:qFormat/>
    <w:uiPriority w:val="0"/>
    <w:rPr>
      <w:rFonts w:ascii="Courier New" w:hAnsi="Courier New"/>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68"/>
    <w:qFormat/>
    <w:uiPriority w:val="0"/>
    <w:rPr>
      <w:sz w:val="24"/>
      <w:szCs w:val="20"/>
    </w:rPr>
  </w:style>
  <w:style w:type="paragraph" w:styleId="27">
    <w:name w:val="Body Text Indent 2"/>
    <w:basedOn w:val="1"/>
    <w:link w:val="69"/>
    <w:qFormat/>
    <w:uiPriority w:val="0"/>
    <w:pPr>
      <w:tabs>
        <w:tab w:val="left" w:pos="1080"/>
      </w:tabs>
      <w:spacing w:line="360" w:lineRule="auto"/>
      <w:ind w:firstLine="480" w:firstLineChars="200"/>
    </w:pPr>
    <w:rPr>
      <w:rFonts w:ascii="宋体" w:hAnsi="宋体"/>
      <w:sz w:val="24"/>
    </w:rPr>
  </w:style>
  <w:style w:type="paragraph" w:styleId="28">
    <w:name w:val="Balloon Text"/>
    <w:basedOn w:val="1"/>
    <w:link w:val="70"/>
    <w:qFormat/>
    <w:uiPriority w:val="0"/>
    <w:rPr>
      <w:sz w:val="18"/>
      <w:szCs w:val="18"/>
    </w:rPr>
  </w:style>
  <w:style w:type="paragraph" w:styleId="29">
    <w:name w:val="footer"/>
    <w:basedOn w:val="1"/>
    <w:link w:val="57"/>
    <w:qFormat/>
    <w:uiPriority w:val="0"/>
    <w:pPr>
      <w:tabs>
        <w:tab w:val="center" w:pos="4153"/>
        <w:tab w:val="right" w:pos="8306"/>
      </w:tabs>
      <w:snapToGrid w:val="0"/>
      <w:jc w:val="left"/>
    </w:pPr>
    <w:rPr>
      <w:sz w:val="18"/>
      <w:szCs w:val="18"/>
    </w:rPr>
  </w:style>
  <w:style w:type="paragraph" w:styleId="30">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72"/>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73"/>
    <w:qFormat/>
    <w:uiPriority w:val="0"/>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style>
  <w:style w:type="paragraph" w:styleId="42">
    <w:name w:val="Title"/>
    <w:basedOn w:val="1"/>
    <w:link w:val="74"/>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6"/>
    <w:next w:val="16"/>
    <w:link w:val="75"/>
    <w:qFormat/>
    <w:uiPriority w:val="0"/>
    <w:rPr>
      <w:rFonts w:ascii="Times New Roman"/>
      <w:b/>
      <w:bCs/>
      <w:sz w:val="21"/>
      <w:szCs w:val="24"/>
    </w:rPr>
  </w:style>
  <w:style w:type="paragraph" w:styleId="44">
    <w:name w:val="Body Text First Indent"/>
    <w:basedOn w:val="18"/>
    <w:qFormat/>
    <w:uiPriority w:val="0"/>
    <w:pPr>
      <w:autoSpaceDE/>
      <w:autoSpaceDN/>
      <w:adjustRightInd/>
      <w:spacing w:after="120" w:line="240" w:lineRule="auto"/>
      <w:ind w:firstLine="420" w:firstLineChars="100"/>
    </w:pPr>
    <w:rPr>
      <w:rFonts w:ascii="Times New Roman" w:eastAsia="宋体"/>
      <w:color w:val="auto"/>
      <w:kern w:val="2"/>
      <w:sz w:val="21"/>
      <w:szCs w:val="24"/>
    </w:rPr>
  </w:style>
  <w:style w:type="paragraph" w:styleId="45">
    <w:name w:val="Body Text First Indent 2"/>
    <w:basedOn w:val="19"/>
    <w:qFormat/>
    <w:uiPriority w:val="0"/>
    <w:pPr>
      <w:ind w:firstLine="420" w:firstLineChars="200"/>
    </w:p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0"/>
    <w:rPr>
      <w:color w:val="333333"/>
      <w:u w:val="none"/>
    </w:rPr>
  </w:style>
  <w:style w:type="character" w:styleId="51">
    <w:name w:val="Emphasis"/>
    <w:qFormat/>
    <w:uiPriority w:val="0"/>
    <w:rPr>
      <w:i/>
      <w:iCs/>
    </w:rPr>
  </w:style>
  <w:style w:type="character" w:styleId="52">
    <w:name w:val="Hyperlink"/>
    <w:basedOn w:val="47"/>
    <w:qFormat/>
    <w:uiPriority w:val="0"/>
    <w:rPr>
      <w:color w:val="333333"/>
      <w:u w:val="none"/>
    </w:rPr>
  </w:style>
  <w:style w:type="character" w:styleId="53">
    <w:name w:val="HTML Code"/>
    <w:qFormat/>
    <w:uiPriority w:val="0"/>
    <w:rPr>
      <w:rFonts w:ascii="Courier New" w:hAnsi="Courier New"/>
      <w:sz w:val="20"/>
    </w:rPr>
  </w:style>
  <w:style w:type="character" w:styleId="54">
    <w:name w:val="annotation reference"/>
    <w:basedOn w:val="47"/>
    <w:qFormat/>
    <w:uiPriority w:val="0"/>
    <w:rPr>
      <w:sz w:val="21"/>
      <w:szCs w:val="21"/>
    </w:rPr>
  </w:style>
  <w:style w:type="character" w:styleId="55">
    <w:name w:val="HTML Cite"/>
    <w:qFormat/>
    <w:uiPriority w:val="0"/>
  </w:style>
  <w:style w:type="character" w:styleId="56">
    <w:name w:val="footnote reference"/>
    <w:basedOn w:val="47"/>
    <w:qFormat/>
    <w:uiPriority w:val="0"/>
    <w:rPr>
      <w:vertAlign w:val="superscript"/>
    </w:rPr>
  </w:style>
  <w:style w:type="character" w:customStyle="1" w:styleId="57">
    <w:name w:val="页脚 Char"/>
    <w:link w:val="29"/>
    <w:qFormat/>
    <w:uiPriority w:val="0"/>
    <w:rPr>
      <w:kern w:val="2"/>
      <w:sz w:val="18"/>
      <w:szCs w:val="18"/>
    </w:rPr>
  </w:style>
  <w:style w:type="character" w:customStyle="1" w:styleId="58">
    <w:name w:val="标题 1 Char"/>
    <w:basedOn w:val="47"/>
    <w:link w:val="2"/>
    <w:qFormat/>
    <w:uiPriority w:val="0"/>
    <w:rPr>
      <w:rFonts w:eastAsia="宋体"/>
      <w:b/>
      <w:bCs/>
      <w:kern w:val="44"/>
      <w:sz w:val="44"/>
      <w:szCs w:val="44"/>
      <w:lang w:val="en-US" w:eastAsia="zh-CN" w:bidi="ar-SA"/>
    </w:rPr>
  </w:style>
  <w:style w:type="character" w:customStyle="1" w:styleId="59">
    <w:name w:val="标题 2 Char"/>
    <w:basedOn w:val="47"/>
    <w:link w:val="3"/>
    <w:qFormat/>
    <w:uiPriority w:val="0"/>
    <w:rPr>
      <w:rFonts w:ascii="Arial" w:hAnsi="Arial" w:eastAsia="黑体"/>
      <w:b/>
      <w:bCs/>
      <w:kern w:val="2"/>
      <w:sz w:val="32"/>
      <w:szCs w:val="32"/>
      <w:lang w:val="en-US" w:eastAsia="zh-CN" w:bidi="ar-SA"/>
    </w:rPr>
  </w:style>
  <w:style w:type="character" w:customStyle="1" w:styleId="60">
    <w:name w:val="标题 3 Char"/>
    <w:link w:val="4"/>
    <w:qFormat/>
    <w:uiPriority w:val="0"/>
    <w:rPr>
      <w:b/>
      <w:bCs/>
      <w:kern w:val="2"/>
      <w:sz w:val="32"/>
      <w:szCs w:val="32"/>
    </w:rPr>
  </w:style>
  <w:style w:type="character" w:customStyle="1" w:styleId="61">
    <w:name w:val="标题 4 Char"/>
    <w:link w:val="5"/>
    <w:qFormat/>
    <w:uiPriority w:val="0"/>
    <w:rPr>
      <w:rFonts w:ascii="Arial" w:hAnsi="Arial" w:eastAsia="黑体"/>
      <w:b/>
      <w:bCs/>
      <w:kern w:val="2"/>
      <w:sz w:val="28"/>
      <w:szCs w:val="28"/>
    </w:rPr>
  </w:style>
  <w:style w:type="character" w:customStyle="1" w:styleId="62">
    <w:name w:val="标题 5 Char"/>
    <w:basedOn w:val="47"/>
    <w:link w:val="6"/>
    <w:qFormat/>
    <w:uiPriority w:val="0"/>
    <w:rPr>
      <w:b/>
      <w:bCs/>
      <w:kern w:val="2"/>
      <w:sz w:val="28"/>
      <w:szCs w:val="28"/>
    </w:rPr>
  </w:style>
  <w:style w:type="character" w:customStyle="1" w:styleId="63">
    <w:name w:val="文档结构图 Char"/>
    <w:link w:val="15"/>
    <w:qFormat/>
    <w:uiPriority w:val="0"/>
    <w:rPr>
      <w:kern w:val="2"/>
      <w:sz w:val="21"/>
      <w:szCs w:val="24"/>
      <w:shd w:val="clear" w:color="auto" w:fill="000080"/>
    </w:rPr>
  </w:style>
  <w:style w:type="character" w:customStyle="1" w:styleId="64">
    <w:name w:val="批注文字 Char"/>
    <w:basedOn w:val="47"/>
    <w:link w:val="16"/>
    <w:qFormat/>
    <w:uiPriority w:val="0"/>
    <w:rPr>
      <w:rFonts w:ascii="宋体" w:hAnsi="Times New Roman" w:eastAsia="宋体" w:cs="Times New Roman"/>
      <w:sz w:val="28"/>
      <w:szCs w:val="20"/>
    </w:rPr>
  </w:style>
  <w:style w:type="character" w:customStyle="1" w:styleId="65">
    <w:name w:val="正文文本 Char"/>
    <w:link w:val="18"/>
    <w:qFormat/>
    <w:uiPriority w:val="0"/>
    <w:rPr>
      <w:kern w:val="2"/>
      <w:sz w:val="21"/>
      <w:szCs w:val="24"/>
    </w:rPr>
  </w:style>
  <w:style w:type="character" w:customStyle="1" w:styleId="66">
    <w:name w:val="正文文本缩进 Char"/>
    <w:link w:val="19"/>
    <w:qFormat/>
    <w:uiPriority w:val="0"/>
    <w:rPr>
      <w:kern w:val="2"/>
      <w:sz w:val="21"/>
      <w:szCs w:val="24"/>
    </w:rPr>
  </w:style>
  <w:style w:type="character" w:customStyle="1" w:styleId="67">
    <w:name w:val="纯文本 Char"/>
    <w:basedOn w:val="47"/>
    <w:link w:val="24"/>
    <w:qFormat/>
    <w:uiPriority w:val="0"/>
    <w:rPr>
      <w:rFonts w:ascii="Courier New" w:hAnsi="Courier New"/>
      <w:kern w:val="2"/>
      <w:sz w:val="21"/>
    </w:rPr>
  </w:style>
  <w:style w:type="character" w:customStyle="1" w:styleId="68">
    <w:name w:val="日期 Char"/>
    <w:link w:val="26"/>
    <w:qFormat/>
    <w:uiPriority w:val="0"/>
    <w:rPr>
      <w:kern w:val="2"/>
      <w:sz w:val="24"/>
    </w:rPr>
  </w:style>
  <w:style w:type="character" w:customStyle="1" w:styleId="69">
    <w:name w:val="正文文本缩进 2 Char"/>
    <w:link w:val="27"/>
    <w:qFormat/>
    <w:uiPriority w:val="0"/>
    <w:rPr>
      <w:rFonts w:ascii="宋体" w:hAnsi="宋体"/>
      <w:kern w:val="2"/>
      <w:sz w:val="24"/>
      <w:szCs w:val="24"/>
    </w:rPr>
  </w:style>
  <w:style w:type="character" w:customStyle="1" w:styleId="70">
    <w:name w:val="批注框文本 Char"/>
    <w:link w:val="28"/>
    <w:qFormat/>
    <w:uiPriority w:val="0"/>
    <w:rPr>
      <w:kern w:val="2"/>
      <w:sz w:val="18"/>
      <w:szCs w:val="18"/>
    </w:rPr>
  </w:style>
  <w:style w:type="character" w:customStyle="1" w:styleId="71">
    <w:name w:val="页眉 Char"/>
    <w:link w:val="30"/>
    <w:qFormat/>
    <w:uiPriority w:val="0"/>
    <w:rPr>
      <w:kern w:val="2"/>
      <w:sz w:val="18"/>
      <w:szCs w:val="18"/>
    </w:rPr>
  </w:style>
  <w:style w:type="character" w:customStyle="1" w:styleId="72">
    <w:name w:val="副标题 Char"/>
    <w:basedOn w:val="47"/>
    <w:link w:val="33"/>
    <w:qFormat/>
    <w:uiPriority w:val="0"/>
    <w:rPr>
      <w:rFonts w:ascii="Cambria" w:hAnsi="Cambria" w:cs="Times New Roman"/>
      <w:b/>
      <w:bCs/>
      <w:kern w:val="28"/>
      <w:sz w:val="32"/>
      <w:szCs w:val="32"/>
    </w:rPr>
  </w:style>
  <w:style w:type="character" w:customStyle="1" w:styleId="73">
    <w:name w:val="脚注文本 Char"/>
    <w:basedOn w:val="47"/>
    <w:link w:val="34"/>
    <w:qFormat/>
    <w:uiPriority w:val="0"/>
    <w:rPr>
      <w:rFonts w:eastAsia="宋体"/>
      <w:kern w:val="2"/>
      <w:lang w:val="en-US" w:eastAsia="zh-CN" w:bidi="ar-SA"/>
    </w:rPr>
  </w:style>
  <w:style w:type="character" w:customStyle="1" w:styleId="74">
    <w:name w:val="标题 Char"/>
    <w:link w:val="42"/>
    <w:qFormat/>
    <w:uiPriority w:val="0"/>
    <w:rPr>
      <w:rFonts w:ascii="Arial" w:hAnsi="Arial"/>
      <w:b/>
      <w:sz w:val="32"/>
    </w:rPr>
  </w:style>
  <w:style w:type="character" w:customStyle="1" w:styleId="75">
    <w:name w:val="批注主题 Char"/>
    <w:link w:val="43"/>
    <w:qFormat/>
    <w:uiPriority w:val="0"/>
    <w:rPr>
      <w:b/>
      <w:bCs/>
      <w:kern w:val="2"/>
      <w:sz w:val="21"/>
      <w:szCs w:val="24"/>
    </w:rPr>
  </w:style>
  <w:style w:type="character" w:customStyle="1" w:styleId="76">
    <w:name w:val="Char Char18"/>
    <w:qFormat/>
    <w:uiPriority w:val="0"/>
    <w:rPr>
      <w:rFonts w:ascii="Times New Roman" w:hAnsi="Times New Roman" w:eastAsia="宋体" w:cs="Times New Roman"/>
      <w:b/>
      <w:bCs/>
      <w:sz w:val="28"/>
      <w:szCs w:val="28"/>
    </w:rPr>
  </w:style>
  <w:style w:type="character" w:customStyle="1" w:styleId="77">
    <w:name w:val="Char Char9"/>
    <w:qFormat/>
    <w:uiPriority w:val="0"/>
    <w:rPr>
      <w:rFonts w:eastAsia="宋体"/>
      <w:b/>
      <w:bCs/>
      <w:kern w:val="44"/>
      <w:sz w:val="32"/>
      <w:szCs w:val="44"/>
      <w:lang w:val="en-US" w:eastAsia="zh-CN" w:bidi="ar-SA"/>
    </w:rPr>
  </w:style>
  <w:style w:type="character" w:customStyle="1" w:styleId="78">
    <w:name w:val="Char Char24"/>
    <w:qFormat/>
    <w:uiPriority w:val="0"/>
    <w:rPr>
      <w:rFonts w:eastAsia="宋体"/>
      <w:b/>
      <w:bCs/>
      <w:kern w:val="44"/>
      <w:sz w:val="32"/>
      <w:szCs w:val="44"/>
      <w:lang w:val="en-US" w:eastAsia="zh-CN" w:bidi="ar-SA"/>
    </w:rPr>
  </w:style>
  <w:style w:type="character" w:customStyle="1" w:styleId="79">
    <w:name w:val="明显引用 Char"/>
    <w:link w:val="80"/>
    <w:qFormat/>
    <w:uiPriority w:val="0"/>
    <w:rPr>
      <w:b/>
      <w:bCs/>
      <w:i/>
      <w:iCs/>
      <w:color w:val="4F81BD"/>
    </w:rPr>
  </w:style>
  <w:style w:type="paragraph" w:styleId="80">
    <w:name w:val="Intense Quote"/>
    <w:basedOn w:val="1"/>
    <w:next w:val="1"/>
    <w:link w:val="7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1">
    <w:name w:val="Heading 1 Char"/>
    <w:qFormat/>
    <w:uiPriority w:val="0"/>
    <w:rPr>
      <w:rFonts w:eastAsia="宋体"/>
      <w:b/>
      <w:bCs/>
      <w:kern w:val="44"/>
      <w:sz w:val="32"/>
      <w:szCs w:val="44"/>
      <w:lang w:val="en-US" w:eastAsia="zh-CN" w:bidi="ar-SA"/>
    </w:rPr>
  </w:style>
  <w:style w:type="character" w:customStyle="1" w:styleId="82">
    <w:name w:val="Heading 5 Char"/>
    <w:qFormat/>
    <w:uiPriority w:val="0"/>
    <w:rPr>
      <w:rFonts w:eastAsia="宋体"/>
      <w:b/>
      <w:bCs/>
      <w:kern w:val="2"/>
      <w:sz w:val="28"/>
      <w:szCs w:val="28"/>
      <w:lang w:val="en-US" w:eastAsia="zh-CN" w:bidi="ar-SA"/>
    </w:rPr>
  </w:style>
  <w:style w:type="character" w:customStyle="1" w:styleId="83">
    <w:name w:val="日期 Char1"/>
    <w:qFormat/>
    <w:uiPriority w:val="0"/>
    <w:rPr>
      <w:rFonts w:ascii="Times New Roman" w:hAnsi="Times New Roman" w:eastAsia="宋体" w:cs="Times New Roman"/>
      <w:szCs w:val="24"/>
    </w:rPr>
  </w:style>
  <w:style w:type="character" w:customStyle="1" w:styleId="84">
    <w:name w:val=" Char Char7"/>
    <w:basedOn w:val="47"/>
    <w:qFormat/>
    <w:uiPriority w:val="0"/>
    <w:rPr>
      <w:rFonts w:ascii="Arial" w:hAnsi="Arial" w:eastAsia="黑体"/>
      <w:b/>
      <w:bCs/>
      <w:kern w:val="2"/>
      <w:sz w:val="32"/>
      <w:szCs w:val="32"/>
      <w:lang w:val="en-US" w:eastAsia="zh-CN" w:bidi="ar-SA"/>
    </w:rPr>
  </w:style>
  <w:style w:type="character" w:customStyle="1" w:styleId="85">
    <w:name w:val="Body Text Indent 2 Char"/>
    <w:qFormat/>
    <w:uiPriority w:val="0"/>
    <w:rPr>
      <w:rFonts w:eastAsia="宋体"/>
      <w:kern w:val="2"/>
      <w:sz w:val="21"/>
      <w:szCs w:val="24"/>
      <w:lang w:val="en-US" w:eastAsia="zh-CN" w:bidi="ar-SA"/>
    </w:rPr>
  </w:style>
  <w:style w:type="character" w:customStyle="1" w:styleId="86">
    <w:name w:val="标题 Char1"/>
    <w:qFormat/>
    <w:uiPriority w:val="0"/>
    <w:rPr>
      <w:rFonts w:ascii="Cambria" w:hAnsi="Cambria" w:eastAsia="宋体" w:cs="Times New Roman"/>
      <w:b/>
      <w:bCs/>
      <w:sz w:val="32"/>
      <w:szCs w:val="32"/>
    </w:rPr>
  </w:style>
  <w:style w:type="character" w:customStyle="1" w:styleId="87">
    <w:name w:val="Book Title"/>
    <w:qFormat/>
    <w:uiPriority w:val="0"/>
    <w:rPr>
      <w:b/>
      <w:bCs/>
      <w:smallCaps/>
      <w:spacing w:val="5"/>
    </w:rPr>
  </w:style>
  <w:style w:type="character" w:customStyle="1" w:styleId="88">
    <w:name w:val="Footnote Text Char"/>
    <w:qFormat/>
    <w:uiPriority w:val="0"/>
    <w:rPr>
      <w:rFonts w:eastAsia="宋体"/>
      <w:sz w:val="18"/>
      <w:lang w:val="en-US" w:eastAsia="zh-CN" w:bidi="ar-SA"/>
    </w:rPr>
  </w:style>
  <w:style w:type="character" w:customStyle="1" w:styleId="89">
    <w:name w:val="current"/>
    <w:qFormat/>
    <w:uiPriority w:val="0"/>
    <w:rPr>
      <w:color w:val="FFFFFF"/>
      <w:bdr w:val="single" w:color="028BD3" w:sz="6" w:space="0"/>
      <w:shd w:val="clear" w:color="auto" w:fill="028BD3"/>
    </w:rPr>
  </w:style>
  <w:style w:type="character" w:customStyle="1" w:styleId="90">
    <w:name w:val=" Char Char8"/>
    <w:basedOn w:val="47"/>
    <w:qFormat/>
    <w:uiPriority w:val="0"/>
    <w:rPr>
      <w:rFonts w:ascii="Arial" w:hAnsi="Arial" w:eastAsia="黑体"/>
      <w:b/>
      <w:bCs/>
      <w:kern w:val="2"/>
      <w:sz w:val="32"/>
      <w:szCs w:val="32"/>
      <w:lang w:val="en-US" w:eastAsia="zh-CN" w:bidi="ar-SA"/>
    </w:rPr>
  </w:style>
  <w:style w:type="character" w:customStyle="1" w:styleId="91">
    <w:name w:val="引用 Char"/>
    <w:link w:val="92"/>
    <w:qFormat/>
    <w:uiPriority w:val="0"/>
    <w:rPr>
      <w:i/>
      <w:iCs/>
      <w:color w:val="000000"/>
    </w:rPr>
  </w:style>
  <w:style w:type="paragraph" w:styleId="92">
    <w:name w:val="Quote"/>
    <w:basedOn w:val="1"/>
    <w:next w:val="1"/>
    <w:link w:val="91"/>
    <w:qFormat/>
    <w:uiPriority w:val="0"/>
    <w:rPr>
      <w:i/>
      <w:iCs/>
      <w:color w:val="000000"/>
      <w:kern w:val="0"/>
      <w:sz w:val="20"/>
      <w:szCs w:val="20"/>
    </w:rPr>
  </w:style>
  <w:style w:type="character" w:customStyle="1" w:styleId="93">
    <w:name w:val="font161"/>
    <w:basedOn w:val="47"/>
    <w:qFormat/>
    <w:uiPriority w:val="0"/>
    <w:rPr>
      <w:b/>
      <w:bCs/>
      <w:sz w:val="32"/>
      <w:szCs w:val="32"/>
    </w:rPr>
  </w:style>
  <w:style w:type="character" w:customStyle="1" w:styleId="94">
    <w:name w:val="引用 Char1"/>
    <w:qFormat/>
    <w:uiPriority w:val="0"/>
    <w:rPr>
      <w:rFonts w:ascii="Times New Roman" w:hAnsi="Times New Roman" w:eastAsia="宋体" w:cs="Times New Roman"/>
      <w:i/>
      <w:iCs/>
      <w:color w:val="000000"/>
      <w:szCs w:val="24"/>
    </w:rPr>
  </w:style>
  <w:style w:type="character" w:customStyle="1" w:styleId="95">
    <w:name w:val="批注文字 Char2"/>
    <w:qFormat/>
    <w:uiPriority w:val="0"/>
    <w:rPr>
      <w:kern w:val="2"/>
      <w:sz w:val="21"/>
      <w:szCs w:val="24"/>
      <w:lang w:bidi="ar-SA"/>
    </w:rPr>
  </w:style>
  <w:style w:type="character" w:customStyle="1" w:styleId="96">
    <w:name w:val="Heading 3 Char"/>
    <w:qFormat/>
    <w:uiPriority w:val="0"/>
    <w:rPr>
      <w:rFonts w:cs="Times New Roman"/>
      <w:b/>
      <w:bCs/>
      <w:kern w:val="2"/>
      <w:sz w:val="32"/>
      <w:szCs w:val="32"/>
    </w:rPr>
  </w:style>
  <w:style w:type="character" w:customStyle="1" w:styleId="97">
    <w:name w:val="Char Char21"/>
    <w:qFormat/>
    <w:uiPriority w:val="0"/>
    <w:rPr>
      <w:rFonts w:ascii="Arial" w:hAnsi="Arial" w:eastAsia="黑体" w:cs="Times New Roman"/>
      <w:b/>
      <w:bCs/>
      <w:sz w:val="32"/>
      <w:szCs w:val="32"/>
    </w:rPr>
  </w:style>
  <w:style w:type="character" w:customStyle="1" w:styleId="98">
    <w:name w:val="textcontents"/>
    <w:qFormat/>
    <w:uiPriority w:val="0"/>
    <w:rPr>
      <w:rFonts w:cs="Times New Roman"/>
    </w:rPr>
  </w:style>
  <w:style w:type="character" w:customStyle="1" w:styleId="99">
    <w:name w:val="标题 Char2"/>
    <w:qFormat/>
    <w:uiPriority w:val="0"/>
    <w:rPr>
      <w:rFonts w:ascii="Cambria" w:hAnsi="Cambria" w:eastAsia="宋体" w:cs="Times New Roman"/>
      <w:b/>
      <w:bCs/>
      <w:sz w:val="32"/>
      <w:szCs w:val="32"/>
    </w:rPr>
  </w:style>
  <w:style w:type="character" w:customStyle="1" w:styleId="100">
    <w:name w:val="Char Char22"/>
    <w:qFormat/>
    <w:uiPriority w:val="0"/>
    <w:rPr>
      <w:rFonts w:ascii="Times New Roman" w:hAnsi="Times New Roman" w:eastAsia="宋体" w:cs="Times New Roman"/>
      <w:b/>
      <w:bCs/>
      <w:kern w:val="44"/>
      <w:sz w:val="32"/>
      <w:szCs w:val="44"/>
    </w:rPr>
  </w:style>
  <w:style w:type="character" w:customStyle="1" w:styleId="101">
    <w:name w:val="明显引用 Char1"/>
    <w:qFormat/>
    <w:uiPriority w:val="0"/>
    <w:rPr>
      <w:rFonts w:ascii="Times New Roman" w:hAnsi="Times New Roman" w:eastAsia="宋体" w:cs="Times New Roman"/>
      <w:b/>
      <w:bCs/>
      <w:i/>
      <w:iCs/>
      <w:color w:val="4F81BD"/>
      <w:szCs w:val="24"/>
    </w:rPr>
  </w:style>
  <w:style w:type="character" w:customStyle="1" w:styleId="102">
    <w:name w:val="纯文本 Char1"/>
    <w:qFormat/>
    <w:uiPriority w:val="0"/>
    <w:rPr>
      <w:rFonts w:ascii="宋体" w:hAnsi="Courier New" w:eastAsia="宋体" w:cs="Courier New"/>
      <w:szCs w:val="21"/>
    </w:rPr>
  </w:style>
  <w:style w:type="character" w:customStyle="1" w:styleId="103">
    <w:name w:val="Body Text Indent Char"/>
    <w:qFormat/>
    <w:uiPriority w:val="0"/>
    <w:rPr>
      <w:rFonts w:ascii="宋体" w:hAnsi="宋体" w:eastAsia="宋体"/>
      <w:kern w:val="2"/>
      <w:sz w:val="21"/>
      <w:lang w:val="en-US" w:eastAsia="zh-CN" w:bidi="ar-SA"/>
    </w:rPr>
  </w:style>
  <w:style w:type="character" w:customStyle="1" w:styleId="104">
    <w:name w:val="Plain Text Char"/>
    <w:qFormat/>
    <w:uiPriority w:val="0"/>
    <w:rPr>
      <w:rFonts w:ascii="宋体" w:hAnsi="Courier New" w:eastAsia="宋体"/>
      <w:sz w:val="24"/>
      <w:lang w:bidi="ar-SA"/>
    </w:rPr>
  </w:style>
  <w:style w:type="character" w:customStyle="1" w:styleId="105">
    <w:name w:val="Date Char"/>
    <w:qFormat/>
    <w:uiPriority w:val="0"/>
    <w:rPr>
      <w:rFonts w:eastAsia="宋体"/>
      <w:kern w:val="2"/>
      <w:sz w:val="21"/>
      <w:szCs w:val="24"/>
      <w:lang w:val="en-US" w:eastAsia="zh-CN" w:bidi="ar-SA"/>
    </w:rPr>
  </w:style>
  <w:style w:type="character" w:customStyle="1" w:styleId="106">
    <w:name w:val="正文文本 Char1"/>
    <w:qFormat/>
    <w:uiPriority w:val="0"/>
    <w:rPr>
      <w:kern w:val="2"/>
      <w:sz w:val="21"/>
      <w:szCs w:val="22"/>
    </w:rPr>
  </w:style>
  <w:style w:type="character" w:customStyle="1" w:styleId="107">
    <w:name w:val="Char Char6"/>
    <w:qFormat/>
    <w:uiPriority w:val="0"/>
    <w:rPr>
      <w:rFonts w:eastAsia="宋体"/>
      <w:b/>
      <w:bCs/>
      <w:kern w:val="44"/>
      <w:sz w:val="32"/>
      <w:szCs w:val="44"/>
      <w:lang w:val="en-US" w:eastAsia="zh-CN" w:bidi="ar-SA"/>
    </w:rPr>
  </w:style>
  <w:style w:type="character" w:customStyle="1" w:styleId="108">
    <w:name w:val="Char Char181"/>
    <w:qFormat/>
    <w:uiPriority w:val="0"/>
    <w:rPr>
      <w:b/>
      <w:bCs/>
      <w:kern w:val="44"/>
      <w:sz w:val="44"/>
      <w:szCs w:val="44"/>
    </w:rPr>
  </w:style>
  <w:style w:type="character" w:customStyle="1" w:styleId="109">
    <w:name w:val="bsharetext"/>
    <w:basedOn w:val="47"/>
    <w:qFormat/>
    <w:uiPriority w:val="0"/>
  </w:style>
  <w:style w:type="character" w:customStyle="1" w:styleId="110">
    <w:name w:val="明显引用 Char2"/>
    <w:basedOn w:val="47"/>
    <w:qFormat/>
    <w:uiPriority w:val="0"/>
    <w:rPr>
      <w:b/>
      <w:bCs/>
      <w:i/>
      <w:iCs/>
      <w:color w:val="4F81BD"/>
      <w:kern w:val="2"/>
      <w:sz w:val="21"/>
      <w:szCs w:val="24"/>
    </w:rPr>
  </w:style>
  <w:style w:type="character" w:customStyle="1" w:styleId="111">
    <w:name w:val="Comment Text Char1"/>
    <w:qFormat/>
    <w:uiPriority w:val="0"/>
    <w:rPr>
      <w:sz w:val="24"/>
      <w:lang w:bidi="ar-SA"/>
    </w:rPr>
  </w:style>
  <w:style w:type="character" w:customStyle="1" w:styleId="112">
    <w:name w:val="批注主题 Char1"/>
    <w:qFormat/>
    <w:uiPriority w:val="0"/>
    <w:rPr>
      <w:rFonts w:ascii="Times New Roman" w:hAnsi="Times New Roman" w:eastAsia="宋体" w:cs="Times New Roman"/>
      <w:b/>
      <w:bCs/>
      <w:szCs w:val="24"/>
    </w:rPr>
  </w:style>
  <w:style w:type="character" w:customStyle="1" w:styleId="113">
    <w:name w:val="Char Char20"/>
    <w:qFormat/>
    <w:uiPriority w:val="0"/>
    <w:rPr>
      <w:rFonts w:ascii="Times New Roman" w:hAnsi="Times New Roman" w:eastAsia="宋体" w:cs="Times New Roman"/>
      <w:b/>
      <w:bCs/>
      <w:sz w:val="24"/>
      <w:szCs w:val="32"/>
    </w:rPr>
  </w:style>
  <w:style w:type="character" w:customStyle="1" w:styleId="114">
    <w:name w:val=" Char Char2"/>
    <w:basedOn w:val="47"/>
    <w:qFormat/>
    <w:uiPriority w:val="0"/>
    <w:rPr>
      <w:rFonts w:eastAsia="宋体"/>
      <w:kern w:val="2"/>
      <w:sz w:val="21"/>
      <w:szCs w:val="24"/>
      <w:lang w:val="en-US" w:eastAsia="zh-CN" w:bidi="ar-SA"/>
    </w:rPr>
  </w:style>
  <w:style w:type="character" w:customStyle="1" w:styleId="115">
    <w:name w:val="Heading 4 Char"/>
    <w:qFormat/>
    <w:uiPriority w:val="0"/>
    <w:rPr>
      <w:rFonts w:ascii="Arial" w:hAnsi="Arial" w:eastAsia="宋体"/>
      <w:b/>
      <w:bCs/>
      <w:kern w:val="2"/>
      <w:sz w:val="21"/>
      <w:szCs w:val="28"/>
      <w:lang w:val="en-US" w:eastAsia="zh-CN" w:bidi="ar-SA"/>
    </w:rPr>
  </w:style>
  <w:style w:type="character" w:customStyle="1" w:styleId="116">
    <w:name w:val="Comment Text Char"/>
    <w:qFormat/>
    <w:uiPriority w:val="0"/>
    <w:rPr>
      <w:rFonts w:cs="Times New Roman"/>
      <w:sz w:val="24"/>
      <w:szCs w:val="24"/>
    </w:rPr>
  </w:style>
  <w:style w:type="character" w:customStyle="1" w:styleId="117">
    <w:name w:val="Balloon Text Char"/>
    <w:qFormat/>
    <w:uiPriority w:val="0"/>
    <w:rPr>
      <w:sz w:val="18"/>
      <w:lang w:bidi="ar-SA"/>
    </w:rPr>
  </w:style>
  <w:style w:type="character" w:customStyle="1" w:styleId="118">
    <w:name w:val="文档结构图 Char1"/>
    <w:qFormat/>
    <w:uiPriority w:val="0"/>
    <w:rPr>
      <w:rFonts w:ascii="宋体" w:hAnsi="Times New Roman" w:eastAsia="宋体" w:cs="Times New Roman"/>
      <w:sz w:val="18"/>
      <w:szCs w:val="18"/>
    </w:rPr>
  </w:style>
  <w:style w:type="character" w:customStyle="1" w:styleId="119">
    <w:name w:val="批注文字 Char1"/>
    <w:qFormat/>
    <w:uiPriority w:val="99"/>
    <w:rPr>
      <w:rFonts w:ascii="Times New Roman" w:hAnsi="Times New Roman" w:eastAsia="宋体" w:cs="Times New Roman"/>
      <w:szCs w:val="24"/>
    </w:rPr>
  </w:style>
  <w:style w:type="character" w:customStyle="1" w:styleId="120">
    <w:name w:val="Header Char"/>
    <w:qFormat/>
    <w:uiPriority w:val="0"/>
    <w:rPr>
      <w:rFonts w:eastAsia="宋体"/>
      <w:kern w:val="2"/>
      <w:sz w:val="18"/>
      <w:szCs w:val="18"/>
      <w:lang w:val="en-US" w:eastAsia="zh-CN" w:bidi="ar-SA"/>
    </w:rPr>
  </w:style>
  <w:style w:type="character" w:customStyle="1" w:styleId="121">
    <w:name w:val="Heading 3 Char1"/>
    <w:qFormat/>
    <w:uiPriority w:val="0"/>
    <w:rPr>
      <w:rFonts w:eastAsia="宋体"/>
      <w:b/>
      <w:bCs/>
      <w:kern w:val="2"/>
      <w:sz w:val="24"/>
      <w:szCs w:val="32"/>
      <w:lang w:val="en-US" w:eastAsia="zh-CN" w:bidi="ar-SA"/>
    </w:rPr>
  </w:style>
  <w:style w:type="character" w:customStyle="1" w:styleId="122">
    <w:name w:val="Intense Emphasis"/>
    <w:qFormat/>
    <w:uiPriority w:val="0"/>
    <w:rPr>
      <w:b/>
      <w:bCs/>
      <w:i/>
      <w:iCs/>
      <w:color w:val="4F81BD"/>
    </w:rPr>
  </w:style>
  <w:style w:type="character" w:customStyle="1" w:styleId="123">
    <w:name w:val="Char Char23"/>
    <w:qFormat/>
    <w:uiPriority w:val="0"/>
    <w:rPr>
      <w:rFonts w:eastAsia="宋体"/>
      <w:b/>
      <w:bCs/>
      <w:kern w:val="44"/>
      <w:sz w:val="32"/>
      <w:szCs w:val="44"/>
      <w:lang w:val="en-US" w:eastAsia="zh-CN" w:bidi="ar-SA"/>
    </w:rPr>
  </w:style>
  <w:style w:type="character" w:customStyle="1" w:styleId="124">
    <w:name w:val="Heading 2 Char"/>
    <w:qFormat/>
    <w:uiPriority w:val="0"/>
    <w:rPr>
      <w:rFonts w:ascii="Arial" w:hAnsi="Arial" w:eastAsia="黑体"/>
      <w:b/>
      <w:bCs/>
      <w:kern w:val="2"/>
      <w:sz w:val="32"/>
      <w:szCs w:val="32"/>
      <w:lang w:val="en-US" w:eastAsia="zh-CN" w:bidi="ar-SA"/>
    </w:rPr>
  </w:style>
  <w:style w:type="character" w:customStyle="1" w:styleId="125">
    <w:name w:val=" Char Char Char"/>
    <w:basedOn w:val="47"/>
    <w:qFormat/>
    <w:uiPriority w:val="0"/>
    <w:rPr>
      <w:rFonts w:ascii="Arial" w:hAnsi="Arial" w:eastAsia="黑体"/>
      <w:b/>
      <w:bCs/>
      <w:kern w:val="2"/>
      <w:sz w:val="32"/>
      <w:szCs w:val="32"/>
      <w:lang w:val="en-US" w:eastAsia="zh-CN" w:bidi="ar-SA"/>
    </w:rPr>
  </w:style>
  <w:style w:type="character" w:customStyle="1" w:styleId="126">
    <w:name w:val="标题4 Char Char"/>
    <w:link w:val="127"/>
    <w:qFormat/>
    <w:uiPriority w:val="0"/>
    <w:rPr>
      <w:rFonts w:ascii="Arial" w:hAnsi="Arial"/>
      <w:b/>
      <w:bCs/>
      <w:sz w:val="24"/>
      <w:szCs w:val="32"/>
    </w:rPr>
  </w:style>
  <w:style w:type="paragraph" w:customStyle="1" w:styleId="127">
    <w:name w:val="标题4"/>
    <w:basedOn w:val="3"/>
    <w:next w:val="21"/>
    <w:link w:val="126"/>
    <w:qFormat/>
    <w:uiPriority w:val="0"/>
    <w:pPr>
      <w:spacing w:before="60" w:after="60" w:line="413" w:lineRule="auto"/>
    </w:pPr>
    <w:rPr>
      <w:rFonts w:eastAsia="宋体"/>
      <w:kern w:val="0"/>
      <w:sz w:val="24"/>
    </w:rPr>
  </w:style>
  <w:style w:type="character" w:customStyle="1" w:styleId="128">
    <w:name w:val="批注框文本 Char1"/>
    <w:qFormat/>
    <w:uiPriority w:val="0"/>
    <w:rPr>
      <w:rFonts w:ascii="Times New Roman" w:hAnsi="Times New Roman" w:eastAsia="宋体" w:cs="Times New Roman"/>
      <w:sz w:val="18"/>
      <w:szCs w:val="18"/>
    </w:rPr>
  </w:style>
  <w:style w:type="character" w:customStyle="1" w:styleId="129">
    <w:name w:val="标题5 Char Char"/>
    <w:link w:val="130"/>
    <w:qFormat/>
    <w:uiPriority w:val="0"/>
    <w:rPr>
      <w:rFonts w:ascii="Arial" w:hAnsi="Arial"/>
      <w:b/>
      <w:bCs/>
      <w:sz w:val="24"/>
      <w:szCs w:val="32"/>
    </w:rPr>
  </w:style>
  <w:style w:type="paragraph" w:customStyle="1" w:styleId="130">
    <w:name w:val="标题5"/>
    <w:basedOn w:val="4"/>
    <w:link w:val="129"/>
    <w:qFormat/>
    <w:uiPriority w:val="0"/>
    <w:pPr>
      <w:spacing w:line="413" w:lineRule="auto"/>
    </w:pPr>
    <w:rPr>
      <w:rFonts w:ascii="Arial" w:hAnsi="Arial"/>
      <w:kern w:val="0"/>
      <w:sz w:val="24"/>
    </w:rPr>
  </w:style>
  <w:style w:type="character" w:customStyle="1" w:styleId="131">
    <w:name w:val="Intense Reference"/>
    <w:qFormat/>
    <w:uiPriority w:val="0"/>
    <w:rPr>
      <w:b/>
      <w:bCs/>
      <w:smallCaps/>
      <w:color w:val="C0504D"/>
      <w:spacing w:val="5"/>
      <w:u w:val="single"/>
    </w:rPr>
  </w:style>
  <w:style w:type="character" w:customStyle="1" w:styleId="132">
    <w:name w:val="Document Map Char"/>
    <w:qFormat/>
    <w:uiPriority w:val="0"/>
    <w:rPr>
      <w:rFonts w:eastAsia="宋体"/>
      <w:kern w:val="2"/>
      <w:sz w:val="21"/>
      <w:szCs w:val="24"/>
      <w:lang w:val="en-US" w:eastAsia="zh-CN" w:bidi="ar-SA"/>
    </w:rPr>
  </w:style>
  <w:style w:type="character" w:customStyle="1" w:styleId="133">
    <w:name w:val="disabled"/>
    <w:qFormat/>
    <w:uiPriority w:val="0"/>
    <w:rPr>
      <w:vanish/>
    </w:rPr>
  </w:style>
  <w:style w:type="character" w:customStyle="1" w:styleId="134">
    <w:name w:val="Comment Subject Char"/>
    <w:qFormat/>
    <w:uiPriority w:val="0"/>
    <w:rPr>
      <w:b/>
      <w:sz w:val="24"/>
      <w:lang w:bidi="ar-SA"/>
    </w:rPr>
  </w:style>
  <w:style w:type="character" w:customStyle="1" w:styleId="135">
    <w:name w:val="Title Char"/>
    <w:qFormat/>
    <w:uiPriority w:val="0"/>
    <w:rPr>
      <w:rFonts w:ascii="Cambria" w:hAnsi="Cambria"/>
      <w:b/>
      <w:sz w:val="32"/>
      <w:lang w:bidi="ar-SA"/>
    </w:rPr>
  </w:style>
  <w:style w:type="character" w:customStyle="1" w:styleId="136">
    <w:name w:val="Char Char19"/>
    <w:qFormat/>
    <w:uiPriority w:val="0"/>
    <w:rPr>
      <w:rFonts w:ascii="Arial" w:hAnsi="Arial" w:eastAsia="宋体" w:cs="Times New Roman"/>
      <w:b/>
      <w:bCs/>
      <w:szCs w:val="28"/>
    </w:rPr>
  </w:style>
  <w:style w:type="character" w:customStyle="1" w:styleId="137">
    <w:name w:val="Footer Char"/>
    <w:qFormat/>
    <w:uiPriority w:val="0"/>
    <w:rPr>
      <w:rFonts w:eastAsia="宋体"/>
      <w:kern w:val="2"/>
      <w:sz w:val="18"/>
      <w:szCs w:val="18"/>
      <w:lang w:val="en-US" w:eastAsia="zh-CN" w:bidi="ar-SA"/>
    </w:rPr>
  </w:style>
  <w:style w:type="character" w:customStyle="1" w:styleId="138">
    <w:name w:val="Char Char91"/>
    <w:qFormat/>
    <w:uiPriority w:val="0"/>
    <w:rPr>
      <w:rFonts w:eastAsia="宋体"/>
      <w:b/>
      <w:bCs/>
      <w:kern w:val="44"/>
      <w:sz w:val="32"/>
      <w:szCs w:val="44"/>
      <w:lang w:val="en-US" w:eastAsia="zh-CN" w:bidi="ar-SA"/>
    </w:rPr>
  </w:style>
  <w:style w:type="character" w:customStyle="1" w:styleId="139">
    <w:name w:val="Subtle Emphasis"/>
    <w:qFormat/>
    <w:uiPriority w:val="0"/>
    <w:rPr>
      <w:i/>
      <w:iCs/>
      <w:color w:val="808080"/>
    </w:rPr>
  </w:style>
  <w:style w:type="character" w:customStyle="1" w:styleId="140">
    <w:name w:val="引用 Char2"/>
    <w:basedOn w:val="47"/>
    <w:qFormat/>
    <w:uiPriority w:val="0"/>
    <w:rPr>
      <w:i/>
      <w:iCs/>
      <w:color w:val="000000"/>
      <w:kern w:val="2"/>
      <w:sz w:val="21"/>
      <w:szCs w:val="24"/>
    </w:rPr>
  </w:style>
  <w:style w:type="character" w:customStyle="1" w:styleId="141">
    <w:name w:val="Subtle Reference"/>
    <w:qFormat/>
    <w:uiPriority w:val="0"/>
    <w:rPr>
      <w:smallCaps/>
      <w:color w:val="C0504D"/>
      <w:u w:val="single"/>
    </w:rPr>
  </w:style>
  <w:style w:type="paragraph" w:customStyle="1" w:styleId="14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纯文本_0"/>
    <w:basedOn w:val="143"/>
    <w:qFormat/>
    <w:uiPriority w:val="99"/>
    <w:rPr>
      <w:rFonts w:ascii="宋体" w:hAnsi="Courier New" w:cs="宋体"/>
      <w:kern w:val="0"/>
      <w:sz w:val="24"/>
      <w:szCs w:val="24"/>
    </w:rPr>
  </w:style>
  <w:style w:type="paragraph" w:customStyle="1" w:styleId="14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7">
    <w:name w:val="表格"/>
    <w:basedOn w:val="1"/>
    <w:qFormat/>
    <w:uiPriority w:val="0"/>
    <w:pPr>
      <w:jc w:val="center"/>
      <w:textAlignment w:val="center"/>
    </w:pPr>
    <w:rPr>
      <w:rFonts w:ascii="华文细黑" w:hAnsi="华文细黑"/>
      <w:kern w:val="0"/>
      <w:szCs w:val="20"/>
    </w:rPr>
  </w:style>
  <w:style w:type="paragraph" w:customStyle="1" w:styleId="148">
    <w:name w:val="_Style 37"/>
    <w:basedOn w:val="1"/>
    <w:next w:val="1"/>
    <w:qFormat/>
    <w:uiPriority w:val="0"/>
  </w:style>
  <w:style w:type="paragraph" w:customStyle="1" w:styleId="149">
    <w:name w:val="正文_3_0"/>
    <w:basedOn w:val="150"/>
    <w:qFormat/>
    <w:uiPriority w:val="0"/>
    <w:rPr>
      <w:rFonts w:cs="宋体"/>
      <w:szCs w:val="21"/>
    </w:rPr>
  </w:style>
  <w:style w:type="paragraph" w:customStyle="1" w:styleId="15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53">
    <w:name w:val="_Style 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Revision"/>
    <w:qFormat/>
    <w:uiPriority w:val="0"/>
    <w:rPr>
      <w:rFonts w:ascii="Times New Roman" w:hAnsi="Times New Roman" w:eastAsia="宋体" w:cs="Times New Roman"/>
      <w:kern w:val="2"/>
      <w:sz w:val="21"/>
      <w:szCs w:val="24"/>
      <w:lang w:val="en-US" w:eastAsia="zh-CN" w:bidi="ar-SA"/>
    </w:rPr>
  </w:style>
  <w:style w:type="paragraph" w:customStyle="1" w:styleId="155">
    <w:name w:val=" Char"/>
    <w:basedOn w:val="1"/>
    <w:qFormat/>
    <w:uiPriority w:val="0"/>
    <w:pPr>
      <w:tabs>
        <w:tab w:val="left" w:pos="360"/>
      </w:tabs>
    </w:pPr>
    <w:rPr>
      <w:sz w:val="24"/>
    </w:rPr>
  </w:style>
  <w:style w:type="paragraph" w:customStyle="1" w:styleId="156">
    <w:name w:val="TOC Heading"/>
    <w:basedOn w:val="2"/>
    <w:next w:val="1"/>
    <w:qFormat/>
    <w:uiPriority w:val="0"/>
    <w:pPr>
      <w:outlineLvl w:val="9"/>
    </w:pPr>
    <w:rPr>
      <w:rFonts w:ascii="Calibri" w:hAnsi="Calibri" w:eastAsia="黑体"/>
    </w:rPr>
  </w:style>
  <w:style w:type="paragraph" w:customStyle="1" w:styleId="157">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样式2"/>
    <w:basedOn w:val="4"/>
    <w:qFormat/>
    <w:uiPriority w:val="0"/>
  </w:style>
  <w:style w:type="paragraph" w:customStyle="1" w:styleId="15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样式3"/>
    <w:basedOn w:val="4"/>
    <w:qFormat/>
    <w:uiPriority w:val="0"/>
    <w:rPr>
      <w:rFonts w:eastAsia="Arial"/>
    </w:rPr>
  </w:style>
  <w:style w:type="paragraph" w:customStyle="1" w:styleId="16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6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56"/>
      <w:sz w:val="28"/>
      <w:szCs w:val="28"/>
      <w:lang w:val="en-US" w:eastAsia="zh-CN" w:bidi="ar-SA"/>
    </w:rPr>
  </w:style>
  <w:style w:type="paragraph" w:customStyle="1" w:styleId="16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标题 4_1"/>
    <w:basedOn w:val="143"/>
    <w:next w:val="150"/>
    <w:qFormat/>
    <w:uiPriority w:val="0"/>
    <w:pPr>
      <w:keepNext/>
      <w:keepLines/>
      <w:spacing w:before="280" w:after="290" w:line="372" w:lineRule="auto"/>
      <w:outlineLvl w:val="3"/>
    </w:pPr>
    <w:rPr>
      <w:rFonts w:ascii="Cambria" w:hAnsi="Cambria"/>
      <w:b/>
      <w:bCs/>
      <w:kern w:val="0"/>
      <w:sz w:val="28"/>
      <w:szCs w:val="28"/>
    </w:rPr>
  </w:style>
  <w:style w:type="paragraph" w:customStyle="1" w:styleId="166">
    <w:name w:val="样式1"/>
    <w:basedOn w:val="4"/>
    <w:qFormat/>
    <w:uiPriority w:val="0"/>
    <w:rPr>
      <w:rFonts w:eastAsia="Arial"/>
    </w:rPr>
  </w:style>
  <w:style w:type="paragraph" w:customStyle="1" w:styleId="167">
    <w:name w:val="Char Char Char Char Char Char Char"/>
    <w:basedOn w:val="1"/>
    <w:qFormat/>
    <w:uiPriority w:val="0"/>
    <w:pPr>
      <w:widowControl/>
      <w:spacing w:after="160" w:line="240" w:lineRule="exact"/>
      <w:jc w:val="left"/>
    </w:pPr>
  </w:style>
  <w:style w:type="paragraph" w:customStyle="1" w:styleId="16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6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_3_0_0_0_0"/>
    <w:basedOn w:val="157"/>
    <w:qFormat/>
    <w:uiPriority w:val="0"/>
    <w:rPr>
      <w:rFonts w:ascii="Times New Roman" w:hAnsi="Times New Roman"/>
      <w:szCs w:val="21"/>
    </w:rPr>
  </w:style>
  <w:style w:type="paragraph" w:customStyle="1" w:styleId="171">
    <w:name w:val="标题 2 New"/>
    <w:basedOn w:val="164"/>
    <w:next w:val="164"/>
    <w:qFormat/>
    <w:uiPriority w:val="0"/>
    <w:pPr>
      <w:keepNext/>
      <w:keepLines/>
      <w:spacing w:before="260" w:after="260" w:line="413" w:lineRule="auto"/>
      <w:outlineLvl w:val="1"/>
    </w:pPr>
    <w:rPr>
      <w:rFonts w:ascii="Arial" w:hAnsi="Arial" w:eastAsia="黑体"/>
      <w:b/>
      <w:bCs/>
      <w:sz w:val="32"/>
      <w:szCs w:val="32"/>
    </w:rPr>
  </w:style>
  <w:style w:type="paragraph" w:customStyle="1" w:styleId="172">
    <w:name w:val="样式4"/>
    <w:basedOn w:val="4"/>
    <w:qFormat/>
    <w:uiPriority w:val="0"/>
    <w:rPr>
      <w:rFonts w:eastAsia="Arial"/>
    </w:rPr>
  </w:style>
  <w:style w:type="paragraph" w:customStyle="1" w:styleId="1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Char"/>
    <w:basedOn w:val="1"/>
    <w:qFormat/>
    <w:uiPriority w:val="0"/>
    <w:pPr>
      <w:widowControl/>
      <w:spacing w:after="160" w:line="240" w:lineRule="exact"/>
      <w:jc w:val="left"/>
    </w:pPr>
  </w:style>
  <w:style w:type="paragraph" w:customStyle="1" w:styleId="176">
    <w:name w:val="标题 4_0"/>
    <w:basedOn w:val="177"/>
    <w:next w:val="180"/>
    <w:unhideWhenUsed/>
    <w:qFormat/>
    <w:uiPriority w:val="9"/>
    <w:pPr>
      <w:keepNext/>
      <w:keepLines/>
      <w:spacing w:before="280" w:after="290" w:line="376" w:lineRule="auto"/>
      <w:outlineLvl w:val="3"/>
    </w:pPr>
    <w:rPr>
      <w:rFonts w:ascii="Cambria" w:hAnsi="Cambria"/>
      <w:b/>
      <w:bCs/>
      <w:sz w:val="28"/>
      <w:szCs w:val="28"/>
    </w:rPr>
  </w:style>
  <w:style w:type="paragraph" w:customStyle="1" w:styleId="177">
    <w:name w:val="正文_2_0"/>
    <w:next w:val="17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8">
    <w:name w:val="正文首行缩进_0"/>
    <w:basedOn w:val="179"/>
    <w:qFormat/>
    <w:uiPriority w:val="0"/>
    <w:pPr>
      <w:autoSpaceDE/>
      <w:autoSpaceDN/>
      <w:adjustRightInd/>
      <w:spacing w:after="120" w:line="240" w:lineRule="auto"/>
      <w:ind w:firstLine="420" w:firstLineChars="100"/>
    </w:pPr>
    <w:rPr>
      <w:rFonts w:ascii="Times New Roman" w:eastAsia="宋体"/>
      <w:color w:val="auto"/>
      <w:kern w:val="2"/>
      <w:sz w:val="21"/>
      <w:szCs w:val="24"/>
    </w:rPr>
  </w:style>
  <w:style w:type="paragraph" w:customStyle="1" w:styleId="179">
    <w:name w:val="正文文本_1"/>
    <w:basedOn w:val="177"/>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18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标题 3_0"/>
    <w:basedOn w:val="180"/>
    <w:next w:val="180"/>
    <w:unhideWhenUsed/>
    <w:qFormat/>
    <w:uiPriority w:val="9"/>
    <w:pPr>
      <w:keepNext/>
      <w:keepLines/>
      <w:spacing w:before="260" w:after="260" w:line="416" w:lineRule="auto"/>
      <w:outlineLvl w:val="2"/>
    </w:pPr>
    <w:rPr>
      <w:rFonts w:ascii="Times New Roman" w:hAnsi="Times New Roman"/>
      <w:b/>
      <w:bCs/>
      <w:sz w:val="32"/>
      <w:szCs w:val="32"/>
    </w:rPr>
  </w:style>
  <w:style w:type="paragraph" w:customStyle="1" w:styleId="18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3">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84">
    <w:name w:val="1"/>
    <w:basedOn w:val="1"/>
    <w:next w:val="1"/>
    <w:qFormat/>
    <w:uiPriority w:val="0"/>
  </w:style>
  <w:style w:type="paragraph" w:customStyle="1" w:styleId="185">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86">
    <w:name w:val=" Char Char Char Char Char Char Char"/>
    <w:basedOn w:val="1"/>
    <w:qFormat/>
    <w:uiPriority w:val="0"/>
    <w:pPr>
      <w:snapToGrid w:val="0"/>
      <w:spacing w:line="360" w:lineRule="auto"/>
      <w:ind w:firstLine="200" w:firstLineChars="200"/>
    </w:pPr>
  </w:style>
  <w:style w:type="paragraph" w:customStyle="1" w:styleId="1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8">
    <w:name w:val="2-2ji"/>
    <w:basedOn w:val="3"/>
    <w:qFormat/>
    <w:uiPriority w:val="0"/>
    <w:pPr>
      <w:spacing w:before="0" w:after="0" w:line="360" w:lineRule="auto"/>
      <w:jc w:val="center"/>
    </w:pPr>
    <w:rPr>
      <w:rFonts w:ascii="宋体" w:hAnsi="宋体" w:eastAsia="宋体"/>
      <w:sz w:val="36"/>
      <w:szCs w:val="24"/>
    </w:rPr>
  </w:style>
  <w:style w:type="paragraph" w:customStyle="1" w:styleId="189">
    <w:name w:val="Normal"/>
    <w:qFormat/>
    <w:uiPriority w:val="0"/>
    <w:pPr>
      <w:spacing w:line="384" w:lineRule="auto"/>
    </w:pPr>
    <w:rPr>
      <w:rFonts w:ascii="宋体" w:hAnsi="宋体" w:eastAsia="宋体" w:cs="Times New Roman"/>
      <w:sz w:val="24"/>
      <w:szCs w:val="24"/>
      <w:lang w:val="en-US" w:eastAsia="zh-CN" w:bidi="ar-SA"/>
    </w:rPr>
  </w:style>
  <w:style w:type="paragraph" w:styleId="19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1">
    <w:name w:val="List Paragraph"/>
    <w:basedOn w:val="1"/>
    <w:qFormat/>
    <w:uiPriority w:val="0"/>
    <w:pPr>
      <w:ind w:firstLine="420" w:firstLineChars="200"/>
    </w:pPr>
    <w:rPr>
      <w:rFonts w:ascii="Calibri" w:hAnsi="Calibri"/>
      <w:szCs w:val="22"/>
    </w:rPr>
  </w:style>
  <w:style w:type="paragraph" w:customStyle="1" w:styleId="192">
    <w:name w:val="正文文本_0"/>
    <w:basedOn w:val="143"/>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193">
    <w:name w:val="slStyle1"/>
    <w:basedOn w:val="1"/>
    <w:next w:val="1"/>
    <w:qFormat/>
    <w:uiPriority w:val="0"/>
    <w:pPr>
      <w:overflowPunct w:val="0"/>
      <w:autoSpaceDE w:val="0"/>
      <w:autoSpaceDN w:val="0"/>
      <w:spacing w:before="100" w:beforeAutospacing="1" w:after="100" w:afterAutospacing="1" w:line="440" w:lineRule="exact"/>
      <w:jc w:val="center"/>
      <w:outlineLvl w:val="0"/>
    </w:pPr>
    <w:rPr>
      <w:rFonts w:ascii="宋体" w:hAnsi="宋体"/>
      <w:b/>
      <w:color w:val="000000"/>
      <w:sz w:val="44"/>
      <w:szCs w:val="44"/>
      <w:u w:color="000000"/>
    </w:rPr>
  </w:style>
  <w:style w:type="paragraph" w:customStyle="1" w:styleId="194">
    <w:name w:val="_Style 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_Style 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表格文字"/>
    <w:basedOn w:val="1"/>
    <w:qFormat/>
    <w:uiPriority w:val="0"/>
    <w:pPr>
      <w:adjustRightInd w:val="0"/>
      <w:spacing w:line="420" w:lineRule="atLeast"/>
      <w:jc w:val="left"/>
      <w:textAlignment w:val="baseline"/>
    </w:pPr>
    <w:rPr>
      <w:kern w:val="0"/>
      <w:szCs w:val="20"/>
    </w:rPr>
  </w:style>
  <w:style w:type="paragraph" w:customStyle="1" w:styleId="197">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List Paragraph1"/>
    <w:basedOn w:val="1"/>
    <w:qFormat/>
    <w:uiPriority w:val="0"/>
    <w:pPr>
      <w:ind w:firstLine="420" w:firstLineChars="200"/>
    </w:pPr>
  </w:style>
  <w:style w:type="paragraph" w:customStyle="1" w:styleId="199">
    <w:name w:val="列出段落1"/>
    <w:basedOn w:val="1"/>
    <w:qFormat/>
    <w:uiPriority w:val="0"/>
    <w:pPr>
      <w:ind w:firstLine="420" w:firstLineChars="200"/>
    </w:pPr>
    <w:rPr>
      <w:rFonts w:ascii="Calibri" w:hAnsi="Calibri"/>
      <w:szCs w:val="22"/>
    </w:rPr>
  </w:style>
  <w:style w:type="paragraph" w:customStyle="1" w:styleId="200">
    <w:name w:val="标题 3_1"/>
    <w:basedOn w:val="150"/>
    <w:next w:val="150"/>
    <w:qFormat/>
    <w:uiPriority w:val="0"/>
    <w:pPr>
      <w:keepNext/>
      <w:keepLines/>
      <w:spacing w:before="260" w:after="260" w:line="413" w:lineRule="auto"/>
      <w:outlineLvl w:val="2"/>
    </w:pPr>
    <w:rPr>
      <w:b/>
      <w:bCs/>
      <w:kern w:val="0"/>
      <w:sz w:val="32"/>
      <w:szCs w:val="32"/>
    </w:rPr>
  </w:style>
  <w:style w:type="paragraph" w:customStyle="1" w:styleId="201">
    <w:name w:val="p0"/>
    <w:basedOn w:val="1"/>
    <w:qFormat/>
    <w:uiPriority w:val="0"/>
    <w:pPr>
      <w:widowControl/>
    </w:pPr>
    <w:rPr>
      <w:rFonts w:ascii="Calibri" w:hAnsi="Calibri" w:cs="宋体"/>
      <w:kern w:val="0"/>
      <w:szCs w:val="21"/>
    </w:rPr>
  </w:style>
  <w:style w:type="paragraph" w:customStyle="1" w:styleId="202">
    <w:name w:val="纯文本 New"/>
    <w:basedOn w:val="1"/>
    <w:qFormat/>
    <w:uiPriority w:val="0"/>
    <w:rPr>
      <w:rFonts w:ascii="宋体" w:hAnsi="Courier New"/>
      <w:szCs w:val="28"/>
    </w:rPr>
  </w:style>
  <w:style w:type="paragraph" w:customStyle="1" w:styleId="203">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204">
    <w:name w:val="Char1"/>
    <w:basedOn w:val="1"/>
    <w:qFormat/>
    <w:uiPriority w:val="0"/>
    <w:pPr>
      <w:widowControl/>
      <w:spacing w:after="160" w:line="240" w:lineRule="exact"/>
      <w:jc w:val="left"/>
    </w:pPr>
  </w:style>
  <w:style w:type="paragraph" w:customStyle="1" w:styleId="205">
    <w:name w:val="正文 New New New New New New New New New New"/>
    <w:qFormat/>
    <w:uiPriority w:val="0"/>
    <w:pPr>
      <w:widowControl w:val="0"/>
      <w:jc w:val="both"/>
    </w:pPr>
    <w:rPr>
      <w:rFonts w:ascii="Times New Roman" w:hAnsi="Times New Roman" w:eastAsia="仿宋_GB2312" w:cs="Times New Roman"/>
      <w:kern w:val="56"/>
      <w:sz w:val="28"/>
      <w:szCs w:val="28"/>
      <w:lang w:val="en-US" w:eastAsia="zh-CN" w:bidi="ar-SA"/>
    </w:rPr>
  </w:style>
  <w:style w:type="paragraph" w:customStyle="1" w:styleId="20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段"/>
    <w:next w:val="1"/>
    <w:qFormat/>
    <w:uiPriority w:val="0"/>
    <w:pPr>
      <w:autoSpaceDE w:val="0"/>
      <w:autoSpaceDN w:val="0"/>
      <w:ind w:firstLine="200"/>
      <w:jc w:val="both"/>
    </w:pPr>
    <w:rPr>
      <w:rFonts w:ascii="宋体" w:hAnsi="Calibri" w:eastAsia="宋体" w:cs="Mongolian Bait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53"/>
    <customShpInfo spid="_x0000_s2052"/>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e510</Company>
  <Pages>142</Pages>
  <Words>41279</Words>
  <Characters>43822</Characters>
  <Lines>776</Lines>
  <Paragraphs>218</Paragraphs>
  <TotalTime>211</TotalTime>
  <ScaleCrop>false</ScaleCrop>
  <LinksUpToDate>false</LinksUpToDate>
  <CharactersWithSpaces>44948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2021-12-20T00:35:00Z</dcterms:created>
  <dc:creator>e510</dc:creator>
  <cp:lastModifiedBy>Administrator</cp:lastModifiedBy>
  <cp:lastPrinted>2026-06-01T01:24:00Z</cp:lastPrinted>
  <dcterms:modified xsi:type="dcterms:W3CDTF">2026-06-03T04:00:36Z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EE04FE53CC114C54BAE861DA8C3FE30B</vt:lpwstr>
  </property>
  <property fmtid="{D5CDD505-2E9C-101B-9397-08002B2CF9AE}" pid="4" name="KSOTemplateDocerSaveRecord">
    <vt:lpwstr>eyJoZGlkIjoiYTNiMDI3NzlkMjUwNDQzODNlNWU5YjU5YjVhNjg4M2YifQ==</vt:lpwstr>
  </property>
</Properties>
</file>