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9"/>
        <w:rPr>
          <w:rFonts w:hint="eastAsia" w:ascii="宋体" w:hAnsi="宋体" w:cs="宋体"/>
          <w:b/>
          <w:bCs/>
          <w:color w:val="auto"/>
          <w:sz w:val="48"/>
          <w:szCs w:val="48"/>
          <w:highlight w:val="none"/>
        </w:rPr>
      </w:pPr>
      <w:r>
        <w:rPr>
          <w:rFonts w:hint="eastAsia" w:ascii="宋体" w:hAnsi="宋体" w:cs="宋体"/>
          <w:b/>
          <w:bCs/>
          <w:color w:val="auto"/>
          <w:sz w:val="48"/>
          <w:szCs w:val="48"/>
          <w:highlight w:val="none"/>
        </w:rPr>
        <w:t>广西同泽工程项目管理股份有限公司</w:t>
      </w:r>
    </w:p>
    <w:p>
      <w:pPr>
        <w:tabs>
          <w:tab w:val="left" w:pos="4410"/>
        </w:tabs>
        <w:spacing w:before="165" w:beforeLines="50" w:line="360" w:lineRule="auto"/>
        <w:jc w:val="center"/>
        <w:rPr>
          <w:rFonts w:hint="eastAsia" w:ascii="宋体" w:hAnsi="宋体"/>
          <w:color w:val="auto"/>
          <w:sz w:val="52"/>
          <w:szCs w:val="52"/>
          <w:highlight w:val="none"/>
        </w:rPr>
      </w:pPr>
      <w:r>
        <w:rPr>
          <w:rFonts w:hint="eastAsia" w:ascii="宋体" w:hAnsi="宋体" w:cs="宋体"/>
          <w:color w:val="auto"/>
          <w:sz w:val="20"/>
          <w:highlight w:val="none"/>
        </w:rPr>
        <mc:AlternateContent>
          <mc:Choice Requires="wps">
            <w:drawing>
              <wp:anchor distT="0" distB="0" distL="114300" distR="114300" simplePos="0" relativeHeight="251662336" behindDoc="0" locked="0" layoutInCell="1" allowOverlap="1">
                <wp:simplePos x="0" y="0"/>
                <wp:positionH relativeFrom="column">
                  <wp:posOffset>184150</wp:posOffset>
                </wp:positionH>
                <wp:positionV relativeFrom="paragraph">
                  <wp:posOffset>250825</wp:posOffset>
                </wp:positionV>
                <wp:extent cx="5944235" cy="8255"/>
                <wp:effectExtent l="0" t="28575" r="18415" b="39370"/>
                <wp:wrapNone/>
                <wp:docPr id="13" name="直接连接符 13"/>
                <wp:cNvGraphicFramePr/>
                <a:graphic xmlns:a="http://schemas.openxmlformats.org/drawingml/2006/main">
                  <a:graphicData uri="http://schemas.microsoft.com/office/word/2010/wordprocessingShape">
                    <wps:wsp>
                      <wps:cNvCnPr/>
                      <wps:spPr>
                        <a:xfrm flipV="1">
                          <a:off x="0" y="0"/>
                          <a:ext cx="5944235" cy="8255"/>
                        </a:xfrm>
                        <a:prstGeom prst="line">
                          <a:avLst/>
                        </a:prstGeom>
                        <a:ln w="57150" cap="flat" cmpd="thickThin">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5pt;margin-top:19.75pt;height:0.65pt;width:468.05pt;z-index:251662336;mso-width-relative:page;mso-height-relative:page;" filled="f" stroked="t" coordsize="21600,21600" o:gfxdata="UEsDBAoAAAAAAIdO4kAAAAAAAAAAAAAAAAAEAAAAZHJzL1BLAwQUAAAACACHTuJAnN5IRtgAAAAI&#10;AQAADwAAAGRycy9kb3ducmV2LnhtbE2PzU7DMBCE70i8g7VI3KidllZNyKaqkBA9QQkV522yJBHx&#10;OsTuDzw95gTH0YxmvslXZ9urI4++c4KQTAwolsrVnTQIu9eHmyUoH0hq6p0wwhd7WBWXFzlltTvJ&#10;Cx/L0KhYIj4jhDaEIdPaVy1b8hM3sETv3Y2WQpRjo+uRTrHc9npqzEJb6iQutDTwfcvVR3mwCKWR&#10;57f1bLdJ6XP7uH5KnP92G8Trq8TcgQp8Dn9h+MWP6FBEpr07SO1VjzBN45WAMEvnoKKfLuYJqD3C&#10;rVmCLnL9/0DxA1BLAwQUAAAACACHTuJA4/s+zgQCAAD6AwAADgAAAGRycy9lMm9Eb2MueG1srVO9&#10;jhMxEO6ReAfLPdkkd4Fjlc0VF44GQSTu6Cf+yVr4T7aTTV6CF0Cig4qSnrfheIwbe5cAR5OCLayx&#10;59vP830znl/ujSY7EaJytqGT0ZgSYZnjym4aentz/eSCkpjActDOioYeRKSXi8eP5p2vxdS1TnMR&#10;CJLYWHe+oW1Kvq6qyFphII6cFxaT0gUDCbdhU/EAHbIbXU3H46dV5wL3wTERI54u+yQdGMMphE5K&#10;xcTSsa0RNvWsQWhIKCm2yke6KNVKKVh6I2UUieiGotJUVrwE43Veq8Uc6k0A3yo2lACnlPBAkwFl&#10;8dIj1RISkG1Q/1AZxYKLTqYRc6bqhRRHUMVk/MCbty14UbSg1dEfTY//j5a93q0CURwn4YwSCwY7&#10;fvfx248Pn39+/4Tr3dcvBDNoU+djjegruwrDLvpVyJr3MhgitfLvkKW4gLrIvph8OJos9okwPJw9&#10;Pz+fns0oYZi7mM5mmbzqWTKbDzG9FM6QHDRUK5stgBp2r2Lqob8g+Vhb0iHps8kMW8oAB1LiIGBo&#10;PIpK2Nb3N+3QnOi04tdK6/xjDJv1lQ5kB3k0yjdU8hcs37WE2Pa4ksowqFsB/IXlJB08embxrdBc&#10;iRGcEi3waeWoIBMofQoSTdAWvchO997maO34AVu09UFtWjRkUqrMGRyJ4twwvnnm/twXpt9PdnE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N5IRtgAAAAIAQAADwAAAAAAAAABACAAAAAiAAAAZHJz&#10;L2Rvd25yZXYueG1sUEsBAhQAFAAAAAgAh07iQOP7Ps4EAgAA+gMAAA4AAAAAAAAAAQAgAAAAJwEA&#10;AGRycy9lMm9Eb2MueG1sUEsFBgAAAAAGAAYAWQEAAJ0FAAAAAA==&#10;">
                <v:fill on="f" focussize="0,0"/>
                <v:stroke weight="4.5pt" color="#000000" linestyle="thickThin" joinstyle="round"/>
                <v:imagedata o:title=""/>
                <o:lock v:ext="edit" aspectratio="f"/>
              </v:line>
            </w:pict>
          </mc:Fallback>
        </mc:AlternateContent>
      </w:r>
      <w:r>
        <w:rPr>
          <w:rFonts w:hint="eastAsia" w:ascii="楷体_GB2312" w:hAnsi="宋体" w:eastAsia="楷体_GB2312"/>
          <w:b/>
          <w:bCs/>
          <w:color w:val="auto"/>
          <w:sz w:val="32"/>
          <w:highlight w:val="none"/>
        </w:rPr>
        <w:drawing>
          <wp:anchor distT="0" distB="0" distL="114300" distR="114300" simplePos="0" relativeHeight="251660288" behindDoc="1" locked="0" layoutInCell="1" allowOverlap="1">
            <wp:simplePos x="0" y="0"/>
            <wp:positionH relativeFrom="column">
              <wp:posOffset>1755775</wp:posOffset>
            </wp:positionH>
            <wp:positionV relativeFrom="paragraph">
              <wp:posOffset>607060</wp:posOffset>
            </wp:positionV>
            <wp:extent cx="2413000" cy="1764665"/>
            <wp:effectExtent l="0" t="0" r="6350" b="6985"/>
            <wp:wrapTight wrapText="bothSides">
              <wp:wrapPolygon>
                <wp:start x="0" y="0"/>
                <wp:lineTo x="0" y="21452"/>
                <wp:lineTo x="21486" y="21452"/>
                <wp:lineTo x="21486" y="0"/>
                <wp:lineTo x="0" y="0"/>
              </wp:wrapPolygon>
            </wp:wrapTight>
            <wp:docPr id="12" name="图片 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公司logo"/>
                    <pic:cNvPicPr>
                      <a:picLocks noChangeAspect="1"/>
                    </pic:cNvPicPr>
                  </pic:nvPicPr>
                  <pic:blipFill>
                    <a:blip r:embed="rId20"/>
                    <a:stretch>
                      <a:fillRect/>
                    </a:stretch>
                  </pic:blipFill>
                  <pic:spPr>
                    <a:xfrm>
                      <a:off x="0" y="0"/>
                      <a:ext cx="2413000" cy="1764665"/>
                    </a:xfrm>
                    <a:prstGeom prst="rect">
                      <a:avLst/>
                    </a:prstGeom>
                    <a:noFill/>
                    <a:ln>
                      <a:noFill/>
                    </a:ln>
                  </pic:spPr>
                </pic:pic>
              </a:graphicData>
            </a:graphic>
          </wp:anchor>
        </w:drawing>
      </w:r>
      <w:r>
        <w:rPr>
          <w:rFonts w:hint="eastAsia" w:ascii="宋体" w:hAnsi="宋体" w:cs="宋体"/>
          <w:b/>
          <w:bCs/>
          <w:color w:val="auto"/>
          <w:sz w:val="10"/>
          <w:highlight w:val="none"/>
        </w:rPr>
        <w:t xml:space="preserve">                                                </w:t>
      </w:r>
    </w:p>
    <w:p>
      <w:pPr>
        <w:spacing w:before="165" w:beforeLines="50" w:line="360" w:lineRule="auto"/>
        <w:jc w:val="center"/>
        <w:rPr>
          <w:rFonts w:hint="eastAsia" w:ascii="华文新魏" w:hAnsi="宋体" w:eastAsia="华文新魏"/>
          <w:color w:val="auto"/>
          <w:sz w:val="72"/>
          <w:szCs w:val="72"/>
          <w:highlight w:val="none"/>
        </w:rPr>
      </w:pPr>
      <w:bookmarkStart w:id="0" w:name="_Toc8153"/>
      <w:bookmarkStart w:id="1" w:name="_Toc2267"/>
    </w:p>
    <w:p>
      <w:pPr>
        <w:spacing w:before="165" w:beforeLines="50" w:line="360" w:lineRule="auto"/>
        <w:jc w:val="center"/>
        <w:rPr>
          <w:rFonts w:hint="eastAsia" w:ascii="华文新魏" w:hAnsi="宋体" w:eastAsia="华文新魏"/>
          <w:color w:val="auto"/>
          <w:sz w:val="72"/>
          <w:szCs w:val="72"/>
          <w:highlight w:val="none"/>
        </w:rPr>
      </w:pPr>
    </w:p>
    <w:p>
      <w:pPr>
        <w:spacing w:before="165" w:beforeLines="50" w:line="360" w:lineRule="auto"/>
        <w:jc w:val="center"/>
        <w:rPr>
          <w:rFonts w:hint="eastAsia" w:ascii="华文新魏" w:hAnsi="宋体" w:eastAsia="华文新魏"/>
          <w:color w:val="auto"/>
          <w:sz w:val="72"/>
          <w:szCs w:val="72"/>
          <w:highlight w:val="none"/>
        </w:rPr>
      </w:pPr>
    </w:p>
    <w:p>
      <w:pPr>
        <w:spacing w:before="165" w:beforeLines="50" w:line="360" w:lineRule="auto"/>
        <w:jc w:val="center"/>
        <w:rPr>
          <w:rFonts w:hint="eastAsia" w:ascii="微软雅黑" w:hAnsi="微软雅黑" w:eastAsia="微软雅黑" w:cs="微软雅黑"/>
          <w:color w:val="auto"/>
          <w:sz w:val="44"/>
          <w:szCs w:val="44"/>
          <w:highlight w:val="none"/>
        </w:rPr>
      </w:pPr>
      <w:r>
        <w:rPr>
          <w:rFonts w:hint="eastAsia" w:ascii="华文新魏" w:hAnsi="宋体" w:eastAsia="华文新魏"/>
          <w:color w:val="auto"/>
          <w:sz w:val="72"/>
          <w:szCs w:val="72"/>
          <w:highlight w:val="none"/>
        </w:rPr>
        <w:t>竞争性</w:t>
      </w:r>
      <w:r>
        <w:rPr>
          <w:rFonts w:hint="eastAsia" w:ascii="华文新魏" w:hAnsi="宋体" w:eastAsia="华文新魏"/>
          <w:color w:val="auto"/>
          <w:sz w:val="72"/>
          <w:szCs w:val="72"/>
          <w:highlight w:val="none"/>
          <w:lang w:val="en-US" w:eastAsia="zh-CN"/>
        </w:rPr>
        <w:t>谈判</w:t>
      </w:r>
      <w:r>
        <w:rPr>
          <w:rFonts w:hint="eastAsia" w:ascii="华文新魏" w:hAnsi="宋体" w:eastAsia="华文新魏"/>
          <w:color w:val="auto"/>
          <w:sz w:val="72"/>
          <w:szCs w:val="72"/>
          <w:highlight w:val="none"/>
        </w:rPr>
        <w:t>文件</w:t>
      </w:r>
      <w:bookmarkEnd w:id="0"/>
      <w:bookmarkEnd w:id="1"/>
    </w:p>
    <w:p>
      <w:pPr>
        <w:spacing w:before="331" w:beforeLines="100" w:after="165" w:afterLines="50" w:line="360" w:lineRule="auto"/>
        <w:jc w:val="center"/>
        <w:outlineLvl w:val="9"/>
        <w:rPr>
          <w:rFonts w:hint="eastAsia" w:ascii="宋体" w:hAnsi="宋体"/>
          <w:color w:val="auto"/>
          <w:sz w:val="32"/>
          <w:szCs w:val="32"/>
          <w:highlight w:val="none"/>
        </w:rPr>
      </w:pPr>
      <w:bookmarkStart w:id="2" w:name="_Toc23882"/>
      <w:bookmarkStart w:id="3" w:name="_Toc19881"/>
      <w:r>
        <w:rPr>
          <w:rFonts w:hint="eastAsia" w:ascii="宋体" w:hAnsi="宋体"/>
          <w:b/>
          <w:bCs/>
          <w:color w:val="auto"/>
          <w:sz w:val="32"/>
          <w:szCs w:val="32"/>
          <w:highlight w:val="none"/>
        </w:rPr>
        <w:t>（全流程电子化评标）</w:t>
      </w:r>
      <w:bookmarkEnd w:id="2"/>
      <w:bookmarkEnd w:id="3"/>
    </w:p>
    <w:p>
      <w:pPr>
        <w:spacing w:line="360" w:lineRule="auto"/>
        <w:rPr>
          <w:rFonts w:hint="eastAsia" w:ascii="宋体" w:hAnsi="宋体"/>
          <w:b/>
          <w:color w:val="auto"/>
          <w:sz w:val="32"/>
          <w:szCs w:val="32"/>
          <w:highlight w:val="none"/>
        </w:rPr>
      </w:pPr>
    </w:p>
    <w:p>
      <w:pPr>
        <w:pStyle w:val="17"/>
        <w:snapToGrid w:val="0"/>
        <w:spacing w:line="600" w:lineRule="auto"/>
        <w:ind w:firstLine="904" w:firstLineChars="300"/>
        <w:rPr>
          <w:rFonts w:hint="eastAsia" w:ascii="宋体" w:hAnsi="宋体" w:eastAsia="宋体" w:cs="宋体"/>
          <w:b/>
          <w:bCs/>
          <w:color w:val="auto"/>
          <w:sz w:val="30"/>
          <w:szCs w:val="30"/>
          <w:highlight w:val="none"/>
          <w:lang w:eastAsia="zh-CN"/>
        </w:rPr>
      </w:pPr>
      <w:bookmarkStart w:id="4" w:name="_Toc32246"/>
      <w:bookmarkStart w:id="5" w:name="_Toc18570"/>
      <w:r>
        <w:rPr>
          <w:rFonts w:hint="eastAsia" w:ascii="宋体" w:hAnsi="宋体" w:eastAsia="宋体" w:cs="宋体"/>
          <w:b/>
          <w:bCs/>
          <w:color w:val="auto"/>
          <w:sz w:val="30"/>
          <w:szCs w:val="30"/>
          <w:highlight w:val="none"/>
          <w:lang w:eastAsia="zh-CN"/>
        </w:rPr>
        <w:t>项目名称：</w:t>
      </w:r>
      <w:bookmarkEnd w:id="4"/>
      <w:bookmarkEnd w:id="5"/>
      <w:bookmarkStart w:id="6" w:name="OLE_LINK9"/>
      <w:bookmarkStart w:id="7" w:name="_Toc27653"/>
      <w:bookmarkStart w:id="8" w:name="_Toc21390"/>
      <w:r>
        <w:rPr>
          <w:rFonts w:hint="eastAsia" w:ascii="宋体" w:hAnsi="宋体" w:eastAsia="宋体" w:cs="宋体"/>
          <w:b/>
          <w:bCs/>
          <w:color w:val="auto"/>
          <w:sz w:val="30"/>
          <w:szCs w:val="30"/>
          <w:highlight w:val="none"/>
          <w:lang w:eastAsia="zh-CN"/>
        </w:rPr>
        <w:t>崇左市荣军优抚医院皮肤科设备采购项目</w:t>
      </w:r>
      <w:bookmarkEnd w:id="6"/>
    </w:p>
    <w:p>
      <w:pPr>
        <w:pStyle w:val="17"/>
        <w:snapToGrid w:val="0"/>
        <w:spacing w:line="600" w:lineRule="auto"/>
        <w:ind w:firstLine="904" w:firstLineChars="30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lang w:eastAsia="zh-CN"/>
        </w:rPr>
        <w:t>项目编号：</w:t>
      </w:r>
      <w:bookmarkEnd w:id="7"/>
      <w:bookmarkEnd w:id="8"/>
      <w:bookmarkStart w:id="9" w:name="OLE_LINK11"/>
      <w:r>
        <w:rPr>
          <w:rFonts w:hint="eastAsia" w:ascii="宋体" w:hAnsi="宋体" w:eastAsia="宋体" w:cs="宋体"/>
          <w:b/>
          <w:bCs/>
          <w:color w:val="auto"/>
          <w:sz w:val="30"/>
          <w:szCs w:val="30"/>
          <w:highlight w:val="none"/>
          <w:lang w:eastAsia="zh-CN"/>
        </w:rPr>
        <w:t xml:space="preserve">CZZC2026-J1-990068-GXTZ </w:t>
      </w:r>
      <w:bookmarkEnd w:id="9"/>
    </w:p>
    <w:p>
      <w:pPr>
        <w:pStyle w:val="17"/>
        <w:snapToGrid w:val="0"/>
        <w:spacing w:line="600" w:lineRule="auto"/>
        <w:ind w:firstLine="904" w:firstLineChars="300"/>
        <w:rPr>
          <w:rFonts w:hint="eastAsia" w:ascii="宋体" w:hAnsi="宋体" w:eastAsia="宋体" w:cs="宋体"/>
          <w:b/>
          <w:bCs/>
          <w:color w:val="auto"/>
          <w:sz w:val="30"/>
          <w:szCs w:val="30"/>
          <w:highlight w:val="none"/>
          <w:lang w:eastAsia="zh-CN"/>
        </w:rPr>
      </w:pPr>
      <w:bookmarkStart w:id="10" w:name="_Toc30951"/>
      <w:bookmarkStart w:id="11" w:name="_Toc24672"/>
      <w:r>
        <w:rPr>
          <w:rFonts w:hint="eastAsia" w:ascii="宋体" w:hAnsi="宋体" w:eastAsia="宋体" w:cs="宋体"/>
          <w:b/>
          <w:bCs/>
          <w:color w:val="auto"/>
          <w:sz w:val="30"/>
          <w:szCs w:val="30"/>
          <w:highlight w:val="none"/>
          <w:lang w:eastAsia="zh-CN"/>
        </w:rPr>
        <w:t>采 购 人：</w:t>
      </w:r>
      <w:bookmarkEnd w:id="10"/>
      <w:bookmarkEnd w:id="11"/>
      <w:r>
        <w:rPr>
          <w:rFonts w:hint="eastAsia" w:ascii="宋体" w:hAnsi="宋体" w:eastAsia="宋体" w:cs="宋体"/>
          <w:b/>
          <w:bCs/>
          <w:color w:val="auto"/>
          <w:sz w:val="30"/>
          <w:szCs w:val="30"/>
          <w:highlight w:val="none"/>
          <w:lang w:eastAsia="zh-CN"/>
        </w:rPr>
        <w:fldChar w:fldCharType="begin"/>
      </w:r>
      <w:r>
        <w:rPr>
          <w:rFonts w:hint="eastAsia" w:ascii="宋体" w:hAnsi="宋体" w:eastAsia="宋体" w:cs="宋体"/>
          <w:b/>
          <w:bCs/>
          <w:color w:val="auto"/>
          <w:sz w:val="30"/>
          <w:szCs w:val="30"/>
          <w:highlight w:val="none"/>
          <w:lang w:eastAsia="zh-CN"/>
        </w:rPr>
        <w:instrText xml:space="preserve"> HYPERLINK "https://middle.zcygov.cn/web-user/" \l "/institution/detail?tenantCode=450703&amp;institutionId=10005484927&amp;category=01" \t "https://pay.zcygov.cn/purchaseplan_front/" \l "/plan/apply/detail/_blank" </w:instrText>
      </w:r>
      <w:r>
        <w:rPr>
          <w:rFonts w:hint="eastAsia" w:ascii="宋体" w:hAnsi="宋体" w:eastAsia="宋体" w:cs="宋体"/>
          <w:b/>
          <w:bCs/>
          <w:color w:val="auto"/>
          <w:sz w:val="30"/>
          <w:szCs w:val="30"/>
          <w:highlight w:val="none"/>
          <w:lang w:eastAsia="zh-CN"/>
        </w:rPr>
        <w:fldChar w:fldCharType="separate"/>
      </w:r>
      <w:r>
        <w:rPr>
          <w:rFonts w:hint="eastAsia" w:ascii="宋体" w:hAnsi="宋体" w:eastAsia="宋体" w:cs="宋体"/>
          <w:b/>
          <w:bCs/>
          <w:color w:val="auto"/>
          <w:sz w:val="30"/>
          <w:szCs w:val="30"/>
          <w:highlight w:val="none"/>
          <w:lang w:eastAsia="zh-CN"/>
        </w:rPr>
        <w:t xml:space="preserve"> 崇左市荣军优抚医院 </w:t>
      </w:r>
      <w:r>
        <w:rPr>
          <w:rFonts w:hint="eastAsia" w:ascii="宋体" w:hAnsi="宋体" w:eastAsia="宋体" w:cs="宋体"/>
          <w:b/>
          <w:bCs/>
          <w:color w:val="auto"/>
          <w:sz w:val="30"/>
          <w:szCs w:val="30"/>
          <w:highlight w:val="none"/>
          <w:lang w:eastAsia="zh-CN"/>
        </w:rPr>
        <w:fldChar w:fldCharType="end"/>
      </w:r>
    </w:p>
    <w:p>
      <w:pPr>
        <w:pStyle w:val="17"/>
        <w:snapToGrid w:val="0"/>
        <w:spacing w:line="600" w:lineRule="auto"/>
        <w:ind w:firstLine="904" w:firstLineChars="300"/>
        <w:rPr>
          <w:rFonts w:hint="eastAsia" w:ascii="仿宋_GB2312" w:hAnsi="宋体" w:eastAsia="仿宋_GB2312"/>
          <w:b/>
          <w:bCs/>
          <w:color w:val="auto"/>
          <w:sz w:val="30"/>
          <w:szCs w:val="30"/>
          <w:highlight w:val="none"/>
        </w:rPr>
      </w:pPr>
      <w:r>
        <w:rPr>
          <w:rFonts w:hint="eastAsia" w:ascii="宋体" w:hAnsi="宋体" w:eastAsia="宋体" w:cs="宋体"/>
          <w:b/>
          <w:bCs/>
          <w:color w:val="auto"/>
          <w:sz w:val="30"/>
          <w:szCs w:val="30"/>
          <w:highlight w:val="none"/>
          <w:lang w:eastAsia="zh-CN"/>
        </w:rPr>
        <w:t>采购代理机构：广西同泽工程项目管理股份有限公司</w:t>
      </w:r>
      <w:r>
        <w:rPr>
          <w:rFonts w:hint="eastAsia" w:ascii="仿宋_GB2312" w:hAnsi="宋体" w:eastAsia="仿宋_GB2312"/>
          <w:b/>
          <w:bCs/>
          <w:color w:val="auto"/>
          <w:sz w:val="30"/>
          <w:szCs w:val="30"/>
          <w:highlight w:val="none"/>
        </w:rPr>
        <w:t xml:space="preserve"> </w:t>
      </w:r>
      <w:bookmarkStart w:id="12" w:name="_Toc21863"/>
      <w:bookmarkStart w:id="13" w:name="_Toc28573"/>
    </w:p>
    <w:p>
      <w:pPr>
        <w:pStyle w:val="17"/>
        <w:snapToGrid w:val="0"/>
        <w:spacing w:line="600" w:lineRule="auto"/>
        <w:ind w:firstLine="602" w:firstLineChars="200"/>
        <w:jc w:val="center"/>
        <w:rPr>
          <w:rFonts w:hint="default" w:ascii="宋体" w:hAnsi="宋体" w:eastAsia="宋体" w:cs="宋体"/>
          <w:b/>
          <w:bCs/>
          <w:color w:val="auto"/>
          <w:sz w:val="30"/>
          <w:szCs w:val="30"/>
          <w:highlight w:val="none"/>
          <w:lang w:val="en-US" w:eastAsia="zh-CN"/>
        </w:rPr>
        <w:sectPr>
          <w:headerReference r:id="rId3" w:type="default"/>
          <w:footerReference r:id="rId4" w:type="default"/>
          <w:footerReference r:id="rId5" w:type="even"/>
          <w:pgSz w:w="11906" w:h="16838"/>
          <w:pgMar w:top="209" w:right="1134" w:bottom="1417" w:left="1134" w:header="720" w:footer="720" w:gutter="0"/>
          <w:pgNumType w:start="1"/>
          <w:cols w:space="720" w:num="1"/>
          <w:docGrid w:type="lines" w:linePitch="331" w:charSpace="0"/>
        </w:sectPr>
      </w:pPr>
      <w:r>
        <w:rPr>
          <w:rFonts w:hint="eastAsia" w:ascii="宋体" w:hAnsi="宋体" w:eastAsia="宋体" w:cs="宋体"/>
          <w:b/>
          <w:bCs/>
          <w:color w:val="auto"/>
          <w:sz w:val="30"/>
          <w:szCs w:val="30"/>
          <w:highlight w:val="none"/>
          <w:lang w:eastAsia="zh-CN"/>
        </w:rPr>
        <w:t>202</w:t>
      </w:r>
      <w:r>
        <w:rPr>
          <w:rFonts w:hint="eastAsia" w:ascii="宋体" w:hAnsi="宋体" w:eastAsia="宋体" w:cs="宋体"/>
          <w:b/>
          <w:bCs/>
          <w:color w:val="auto"/>
          <w:sz w:val="30"/>
          <w:szCs w:val="30"/>
          <w:highlight w:val="none"/>
          <w:lang w:val="en-US" w:eastAsia="zh-CN"/>
        </w:rPr>
        <w:t>6</w:t>
      </w:r>
      <w:r>
        <w:rPr>
          <w:rFonts w:hint="eastAsia" w:ascii="宋体" w:hAnsi="宋体" w:eastAsia="宋体" w:cs="宋体"/>
          <w:b/>
          <w:bCs/>
          <w:color w:val="auto"/>
          <w:sz w:val="30"/>
          <w:szCs w:val="30"/>
          <w:highlight w:val="none"/>
          <w:lang w:eastAsia="zh-CN"/>
        </w:rPr>
        <w:t>年</w:t>
      </w:r>
      <w:r>
        <w:rPr>
          <w:rFonts w:hint="eastAsia"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lang w:eastAsia="zh-CN"/>
        </w:rPr>
        <w:t>月</w:t>
      </w:r>
      <w:bookmarkEnd w:id="12"/>
      <w:bookmarkEnd w:id="13"/>
      <w:r>
        <w:rPr>
          <w:rFonts w:hint="eastAsia" w:hAnsi="宋体" w:cs="宋体"/>
          <w:b/>
          <w:bCs/>
          <w:color w:val="auto"/>
          <w:sz w:val="30"/>
          <w:szCs w:val="30"/>
          <w:highlight w:val="none"/>
          <w:lang w:val="en-US" w:eastAsia="zh-CN"/>
        </w:rPr>
        <w:t>18</w:t>
      </w:r>
      <w:r>
        <w:rPr>
          <w:rFonts w:hint="eastAsia" w:ascii="宋体" w:hAnsi="宋体" w:eastAsia="宋体" w:cs="宋体"/>
          <w:b/>
          <w:bCs/>
          <w:color w:val="auto"/>
          <w:sz w:val="30"/>
          <w:szCs w:val="30"/>
          <w:highlight w:val="none"/>
          <w:lang w:val="en-US" w:eastAsia="zh-CN"/>
        </w:rPr>
        <w:t>日</w:t>
      </w:r>
    </w:p>
    <w:sdt>
      <w:sdtPr>
        <w:rPr>
          <w:rFonts w:ascii="宋体" w:hAnsi="宋体" w:eastAsia="宋体" w:cs="Times New Roman"/>
          <w:color w:val="auto"/>
          <w:kern w:val="2"/>
          <w:sz w:val="44"/>
          <w:szCs w:val="44"/>
          <w:highlight w:val="none"/>
          <w:lang w:val="en-US" w:eastAsia="zh-CN" w:bidi="ar-SA"/>
        </w:rPr>
        <w:id w:val="147465527"/>
        <w15:color w:val="DBDBDB"/>
        <w:docPartObj>
          <w:docPartGallery w:val="Table of Contents"/>
          <w:docPartUnique/>
        </w:docPartObj>
      </w:sdtPr>
      <w:sdtEndPr>
        <w:rPr>
          <w:rFonts w:ascii="Times New Roman" w:hAnsi="Times New Roman" w:eastAsia="宋体" w:cs="Times New Roman"/>
          <w:color w:val="auto"/>
          <w:kern w:val="2"/>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sz w:val="44"/>
              <w:szCs w:val="44"/>
              <w:highlight w:val="none"/>
            </w:rPr>
          </w:pPr>
          <w:r>
            <w:rPr>
              <w:rFonts w:ascii="宋体" w:hAnsi="宋体" w:eastAsia="宋体"/>
              <w:color w:val="auto"/>
              <w:sz w:val="44"/>
              <w:szCs w:val="44"/>
              <w:highlight w:val="none"/>
            </w:rPr>
            <w:t>目录</w:t>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TOC \o "1-1" \h \u </w:instrText>
          </w:r>
          <w:r>
            <w:rPr>
              <w:color w:val="auto"/>
              <w:sz w:val="24"/>
              <w:szCs w:val="24"/>
              <w:highlight w:val="none"/>
            </w:rPr>
            <w:fldChar w:fldCharType="separate"/>
          </w:r>
          <w:r>
            <w:rPr>
              <w:color w:val="auto"/>
              <w:sz w:val="24"/>
              <w:szCs w:val="24"/>
              <w:highlight w:val="none"/>
            </w:rPr>
            <w:fldChar w:fldCharType="begin"/>
          </w:r>
          <w:r>
            <w:rPr>
              <w:color w:val="auto"/>
              <w:sz w:val="24"/>
              <w:szCs w:val="24"/>
              <w:highlight w:val="none"/>
            </w:rPr>
            <w:instrText xml:space="preserve"> HYPERLINK \l _Toc16367 </w:instrText>
          </w:r>
          <w:r>
            <w:rPr>
              <w:color w:val="auto"/>
              <w:sz w:val="24"/>
              <w:szCs w:val="24"/>
              <w:highlight w:val="none"/>
            </w:rPr>
            <w:fldChar w:fldCharType="separate"/>
          </w:r>
          <w:r>
            <w:rPr>
              <w:rFonts w:hint="eastAsia"/>
              <w:color w:val="auto"/>
              <w:sz w:val="24"/>
              <w:szCs w:val="24"/>
              <w:highlight w:val="none"/>
            </w:rPr>
            <w:t>第一章 竞争性</w:t>
          </w:r>
          <w:r>
            <w:rPr>
              <w:rFonts w:hint="eastAsia"/>
              <w:color w:val="auto"/>
              <w:sz w:val="24"/>
              <w:szCs w:val="24"/>
              <w:highlight w:val="none"/>
              <w:lang w:val="en-US" w:eastAsia="zh-CN"/>
            </w:rPr>
            <w:t>谈判</w:t>
          </w:r>
          <w:r>
            <w:rPr>
              <w:rFonts w:hint="eastAsia"/>
              <w:color w:val="auto"/>
              <w:sz w:val="24"/>
              <w:szCs w:val="24"/>
              <w:highlight w:val="none"/>
            </w:rPr>
            <w:t>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_Toc16367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_Toc11157 </w:instrText>
          </w:r>
          <w:r>
            <w:rPr>
              <w:color w:val="auto"/>
              <w:sz w:val="24"/>
              <w:szCs w:val="24"/>
              <w:highlight w:val="none"/>
            </w:rPr>
            <w:fldChar w:fldCharType="separate"/>
          </w:r>
          <w:r>
            <w:rPr>
              <w:rFonts w:hint="eastAsia"/>
              <w:bCs/>
              <w:color w:val="auto"/>
              <w:kern w:val="44"/>
              <w:sz w:val="24"/>
              <w:szCs w:val="24"/>
              <w:highlight w:val="none"/>
            </w:rPr>
            <w:t>第二章 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_Toc11157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_Toc6950 </w:instrText>
          </w:r>
          <w:r>
            <w:rPr>
              <w:color w:val="auto"/>
              <w:sz w:val="24"/>
              <w:szCs w:val="24"/>
              <w:highlight w:val="none"/>
            </w:rPr>
            <w:fldChar w:fldCharType="separate"/>
          </w:r>
          <w:r>
            <w:rPr>
              <w:rFonts w:hint="eastAsia" w:ascii="Cambria" w:hAnsi="Cambria"/>
              <w:bCs w:val="0"/>
              <w:color w:val="auto"/>
              <w:sz w:val="24"/>
              <w:szCs w:val="24"/>
              <w:highlight w:val="none"/>
            </w:rPr>
            <w:t>第三章 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_Toc6950 \h </w:instrText>
          </w:r>
          <w:r>
            <w:rPr>
              <w:color w:val="auto"/>
              <w:sz w:val="24"/>
              <w:szCs w:val="24"/>
              <w:highlight w:val="none"/>
            </w:rPr>
            <w:fldChar w:fldCharType="separate"/>
          </w:r>
          <w:r>
            <w:rPr>
              <w:color w:val="auto"/>
              <w:sz w:val="24"/>
              <w:szCs w:val="24"/>
              <w:highlight w:val="none"/>
            </w:rPr>
            <w:t>32</w:t>
          </w:r>
          <w:r>
            <w:rPr>
              <w:color w:val="auto"/>
              <w:sz w:val="24"/>
              <w:szCs w:val="24"/>
              <w:highlight w:val="none"/>
            </w:rPr>
            <w:fldChar w:fldCharType="end"/>
          </w:r>
          <w:r>
            <w:rPr>
              <w:color w:val="auto"/>
              <w:sz w:val="24"/>
              <w:szCs w:val="24"/>
              <w:highlight w:val="none"/>
            </w:rPr>
            <w:fldChar w:fldCharType="end"/>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_Toc6936 </w:instrText>
          </w:r>
          <w:r>
            <w:rPr>
              <w:color w:val="auto"/>
              <w:sz w:val="24"/>
              <w:szCs w:val="24"/>
              <w:highlight w:val="none"/>
            </w:rPr>
            <w:fldChar w:fldCharType="separate"/>
          </w:r>
          <w:r>
            <w:rPr>
              <w:rFonts w:hint="eastAsia"/>
              <w:color w:val="auto"/>
              <w:sz w:val="24"/>
              <w:szCs w:val="24"/>
              <w:highlight w:val="none"/>
              <w:lang w:eastAsia="zh-CN"/>
            </w:rPr>
            <w:t>第</w:t>
          </w:r>
          <w:r>
            <w:rPr>
              <w:rFonts w:hint="eastAsia"/>
              <w:color w:val="auto"/>
              <w:sz w:val="24"/>
              <w:szCs w:val="24"/>
              <w:highlight w:val="none"/>
            </w:rPr>
            <w:t>四章  评审程序、评审方法和评审标准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_Toc6936 \h </w:instrText>
          </w:r>
          <w:r>
            <w:rPr>
              <w:color w:val="auto"/>
              <w:sz w:val="24"/>
              <w:szCs w:val="24"/>
              <w:highlight w:val="none"/>
            </w:rPr>
            <w:fldChar w:fldCharType="separate"/>
          </w:r>
          <w:r>
            <w:rPr>
              <w:color w:val="auto"/>
              <w:sz w:val="24"/>
              <w:szCs w:val="24"/>
              <w:highlight w:val="none"/>
            </w:rPr>
            <w:t>59</w:t>
          </w:r>
          <w:r>
            <w:rPr>
              <w:color w:val="auto"/>
              <w:sz w:val="24"/>
              <w:szCs w:val="24"/>
              <w:highlight w:val="none"/>
            </w:rPr>
            <w:fldChar w:fldCharType="end"/>
          </w:r>
          <w:r>
            <w:rPr>
              <w:color w:val="auto"/>
              <w:sz w:val="24"/>
              <w:szCs w:val="24"/>
              <w:highlight w:val="none"/>
            </w:rPr>
            <w:fldChar w:fldCharType="end"/>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_Toc15555 </w:instrText>
          </w:r>
          <w:r>
            <w:rPr>
              <w:color w:val="auto"/>
              <w:sz w:val="24"/>
              <w:szCs w:val="24"/>
              <w:highlight w:val="none"/>
            </w:rPr>
            <w:fldChar w:fldCharType="separate"/>
          </w:r>
          <w:r>
            <w:rPr>
              <w:rFonts w:hint="eastAsia"/>
              <w:color w:val="auto"/>
              <w:sz w:val="24"/>
              <w:szCs w:val="24"/>
              <w:highlight w:val="none"/>
            </w:rPr>
            <w:t>第五章 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_Toc15555 \h </w:instrText>
          </w:r>
          <w:r>
            <w:rPr>
              <w:color w:val="auto"/>
              <w:sz w:val="24"/>
              <w:szCs w:val="24"/>
              <w:highlight w:val="none"/>
            </w:rPr>
            <w:fldChar w:fldCharType="separate"/>
          </w:r>
          <w:r>
            <w:rPr>
              <w:color w:val="auto"/>
              <w:sz w:val="24"/>
              <w:szCs w:val="24"/>
              <w:highlight w:val="none"/>
            </w:rPr>
            <w:t>68</w:t>
          </w:r>
          <w:r>
            <w:rPr>
              <w:color w:val="auto"/>
              <w:sz w:val="24"/>
              <w:szCs w:val="24"/>
              <w:highlight w:val="none"/>
            </w:rPr>
            <w:fldChar w:fldCharType="end"/>
          </w:r>
          <w:r>
            <w:rPr>
              <w:color w:val="auto"/>
              <w:sz w:val="24"/>
              <w:szCs w:val="24"/>
              <w:highlight w:val="none"/>
            </w:rPr>
            <w:fldChar w:fldCharType="end"/>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_Toc2795 </w:instrText>
          </w:r>
          <w:r>
            <w:rPr>
              <w:color w:val="auto"/>
              <w:sz w:val="24"/>
              <w:szCs w:val="24"/>
              <w:highlight w:val="none"/>
            </w:rPr>
            <w:fldChar w:fldCharType="separate"/>
          </w:r>
          <w:r>
            <w:rPr>
              <w:rFonts w:hint="eastAsia" w:ascii="宋体" w:hAnsi="宋体" w:eastAsia="宋体" w:cs="Times New Roman"/>
              <w:bCs w:val="0"/>
              <w:color w:val="auto"/>
              <w:kern w:val="44"/>
              <w:sz w:val="24"/>
              <w:szCs w:val="24"/>
              <w:highlight w:val="none"/>
              <w:lang w:val="en-US" w:eastAsia="zh-CN" w:bidi="ar-SA"/>
            </w:rPr>
            <w:t>第六章</w:t>
          </w:r>
          <w:r>
            <w:rPr>
              <w:rFonts w:ascii="宋体" w:hAnsi="宋体"/>
              <w:bCs w:val="0"/>
              <w:color w:val="auto"/>
              <w:sz w:val="24"/>
              <w:szCs w:val="24"/>
              <w:highlight w:val="none"/>
            </w:rPr>
            <w:t xml:space="preserve"> </w:t>
          </w:r>
          <w:r>
            <w:rPr>
              <w:rFonts w:hint="eastAsia" w:ascii="宋体" w:hAnsi="宋体"/>
              <w:bCs w:val="0"/>
              <w:color w:val="auto"/>
              <w:sz w:val="24"/>
              <w:szCs w:val="24"/>
              <w:highlight w:val="none"/>
            </w:rPr>
            <w:t>合同文本</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_Toc2795 \h </w:instrText>
          </w:r>
          <w:r>
            <w:rPr>
              <w:color w:val="auto"/>
              <w:sz w:val="24"/>
              <w:szCs w:val="24"/>
              <w:highlight w:val="none"/>
            </w:rPr>
            <w:fldChar w:fldCharType="separate"/>
          </w:r>
          <w:r>
            <w:rPr>
              <w:color w:val="auto"/>
              <w:sz w:val="24"/>
              <w:szCs w:val="24"/>
              <w:highlight w:val="none"/>
            </w:rPr>
            <w:t>97</w:t>
          </w:r>
          <w:r>
            <w:rPr>
              <w:color w:val="auto"/>
              <w:sz w:val="24"/>
              <w:szCs w:val="24"/>
              <w:highlight w:val="none"/>
            </w:rPr>
            <w:fldChar w:fldCharType="end"/>
          </w:r>
          <w:r>
            <w:rPr>
              <w:color w:val="auto"/>
              <w:sz w:val="24"/>
              <w:szCs w:val="24"/>
              <w:highlight w:val="none"/>
            </w:rPr>
            <w:fldChar w:fldCharType="end"/>
          </w:r>
        </w:p>
        <w:p>
          <w:pPr>
            <w:pStyle w:val="24"/>
            <w:tabs>
              <w:tab w:val="right" w:leader="dot" w:pos="9072"/>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_Toc32744 </w:instrText>
          </w:r>
          <w:r>
            <w:rPr>
              <w:color w:val="auto"/>
              <w:sz w:val="24"/>
              <w:szCs w:val="24"/>
              <w:highlight w:val="none"/>
            </w:rPr>
            <w:fldChar w:fldCharType="separate"/>
          </w:r>
          <w:r>
            <w:rPr>
              <w:rFonts w:hint="eastAsia" w:ascii="宋体" w:hAnsi="宋体" w:eastAsia="宋体" w:cs="仿宋_GB2312"/>
              <w:bCs/>
              <w:color w:val="auto"/>
              <w:kern w:val="44"/>
              <w:sz w:val="24"/>
              <w:szCs w:val="24"/>
              <w:highlight w:val="none"/>
              <w:lang w:val="en-US" w:eastAsia="zh-CN" w:bidi="ar-SA"/>
            </w:rPr>
            <w:t>第七章</w:t>
          </w:r>
          <w:r>
            <w:rPr>
              <w:rFonts w:hint="eastAsia" w:ascii="宋体" w:hAnsi="宋体" w:cs="仿宋_GB2312"/>
              <w:bCs/>
              <w:color w:val="auto"/>
              <w:kern w:val="44"/>
              <w:sz w:val="24"/>
              <w:szCs w:val="24"/>
              <w:highlight w:val="none"/>
              <w:lang w:val="en-US" w:eastAsia="zh-CN" w:bidi="ar-SA"/>
            </w:rPr>
            <w:t xml:space="preserve"> </w:t>
          </w:r>
          <w:r>
            <w:rPr>
              <w:rFonts w:hint="eastAsia" w:ascii="宋体" w:hAnsi="宋体" w:cs="仿宋_GB2312"/>
              <w:color w:val="auto"/>
              <w:sz w:val="24"/>
              <w:szCs w:val="24"/>
              <w:highlight w:val="none"/>
            </w:rPr>
            <w:t>质疑、投诉材料格式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_Toc32744 \h </w:instrText>
          </w:r>
          <w:r>
            <w:rPr>
              <w:color w:val="auto"/>
              <w:sz w:val="24"/>
              <w:szCs w:val="24"/>
              <w:highlight w:val="none"/>
            </w:rPr>
            <w:fldChar w:fldCharType="separate"/>
          </w:r>
          <w:r>
            <w:rPr>
              <w:color w:val="auto"/>
              <w:sz w:val="24"/>
              <w:szCs w:val="24"/>
              <w:highlight w:val="none"/>
            </w:rPr>
            <w:t>104</w:t>
          </w:r>
          <w:r>
            <w:rPr>
              <w:color w:val="auto"/>
              <w:sz w:val="24"/>
              <w:szCs w:val="24"/>
              <w:highlight w:val="none"/>
            </w:rPr>
            <w:fldChar w:fldCharType="end"/>
          </w:r>
          <w:r>
            <w:rPr>
              <w:color w:val="auto"/>
              <w:sz w:val="24"/>
              <w:szCs w:val="24"/>
              <w:highlight w:val="none"/>
            </w:rPr>
            <w:fldChar w:fldCharType="end"/>
          </w:r>
        </w:p>
        <w:p>
          <w:pPr>
            <w:spacing w:line="360" w:lineRule="auto"/>
            <w:rPr>
              <w:color w:val="auto"/>
              <w:highlight w:val="none"/>
            </w:rPr>
          </w:pPr>
          <w:r>
            <w:rPr>
              <w:color w:val="auto"/>
              <w:sz w:val="24"/>
              <w:szCs w:val="24"/>
              <w:highlight w:val="none"/>
            </w:rPr>
            <w:fldChar w:fldCharType="end"/>
          </w:r>
        </w:p>
      </w:sdtContent>
    </w:sdt>
    <w:p>
      <w:pPr>
        <w:pStyle w:val="27"/>
        <w:spacing w:line="360" w:lineRule="auto"/>
        <w:rPr>
          <w:color w:val="auto"/>
          <w:sz w:val="28"/>
          <w:szCs w:val="28"/>
          <w:highlight w:val="none"/>
        </w:rPr>
      </w:pPr>
    </w:p>
    <w:p>
      <w:pPr>
        <w:tabs>
          <w:tab w:val="left" w:pos="7470"/>
        </w:tabs>
        <w:spacing w:line="400" w:lineRule="exact"/>
        <w:jc w:val="left"/>
        <w:rPr>
          <w:rFonts w:hint="eastAsia" w:ascii="宋体" w:hAnsi="宋体"/>
          <w:b/>
          <w:color w:val="auto"/>
          <w:sz w:val="32"/>
          <w:szCs w:val="32"/>
          <w:highlight w:val="none"/>
        </w:rPr>
      </w:pPr>
      <w:r>
        <w:rPr>
          <w:rFonts w:ascii="宋体" w:hAnsi="宋体"/>
          <w:b/>
          <w:color w:val="auto"/>
          <w:sz w:val="32"/>
          <w:szCs w:val="32"/>
          <w:highlight w:val="none"/>
        </w:rPr>
        <w:tab/>
      </w:r>
    </w:p>
    <w:p>
      <w:pPr>
        <w:spacing w:line="400" w:lineRule="exact"/>
        <w:rPr>
          <w:rFonts w:hint="eastAsia" w:ascii="宋体" w:hAnsi="宋体"/>
          <w:b/>
          <w:color w:val="auto"/>
          <w:sz w:val="32"/>
          <w:szCs w:val="32"/>
          <w:highlight w:val="none"/>
        </w:rPr>
        <w:sectPr>
          <w:headerReference r:id="rId7" w:type="first"/>
          <w:footerReference r:id="rId9" w:type="first"/>
          <w:headerReference r:id="rId6" w:type="default"/>
          <w:footerReference r:id="rId8" w:type="default"/>
          <w:pgSz w:w="11906" w:h="16838"/>
          <w:pgMar w:top="1417" w:right="1417" w:bottom="1417" w:left="1417" w:header="851" w:footer="992" w:gutter="0"/>
          <w:pgNumType w:start="0"/>
          <w:cols w:space="720" w:num="1"/>
          <w:titlePg/>
          <w:docGrid w:type="lines" w:linePitch="312" w:charSpace="0"/>
        </w:sectPr>
      </w:pPr>
    </w:p>
    <w:p>
      <w:pPr>
        <w:pStyle w:val="2"/>
        <w:spacing w:line="400" w:lineRule="exact"/>
        <w:jc w:val="center"/>
        <w:rPr>
          <w:color w:val="auto"/>
          <w:sz w:val="32"/>
          <w:szCs w:val="32"/>
          <w:highlight w:val="none"/>
        </w:rPr>
      </w:pPr>
      <w:bookmarkStart w:id="14" w:name="_Toc14479"/>
      <w:bookmarkStart w:id="15" w:name="_Toc5880"/>
      <w:bookmarkStart w:id="16" w:name="_Toc16367"/>
      <w:bookmarkStart w:id="17" w:name="_Toc80886925"/>
      <w:bookmarkStart w:id="18" w:name="_Toc26365"/>
      <w:r>
        <w:rPr>
          <w:rFonts w:hint="eastAsia"/>
          <w:color w:val="auto"/>
          <w:sz w:val="32"/>
          <w:szCs w:val="32"/>
          <w:highlight w:val="none"/>
        </w:rPr>
        <w:t>第一章 竞争性</w:t>
      </w:r>
      <w:r>
        <w:rPr>
          <w:rFonts w:hint="eastAsia"/>
          <w:color w:val="auto"/>
          <w:sz w:val="32"/>
          <w:szCs w:val="32"/>
          <w:highlight w:val="none"/>
          <w:lang w:val="en-US" w:eastAsia="zh-CN"/>
        </w:rPr>
        <w:t>谈判</w:t>
      </w:r>
      <w:r>
        <w:rPr>
          <w:rFonts w:hint="eastAsia"/>
          <w:color w:val="auto"/>
          <w:sz w:val="32"/>
          <w:szCs w:val="32"/>
          <w:highlight w:val="none"/>
        </w:rPr>
        <w:t>公告</w:t>
      </w:r>
      <w:bookmarkEnd w:id="14"/>
      <w:bookmarkEnd w:id="15"/>
      <w:bookmarkEnd w:id="16"/>
      <w:bookmarkEnd w:id="17"/>
      <w:bookmarkEnd w:id="18"/>
      <w:bookmarkStart w:id="19" w:name="_Toc35393629"/>
      <w:bookmarkStart w:id="20" w:name="_Toc35393798"/>
      <w:bookmarkStart w:id="21" w:name="_Toc28359089"/>
      <w:bookmarkStart w:id="22" w:name="_Toc44229878"/>
      <w:bookmarkStart w:id="23" w:name="_Toc28359012"/>
      <w:bookmarkStart w:id="24" w:name="_Toc35393623"/>
      <w:bookmarkStart w:id="25" w:name="_Toc28359081"/>
      <w:bookmarkStart w:id="26" w:name="_Toc28359004"/>
      <w:bookmarkStart w:id="27" w:name="_Toc35393792"/>
    </w:p>
    <w:p>
      <w:pPr>
        <w:rPr>
          <w:rFonts w:hint="eastAsia" w:ascii="黑体" w:hAnsi="黑体" w:eastAsia="黑体" w:cs="宋体"/>
          <w:bCs/>
          <w:color w:val="auto"/>
          <w:sz w:val="24"/>
          <w:highlight w:val="none"/>
        </w:rPr>
      </w:pPr>
      <w:r>
        <w:rPr>
          <w:rFonts w:hint="eastAsia" w:ascii="黑体" w:hAnsi="黑体" w:eastAsia="黑体" w:cs="宋体"/>
          <w:bCs/>
          <w:color w:val="auto"/>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45720</wp:posOffset>
                </wp:positionV>
                <wp:extent cx="6172200" cy="1167765"/>
                <wp:effectExtent l="0" t="0" r="0" b="0"/>
                <wp:wrapNone/>
                <wp:docPr id="1" name="文本框 101"/>
                <wp:cNvGraphicFramePr/>
                <a:graphic xmlns:a="http://schemas.openxmlformats.org/drawingml/2006/main">
                  <a:graphicData uri="http://schemas.microsoft.com/office/word/2010/wordprocessingShape">
                    <wps:wsp>
                      <wps:cNvSpPr txBox="1"/>
                      <wps:spPr>
                        <a:xfrm>
                          <a:off x="0" y="0"/>
                          <a:ext cx="6172200" cy="1167765"/>
                        </a:xfrm>
                        <a:prstGeom prst="rect">
                          <a:avLst/>
                        </a:prstGeom>
                        <a:solidFill>
                          <a:srgbClr val="FFFFFF"/>
                        </a:solidFill>
                        <a:ln>
                          <a:noFill/>
                        </a:ln>
                      </wps:spPr>
                      <wps:txbx>
                        <w:txbxContent>
                          <w:p>
                            <w:pPr>
                              <w:pBdr>
                                <w:top w:val="single" w:color="auto" w:sz="4" w:space="1"/>
                                <w:left w:val="single" w:color="auto" w:sz="4" w:space="4"/>
                                <w:bottom w:val="single" w:color="auto" w:sz="4" w:space="1"/>
                                <w:right w:val="single" w:color="auto" w:sz="4" w:space="4"/>
                              </w:pBdr>
                              <w:spacing w:line="400" w:lineRule="exact"/>
                              <w:ind w:firstLine="480" w:firstLineChars="200"/>
                              <w:rPr>
                                <w:rFonts w:hint="eastAsia" w:ascii="宋体" w:hAnsi="宋体" w:cs="宋体"/>
                                <w:color w:val="000000"/>
                                <w:sz w:val="24"/>
                              </w:rPr>
                            </w:pPr>
                            <w:r>
                              <w:rPr>
                                <w:rFonts w:hint="eastAsia" w:ascii="宋体" w:hAnsi="宋体" w:cs="宋体"/>
                                <w:color w:val="000000"/>
                                <w:sz w:val="24"/>
                              </w:rPr>
                              <w:t>项目概况</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hint="eastAsia" w:ascii="宋体" w:hAnsi="宋体" w:cs="宋体"/>
                                <w:sz w:val="24"/>
                              </w:rPr>
                            </w:pPr>
                            <w:r>
                              <w:rPr>
                                <w:rFonts w:hint="eastAsia" w:ascii="宋体" w:hAnsi="宋体" w:cs="宋体"/>
                                <w:sz w:val="24"/>
                                <w:u w:val="single"/>
                                <w:lang w:eastAsia="zh-CN"/>
                              </w:rPr>
                              <w:t>崇左市荣军优抚医院皮肤科设备采购项目</w:t>
                            </w:r>
                            <w:r>
                              <w:rPr>
                                <w:rFonts w:hint="eastAsia" w:ascii="宋体" w:hAnsi="宋体" w:cs="宋体"/>
                                <w:color w:val="000000"/>
                                <w:sz w:val="24"/>
                              </w:rPr>
                              <w:t>的潜在供应商应在广西政府采购云平台（https://www.zcygov.cn/）获取（下载）竞争性</w:t>
                            </w:r>
                            <w:r>
                              <w:rPr>
                                <w:rFonts w:hint="eastAsia" w:ascii="宋体" w:hAnsi="宋体" w:cs="宋体"/>
                                <w:color w:val="000000"/>
                                <w:sz w:val="24"/>
                                <w:lang w:val="en-US" w:eastAsia="zh-CN"/>
                              </w:rPr>
                              <w:t>谈判</w:t>
                            </w:r>
                            <w:r>
                              <w:rPr>
                                <w:rFonts w:hint="eastAsia" w:ascii="宋体" w:hAnsi="宋体" w:cs="宋体"/>
                                <w:color w:val="000000"/>
                                <w:sz w:val="24"/>
                              </w:rPr>
                              <w:t>文件</w:t>
                            </w:r>
                            <w:r>
                              <w:rPr>
                                <w:rFonts w:hint="eastAsia" w:ascii="宋体" w:hAnsi="宋体" w:cs="宋体"/>
                                <w:sz w:val="24"/>
                              </w:rPr>
                              <w:t>，并于</w:t>
                            </w:r>
                            <w:r>
                              <w:rPr>
                                <w:rFonts w:hint="eastAsia" w:ascii="宋体" w:hAnsi="宋体" w:cs="宋体"/>
                                <w:b/>
                                <w:bCs/>
                                <w:sz w:val="24"/>
                                <w:highlight w:val="none"/>
                              </w:rPr>
                              <w:t>202</w:t>
                            </w:r>
                            <w:r>
                              <w:rPr>
                                <w:rFonts w:hint="eastAsia" w:ascii="宋体" w:hAnsi="宋体" w:cs="宋体"/>
                                <w:b/>
                                <w:bCs/>
                                <w:sz w:val="24"/>
                                <w:highlight w:val="none"/>
                                <w:lang w:val="en-US" w:eastAsia="zh-CN"/>
                              </w:rPr>
                              <w:t>6</w:t>
                            </w:r>
                            <w:r>
                              <w:rPr>
                                <w:rFonts w:hint="eastAsia" w:ascii="宋体" w:hAnsi="宋体" w:cs="宋体"/>
                                <w:b/>
                                <w:bCs/>
                                <w:sz w:val="24"/>
                                <w:highlight w:val="none"/>
                              </w:rPr>
                              <w:t>年</w:t>
                            </w:r>
                            <w:r>
                              <w:rPr>
                                <w:rFonts w:hint="eastAsia" w:ascii="宋体" w:hAnsi="宋体" w:cs="宋体"/>
                                <w:b/>
                                <w:bCs/>
                                <w:sz w:val="24"/>
                                <w:highlight w:val="none"/>
                                <w:lang w:val="en-US" w:eastAsia="zh-CN"/>
                              </w:rPr>
                              <w:t>5</w:t>
                            </w:r>
                            <w:r>
                              <w:rPr>
                                <w:rFonts w:hint="eastAsia" w:ascii="宋体" w:hAnsi="宋体" w:cs="宋体"/>
                                <w:b/>
                                <w:bCs/>
                                <w:sz w:val="24"/>
                                <w:highlight w:val="none"/>
                              </w:rPr>
                              <w:t>月</w:t>
                            </w:r>
                            <w:r>
                              <w:rPr>
                                <w:rFonts w:hint="eastAsia" w:ascii="宋体" w:hAnsi="宋体" w:cs="宋体"/>
                                <w:b/>
                                <w:bCs/>
                                <w:sz w:val="24"/>
                                <w:highlight w:val="none"/>
                                <w:lang w:val="en-US" w:eastAsia="zh-CN"/>
                              </w:rPr>
                              <w:t>22</w:t>
                            </w:r>
                            <w:r>
                              <w:rPr>
                                <w:rFonts w:hint="eastAsia" w:ascii="宋体" w:hAnsi="宋体" w:cs="宋体"/>
                                <w:b/>
                                <w:bCs/>
                                <w:sz w:val="24"/>
                                <w:highlight w:val="none"/>
                              </w:rPr>
                              <w:t>日</w:t>
                            </w:r>
                            <w:r>
                              <w:rPr>
                                <w:rFonts w:hint="eastAsia" w:ascii="宋体" w:hAnsi="宋体" w:cs="宋体"/>
                                <w:b/>
                                <w:bCs/>
                                <w:sz w:val="24"/>
                                <w:highlight w:val="none"/>
                                <w:lang w:val="en-US" w:eastAsia="zh-CN"/>
                              </w:rPr>
                              <w:t>下午15时0</w:t>
                            </w:r>
                            <w:r>
                              <w:rPr>
                                <w:rFonts w:hint="eastAsia" w:ascii="宋体" w:hAnsi="宋体" w:cs="宋体"/>
                                <w:b/>
                                <w:bCs/>
                                <w:sz w:val="24"/>
                                <w:highlight w:val="none"/>
                              </w:rPr>
                              <w:t>0分（北京时间）</w:t>
                            </w:r>
                            <w:r>
                              <w:rPr>
                                <w:rFonts w:hint="eastAsia" w:ascii="宋体" w:hAnsi="宋体" w:cs="宋体"/>
                                <w:bCs/>
                                <w:sz w:val="24"/>
                                <w:highlight w:val="none"/>
                              </w:rPr>
                              <w:t>前提交响应文件</w:t>
                            </w:r>
                            <w:r>
                              <w:rPr>
                                <w:rFonts w:hint="eastAsia" w:ascii="宋体" w:hAnsi="宋体" w:cs="宋体"/>
                                <w:sz w:val="24"/>
                                <w:highlight w:val="none"/>
                              </w:rPr>
                              <w:t>。</w:t>
                            </w:r>
                          </w:p>
                        </w:txbxContent>
                      </wps:txbx>
                      <wps:bodyPr vert="horz" wrap="square" anchor="t" anchorCtr="0" upright="1"/>
                    </wps:wsp>
                  </a:graphicData>
                </a:graphic>
              </wp:anchor>
            </w:drawing>
          </mc:Choice>
          <mc:Fallback>
            <w:pict>
              <v:shape id="文本框 101" o:spid="_x0000_s1026" o:spt="202" type="#_x0000_t202" style="position:absolute;left:0pt;margin-left:-8.85pt;margin-top:3.6pt;height:91.95pt;width:486pt;z-index:251659264;mso-width-relative:page;mso-height-relative:page;" fillcolor="#FFFFFF" filled="t" stroked="f" coordsize="21600,21600" o:gfxdata="UEsDBAoAAAAAAIdO4kAAAAAAAAAAAAAAAAAEAAAAZHJzL1BLAwQUAAAACACHTuJAaOn47NgAAAAJ&#10;AQAADwAAAGRycy9kb3ducmV2LnhtbE2Py07DMBBF90j8gzWV2KDWSWlrksapBBKIbR8fMImnSUQ8&#10;jmK3af8es4Ll6B7de6bY3WwvrjT6zrGGdJGAIK6d6bjRcDp+zF9B+IBssHdMGu7kYVc+PhSYGzfx&#10;nq6H0IhYwj5HDW0IQy6lr1uy6BduII7Z2Y0WQzzHRpoRp1hue7lMko202HFcaHGg95bq78PFajh/&#10;Tc/rbKo+w0ntV5s37FTl7lo/zdJkCyLQLfzB8Ksf1aGMTpW7sPGi1zBPlYqoBrUEEfNsvXoBUUUw&#10;S1OQZSH/f1D+AFBLAwQUAAAACACHTuJALs+qCd4BAACtAwAADgAAAGRycy9lMm9Eb2MueG1srVPN&#10;jtMwEL4j8Q6W7zRJJVpUNV2JrcoFAdLCA7iO01jyHzNuk/IA8AacuHDnufocjJ1sF5bLHsjBGY/H&#10;38z3zXh9M1jDTgpQe1fzalZyppz0jXaHmn/6uHvxijOMwjXCeKdqflbIbzbPn637sFJz33nTKGAE&#10;4nDVh5p3MYZVUaDslBU480E5Omw9WBFpC4eiAdETujXFvCwXRe+hCeClQiTvdjzkEyI8BdC3rZZq&#10;6+XRKhdHVFBGRKKEnQ7IN7natlUyvm9bVJGZmhPTmFdKQvY+rcVmLVYHEKHTcipBPKWER5ys0I6S&#10;XqG2Igp2BP0PlNUSPPo2zqS3xUgkK0IsqvKRNnedCCpzIakxXEXH/wcr350+ANMNTQJnTlhq+OX7&#10;t8uPX5efX1lVVkmgPuCK4u4CRcbhtR9S8ORHcibeQws2/YkRo3OS93yVVw2RSXIuquWcJoAzSWdV&#10;tVguFy8TTvFwPQDGN8pbloyaA/UvyypObzGOofchKRt6o5udNiZv4LC/NcBOgnq9y9+E/leYcSnY&#10;+XRtREyeIpEcySQrDvthYrj3zZmI04uhgjoPXzjraV5qjp+PAhRnwkly1zzem7dxHLBjAH3o6FZW&#10;K2egLma+08SlMflzn+t4eGW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jp+OzYAAAACQEAAA8A&#10;AAAAAAAAAQAgAAAAIgAAAGRycy9kb3ducmV2LnhtbFBLAQIUABQAAAAIAIdO4kAuz6oJ3gEAAK0D&#10;AAAOAAAAAAAAAAEAIAAAACcBAABkcnMvZTJvRG9jLnhtbFBLBQYAAAAABgAGAFkBAAB3BQAAAAA=&#10;">
                <v:fill on="t" focussize="0,0"/>
                <v:stroke on="f"/>
                <v:imagedata o:title=""/>
                <o:lock v:ext="edit" aspectratio="f"/>
                <v:textbox>
                  <w:txbxContent>
                    <w:p>
                      <w:pPr>
                        <w:pBdr>
                          <w:top w:val="single" w:color="auto" w:sz="4" w:space="1"/>
                          <w:left w:val="single" w:color="auto" w:sz="4" w:space="4"/>
                          <w:bottom w:val="single" w:color="auto" w:sz="4" w:space="1"/>
                          <w:right w:val="single" w:color="auto" w:sz="4" w:space="4"/>
                        </w:pBdr>
                        <w:spacing w:line="400" w:lineRule="exact"/>
                        <w:ind w:firstLine="480" w:firstLineChars="200"/>
                        <w:rPr>
                          <w:rFonts w:hint="eastAsia" w:ascii="宋体" w:hAnsi="宋体" w:cs="宋体"/>
                          <w:color w:val="000000"/>
                          <w:sz w:val="24"/>
                        </w:rPr>
                      </w:pPr>
                      <w:r>
                        <w:rPr>
                          <w:rFonts w:hint="eastAsia" w:ascii="宋体" w:hAnsi="宋体" w:cs="宋体"/>
                          <w:color w:val="000000"/>
                          <w:sz w:val="24"/>
                        </w:rPr>
                        <w:t>项目概况</w:t>
                      </w:r>
                    </w:p>
                    <w:p>
                      <w:pPr>
                        <w:pBdr>
                          <w:top w:val="single" w:color="auto" w:sz="4" w:space="1"/>
                          <w:left w:val="single" w:color="auto" w:sz="4" w:space="4"/>
                          <w:bottom w:val="single" w:color="auto" w:sz="4" w:space="1"/>
                          <w:right w:val="single" w:color="auto" w:sz="4" w:space="4"/>
                        </w:pBdr>
                        <w:spacing w:line="400" w:lineRule="exact"/>
                        <w:ind w:firstLine="480" w:firstLineChars="200"/>
                        <w:rPr>
                          <w:rFonts w:hint="eastAsia" w:ascii="宋体" w:hAnsi="宋体" w:cs="宋体"/>
                          <w:sz w:val="24"/>
                        </w:rPr>
                      </w:pPr>
                      <w:r>
                        <w:rPr>
                          <w:rFonts w:hint="eastAsia" w:ascii="宋体" w:hAnsi="宋体" w:cs="宋体"/>
                          <w:sz w:val="24"/>
                          <w:u w:val="single"/>
                          <w:lang w:eastAsia="zh-CN"/>
                        </w:rPr>
                        <w:t>崇左市荣军优抚医院皮肤科设备采购项目</w:t>
                      </w:r>
                      <w:r>
                        <w:rPr>
                          <w:rFonts w:hint="eastAsia" w:ascii="宋体" w:hAnsi="宋体" w:cs="宋体"/>
                          <w:color w:val="000000"/>
                          <w:sz w:val="24"/>
                        </w:rPr>
                        <w:t>的潜在供应商应在广西政府采购云平台（https://www.zcygov.cn/）获取（下载）竞争性</w:t>
                      </w:r>
                      <w:r>
                        <w:rPr>
                          <w:rFonts w:hint="eastAsia" w:ascii="宋体" w:hAnsi="宋体" w:cs="宋体"/>
                          <w:color w:val="000000"/>
                          <w:sz w:val="24"/>
                          <w:lang w:val="en-US" w:eastAsia="zh-CN"/>
                        </w:rPr>
                        <w:t>谈判</w:t>
                      </w:r>
                      <w:r>
                        <w:rPr>
                          <w:rFonts w:hint="eastAsia" w:ascii="宋体" w:hAnsi="宋体" w:cs="宋体"/>
                          <w:color w:val="000000"/>
                          <w:sz w:val="24"/>
                        </w:rPr>
                        <w:t>文件</w:t>
                      </w:r>
                      <w:r>
                        <w:rPr>
                          <w:rFonts w:hint="eastAsia" w:ascii="宋体" w:hAnsi="宋体" w:cs="宋体"/>
                          <w:sz w:val="24"/>
                        </w:rPr>
                        <w:t>，并于</w:t>
                      </w:r>
                      <w:r>
                        <w:rPr>
                          <w:rFonts w:hint="eastAsia" w:ascii="宋体" w:hAnsi="宋体" w:cs="宋体"/>
                          <w:b/>
                          <w:bCs/>
                          <w:sz w:val="24"/>
                          <w:highlight w:val="none"/>
                        </w:rPr>
                        <w:t>202</w:t>
                      </w:r>
                      <w:r>
                        <w:rPr>
                          <w:rFonts w:hint="eastAsia" w:ascii="宋体" w:hAnsi="宋体" w:cs="宋体"/>
                          <w:b/>
                          <w:bCs/>
                          <w:sz w:val="24"/>
                          <w:highlight w:val="none"/>
                          <w:lang w:val="en-US" w:eastAsia="zh-CN"/>
                        </w:rPr>
                        <w:t>6</w:t>
                      </w:r>
                      <w:r>
                        <w:rPr>
                          <w:rFonts w:hint="eastAsia" w:ascii="宋体" w:hAnsi="宋体" w:cs="宋体"/>
                          <w:b/>
                          <w:bCs/>
                          <w:sz w:val="24"/>
                          <w:highlight w:val="none"/>
                        </w:rPr>
                        <w:t>年</w:t>
                      </w:r>
                      <w:r>
                        <w:rPr>
                          <w:rFonts w:hint="eastAsia" w:ascii="宋体" w:hAnsi="宋体" w:cs="宋体"/>
                          <w:b/>
                          <w:bCs/>
                          <w:sz w:val="24"/>
                          <w:highlight w:val="none"/>
                          <w:lang w:val="en-US" w:eastAsia="zh-CN"/>
                        </w:rPr>
                        <w:t>5</w:t>
                      </w:r>
                      <w:r>
                        <w:rPr>
                          <w:rFonts w:hint="eastAsia" w:ascii="宋体" w:hAnsi="宋体" w:cs="宋体"/>
                          <w:b/>
                          <w:bCs/>
                          <w:sz w:val="24"/>
                          <w:highlight w:val="none"/>
                        </w:rPr>
                        <w:t>月</w:t>
                      </w:r>
                      <w:r>
                        <w:rPr>
                          <w:rFonts w:hint="eastAsia" w:ascii="宋体" w:hAnsi="宋体" w:cs="宋体"/>
                          <w:b/>
                          <w:bCs/>
                          <w:sz w:val="24"/>
                          <w:highlight w:val="none"/>
                          <w:lang w:val="en-US" w:eastAsia="zh-CN"/>
                        </w:rPr>
                        <w:t>22</w:t>
                      </w:r>
                      <w:r>
                        <w:rPr>
                          <w:rFonts w:hint="eastAsia" w:ascii="宋体" w:hAnsi="宋体" w:cs="宋体"/>
                          <w:b/>
                          <w:bCs/>
                          <w:sz w:val="24"/>
                          <w:highlight w:val="none"/>
                        </w:rPr>
                        <w:t>日</w:t>
                      </w:r>
                      <w:r>
                        <w:rPr>
                          <w:rFonts w:hint="eastAsia" w:ascii="宋体" w:hAnsi="宋体" w:cs="宋体"/>
                          <w:b/>
                          <w:bCs/>
                          <w:sz w:val="24"/>
                          <w:highlight w:val="none"/>
                          <w:lang w:val="en-US" w:eastAsia="zh-CN"/>
                        </w:rPr>
                        <w:t>下午15时0</w:t>
                      </w:r>
                      <w:r>
                        <w:rPr>
                          <w:rFonts w:hint="eastAsia" w:ascii="宋体" w:hAnsi="宋体" w:cs="宋体"/>
                          <w:b/>
                          <w:bCs/>
                          <w:sz w:val="24"/>
                          <w:highlight w:val="none"/>
                        </w:rPr>
                        <w:t>0分（北京时间）</w:t>
                      </w:r>
                      <w:r>
                        <w:rPr>
                          <w:rFonts w:hint="eastAsia" w:ascii="宋体" w:hAnsi="宋体" w:cs="宋体"/>
                          <w:bCs/>
                          <w:sz w:val="24"/>
                          <w:highlight w:val="none"/>
                        </w:rPr>
                        <w:t>前提交响应文件</w:t>
                      </w:r>
                      <w:r>
                        <w:rPr>
                          <w:rFonts w:hint="eastAsia" w:ascii="宋体" w:hAnsi="宋体" w:cs="宋体"/>
                          <w:sz w:val="24"/>
                          <w:highlight w:val="none"/>
                        </w:rPr>
                        <w:t>。</w:t>
                      </w:r>
                    </w:p>
                  </w:txbxContent>
                </v:textbox>
              </v:shape>
            </w:pict>
          </mc:Fallback>
        </mc:AlternateContent>
      </w:r>
    </w:p>
    <w:p>
      <w:pPr>
        <w:spacing w:line="360" w:lineRule="auto"/>
        <w:ind w:firstLine="480" w:firstLineChars="200"/>
        <w:rPr>
          <w:rFonts w:hint="eastAsia" w:ascii="黑体" w:hAnsi="黑体" w:eastAsia="黑体" w:cs="宋体"/>
          <w:bCs/>
          <w:color w:val="auto"/>
          <w:sz w:val="24"/>
          <w:highlight w:val="none"/>
        </w:rPr>
      </w:pPr>
    </w:p>
    <w:p>
      <w:pPr>
        <w:pStyle w:val="31"/>
        <w:ind w:firstLine="640"/>
        <w:rPr>
          <w:color w:val="auto"/>
          <w:highlight w:val="none"/>
        </w:rPr>
      </w:pPr>
    </w:p>
    <w:p>
      <w:pPr>
        <w:spacing w:line="400" w:lineRule="exact"/>
        <w:ind w:firstLine="480" w:firstLineChars="200"/>
        <w:rPr>
          <w:rFonts w:hint="eastAsia" w:ascii="宋体" w:hAnsi="宋体" w:cs="宋体"/>
          <w:bCs/>
          <w:color w:val="auto"/>
          <w:sz w:val="24"/>
          <w:highlight w:val="none"/>
        </w:rPr>
      </w:pPr>
    </w:p>
    <w:bookmarkEnd w:id="19"/>
    <w:bookmarkEnd w:id="20"/>
    <w:bookmarkEnd w:id="21"/>
    <w:bookmarkEnd w:id="22"/>
    <w:bookmarkEnd w:id="23"/>
    <w:p>
      <w:pPr>
        <w:spacing w:line="400" w:lineRule="exact"/>
        <w:ind w:firstLine="480" w:firstLineChars="200"/>
        <w:rPr>
          <w:rFonts w:hint="eastAsia" w:ascii="宋体" w:hAnsi="宋体" w:cs="宋体"/>
          <w:color w:val="auto"/>
          <w:sz w:val="24"/>
          <w:highlight w:val="none"/>
        </w:rPr>
      </w:pPr>
    </w:p>
    <w:p>
      <w:pPr>
        <w:spacing w:line="480" w:lineRule="exact"/>
        <w:ind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一、项目基本情况</w:t>
      </w:r>
    </w:p>
    <w:p>
      <w:pPr>
        <w:spacing w:line="4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1.项目编号：CZZC2026-J1-990068-GXTZ</w:t>
      </w:r>
      <w:r>
        <w:rPr>
          <w:rFonts w:hint="eastAsia" w:ascii="宋体" w:hAnsi="宋体" w:cs="宋体"/>
          <w:color w:val="auto"/>
          <w:sz w:val="24"/>
          <w:highlight w:val="none"/>
          <w:lang w:eastAsia="zh-CN"/>
        </w:rPr>
        <w:t xml:space="preserve"> </w:t>
      </w:r>
    </w:p>
    <w:p>
      <w:pPr>
        <w:pStyle w:val="31"/>
        <w:spacing w:line="480" w:lineRule="exact"/>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2.项目名称：</w:t>
      </w:r>
      <w:r>
        <w:rPr>
          <w:rFonts w:hint="eastAsia" w:ascii="宋体" w:hAnsi="宋体" w:cs="宋体"/>
          <w:color w:val="auto"/>
          <w:sz w:val="24"/>
          <w:highlight w:val="none"/>
          <w:lang w:eastAsia="zh-CN"/>
        </w:rPr>
        <w:t>崇左市荣军优抚医院皮肤科设备采购项目</w:t>
      </w:r>
    </w:p>
    <w:p>
      <w:pPr>
        <w:pStyle w:val="31"/>
        <w:spacing w:line="480" w:lineRule="exact"/>
        <w:ind w:firstLine="480"/>
        <w:rPr>
          <w:rFonts w:eastAsia="宋体"/>
          <w:color w:val="auto"/>
          <w:highlight w:val="none"/>
        </w:rPr>
      </w:pPr>
      <w:r>
        <w:rPr>
          <w:rFonts w:hint="eastAsia" w:ascii="宋体" w:hAnsi="宋体" w:eastAsia="宋体" w:cs="宋体"/>
          <w:color w:val="auto"/>
          <w:sz w:val="24"/>
          <w:szCs w:val="24"/>
          <w:highlight w:val="none"/>
        </w:rPr>
        <w:t xml:space="preserve">3.采购方式：竞争性谈判 </w:t>
      </w:r>
    </w:p>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4.预算金额：</w:t>
      </w:r>
      <w:bookmarkStart w:id="28" w:name="OLE_LINK3"/>
      <w:r>
        <w:rPr>
          <w:rFonts w:hint="eastAsia" w:ascii="宋体" w:hAnsi="宋体" w:cs="宋体"/>
          <w:color w:val="auto"/>
          <w:sz w:val="24"/>
          <w:highlight w:val="none"/>
        </w:rPr>
        <w:t>2050600元</w:t>
      </w:r>
      <w:bookmarkEnd w:id="28"/>
    </w:p>
    <w:p>
      <w:pPr>
        <w:spacing w:line="480" w:lineRule="exact"/>
        <w:ind w:firstLine="480" w:firstLineChars="200"/>
        <w:rPr>
          <w:rFonts w:hint="eastAsia" w:ascii="宋体" w:hAnsi="宋体" w:cs="宋体"/>
          <w:i/>
          <w:iCs/>
          <w:color w:val="auto"/>
          <w:sz w:val="24"/>
          <w:highlight w:val="none"/>
        </w:rPr>
      </w:pPr>
      <w:r>
        <w:rPr>
          <w:rFonts w:hint="eastAsia" w:ascii="宋体" w:hAnsi="宋体" w:cs="宋体"/>
          <w:color w:val="auto"/>
          <w:sz w:val="24"/>
          <w:highlight w:val="none"/>
        </w:rPr>
        <w:t>5.最高限价</w:t>
      </w:r>
      <w:bookmarkStart w:id="29" w:name="_Hlk66782034"/>
      <w:r>
        <w:rPr>
          <w:rFonts w:hint="eastAsia" w:ascii="宋体" w:hAnsi="宋体" w:cs="宋体"/>
          <w:color w:val="auto"/>
          <w:sz w:val="24"/>
          <w:highlight w:val="none"/>
        </w:rPr>
        <w:t>（如有）</w:t>
      </w:r>
      <w:bookmarkEnd w:id="29"/>
      <w:r>
        <w:rPr>
          <w:rFonts w:hint="eastAsia" w:ascii="宋体" w:hAnsi="宋体" w:cs="宋体"/>
          <w:color w:val="auto"/>
          <w:sz w:val="24"/>
          <w:highlight w:val="none"/>
        </w:rPr>
        <w:t>：2050600元</w:t>
      </w:r>
    </w:p>
    <w:p>
      <w:pPr>
        <w:pStyle w:val="31"/>
        <w:spacing w:line="480" w:lineRule="exact"/>
        <w:ind w:firstLine="480"/>
        <w:rPr>
          <w:rFonts w:hint="eastAsia" w:ascii="宋体" w:hAnsi="宋体" w:cs="宋体"/>
          <w:color w:val="auto"/>
          <w:sz w:val="24"/>
          <w:highlight w:val="none"/>
        </w:rPr>
      </w:pPr>
      <w:r>
        <w:rPr>
          <w:rFonts w:hint="eastAsia" w:ascii="宋体" w:hAnsi="宋体" w:cs="宋体"/>
          <w:color w:val="auto"/>
          <w:sz w:val="24"/>
          <w:highlight w:val="none"/>
        </w:rPr>
        <w:t>6.采购需求：</w:t>
      </w:r>
    </w:p>
    <w:tbl>
      <w:tblPr>
        <w:tblStyle w:val="32"/>
        <w:tblpPr w:leftFromText="180" w:rightFromText="180" w:vertAnchor="text" w:horzAnchor="page" w:tblpX="1661" w:tblpY="462"/>
        <w:tblOverlap w:val="never"/>
        <w:tblW w:w="83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7"/>
        <w:gridCol w:w="3195"/>
        <w:gridCol w:w="1875"/>
        <w:gridCol w:w="2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bookmarkStart w:id="30" w:name="OLE_LINK12"/>
            <w:r>
              <w:rPr>
                <w:rFonts w:hint="eastAsia" w:ascii="宋体" w:hAnsi="宋体" w:eastAsia="宋体" w:cs="宋体"/>
                <w:b/>
                <w:bCs/>
                <w:i w:val="0"/>
                <w:iCs w:val="0"/>
                <w:color w:val="auto"/>
                <w:kern w:val="0"/>
                <w:sz w:val="21"/>
                <w:szCs w:val="21"/>
                <w:highlight w:val="none"/>
                <w:u w:val="none"/>
                <w:lang w:val="en-US" w:eastAsia="zh-CN" w:bidi="ar"/>
              </w:rPr>
              <w:t>序号</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货物名称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数量及单位</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简要技术需求或者货物要求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二氧化碳激光治疗机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如需进一步了解详细内容，详见采购文件。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Q开关Nd:YAG激光治疗机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LED光谱治疗仪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紫外线光疗仪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微波治疗仪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臭氧水疗仪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红外热疗仪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皮肤镜图像处理工作站</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套</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cgf离心机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多功能电动手术床</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冷热喷机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医用多功能洗头床</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医用消毒柜</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冰箱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医用吸烟机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洗衣机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热水器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成人药浴桶</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19</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儿童药浴桶</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台</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20</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液氮罐</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套</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21</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治疗床</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1张</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治疗凳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r>
              <w:rPr>
                <w:rFonts w:hint="eastAsia" w:ascii="宋体" w:hAnsi="宋体" w:cs="宋体"/>
                <w:i w:val="0"/>
                <w:iCs w:val="0"/>
                <w:color w:val="auto"/>
                <w:kern w:val="0"/>
                <w:sz w:val="21"/>
                <w:szCs w:val="21"/>
                <w:highlight w:val="none"/>
                <w:u w:val="none"/>
                <w:lang w:val="en-US" w:eastAsia="zh-CN" w:bidi="ar"/>
              </w:rPr>
              <w:t>张</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23</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粉刺针</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cs="宋体"/>
                <w:i w:val="0"/>
                <w:iCs w:val="0"/>
                <w:color w:val="auto"/>
                <w:kern w:val="0"/>
                <w:sz w:val="21"/>
                <w:szCs w:val="21"/>
                <w:highlight w:val="none"/>
                <w:u w:val="none"/>
                <w:lang w:val="en-US" w:eastAsia="zh-CN" w:bidi="ar"/>
              </w:rPr>
              <w:t>支</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24</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蚊式钳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cs="宋体"/>
                <w:i w:val="0"/>
                <w:iCs w:val="0"/>
                <w:color w:val="auto"/>
                <w:kern w:val="0"/>
                <w:sz w:val="21"/>
                <w:szCs w:val="21"/>
                <w:highlight w:val="none"/>
                <w:u w:val="none"/>
                <w:lang w:val="en-US" w:eastAsia="zh-CN" w:bidi="ar"/>
              </w:rPr>
              <w:t>把</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眼科剪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r>
              <w:rPr>
                <w:rFonts w:hint="eastAsia" w:ascii="宋体" w:hAnsi="宋体" w:cs="宋体"/>
                <w:i w:val="0"/>
                <w:iCs w:val="0"/>
                <w:color w:val="auto"/>
                <w:kern w:val="0"/>
                <w:sz w:val="21"/>
                <w:szCs w:val="21"/>
                <w:highlight w:val="none"/>
                <w:u w:val="none"/>
                <w:lang w:val="en-US" w:eastAsia="zh-CN" w:bidi="ar"/>
              </w:rPr>
              <w:t>把</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手术包</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包</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27</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val="en-US" w:eastAsia="zh-CN"/>
              </w:rPr>
              <w:t>治疗床</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color w:val="auto"/>
                <w:sz w:val="21"/>
                <w:szCs w:val="21"/>
                <w:highlight w:val="none"/>
                <w:lang w:val="en-US" w:eastAsia="zh-CN"/>
              </w:rPr>
              <w:t>1张</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28</w:t>
            </w:r>
          </w:p>
        </w:tc>
        <w:tc>
          <w:tcPr>
            <w:tcW w:w="3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lang w:val="en-US" w:eastAsia="zh-CN"/>
              </w:rPr>
              <w:t>婴幼儿浴池</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color w:val="auto"/>
                <w:sz w:val="21"/>
                <w:szCs w:val="21"/>
                <w:highlight w:val="none"/>
                <w:lang w:val="en-US" w:eastAsia="zh-CN"/>
              </w:rPr>
              <w:t>2套</w:t>
            </w: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bookmarkEnd w:id="30"/>
    </w:tbl>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7.合同履行期限：合同签订后30个日历日内到货并完成安装调试、验收合格并</w:t>
      </w:r>
    </w:p>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交付使用。</w:t>
      </w:r>
    </w:p>
    <w:p>
      <w:pPr>
        <w:spacing w:line="4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8.本项目（否）接受联合体</w:t>
      </w:r>
      <w:r>
        <w:rPr>
          <w:rFonts w:hint="eastAsia" w:ascii="宋体" w:hAnsi="宋体" w:cs="宋体"/>
          <w:color w:val="auto"/>
          <w:sz w:val="24"/>
          <w:highlight w:val="none"/>
          <w:lang w:eastAsia="zh-CN"/>
        </w:rPr>
        <w:t>。</w:t>
      </w:r>
    </w:p>
    <w:p>
      <w:pPr>
        <w:spacing w:line="480" w:lineRule="exact"/>
        <w:ind w:firstLine="482" w:firstLineChars="200"/>
        <w:rPr>
          <w:rFonts w:hint="eastAsia" w:ascii="宋体" w:hAnsi="宋体" w:cs="宋体"/>
          <w:bCs/>
          <w:color w:val="auto"/>
          <w:sz w:val="24"/>
          <w:highlight w:val="none"/>
        </w:rPr>
      </w:pPr>
      <w:bookmarkStart w:id="31" w:name="_Toc28359090"/>
      <w:bookmarkStart w:id="32" w:name="_Toc44229879"/>
      <w:bookmarkStart w:id="33" w:name="_Toc28359013"/>
      <w:bookmarkStart w:id="34" w:name="_Toc35393630"/>
      <w:bookmarkStart w:id="35" w:name="_Toc35393799"/>
      <w:r>
        <w:rPr>
          <w:rFonts w:hint="eastAsia" w:ascii="宋体" w:hAnsi="宋体" w:cs="宋体"/>
          <w:b/>
          <w:color w:val="auto"/>
          <w:kern w:val="44"/>
          <w:sz w:val="24"/>
          <w:highlight w:val="none"/>
        </w:rPr>
        <w:t>二、供应商的资格条件</w:t>
      </w:r>
      <w:bookmarkEnd w:id="31"/>
      <w:bookmarkEnd w:id="32"/>
      <w:bookmarkEnd w:id="33"/>
      <w:bookmarkEnd w:id="34"/>
      <w:bookmarkEnd w:id="35"/>
    </w:p>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1.满足《中华人民共和国政府采购法》第二十二条规定。</w:t>
      </w:r>
    </w:p>
    <w:p>
      <w:pPr>
        <w:spacing w:line="480" w:lineRule="exact"/>
        <w:ind w:firstLine="480"/>
        <w:rPr>
          <w:rFonts w:hint="eastAsia" w:ascii="宋体" w:hAnsi="宋体" w:eastAsia="仿宋_GB2312" w:cs="宋体"/>
          <w:color w:val="auto"/>
          <w:sz w:val="24"/>
          <w:highlight w:val="none"/>
        </w:rPr>
      </w:pPr>
      <w:r>
        <w:rPr>
          <w:rFonts w:hint="eastAsia" w:ascii="宋体" w:hAnsi="宋体" w:cs="宋体"/>
          <w:color w:val="auto"/>
          <w:sz w:val="24"/>
          <w:highlight w:val="none"/>
        </w:rPr>
        <w:t>2.落实政府采购政策需满足的资格要求：</w:t>
      </w:r>
      <w:bookmarkStart w:id="36" w:name="OLE_LINK51"/>
      <w:r>
        <w:rPr>
          <w:rFonts w:hint="eastAsia" w:ascii="宋体" w:hAnsi="宋体" w:cs="宋体"/>
          <w:color w:val="auto"/>
          <w:sz w:val="24"/>
          <w:highlight w:val="none"/>
        </w:rPr>
        <w:t>本项目为专门面向中小企业采购的项目，供应商应为中小微企业或者监狱企业或者残疾人福利性单位。</w:t>
      </w:r>
    </w:p>
    <w:bookmarkEnd w:id="36"/>
    <w:p>
      <w:pPr>
        <w:numPr>
          <w:ilvl w:val="0"/>
          <w:numId w:val="2"/>
        </w:num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本项目的特定资格要求：</w:t>
      </w:r>
    </w:p>
    <w:p>
      <w:pPr>
        <w:snapToGrid w:val="0"/>
        <w:spacing w:line="480" w:lineRule="exact"/>
        <w:ind w:firstLine="480" w:firstLineChars="200"/>
        <w:jc w:val="left"/>
        <w:rPr>
          <w:rFonts w:hint="eastAsia" w:ascii="宋体" w:hAnsi="宋体" w:cs="宋体"/>
          <w:color w:val="auto"/>
          <w:sz w:val="24"/>
          <w:highlight w:val="none"/>
          <w:u w:val="none"/>
        </w:rPr>
      </w:pPr>
      <w:bookmarkStart w:id="37" w:name="OLE_LINK6"/>
      <w:r>
        <w:rPr>
          <w:rFonts w:hint="eastAsia" w:ascii="宋体" w:hAnsi="宋体" w:cs="宋体"/>
          <w:color w:val="auto"/>
          <w:sz w:val="24"/>
          <w:highlight w:val="none"/>
          <w:u w:val="none"/>
        </w:rPr>
        <w:t>供应商须符合《医疗器械监督管理条例》（国务院令第 739 号）医疗器械分类管理规定，须具备有效的医疗器械经营备案凭证或医疗器械经营许可证，且资质经营范围须涵盖本次采购医疗器械类标的（符合《医疗器械监督管理条例》（国务院令第 739 号）第四十一条第二款规定情形的除外）；或者供应商符合《医疗器械监督管理条例》（国务院令第739号）第四十三条规定的，须具备与本次采购标的对应的医疗器械注册凭证或医疗器械备案凭证。</w:t>
      </w:r>
    </w:p>
    <w:bookmarkEnd w:id="37"/>
    <w:p>
      <w:pPr>
        <w:snapToGrid w:val="0"/>
        <w:spacing w:line="48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.本项目的特定条件：无；</w:t>
      </w:r>
    </w:p>
    <w:p>
      <w:pPr>
        <w:snapToGrid w:val="0"/>
        <w:spacing w:line="48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480" w:lineRule="exact"/>
        <w:ind w:firstLine="480" w:firstLineChars="200"/>
        <w:rPr>
          <w:color w:val="auto"/>
          <w:highlight w:val="none"/>
        </w:rPr>
      </w:pPr>
      <w:r>
        <w:rPr>
          <w:rFonts w:hint="eastAsia" w:ascii="宋体" w:hAnsi="宋体" w:cs="宋体"/>
          <w:color w:val="auto"/>
          <w:sz w:val="24"/>
          <w:highlight w:val="none"/>
        </w:rPr>
        <w:t>6.对在“信用中国”网站(www.creditchina.gov.cn) 、中国政府采购网(www.ccgp.gov.cn)</w:t>
      </w:r>
      <w:r>
        <w:rPr>
          <w:rFonts w:hint="eastAsia" w:ascii="宋体" w:hAnsi="宋体" w:cs="宋体"/>
          <w:color w:val="auto"/>
          <w:sz w:val="24"/>
          <w:highlight w:val="none"/>
          <w:lang w:eastAsia="zh-CN"/>
        </w:rPr>
        <w:t>、中国执行信息公开网（https://zxgk.court.gov.cn/）</w:t>
      </w:r>
      <w:r>
        <w:rPr>
          <w:rFonts w:hint="eastAsia" w:ascii="宋体" w:hAnsi="宋体" w:cs="宋体"/>
          <w:color w:val="auto"/>
          <w:sz w:val="24"/>
          <w:highlight w:val="none"/>
        </w:rPr>
        <w:t>被列入失信被执行人、</w:t>
      </w:r>
      <w:r>
        <w:rPr>
          <w:rFonts w:hint="eastAsia" w:ascii="宋体" w:hAnsi="宋体" w:cs="宋体"/>
          <w:color w:val="auto"/>
          <w:sz w:val="24"/>
          <w:highlight w:val="none"/>
          <w:lang w:eastAsia="zh-CN"/>
        </w:rPr>
        <w:t>重大税收违法失信主体</w:t>
      </w:r>
      <w:r>
        <w:rPr>
          <w:rFonts w:hint="eastAsia" w:ascii="宋体" w:hAnsi="宋体" w:cs="宋体"/>
          <w:color w:val="auto"/>
          <w:sz w:val="24"/>
          <w:highlight w:val="none"/>
        </w:rPr>
        <w:t>、政府采购严重违法失信行为记录名单及其他不符合《中华人民共和国政府采购法》第二十二条规定条件的供应商，不得参与政府采购活动。</w:t>
      </w:r>
    </w:p>
    <w:p>
      <w:pPr>
        <w:spacing w:line="48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三、获取竞争性</w:t>
      </w:r>
      <w:r>
        <w:rPr>
          <w:rFonts w:hint="eastAsia" w:ascii="宋体" w:hAnsi="宋体" w:cs="宋体"/>
          <w:b/>
          <w:bCs/>
          <w:color w:val="auto"/>
          <w:sz w:val="24"/>
          <w:highlight w:val="none"/>
          <w:lang w:val="en-US" w:eastAsia="zh-CN"/>
        </w:rPr>
        <w:t>谈判</w:t>
      </w:r>
      <w:r>
        <w:rPr>
          <w:rFonts w:hint="eastAsia" w:ascii="宋体" w:hAnsi="宋体" w:cs="宋体"/>
          <w:b/>
          <w:bCs/>
          <w:color w:val="auto"/>
          <w:sz w:val="24"/>
          <w:highlight w:val="none"/>
        </w:rPr>
        <w:t>文件</w:t>
      </w:r>
      <w:bookmarkEnd w:id="24"/>
      <w:bookmarkEnd w:id="25"/>
      <w:bookmarkEnd w:id="26"/>
      <w:bookmarkEnd w:id="27"/>
    </w:p>
    <w:p>
      <w:pPr>
        <w:spacing w:line="480" w:lineRule="exact"/>
        <w:ind w:firstLine="480" w:firstLineChars="200"/>
        <w:rPr>
          <w:rFonts w:hint="eastAsia" w:ascii="宋体" w:hAnsi="宋体" w:eastAsia="宋体" w:cs="宋体"/>
          <w:color w:val="auto"/>
          <w:sz w:val="24"/>
          <w:highlight w:val="none"/>
          <w:lang w:eastAsia="zh-CN"/>
        </w:rPr>
      </w:pPr>
      <w:bookmarkStart w:id="38" w:name="_Toc35393793"/>
      <w:bookmarkStart w:id="39" w:name="_Toc28359082"/>
      <w:bookmarkStart w:id="40" w:name="_Toc35393624"/>
      <w:bookmarkStart w:id="41" w:name="_Toc28359005"/>
      <w:r>
        <w:rPr>
          <w:rFonts w:hint="eastAsia" w:ascii="宋体" w:hAnsi="宋体" w:cs="宋体"/>
          <w:b w:val="0"/>
          <w:bCs w:val="0"/>
          <w:color w:val="auto"/>
          <w:sz w:val="24"/>
          <w:highlight w:val="none"/>
        </w:rPr>
        <w:t>1.时间：202</w:t>
      </w:r>
      <w:r>
        <w:rPr>
          <w:rFonts w:hint="eastAsia" w:ascii="宋体" w:hAnsi="宋体" w:cs="宋体"/>
          <w:b w:val="0"/>
          <w:bCs w:val="0"/>
          <w:color w:val="auto"/>
          <w:sz w:val="24"/>
          <w:highlight w:val="none"/>
          <w:lang w:val="en-US" w:eastAsia="zh-CN"/>
        </w:rPr>
        <w:t>6</w:t>
      </w:r>
      <w:r>
        <w:rPr>
          <w:rFonts w:hint="eastAsia" w:ascii="宋体" w:hAnsi="宋体" w:cs="宋体"/>
          <w:b w:val="0"/>
          <w:bCs w:val="0"/>
          <w:color w:val="auto"/>
          <w:sz w:val="24"/>
          <w:highlight w:val="none"/>
        </w:rPr>
        <w:t>年</w:t>
      </w:r>
      <w:r>
        <w:rPr>
          <w:rFonts w:hint="eastAsia" w:ascii="宋体" w:hAnsi="宋体" w:cs="宋体"/>
          <w:b w:val="0"/>
          <w:bCs w:val="0"/>
          <w:color w:val="auto"/>
          <w:sz w:val="24"/>
          <w:highlight w:val="none"/>
          <w:lang w:val="en-US" w:eastAsia="zh-CN"/>
        </w:rPr>
        <w:t>5</w:t>
      </w:r>
      <w:r>
        <w:rPr>
          <w:rFonts w:hint="eastAsia" w:ascii="宋体" w:hAnsi="宋体" w:cs="宋体"/>
          <w:b w:val="0"/>
          <w:bCs w:val="0"/>
          <w:color w:val="auto"/>
          <w:sz w:val="24"/>
          <w:highlight w:val="none"/>
        </w:rPr>
        <w:t>月</w:t>
      </w:r>
      <w:r>
        <w:rPr>
          <w:rFonts w:hint="eastAsia" w:ascii="宋体" w:hAnsi="宋体" w:cs="宋体"/>
          <w:b w:val="0"/>
          <w:bCs w:val="0"/>
          <w:color w:val="auto"/>
          <w:sz w:val="24"/>
          <w:highlight w:val="none"/>
          <w:lang w:val="en-US" w:eastAsia="zh-CN"/>
        </w:rPr>
        <w:t>18</w:t>
      </w:r>
      <w:r>
        <w:rPr>
          <w:rFonts w:hint="eastAsia" w:ascii="宋体" w:hAnsi="宋体" w:cs="宋体"/>
          <w:b w:val="0"/>
          <w:bCs w:val="0"/>
          <w:color w:val="auto"/>
          <w:sz w:val="24"/>
          <w:highlight w:val="none"/>
        </w:rPr>
        <w:t>日至202</w:t>
      </w:r>
      <w:r>
        <w:rPr>
          <w:rFonts w:hint="eastAsia" w:ascii="宋体" w:hAnsi="宋体" w:cs="宋体"/>
          <w:b w:val="0"/>
          <w:bCs w:val="0"/>
          <w:color w:val="auto"/>
          <w:sz w:val="24"/>
          <w:highlight w:val="none"/>
          <w:lang w:val="en-US" w:eastAsia="zh-CN"/>
        </w:rPr>
        <w:t>6</w:t>
      </w:r>
      <w:r>
        <w:rPr>
          <w:rFonts w:hint="eastAsia" w:ascii="宋体" w:hAnsi="宋体" w:cs="宋体"/>
          <w:b w:val="0"/>
          <w:bCs w:val="0"/>
          <w:color w:val="auto"/>
          <w:sz w:val="24"/>
          <w:highlight w:val="none"/>
        </w:rPr>
        <w:t>年</w:t>
      </w:r>
      <w:r>
        <w:rPr>
          <w:rFonts w:hint="eastAsia" w:ascii="宋体" w:hAnsi="宋体" w:cs="宋体"/>
          <w:b w:val="0"/>
          <w:bCs w:val="0"/>
          <w:color w:val="auto"/>
          <w:sz w:val="24"/>
          <w:highlight w:val="none"/>
          <w:lang w:val="en-US" w:eastAsia="zh-CN"/>
        </w:rPr>
        <w:t>5</w:t>
      </w:r>
      <w:r>
        <w:rPr>
          <w:rFonts w:hint="eastAsia" w:ascii="宋体" w:hAnsi="宋体" w:cs="宋体"/>
          <w:b w:val="0"/>
          <w:bCs w:val="0"/>
          <w:color w:val="auto"/>
          <w:sz w:val="24"/>
          <w:highlight w:val="none"/>
        </w:rPr>
        <w:t>月</w:t>
      </w:r>
      <w:r>
        <w:rPr>
          <w:rFonts w:hint="eastAsia" w:ascii="宋体" w:hAnsi="宋体" w:cs="宋体"/>
          <w:b w:val="0"/>
          <w:bCs w:val="0"/>
          <w:color w:val="auto"/>
          <w:sz w:val="24"/>
          <w:highlight w:val="none"/>
          <w:lang w:val="en-US" w:eastAsia="zh-CN"/>
        </w:rPr>
        <w:t>22</w:t>
      </w:r>
      <w:r>
        <w:rPr>
          <w:rFonts w:hint="eastAsia" w:ascii="宋体" w:hAnsi="宋体" w:cs="宋体"/>
          <w:b w:val="0"/>
          <w:bCs w:val="0"/>
          <w:color w:val="auto"/>
          <w:sz w:val="24"/>
          <w:highlight w:val="none"/>
        </w:rPr>
        <w:t>日</w:t>
      </w:r>
      <w:r>
        <w:rPr>
          <w:rFonts w:hint="eastAsia" w:ascii="宋体" w:hAnsi="宋体" w:cs="宋体"/>
          <w:color w:val="auto"/>
          <w:sz w:val="24"/>
          <w:highlight w:val="none"/>
        </w:rPr>
        <w:t>，每天上午00:00至12:00，下午12:00至23:59（北京时间，法定节假日除外）</w:t>
      </w:r>
      <w:r>
        <w:rPr>
          <w:rFonts w:hint="eastAsia" w:ascii="宋体" w:hAnsi="宋体" w:cs="宋体"/>
          <w:color w:val="auto"/>
          <w:sz w:val="24"/>
          <w:highlight w:val="none"/>
          <w:lang w:eastAsia="zh-CN"/>
        </w:rPr>
        <w:t>。</w:t>
      </w:r>
    </w:p>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2.地点：</w:t>
      </w:r>
      <w:bookmarkStart w:id="42" w:name="OLE_LINK13"/>
      <w:r>
        <w:rPr>
          <w:rFonts w:hint="eastAsia" w:ascii="宋体" w:hAnsi="宋体" w:cs="宋体"/>
          <w:color w:val="auto"/>
          <w:sz w:val="24"/>
          <w:highlight w:val="none"/>
        </w:rPr>
        <w:t>广西政府采购云平台（https://www.gcy.zfcg.gxzf.gov.cn/）</w:t>
      </w:r>
      <w:bookmarkEnd w:id="42"/>
      <w:r>
        <w:rPr>
          <w:rFonts w:hint="eastAsia" w:ascii="宋体" w:hAnsi="宋体" w:cs="宋体"/>
          <w:color w:val="auto"/>
          <w:sz w:val="24"/>
          <w:highlight w:val="none"/>
        </w:rPr>
        <w:t>。</w:t>
      </w:r>
    </w:p>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3.方式：</w:t>
      </w:r>
      <w:bookmarkStart w:id="43" w:name="OLE_LINK14"/>
      <w:r>
        <w:rPr>
          <w:rFonts w:hint="eastAsia" w:ascii="宋体" w:hAnsi="宋体" w:cs="宋体"/>
          <w:color w:val="auto"/>
          <w:sz w:val="24"/>
          <w:highlight w:val="none"/>
        </w:rPr>
        <w:t>网上下载。本项目不提供纸质文件，潜在供应商需使用账号登录或者使用CA 登录“广西政府采购云平台”平台（https://www.gcy.zfcg.gxzf.gov.cn/）-进入“项目采购”应用，在获取采购文件菜单中选择项目，获取竞争性谈判文件。电子响应文件制作需要基于“广西政府采购云平台 ”平台获取的谈判文件编制。</w:t>
      </w:r>
      <w:bookmarkEnd w:id="43"/>
    </w:p>
    <w:p>
      <w:pPr>
        <w:spacing w:line="48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4.售价：0元。</w:t>
      </w:r>
    </w:p>
    <w:p>
      <w:pPr>
        <w:spacing w:line="48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四、</w:t>
      </w:r>
      <w:bookmarkEnd w:id="38"/>
      <w:bookmarkEnd w:id="39"/>
      <w:bookmarkEnd w:id="40"/>
      <w:bookmarkEnd w:id="41"/>
      <w:r>
        <w:rPr>
          <w:rFonts w:hint="eastAsia" w:ascii="宋体" w:hAnsi="宋体" w:cs="宋体"/>
          <w:b/>
          <w:bCs/>
          <w:color w:val="auto"/>
          <w:sz w:val="24"/>
          <w:highlight w:val="none"/>
        </w:rPr>
        <w:t>响应文件提交</w:t>
      </w:r>
    </w:p>
    <w:p>
      <w:pPr>
        <w:spacing w:line="480" w:lineRule="exact"/>
        <w:ind w:firstLine="480" w:firstLineChars="200"/>
        <w:rPr>
          <w:rFonts w:hint="eastAsia" w:ascii="宋体" w:hAnsi="宋体" w:cs="宋体"/>
          <w:b w:val="0"/>
          <w:bCs w:val="0"/>
          <w:color w:val="auto"/>
          <w:sz w:val="24"/>
          <w:highlight w:val="none"/>
          <w:u w:val="none"/>
        </w:rPr>
      </w:pPr>
      <w:r>
        <w:rPr>
          <w:rFonts w:hint="eastAsia" w:ascii="宋体" w:hAnsi="宋体" w:cs="宋体"/>
          <w:color w:val="auto"/>
          <w:sz w:val="24"/>
          <w:highlight w:val="none"/>
        </w:rPr>
        <w:t>1.首次响应文件提交截止时间</w:t>
      </w:r>
      <w:r>
        <w:rPr>
          <w:rFonts w:hint="eastAsia" w:ascii="宋体" w:hAnsi="宋体" w:cs="宋体"/>
          <w:b w:val="0"/>
          <w:bCs w:val="0"/>
          <w:color w:val="auto"/>
          <w:sz w:val="24"/>
          <w:highlight w:val="none"/>
        </w:rPr>
        <w:t>：</w:t>
      </w:r>
      <w:r>
        <w:rPr>
          <w:rFonts w:hint="eastAsia" w:ascii="宋体" w:hAnsi="宋体" w:cs="宋体"/>
          <w:b w:val="0"/>
          <w:bCs w:val="0"/>
          <w:color w:val="auto"/>
          <w:sz w:val="24"/>
          <w:highlight w:val="none"/>
          <w:u w:val="none"/>
        </w:rPr>
        <w:t>202</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rPr>
        <w:t>年</w:t>
      </w:r>
      <w:r>
        <w:rPr>
          <w:rFonts w:hint="eastAsia" w:ascii="宋体" w:hAnsi="宋体" w:cs="宋体"/>
          <w:b w:val="0"/>
          <w:bCs w:val="0"/>
          <w:color w:val="auto"/>
          <w:sz w:val="24"/>
          <w:highlight w:val="none"/>
          <w:u w:val="none"/>
          <w:lang w:val="en-US" w:eastAsia="zh-CN"/>
        </w:rPr>
        <w:t>5</w:t>
      </w:r>
      <w:r>
        <w:rPr>
          <w:rFonts w:hint="eastAsia" w:ascii="宋体" w:hAnsi="宋体" w:cs="宋体"/>
          <w:b w:val="0"/>
          <w:bCs w:val="0"/>
          <w:color w:val="auto"/>
          <w:sz w:val="24"/>
          <w:highlight w:val="none"/>
          <w:u w:val="none"/>
        </w:rPr>
        <w:t>月</w:t>
      </w:r>
      <w:r>
        <w:rPr>
          <w:rFonts w:hint="eastAsia" w:ascii="宋体" w:hAnsi="宋体" w:cs="宋体"/>
          <w:b w:val="0"/>
          <w:bCs w:val="0"/>
          <w:color w:val="auto"/>
          <w:sz w:val="24"/>
          <w:highlight w:val="none"/>
          <w:u w:val="none"/>
          <w:lang w:val="en-US" w:eastAsia="zh-CN"/>
        </w:rPr>
        <w:t>22</w:t>
      </w:r>
      <w:r>
        <w:rPr>
          <w:rFonts w:hint="eastAsia" w:ascii="宋体" w:hAnsi="宋体" w:cs="宋体"/>
          <w:b w:val="0"/>
          <w:bCs w:val="0"/>
          <w:color w:val="auto"/>
          <w:sz w:val="24"/>
          <w:highlight w:val="none"/>
          <w:u w:val="none"/>
        </w:rPr>
        <w:t>日</w:t>
      </w:r>
      <w:r>
        <w:rPr>
          <w:rFonts w:hint="eastAsia" w:ascii="宋体" w:hAnsi="宋体" w:cs="宋体"/>
          <w:b w:val="0"/>
          <w:bCs w:val="0"/>
          <w:color w:val="auto"/>
          <w:sz w:val="24"/>
          <w:highlight w:val="none"/>
          <w:u w:val="none"/>
          <w:lang w:val="en-US" w:eastAsia="zh-CN"/>
        </w:rPr>
        <w:t>下午15时0</w:t>
      </w:r>
      <w:r>
        <w:rPr>
          <w:rFonts w:hint="eastAsia" w:ascii="宋体" w:hAnsi="宋体" w:cs="宋体"/>
          <w:b w:val="0"/>
          <w:bCs w:val="0"/>
          <w:color w:val="auto"/>
          <w:sz w:val="24"/>
          <w:highlight w:val="none"/>
          <w:u w:val="none"/>
        </w:rPr>
        <w:t>0分（北京时间）</w:t>
      </w:r>
    </w:p>
    <w:p>
      <w:pPr>
        <w:snapToGrid w:val="0"/>
        <w:spacing w:line="480" w:lineRule="exact"/>
        <w:ind w:firstLine="480" w:firstLineChars="200"/>
        <w:rPr>
          <w:rFonts w:hint="eastAsia" w:ascii="宋体" w:hAnsi="宋体" w:cs="宋体"/>
          <w:b w:val="0"/>
          <w:bCs w:val="0"/>
          <w:color w:val="auto"/>
          <w:kern w:val="0"/>
          <w:sz w:val="24"/>
          <w:highlight w:val="none"/>
        </w:rPr>
      </w:pPr>
      <w:r>
        <w:rPr>
          <w:rFonts w:hint="eastAsia" w:ascii="宋体" w:hAnsi="宋体" w:cs="宋体"/>
          <w:b w:val="0"/>
          <w:bCs w:val="0"/>
          <w:color w:val="auto"/>
          <w:sz w:val="24"/>
          <w:highlight w:val="none"/>
        </w:rPr>
        <w:t>2.首次响应文件提交地点：</w:t>
      </w:r>
      <w:bookmarkStart w:id="44" w:name="OLE_LINK22"/>
      <w:r>
        <w:rPr>
          <w:rFonts w:hint="eastAsia" w:ascii="宋体" w:hAnsi="宋体" w:cs="宋体"/>
          <w:b w:val="0"/>
          <w:bCs w:val="0"/>
          <w:color w:val="auto"/>
          <w:sz w:val="24"/>
          <w:highlight w:val="none"/>
        </w:rPr>
        <w:t>请登录广西政府采购云平台投标客户端投标</w:t>
      </w:r>
      <w:r>
        <w:rPr>
          <w:rFonts w:hint="eastAsia" w:ascii="宋体" w:hAnsi="宋体" w:cs="宋体"/>
          <w:b w:val="0"/>
          <w:bCs w:val="0"/>
          <w:color w:val="auto"/>
          <w:kern w:val="0"/>
          <w:sz w:val="24"/>
          <w:highlight w:val="none"/>
        </w:rPr>
        <w:t>。</w:t>
      </w:r>
      <w:bookmarkEnd w:id="44"/>
    </w:p>
    <w:p>
      <w:pPr>
        <w:spacing w:line="480" w:lineRule="exact"/>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五、开启（首次响应文件开启时间）</w:t>
      </w:r>
    </w:p>
    <w:p>
      <w:pPr>
        <w:spacing w:line="480" w:lineRule="exact"/>
        <w:ind w:firstLine="480" w:firstLineChars="200"/>
        <w:rPr>
          <w:rFonts w:hint="eastAsia" w:ascii="宋体" w:hAnsi="宋体" w:cs="宋体"/>
          <w:b w:val="0"/>
          <w:bCs w:val="0"/>
          <w:color w:val="auto"/>
          <w:sz w:val="24"/>
          <w:highlight w:val="none"/>
          <w:u w:val="single"/>
        </w:rPr>
      </w:pPr>
      <w:r>
        <w:rPr>
          <w:rFonts w:hint="eastAsia" w:ascii="宋体" w:hAnsi="宋体" w:cs="宋体"/>
          <w:color w:val="auto"/>
          <w:sz w:val="24"/>
          <w:highlight w:val="none"/>
        </w:rPr>
        <w:t>1</w:t>
      </w:r>
      <w:r>
        <w:rPr>
          <w:rFonts w:hint="eastAsia" w:ascii="宋体" w:hAnsi="宋体" w:cs="宋体"/>
          <w:color w:val="auto"/>
          <w:sz w:val="24"/>
          <w:highlight w:val="none"/>
          <w:u w:val="none"/>
        </w:rPr>
        <w:t>.时间：</w:t>
      </w:r>
      <w:r>
        <w:rPr>
          <w:rFonts w:hint="eastAsia" w:ascii="宋体" w:hAnsi="宋体" w:cs="宋体"/>
          <w:b w:val="0"/>
          <w:bCs w:val="0"/>
          <w:color w:val="auto"/>
          <w:sz w:val="24"/>
          <w:highlight w:val="none"/>
          <w:u w:val="none"/>
        </w:rPr>
        <w:t>202</w:t>
      </w:r>
      <w:r>
        <w:rPr>
          <w:rFonts w:hint="eastAsia" w:ascii="宋体" w:hAnsi="宋体" w:cs="宋体"/>
          <w:b w:val="0"/>
          <w:bCs w:val="0"/>
          <w:color w:val="auto"/>
          <w:sz w:val="24"/>
          <w:highlight w:val="none"/>
          <w:u w:val="none"/>
          <w:lang w:val="en-US" w:eastAsia="zh-CN"/>
        </w:rPr>
        <w:t>6</w:t>
      </w:r>
      <w:r>
        <w:rPr>
          <w:rFonts w:hint="eastAsia" w:ascii="宋体" w:hAnsi="宋体" w:cs="宋体"/>
          <w:b w:val="0"/>
          <w:bCs w:val="0"/>
          <w:color w:val="auto"/>
          <w:sz w:val="24"/>
          <w:highlight w:val="none"/>
          <w:u w:val="none"/>
        </w:rPr>
        <w:t>年</w:t>
      </w:r>
      <w:r>
        <w:rPr>
          <w:rFonts w:hint="eastAsia" w:ascii="宋体" w:hAnsi="宋体" w:cs="宋体"/>
          <w:b w:val="0"/>
          <w:bCs w:val="0"/>
          <w:color w:val="auto"/>
          <w:sz w:val="24"/>
          <w:highlight w:val="none"/>
          <w:u w:val="none"/>
          <w:lang w:val="en-US" w:eastAsia="zh-CN"/>
        </w:rPr>
        <w:t>5</w:t>
      </w:r>
      <w:r>
        <w:rPr>
          <w:rFonts w:hint="eastAsia" w:ascii="宋体" w:hAnsi="宋体" w:cs="宋体"/>
          <w:b w:val="0"/>
          <w:bCs w:val="0"/>
          <w:color w:val="auto"/>
          <w:sz w:val="24"/>
          <w:highlight w:val="none"/>
          <w:u w:val="none"/>
        </w:rPr>
        <w:t>月</w:t>
      </w:r>
      <w:r>
        <w:rPr>
          <w:rFonts w:hint="eastAsia" w:ascii="宋体" w:hAnsi="宋体" w:cs="宋体"/>
          <w:b w:val="0"/>
          <w:bCs w:val="0"/>
          <w:color w:val="auto"/>
          <w:sz w:val="24"/>
          <w:highlight w:val="none"/>
          <w:u w:val="none"/>
          <w:lang w:val="en-US" w:eastAsia="zh-CN"/>
        </w:rPr>
        <w:t>22</w:t>
      </w:r>
      <w:r>
        <w:rPr>
          <w:rFonts w:hint="eastAsia" w:ascii="宋体" w:hAnsi="宋体" w:cs="宋体"/>
          <w:b w:val="0"/>
          <w:bCs w:val="0"/>
          <w:color w:val="auto"/>
          <w:sz w:val="24"/>
          <w:highlight w:val="none"/>
          <w:u w:val="none"/>
        </w:rPr>
        <w:t>日</w:t>
      </w:r>
      <w:r>
        <w:rPr>
          <w:rFonts w:hint="eastAsia" w:ascii="宋体" w:hAnsi="宋体" w:cs="宋体"/>
          <w:b w:val="0"/>
          <w:bCs w:val="0"/>
          <w:color w:val="auto"/>
          <w:sz w:val="24"/>
          <w:highlight w:val="none"/>
          <w:u w:val="none"/>
          <w:lang w:val="en-US" w:eastAsia="zh-CN"/>
        </w:rPr>
        <w:t>下午15时0</w:t>
      </w:r>
      <w:r>
        <w:rPr>
          <w:rFonts w:hint="eastAsia" w:ascii="宋体" w:hAnsi="宋体" w:cs="宋体"/>
          <w:b w:val="0"/>
          <w:bCs w:val="0"/>
          <w:color w:val="auto"/>
          <w:sz w:val="24"/>
          <w:highlight w:val="none"/>
          <w:u w:val="none"/>
        </w:rPr>
        <w:t>0分（北京时间）</w:t>
      </w:r>
    </w:p>
    <w:p>
      <w:pPr>
        <w:spacing w:line="480" w:lineRule="exact"/>
        <w:ind w:firstLine="480" w:firstLineChars="200"/>
        <w:rPr>
          <w:rFonts w:hint="eastAsia" w:ascii="宋体" w:hAnsi="宋体" w:cs="宋体"/>
          <w:bCs/>
          <w:color w:val="auto"/>
          <w:sz w:val="24"/>
          <w:highlight w:val="none"/>
          <w:u w:val="single"/>
        </w:rPr>
      </w:pPr>
      <w:r>
        <w:rPr>
          <w:rFonts w:hint="eastAsia" w:ascii="宋体" w:hAnsi="宋体" w:cs="宋体"/>
          <w:color w:val="auto"/>
          <w:sz w:val="24"/>
          <w:highlight w:val="none"/>
          <w:u w:val="none"/>
        </w:rPr>
        <w:t>2.地点：广西政府采购云平台（https://www.gcy.zfcg.gxzf.gov.cn/）。</w:t>
      </w:r>
    </w:p>
    <w:p>
      <w:pPr>
        <w:spacing w:line="480" w:lineRule="exact"/>
        <w:ind w:firstLine="482" w:firstLineChars="200"/>
        <w:rPr>
          <w:rFonts w:hint="eastAsia" w:ascii="宋体" w:hAnsi="宋体" w:cs="宋体"/>
          <w:b/>
          <w:bCs/>
          <w:color w:val="auto"/>
          <w:sz w:val="24"/>
          <w:highlight w:val="none"/>
        </w:rPr>
      </w:pPr>
      <w:bookmarkStart w:id="45" w:name="_Toc35393625"/>
      <w:bookmarkStart w:id="46" w:name="_Toc28359084"/>
      <w:bookmarkStart w:id="47" w:name="_Toc35393794"/>
      <w:bookmarkStart w:id="48" w:name="_Toc28359007"/>
      <w:r>
        <w:rPr>
          <w:rFonts w:hint="eastAsia" w:ascii="宋体" w:hAnsi="宋体" w:cs="宋体"/>
          <w:b/>
          <w:bCs/>
          <w:color w:val="auto"/>
          <w:sz w:val="24"/>
          <w:highlight w:val="none"/>
        </w:rPr>
        <w:t>六、公告期限</w:t>
      </w:r>
      <w:bookmarkEnd w:id="45"/>
      <w:bookmarkEnd w:id="46"/>
      <w:bookmarkEnd w:id="47"/>
      <w:bookmarkEnd w:id="48"/>
    </w:p>
    <w:p>
      <w:pPr>
        <w:spacing w:line="480" w:lineRule="exact"/>
        <w:ind w:firstLine="480" w:firstLineChars="200"/>
        <w:rPr>
          <w:rFonts w:hint="eastAsia" w:ascii="宋体" w:hAnsi="宋体" w:cs="宋体"/>
          <w:color w:val="auto"/>
          <w:kern w:val="0"/>
          <w:sz w:val="24"/>
          <w:highlight w:val="none"/>
          <w:u w:val="none"/>
        </w:rPr>
      </w:pPr>
      <w:r>
        <w:rPr>
          <w:rFonts w:hint="eastAsia" w:ascii="宋体" w:hAnsi="宋体" w:cs="宋体"/>
          <w:color w:val="auto"/>
          <w:kern w:val="0"/>
          <w:sz w:val="24"/>
          <w:highlight w:val="none"/>
        </w:rPr>
        <w:t>自本公告发布</w:t>
      </w:r>
      <w:r>
        <w:rPr>
          <w:rFonts w:hint="eastAsia" w:ascii="宋体" w:hAnsi="宋体" w:cs="宋体"/>
          <w:color w:val="auto"/>
          <w:kern w:val="0"/>
          <w:sz w:val="24"/>
          <w:highlight w:val="none"/>
          <w:u w:val="none"/>
        </w:rPr>
        <w:t>之日起</w:t>
      </w:r>
      <w:r>
        <w:rPr>
          <w:rFonts w:hint="eastAsia" w:ascii="宋体" w:hAnsi="宋体" w:cs="宋体"/>
          <w:color w:val="auto"/>
          <w:kern w:val="0"/>
          <w:sz w:val="24"/>
          <w:highlight w:val="none"/>
          <w:u w:val="none"/>
          <w:lang w:val="en-US" w:eastAsia="zh-CN"/>
        </w:rPr>
        <w:t>3</w:t>
      </w:r>
      <w:r>
        <w:rPr>
          <w:rFonts w:hint="eastAsia" w:ascii="宋体" w:hAnsi="宋体" w:cs="宋体"/>
          <w:color w:val="auto"/>
          <w:kern w:val="0"/>
          <w:sz w:val="24"/>
          <w:highlight w:val="none"/>
          <w:u w:val="none"/>
        </w:rPr>
        <w:t>个工作日。</w:t>
      </w:r>
    </w:p>
    <w:p>
      <w:pPr>
        <w:spacing w:line="480" w:lineRule="exact"/>
        <w:ind w:firstLine="482" w:firstLineChars="200"/>
        <w:rPr>
          <w:rFonts w:hint="eastAsia" w:ascii="宋体" w:hAnsi="宋体" w:cs="宋体"/>
          <w:b/>
          <w:bCs/>
          <w:color w:val="auto"/>
          <w:sz w:val="24"/>
          <w:highlight w:val="none"/>
        </w:rPr>
      </w:pPr>
      <w:bookmarkStart w:id="49" w:name="_Toc35393626"/>
      <w:bookmarkStart w:id="50" w:name="_Toc35393795"/>
      <w:r>
        <w:rPr>
          <w:rFonts w:hint="eastAsia" w:ascii="宋体" w:hAnsi="宋体" w:cs="宋体"/>
          <w:b/>
          <w:bCs/>
          <w:color w:val="auto"/>
          <w:sz w:val="24"/>
          <w:highlight w:val="none"/>
          <w:u w:val="none"/>
        </w:rPr>
        <w:t>七、其他补充事宜</w:t>
      </w:r>
      <w:bookmarkEnd w:id="49"/>
      <w:bookmarkEnd w:id="50"/>
    </w:p>
    <w:p>
      <w:pPr>
        <w:spacing w:line="480" w:lineRule="exact"/>
        <w:ind w:firstLine="480" w:firstLineChars="200"/>
        <w:rPr>
          <w:rFonts w:hint="eastAsia" w:ascii="宋体" w:hAnsi="宋体" w:cs="宋体"/>
          <w:color w:val="auto"/>
          <w:kern w:val="0"/>
          <w:sz w:val="24"/>
          <w:highlight w:val="none"/>
        </w:rPr>
      </w:pPr>
      <w:bookmarkStart w:id="51" w:name="_Hlk37429674"/>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谈判</w:t>
      </w:r>
      <w:r>
        <w:rPr>
          <w:rFonts w:hint="eastAsia" w:ascii="宋体" w:hAnsi="宋体" w:cs="宋体"/>
          <w:color w:val="auto"/>
          <w:kern w:val="0"/>
          <w:sz w:val="24"/>
          <w:highlight w:val="none"/>
        </w:rPr>
        <w:t>保证金：本项目不收取</w:t>
      </w:r>
      <w:r>
        <w:rPr>
          <w:rFonts w:hint="eastAsia" w:ascii="宋体" w:hAnsi="宋体" w:cs="宋体"/>
          <w:color w:val="auto"/>
          <w:kern w:val="0"/>
          <w:sz w:val="24"/>
          <w:highlight w:val="none"/>
          <w:lang w:val="en-US" w:eastAsia="zh-CN"/>
        </w:rPr>
        <w:t>谈判</w:t>
      </w:r>
      <w:r>
        <w:rPr>
          <w:rFonts w:hint="eastAsia" w:ascii="宋体" w:hAnsi="宋体" w:cs="宋体"/>
          <w:color w:val="auto"/>
          <w:kern w:val="0"/>
          <w:sz w:val="24"/>
          <w:highlight w:val="none"/>
        </w:rPr>
        <w:t>保证金。</w:t>
      </w:r>
    </w:p>
    <w:p>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 xml:space="preserve">2.采购意向公开链接：http://www.ccgp-guangxi.gov.cn/site/detail?parentId=66485&amp;articleId=nWg848HzqvsT87afPQGrVw==  </w:t>
      </w:r>
    </w:p>
    <w:p>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.网上查询地址：http://www.ccgp.gov.cn/（中国政府采购网）、http://zfcg.gxzf.gov.cn/ （广西壮族自治区政府采购网）、http://ggzy.jgswj.gxzf.gov.cn/czggzy/</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全国公共资源交易平台（广西.崇左）</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.本项目需要落实的政府采购政策</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（1）政府采购促进中小企业发展。</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（2）政府采购支持采用本国产品的政策。</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（3）强制采购节能产品；优先采购节能产品、环境标志产品。</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（4）政府采购促进残疾人就业政策。</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（5）政府采购支持监狱企业发展。</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供应商竞标注意事项</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（1）本项目为全流程电子化采购项目，通过广西政府采购云平台</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（https://www.gcy.zfcg.gxzf.gov.cn/）实行在线电子竞标，供应商应先安装“广西政府采购云平台电子交易客户端 ”（请自行前往广西政府采购云平台进行下载），并按照本项目竞争性谈判文件和广西政府采购云平台的要求编制、加密后在提交响应文件截止时间前通过网络上传至广西政府采购云平台（加密的电子响应文件是指后缀名为“jmbs ”的文件），</w:t>
      </w:r>
      <w:r>
        <w:rPr>
          <w:rFonts w:hint="eastAsia" w:ascii="宋体" w:hAnsi="宋体" w:cs="宋体"/>
          <w:b/>
          <w:bCs/>
          <w:color w:val="auto"/>
          <w:kern w:val="0"/>
          <w:sz w:val="24"/>
          <w:highlight w:val="none"/>
        </w:rPr>
        <w:t>供应商在广西政府采购云平台提交电子响应文件时，请填写参加远程采购活动经办人联系方式</w:t>
      </w:r>
      <w:r>
        <w:rPr>
          <w:rFonts w:hint="eastAsia" w:ascii="宋体" w:hAnsi="宋体" w:cs="宋体"/>
          <w:color w:val="auto"/>
          <w:kern w:val="0"/>
          <w:sz w:val="24"/>
          <w:highlight w:val="none"/>
        </w:rPr>
        <w:t>。供应商登录广西政府采购云平台，依次进入“服务中心-项目采购-操作流程-电子招投标-政府采购项目电子交易管理操作指南-供应商 ”查看电子竞标具体操作流程。</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（2）未进行网上注册并办理数字证书（CA 认证）的供应商将无法参与本项目政府采购活动，供应商应当在提交响应文件截止时间前，完成电子交易平台上的CA 数字证书办理及响应文件的提交（供应商可登录“广西政府采购网 ”，依次进入“办事服务-下载专区 ”或者登录广西政府采购云平台，依次进入“服务中心-入驻与配置 ”中查看 CA 数字证书办理操作流程。如在操作过程中遇到问题或者需要技术支持，请致电广西政府采购云平台客服热线：95763）。</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（3）CA 证书在线解密：首次响应文件开启时，需携带制作响应文件时用来加密的有效数字证书（CA 认证）登录广西政府采购云平台电子开标大厅现场按规定时间对加密的响应文件进行解密【为确保投标（响应）文件顺利解密，建议供应商尽量使用PDF 编辑软件调整、减小投标（响应）文件大小，加密后再上传至广西政府采购云平台】，否则后果自负。</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注：1）为确保网上操作合法、有效和安全，请供应商确保在电子竞标过程中能够对相关数据电文进行加密和使用电子签章，妥善保管 CA 数字证书并使用有效的CA 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（4）供应商需要在具备有摄像头及语音功能且互联网网络状况良好的电脑登录广西政府采购云平台远程开标大厅参与本次谈判，否则后果自负。</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rPr>
        <w:t>.根据《崇左市财政局关于进一步做好线上“政采贷”融资业务工作的通知》( 崇财采(2023)10号) ,供应商可凭成交通知书、政府采购合同，通过中征应收账款融资服务平台向银行在线申请“政采贷”融资。(具体详见采购文件中关于“政采贷”相关信息)。</w:t>
      </w:r>
    </w:p>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bookmarkEnd w:id="51"/>
    <w:p>
      <w:pPr>
        <w:spacing w:line="480" w:lineRule="exact"/>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b/>
          <w:bCs/>
          <w:color w:val="auto"/>
          <w:kern w:val="0"/>
          <w:sz w:val="24"/>
          <w:highlight w:val="none"/>
          <w:u w:val="none"/>
        </w:rPr>
        <w:t>评标说明：本项目采用远程异地评标，</w:t>
      </w:r>
      <w:bookmarkStart w:id="52" w:name="OLE_LINK26"/>
      <w:r>
        <w:rPr>
          <w:rFonts w:hint="eastAsia" w:ascii="宋体" w:hAnsi="宋体" w:cs="宋体"/>
          <w:b/>
          <w:bCs/>
          <w:color w:val="auto"/>
          <w:kern w:val="0"/>
          <w:sz w:val="24"/>
          <w:highlight w:val="none"/>
          <w:u w:val="none"/>
        </w:rPr>
        <w:t>评标主会场地址：崇左市公共资源交易中心（崇左市城南新区石景林路东段政务服务中心综合楼五楼</w:t>
      </w:r>
      <w:bookmarkEnd w:id="52"/>
      <w:r>
        <w:rPr>
          <w:rFonts w:hint="eastAsia" w:ascii="宋体" w:hAnsi="宋体" w:cs="宋体"/>
          <w:b/>
          <w:bCs/>
          <w:color w:val="auto"/>
          <w:kern w:val="0"/>
          <w:sz w:val="24"/>
          <w:highlight w:val="none"/>
          <w:u w:val="none"/>
        </w:rPr>
        <w:t>，</w:t>
      </w:r>
      <w:bookmarkStart w:id="53" w:name="OLE_LINK27"/>
      <w:r>
        <w:rPr>
          <w:rFonts w:hint="eastAsia" w:ascii="宋体" w:hAnsi="宋体" w:cs="宋体"/>
          <w:b/>
          <w:bCs/>
          <w:color w:val="auto"/>
          <w:kern w:val="0"/>
          <w:sz w:val="24"/>
          <w:highlight w:val="none"/>
          <w:u w:val="none"/>
        </w:rPr>
        <w:t>评标副会场地址：南宁市良庆区凯旋路16号裕达国际中心广东大厦18层</w:t>
      </w:r>
      <w:r>
        <w:rPr>
          <w:rFonts w:hint="eastAsia" w:ascii="宋体" w:hAnsi="宋体" w:cs="宋体"/>
          <w:b/>
          <w:bCs/>
          <w:color w:val="auto"/>
          <w:kern w:val="0"/>
          <w:sz w:val="24"/>
          <w:highlight w:val="none"/>
          <w:u w:val="none"/>
          <w:lang w:eastAsia="zh-CN"/>
        </w:rPr>
        <w:t>）</w:t>
      </w:r>
      <w:r>
        <w:rPr>
          <w:rFonts w:hint="eastAsia" w:ascii="宋体" w:hAnsi="宋体" w:cs="宋体"/>
          <w:b/>
          <w:bCs/>
          <w:color w:val="auto"/>
          <w:kern w:val="0"/>
          <w:sz w:val="24"/>
          <w:highlight w:val="none"/>
          <w:u w:val="none"/>
        </w:rPr>
        <w:t>。</w:t>
      </w:r>
    </w:p>
    <w:bookmarkEnd w:id="53"/>
    <w:p>
      <w:pPr>
        <w:spacing w:line="480" w:lineRule="exact"/>
        <w:ind w:firstLine="482" w:firstLineChars="200"/>
        <w:rPr>
          <w:rFonts w:hint="eastAsia" w:ascii="宋体" w:hAnsi="宋体" w:cs="宋体"/>
          <w:bCs/>
          <w:color w:val="auto"/>
          <w:sz w:val="24"/>
          <w:highlight w:val="none"/>
        </w:rPr>
      </w:pPr>
      <w:r>
        <w:rPr>
          <w:rFonts w:hint="eastAsia" w:ascii="宋体" w:hAnsi="宋体" w:cs="宋体"/>
          <w:b/>
          <w:color w:val="auto"/>
          <w:kern w:val="44"/>
          <w:sz w:val="24"/>
          <w:highlight w:val="none"/>
        </w:rPr>
        <w:t>八、凡对本次采购提出询问，请按以下方式联系</w:t>
      </w:r>
    </w:p>
    <w:p>
      <w:pPr>
        <w:spacing w:line="48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1、采购人信息</w:t>
      </w:r>
    </w:p>
    <w:p>
      <w:pPr>
        <w:spacing w:line="480" w:lineRule="exact"/>
        <w:ind w:firstLine="480" w:firstLineChars="200"/>
        <w:jc w:val="left"/>
        <w:rPr>
          <w:rFonts w:hint="eastAsia" w:ascii="宋体" w:hAnsi="宋体" w:eastAsia="宋体" w:cs="宋体"/>
          <w:color w:val="auto"/>
          <w:sz w:val="24"/>
          <w:highlight w:val="none"/>
          <w:u w:val="none"/>
          <w:lang w:eastAsia="zh-CN"/>
        </w:rPr>
      </w:pPr>
      <w:r>
        <w:rPr>
          <w:rFonts w:hint="eastAsia" w:ascii="宋体" w:hAnsi="宋体" w:cs="宋体"/>
          <w:color w:val="auto"/>
          <w:sz w:val="24"/>
          <w:highlight w:val="none"/>
          <w:u w:val="none"/>
        </w:rPr>
        <w:t>名 称：</w:t>
      </w:r>
      <w:r>
        <w:rPr>
          <w:rFonts w:hint="eastAsia" w:ascii="宋体" w:hAnsi="宋体" w:cs="宋体"/>
          <w:color w:val="auto"/>
          <w:sz w:val="24"/>
          <w:highlight w:val="none"/>
          <w:u w:val="none"/>
          <w:lang w:eastAsia="zh-CN"/>
        </w:rPr>
        <w:t xml:space="preserve"> </w:t>
      </w:r>
      <w:bookmarkStart w:id="54" w:name="OLE_LINK4"/>
      <w:r>
        <w:rPr>
          <w:rFonts w:hint="eastAsia" w:ascii="宋体" w:hAnsi="宋体" w:cs="宋体"/>
          <w:color w:val="auto"/>
          <w:sz w:val="24"/>
          <w:highlight w:val="none"/>
          <w:u w:val="none"/>
          <w:lang w:eastAsia="zh-CN"/>
        </w:rPr>
        <w:t>崇左市荣军优抚医院</w:t>
      </w:r>
      <w:bookmarkEnd w:id="54"/>
      <w:r>
        <w:rPr>
          <w:rFonts w:hint="eastAsia" w:ascii="宋体" w:hAnsi="宋体" w:cs="宋体"/>
          <w:color w:val="auto"/>
          <w:sz w:val="24"/>
          <w:highlight w:val="none"/>
          <w:u w:val="none"/>
          <w:lang w:eastAsia="zh-CN"/>
        </w:rPr>
        <w:t xml:space="preserve"> </w:t>
      </w:r>
    </w:p>
    <w:p>
      <w:pPr>
        <w:spacing w:line="480" w:lineRule="exact"/>
        <w:ind w:firstLine="480" w:firstLineChars="200"/>
        <w:jc w:val="left"/>
        <w:rPr>
          <w:rFonts w:hint="eastAsia" w:ascii="宋体" w:hAnsi="宋体" w:cs="宋体"/>
          <w:color w:val="auto"/>
          <w:sz w:val="24"/>
          <w:highlight w:val="none"/>
          <w:u w:val="none"/>
        </w:rPr>
      </w:pPr>
      <w:r>
        <w:rPr>
          <w:rFonts w:hint="eastAsia" w:ascii="宋体" w:hAnsi="宋体" w:cs="宋体"/>
          <w:color w:val="auto"/>
          <w:sz w:val="24"/>
          <w:highlight w:val="none"/>
          <w:u w:val="none"/>
        </w:rPr>
        <w:t>地 址：</w:t>
      </w:r>
      <w:r>
        <w:rPr>
          <w:rFonts w:hint="eastAsia" w:ascii="宋体" w:hAnsi="宋体" w:cs="宋体"/>
          <w:color w:val="auto"/>
          <w:sz w:val="24"/>
          <w:highlight w:val="none"/>
          <w:u w:val="none"/>
          <w:lang w:eastAsia="zh-CN"/>
        </w:rPr>
        <w:t>南宁市金象大道 131 号</w:t>
      </w:r>
      <w:r>
        <w:rPr>
          <w:rFonts w:hint="eastAsia" w:ascii="宋体" w:hAnsi="宋体" w:cs="宋体"/>
          <w:color w:val="auto"/>
          <w:sz w:val="24"/>
          <w:highlight w:val="none"/>
          <w:u w:val="none"/>
        </w:rPr>
        <w:t xml:space="preserve"> </w:t>
      </w:r>
    </w:p>
    <w:p>
      <w:pPr>
        <w:spacing w:line="480" w:lineRule="exact"/>
        <w:ind w:firstLine="480" w:firstLineChars="200"/>
        <w:jc w:val="left"/>
        <w:rPr>
          <w:rFonts w:hint="eastAsia" w:ascii="宋体" w:hAnsi="宋体" w:cs="宋体"/>
          <w:color w:val="auto"/>
          <w:sz w:val="24"/>
          <w:highlight w:val="none"/>
          <w:u w:val="none"/>
        </w:rPr>
      </w:pPr>
      <w:bookmarkStart w:id="55" w:name="OLE_LINK2"/>
      <w:r>
        <w:rPr>
          <w:rFonts w:hint="eastAsia" w:ascii="宋体" w:hAnsi="宋体" w:cs="宋体"/>
          <w:color w:val="auto"/>
          <w:sz w:val="24"/>
          <w:highlight w:val="none"/>
          <w:u w:val="none"/>
          <w:lang w:eastAsia="zh-CN"/>
        </w:rPr>
        <w:t>项目</w:t>
      </w:r>
      <w:r>
        <w:rPr>
          <w:rFonts w:hint="eastAsia" w:ascii="宋体" w:hAnsi="宋体" w:cs="宋体"/>
          <w:color w:val="auto"/>
          <w:sz w:val="24"/>
          <w:highlight w:val="none"/>
          <w:u w:val="none"/>
        </w:rPr>
        <w:t>联系人</w:t>
      </w:r>
      <w:bookmarkEnd w:id="55"/>
      <w:r>
        <w:rPr>
          <w:rFonts w:hint="eastAsia" w:ascii="宋体" w:hAnsi="宋体" w:cs="宋体"/>
          <w:color w:val="auto"/>
          <w:sz w:val="24"/>
          <w:highlight w:val="none"/>
          <w:u w:val="none"/>
        </w:rPr>
        <w:t>：</w:t>
      </w:r>
      <w:bookmarkStart w:id="56" w:name="OLE_LINK28"/>
      <w:r>
        <w:rPr>
          <w:rFonts w:hint="eastAsia" w:ascii="宋体" w:hAnsi="宋体" w:cs="宋体"/>
          <w:color w:val="auto"/>
          <w:sz w:val="24"/>
          <w:highlight w:val="none"/>
          <w:u w:val="none"/>
          <w:lang w:eastAsia="zh-CN"/>
        </w:rPr>
        <w:t>叶</w:t>
      </w:r>
      <w:bookmarkEnd w:id="56"/>
      <w:r>
        <w:rPr>
          <w:rFonts w:hint="eastAsia" w:ascii="宋体" w:hAnsi="宋体" w:cs="宋体"/>
          <w:color w:val="auto"/>
          <w:sz w:val="24"/>
          <w:highlight w:val="none"/>
          <w:u w:val="none"/>
          <w:lang w:eastAsia="zh-CN"/>
        </w:rPr>
        <w:t>青</w:t>
      </w:r>
    </w:p>
    <w:p>
      <w:pPr>
        <w:spacing w:line="480" w:lineRule="exact"/>
        <w:ind w:firstLine="480" w:firstLineChars="200"/>
        <w:jc w:val="left"/>
        <w:rPr>
          <w:rFonts w:hint="eastAsia" w:ascii="宋体" w:hAnsi="宋体" w:cs="宋体"/>
          <w:color w:val="auto"/>
          <w:sz w:val="24"/>
          <w:highlight w:val="none"/>
          <w:u w:val="none"/>
        </w:rPr>
      </w:pPr>
      <w:r>
        <w:rPr>
          <w:rFonts w:hint="eastAsia" w:ascii="宋体" w:hAnsi="宋体" w:cs="宋体"/>
          <w:color w:val="auto"/>
          <w:sz w:val="24"/>
          <w:highlight w:val="none"/>
          <w:u w:val="none"/>
          <w:lang w:eastAsia="zh-CN"/>
        </w:rPr>
        <w:t>项目</w:t>
      </w:r>
      <w:r>
        <w:rPr>
          <w:rFonts w:hint="eastAsia" w:ascii="宋体" w:hAnsi="宋体" w:cs="宋体"/>
          <w:color w:val="auto"/>
          <w:sz w:val="24"/>
          <w:highlight w:val="none"/>
          <w:u w:val="none"/>
        </w:rPr>
        <w:t>联系</w:t>
      </w:r>
      <w:r>
        <w:rPr>
          <w:rFonts w:hint="eastAsia" w:ascii="宋体" w:hAnsi="宋体" w:cs="宋体"/>
          <w:color w:val="auto"/>
          <w:sz w:val="24"/>
          <w:highlight w:val="none"/>
          <w:u w:val="none"/>
          <w:lang w:eastAsia="zh-CN"/>
        </w:rPr>
        <w:t>方式</w:t>
      </w:r>
      <w:r>
        <w:rPr>
          <w:rFonts w:hint="eastAsia" w:ascii="宋体" w:hAnsi="宋体" w:cs="宋体"/>
          <w:color w:val="auto"/>
          <w:sz w:val="24"/>
          <w:highlight w:val="none"/>
          <w:u w:val="none"/>
        </w:rPr>
        <w:t xml:space="preserve">：0771-2706770 </w:t>
      </w:r>
    </w:p>
    <w:p>
      <w:pPr>
        <w:spacing w:line="480" w:lineRule="exact"/>
        <w:ind w:firstLine="480" w:firstLineChars="200"/>
        <w:jc w:val="left"/>
        <w:rPr>
          <w:rFonts w:hint="eastAsia" w:ascii="宋体" w:hAnsi="宋体" w:cs="宋体"/>
          <w:color w:val="auto"/>
          <w:sz w:val="24"/>
          <w:highlight w:val="none"/>
          <w:u w:val="none"/>
        </w:rPr>
      </w:pPr>
      <w:r>
        <w:rPr>
          <w:rFonts w:hint="eastAsia" w:ascii="宋体" w:hAnsi="宋体" w:cs="宋体"/>
          <w:color w:val="auto"/>
          <w:sz w:val="24"/>
          <w:highlight w:val="none"/>
          <w:u w:val="none"/>
        </w:rPr>
        <w:t>2、采购代理机构信息</w:t>
      </w:r>
    </w:p>
    <w:p>
      <w:pPr>
        <w:spacing w:line="480" w:lineRule="exact"/>
        <w:ind w:firstLine="480" w:firstLineChars="200"/>
        <w:rPr>
          <w:rFonts w:hint="eastAsia" w:ascii="宋体" w:hAnsi="宋体" w:eastAsia="宋体" w:cs="宋体"/>
          <w:color w:val="auto"/>
          <w:sz w:val="24"/>
          <w:highlight w:val="none"/>
          <w:u w:val="none"/>
          <w:lang w:eastAsia="zh-CN"/>
        </w:rPr>
      </w:pPr>
      <w:r>
        <w:rPr>
          <w:rFonts w:hint="eastAsia" w:ascii="宋体" w:hAnsi="宋体" w:cs="宋体"/>
          <w:color w:val="auto"/>
          <w:sz w:val="24"/>
          <w:highlight w:val="none"/>
          <w:u w:val="none"/>
        </w:rPr>
        <w:t>名 称：</w:t>
      </w:r>
      <w:r>
        <w:rPr>
          <w:rFonts w:hint="eastAsia" w:ascii="宋体" w:hAnsi="宋体" w:cs="宋体"/>
          <w:color w:val="auto"/>
          <w:sz w:val="24"/>
          <w:highlight w:val="none"/>
          <w:u w:val="none"/>
          <w:lang w:eastAsia="zh-CN"/>
        </w:rPr>
        <w:t>广西同泽工程项目管理股份有限公司</w:t>
      </w:r>
    </w:p>
    <w:p>
      <w:pPr>
        <w:spacing w:line="480" w:lineRule="exact"/>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地　址：</w:t>
      </w:r>
      <w:bookmarkStart w:id="57" w:name="OLE_LINK39"/>
      <w:r>
        <w:rPr>
          <w:rFonts w:hint="eastAsia" w:ascii="宋体" w:hAnsi="宋体" w:cs="宋体"/>
          <w:color w:val="auto"/>
          <w:sz w:val="24"/>
          <w:highlight w:val="none"/>
          <w:u w:val="none"/>
        </w:rPr>
        <w:t>南宁市良庆区凯旋路16号裕达国际中心广东大厦</w:t>
      </w:r>
      <w:r>
        <w:rPr>
          <w:rFonts w:hint="eastAsia" w:ascii="宋体" w:hAnsi="宋体" w:cs="宋体"/>
          <w:color w:val="auto"/>
          <w:sz w:val="24"/>
          <w:highlight w:val="none"/>
          <w:u w:val="none"/>
          <w:lang w:val="en-US" w:eastAsia="zh-CN"/>
        </w:rPr>
        <w:t>1103</w:t>
      </w:r>
      <w:r>
        <w:rPr>
          <w:rFonts w:hint="eastAsia" w:ascii="宋体" w:hAnsi="宋体" w:cs="宋体"/>
          <w:color w:val="auto"/>
          <w:sz w:val="24"/>
          <w:highlight w:val="none"/>
          <w:u w:val="none"/>
        </w:rPr>
        <w:t>室</w:t>
      </w:r>
      <w:bookmarkEnd w:id="57"/>
    </w:p>
    <w:p>
      <w:pPr>
        <w:spacing w:line="480" w:lineRule="exact"/>
        <w:ind w:firstLine="480" w:firstLineChars="200"/>
        <w:rPr>
          <w:rFonts w:hint="eastAsia" w:ascii="宋体" w:hAnsi="宋体" w:eastAsia="宋体" w:cs="宋体"/>
          <w:color w:val="auto"/>
          <w:sz w:val="24"/>
          <w:highlight w:val="none"/>
          <w:u w:val="none"/>
          <w:lang w:eastAsia="zh-CN"/>
        </w:rPr>
      </w:pPr>
      <w:r>
        <w:rPr>
          <w:rFonts w:hint="eastAsia" w:ascii="宋体" w:hAnsi="宋体" w:cs="宋体"/>
          <w:color w:val="auto"/>
          <w:sz w:val="24"/>
          <w:highlight w:val="none"/>
          <w:u w:val="none"/>
          <w:lang w:eastAsia="zh-CN"/>
        </w:rPr>
        <w:t>项目</w:t>
      </w:r>
      <w:r>
        <w:rPr>
          <w:rFonts w:hint="eastAsia" w:ascii="宋体" w:hAnsi="宋体" w:cs="宋体"/>
          <w:color w:val="auto"/>
          <w:sz w:val="24"/>
          <w:highlight w:val="none"/>
          <w:u w:val="none"/>
        </w:rPr>
        <w:t>联系人：</w:t>
      </w:r>
      <w:bookmarkStart w:id="58" w:name="OLE_LINK29"/>
      <w:r>
        <w:rPr>
          <w:rFonts w:hint="eastAsia" w:ascii="宋体" w:hAnsi="宋体" w:cs="宋体"/>
          <w:color w:val="auto"/>
          <w:sz w:val="24"/>
          <w:highlight w:val="none"/>
          <w:u w:val="none"/>
          <w:lang w:eastAsia="zh-CN"/>
        </w:rPr>
        <w:t>曾文</w:t>
      </w:r>
      <w:r>
        <w:rPr>
          <w:rFonts w:hint="eastAsia" w:ascii="宋体" w:hAnsi="宋体" w:eastAsia="宋体" w:cs="宋体"/>
          <w:color w:val="auto"/>
          <w:sz w:val="24"/>
          <w:highlight w:val="none"/>
          <w:u w:val="none"/>
          <w:lang w:eastAsia="zh-CN"/>
        </w:rPr>
        <w:t>君、谢银珠</w:t>
      </w:r>
      <w:bookmarkEnd w:id="58"/>
    </w:p>
    <w:p>
      <w:pPr>
        <w:spacing w:line="480" w:lineRule="exact"/>
        <w:ind w:firstLine="480" w:firstLineChars="200"/>
        <w:rPr>
          <w:rFonts w:hint="eastAsia" w:ascii="宋体" w:hAnsi="宋体" w:cs="宋体"/>
          <w:color w:val="auto"/>
          <w:sz w:val="24"/>
          <w:highlight w:val="none"/>
          <w:u w:val="none"/>
        </w:rPr>
      </w:pPr>
      <w:r>
        <w:rPr>
          <w:rFonts w:hint="eastAsia" w:ascii="宋体" w:hAnsi="宋体" w:cs="宋体"/>
          <w:color w:val="auto"/>
          <w:sz w:val="24"/>
          <w:highlight w:val="none"/>
          <w:u w:val="none"/>
        </w:rPr>
        <w:t>项目联系方式：</w:t>
      </w:r>
      <w:bookmarkStart w:id="59" w:name="OLE_LINK30"/>
      <w:r>
        <w:rPr>
          <w:rFonts w:hint="eastAsia" w:ascii="宋体" w:hAnsi="宋体" w:eastAsia="宋体" w:cs="宋体"/>
          <w:color w:val="auto"/>
          <w:sz w:val="24"/>
          <w:highlight w:val="none"/>
          <w:u w:val="none"/>
          <w:lang w:eastAsia="zh-CN"/>
        </w:rPr>
        <w:t>0771-5590098</w:t>
      </w:r>
      <w:bookmarkEnd w:id="59"/>
    </w:p>
    <w:p>
      <w:pPr>
        <w:spacing w:line="480" w:lineRule="exact"/>
        <w:ind w:firstLine="420" w:firstLineChars="200"/>
        <w:rPr>
          <w:color w:val="auto"/>
          <w:highlight w:val="none"/>
          <w:u w:val="none"/>
        </w:rPr>
      </w:pPr>
    </w:p>
    <w:p>
      <w:pPr>
        <w:pStyle w:val="31"/>
        <w:ind w:firstLine="640"/>
        <w:rPr>
          <w:color w:val="auto"/>
          <w:highlight w:val="none"/>
        </w:rPr>
      </w:pPr>
    </w:p>
    <w:p>
      <w:pPr>
        <w:spacing w:line="480" w:lineRule="exact"/>
        <w:ind w:firstLine="480" w:firstLineChars="200"/>
        <w:rPr>
          <w:rFonts w:hint="eastAsia" w:ascii="宋体" w:hAnsi="宋体" w:cs="宋体"/>
          <w:color w:val="auto"/>
          <w:kern w:val="0"/>
          <w:sz w:val="24"/>
          <w:highlight w:val="none"/>
        </w:rPr>
      </w:pPr>
    </w:p>
    <w:p>
      <w:pPr>
        <w:pStyle w:val="11"/>
        <w:spacing w:line="480" w:lineRule="exact"/>
        <w:ind w:left="420" w:leftChars="200"/>
        <w:rPr>
          <w:rFonts w:hint="eastAsia" w:ascii="宋体" w:hAnsi="宋体" w:cs="宋体"/>
          <w:color w:val="auto"/>
          <w:sz w:val="24"/>
          <w:highlight w:val="none"/>
        </w:rPr>
      </w:pPr>
    </w:p>
    <w:p>
      <w:pPr>
        <w:jc w:val="right"/>
        <w:rPr>
          <w:rFonts w:hint="eastAsia" w:eastAsia="宋体"/>
          <w:color w:val="auto"/>
          <w:highlight w:val="none"/>
          <w:lang w:eastAsia="zh-CN"/>
        </w:rPr>
      </w:pPr>
      <w:bookmarkStart w:id="60" w:name="_Toc27537"/>
      <w:bookmarkStart w:id="61" w:name="_Toc27528"/>
      <w:r>
        <w:rPr>
          <w:rFonts w:hint="eastAsia"/>
          <w:color w:val="auto"/>
          <w:highlight w:val="none"/>
        </w:rPr>
        <w:t xml:space="preserve">                       </w:t>
      </w:r>
      <w:r>
        <w:rPr>
          <w:rFonts w:hint="eastAsia"/>
          <w:color w:val="auto"/>
          <w:sz w:val="24"/>
          <w:highlight w:val="none"/>
        </w:rPr>
        <w:t xml:space="preserve">    </w:t>
      </w:r>
      <w:bookmarkEnd w:id="60"/>
      <w:bookmarkEnd w:id="61"/>
      <w:r>
        <w:rPr>
          <w:rFonts w:hint="eastAsia"/>
          <w:color w:val="auto"/>
          <w:sz w:val="24"/>
          <w:highlight w:val="none"/>
          <w:lang w:eastAsia="zh-CN"/>
        </w:rPr>
        <w:t>广西同泽工程项目管理股份有限公司</w:t>
      </w:r>
    </w:p>
    <w:p>
      <w:pPr>
        <w:spacing w:line="480" w:lineRule="exact"/>
        <w:ind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bookmarkStart w:id="62" w:name="_Toc28805"/>
      <w:r>
        <w:rPr>
          <w:rFonts w:hint="eastAsia" w:ascii="宋体" w:hAnsi="宋体" w:cs="宋体"/>
          <w:color w:val="auto"/>
          <w:sz w:val="24"/>
          <w:highlight w:val="none"/>
        </w:rPr>
        <w:t xml:space="preserve">                    202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 xml:space="preserve">5 </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18</w:t>
      </w:r>
      <w:r>
        <w:rPr>
          <w:rFonts w:hint="eastAsia" w:ascii="宋体" w:hAnsi="宋体" w:cs="宋体"/>
          <w:color w:val="auto"/>
          <w:sz w:val="24"/>
          <w:highlight w:val="none"/>
        </w:rPr>
        <w:t>日</w:t>
      </w:r>
    </w:p>
    <w:p>
      <w:pPr>
        <w:spacing w:line="480" w:lineRule="exact"/>
        <w:ind w:firstLine="480" w:firstLineChars="200"/>
        <w:jc w:val="center"/>
        <w:rPr>
          <w:rFonts w:hint="eastAsia" w:ascii="宋体" w:hAnsi="宋体" w:cs="宋体"/>
          <w:color w:val="auto"/>
          <w:sz w:val="24"/>
          <w:highlight w:val="none"/>
        </w:rPr>
      </w:pPr>
    </w:p>
    <w:p>
      <w:pPr>
        <w:spacing w:line="480" w:lineRule="exact"/>
        <w:ind w:firstLine="480" w:firstLineChars="200"/>
        <w:jc w:val="center"/>
        <w:rPr>
          <w:rFonts w:hint="eastAsia" w:ascii="宋体" w:hAnsi="宋体" w:cs="宋体"/>
          <w:color w:val="auto"/>
          <w:sz w:val="24"/>
          <w:highlight w:val="none"/>
        </w:rPr>
      </w:pPr>
    </w:p>
    <w:p>
      <w:pPr>
        <w:spacing w:line="480" w:lineRule="exact"/>
        <w:ind w:firstLine="480" w:firstLineChars="200"/>
        <w:jc w:val="center"/>
        <w:rPr>
          <w:rFonts w:hint="eastAsia" w:ascii="宋体" w:hAnsi="宋体" w:cs="宋体"/>
          <w:color w:val="auto"/>
          <w:sz w:val="24"/>
          <w:highlight w:val="none"/>
        </w:rPr>
      </w:pPr>
    </w:p>
    <w:p>
      <w:pPr>
        <w:pStyle w:val="21"/>
        <w:rPr>
          <w:rFonts w:hint="eastAsia" w:ascii="宋体" w:hAnsi="宋体" w:cs="宋体"/>
          <w:color w:val="auto"/>
          <w:sz w:val="24"/>
          <w:highlight w:val="none"/>
        </w:rPr>
      </w:pPr>
    </w:p>
    <w:p>
      <w:pPr>
        <w:pStyle w:val="21"/>
        <w:rPr>
          <w:rFonts w:hint="eastAsia" w:ascii="宋体" w:hAnsi="宋体" w:cs="宋体"/>
          <w:color w:val="auto"/>
          <w:sz w:val="24"/>
          <w:highlight w:val="none"/>
        </w:rPr>
      </w:pPr>
    </w:p>
    <w:p>
      <w:pPr>
        <w:pStyle w:val="21"/>
        <w:rPr>
          <w:rFonts w:hint="eastAsia" w:ascii="宋体" w:hAnsi="宋体" w:cs="宋体"/>
          <w:color w:val="auto"/>
          <w:sz w:val="24"/>
          <w:highlight w:val="none"/>
        </w:rPr>
      </w:pPr>
    </w:p>
    <w:p>
      <w:pPr>
        <w:spacing w:line="480" w:lineRule="exact"/>
        <w:ind w:firstLine="480" w:firstLineChars="200"/>
        <w:jc w:val="center"/>
        <w:rPr>
          <w:rFonts w:hint="eastAsia" w:ascii="宋体" w:hAnsi="宋体" w:cs="宋体"/>
          <w:color w:val="auto"/>
          <w:sz w:val="24"/>
          <w:highlight w:val="none"/>
        </w:rPr>
      </w:pPr>
    </w:p>
    <w:p>
      <w:pPr>
        <w:spacing w:line="480" w:lineRule="exact"/>
        <w:ind w:firstLine="480" w:firstLineChars="200"/>
        <w:jc w:val="center"/>
        <w:rPr>
          <w:rFonts w:hint="eastAsia" w:ascii="宋体" w:hAnsi="宋体" w:cs="宋体"/>
          <w:color w:val="auto"/>
          <w:sz w:val="24"/>
          <w:highlight w:val="none"/>
        </w:rPr>
      </w:pPr>
    </w:p>
    <w:p>
      <w:pPr>
        <w:bidi w:val="0"/>
        <w:rPr>
          <w:color w:val="auto"/>
          <w:highlight w:val="none"/>
        </w:rPr>
      </w:pPr>
      <w:bookmarkStart w:id="63" w:name="_Toc1891"/>
      <w:bookmarkStart w:id="64" w:name="_Toc80886926"/>
    </w:p>
    <w:p>
      <w:pPr>
        <w:rPr>
          <w:rFonts w:hint="eastAsia"/>
          <w:b/>
          <w:bCs/>
          <w:color w:val="auto"/>
          <w:kern w:val="44"/>
          <w:sz w:val="32"/>
          <w:szCs w:val="32"/>
          <w:highlight w:val="none"/>
        </w:rPr>
      </w:pPr>
      <w:r>
        <w:rPr>
          <w:rFonts w:hint="eastAsia"/>
          <w:b/>
          <w:bCs/>
          <w:color w:val="auto"/>
          <w:kern w:val="44"/>
          <w:sz w:val="32"/>
          <w:szCs w:val="32"/>
          <w:highlight w:val="none"/>
        </w:rPr>
        <w:br w:type="page"/>
      </w:r>
    </w:p>
    <w:p>
      <w:pPr>
        <w:spacing w:line="400" w:lineRule="exact"/>
        <w:jc w:val="center"/>
        <w:outlineLvl w:val="0"/>
        <w:rPr>
          <w:color w:val="auto"/>
          <w:highlight w:val="none"/>
        </w:rPr>
      </w:pPr>
      <w:bookmarkStart w:id="65" w:name="_Toc11157"/>
      <w:bookmarkStart w:id="66" w:name="_Toc6598"/>
      <w:r>
        <w:rPr>
          <w:rFonts w:hint="eastAsia"/>
          <w:b/>
          <w:bCs/>
          <w:color w:val="auto"/>
          <w:kern w:val="44"/>
          <w:sz w:val="32"/>
          <w:szCs w:val="32"/>
          <w:highlight w:val="none"/>
        </w:rPr>
        <w:t>第二章 采购需求</w:t>
      </w:r>
      <w:bookmarkEnd w:id="62"/>
      <w:bookmarkEnd w:id="63"/>
      <w:bookmarkEnd w:id="64"/>
      <w:bookmarkEnd w:id="65"/>
      <w:bookmarkEnd w:id="66"/>
    </w:p>
    <w:p>
      <w:pPr>
        <w:spacing w:line="360" w:lineRule="auto"/>
        <w:jc w:val="left"/>
        <w:rPr>
          <w:rFonts w:hint="eastAsia" w:ascii="宋体" w:hAnsi="宋体" w:cs="宋体"/>
          <w:color w:val="auto"/>
          <w:sz w:val="24"/>
          <w:szCs w:val="24"/>
          <w:highlight w:val="none"/>
          <w:lang w:val="en-US" w:eastAsia="zh-CN"/>
        </w:rPr>
      </w:pPr>
      <w:bookmarkStart w:id="67" w:name="PO_TDCUS_ITEM_PB_REQ_FILE_1_1"/>
      <w:r>
        <w:rPr>
          <w:rFonts w:hint="eastAsia" w:ascii="宋体" w:hAnsi="宋体" w:cs="宋体"/>
          <w:color w:val="auto"/>
          <w:sz w:val="24"/>
          <w:szCs w:val="24"/>
          <w:highlight w:val="none"/>
          <w:lang w:val="en-US" w:eastAsia="zh-CN"/>
        </w:rPr>
        <w:t>说明：</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 为落实政府采购政策需满足的要求</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（1）本竞争性谈判采购文件所称中小企业必须符合《政府采购促进中小企业发展管理办法》（财库〔2020〕46号）的规定。</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根据《关于调整网络安全专用产品安全管理有关事项的公告》（2023年第1号）规定，本项目采购需求中的产品如果包括《网络关键设备和网络安全专用产品目录》的网络安全专用产品和网络关键设备，供应商在响应文件中应主动列明供货范围中属于网络安全专用产品和网络关键设备的响应产品，并在响应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的，响应文件按无效处理。如属于《网络关键设备和网络安全专用产品目录》中“二、网络安全专用产品”内“产品类别”中的所描述的产品，但不属于所列“产品描述”情形的，应提供相应的说明及证明材料。</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2、本“技术参数需求一览表”中标注“▲”项的条款均为实质性要求，若有任意一项负偏离则响应文件作无效处理。</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▲3、竞标产品属于国家强制性认证产品的，供应商须在响应文件中提供产品的有效强制性认证证书的复印件并加盖供应商公章。</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4、采购需求中出现的品牌、型号或者生产供应商仅起参考作用，不属于指定品牌、型号或者生产供应商的情形。供应商可参照或者选用其他相当的品牌、型号或者生产供应商替代。</w:t>
      </w:r>
    </w:p>
    <w:p>
      <w:pPr>
        <w:spacing w:line="360" w:lineRule="auto"/>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▲5、供应商应承诺响应文件中提供的证明材料和资质文件真实，并承诺如出现虚假应标情况，供应商除了应接受有关部门的处罚外，还应根据采购人的实际损失来确定赔偿金额。</w:t>
      </w:r>
    </w:p>
    <w:p>
      <w:pPr>
        <w:spacing w:line="360" w:lineRule="auto"/>
        <w:jc w:val="left"/>
        <w:rPr>
          <w:rFonts w:hint="eastAsia" w:ascii="宋体" w:hAnsi="宋体" w:cs="宋体"/>
          <w:b/>
          <w:bCs/>
          <w:color w:val="auto"/>
          <w:sz w:val="24"/>
          <w:szCs w:val="24"/>
          <w:highlight w:val="none"/>
          <w:shd w:val="clear" w:fill="FFFFFF" w:themeFill="background1"/>
        </w:rPr>
      </w:pPr>
      <w:r>
        <w:rPr>
          <w:rFonts w:hint="eastAsia" w:ascii="宋体" w:hAnsi="宋体" w:cs="宋体"/>
          <w:color w:val="auto"/>
          <w:sz w:val="24"/>
          <w:szCs w:val="24"/>
          <w:highlight w:val="none"/>
          <w:lang w:val="en-US" w:eastAsia="zh-CN"/>
        </w:rPr>
        <w:t>6、供应商必须自行为其竞标产品侵犯他人的知识产权或者专利成果的行为承担相应法律责任。</w:t>
      </w:r>
    </w:p>
    <w:p>
      <w:pPr>
        <w:shd w:val="clear"/>
        <w:spacing w:line="360" w:lineRule="auto"/>
        <w:jc w:val="left"/>
        <w:rPr>
          <w:rFonts w:hint="eastAsia"/>
          <w:color w:val="auto"/>
          <w:sz w:val="24"/>
          <w:szCs w:val="24"/>
          <w:highlight w:val="none"/>
        </w:rPr>
      </w:pPr>
      <w:r>
        <w:rPr>
          <w:rFonts w:hint="eastAsia" w:ascii="宋体" w:hAnsi="宋体" w:cs="宋体"/>
          <w:b w:val="0"/>
          <w:bCs w:val="0"/>
          <w:color w:val="auto"/>
          <w:sz w:val="24"/>
          <w:szCs w:val="24"/>
          <w:highlight w:val="none"/>
          <w:shd w:val="clear" w:fill="FFFFFF" w:themeFill="background1"/>
          <w:lang w:val="en-US" w:eastAsia="zh-CN"/>
        </w:rPr>
        <w:t>7、</w:t>
      </w:r>
      <w:r>
        <w:rPr>
          <w:rFonts w:hint="eastAsia" w:ascii="宋体" w:hAnsi="宋体" w:cs="宋体"/>
          <w:b w:val="0"/>
          <w:bCs w:val="0"/>
          <w:color w:val="auto"/>
          <w:sz w:val="24"/>
          <w:szCs w:val="24"/>
          <w:highlight w:val="none"/>
        </w:rPr>
        <w:t>本项目所属行业是工业</w:t>
      </w:r>
      <w:r>
        <w:rPr>
          <w:rFonts w:hint="eastAsia" w:ascii="宋体" w:hAnsi="宋体" w:cs="宋体"/>
          <w:color w:val="auto"/>
          <w:sz w:val="24"/>
          <w:szCs w:val="24"/>
          <w:highlight w:val="none"/>
        </w:rPr>
        <w:t>类</w:t>
      </w:r>
      <w:r>
        <w:rPr>
          <w:rFonts w:hint="eastAsia" w:ascii="宋体" w:hAnsi="宋体" w:cs="宋体"/>
          <w:b/>
          <w:bCs/>
          <w:color w:val="auto"/>
          <w:sz w:val="24"/>
          <w:szCs w:val="24"/>
          <w:highlight w:val="none"/>
        </w:rPr>
        <w:t>。</w:t>
      </w:r>
    </w:p>
    <w:p>
      <w:pPr>
        <w:tabs>
          <w:tab w:val="left" w:pos="312"/>
        </w:tabs>
        <w:spacing w:line="420" w:lineRule="exact"/>
        <w:rPr>
          <w:color w:val="auto"/>
          <w:highlight w:val="none"/>
        </w:rPr>
      </w:pPr>
    </w:p>
    <w:bookmarkEnd w:id="67"/>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lang w:val="en-US" w:eastAsia="zh-CN"/>
        </w:rPr>
      </w:pPr>
      <w:bookmarkStart w:id="68" w:name="_Toc80886927"/>
      <w:bookmarkStart w:id="69" w:name="_Toc31237"/>
      <w:bookmarkStart w:id="70" w:name="_Toc11829"/>
      <w:r>
        <w:rPr>
          <w:rFonts w:hint="eastAsia" w:ascii="宋体" w:hAnsi="宋体" w:eastAsia="宋体" w:cs="宋体"/>
          <w:b/>
          <w:bCs/>
          <w:color w:val="auto"/>
          <w:sz w:val="28"/>
          <w:szCs w:val="28"/>
          <w:highlight w:val="none"/>
          <w:lang w:val="en-US" w:eastAsia="zh-CN"/>
        </w:rPr>
        <w:t>货物采购需求一览表</w:t>
      </w:r>
    </w:p>
    <w:tbl>
      <w:tblPr>
        <w:tblStyle w:val="32"/>
        <w:tblW w:w="94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97"/>
        <w:gridCol w:w="213"/>
        <w:gridCol w:w="1470"/>
        <w:gridCol w:w="849"/>
        <w:gridCol w:w="968"/>
        <w:gridCol w:w="5397"/>
        <w:gridCol w:w="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27"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货物名称</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both"/>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数量</w:t>
            </w:r>
            <w:r>
              <w:rPr>
                <w:rFonts w:hint="eastAsia" w:ascii="宋体" w:hAnsi="宋体" w:eastAsia="宋体" w:cs="宋体"/>
                <w:b/>
                <w:bCs/>
                <w:color w:val="auto"/>
                <w:sz w:val="21"/>
                <w:szCs w:val="21"/>
                <w:highlight w:val="none"/>
                <w:lang w:eastAsia="zh-CN"/>
              </w:rPr>
              <w:t>及单位</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单项最高限价（</w:t>
            </w:r>
            <w:r>
              <w:rPr>
                <w:rFonts w:hint="eastAsia" w:ascii="宋体" w:hAnsi="宋体" w:eastAsia="宋体" w:cs="宋体"/>
                <w:b/>
                <w:bCs/>
                <w:color w:val="auto"/>
                <w:sz w:val="21"/>
                <w:szCs w:val="21"/>
                <w:highlight w:val="none"/>
                <w:lang w:eastAsia="zh-CN"/>
              </w:rPr>
              <w:t>万</w:t>
            </w:r>
            <w:r>
              <w:rPr>
                <w:rFonts w:hint="eastAsia" w:ascii="宋体" w:hAnsi="宋体" w:eastAsia="宋体" w:cs="宋体"/>
                <w:b/>
                <w:bCs/>
                <w:color w:val="auto"/>
                <w:sz w:val="21"/>
                <w:szCs w:val="21"/>
                <w:highlight w:val="none"/>
              </w:rPr>
              <w:t>元）</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ind w:firstLine="422" w:firstLineChars="20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技术参数及性能配置要求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515"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二氧化碳激光治疗机</w:t>
            </w:r>
          </w:p>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rPr>
            </w:pP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en-US" w:eastAsia="zh-CN"/>
              </w:rPr>
              <w:t>9</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bookmarkStart w:id="71" w:name="OLE_LINK7"/>
            <w:bookmarkStart w:id="72" w:name="OLE_LINK5"/>
            <w:r>
              <w:rPr>
                <w:rFonts w:hint="eastAsia" w:ascii="宋体" w:hAnsi="宋体" w:eastAsia="宋体" w:cs="宋体"/>
                <w:b w:val="0"/>
                <w:bCs w:val="0"/>
                <w:color w:val="auto"/>
                <w:sz w:val="21"/>
                <w:szCs w:val="21"/>
                <w:highlight w:val="none"/>
                <w:lang w:val="en-US" w:eastAsia="zh-CN"/>
              </w:rPr>
              <w:t>用途：设备用于医疗机构开展痣、痤疮、瘢痕、皮肤赘生物、神经性皮炎、结节性痒疹、白癜风、银屑病等治疗。</w:t>
            </w:r>
          </w:p>
          <w:bookmarkEnd w:id="71"/>
          <w:bookmarkEnd w:id="72"/>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 激光器类型：封离式直流二氧化碳激光器。</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激光波长：≤10600nm；</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 光斑直径：≤0.5mm；</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 最小脉冲宽度：≤0.1ms；</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 传输方式：</w:t>
            </w:r>
            <w:r>
              <w:rPr>
                <w:rFonts w:hint="eastAsia" w:ascii="宋体" w:hAnsi="宋体" w:eastAsia="宋体" w:cs="宋体"/>
                <w:b w:val="0"/>
                <w:bCs w:val="0"/>
                <w:color w:val="auto"/>
                <w:sz w:val="21"/>
                <w:szCs w:val="21"/>
                <w:highlight w:val="none"/>
                <w:lang w:val="en-US" w:eastAsia="en-US"/>
              </w:rPr>
              <w:t>7 关节平衡</w:t>
            </w:r>
            <w:r>
              <w:rPr>
                <w:rFonts w:hint="eastAsia" w:ascii="宋体" w:hAnsi="宋体" w:eastAsia="宋体" w:cs="宋体"/>
                <w:b w:val="0"/>
                <w:bCs w:val="0"/>
                <w:color w:val="auto"/>
                <w:sz w:val="21"/>
                <w:szCs w:val="21"/>
                <w:highlight w:val="none"/>
                <w:lang w:val="en-US" w:eastAsia="zh-CN"/>
              </w:rPr>
              <w:t>重</w:t>
            </w:r>
            <w:r>
              <w:rPr>
                <w:rFonts w:hint="eastAsia" w:ascii="宋体" w:hAnsi="宋体" w:eastAsia="宋体" w:cs="宋体"/>
                <w:b w:val="0"/>
                <w:bCs w:val="0"/>
                <w:color w:val="auto"/>
                <w:sz w:val="21"/>
                <w:szCs w:val="21"/>
                <w:highlight w:val="none"/>
                <w:lang w:val="en-US" w:eastAsia="en-US"/>
              </w:rPr>
              <w:t>锤式导光臂，配图形扫描器，垂直向下的出光方式</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 最小输出功率：≤0.3W；</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 输出方式：设具有脉冲模式和扫描模式，其中脉冲模式包括连续、单脉冲、单脉冲串（高能脉冲）、重复脉冲、重复脉冲串（高能脉冲）、调制脉冲六种激光输出方式。</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 脉冲输出模式：</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（1）脉冲输出最小能量：≤3mJ；</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（2）频率：2-1600Hz可调；</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（3）脉宽可调：脉宽范围0.1ms～10ms，间隔范围0.5ms～99.9ms；</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 点阵模式单点最大扫描能量：640mJ；</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 扫描图形：扫描图形≥8种，至少包含圆形、空心圆形、长方形、正方形、三角形、直线型(图形大小、间距、扫描程度可调)；</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 扫描方式：离散、有序、隔点加重及重复次数可选，满足临床治疗需求；</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 手具：配有长度</w:t>
            </w:r>
            <w:r>
              <w:rPr>
                <w:rFonts w:hint="eastAsia" w:ascii="宋体" w:hAnsi="宋体" w:eastAsia="宋体" w:cs="宋体"/>
                <w:b w:val="0"/>
                <w:bCs w:val="0"/>
                <w:color w:val="auto"/>
                <w:sz w:val="21"/>
                <w:szCs w:val="21"/>
                <w:highlight w:val="none"/>
                <w:lang w:val="en-US" w:eastAsia="en-US"/>
              </w:rPr>
              <w:t>F=100mm，F=50mm</w:t>
            </w:r>
            <w:r>
              <w:rPr>
                <w:rFonts w:hint="eastAsia" w:ascii="宋体" w:hAnsi="宋体" w:eastAsia="宋体" w:cs="宋体"/>
                <w:b w:val="0"/>
                <w:bCs w:val="0"/>
                <w:color w:val="auto"/>
                <w:sz w:val="21"/>
                <w:szCs w:val="21"/>
                <w:highlight w:val="none"/>
                <w:lang w:val="en-US" w:eastAsia="zh-CN"/>
              </w:rPr>
              <w:t>的治疗手具，手具重量≤140g；</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 最大扫描面积：≥20mm×20mm，X轴、Y轴可调；</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 光斑中心距：</w:t>
            </w:r>
            <w:r>
              <w:rPr>
                <w:rFonts w:hint="eastAsia" w:ascii="宋体" w:hAnsi="宋体" w:eastAsia="宋体" w:cs="宋体"/>
                <w:b w:val="0"/>
                <w:bCs w:val="0"/>
                <w:color w:val="auto"/>
                <w:sz w:val="21"/>
                <w:szCs w:val="21"/>
                <w:highlight w:val="none"/>
                <w:lang w:val="en-US" w:eastAsia="en-US"/>
              </w:rPr>
              <w:t>F=50mm,</w:t>
            </w:r>
            <w:r>
              <w:rPr>
                <w:rFonts w:hint="eastAsia" w:ascii="宋体" w:hAnsi="宋体" w:eastAsia="宋体" w:cs="宋体"/>
                <w:b w:val="0"/>
                <w:bCs w:val="0"/>
                <w:color w:val="auto"/>
                <w:sz w:val="21"/>
                <w:szCs w:val="21"/>
                <w:highlight w:val="none"/>
                <w:lang w:val="en-US" w:eastAsia="zh-CN"/>
              </w:rPr>
              <w:t>0.15～</w:t>
            </w:r>
            <w:r>
              <w:rPr>
                <w:rFonts w:hint="eastAsia" w:ascii="宋体" w:hAnsi="宋体" w:eastAsia="宋体" w:cs="宋体"/>
                <w:b w:val="0"/>
                <w:bCs w:val="0"/>
                <w:color w:val="auto"/>
                <w:sz w:val="21"/>
                <w:szCs w:val="21"/>
                <w:highlight w:val="none"/>
                <w:lang w:val="en-US" w:eastAsia="en-US"/>
              </w:rPr>
              <w:t>1.</w:t>
            </w:r>
            <w:r>
              <w:rPr>
                <w:rFonts w:hint="eastAsia" w:ascii="宋体" w:hAnsi="宋体" w:eastAsia="宋体" w:cs="宋体"/>
                <w:b w:val="0"/>
                <w:bCs w:val="0"/>
                <w:color w:val="auto"/>
                <w:sz w:val="21"/>
                <w:szCs w:val="21"/>
                <w:highlight w:val="none"/>
                <w:lang w:val="en-US" w:eastAsia="zh-CN"/>
              </w:rPr>
              <w:t>65</w:t>
            </w:r>
            <w:r>
              <w:rPr>
                <w:rFonts w:hint="eastAsia" w:ascii="宋体" w:hAnsi="宋体" w:eastAsia="宋体" w:cs="宋体"/>
                <w:b w:val="0"/>
                <w:bCs w:val="0"/>
                <w:color w:val="auto"/>
                <w:sz w:val="21"/>
                <w:szCs w:val="21"/>
                <w:highlight w:val="none"/>
                <w:lang w:val="en-US" w:eastAsia="en-US"/>
              </w:rPr>
              <w:t>mm可调；F=100mm，</w:t>
            </w:r>
            <w:r>
              <w:rPr>
                <w:rFonts w:hint="eastAsia" w:ascii="宋体" w:hAnsi="宋体" w:eastAsia="宋体" w:cs="宋体"/>
                <w:b w:val="0"/>
                <w:bCs w:val="0"/>
                <w:color w:val="auto"/>
                <w:sz w:val="21"/>
                <w:szCs w:val="21"/>
                <w:highlight w:val="none"/>
                <w:lang w:val="en-US" w:eastAsia="zh-CN"/>
              </w:rPr>
              <w:t>0.3～</w:t>
            </w:r>
            <w:r>
              <w:rPr>
                <w:rFonts w:hint="eastAsia" w:ascii="宋体" w:hAnsi="宋体" w:eastAsia="宋体" w:cs="宋体"/>
                <w:b w:val="0"/>
                <w:bCs w:val="0"/>
                <w:color w:val="auto"/>
                <w:sz w:val="21"/>
                <w:szCs w:val="21"/>
                <w:highlight w:val="none"/>
                <w:lang w:val="en-US" w:eastAsia="en-US"/>
              </w:rPr>
              <w:t>3.</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en-US"/>
              </w:rPr>
              <w:t>mm可调</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 瞄准光系统：</w:t>
            </w:r>
            <w:r>
              <w:rPr>
                <w:rFonts w:hint="eastAsia" w:ascii="宋体" w:hAnsi="宋体" w:eastAsia="宋体" w:cs="宋体"/>
                <w:b w:val="0"/>
                <w:bCs w:val="0"/>
                <w:color w:val="auto"/>
                <w:sz w:val="21"/>
                <w:szCs w:val="21"/>
                <w:highlight w:val="none"/>
                <w:lang w:val="en-US" w:eastAsia="en-US"/>
              </w:rPr>
              <w:t>650nm 波长红色半导体指示光，亮度强弱多档可调</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 冷却方式：</w:t>
            </w:r>
            <w:r>
              <w:rPr>
                <w:rFonts w:hint="eastAsia" w:ascii="宋体" w:hAnsi="宋体" w:eastAsia="宋体" w:cs="宋体"/>
                <w:b w:val="0"/>
                <w:bCs w:val="0"/>
                <w:color w:val="auto"/>
                <w:sz w:val="21"/>
                <w:szCs w:val="21"/>
                <w:highlight w:val="none"/>
                <w:lang w:val="en-US" w:eastAsia="en-US"/>
              </w:rPr>
              <w:t>封闭式内循环水冷却</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 控制系统：≥</w:t>
            </w:r>
            <w:r>
              <w:rPr>
                <w:rFonts w:hint="eastAsia" w:ascii="宋体" w:hAnsi="宋体" w:eastAsia="宋体" w:cs="宋体"/>
                <w:b w:val="0"/>
                <w:bCs w:val="0"/>
                <w:color w:val="auto"/>
                <w:sz w:val="21"/>
                <w:szCs w:val="21"/>
                <w:highlight w:val="none"/>
                <w:lang w:val="en-US" w:eastAsia="en-US"/>
              </w:rPr>
              <w:t>8 英寸彩色触摸屏，具有参数修正功能及升级接口、备存储记忆、故障信息显示、声音提示、密码设置、扫描电机位置微调和记忆</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en-US"/>
              </w:rPr>
              <w:t>大光斑、磨削等多种功能。具有静音可选模式</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18.输出控制：脚踏开关</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19. 安全保护功能：</w:t>
            </w:r>
            <w:r>
              <w:rPr>
                <w:rFonts w:hint="eastAsia" w:ascii="宋体" w:hAnsi="宋体" w:eastAsia="宋体" w:cs="宋体"/>
                <w:b w:val="0"/>
                <w:bCs w:val="0"/>
                <w:color w:val="auto"/>
                <w:sz w:val="21"/>
                <w:szCs w:val="21"/>
                <w:highlight w:val="none"/>
                <w:lang w:val="en-US" w:eastAsia="en-US"/>
              </w:rPr>
              <w:t>激光器具有光闸保护功能</w:t>
            </w:r>
            <w:r>
              <w:rPr>
                <w:rFonts w:hint="eastAsia" w:ascii="宋体" w:hAnsi="宋体" w:eastAsia="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 输入电源：</w:t>
            </w:r>
            <w:r>
              <w:rPr>
                <w:rFonts w:hint="eastAsia" w:ascii="宋体" w:hAnsi="宋体" w:eastAsia="宋体" w:cs="宋体"/>
                <w:b w:val="0"/>
                <w:bCs w:val="0"/>
                <w:color w:val="auto"/>
                <w:sz w:val="21"/>
                <w:szCs w:val="21"/>
                <w:highlight w:val="none"/>
                <w:lang w:val="en-US" w:eastAsia="en-US"/>
              </w:rPr>
              <w:t>AC220V/50Hz</w:t>
            </w:r>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58"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bookmarkStart w:id="73" w:name="OLE_LINK8"/>
            <w:r>
              <w:rPr>
                <w:rFonts w:hint="eastAsia" w:ascii="宋体" w:hAnsi="宋体" w:eastAsia="宋体" w:cs="宋体"/>
                <w:color w:val="auto"/>
                <w:sz w:val="21"/>
                <w:szCs w:val="21"/>
                <w:highlight w:val="none"/>
                <w:lang w:val="en-US" w:eastAsia="zh-CN"/>
              </w:rPr>
              <w:t>Q开关Nd:YAG激光治疗机</w:t>
            </w:r>
            <w:bookmarkEnd w:id="73"/>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29</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用途：用于医疗机构开展治疗太田痣、纹身、褐青色斑等色素性皮肤病的治疗。</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1.激光工作物质：掺钕钇铝石榴石；</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2.激光波长：支持1064nm和532nm；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3.传输方式：7关节</w:t>
            </w:r>
            <w:r>
              <w:rPr>
                <w:rFonts w:hint="eastAsia" w:ascii="宋体" w:hAnsi="宋体" w:eastAsia="宋体" w:cs="宋体"/>
                <w:b w:val="0"/>
                <w:bCs w:val="0"/>
                <w:color w:val="auto"/>
                <w:sz w:val="21"/>
                <w:szCs w:val="21"/>
                <w:highlight w:val="none"/>
                <w:lang w:val="en-US" w:eastAsia="en-US"/>
              </w:rPr>
              <w:t>平衡锤式</w:t>
            </w:r>
            <w:r>
              <w:rPr>
                <w:rFonts w:hint="eastAsia" w:ascii="宋体" w:hAnsi="宋体" w:eastAsia="宋体" w:cs="宋体"/>
                <w:b w:val="0"/>
                <w:bCs w:val="0"/>
                <w:color w:val="auto"/>
                <w:sz w:val="21"/>
                <w:szCs w:val="21"/>
                <w:highlight w:val="none"/>
                <w:lang w:val="en-US" w:eastAsia="zh-CN"/>
              </w:rPr>
              <w:t>导光臂；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4.治疗手具：</w:t>
            </w:r>
            <w:r>
              <w:rPr>
                <w:rFonts w:hint="eastAsia" w:ascii="宋体" w:hAnsi="宋体" w:eastAsia="宋体" w:cs="宋体"/>
                <w:b w:val="0"/>
                <w:bCs w:val="0"/>
                <w:color w:val="auto"/>
                <w:sz w:val="21"/>
                <w:szCs w:val="21"/>
                <w:highlight w:val="none"/>
                <w:lang w:val="en-US" w:eastAsia="en-US"/>
              </w:rPr>
              <w:t>光电旋转手具，具有光斑直径、能量密度调节与显示同步</w:t>
            </w:r>
            <w:r>
              <w:rPr>
                <w:rFonts w:hint="eastAsia" w:ascii="宋体" w:hAnsi="宋体" w:eastAsia="宋体" w:cs="宋体"/>
                <w:b w:val="0"/>
                <w:bCs w:val="0"/>
                <w:color w:val="auto"/>
                <w:sz w:val="21"/>
                <w:szCs w:val="21"/>
                <w:highlight w:val="none"/>
                <w:lang w:val="en-US" w:eastAsia="zh-CN"/>
              </w:rPr>
              <w:t>，最大光斑直径下具备平行光输出功能，全治疗模式通用，切换波长无需更换手具；</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▲5.最大光斑直径（焦点）：1.5～</w:t>
            </w:r>
            <w:r>
              <w:rPr>
                <w:rFonts w:hint="eastAsia" w:ascii="宋体" w:hAnsi="宋体" w:eastAsia="宋体" w:cs="宋体"/>
                <w:b w:val="0"/>
                <w:bCs w:val="0"/>
                <w:color w:val="auto"/>
                <w:sz w:val="21"/>
                <w:szCs w:val="21"/>
                <w:highlight w:val="none"/>
                <w:lang w:val="en-US" w:eastAsia="en-US"/>
              </w:rPr>
              <w:t>8mm</w:t>
            </w:r>
            <w:r>
              <w:rPr>
                <w:rFonts w:hint="eastAsia" w:ascii="宋体" w:hAnsi="宋体" w:eastAsia="宋体" w:cs="宋体"/>
                <w:b w:val="0"/>
                <w:bCs w:val="0"/>
                <w:color w:val="auto"/>
                <w:sz w:val="21"/>
                <w:szCs w:val="21"/>
                <w:highlight w:val="none"/>
                <w:lang w:val="en-US" w:eastAsia="zh-CN"/>
              </w:rPr>
              <w:t>，可调；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6.平行光光斑直径：≥2种规格，至少包含8mm平行光；</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7.光斑模式：具备平顶帽光斑模式（或同等效果），能量分布均匀；</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▲8.最小光斑直径：≤1.5mm；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▲9.最小脉冲宽度：≤4ns；</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终端单脉冲最大输出能量：</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1064nm：≥1600mJ</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532nm：≥400mJ</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 能量密度：可调范围≥0.06J/cm²～50J/cm²，可调；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12.重复频率：可调范围≥1Hz～10Hz，可调；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13.激光瞄准：</w:t>
            </w:r>
            <w:r>
              <w:rPr>
                <w:rFonts w:hint="eastAsia" w:ascii="宋体" w:hAnsi="宋体" w:eastAsia="宋体" w:cs="宋体"/>
                <w:b w:val="0"/>
                <w:bCs w:val="0"/>
                <w:color w:val="auto"/>
                <w:sz w:val="21"/>
                <w:szCs w:val="21"/>
                <w:highlight w:val="none"/>
                <w:lang w:val="en-US" w:eastAsia="en-US"/>
              </w:rPr>
              <w:t>650nm波长红色半导体指示光，亮度强弱可调</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 冷却系统：具有</w:t>
            </w:r>
            <w:r>
              <w:rPr>
                <w:rFonts w:hint="eastAsia" w:ascii="宋体" w:hAnsi="宋体" w:eastAsia="宋体" w:cs="宋体"/>
                <w:b w:val="0"/>
                <w:bCs w:val="0"/>
                <w:color w:val="auto"/>
                <w:sz w:val="21"/>
                <w:szCs w:val="21"/>
                <w:highlight w:val="none"/>
                <w:lang w:val="en-US" w:eastAsia="en-US"/>
              </w:rPr>
              <w:t>冷却</w:t>
            </w:r>
            <w:r>
              <w:rPr>
                <w:rFonts w:hint="eastAsia" w:ascii="宋体" w:hAnsi="宋体" w:eastAsia="宋体" w:cs="宋体"/>
                <w:b w:val="0"/>
                <w:bCs w:val="0"/>
                <w:color w:val="auto"/>
                <w:sz w:val="21"/>
                <w:szCs w:val="21"/>
                <w:highlight w:val="none"/>
                <w:lang w:val="en-US" w:eastAsia="zh-CN"/>
              </w:rPr>
              <w:t>系统</w:t>
            </w:r>
            <w:r>
              <w:rPr>
                <w:rFonts w:hint="eastAsia" w:ascii="宋体" w:hAnsi="宋体" w:eastAsia="宋体" w:cs="宋体"/>
                <w:b w:val="0"/>
                <w:bCs w:val="0"/>
                <w:color w:val="auto"/>
                <w:sz w:val="21"/>
                <w:szCs w:val="21"/>
                <w:highlight w:val="none"/>
                <w:lang w:val="en-US" w:eastAsia="en-US"/>
              </w:rPr>
              <w:t>，</w:t>
            </w:r>
            <w:r>
              <w:rPr>
                <w:rFonts w:hint="eastAsia" w:ascii="宋体" w:hAnsi="宋体" w:eastAsia="宋体" w:cs="宋体"/>
                <w:b w:val="0"/>
                <w:bCs w:val="0"/>
                <w:color w:val="auto"/>
                <w:sz w:val="21"/>
                <w:szCs w:val="21"/>
                <w:highlight w:val="none"/>
                <w:lang w:val="en-US" w:eastAsia="zh-CN"/>
              </w:rPr>
              <w:t>并且</w:t>
            </w:r>
            <w:r>
              <w:rPr>
                <w:rFonts w:hint="eastAsia" w:ascii="宋体" w:hAnsi="宋体" w:eastAsia="宋体" w:cs="宋体"/>
                <w:b w:val="0"/>
                <w:bCs w:val="0"/>
                <w:color w:val="auto"/>
                <w:sz w:val="21"/>
                <w:szCs w:val="21"/>
                <w:highlight w:val="none"/>
                <w:lang w:val="en-US" w:eastAsia="en-US"/>
              </w:rPr>
              <w:t>内置</w:t>
            </w:r>
            <w:r>
              <w:rPr>
                <w:rFonts w:hint="eastAsia" w:ascii="宋体" w:hAnsi="宋体" w:eastAsia="宋体" w:cs="宋体"/>
                <w:b w:val="0"/>
                <w:bCs w:val="0"/>
                <w:color w:val="auto"/>
                <w:sz w:val="21"/>
                <w:szCs w:val="21"/>
                <w:highlight w:val="none"/>
                <w:lang w:val="en-US" w:eastAsia="zh-CN"/>
              </w:rPr>
              <w:t>有</w:t>
            </w:r>
            <w:r>
              <w:rPr>
                <w:rFonts w:hint="eastAsia" w:ascii="宋体" w:hAnsi="宋体" w:eastAsia="宋体" w:cs="宋体"/>
                <w:b w:val="0"/>
                <w:bCs w:val="0"/>
                <w:color w:val="auto"/>
                <w:sz w:val="21"/>
                <w:szCs w:val="21"/>
                <w:highlight w:val="none"/>
                <w:lang w:val="en-US" w:eastAsia="en-US"/>
              </w:rPr>
              <w:t>过滤洁净装置</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 具有</w:t>
            </w:r>
            <w:r>
              <w:rPr>
                <w:rFonts w:hint="eastAsia" w:ascii="宋体" w:hAnsi="宋体" w:eastAsia="宋体" w:cs="宋体"/>
                <w:b w:val="0"/>
                <w:bCs w:val="0"/>
                <w:color w:val="auto"/>
                <w:sz w:val="21"/>
                <w:szCs w:val="21"/>
                <w:highlight w:val="none"/>
                <w:lang w:val="en-US" w:eastAsia="en-US"/>
              </w:rPr>
              <w:t>彩色触摸屏显示，光斑计数、计时显示，故障语言显示</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en-US"/>
              </w:rPr>
              <w:t>声音提示</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en-US"/>
              </w:rPr>
              <w:t>密码设置、常用数据储存等功能</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 安全保护功能：具备光闸保护，保障人员安全；</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 电源：AC220V±10%、50Hz±1Hz，额定电流≤10A，适配常规供电。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82"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LED光谱治疗仪</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16</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用途：适用于医疗机构开展炎性痤疮治疗，消除炎症，皮肤损伤修复，促进皮肤伤口愈合等的治疗。</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1、工作电压：AC 100~240V  50HZ/60HZ±2%；额定功率：300VA-600VA；</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2、照射方式：设备具备连续照射、脉冲照射两种照射工作模式，脉冲照射具备有2HZ、5HZ、10HZ三挡可选；</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3.有效照射面积：≥900cm²；</w:t>
            </w:r>
          </w:p>
          <w:p>
            <w:pPr>
              <w:numPr>
                <w:ilvl w:val="0"/>
                <w:numId w:val="3"/>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输出波长：</w:t>
            </w:r>
          </w:p>
          <w:p>
            <w:pPr>
              <w:numPr>
                <w:ilvl w:val="0"/>
                <w:numId w:val="0"/>
              </w:numPr>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红光633nm±10nm</w:t>
            </w:r>
          </w:p>
          <w:p>
            <w:pPr>
              <w:numPr>
                <w:ilvl w:val="0"/>
                <w:numId w:val="0"/>
              </w:numPr>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蓝光417nm±10nm</w:t>
            </w:r>
          </w:p>
          <w:p>
            <w:pPr>
              <w:numPr>
                <w:ilvl w:val="0"/>
                <w:numId w:val="0"/>
              </w:numPr>
              <w:ind w:firstLine="420" w:firstLineChars="2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黄光590nm±10nm</w:t>
            </w:r>
          </w:p>
          <w:p>
            <w:pPr>
              <w:numPr>
                <w:ilvl w:val="0"/>
                <w:numId w:val="0"/>
              </w:numPr>
              <w:ind w:firstLine="420" w:firstLineChars="200"/>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红外光830nm±10nm；</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5.光功率密度：红光&lt;200mW/cm²；蓝光&lt;120mW/cm²；黄光&lt;42mW/cm²；红外光&lt;100mW/cm²；</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▲6.治疗头光源数量：≧1400颗；</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7.时间设置：0min～99min范围内任意设置；</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8.移动支架：多功能阻尼式悬臂支架，升降距离0～45cm±2cm；</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9.治疗头转动角度：≧360°；</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▲10.治疗头类型：红光、蓝光、黄光、红外光一体式；</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11.光源采用大功率LED集成固态冷光源，矩阵式五组组合，排列密度大，辐照强度更高、光斑更均匀；</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12.设备采用≥10.4寸液晶全触摸式操作界面，使操作更直观流畅；</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13.具备时间和剂量双工作模式；</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14.具备光源辐照强度自动校准功能，确保精准治疗；</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15.具有AI智能温控功能，实时监测被照射部位温度，确保照射过程安全；</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▲16.具有红外测距功能，治理前检测照射的距离供医生患者参考调整，确保疗效；</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17.至少可以设定五种治疗方案预存功能，可以一键选择，使得操作变得便捷；</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18.治疗方案需支持预设多种光源同时点亮或顺序点亮。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259"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紫外线光疗仪</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3</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用途：适用于医疗机构开展银屑病，白癜风，异位性皮炎，脂溢性皮炎，玫瑰糠疹，湿疹，带状疱疹等皮肤顽症的治疗。          </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1.输出波长：峰值波长≥311nm</w:t>
            </w:r>
            <w:r>
              <w:rPr>
                <w:rFonts w:hint="eastAsia" w:ascii="宋体" w:hAnsi="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受照面积：≥14771</w:t>
            </w:r>
            <w:r>
              <w:rPr>
                <w:rFonts w:hint="eastAsia" w:ascii="宋体" w:hAnsi="宋体" w:eastAsia="宋体" w:cs="宋体"/>
                <w:color w:val="auto"/>
                <w:sz w:val="28"/>
                <w:szCs w:val="28"/>
                <w:highlight w:val="none"/>
                <w:lang w:val="en-US" w:eastAsia="zh-CN"/>
              </w:rPr>
              <w:t>cm</w:t>
            </w:r>
            <w:r>
              <w:rPr>
                <w:rFonts w:hint="eastAsia" w:ascii="宋体" w:hAnsi="宋体" w:eastAsia="宋体" w:cs="宋体"/>
                <w:b w:val="0"/>
                <w:bCs w:val="0"/>
                <w:color w:val="auto"/>
                <w:sz w:val="21"/>
                <w:szCs w:val="21"/>
                <w:highlight w:val="none"/>
                <w:lang w:val="en-US" w:eastAsia="zh-CN"/>
              </w:rPr>
              <w:t>²；</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3.灯管尺寸：≥长1800mm，≥直径37mm</w:t>
            </w:r>
            <w:r>
              <w:rPr>
                <w:rFonts w:hint="eastAsia" w:ascii="宋体" w:hAnsi="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4.灯管寿命：不小于800小时</w:t>
            </w:r>
            <w:r>
              <w:rPr>
                <w:rFonts w:hint="eastAsia" w:ascii="宋体" w:hAnsi="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color w:val="auto"/>
                <w:highlight w:val="none"/>
                <w:lang w:val="en-US" w:eastAsia="zh-CN"/>
              </w:rPr>
              <w:t>▲</w:t>
            </w:r>
            <w:r>
              <w:rPr>
                <w:rFonts w:hint="eastAsia" w:ascii="宋体" w:hAnsi="宋体" w:eastAsia="宋体" w:cs="宋体"/>
                <w:b w:val="0"/>
                <w:bCs w:val="0"/>
                <w:color w:val="auto"/>
                <w:sz w:val="21"/>
                <w:szCs w:val="21"/>
                <w:highlight w:val="none"/>
                <w:lang w:val="en-US" w:eastAsia="zh-CN"/>
              </w:rPr>
              <w:t>5.设备具有光源寿命提示功能</w:t>
            </w:r>
            <w:r>
              <w:rPr>
                <w:rFonts w:hint="eastAsia" w:ascii="宋体" w:hAnsi="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6.工作模式：设备应配置时间控制模式、剂量控制模式两种独立工作模式，操作界面可一键切换，满足不同诊疗操作使用要求；</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r>
              <w:rPr>
                <w:rFonts w:hint="eastAsia" w:ascii="宋体" w:hAnsi="宋体" w:cs="宋体"/>
                <w:b w:val="0"/>
                <w:bCs w:val="0"/>
                <w:color w:val="auto"/>
                <w:sz w:val="21"/>
                <w:szCs w:val="21"/>
                <w:highlight w:val="none"/>
                <w:lang w:val="en-US" w:eastAsia="zh-CN"/>
              </w:rPr>
              <w:t>设备应</w:t>
            </w:r>
            <w:r>
              <w:rPr>
                <w:rFonts w:hint="eastAsia" w:ascii="宋体" w:hAnsi="宋体" w:eastAsia="宋体" w:cs="宋体"/>
                <w:b w:val="0"/>
                <w:bCs w:val="0"/>
                <w:color w:val="auto"/>
                <w:sz w:val="21"/>
                <w:szCs w:val="21"/>
                <w:highlight w:val="none"/>
                <w:lang w:val="en-US" w:eastAsia="zh-CN"/>
              </w:rPr>
              <w:t>具有故障报警功能，</w:t>
            </w:r>
            <w:r>
              <w:rPr>
                <w:rFonts w:hint="eastAsia" w:ascii="宋体" w:hAnsi="宋体" w:cs="宋体"/>
                <w:b w:val="0"/>
                <w:bCs w:val="0"/>
                <w:color w:val="auto"/>
                <w:sz w:val="21"/>
                <w:szCs w:val="21"/>
                <w:highlight w:val="none"/>
                <w:lang w:val="en-US" w:eastAsia="zh-CN"/>
              </w:rPr>
              <w:t>保障</w:t>
            </w:r>
            <w:r>
              <w:rPr>
                <w:rFonts w:hint="eastAsia" w:ascii="宋体" w:hAnsi="宋体" w:eastAsia="宋体" w:cs="宋体"/>
                <w:b w:val="0"/>
                <w:bCs w:val="0"/>
                <w:color w:val="auto"/>
                <w:sz w:val="21"/>
                <w:szCs w:val="21"/>
                <w:highlight w:val="none"/>
                <w:lang w:val="en-US" w:eastAsia="zh-CN"/>
              </w:rPr>
              <w:t>使用安全；</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8.设备配置前置操作面板，便于操作人员便捷操控</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结构布局紧凑，有效节省放置占用空间；</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color w:val="auto"/>
                <w:highlight w:val="none"/>
                <w:lang w:val="en-US" w:eastAsia="zh-CN"/>
              </w:rPr>
              <w:t>▲</w:t>
            </w:r>
            <w:r>
              <w:rPr>
                <w:rFonts w:hint="eastAsia" w:ascii="宋体" w:hAnsi="宋体" w:eastAsia="宋体" w:cs="宋体"/>
                <w:b w:val="0"/>
                <w:bCs w:val="0"/>
                <w:color w:val="auto"/>
                <w:sz w:val="21"/>
                <w:szCs w:val="21"/>
                <w:highlight w:val="none"/>
                <w:lang w:val="en-US" w:eastAsia="zh-CN"/>
              </w:rPr>
              <w:t>9.灯管品牌及数量：不大于8支100W医用PHILIPS UVB灯管</w:t>
            </w:r>
            <w:r>
              <w:rPr>
                <w:rFonts w:hint="eastAsia" w:ascii="宋体" w:hAnsi="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10.设备需具备有专业抗干扰屏蔽与独特抗干扰抑制技术，具备优异的电磁兼容性能，可在现场强磁场、复杂电磁干扰环境下稳定运行，各项参数及工作状态不受磁场干扰，保障设备连续正常工作；</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color w:val="auto"/>
                <w:highlight w:val="none"/>
                <w:lang w:val="en-US" w:eastAsia="zh-CN"/>
              </w:rPr>
              <w:t>▲</w:t>
            </w:r>
            <w:r>
              <w:rPr>
                <w:rFonts w:hint="eastAsia" w:ascii="宋体" w:hAnsi="宋体" w:eastAsia="宋体" w:cs="宋体"/>
                <w:b w:val="0"/>
                <w:bCs w:val="0"/>
                <w:color w:val="auto"/>
                <w:sz w:val="21"/>
                <w:szCs w:val="21"/>
                <w:highlight w:val="none"/>
                <w:lang w:val="en-US" w:eastAsia="zh-CN"/>
              </w:rPr>
              <w:t>11.设备具有辐照强度设置功能，可根据测试强度进行调节，使治疗更加精准；</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12.具有语音提示功能，语音结束后光源才启停，提醒患者及医护人员治疗情况的同时也提高了医护人员的安全；</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w:t>
            </w:r>
            <w:r>
              <w:rPr>
                <w:rFonts w:hint="eastAsia" w:ascii="宋体" w:hAnsi="宋体" w:cs="宋体"/>
                <w:b w:val="0"/>
                <w:bCs w:val="0"/>
                <w:color w:val="auto"/>
                <w:sz w:val="21"/>
                <w:szCs w:val="21"/>
                <w:highlight w:val="none"/>
                <w:lang w:val="en-US" w:eastAsia="zh-CN"/>
              </w:rPr>
              <w:t>设备具有</w:t>
            </w:r>
            <w:r>
              <w:rPr>
                <w:rFonts w:hint="eastAsia" w:ascii="宋体" w:hAnsi="宋体" w:eastAsia="宋体" w:cs="宋体"/>
                <w:b w:val="0"/>
                <w:bCs w:val="0"/>
                <w:color w:val="auto"/>
                <w:sz w:val="21"/>
                <w:szCs w:val="21"/>
                <w:highlight w:val="none"/>
                <w:lang w:val="en-US" w:eastAsia="zh-CN"/>
              </w:rPr>
              <w:t>高效率反光板设计和科学的灯管排列方式，保证高辐射强度输出，辐射均匀</w:t>
            </w:r>
            <w:r>
              <w:rPr>
                <w:rFonts w:hint="eastAsia" w:ascii="宋体" w:hAnsi="宋体" w:cs="宋体"/>
                <w:b w:val="0"/>
                <w:bCs w:val="0"/>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14.整机机身采用高强度铝合金一体化成型设计，承重及抗形变性能优异；表面采用专用环保烤漆工艺，色泽均匀质感高端，具备长期使用不褪色、不掉漆、耐腐蚀、易清洁的特点；</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15.设备底部配置静音移动滑轮，便于整机灵活移位、科室任意转运；同时配备可调固定支撑脚架，设备就位后可锁定支撑，确保仪器放置稳固、运行平稳无晃动；</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16.具有急停按钮设置。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0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微波治疗仪</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用途：作用于病变组织，在破坏病灶同时保护正常皮肤，弥补现有治疗短板，提高治愈率，缩短患者康复周期。</w:t>
            </w:r>
          </w:p>
          <w:p>
            <w:pPr>
              <w:numPr>
                <w:ilvl w:val="0"/>
                <w:numId w:val="0"/>
              </w:numPr>
              <w:jc w:val="left"/>
              <w:rPr>
                <w:rFonts w:hint="default" w:ascii="宋体" w:hAnsi="宋体" w:eastAsia="宋体" w:cs="宋体"/>
                <w:b w:val="0"/>
                <w:bCs w:val="0"/>
                <w:color w:val="auto"/>
                <w:sz w:val="21"/>
                <w:szCs w:val="21"/>
                <w:highlight w:val="none"/>
                <w:lang w:val="en-US" w:eastAsia="zh-CN"/>
              </w:rPr>
            </w:pPr>
            <w:bookmarkStart w:id="74" w:name="_Hlk211007072"/>
            <w:r>
              <w:rPr>
                <w:rFonts w:hint="eastAsia" w:ascii="宋体" w:hAnsi="宋体" w:eastAsia="宋体" w:cs="宋体"/>
                <w:b w:val="0"/>
                <w:bCs w:val="0"/>
                <w:color w:val="auto"/>
                <w:sz w:val="21"/>
                <w:szCs w:val="21"/>
                <w:highlight w:val="none"/>
                <w:lang w:val="en-US" w:eastAsia="zh-CN"/>
              </w:rPr>
              <w:t>1.微波频率：2450MHz，频率偏离≤±15MHz；</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2.最大可输出功率值：≥60W；</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3.辐射器驻波比：≤3；</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▲4.输出线缆及转接器一起使用时驻波比：≤ 1.1；</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5.微波辐射泄漏：＜10mW/cm2；</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6.定时最大值：≥30min，定时连续可调；</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7.输入功率：≤400VA；</w:t>
            </w:r>
          </w:p>
          <w:bookmarkEnd w:id="74"/>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▲8.具备不低于四种输出波形：脉冲波、三角波、正弦波、连续波，具有针灸、推拿、按摩、热敷效果；</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9.同时具备治疗和理疗功能；</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10.脉冲波的周期、占空比可调节，三角波、正弦波的周期可调；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11.辐射器≥5只，须包含马鞍形、圆形、柱形腔内等类型；</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12.热凝器≥9只；</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13.豪华推车，配有静音轮，移动简单，方便治疗；</w:t>
            </w:r>
          </w:p>
          <w:p>
            <w:pPr>
              <w:numPr>
                <w:ilvl w:val="0"/>
                <w:numId w:val="0"/>
              </w:numPr>
              <w:jc w:val="left"/>
              <w:rPr>
                <w:rFonts w:hint="eastAsia" w:ascii="宋体" w:hAnsi="宋体" w:eastAsia="宋体" w:cs="宋体"/>
                <w:b w:val="0"/>
                <w:bCs w:val="0"/>
                <w:color w:val="auto"/>
                <w:sz w:val="21"/>
                <w:szCs w:val="21"/>
                <w:highlight w:val="none"/>
                <w:lang w:val="en-US" w:eastAsia="zh-CN"/>
              </w:rPr>
            </w:pPr>
            <w:bookmarkStart w:id="75" w:name="_Hlk211006912"/>
            <w:r>
              <w:rPr>
                <w:rFonts w:hint="eastAsia" w:ascii="宋体" w:hAnsi="宋体" w:eastAsia="宋体" w:cs="宋体"/>
                <w:b w:val="0"/>
                <w:bCs w:val="0"/>
                <w:color w:val="auto"/>
                <w:sz w:val="21"/>
                <w:szCs w:val="21"/>
                <w:highlight w:val="none"/>
                <w:lang w:val="en-US" w:eastAsia="zh-CN"/>
              </w:rPr>
              <w:t>▲14.断开插头之后1s 时，插头各插脚之间以及每电源插脚与外壳之间的电压≤8V；</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▲15.输入插座中的保护接地脚与任何已保护接地部件之间的阻抗≤25mΩ；</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▲16.在小于 3GHz的情况下，插入损耗≤16%/m；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17.微波设备附件符合YY 0899-2020的要求；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18.安全符合GB 9706.1-2020、GB 9706.206-2020的要求；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19.电磁兼容符合YY 9706.102-2021及GB9706.206-2020中条款202的要求；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20.脚踏开关进液防护级别IPX8</w:t>
            </w:r>
            <w:bookmarkEnd w:id="75"/>
            <w:r>
              <w:rPr>
                <w:rFonts w:hint="eastAsia" w:ascii="宋体" w:hAnsi="宋体" w:eastAsia="宋体" w:cs="宋体"/>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809"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臭氧水疗仪</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30</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用途</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具有强效杀灭有害病原菌功能，消炎止痒镇痛以及免疫调节作用，促进创面愈合，并 能提高局部组织含氧量，改善微循环加速病灶迅速痊愈，适用于各类感染性皮肤病、炎症性皮肤 疾病、免疫性皮肤病、创面溃疡。</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二、技术要求：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 过流保护装置：保险丝F3.15AH250V P（φ5×20）3.15A，具备3C认证；</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 供水源：使仪器供水源为国标自来水，且无需前置净化器，无需过滤水源，仪器无需更换净化水源滤芯等。设备使用的全过程均无需使用纯化水、纯净水或去离子水；</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 供氧系统：内置分子筛供氧系统；氧气制备流量为：1000mL/min，氧气纯度≥92%</w:t>
            </w:r>
            <w:r>
              <w:rPr>
                <w:rFonts w:hint="eastAsia" w:ascii="宋体" w:hAnsi="宋体" w:eastAsia="宋体" w:cs="宋体"/>
                <w:b w:val="0"/>
                <w:bCs w:val="0"/>
                <w:color w:val="auto"/>
                <w:sz w:val="21"/>
                <w:szCs w:val="21"/>
                <w:highlight w:val="none"/>
                <w:lang w:val="en-US" w:eastAsia="en-US"/>
              </w:rPr>
              <w:t>;(</w:t>
            </w:r>
            <w:r>
              <w:rPr>
                <w:rFonts w:hint="eastAsia" w:ascii="宋体" w:hAnsi="宋体" w:eastAsia="宋体" w:cs="宋体"/>
                <w:b w:val="0"/>
                <w:bCs w:val="0"/>
                <w:color w:val="auto"/>
                <w:sz w:val="21"/>
                <w:szCs w:val="21"/>
                <w:highlight w:val="none"/>
                <w:lang w:val="en-US" w:eastAsia="zh-CN"/>
              </w:rPr>
              <w:t>需提供说明书、检验报告等实质性证明材料)；</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4.臭氧发生器：内置电离法臭氧发生器:医用氧气源经过臭氧发生器生成臭氧气体，无需使用纯水或去离子水制备臭氧气体，臭氧气体产量≥3.0g/h,臭氧气体浓度≥25mg/L;</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 臭氧水循环装置：臭氧气体和外接水通过一种循环式医用臭氧水生成装置，生成适宜治疗效果浓度的臭氧水，非螺旋管混合系统产生；</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▲6.采用微电脑自动合成治疗液及自动控制治疗液浓度功能，输出臭氧水浓度具备最低有效浓度和最高安全浓度：1.0mg/L ～7.5mg/L；</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 具备2个相同功能的臭氧水治疗液输出通道，多人同时治疗功能；开机后管路自动消毒；</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▲8.臭氧水治疗液输出总量(非自来水)达到：11500ml/min;</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臭氧水治疗液(非自来水)治疗1通道输出流量：</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5000ml/min,大小可调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臭氧水治疗液(非自来水)治疗2通道输出流量：6500ml/min,大小可调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臭氧水治疗液输出压力为：0.014~0.059Mpa</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在连续供给水源的情况下，设备可持续工作并输出臭氧水&gt;12个小时；</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 尾气处理:内置臭氧尾气回收处理结构的医用臭氧水生产装置，可通过尾气管道进行直接外排，且外排浓度符合国家标准，无二次污染，无需更换尾气吸收装置。排放臭氧泄漏量≤0.0lmg/m3，符合国家标准。（需提供第三方检测报告）</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 操作界面：触摸按键≥7英寸彩色触摸屏，数字模块化设计，具备故障排查功能，操作简洁；</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 治疗液输出实时温控显示、超温超限报警功能：当超过设定上限或者低于设定下限时，仪器在运行框出现相应超限提示并停止运行；上限与下限 温度自行自由设置，1℃-99℃可调，建议设置安全温度范围：15-43℃;</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 臭氧发生器超温超限报警功能，实时温度显示功能，高于65℃过高温度报警；</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 流量调节：内置臭氧水流量传感器，输出臭氧水治疗液流速5档位可调，调节步长为1；</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 具备水箱液位显示功能：水位空、低、中、高显示功能；</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 内置缓存水箱≥10L, 满足连续治疗液供应；</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 具备智能恒温配水装置，冷热水自动混合恒温输出。</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 防漏电保护装置，水电分离设计；</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 治疗通道具备倒计时、记忆储存功能：</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治疗一通道：治疗时间可在0-60min 内设定</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治疗二通道：治疗时间可在0-60min 内设定；</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运行噪音：运行噪音≤59dB(A)，符合医院环境要求。</w:t>
            </w:r>
          </w:p>
          <w:p>
            <w:pPr>
              <w:numPr>
                <w:ilvl w:val="0"/>
                <w:numId w:val="0"/>
              </w:numPr>
              <w:jc w:val="left"/>
              <w:rPr>
                <w:rFonts w:hint="eastAsia" w:ascii="宋体" w:hAnsi="宋体" w:eastAsia="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82"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7</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红外热疗仪</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适用范围</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适用于对人体进行光谱深度辐射治疗，用于组织损伤、消炎和疼痛缓解，促进人体局部血液循环，对无菌性炎症具有一定的临床疗效。</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治疗源</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1.治疗光源：进口卤素光源；</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▲2.光源耗电功率：810W±10%；（</w:t>
            </w:r>
            <w:r>
              <w:rPr>
                <w:rFonts w:hint="eastAsia" w:ascii="宋体" w:hAnsi="宋体" w:eastAsia="宋体" w:cs="宋体"/>
                <w:b w:val="0"/>
                <w:bCs w:val="0"/>
                <w:color w:val="auto"/>
                <w:sz w:val="21"/>
                <w:szCs w:val="21"/>
                <w:highlight w:val="none"/>
                <w:lang w:val="en-US" w:eastAsia="zh-Hans"/>
              </w:rPr>
              <w:t>提供第三方检测报告）</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3.有效光谱波长范围：590-1400nm; 波长峰值：900-1100nm；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4.照射光斑直径：</w:t>
            </w:r>
            <w:r>
              <w:rPr>
                <w:rFonts w:hint="eastAsia" w:ascii="宋体" w:hAnsi="宋体" w:eastAsia="宋体" w:cs="宋体"/>
                <w:b w:val="0"/>
                <w:bCs w:val="0"/>
                <w:color w:val="auto"/>
                <w:sz w:val="21"/>
                <w:szCs w:val="21"/>
                <w:highlight w:val="none"/>
                <w:lang w:val="en-US" w:eastAsia="zh-Hans"/>
              </w:rPr>
              <w:t>&gt;</w:t>
            </w:r>
            <w:r>
              <w:rPr>
                <w:rFonts w:hint="eastAsia" w:ascii="宋体" w:hAnsi="宋体" w:eastAsia="宋体" w:cs="宋体"/>
                <w:b w:val="0"/>
                <w:bCs w:val="0"/>
                <w:color w:val="auto"/>
                <w:sz w:val="21"/>
                <w:szCs w:val="21"/>
                <w:highlight w:val="none"/>
                <w:lang w:val="en-US" w:eastAsia="zh-CN"/>
              </w:rPr>
              <w:t>70cm，有效照射面积直径</w:t>
            </w:r>
            <w:r>
              <w:rPr>
                <w:rFonts w:hint="eastAsia" w:ascii="宋体" w:hAnsi="宋体" w:eastAsia="宋体" w:cs="宋体"/>
                <w:b w:val="0"/>
                <w:bCs w:val="0"/>
                <w:color w:val="auto"/>
                <w:sz w:val="21"/>
                <w:szCs w:val="21"/>
                <w:highlight w:val="none"/>
                <w:lang w:val="en-US" w:eastAsia="zh-Hans"/>
              </w:rPr>
              <w:t>：</w:t>
            </w:r>
            <w:r>
              <w:rPr>
                <w:rFonts w:hint="eastAsia" w:ascii="宋体" w:hAnsi="宋体" w:eastAsia="宋体" w:cs="宋体"/>
                <w:b w:val="0"/>
                <w:bCs w:val="0"/>
                <w:color w:val="auto"/>
                <w:sz w:val="21"/>
                <w:szCs w:val="21"/>
                <w:highlight w:val="none"/>
                <w:lang w:val="en-US" w:eastAsia="zh-CN"/>
              </w:rPr>
              <w:t>&gt;23cm，照射光斑面积：&gt;4000cm2 ，出光口面积：水滤镜有效口径≥97mm；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Hans"/>
              </w:rPr>
              <w:t>光功率密度</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Hans"/>
              </w:rPr>
              <w:t>在出光口光功率密度&gt;</w:t>
            </w:r>
            <w:bookmarkStart w:id="76" w:name="_Hlk227596656"/>
            <w:r>
              <w:rPr>
                <w:rFonts w:hint="eastAsia" w:ascii="宋体" w:hAnsi="宋体" w:eastAsia="宋体" w:cs="宋体"/>
                <w:b w:val="0"/>
                <w:bCs w:val="0"/>
                <w:color w:val="auto"/>
                <w:sz w:val="21"/>
                <w:szCs w:val="21"/>
                <w:highlight w:val="none"/>
                <w:lang w:val="en-US" w:eastAsia="zh-CN"/>
              </w:rPr>
              <w:t>3600</w:t>
            </w:r>
            <w:r>
              <w:rPr>
                <w:rFonts w:hint="eastAsia" w:ascii="宋体" w:hAnsi="宋体" w:eastAsia="宋体" w:cs="宋体"/>
                <w:b w:val="0"/>
                <w:bCs w:val="0"/>
                <w:color w:val="auto"/>
                <w:sz w:val="21"/>
                <w:szCs w:val="21"/>
                <w:highlight w:val="none"/>
                <w:lang w:val="en-US" w:eastAsia="zh-Hans"/>
              </w:rPr>
              <w:t>mW/</w:t>
            </w:r>
            <w:r>
              <w:rPr>
                <w:rFonts w:hint="eastAsia" w:ascii="宋体" w:hAnsi="宋体" w:eastAsia="宋体" w:cs="宋体"/>
                <w:b w:val="0"/>
                <w:bCs w:val="0"/>
                <w:color w:val="auto"/>
                <w:sz w:val="21"/>
                <w:szCs w:val="21"/>
                <w:highlight w:val="none"/>
                <w:lang w:val="en-US" w:eastAsia="zh-CN"/>
              </w:rPr>
              <w:t>cm2</w:t>
            </w:r>
            <w:bookmarkEnd w:id="76"/>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Hans"/>
              </w:rPr>
              <w:t>在出光口32cm处辐照强度光功率密度经检测&gt;230mW/cm2</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val="en-US" w:eastAsia="zh-Hans"/>
              </w:rPr>
              <w:t>可照射头面部及体内有内固定等</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val="en-US" w:eastAsia="zh-Hans"/>
              </w:rPr>
              <w:t>治疗深度：≥30CM（提供第三方检测报告）</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Hans"/>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Hans"/>
              </w:rPr>
              <w:t>湿度试验，震动试验，碰撞试验，运输试验后的辐照中心32cm处光功率密度≥230mW/cm²</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Hans"/>
              </w:rPr>
              <w:t>额定工作低温试验-5℃，0℃，10℃，高温 40℃: 持续工作4小时光功率密度≥230mW/cm²</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lang w:val="en-US" w:eastAsia="zh-Hans"/>
              </w:rPr>
              <w:t>辐照人体120分钟，皮肤表皮温度：≤41℃</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val="en-US" w:eastAsia="zh-Hans"/>
              </w:rPr>
              <w:t>一体化红外水滤器，易维护，寿命更长（非组合式，提供证明材料</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三、辐照时间</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1.旋钮液晶计时器，时间设定可自由调整，0～60 分钟可调；</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2.治疗主机外壳温度不超过 41℃，可持续工作≥12 小时；</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3.设备运行状态监管功能：运行总时长显示；</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4.辐照时间范围：可连续开机 12 小时以上，无需停机散热；</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5.辐照人体120 分钟，体表温度≤41℃；</w:t>
            </w:r>
          </w:p>
          <w:p>
            <w:pPr>
              <w:numPr>
                <w:ilvl w:val="0"/>
                <w:numId w:val="0"/>
              </w:numPr>
              <w:jc w:val="left"/>
              <w:rPr>
                <w:rFonts w:hint="eastAsia" w:ascii="宋体" w:hAnsi="宋体" w:eastAsia="宋体" w:cs="宋体"/>
                <w:b w:val="0"/>
                <w:bCs w:val="0"/>
                <w:color w:val="auto"/>
                <w:sz w:val="21"/>
                <w:szCs w:val="21"/>
                <w:highlight w:val="none"/>
                <w:lang w:val="en-US" w:eastAsia="zh-CN"/>
              </w:rPr>
            </w:pP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功能配置</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过热保护：过热模式过热保护启动后且不可自动恢复；</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机内温度数字监控；</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防倾倒装置，倾倒自动断电；</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定距杆长度：±32cm；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灯泡底座有锁紧保护装置；</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定时器背光数字显示；</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风冷散热，散热装置寿命&gt;10000H。</w:t>
            </w:r>
          </w:p>
          <w:p>
            <w:pPr>
              <w:numPr>
                <w:ilvl w:val="0"/>
                <w:numId w:val="0"/>
              </w:numPr>
              <w:jc w:val="left"/>
              <w:rPr>
                <w:rFonts w:hint="eastAsia" w:ascii="宋体" w:hAnsi="宋体" w:eastAsia="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9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皮肤镜图像处理工作站</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9</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1、用途：适用于对人体皮肤及皮肤附属器病变组织进行多维度多模态放大拍摄、实时动态观察，拍照采集皮肤镜影像图片，可进行图像处理、保存，建立包含病人完整信息的医生病历，打印图文报告；</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2.皮肤镜图像采集方法：支持非偏振光法、偏振光法和浸润法三种采集方式，采用一体式集成镜头，无需更换镜头即可实现三种方法切换，满足不同皮损类型检查需求；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3.镜头放大原理：采用光学定焦原理；</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4.镜头倍率：光学倍率 20X， 20-200X 无极变倍，镜头数量≥2个；</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▲5.倍率误差：20X 倍率下，倍率误差≤±1.5%；（需提供药监局或其指定检测机构盖章的技术要求或检验报告证明）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6.偏振度：偏振度≥90%，偏振角度 0-90 度可调节，可标识并记录偏振角度，满足观察需求；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▲7.皮肤镜感光元件尺寸：≥1/2" Color CMOS；（需提供药监局或其指定检测机构盖章的技术要求或检验报告证明）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▲8.图像视觉分辨率：20X 时≥45 线对/mm；（需提供药监局或其指定检测机构盖章的技术要求或检验报告证明）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9.图像畸变率：≤±1%；</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▲10.成像均匀度：20X 时≥85%；（需提供药监局或其指定检测机构盖章的技术要求或检验报告证明）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11.图像中心偏差：≤2mm；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12.镜头拍摄口径：≥20mm；</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▲13.光源照度：在像采集处时Ev ≥10000lux满足临床在不同部位检查应用中的光源要求；（需提供药监局或其指定检测机构盖章的技术要求或检验报告证明）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14.光源调节：支持光源亮度可调，档位数≥8 档，满足临床不同部位应用中的光源要求；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15.图像存储格式：支持 JPG、PNG、BMP、TIFF 等多种常用格式选择，可自定义存储参数，方便影像归档与后续研究使用；</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▲16.防交叉感染：采用与镜头一体式硬质材料物理隔离且数量≥60个，透光率≥90%；（需提供药监局或其指定检测机构盖章的技术要求或检验报告证明）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17.图像采集方式：支持实时采集，采集方式≥3 种，包含脚踏采集、系统软件采集、采集器手柄采集；</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18.患者档案字段：包含姓名、年龄、籍贯、职业、ID 号、检查号、病历号、科别、临床诊断、首诊医生、复诊医生、报告日期、观察分析、图像诊断、建议、费用、关键词等核心字段，可根据临床需求补充自定义字段，符合病历管理相关规定；</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19.信息录入方式：≥2 种，包含新建、导入；</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20.权限管理：软件配合专用加密锁使用，具有首诊医师、复诊医师、超级用户分级管理权限，保护病人隐私；</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21.图像处理方法：≥7 种，包含对称、镜像、反色、浮雕、对比度、标定、文字标注，可根据临床需求增加其他图像处理功能；</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22.皮损图像辅助判断方法：≥7种，提供用于研究的“模式法、ABCD法、ABC法、CASH法、七分法、Menzies法、三分法、毛发AGA分析方法、甲下黑色素瘤ABCDE诊断法、伍德灯荧光诊断法；</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23.AI 智能诊断：AI功能自动识别图片，分析结果提示、病因提示、临床表现提示、镜下表现病例参考、易混淆病例鉴别对比等功能。可自动生成报告；</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24.毛干个体标定：支持自定义个体患者毛发直径标定，可消除患者个体差异；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25.分析区域标定：可自定义图像内不同目标分析区，可获取与分析指标对应的各类分析数据；</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26.分析指标：≥5 类，包含图片基本指标、毛干直径、毛干形态、毛囊单位、毛囊开口，可根据临床需求补充其他分析指标；</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27.毛干直径分析：支持终毛数量、比例；毳毛数量、比例；中间发数量、比例；</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28.毛干形态分析：≥25种。惊叹号发、逗号发、Z型发、郁金香发等；</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29.毛囊单位分析：支持统计 1 根发、2 根发、≥3 根发毛囊的数量及比例；</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30.毛囊开口分析：≥4种。黑点征、黄点征、红点征、白点征；</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31.报告输出：支持2种以上介质报告输出，可兼容外部来源图片输出；</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32.报告模板：提供≥3种报告模板，通用模板、毛发专用模板、伍德灯模板；</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33.通用报告模板：每份报告可合并输出图片≥8 张；</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34.毛发报告模板：每份报告可合并输出图片≥12 张；</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35.报告转存：支持转换为 PDF 版本转存；</w:t>
            </w:r>
          </w:p>
          <w:p>
            <w:pPr>
              <w:numPr>
                <w:ilvl w:val="0"/>
                <w:numId w:val="0"/>
              </w:num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36.知识库：内置皮肤病图谱，包含皮肤镜图像、大体图、模式图；（提供软件截图证明）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37.电脑配置：硬盘≥1T、内存≥8G、处理器≥i5，显示器≥17"，显示分辨率≥1920*1080，满足影像显示与系统运行需求；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38.电源安全：配置专用隔离电源；</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39.台车：配置专用台车，支持升降操作；</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▲40.多终端交互性：支持病例档案多终端实时交流，可记录会诊评论，包含档案评论、诊断评论等核心评论类型；（提供软件截图证明）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▲41.操作模式可选性：支持≥2 种操作功能界面，可根据临床操作需求，自主切换为病例新建、采集、报告同一页面操作或单页面步进式操作；（提供软件截图证明）</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42.宏观拍照：大体相机可脱机单独使用并存储相关图像，宏观图像传输方式≥3种，至少包含WIFI、USB、NFC；宏观采集装置自带显示屏，可进行360°翻转；</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43.为保证系统兼容性，需配置与皮肤镜同品牌的伍德灯检测功能模块，技术要求；</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44.图像观察方式：≥2 种，包含裸眼实时观察、计算机系统观察；</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45.伍德灯硬件兼容性：可作为移动设备携带观察，可拍照采集；</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46.图像获取装置：支持对接主流品牌型号单反相机获取检查图像，不受限制。</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47.注册文件：：配置硬件具备药监局备案许可或注册证审批；</w:t>
            </w:r>
          </w:p>
          <w:p>
            <w:pPr>
              <w:numPr>
                <w:ilvl w:val="0"/>
                <w:numId w:val="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48.皮肤镜资质文件：有注册证，且注册证包含“皮肤镜”关键字</w:t>
            </w:r>
            <w:r>
              <w:rPr>
                <w:rFonts w:hint="eastAsia" w:ascii="宋体" w:hAnsi="宋体" w:cs="宋体"/>
                <w:b w:val="0"/>
                <w:bCs w:val="0"/>
                <w:color w:val="auto"/>
                <w:sz w:val="21"/>
                <w:szCs w:val="21"/>
                <w:highlight w:val="none"/>
                <w:lang w:val="en-US" w:eastAsia="zh-CN"/>
              </w:rPr>
              <w:t>。</w:t>
            </w:r>
          </w:p>
          <w:p>
            <w:pPr>
              <w:numPr>
                <w:ilvl w:val="0"/>
                <w:numId w:val="0"/>
              </w:numPr>
              <w:jc w:val="left"/>
              <w:rPr>
                <w:rFonts w:hint="eastAsia" w:ascii="宋体" w:hAnsi="宋体" w:eastAsia="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176"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cgf离心机</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b w:val="0"/>
                <w:bCs w:val="0"/>
                <w:color w:val="auto"/>
                <w:sz w:val="21"/>
                <w:szCs w:val="21"/>
                <w:highlight w:val="none"/>
                <w:lang w:val="en-US" w:eastAsia="zh-CN"/>
              </w:rPr>
            </w:pPr>
            <w:bookmarkStart w:id="77" w:name="OLE_LINK15"/>
            <w:r>
              <w:rPr>
                <w:rFonts w:hint="eastAsia" w:ascii="宋体" w:hAnsi="宋体" w:eastAsia="宋体" w:cs="宋体"/>
                <w:b w:val="0"/>
                <w:bCs w:val="0"/>
                <w:color w:val="auto"/>
                <w:sz w:val="21"/>
                <w:szCs w:val="21"/>
                <w:highlight w:val="none"/>
                <w:lang w:val="en-US" w:eastAsia="zh-CN"/>
              </w:rPr>
              <w:t>1.用途：</w:t>
            </w:r>
            <w:r>
              <w:rPr>
                <w:rFonts w:hint="eastAsia" w:ascii="宋体" w:hAnsi="宋体" w:cs="宋体"/>
                <w:b w:val="0"/>
                <w:bCs w:val="0"/>
                <w:color w:val="auto"/>
                <w:sz w:val="21"/>
                <w:szCs w:val="21"/>
                <w:highlight w:val="none"/>
                <w:lang w:val="en-US" w:eastAsia="zh-CN"/>
              </w:rPr>
              <w:t>本</w:t>
            </w:r>
            <w:r>
              <w:rPr>
                <w:rFonts w:hint="eastAsia" w:ascii="宋体" w:hAnsi="宋体" w:eastAsia="宋体" w:cs="宋体"/>
                <w:b w:val="0"/>
                <w:bCs w:val="0"/>
                <w:color w:val="auto"/>
                <w:sz w:val="21"/>
                <w:szCs w:val="21"/>
                <w:highlight w:val="none"/>
                <w:lang w:val="en-US" w:eastAsia="zh-CN"/>
              </w:rPr>
              <w:t>设备</w:t>
            </w:r>
            <w:r>
              <w:rPr>
                <w:rFonts w:hint="eastAsia" w:ascii="宋体" w:hAnsi="宋体" w:cs="宋体"/>
                <w:b w:val="0"/>
                <w:bCs w:val="0"/>
                <w:color w:val="auto"/>
                <w:sz w:val="21"/>
                <w:szCs w:val="21"/>
                <w:highlight w:val="none"/>
                <w:lang w:val="en-US" w:eastAsia="zh-CN"/>
              </w:rPr>
              <w:t>适</w:t>
            </w:r>
            <w:r>
              <w:rPr>
                <w:rFonts w:hint="eastAsia" w:ascii="宋体" w:hAnsi="宋体" w:eastAsia="宋体" w:cs="宋体"/>
                <w:b w:val="0"/>
                <w:bCs w:val="0"/>
                <w:color w:val="auto"/>
                <w:sz w:val="21"/>
                <w:szCs w:val="21"/>
                <w:highlight w:val="none"/>
                <w:lang w:val="en-US" w:eastAsia="zh-CN"/>
              </w:rPr>
              <w:t>用于从患者自体血快速制备高浓度生长因子凝胶与纤维蛋白膜，促进各类手术切口、毛发生长、痤疮瘢痕、面部年轻化等治疗</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2.具有</w:t>
            </w:r>
            <w:r>
              <w:rPr>
                <w:rFonts w:hint="eastAsia" w:ascii="宋体" w:hAnsi="宋体" w:eastAsia="宋体" w:cs="宋体"/>
                <w:b w:val="0"/>
                <w:bCs w:val="0"/>
                <w:color w:val="auto"/>
                <w:sz w:val="21"/>
                <w:szCs w:val="21"/>
                <w:highlight w:val="none"/>
              </w:rPr>
              <w:t>人性化专业操作界面，</w:t>
            </w:r>
            <w:r>
              <w:rPr>
                <w:rFonts w:hint="eastAsia" w:ascii="宋体" w:hAnsi="宋体" w:eastAsia="宋体" w:cs="宋体"/>
                <w:color w:val="auto"/>
                <w:szCs w:val="21"/>
                <w:highlight w:val="none"/>
              </w:rPr>
              <w:t>CGF，AFG，IPRF和PRP等</w:t>
            </w:r>
            <w:r>
              <w:rPr>
                <w:rFonts w:hint="eastAsia" w:ascii="宋体" w:hAnsi="宋体" w:eastAsia="宋体" w:cs="宋体"/>
                <w:b w:val="0"/>
                <w:bCs w:val="0"/>
                <w:color w:val="auto"/>
                <w:sz w:val="21"/>
                <w:szCs w:val="21"/>
                <w:highlight w:val="none"/>
              </w:rPr>
              <w:t>等≥4种专用程序一键选择，液晶触摸和按键两用控制面板，使用简单便捷；</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离心过程全程秒钟倒计时显示，剩余时间实时掌握；</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特有的稳定性设计，配合吸盘式底座，整机运行过程稳定无偏移；</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特有的风道设计，使离心机在运行过程中可以降低电机、控制系统及离心腔的温度；</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机器</w:t>
            </w:r>
            <w:r>
              <w:rPr>
                <w:rFonts w:hint="eastAsia" w:ascii="宋体" w:hAnsi="宋体" w:cs="宋体"/>
                <w:b w:val="0"/>
                <w:bCs w:val="0"/>
                <w:color w:val="auto"/>
                <w:sz w:val="21"/>
                <w:szCs w:val="21"/>
                <w:highlight w:val="none"/>
                <w:lang w:val="en-US" w:eastAsia="zh-CN"/>
              </w:rPr>
              <w:t>应</w:t>
            </w:r>
            <w:r>
              <w:rPr>
                <w:rFonts w:hint="eastAsia" w:ascii="宋体" w:hAnsi="宋体" w:eastAsia="宋体" w:cs="宋体"/>
                <w:b w:val="0"/>
                <w:bCs w:val="0"/>
                <w:color w:val="auto"/>
                <w:sz w:val="21"/>
                <w:szCs w:val="21"/>
                <w:highlight w:val="none"/>
              </w:rPr>
              <w:t>采用高强度工程塑料注塑成型，具有流线型设计，造型美观，体积小，重量轻；</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微机控制，直流无刷电机驱动；</w:t>
            </w:r>
          </w:p>
          <w:p>
            <w:pPr>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电源</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AC 220V</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50Hz</w:t>
            </w:r>
            <w:r>
              <w:rPr>
                <w:rFonts w:hint="eastAsia" w:ascii="宋体" w:hAnsi="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 xml:space="preserve"> 5A </w:t>
            </w:r>
            <w:r>
              <w:rPr>
                <w:rFonts w:hint="eastAsia" w:ascii="宋体" w:hAnsi="宋体" w:cs="宋体"/>
                <w:b w:val="0"/>
                <w:bCs w:val="0"/>
                <w:color w:val="auto"/>
                <w:sz w:val="21"/>
                <w:szCs w:val="21"/>
                <w:highlight w:val="none"/>
                <w:lang w:eastAsia="zh-CN"/>
              </w:rPr>
              <w:t>；</w:t>
            </w:r>
          </w:p>
          <w:p>
            <w:pPr>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整机噪声：≤60dB(A)</w:t>
            </w:r>
            <w:r>
              <w:rPr>
                <w:rFonts w:hint="eastAsia" w:ascii="宋体" w:hAnsi="宋体" w:cs="宋体"/>
                <w:b w:val="0"/>
                <w:bCs w:val="0"/>
                <w:color w:val="auto"/>
                <w:sz w:val="21"/>
                <w:szCs w:val="21"/>
                <w:highlight w:val="none"/>
                <w:lang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重量：≤7.5kg</w:t>
            </w:r>
            <w:bookmarkEnd w:id="77"/>
            <w:r>
              <w:rPr>
                <w:rFonts w:hint="eastAsia" w:ascii="宋体" w:hAnsi="宋体" w:cs="宋体"/>
                <w:b w:val="0"/>
                <w:bCs w:val="0"/>
                <w:color w:val="auto"/>
                <w:sz w:val="21"/>
                <w:szCs w:val="21"/>
                <w:highlight w:val="none"/>
                <w:lang w:val="en-US" w:eastAsia="zh-CN"/>
              </w:rPr>
              <w:t>。</w:t>
            </w:r>
          </w:p>
          <w:p>
            <w:pPr>
              <w:jc w:val="left"/>
              <w:rPr>
                <w:rFonts w:hint="default" w:ascii="宋体" w:hAnsi="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877"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bookmarkStart w:id="78" w:name="OLE_LINK16" w:colFirst="4" w:colLast="4"/>
            <w:r>
              <w:rPr>
                <w:rFonts w:hint="eastAsia" w:ascii="宋体" w:hAnsi="宋体" w:cs="宋体"/>
                <w:b w:val="0"/>
                <w:bCs w:val="0"/>
                <w:color w:val="auto"/>
                <w:sz w:val="21"/>
                <w:szCs w:val="21"/>
                <w:highlight w:val="none"/>
                <w:lang w:val="en-US" w:eastAsia="zh-CN"/>
              </w:rPr>
              <w:t>10</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多功能电动手术床</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1.用途：适用于皮肤科手术及治疗用多功能电动手术床，设备设计满足皮肤科手术特点，如患者体位多样性、操作便捷性、无菌区域维护及患者舒适度等；</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2.采用全电动驱动，运行平稳、低噪音、安全可靠，易于清洁消毒，满足医院感染控制要求</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3.结构采用高强度、耐腐蚀材料（如医用级不锈钢、铝合金等）制造，结构稳固，承重能力≥200kg</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4.配备有线手控器（置于易于操作的吊臂或线缆）</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手控器按键标识清晰，具备防误触设计。</w:t>
            </w:r>
            <w:r>
              <w:rPr>
                <w:rFonts w:hint="eastAsia"/>
                <w:color w:val="auto"/>
                <w:highlight w:val="none"/>
              </w:rPr>
              <w:t>可选配脚踏开关</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5.电源: 接入220V±10%，50Hz交流电源，具有漏电保护、过载保护等安全装置。内置备用蓄电池，确保断电情况下可完成至少三次基本体位调整（如背部升降、整体升降）</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6.底座带中控刹车系统，脚轮灵活稳定，便于定位与固定</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7.整体升降: 范围不低于</w:t>
            </w:r>
            <w:r>
              <w:rPr>
                <w:rFonts w:hint="eastAsia" w:ascii="宋体" w:hAnsi="宋体" w:cs="宋体"/>
                <w:b w:val="0"/>
                <w:bCs w:val="0"/>
                <w:color w:val="auto"/>
                <w:sz w:val="21"/>
                <w:szCs w:val="21"/>
                <w:highlight w:val="none"/>
                <w:lang w:val="en-US" w:eastAsia="zh-CN"/>
              </w:rPr>
              <w:t>66</w:t>
            </w:r>
            <w:r>
              <w:rPr>
                <w:rFonts w:hint="eastAsia" w:ascii="宋体" w:hAnsi="宋体" w:eastAsia="宋体" w:cs="宋体"/>
                <w:b w:val="0"/>
                <w:bCs w:val="0"/>
                <w:color w:val="auto"/>
                <w:sz w:val="21"/>
                <w:szCs w:val="21"/>
                <w:highlight w:val="none"/>
                <w:lang w:val="en-US" w:eastAsia="zh-CN"/>
              </w:rPr>
              <w:t>0mm</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1000mm（从地面到床垫平面），方便医护人员不同身高操作及患者上下床</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8.背板折起: 折起角度≥0-80°，可调为坐姿、半卧位等，满足头面部、胸部等部位手术及治疗需求</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9.腿板下折/分开: 腿板可独立下折一定角度（≥0-30°），或具备分开功能，便于会阴部、臀部等部位手术的体位摆放</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10.头板活动: 可上翻、下折、侧旋或易于拆卸，便于头部、颈部手术时支撑与暴露术野</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11.左右倾: 整体床面向左右两侧倾斜角度≥0-20°，便于侧卧位调整或术中需要倾斜体位时使用</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12.前后倾/头足倾斜: 整体床面可实现头高足低、头低足高倾斜（趋势位），角度范围≥0-20°。</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13.床面由≥5段组成，拼接平整，无突出螺钉，防止液体存积。床垫采用高密度、防水、抗静电、易清洁消毒的复合材料。</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标准配置可调节式头枕、肩托、臂托、腿托、固定带等。床体需预留标准接口，兼容多种选配附件，如镂空式碳纤维床板、专用手术体位垫、抽吸装置接口、辅助照明灯架接口等，以满足皮肤肿瘤切除、植皮、皮瓣、激光治疗、光子治疗等多种术式及操作需求。</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15.应急功能: 配备紧急停止按钮（位于手控器及床体明显位置），紧急情况下可一键停止所有动作。具备手动应急下降或复位功能（如手动摇杆）。</w:t>
            </w:r>
          </w:p>
          <w:p>
            <w:pPr>
              <w:jc w:val="left"/>
              <w:rPr>
                <w:rFonts w:hint="eastAsia" w:ascii="宋体" w:hAnsi="宋体" w:eastAsia="宋体" w:cs="宋体"/>
                <w:b w:val="0"/>
                <w:bCs w:val="0"/>
                <w:color w:val="auto"/>
                <w:sz w:val="21"/>
                <w:szCs w:val="21"/>
                <w:highlight w:val="none"/>
                <w:lang w:val="en-US" w:eastAsia="zh-CN"/>
              </w:rPr>
            </w:pPr>
          </w:p>
        </w:tc>
      </w:tr>
      <w:bookmarkEnd w:id="78"/>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9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冷热喷机</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0.</w:t>
            </w:r>
            <w:r>
              <w:rPr>
                <w:rFonts w:hint="eastAsia" w:ascii="宋体" w:hAnsi="宋体" w:cs="宋体"/>
                <w:b w:val="0"/>
                <w:bCs w:val="0"/>
                <w:color w:val="auto"/>
                <w:sz w:val="21"/>
                <w:szCs w:val="21"/>
                <w:highlight w:val="none"/>
                <w:lang w:val="en-US" w:eastAsia="zh-CN"/>
              </w:rPr>
              <w:t>1</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b w:val="0"/>
                <w:bCs w:val="0"/>
                <w:color w:val="auto"/>
                <w:sz w:val="21"/>
                <w:szCs w:val="21"/>
                <w:highlight w:val="none"/>
                <w:lang w:val="en-US" w:eastAsia="zh-CN"/>
              </w:rPr>
            </w:pPr>
            <w:bookmarkStart w:id="79" w:name="OLE_LINK38"/>
            <w:r>
              <w:rPr>
                <w:rFonts w:hint="eastAsia" w:ascii="宋体" w:hAnsi="宋体" w:eastAsia="宋体" w:cs="宋体"/>
                <w:b w:val="0"/>
                <w:bCs w:val="0"/>
                <w:color w:val="auto"/>
                <w:sz w:val="21"/>
                <w:szCs w:val="21"/>
                <w:highlight w:val="none"/>
                <w:lang w:val="en-US" w:eastAsia="zh-CN"/>
              </w:rPr>
              <w:t>1.用途：用于面部皮肤问题的辅助治疗与护理，如痤疮治疗前后的毛孔清洁与镇静、皮炎湿疹的舒缓、激光或微创术后的消肿镇静、日常皮肤深层清洁与补水保养</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2.设备能独立、稳定地输出热蒸汽和冷喷雾，并可实现快速切换或程序化交替治疗</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3.具备完善的多重安全保护系统，包括但不限于：热喷缺水干烧保护、温度过高/过低保护、过热断电保护、防冷凝水滴落设计等</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4.便于日常清洁消毒，与水、药液接触的容器、管路等部件应易于拆卸、清洗或为一次性使用配件，防止交叉感染。</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5.整机结构为台式一体机，结构紧凑稳固，外观简洁，采用ABS、PC等耐腐蚀、抗冲击的工程塑料，或结合金属材质</w:t>
            </w:r>
            <w:r>
              <w:rPr>
                <w:rFonts w:hint="eastAsia" w:ascii="宋体" w:hAnsi="宋体" w:cs="宋体"/>
                <w:b w:val="0"/>
                <w:bCs w:val="0"/>
                <w:color w:val="auto"/>
                <w:sz w:val="21"/>
                <w:szCs w:val="21"/>
                <w:highlight w:val="none"/>
                <w:lang w:val="en-US" w:eastAsia="zh-CN"/>
              </w:rPr>
              <w:t>；</w:t>
            </w:r>
          </w:p>
          <w:p>
            <w:pPr>
              <w:numPr>
                <w:ilvl w:val="0"/>
                <w:numId w:val="0"/>
              </w:numPr>
              <w:ind w:lef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电源：AC 220V ± 10%， 50Hz；</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热喷：温度：≥38–42℃（距喷口 20cm），恒温控制</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水箱容量：≥</w:t>
            </w:r>
            <w:r>
              <w:rPr>
                <w:rFonts w:hint="eastAsia" w:ascii="宋体" w:hAnsi="宋体" w:cs="宋体"/>
                <w:b w:val="0"/>
                <w:bCs w:val="0"/>
                <w:color w:val="auto"/>
                <w:sz w:val="21"/>
                <w:szCs w:val="21"/>
                <w:highlight w:val="none"/>
                <w:lang w:val="en-US" w:eastAsia="zh-CN"/>
              </w:rPr>
              <w:t>50</w:t>
            </w:r>
            <w:r>
              <w:rPr>
                <w:rFonts w:hint="eastAsia" w:ascii="宋体" w:hAnsi="宋体" w:eastAsia="宋体" w:cs="宋体"/>
                <w:b w:val="0"/>
                <w:bCs w:val="0"/>
                <w:color w:val="auto"/>
                <w:sz w:val="21"/>
                <w:szCs w:val="21"/>
                <w:highlight w:val="none"/>
                <w:lang w:val="en-US" w:eastAsia="zh-CN"/>
              </w:rPr>
              <w:t>0ml，≥3 分钟内出雾，带保温功能</w:t>
            </w:r>
            <w:r>
              <w:rPr>
                <w:rFonts w:hint="eastAsia" w:ascii="宋体" w:hAnsi="宋体" w:cs="宋体"/>
                <w:b w:val="0"/>
                <w:bCs w:val="0"/>
                <w:color w:val="auto"/>
                <w:sz w:val="21"/>
                <w:szCs w:val="21"/>
                <w:highlight w:val="none"/>
                <w:lang w:val="en-US" w:eastAsia="zh-CN"/>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冷喷：</w:t>
            </w:r>
            <w:r>
              <w:rPr>
                <w:rFonts w:hint="eastAsia" w:ascii="宋体" w:hAnsi="宋体" w:eastAsia="宋体" w:cs="宋体"/>
                <w:b w:val="0"/>
                <w:bCs w:val="0"/>
                <w:color w:val="auto"/>
                <w:sz w:val="21"/>
                <w:szCs w:val="21"/>
                <w:highlight w:val="none"/>
                <w:lang w:val="en-US" w:eastAsia="zh-CN"/>
              </w:rPr>
              <w:t>温度：≥15–20℃（距喷口 20cm），负离子纳米雾</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水箱容量：≥</w:t>
            </w:r>
            <w:r>
              <w:rPr>
                <w:rFonts w:hint="eastAsia" w:ascii="宋体" w:hAnsi="宋体" w:cs="宋体"/>
                <w:b w:val="0"/>
                <w:bCs w:val="0"/>
                <w:color w:val="auto"/>
                <w:sz w:val="21"/>
                <w:szCs w:val="21"/>
                <w:highlight w:val="none"/>
                <w:lang w:val="en-US" w:eastAsia="zh-CN"/>
              </w:rPr>
              <w:t>50</w:t>
            </w:r>
            <w:r>
              <w:rPr>
                <w:rFonts w:hint="eastAsia" w:ascii="宋体" w:hAnsi="宋体" w:eastAsia="宋体" w:cs="宋体"/>
                <w:b w:val="0"/>
                <w:bCs w:val="0"/>
                <w:color w:val="auto"/>
                <w:sz w:val="21"/>
                <w:szCs w:val="21"/>
                <w:highlight w:val="none"/>
                <w:lang w:val="en-US" w:eastAsia="zh-CN"/>
              </w:rPr>
              <w:t>0ml，10 秒内快速出雾，雾粒≤5μm</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.工作模式至少具备纯热喷模式、纯冷喷模式、冷热交替自动循环模式。交替模式的温度、持续时间、循环次数应可调</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.冷热喷雾的流量或强度应多档可调，以适应不同皮肤状况和治疗需求</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lang w:val="en-US" w:eastAsia="zh-CN"/>
              </w:rPr>
              <w:t>.具有定时功能，内置治疗定时器，单次治疗时间可在1-30分钟范围内设定，时间到自动停止</w:t>
            </w:r>
            <w:r>
              <w:rPr>
                <w:rFonts w:hint="eastAsia" w:ascii="宋体" w:hAnsi="宋体" w:cs="宋体"/>
                <w:b w:val="0"/>
                <w:bCs w:val="0"/>
                <w:color w:val="auto"/>
                <w:sz w:val="21"/>
                <w:szCs w:val="21"/>
                <w:highlight w:val="none"/>
                <w:lang w:val="en-US" w:eastAsia="zh-CN"/>
              </w:rPr>
              <w:t>；</w:t>
            </w:r>
          </w:p>
          <w:p>
            <w:pPr>
              <w:jc w:val="left"/>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具备</w:t>
            </w:r>
            <w:r>
              <w:rPr>
                <w:rFonts w:hint="eastAsia" w:ascii="宋体" w:hAnsi="宋体" w:eastAsia="宋体" w:cs="宋体"/>
                <w:b w:val="0"/>
                <w:bCs w:val="0"/>
                <w:color w:val="auto"/>
                <w:sz w:val="21"/>
                <w:szCs w:val="21"/>
                <w:highlight w:val="none"/>
                <w:lang w:val="en-US" w:eastAsia="zh-CN"/>
              </w:rPr>
              <w:t>微电脑触屏</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中文面板，0–30 分钟定时，故障自诊断</w:t>
            </w:r>
            <w:bookmarkEnd w:id="79"/>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13.</w:t>
            </w:r>
            <w:r>
              <w:rPr>
                <w:rFonts w:hint="eastAsia" w:ascii="宋体" w:hAnsi="宋体" w:eastAsia="宋体" w:cs="宋体"/>
                <w:b w:val="0"/>
                <w:bCs w:val="0"/>
                <w:color w:val="auto"/>
                <w:sz w:val="21"/>
                <w:szCs w:val="21"/>
                <w:highlight w:val="none"/>
                <w:lang w:val="en-US" w:eastAsia="zh-CN"/>
              </w:rPr>
              <w:t>UV 杀菌、缺水自动报警 / 断电、过热 / 干烧 / 漏电保护、防烫设计</w:t>
            </w:r>
            <w:r>
              <w:rPr>
                <w:rFonts w:hint="eastAsia" w:ascii="宋体" w:hAnsi="宋体" w:cs="宋体"/>
                <w:b w:val="0"/>
                <w:bCs w:val="0"/>
                <w:color w:val="auto"/>
                <w:sz w:val="21"/>
                <w:szCs w:val="21"/>
                <w:highlight w:val="none"/>
                <w:lang w:val="en-US" w:eastAsia="zh-CN"/>
              </w:rPr>
              <w:t>。</w:t>
            </w:r>
          </w:p>
          <w:p>
            <w:pPr>
              <w:jc w:val="left"/>
              <w:rPr>
                <w:rFonts w:hint="eastAsia" w:ascii="宋体" w:hAnsi="宋体" w:eastAsia="宋体" w:cs="宋体"/>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259"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医用多功能洗头床</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eastAsia="宋体" w:cs="宋体"/>
                <w:color w:val="auto"/>
                <w:sz w:val="21"/>
                <w:szCs w:val="21"/>
                <w:highlight w:val="none"/>
                <w:lang w:val="en-US" w:eastAsia="zh-CN"/>
              </w:rPr>
            </w:pPr>
            <w:bookmarkStart w:id="80" w:name="OLE_LINK18"/>
            <w:r>
              <w:rPr>
                <w:rFonts w:hint="eastAsia" w:ascii="宋体" w:hAnsi="宋体" w:eastAsia="宋体" w:cs="宋体"/>
                <w:color w:val="auto"/>
                <w:sz w:val="21"/>
                <w:szCs w:val="21"/>
                <w:highlight w:val="none"/>
                <w:lang w:val="en-US" w:eastAsia="zh-CN"/>
              </w:rPr>
              <w:t>1</w:t>
            </w:r>
            <w:bookmarkStart w:id="81" w:name="OLE_LINK17"/>
            <w:r>
              <w:rPr>
                <w:rFonts w:hint="eastAsia" w:ascii="宋体" w:hAnsi="宋体" w:eastAsia="宋体" w:cs="宋体"/>
                <w:color w:val="auto"/>
                <w:sz w:val="21"/>
                <w:szCs w:val="21"/>
                <w:highlight w:val="none"/>
                <w:lang w:val="en-US" w:eastAsia="zh-CN"/>
              </w:rPr>
              <w:t>.用途：适用于皮肤科、医疗美容科、烧伤科、老年科等临床场景的医用多功能洗头床。设备需满足患者在坐、卧姿下进行头部清洁、创面处理、药液冲洗、毛发清洗与收集等综合治疗与护理需求，提升操作效率和患者舒适度，符合院内感染控制标准</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2.设备需集成</w:t>
            </w:r>
            <w:r>
              <w:rPr>
                <w:rFonts w:hint="eastAsia" w:ascii="宋体" w:hAnsi="宋体" w:cs="宋体"/>
                <w:color w:val="auto"/>
                <w:sz w:val="21"/>
                <w:szCs w:val="21"/>
                <w:highlight w:val="none"/>
                <w:lang w:val="en-US" w:eastAsia="zh-CN"/>
              </w:rPr>
              <w:t>头疗、全身自动按摩、</w:t>
            </w:r>
            <w:r>
              <w:rPr>
                <w:rFonts w:hint="eastAsia" w:ascii="宋体" w:hAnsi="宋体" w:eastAsia="宋体" w:cs="宋体"/>
                <w:color w:val="auto"/>
                <w:sz w:val="21"/>
                <w:szCs w:val="21"/>
                <w:highlight w:val="none"/>
                <w:lang w:val="en-US" w:eastAsia="zh-CN"/>
              </w:rPr>
              <w:t>洗发、冲洗等核心功能于一体</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3.必须具备独立的清水（可连接冷热水）供应管路和污水即时强排系统，治疗/清洗过程中废水不逆流、不蓄积，直接排入下水道，确保卫生、防交叉感染</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4.洗头盆及关键部件材质必须耐腐蚀、防锈、易清洁，无毒无味，符合医疗环境要求</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.盆底排水口内置可拆卸、易清洗的毛发过滤网/收集器，有效拦截毛发，防止管道堵塞</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.具备独立的冷水、热水进水接口（标准G1/2接口），可连接医院壁式或移动式冷热水源</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.内置或外置恒温混水装置，可预设和稳定输出温度，并有超温保护，防止烫伤。温度调节旋钮/面板需清晰易操作</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.配置耐压、防缠绕的加长软管及手持花洒喷头，需具备轻柔、按摩、强效冲洗等多种出水模式，并可一键止水</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.防水等级：关键电气部件及接插件防水等级不低于IPX4</w:t>
            </w:r>
            <w:r>
              <w:rPr>
                <w:rFonts w:hint="eastAsia" w:ascii="宋体" w:hAnsi="宋体" w:cs="宋体"/>
                <w:color w:val="auto"/>
                <w:sz w:val="21"/>
                <w:szCs w:val="21"/>
                <w:highlight w:val="none"/>
                <w:lang w:val="en-US" w:eastAsia="zh-CN"/>
              </w:rPr>
              <w:t>；</w:t>
            </w:r>
          </w:p>
          <w:p>
            <w:p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.漏电保护：具备漏电保护开关或内置漏电保护电路。</w:t>
            </w:r>
            <w:bookmarkEnd w:id="80"/>
            <w:bookmarkEnd w:id="81"/>
          </w:p>
          <w:p>
            <w:pPr>
              <w:jc w:val="left"/>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0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3</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bookmarkStart w:id="82" w:name="OLE_LINK20"/>
            <w:r>
              <w:rPr>
                <w:rFonts w:hint="eastAsia" w:ascii="宋体" w:hAnsi="宋体" w:eastAsia="宋体" w:cs="宋体"/>
                <w:color w:val="auto"/>
                <w:sz w:val="21"/>
                <w:szCs w:val="21"/>
                <w:highlight w:val="none"/>
                <w:lang w:val="en-US" w:eastAsia="zh-CN"/>
              </w:rPr>
              <w:t>医用消毒柜</w:t>
            </w:r>
            <w:bookmarkEnd w:id="82"/>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0.8</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 w:val="21"/>
                <w:szCs w:val="21"/>
                <w:highlight w:val="none"/>
                <w:lang w:val="en-US" w:eastAsia="zh-CN"/>
              </w:rPr>
            </w:pPr>
            <w:bookmarkStart w:id="83" w:name="OLE_LINK19"/>
            <w:r>
              <w:rPr>
                <w:rFonts w:hint="eastAsia" w:ascii="宋体" w:hAnsi="宋体" w:eastAsia="宋体" w:cs="宋体"/>
                <w:color w:val="auto"/>
                <w:sz w:val="21"/>
                <w:szCs w:val="21"/>
                <w:highlight w:val="none"/>
                <w:lang w:val="en-US" w:eastAsia="zh-CN"/>
              </w:rPr>
              <w:t>用途：适用于医疗机构皮肤科门诊、医疗美容专科等需要对医用织物进行终端消毒的场所，设备专用于消毒直接接触患者皮肤的毛巾、包头巾等织物，符合医院消毒要求；</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设备采用紫外线与臭氧双重消毒模式，确保对真菌、细菌的高效灭活；</w:t>
            </w:r>
          </w:p>
          <w:p>
            <w:pPr>
              <w:numPr>
                <w:ilvl w:val="0"/>
                <w:numId w:val="5"/>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内部结构需专为毛巾等织物设计，避免堆叠影响消毒效果</w:t>
            </w:r>
            <w:r>
              <w:rPr>
                <w:rFonts w:hint="eastAsia" w:ascii="宋体" w:hAnsi="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内胆材质：采用优质304或316不锈钢，一体成型，内壁光滑、耐腐蚀、无死角、易清洁</w:t>
            </w:r>
            <w:r>
              <w:rPr>
                <w:rFonts w:hint="eastAsia" w:ascii="宋体" w:hAnsi="宋体" w:cs="宋体"/>
                <w:color w:val="auto"/>
                <w:sz w:val="21"/>
                <w:szCs w:val="21"/>
                <w:highlight w:val="none"/>
                <w:lang w:val="en-US" w:eastAsia="zh-CN"/>
              </w:rPr>
              <w:t>；</w:t>
            </w:r>
          </w:p>
          <w:p>
            <w:pPr>
              <w:numPr>
                <w:ilvl w:val="0"/>
                <w:numId w:val="0"/>
              </w:numPr>
              <w:ind w:lef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3.容积：</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400L；</w:t>
            </w:r>
          </w:p>
          <w:p>
            <w:pPr>
              <w:numPr>
                <w:ilvl w:val="0"/>
                <w:numId w:val="0"/>
              </w:numPr>
              <w:ind w:left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电源：AC 220V ± 10%， 50Hz；</w:t>
            </w:r>
          </w:p>
          <w:p>
            <w:pPr>
              <w:numPr>
                <w:ilvl w:val="0"/>
                <w:numId w:val="0"/>
              </w:numPr>
              <w:ind w:leftChars="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具有漏电保护，符合电气安全标准</w:t>
            </w:r>
            <w:r>
              <w:rPr>
                <w:rFonts w:hint="eastAsia" w:ascii="宋体" w:hAnsi="宋体" w:cs="宋体"/>
                <w:color w:val="auto"/>
                <w:sz w:val="21"/>
                <w:szCs w:val="21"/>
                <w:highlight w:val="none"/>
                <w:lang w:val="en-US" w:eastAsia="zh-CN"/>
              </w:rPr>
              <w:t>。</w:t>
            </w:r>
          </w:p>
          <w:bookmarkEnd w:id="83"/>
          <w:p>
            <w:pPr>
              <w:numPr>
                <w:ilvl w:val="0"/>
                <w:numId w:val="0"/>
              </w:numPr>
              <w:ind w:left="0" w:leftChars="0" w:firstLine="0" w:firstLineChars="0"/>
              <w:jc w:val="lef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5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4</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bookmarkStart w:id="84" w:name="OLE_LINK21"/>
            <w:r>
              <w:rPr>
                <w:rFonts w:hint="eastAsia" w:ascii="宋体" w:hAnsi="宋体" w:eastAsia="宋体" w:cs="宋体"/>
                <w:color w:val="auto"/>
                <w:sz w:val="21"/>
                <w:szCs w:val="21"/>
                <w:highlight w:val="none"/>
                <w:lang w:val="en-US" w:eastAsia="zh-CN"/>
              </w:rPr>
              <w:t>冰箱</w:t>
            </w:r>
            <w:bookmarkEnd w:id="84"/>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0.8</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1..压缩机类型：定频压缩机</w:t>
            </w:r>
            <w:r>
              <w:rPr>
                <w:rFonts w:hint="eastAsia" w:ascii="宋体" w:hAnsi="宋体" w:cs="宋体"/>
                <w:color w:val="auto"/>
                <w:sz w:val="21"/>
                <w:szCs w:val="21"/>
                <w:highlight w:val="none"/>
                <w:lang w:val="en-US"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.冷藏室容积：≥83L</w:t>
            </w:r>
            <w:r>
              <w:rPr>
                <w:rFonts w:hint="eastAsia" w:ascii="宋体" w:hAnsi="宋体" w:cs="宋体"/>
                <w:color w:val="auto"/>
                <w:sz w:val="21"/>
                <w:szCs w:val="21"/>
                <w:highlight w:val="none"/>
                <w:lang w:val="en-US"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.冰箱总容积：≥165L</w:t>
            </w:r>
            <w:r>
              <w:rPr>
                <w:rFonts w:hint="eastAsia" w:ascii="宋体" w:hAnsi="宋体" w:cs="宋体"/>
                <w:color w:val="auto"/>
                <w:sz w:val="21"/>
                <w:szCs w:val="21"/>
                <w:highlight w:val="none"/>
                <w:lang w:val="en-US"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.温控范围：2℃-8℃</w:t>
            </w:r>
            <w:r>
              <w:rPr>
                <w:rFonts w:hint="eastAsia" w:ascii="宋体" w:hAnsi="宋体" w:cs="宋体"/>
                <w:color w:val="auto"/>
                <w:sz w:val="21"/>
                <w:szCs w:val="21"/>
                <w:highlight w:val="none"/>
                <w:lang w:val="en-US"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5冷冻范围：-10</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cs="宋体"/>
                <w:color w:val="auto"/>
                <w:kern w:val="2"/>
                <w:sz w:val="21"/>
                <w:szCs w:val="21"/>
                <w:lang w:val="en-US" w:eastAsia="zh-CN" w:bidi="ar-SA"/>
              </w:rPr>
              <w:t>6</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highlight w:val="none"/>
                <w:lang w:val="en-US" w:eastAsia="zh-CN"/>
              </w:rPr>
              <w:t>采用立式设计，存放方便，节省空间</w:t>
            </w:r>
            <w:r>
              <w:rPr>
                <w:rFonts w:hint="eastAsia" w:ascii="宋体" w:hAnsi="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672"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5</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医用吸烟机</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0.8</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1.用途：用于皮肤科门诊及治疗室的医用吸烟机，主要用于在激光、射频、高频电灼、微创手术等操作过程中，即时、有效地吸除、净化治疗产生的有毒有害手术烟雾，净化诊疗环境，保障手术视野清晰。</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2.吸烟能力最大真空度（静压）≥ 18 kPa， 吸力连续可调，数字显示或档位清晰。</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3.最大空气流量≥ 40 升/分钟（在指定负载下可调）。</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4.吸烟手柄轻便，吸头口径适配多种治疗手柄，或配备多规格可更换吸头。</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bookmarkStart w:id="85" w:name="OLE_LINK23"/>
            <w:r>
              <w:rPr>
                <w:rFonts w:hint="eastAsia" w:ascii="宋体" w:hAnsi="宋体" w:eastAsia="宋体" w:cs="宋体"/>
                <w:color w:val="auto"/>
                <w:szCs w:val="21"/>
                <w:highlight w:val="none"/>
                <w:lang w:val="en-US" w:eastAsia="zh-CN"/>
              </w:rPr>
              <w:t>采用多级过滤系统，至少包括：初级预过滤器、主过滤器，采用医用级高效过滤单元，对≦0.</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微米颗粒物的过滤效率≥99%。</w:t>
            </w:r>
            <w:bookmarkEnd w:id="85"/>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6.具有防倒流设计，防止液体进入主机。性能与设计噪音水平设备正常工作时，距离1米处噪音 ≤ 60 dB（分贝）。</w:t>
            </w:r>
          </w:p>
          <w:p>
            <w:pPr>
              <w:numPr>
                <w:ilvl w:val="0"/>
                <w:numId w:val="0"/>
              </w:numPr>
              <w:jc w:val="left"/>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lang w:val="en-US" w:eastAsia="zh-CN"/>
              </w:rPr>
              <w:t>7.设备应为移动式，带静音万向脚轮，且有刹车装置</w:t>
            </w:r>
            <w:r>
              <w:rPr>
                <w:rFonts w:hint="eastAsia" w:ascii="宋体" w:hAnsi="宋体" w:eastAsia="宋体" w:cs="宋体"/>
                <w:b w:val="0"/>
                <w:bCs w:val="0"/>
                <w:color w:val="auto"/>
                <w:sz w:val="21"/>
                <w:szCs w:val="21"/>
                <w:highlight w:val="none"/>
                <w:lang w:val="en-US" w:eastAsia="zh-CN"/>
              </w:rPr>
              <w:t>。</w:t>
            </w:r>
          </w:p>
          <w:p>
            <w:pPr>
              <w:numPr>
                <w:ilvl w:val="0"/>
                <w:numId w:val="0"/>
              </w:numPr>
              <w:jc w:val="left"/>
              <w:rPr>
                <w:rFonts w:hint="eastAsia" w:ascii="宋体" w:hAnsi="宋体" w:cs="宋体"/>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785"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6</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洗衣机</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（一）10kg 全自动滚筒洗衣机</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额定容量：10kg（干衣），滚筒容积≥10L</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结构材质：内筒、外桶、门框均为304 不锈钢，防腐蚀、耐高温</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控制方式：微电脑 PLC 控制，中文液晶显示，带程序存储、故障自诊断</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洗涤 / 脱水：</w:t>
            </w:r>
          </w:p>
          <w:p>
            <w:pPr>
              <w:keepNext w:val="0"/>
              <w:keepLines w:val="0"/>
              <w:pageBreakBefore w:val="0"/>
              <w:widowControl w:val="0"/>
              <w:kinsoku/>
              <w:wordWrap/>
              <w:overflowPunct/>
              <w:topLinePunct w:val="0"/>
              <w:autoSpaceDE/>
              <w:autoSpaceDN/>
              <w:bidi w:val="0"/>
              <w:adjustRightInd/>
              <w:snapToGrid w:val="0"/>
              <w:spacing w:line="28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洗涤转速：≥50rpm</w:t>
            </w:r>
          </w:p>
          <w:p>
            <w:pPr>
              <w:keepNext w:val="0"/>
              <w:keepLines w:val="0"/>
              <w:pageBreakBefore w:val="0"/>
              <w:widowControl w:val="0"/>
              <w:kinsoku/>
              <w:wordWrap/>
              <w:overflowPunct/>
              <w:topLinePunct w:val="0"/>
              <w:autoSpaceDE/>
              <w:autoSpaceDN/>
              <w:bidi w:val="0"/>
              <w:adjustRightInd/>
              <w:snapToGrid w:val="0"/>
              <w:spacing w:line="28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最高脱水转速：≥1000rpm，脱水系数≥300G</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除菌消毒：支持90℃以上高温水洗，带高温除菌、除螨程序，符合医用织物消毒要求</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电机：变频电机，一级能效，静音低震</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门体：双层钢化玻璃门，门锁安全联锁，运行中无法开门</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尺寸（参考）：宽≤600mm、深≤650mm、高≤850mm</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电源：AC220V/50Hz，功率≤800W</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排水：上 / 下排水可选，防回水设计</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安全：过流、过热、漏电保护，门锁异常报警</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（二）10kg 热泵式烘干机</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额定烘干容量：10kg（干衣），与洗衣机匹配</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烘干方式：热泵式，低温烘干（40–65℃），护衣、节能</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内筒材质：304</w:t>
            </w:r>
            <w:r>
              <w:rPr>
                <w:rFonts w:hint="eastAsia" w:ascii="宋体" w:hAnsi="宋体" w:cs="宋体"/>
                <w:color w:val="auto"/>
                <w:sz w:val="21"/>
                <w:szCs w:val="21"/>
                <w:highlight w:val="none"/>
                <w:lang w:val="en-US" w:eastAsia="zh-CN"/>
              </w:rPr>
              <w:t>/316</w:t>
            </w:r>
            <w:r>
              <w:rPr>
                <w:rFonts w:hint="eastAsia" w:ascii="宋体" w:hAnsi="宋体" w:eastAsia="宋体" w:cs="宋体"/>
                <w:color w:val="auto"/>
                <w:sz w:val="21"/>
                <w:szCs w:val="21"/>
                <w:highlight w:val="none"/>
                <w:lang w:val="en-US" w:eastAsia="zh-CN"/>
              </w:rPr>
              <w:t>不锈钢，正反转防缠绕</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控制：微电脑控制，智能感温感湿，自动判断干度，防过烘</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除菌：高温 + 紫外线 / 银离子双重除菌，除螨率≥99%</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绒毛过滤：多层精密过滤网，易拆洗，防堵塞</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电机：变频电机，一级能效，噪音≤60dB</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尺寸（参考）：宽≤600mm、深≤650mm、高≤850mm</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电源：AC220V/50Hz，功率≤1200W</w:t>
            </w:r>
            <w:r>
              <w:rPr>
                <w:rFonts w:hint="eastAsia" w:ascii="宋体" w:hAnsi="宋体" w:cs="宋体"/>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安全：过热保护、门控保护、风机故障报警</w:t>
            </w:r>
            <w:r>
              <w:rPr>
                <w:rFonts w:hint="eastAsia" w:ascii="宋体" w:hAnsi="宋体" w:cs="宋体"/>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9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7</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热水器</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 w:val="21"/>
                <w:szCs w:val="21"/>
                <w:highlight w:val="none"/>
                <w:lang w:val="en-US" w:eastAsia="zh-CN"/>
              </w:rPr>
            </w:pPr>
            <w:bookmarkStart w:id="86" w:name="OLE_LINK34"/>
            <w:r>
              <w:rPr>
                <w:rFonts w:hint="eastAsia" w:ascii="宋体" w:hAnsi="宋体" w:eastAsia="宋体" w:cs="宋体"/>
                <w:color w:val="auto"/>
                <w:sz w:val="21"/>
                <w:szCs w:val="21"/>
                <w:highlight w:val="none"/>
                <w:lang w:val="en-US" w:eastAsia="zh-CN"/>
              </w:rPr>
              <w:t>1.用途：</w:t>
            </w:r>
            <w:r>
              <w:rPr>
                <w:rFonts w:hint="eastAsia" w:ascii="宋体" w:hAnsi="宋体" w:cs="宋体"/>
                <w:color w:val="auto"/>
                <w:sz w:val="21"/>
                <w:szCs w:val="21"/>
                <w:highlight w:val="none"/>
                <w:lang w:val="en-US" w:eastAsia="zh-CN"/>
              </w:rPr>
              <w:t>适</w:t>
            </w:r>
            <w:r>
              <w:rPr>
                <w:rFonts w:hint="eastAsia" w:ascii="宋体" w:hAnsi="宋体" w:eastAsia="宋体" w:cs="宋体"/>
                <w:color w:val="auto"/>
                <w:sz w:val="21"/>
                <w:szCs w:val="21"/>
                <w:highlight w:val="none"/>
                <w:lang w:val="en-US" w:eastAsia="zh-CN"/>
              </w:rPr>
              <w:t>用于医护人员手卫生、患者术前清洁、治疗器械初步冲洗、药浴等用途</w:t>
            </w:r>
            <w:r>
              <w:rPr>
                <w:rFonts w:hint="eastAsia" w:ascii="宋体" w:hAnsi="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.储水容量100L；</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.加热范围：20-80°C 连续可调，出水温度稳定性：±1°C</w:t>
            </w:r>
            <w:r>
              <w:rPr>
                <w:rFonts w:hint="eastAsia" w:ascii="宋体" w:hAnsi="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bookmarkStart w:id="87" w:name="OLE_LINK35"/>
            <w:r>
              <w:rPr>
                <w:rFonts w:hint="eastAsia" w:ascii="宋体" w:hAnsi="宋体" w:eastAsia="宋体" w:cs="宋体"/>
                <w:color w:val="auto"/>
                <w:sz w:val="21"/>
                <w:szCs w:val="21"/>
                <w:highlight w:val="none"/>
                <w:lang w:val="en-US" w:eastAsia="zh-CN"/>
              </w:rPr>
              <w:t>4.能稳定输出恒温混合水（如治疗用40°C±1°C，消毒清洗用≥60°C）。热水产量在标准工况下，温升25°C（如从15°C加热至40°C）时，持续供应流量 ≥ 100升/小时</w:t>
            </w:r>
            <w:r>
              <w:rPr>
                <w:rFonts w:hint="eastAsia" w:ascii="宋体" w:hAnsi="宋体" w:cs="宋体"/>
                <w:color w:val="auto"/>
                <w:sz w:val="21"/>
                <w:szCs w:val="21"/>
                <w:highlight w:val="none"/>
                <w:lang w:val="en-US" w:eastAsia="zh-CN"/>
              </w:rPr>
              <w:t>；</w:t>
            </w:r>
          </w:p>
          <w:bookmarkEnd w:id="87"/>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5.配置前置过滤（除砂、除锈）及中央软水设备；</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6.配置恒温混水阀或恒温供水机组，将高温水与冷水混合至设定温度后输送至各用水点，恒温精度：±2°C</w:t>
            </w:r>
            <w:r>
              <w:rPr>
                <w:rFonts w:hint="eastAsia" w:ascii="宋体" w:hAnsi="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7.具备防烫伤功能，在冷水故障时自动切断高温水。</w:t>
            </w:r>
            <w:bookmarkEnd w:id="86"/>
          </w:p>
          <w:p>
            <w:pPr>
              <w:numPr>
                <w:ilvl w:val="0"/>
                <w:numId w:val="0"/>
              </w:numPr>
              <w:jc w:val="lef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90"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8</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成人药浴桶</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 w:val="21"/>
                <w:szCs w:val="21"/>
                <w:highlight w:val="none"/>
                <w:lang w:val="en-US" w:eastAsia="zh-CN"/>
              </w:rPr>
            </w:pPr>
            <w:bookmarkStart w:id="88" w:name="OLE_LINK32"/>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用途：该设备用于为成人患者提供全身或局部浸浴治疗，需具备精确控温、循环过滤、消毒杀菌、体位调节及安全防护等功能；</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2.主体材质为高强度亚克力或医用级复合材料，厚度≥8mm，确保坚固耐用、不变形、不渗漏。</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3.内壁光滑、无接缝、无死角，易于清洁消毒，不吸附药液成分。</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产品具有臭氧消毒功能，防治细菌交叉感染，消毒更全面、更彻底、更安全</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产品具有温度刺激作用：改善、提升人体体温的调节能力</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default" w:ascii="宋体" w:hAnsi="宋体" w:eastAsia="宋体" w:cs="宋体"/>
                <w:color w:val="auto"/>
                <w:sz w:val="21"/>
                <w:szCs w:val="21"/>
                <w:highlight w:val="none"/>
                <w:lang w:val="en-US" w:eastAsia="zh-CN"/>
              </w:rPr>
              <w:t>产品具有恒温功能：保持水温恒定，可根据实际情况对水温和按摩时间自由设定</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bookmarkStart w:id="89" w:name="OLE_LINK33"/>
            <w:r>
              <w:rPr>
                <w:rFonts w:hint="default" w:ascii="宋体" w:hAnsi="宋体" w:eastAsia="宋体" w:cs="宋体"/>
                <w:color w:val="auto"/>
                <w:sz w:val="21"/>
                <w:szCs w:val="21"/>
                <w:highlight w:val="none"/>
                <w:lang w:val="en-US" w:eastAsia="zh-CN"/>
              </w:rPr>
              <w:t>具有机械作用：静水压力作用、水流冲击作用、浮力作用</w:t>
            </w:r>
            <w:r>
              <w:rPr>
                <w:rFonts w:hint="eastAsia" w:ascii="宋体" w:hAnsi="宋体" w:eastAsia="宋体" w:cs="宋体"/>
                <w:color w:val="auto"/>
                <w:sz w:val="21"/>
                <w:szCs w:val="21"/>
                <w:highlight w:val="none"/>
                <w:lang w:val="en-US" w:eastAsia="zh-CN"/>
              </w:rPr>
              <w:t>。</w:t>
            </w:r>
          </w:p>
          <w:bookmarkEnd w:id="89"/>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r>
              <w:rPr>
                <w:rFonts w:hint="default" w:ascii="宋体" w:hAnsi="宋体" w:eastAsia="宋体" w:cs="宋体"/>
                <w:color w:val="auto"/>
                <w:sz w:val="21"/>
                <w:szCs w:val="21"/>
                <w:highlight w:val="none"/>
                <w:lang w:val="en-US" w:eastAsia="zh-CN"/>
              </w:rPr>
              <w:t>水下喷射流&gt;4个，肌肉组织被轻轻地放松，组织也会变得更加结实，同时水温渗透到肌肉组织深处，加快血液循环和缓解肌肉紧张和僵硬</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r>
              <w:rPr>
                <w:rFonts w:hint="default" w:ascii="宋体" w:hAnsi="宋体" w:eastAsia="宋体" w:cs="宋体"/>
                <w:color w:val="auto"/>
                <w:sz w:val="21"/>
                <w:szCs w:val="21"/>
                <w:highlight w:val="none"/>
                <w:lang w:val="en-US" w:eastAsia="zh-CN"/>
              </w:rPr>
              <w:t>产品自备过滤功能，通过水循环过滤水中杂质</w:t>
            </w:r>
            <w:r>
              <w:rPr>
                <w:rFonts w:hint="eastAsia" w:ascii="宋体" w:hAnsi="宋体" w:eastAsia="宋体" w:cs="宋体"/>
                <w:color w:val="auto"/>
                <w:sz w:val="21"/>
                <w:szCs w:val="21"/>
                <w:highlight w:val="none"/>
                <w:lang w:val="en-US" w:eastAsia="zh-CN"/>
              </w:rPr>
              <w:t>。</w:t>
            </w:r>
            <w:bookmarkEnd w:id="88"/>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10.电源：AC220V/50Hz。</w:t>
            </w:r>
          </w:p>
          <w:p>
            <w:pPr>
              <w:numPr>
                <w:ilvl w:val="0"/>
                <w:numId w:val="0"/>
              </w:numPr>
              <w:jc w:val="left"/>
              <w:rPr>
                <w:rFonts w:hint="default"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279"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儿童药浴桶</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1.用途：该设备用于为儿童患者提供全身或局部浸浴治疗，需具备精确控温、循环过滤、消毒杀菌、体位调节及安全防护等功能；</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2.主体材质为高强度亚克力或医用级复合材料，厚度≥5mm，确保坚固耐用、不变形、不渗漏。</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3.内壁光滑、无接缝、无死角，易于清洁消毒，不吸附药液成分。</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default" w:ascii="宋体" w:hAnsi="宋体" w:eastAsia="宋体" w:cs="宋体"/>
                <w:color w:val="auto"/>
                <w:sz w:val="21"/>
                <w:szCs w:val="21"/>
                <w:highlight w:val="none"/>
                <w:lang w:val="en-US" w:eastAsia="zh-CN"/>
              </w:rPr>
              <w:t>外接出水口，≥4个涡流冲浪喷嘴，水疗机底部≥11组发泡柱，水疗机底部≥77个小气泡喷嘴</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default" w:ascii="宋体" w:hAnsi="宋体" w:eastAsia="宋体" w:cs="宋体"/>
                <w:color w:val="auto"/>
                <w:sz w:val="21"/>
                <w:szCs w:val="21"/>
                <w:highlight w:val="none"/>
                <w:lang w:val="en-US" w:eastAsia="zh-CN"/>
              </w:rPr>
              <w:t>产品具备臭氧消毒功能：为儿童提供优良的浸浴水环境，防治细菌交叉感染，消毒更全面、更彻底、更安全</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r>
              <w:rPr>
                <w:rFonts w:hint="default" w:ascii="宋体" w:hAnsi="宋体" w:eastAsia="宋体" w:cs="宋体"/>
                <w:color w:val="auto"/>
                <w:sz w:val="21"/>
                <w:szCs w:val="21"/>
                <w:highlight w:val="none"/>
                <w:lang w:val="en-US" w:eastAsia="zh-CN"/>
              </w:rPr>
              <w:t>产品具备光疗功能：采用多种可变化的可见光疗法，治疗效果更快；同时增加水疗乐趣，促进儿童发育</w:t>
            </w:r>
            <w:r>
              <w:rPr>
                <w:rFonts w:hint="eastAsia" w:ascii="宋体" w:hAnsi="宋体" w:eastAsia="宋体" w:cs="宋体"/>
                <w:color w:val="auto"/>
                <w:sz w:val="21"/>
                <w:szCs w:val="21"/>
                <w:highlight w:val="none"/>
                <w:lang w:val="en-US"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r>
              <w:rPr>
                <w:rFonts w:hint="default" w:ascii="宋体" w:hAnsi="宋体" w:eastAsia="宋体" w:cs="宋体"/>
                <w:color w:val="auto"/>
                <w:sz w:val="21"/>
                <w:szCs w:val="21"/>
                <w:highlight w:val="none"/>
                <w:lang w:val="en-US" w:eastAsia="zh-CN"/>
              </w:rPr>
              <w:t>产品具备音乐功能：水疗中配以合适的音乐，可从心理和生理方面促进身心发展</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r>
              <w:rPr>
                <w:rFonts w:hint="default" w:ascii="宋体" w:hAnsi="宋体" w:eastAsia="宋体" w:cs="宋体"/>
                <w:color w:val="auto"/>
                <w:sz w:val="21"/>
                <w:szCs w:val="21"/>
                <w:highlight w:val="none"/>
                <w:lang w:val="en-US" w:eastAsia="zh-CN"/>
              </w:rPr>
              <w:t>产品具备恒温功能：温度可在20℃-45℃之间调节；温度刺激作用：改善、提升人体体温的调节能力</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r>
              <w:rPr>
                <w:rFonts w:hint="default" w:ascii="宋体" w:hAnsi="宋体" w:eastAsia="宋体" w:cs="宋体"/>
                <w:color w:val="auto"/>
                <w:sz w:val="21"/>
                <w:szCs w:val="21"/>
                <w:highlight w:val="none"/>
                <w:lang w:val="en-US" w:eastAsia="zh-CN"/>
              </w:rPr>
              <w:t>具备涡流冲浪功能：动态水流的冲击按摩刺激能促进儿童神经系统、呼吸系统、循环系统发育</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水疗机屏幕显示动态运行情况，超大观察窗：可清楚直观的观察到儿童在水中康复治疗情况</w:t>
            </w:r>
            <w:r>
              <w:rPr>
                <w:rFonts w:hint="eastAsia" w:ascii="宋体" w:hAnsi="宋体" w:eastAsia="宋体" w:cs="宋体"/>
                <w:color w:val="auto"/>
                <w:sz w:val="21"/>
                <w:szCs w:val="21"/>
                <w:highlight w:val="none"/>
                <w:lang w:val="en-US" w:eastAsia="zh-CN"/>
              </w:rPr>
              <w:t>。</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11.具备</w:t>
            </w:r>
            <w:r>
              <w:rPr>
                <w:rFonts w:hint="default" w:ascii="宋体" w:hAnsi="宋体" w:eastAsia="宋体" w:cs="宋体"/>
                <w:color w:val="auto"/>
                <w:sz w:val="21"/>
                <w:szCs w:val="21"/>
                <w:highlight w:val="none"/>
                <w:lang w:val="en-US" w:eastAsia="zh-CN"/>
              </w:rPr>
              <w:t>自锁跟缺水保护功能</w:t>
            </w:r>
            <w:r>
              <w:rPr>
                <w:rFonts w:hint="eastAsia" w:ascii="宋体" w:hAnsi="宋体" w:eastAsia="宋体" w:cs="宋体"/>
                <w:color w:val="auto"/>
                <w:sz w:val="21"/>
                <w:szCs w:val="21"/>
                <w:highlight w:val="none"/>
                <w:lang w:val="en-US" w:eastAsia="zh-CN"/>
              </w:rPr>
              <w:t>。</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12.电源：AC220V/50Hz。</w:t>
            </w:r>
          </w:p>
          <w:p>
            <w:pPr>
              <w:numPr>
                <w:ilvl w:val="0"/>
                <w:numId w:val="0"/>
              </w:numPr>
              <w:jc w:val="left"/>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9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0</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液氮罐</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i w:val="0"/>
                <w:iCs w:val="0"/>
                <w:color w:val="auto"/>
                <w:kern w:val="0"/>
                <w:sz w:val="21"/>
                <w:szCs w:val="21"/>
                <w:highlight w:val="none"/>
                <w:u w:val="none"/>
                <w:lang w:val="en-US" w:eastAsia="zh-CN" w:bidi="ar"/>
              </w:rPr>
              <w:t>套</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1.用途：用于皮肤病损冷冻治疗（如寻常疣、尖锐湿疣、脂溢性角化等）的便携式治疗罐，轻便、安全、精准、符合院感规范。</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2.产品类型便携式、手持操作，专为临床冷冻治疗设计。容量有效容积确保一次充注可满足单日或半日门诊治疗需求。静态液氮保存期在环境温度25°C下，充满液氮后静置，静态保存期 ≥ 15天</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蒸发率日蒸发率 ≤ 2%。</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3.可实现雾化喷射（用于面积较大的浅表皮损）和棉签/探针接触治疗（用于精确、深部的皮损）两种模式。</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4.喷射开关灵敏，可单手操作，流量连续可调。</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5.标配多种规格的一次性使用无菌治疗探针至少3种常用规格。</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6.配备可更换的无菌棉签/纱卷套筒，实现低成本、无交叉感染的接触治疗。</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 罐体具备压力释放阀，防止气压过高，具备防溢流设计，倾倒时液氮不易大量泄漏。</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8.握持部位有隔热保护层，防止冻伤，配备专用储存保护套，防止磕碰。</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9.内胆为高强度铝合金或不锈钢，颈管细长，减少蒸发。</w:t>
            </w:r>
          </w:p>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10.所有直接接触患者伤口的部件（探针、棉签套）必须为一次性无菌包装，杜绝交叉感染。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9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1</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i w:val="0"/>
                <w:iCs w:val="0"/>
                <w:color w:val="auto"/>
                <w:kern w:val="2"/>
                <w:sz w:val="21"/>
                <w:szCs w:val="21"/>
                <w:highlight w:val="none"/>
                <w:u w:val="none"/>
                <w:lang w:val="en-US" w:eastAsia="zh-CN" w:bidi="ar-SA"/>
              </w:rPr>
            </w:pPr>
            <w:bookmarkStart w:id="90" w:name="OLE_LINK31"/>
            <w:r>
              <w:rPr>
                <w:rFonts w:hint="eastAsia" w:ascii="宋体" w:hAnsi="宋体" w:eastAsia="宋体" w:cs="宋体"/>
                <w:color w:val="auto"/>
                <w:sz w:val="21"/>
                <w:szCs w:val="21"/>
                <w:highlight w:val="none"/>
                <w:lang w:val="en-US" w:eastAsia="zh-CN"/>
              </w:rPr>
              <w:t>治疗床</w:t>
            </w:r>
            <w:bookmarkEnd w:id="90"/>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1张</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3.3</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6"/>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用途：用于皮肤科门诊及治疗室的手动操作治疗床。该设备需满足皮肤科日常检查、常规治疗、换药、注射等操作需求，以稳固可靠、调节灵活、易于清洁消毒为核心，兼顾医护人员操作便捷性与患者舒适度。</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2.主体框架采用高强度方形钢管，厚度≥1.5mm，整体承重 ≥ 200kg，标准尺寸：长 ≥ 1900mm，宽 ≥ 600mm。</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3.台面：由高密度复合板材或抗菌不锈钢制成，床面一体成型，边缘圆滑无棱角，防碰撞。床面无缝、防水、防腐蚀、易清洁。</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r>
              <w:rPr>
                <w:rFonts w:hint="eastAsia" w:ascii="宋体" w:hAnsi="宋体" w:cs="宋体"/>
                <w:color w:val="auto"/>
                <w:szCs w:val="21"/>
                <w:highlight w:val="none"/>
                <w:lang w:val="en-US" w:eastAsia="zh-CN"/>
              </w:rPr>
              <w:t>可升降，具备高度</w:t>
            </w:r>
            <w:r>
              <w:rPr>
                <w:rFonts w:hint="eastAsia" w:ascii="宋体" w:hAnsi="宋体" w:eastAsia="宋体" w:cs="宋体"/>
                <w:color w:val="auto"/>
                <w:szCs w:val="21"/>
                <w:highlight w:val="none"/>
                <w:lang w:val="en-US" w:eastAsia="zh-CN"/>
              </w:rPr>
              <w:t>调节功能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高度调节整体高度可通过旋转摇把进行调节，范围不小于</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 xml:space="preserve">50mm - </w:t>
            </w:r>
            <w:r>
              <w:rPr>
                <w:rFonts w:hint="eastAsia" w:ascii="宋体" w:hAnsi="宋体" w:cs="宋体"/>
                <w:color w:val="auto"/>
                <w:szCs w:val="21"/>
                <w:highlight w:val="none"/>
                <w:lang w:val="en-US" w:eastAsia="zh-CN"/>
              </w:rPr>
              <w:t>80</w:t>
            </w:r>
            <w:r>
              <w:rPr>
                <w:rFonts w:hint="eastAsia" w:ascii="宋体" w:hAnsi="宋体" w:eastAsia="宋体" w:cs="宋体"/>
                <w:color w:val="auto"/>
                <w:szCs w:val="21"/>
                <w:highlight w:val="none"/>
                <w:lang w:val="en-US" w:eastAsia="zh-CN"/>
              </w:rPr>
              <w:t>0mm，升降过程平稳，到位后能可靠锁止。</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7.标配可拆卸式凝胶软垫或记忆棉垫，提升长时间治疗舒适度。</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8.配置配套使用的床罩30张；</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9.所有外表面材质必须耐受含氯消毒剂、75%酒精等常用医用消毒剂反复擦拭。</w:t>
            </w:r>
          </w:p>
          <w:p>
            <w:pPr>
              <w:numPr>
                <w:ilvl w:val="0"/>
                <w:numId w:val="0"/>
              </w:numPr>
              <w:ind w:left="0" w:leftChars="0" w:firstLine="0" w:firstLineChars="0"/>
              <w:jc w:val="left"/>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69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2</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治疗凳</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r>
              <w:rPr>
                <w:rFonts w:hint="eastAsia" w:ascii="宋体" w:hAnsi="宋体" w:cs="宋体"/>
                <w:i w:val="0"/>
                <w:iCs w:val="0"/>
                <w:color w:val="auto"/>
                <w:kern w:val="0"/>
                <w:sz w:val="21"/>
                <w:szCs w:val="21"/>
                <w:highlight w:val="none"/>
                <w:u w:val="none"/>
                <w:lang w:val="en-US" w:eastAsia="zh-CN" w:bidi="ar"/>
              </w:rPr>
              <w:t>张</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1.用途 ：用于皮肤科治疗及手术操作过程中，供医护人员使用的专用治疗凳。该设备需满足长时间坐姿操作的需求，具备高度的灵活性、稳定性及人体工学支撑，以减轻医护人员工作疲劳，提升操作精度和舒适度，兼顾无菌环境要求和耐用性。</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2.底盘为五爪式防倾覆底座，带双圈静音万向轮，中心立柱为高强度气弹簧，支持座椅高度调节，适应不同身高和操作台面；</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3.整体结构稳固，无晃动，最大承重 ≥ 150kg。</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4.坐垫材质高密度、慢回弹记忆海绵，透气性好，防水、抗菌、易清洁皮革，无缝一体成型，可耐受含氯消毒剂反复擦拭。</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5.靠背为独立腰背分区支撑靠背，高度及倾角可独立调节。</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6.所有调节杆、手柄表面光滑，无锐角毛刺。</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7.金属部件采用环保粉末喷涂或电镀处理，防锈防腐蚀。</w:t>
            </w:r>
          </w:p>
          <w:p>
            <w:pPr>
              <w:numPr>
                <w:ilvl w:val="0"/>
                <w:numId w:val="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8.整个凳体（包括坐垫、靠背、扶手、底盘）外表面，均可使用医用消毒湿巾直接擦拭消毒，无清洁死角。</w:t>
            </w:r>
          </w:p>
          <w:p>
            <w:pPr>
              <w:numPr>
                <w:ilvl w:val="0"/>
                <w:numId w:val="0"/>
              </w:numPr>
              <w:ind w:left="0" w:leftChars="0" w:firstLine="0" w:firstLineChars="0"/>
              <w:jc w:val="left"/>
              <w:rPr>
                <w:rFonts w:hint="eastAsia" w:ascii="宋体" w:hAnsi="宋体" w:eastAsia="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778"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3</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粉刺针</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cs="宋体"/>
                <w:i w:val="0"/>
                <w:iCs w:val="0"/>
                <w:color w:val="auto"/>
                <w:kern w:val="0"/>
                <w:sz w:val="21"/>
                <w:szCs w:val="21"/>
                <w:highlight w:val="none"/>
                <w:u w:val="none"/>
                <w:lang w:val="en-US" w:eastAsia="zh-CN" w:bidi="ar"/>
              </w:rPr>
              <w:t>支</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w:t>
            </w:r>
            <w:r>
              <w:rPr>
                <w:rFonts w:hint="eastAsia" w:ascii="宋体" w:hAnsi="宋体" w:cs="宋体"/>
                <w:color w:val="auto"/>
                <w:sz w:val="21"/>
                <w:szCs w:val="21"/>
                <w:highlight w:val="none"/>
                <w:lang w:val="en-US" w:eastAsia="zh-CN"/>
              </w:rPr>
              <w:t>8</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7"/>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用途：皮肤科治疗使用。</w:t>
            </w:r>
          </w:p>
          <w:p>
            <w:pPr>
              <w:numPr>
                <w:ilvl w:val="0"/>
                <w:numId w:val="7"/>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材质为医用级316不锈钢，一头针、一头环“双头”设计。</w:t>
            </w:r>
          </w:p>
          <w:p>
            <w:pPr>
              <w:numPr>
                <w:ilvl w:val="0"/>
                <w:numId w:val="7"/>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产品一体成型，高精度镜面抛光，环缘光滑。</w:t>
            </w:r>
          </w:p>
          <w:p>
            <w:pPr>
              <w:numPr>
                <w:ilvl w:val="0"/>
                <w:numId w:val="7"/>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尺寸精准，针头细而坚韧，环的直径标准。</w:t>
            </w:r>
          </w:p>
          <w:p>
            <w:pPr>
              <w:numPr>
                <w:ilvl w:val="0"/>
                <w:numId w:val="7"/>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采用无菌包装。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733"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4</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蚊式钳</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10把</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w:t>
            </w:r>
            <w:r>
              <w:rPr>
                <w:rFonts w:hint="eastAsia" w:ascii="宋体" w:hAnsi="宋体" w:cs="宋体"/>
                <w:color w:val="auto"/>
                <w:sz w:val="21"/>
                <w:szCs w:val="21"/>
                <w:highlight w:val="none"/>
                <w:lang w:val="en-US" w:eastAsia="zh-CN"/>
              </w:rPr>
              <w:t>8</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8"/>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用途：用于皮肤科小切口手术、皮肤活检、痔切除术等需要精细治疗操作。</w:t>
            </w:r>
          </w:p>
          <w:p>
            <w:pPr>
              <w:numPr>
                <w:ilvl w:val="0"/>
                <w:numId w:val="8"/>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材质为高等级316医用不锈钢，具有直齿、横齿、直头、弯头（45度、90度弯）、手柄锁扣设计，适宜皮肤科治疗操作。</w:t>
            </w:r>
          </w:p>
          <w:p>
            <w:pPr>
              <w:numPr>
                <w:ilvl w:val="0"/>
                <w:numId w:val="8"/>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产品为整体锻造，五焊接点，表面高亮度镜面抛光。</w:t>
            </w:r>
          </w:p>
          <w:p>
            <w:pPr>
              <w:numPr>
                <w:ilvl w:val="0"/>
                <w:numId w:val="8"/>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可消毒重复使用。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048"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眼科剪</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5把</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9"/>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用途：用于皮肤科进行精细的组织分离、修剪和切割等操作治疗；</w:t>
            </w:r>
          </w:p>
          <w:p>
            <w:pPr>
              <w:numPr>
                <w:ilvl w:val="0"/>
                <w:numId w:val="0"/>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2.材质为高等级316医用不锈钢，具有直头、弯头、手柄弹簧设计，适宜皮肤科治疗操作。</w:t>
            </w:r>
          </w:p>
          <w:p>
            <w:pPr>
              <w:numPr>
                <w:ilvl w:val="0"/>
                <w:numId w:val="0"/>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3.产品为整体锻造，五焊接点，表面高亮度镜面抛光。</w:t>
            </w:r>
          </w:p>
          <w:p>
            <w:pPr>
              <w:numPr>
                <w:ilvl w:val="0"/>
                <w:numId w:val="0"/>
              </w:numPr>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4.可消毒重复使用。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478"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6</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bookmarkStart w:id="91" w:name="OLE_LINK25"/>
            <w:r>
              <w:rPr>
                <w:rFonts w:hint="eastAsia" w:ascii="宋体" w:hAnsi="宋体" w:eastAsia="宋体" w:cs="宋体"/>
                <w:color w:val="auto"/>
                <w:sz w:val="21"/>
                <w:szCs w:val="21"/>
                <w:highlight w:val="none"/>
                <w:lang w:val="en-US" w:eastAsia="zh-CN"/>
              </w:rPr>
              <w:t>手术包</w:t>
            </w:r>
            <w:bookmarkEnd w:id="91"/>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i w:val="0"/>
                <w:iCs w:val="0"/>
                <w:color w:val="auto"/>
                <w:kern w:val="0"/>
                <w:sz w:val="21"/>
                <w:szCs w:val="21"/>
                <w:highlight w:val="none"/>
                <w:u w:val="none"/>
                <w:lang w:val="en-US" w:eastAsia="zh-CN" w:bidi="ar"/>
              </w:rPr>
              <w:t>包</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0.05</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numPr>
                <w:ilvl w:val="0"/>
                <w:numId w:val="10"/>
              </w:num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用途：用于皮肤科皮肤活检、小型皮损修复等手术及操作。</w:t>
            </w:r>
          </w:p>
          <w:p>
            <w:pPr>
              <w:numPr>
                <w:ilvl w:val="0"/>
                <w:numId w:val="10"/>
              </w:num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包含洞巾、纱布</w:t>
            </w:r>
            <w:r>
              <w:rPr>
                <w:rFonts w:hint="eastAsia" w:ascii="宋体" w:hAnsi="宋体" w:cs="宋体"/>
                <w:color w:val="auto"/>
                <w:szCs w:val="21"/>
                <w:highlight w:val="none"/>
                <w:lang w:val="en-US" w:eastAsia="zh-CN"/>
              </w:rPr>
              <w:t>等</w:t>
            </w:r>
            <w:r>
              <w:rPr>
                <w:rFonts w:hint="eastAsia" w:ascii="宋体" w:hAnsi="宋体" w:eastAsia="宋体" w:cs="宋体"/>
                <w:color w:val="auto"/>
                <w:szCs w:val="21"/>
                <w:highlight w:val="none"/>
                <w:lang w:val="en-US" w:eastAsia="zh-CN"/>
              </w:rPr>
              <w:t>。</w:t>
            </w:r>
          </w:p>
          <w:p>
            <w:pPr>
              <w:numPr>
                <w:ilvl w:val="0"/>
                <w:numId w:val="1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lang w:val="en-US" w:eastAsia="zh-CN"/>
              </w:rPr>
              <w:t>符合医用消毒灭菌要求。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478"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治疗床</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1张</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53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1、床面采用高级皮革制成，背板及坐板采用优质多层实木板，包裹优质环保皮，内材填充优质高密度泡棉， 硬软适中回弹性好，外形美观，舒适，颜色适中，缓解患者心里压力。</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2、床架采用优质不锈钢焊接而成，美观大方，抗老化，不生锈，坚固耐用。</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支框架采用≧Φ32*1.0mm、≧Φ22*1.0mm</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≧25*25*1.0mm优质不锈钢。</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3、操纵背板齿架可使背板上折转，采用一字拉杆3MM特殊钢材，表面处理白锌； </w:t>
            </w:r>
          </w:p>
          <w:p>
            <w:pPr>
              <w:keepNext w:val="0"/>
              <w:keepLines w:val="0"/>
              <w:pageBreakBefore w:val="0"/>
              <w:widowControl w:val="0"/>
              <w:kinsoku/>
              <w:wordWrap/>
              <w:overflowPunct/>
              <w:topLinePunct w:val="0"/>
              <w:autoSpaceDE/>
              <w:autoSpaceDN/>
              <w:bidi w:val="0"/>
              <w:adjustRightInd/>
              <w:snapToGrid w:val="0"/>
              <w:spacing w:line="280" w:lineRule="exact"/>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4、床腿装有塑胶套脚，防止与地面摩擦而产生噪音。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478" w:hRule="atLeast"/>
          <w:jc w:val="center"/>
        </w:trPr>
        <w:tc>
          <w:tcPr>
            <w:tcW w:w="4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28</w:t>
            </w:r>
          </w:p>
        </w:tc>
        <w:tc>
          <w:tcPr>
            <w:tcW w:w="168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婴幼儿浴池</w:t>
            </w:r>
          </w:p>
        </w:tc>
        <w:tc>
          <w:tcPr>
            <w:tcW w:w="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2套</w:t>
            </w:r>
          </w:p>
        </w:tc>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539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numPr>
                <w:ilvl w:val="0"/>
                <w:numId w:val="0"/>
              </w:numPr>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用途：该设备用于为婴幼儿患者提供全身或局部浸浴治疗；</w:t>
            </w:r>
          </w:p>
          <w:p>
            <w:pPr>
              <w:numPr>
                <w:ilvl w:val="0"/>
                <w:numId w:val="0"/>
              </w:numPr>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1.台面与池体</w:t>
            </w:r>
          </w:p>
          <w:p>
            <w:pPr>
              <w:numPr>
                <w:ilvl w:val="0"/>
                <w:numId w:val="0"/>
              </w:num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1.1台面：材质为高强度亚克力或医用级复合材料，厚度≥5mm，确保坚固耐用、不变形、不渗漏。</w:t>
            </w:r>
          </w:p>
          <w:p>
            <w:pPr>
              <w:numPr>
                <w:ilvl w:val="0"/>
                <w:numId w:val="0"/>
              </w:num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1.2尺寸：≧950mm*550mm*850mm，带人体工学靠背设计，适配婴幼儿体位。</w:t>
            </w:r>
          </w:p>
          <w:p>
            <w:pPr>
              <w:numPr>
                <w:ilvl w:val="0"/>
                <w:numId w:val="0"/>
              </w:numPr>
              <w:ind w:firstLine="420" w:firstLineChars="200"/>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1.3排水系统：池底设防堵式排水阀（按压式 / 旋转式），排水快速无残留，配套防溢水设计。</w:t>
            </w:r>
          </w:p>
          <w:p>
            <w:pPr>
              <w:numPr>
                <w:ilvl w:val="0"/>
                <w:numId w:val="0"/>
              </w:numPr>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1.4池体：应采用防水材料，防水性强、光泽度好，使在潮湿的环境适用度高。</w:t>
            </w:r>
          </w:p>
          <w:p>
            <w:pPr>
              <w:numPr>
                <w:ilvl w:val="0"/>
                <w:numId w:val="9"/>
              </w:numPr>
              <w:ind w:left="0"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抚触床</w:t>
            </w:r>
          </w:p>
          <w:p>
            <w:pPr>
              <w:numPr>
                <w:ilvl w:val="1"/>
                <w:numId w:val="9"/>
              </w:numPr>
              <w:ind w:left="315"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可与洗澡池并排安装或独立放置；</w:t>
            </w:r>
          </w:p>
          <w:p>
            <w:pPr>
              <w:numPr>
                <w:ilvl w:val="1"/>
                <w:numId w:val="9"/>
              </w:numPr>
              <w:ind w:left="315" w:lef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尺寸：≧100mm*800mm*850mm，带柜体置物空间；</w:t>
            </w:r>
          </w:p>
          <w:p>
            <w:pPr>
              <w:numPr>
                <w:ilvl w:val="0"/>
                <w:numId w:val="0"/>
              </w:numPr>
              <w:ind w:left="0" w:leftChars="0" w:firstLine="359" w:firstLineChars="171"/>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2.3柜体：应采用防水材料，防水性强、光泽度好，使在潮湿的环境适用度高；</w:t>
            </w:r>
          </w:p>
          <w:p>
            <w:pPr>
              <w:numPr>
                <w:ilvl w:val="0"/>
                <w:numId w:val="0"/>
              </w:numPr>
              <w:ind w:left="0" w:leftChars="0" w:firstLine="359" w:firstLineChars="171"/>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2.4台面应具备防水抗菌PU垫，厚度≥30mm，边缘圆角处理，防水防渗、耐酒精、含氯消毒剂擦拭，易清洁消毒，防交叉感染。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3" w:hRule="atLeast"/>
          <w:jc w:val="center"/>
        </w:trPr>
        <w:tc>
          <w:tcPr>
            <w:tcW w:w="710" w:type="dxa"/>
            <w:gridSpan w:val="2"/>
            <w:vAlign w:val="center"/>
          </w:tcPr>
          <w:p>
            <w:pPr>
              <w:tabs>
                <w:tab w:val="left" w:pos="180"/>
                <w:tab w:val="left" w:pos="1620"/>
              </w:tabs>
              <w:spacing w:line="360" w:lineRule="auto"/>
              <w:rPr>
                <w:rFonts w:hint="eastAsia" w:ascii="宋体" w:hAnsi="宋体" w:cs="宋体"/>
                <w:color w:val="auto"/>
                <w:highlight w:val="none"/>
              </w:rPr>
            </w:pPr>
            <w:r>
              <w:rPr>
                <w:rFonts w:hint="eastAsia" w:ascii="宋体" w:hAnsi="宋体" w:cs="宋体"/>
                <w:color w:val="auto"/>
                <w:highlight w:val="none"/>
              </w:rPr>
              <w:t>商</w:t>
            </w:r>
          </w:p>
          <w:p>
            <w:pPr>
              <w:tabs>
                <w:tab w:val="left" w:pos="180"/>
                <w:tab w:val="left" w:pos="1620"/>
              </w:tabs>
              <w:spacing w:line="360" w:lineRule="auto"/>
              <w:rPr>
                <w:rFonts w:hint="eastAsia" w:ascii="宋体" w:hAnsi="宋体" w:cs="宋体"/>
                <w:color w:val="auto"/>
                <w:highlight w:val="none"/>
              </w:rPr>
            </w:pPr>
            <w:r>
              <w:rPr>
                <w:rFonts w:hint="eastAsia" w:ascii="宋体" w:hAnsi="宋体" w:cs="宋体"/>
                <w:color w:val="auto"/>
                <w:highlight w:val="none"/>
              </w:rPr>
              <w:t>务</w:t>
            </w:r>
          </w:p>
          <w:p>
            <w:pPr>
              <w:tabs>
                <w:tab w:val="left" w:pos="180"/>
                <w:tab w:val="left" w:pos="1620"/>
              </w:tabs>
              <w:spacing w:line="360" w:lineRule="auto"/>
              <w:rPr>
                <w:rFonts w:hint="eastAsia" w:ascii="宋体" w:hAnsi="宋体" w:cs="宋体"/>
                <w:color w:val="auto"/>
                <w:highlight w:val="none"/>
              </w:rPr>
            </w:pPr>
            <w:r>
              <w:rPr>
                <w:rFonts w:hint="eastAsia" w:ascii="宋体" w:hAnsi="宋体" w:cs="宋体"/>
                <w:color w:val="auto"/>
                <w:highlight w:val="none"/>
              </w:rPr>
              <w:t>条</w:t>
            </w:r>
          </w:p>
          <w:p>
            <w:pPr>
              <w:tabs>
                <w:tab w:val="left" w:pos="180"/>
                <w:tab w:val="left" w:pos="1620"/>
              </w:tabs>
              <w:spacing w:line="360" w:lineRule="auto"/>
              <w:rPr>
                <w:rFonts w:hint="eastAsia" w:ascii="宋体" w:hAnsi="宋体" w:cs="宋体"/>
                <w:color w:val="auto"/>
                <w:szCs w:val="21"/>
                <w:highlight w:val="none"/>
              </w:rPr>
            </w:pPr>
            <w:r>
              <w:rPr>
                <w:rFonts w:hint="eastAsia" w:ascii="宋体" w:hAnsi="宋体" w:cs="宋体"/>
                <w:color w:val="auto"/>
                <w:highlight w:val="none"/>
              </w:rPr>
              <w:t>款</w:t>
            </w:r>
          </w:p>
        </w:tc>
        <w:tc>
          <w:tcPr>
            <w:tcW w:w="8714" w:type="dxa"/>
            <w:gridSpan w:val="5"/>
            <w:vAlign w:val="center"/>
          </w:tcPr>
          <w:p>
            <w:pPr>
              <w:widowControl/>
              <w:spacing w:line="400" w:lineRule="exact"/>
              <w:rPr>
                <w:rFonts w:hint="eastAsia" w:ascii="宋体" w:hAnsi="宋体" w:cs="宋体"/>
                <w:color w:val="auto"/>
                <w:highlight w:val="none"/>
              </w:rPr>
            </w:pPr>
            <w:r>
              <w:rPr>
                <w:rFonts w:hint="eastAsia" w:ascii="宋体" w:hAnsi="宋体" w:cs="宋体"/>
                <w:color w:val="auto"/>
                <w:highlight w:val="none"/>
              </w:rPr>
              <w:t>一、合同签订期：自成交通知书发出之日起</w:t>
            </w:r>
            <w:r>
              <w:rPr>
                <w:rFonts w:hint="eastAsia" w:ascii="宋体" w:hAnsi="宋体" w:cs="宋体"/>
                <w:color w:val="auto"/>
                <w:highlight w:val="none"/>
                <w:u w:val="single"/>
              </w:rPr>
              <w:t xml:space="preserve">  25  </w:t>
            </w:r>
            <w:r>
              <w:rPr>
                <w:rFonts w:hint="eastAsia" w:ascii="宋体" w:hAnsi="宋体" w:cs="宋体"/>
                <w:color w:val="auto"/>
                <w:highlight w:val="none"/>
              </w:rPr>
              <w:t>日内</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二、</w:t>
            </w:r>
            <w:r>
              <w:rPr>
                <w:rFonts w:hint="eastAsia" w:ascii="宋体" w:hAnsi="宋体" w:cs="宋体"/>
                <w:bCs/>
                <w:color w:val="auto"/>
                <w:highlight w:val="none"/>
                <w:lang w:eastAsia="zh-CN"/>
              </w:rPr>
              <w:t>交货时间</w:t>
            </w:r>
            <w:r>
              <w:rPr>
                <w:rFonts w:hint="eastAsia" w:ascii="宋体" w:hAnsi="宋体" w:cs="宋体"/>
                <w:bCs/>
                <w:color w:val="auto"/>
                <w:highlight w:val="none"/>
              </w:rPr>
              <w:t>：</w:t>
            </w:r>
            <w:r>
              <w:rPr>
                <w:rFonts w:hint="eastAsia" w:ascii="宋体" w:hAnsi="宋体" w:cs="宋体"/>
                <w:color w:val="auto"/>
                <w:highlight w:val="none"/>
              </w:rPr>
              <w:t>合同签订后30个日历日内到货并完成安装调试、验收合格并交付使用。</w:t>
            </w:r>
          </w:p>
          <w:p>
            <w:pPr>
              <w:widowControl/>
              <w:spacing w:line="400" w:lineRule="exact"/>
              <w:rPr>
                <w:rFonts w:hint="eastAsia" w:ascii="宋体" w:hAnsi="宋体" w:eastAsia="宋体" w:cs="宋体"/>
                <w:bCs/>
                <w:color w:val="auto"/>
                <w:highlight w:val="none"/>
                <w:u w:val="none"/>
                <w:lang w:eastAsia="zh-CN"/>
              </w:rPr>
            </w:pPr>
            <w:r>
              <w:rPr>
                <w:rFonts w:hint="eastAsia" w:ascii="宋体" w:hAnsi="宋体" w:cs="宋体"/>
                <w:color w:val="auto"/>
                <w:highlight w:val="none"/>
              </w:rPr>
              <w:t>三、</w:t>
            </w:r>
            <w:r>
              <w:rPr>
                <w:rFonts w:hint="eastAsia" w:ascii="宋体" w:hAnsi="宋体" w:cs="宋体"/>
                <w:color w:val="auto"/>
                <w:highlight w:val="none"/>
                <w:lang w:val="en-US" w:eastAsia="zh-CN"/>
              </w:rPr>
              <w:t>交货</w:t>
            </w:r>
            <w:r>
              <w:rPr>
                <w:rFonts w:hint="eastAsia" w:ascii="宋体" w:hAnsi="宋体" w:cs="宋体"/>
                <w:color w:val="auto"/>
                <w:highlight w:val="none"/>
              </w:rPr>
              <w:t>地点：</w:t>
            </w:r>
            <w:r>
              <w:rPr>
                <w:rFonts w:hint="eastAsia" w:ascii="宋体" w:hAnsi="宋体" w:cs="宋体"/>
                <w:bCs/>
                <w:color w:val="auto"/>
                <w:highlight w:val="none"/>
                <w:u w:val="none"/>
              </w:rPr>
              <w:t xml:space="preserve"> </w:t>
            </w:r>
            <w:r>
              <w:rPr>
                <w:rFonts w:hint="eastAsia" w:ascii="宋体" w:hAnsi="宋体" w:cs="宋体"/>
                <w:bCs/>
                <w:color w:val="auto"/>
                <w:highlight w:val="none"/>
                <w:u w:val="none"/>
                <w:lang w:eastAsia="zh-CN"/>
              </w:rPr>
              <w:t>崇</w:t>
            </w:r>
            <w:r>
              <w:rPr>
                <w:rFonts w:hint="eastAsia" w:ascii="宋体" w:hAnsi="宋体" w:cs="宋体"/>
                <w:bCs/>
                <w:color w:val="auto"/>
                <w:highlight w:val="none"/>
                <w:u w:val="none"/>
              </w:rPr>
              <w:t>左市荣军优抚医院，采购人指定地点</w:t>
            </w:r>
            <w:r>
              <w:rPr>
                <w:rFonts w:hint="eastAsia" w:ascii="宋体" w:hAnsi="宋体" w:cs="宋体"/>
                <w:bCs/>
                <w:color w:val="auto"/>
                <w:highlight w:val="none"/>
                <w:u w:val="none"/>
                <w:lang w:eastAsia="zh-CN"/>
              </w:rPr>
              <w:t>。</w:t>
            </w:r>
          </w:p>
          <w:p>
            <w:pPr>
              <w:tabs>
                <w:tab w:val="left" w:pos="180"/>
                <w:tab w:val="left" w:pos="1620"/>
              </w:tabs>
              <w:spacing w:line="360" w:lineRule="auto"/>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bCs/>
                <w:color w:val="auto"/>
                <w:highlight w:val="none"/>
              </w:rPr>
              <w:t>四、</w:t>
            </w:r>
            <w:r>
              <w:rPr>
                <w:rFonts w:hint="eastAsia" w:ascii="宋体" w:hAnsi="宋体" w:cs="宋体"/>
                <w:color w:val="auto"/>
                <w:highlight w:val="none"/>
              </w:rPr>
              <w:t>验收标准、规范：</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1.验收条件及标准</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（1）符合合同要求及国家相关标准；</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（2）参数配置符合或优于合同要求；</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（3）成交供应商在货物验收时由采购</w:t>
            </w:r>
            <w:r>
              <w:rPr>
                <w:rFonts w:hint="eastAsia" w:ascii="宋体" w:hAnsi="宋体" w:cs="宋体"/>
                <w:color w:val="auto"/>
                <w:highlight w:val="none"/>
                <w:lang w:val="en-US" w:eastAsia="zh-CN"/>
              </w:rPr>
              <w:t>人</w:t>
            </w:r>
            <w:r>
              <w:rPr>
                <w:rFonts w:hint="eastAsia" w:ascii="宋体" w:hAnsi="宋体" w:cs="宋体"/>
                <w:color w:val="auto"/>
                <w:highlight w:val="none"/>
              </w:rPr>
              <w:t>对照竞争性谈判文件的功能目标及技术指标全面核对检验，对所有要求出具的证明文件的原件进行核查，如不符合竞争性谈判文件的技术需求及要求以及提供虚假承诺的，按相关规定做退货处理及违约处理，成交供应商承担所有责任和费用，采购人保留进一步追究责任的权利。</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2.验收方法及方案：</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（1）验收方式：设备到达</w:t>
            </w:r>
            <w:r>
              <w:rPr>
                <w:rFonts w:hint="eastAsia" w:ascii="宋体" w:hAnsi="宋体" w:cs="宋体"/>
                <w:color w:val="auto"/>
                <w:highlight w:val="none"/>
                <w:lang w:val="en-US" w:eastAsia="zh-CN"/>
              </w:rPr>
              <w:t>交货地点</w:t>
            </w:r>
            <w:r>
              <w:rPr>
                <w:rFonts w:hint="eastAsia" w:ascii="宋体" w:hAnsi="宋体" w:cs="宋体"/>
                <w:color w:val="auto"/>
                <w:highlight w:val="none"/>
              </w:rPr>
              <w:t>，安装、调试完毕且正常，供需双方共同确认货物性能合格后，完成货物验收。</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（2）验收费用：验收所产生的劳务费、检验费（含抽检时可能对样品造成的物理伤害和破坏）、场保费及相关发生的全部费用均由成交供应商承担。</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（3）交付验收应按本项目约定的时间进行，如因采购人的原因而导致不能按时交付，将按延期时间顺延交付时间。</w:t>
            </w:r>
          </w:p>
          <w:p>
            <w:pPr>
              <w:widowControl/>
              <w:spacing w:line="400" w:lineRule="exact"/>
              <w:rPr>
                <w:rFonts w:hint="eastAsia" w:ascii="宋体" w:hAnsi="宋体" w:cs="宋体"/>
                <w:color w:val="auto"/>
                <w:highlight w:val="none"/>
                <w:lang w:eastAsia="zh-CN"/>
              </w:rPr>
            </w:pPr>
          </w:p>
          <w:p>
            <w:pPr>
              <w:widowControl/>
              <w:spacing w:line="400" w:lineRule="exact"/>
              <w:rPr>
                <w:rFonts w:hint="eastAsia" w:ascii="宋体" w:hAnsi="宋体" w:cs="宋体"/>
                <w:color w:val="auto"/>
                <w:highlight w:val="none"/>
              </w:rPr>
            </w:pPr>
            <w:r>
              <w:rPr>
                <w:rFonts w:hint="eastAsia" w:ascii="宋体" w:hAnsi="宋体" w:cs="宋体"/>
                <w:color w:val="auto"/>
                <w:highlight w:val="none"/>
              </w:rPr>
              <w:t>3.实施和安装要求：</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成交</w:t>
            </w:r>
            <w:r>
              <w:rPr>
                <w:rFonts w:hint="eastAsia" w:ascii="宋体" w:hAnsi="宋体" w:cs="宋体"/>
                <w:color w:val="auto"/>
                <w:highlight w:val="none"/>
              </w:rPr>
              <w:t>供应商必须服从</w:t>
            </w:r>
            <w:r>
              <w:rPr>
                <w:rFonts w:hint="eastAsia" w:ascii="宋体" w:hAnsi="宋体" w:cs="宋体"/>
                <w:color w:val="auto"/>
                <w:highlight w:val="none"/>
                <w:lang w:val="en-US" w:eastAsia="zh-CN"/>
              </w:rPr>
              <w:t>采购人</w:t>
            </w:r>
            <w:r>
              <w:rPr>
                <w:rFonts w:hint="eastAsia" w:ascii="宋体" w:hAnsi="宋体" w:cs="宋体"/>
                <w:color w:val="auto"/>
                <w:highlight w:val="none"/>
              </w:rPr>
              <w:t>现场负责人的指挥，按指定地点进行安装；</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（2）安装过程中的所有安全保障由</w:t>
            </w:r>
            <w:r>
              <w:rPr>
                <w:rFonts w:hint="eastAsia" w:ascii="宋体" w:hAnsi="宋体" w:cs="宋体"/>
                <w:color w:val="auto"/>
                <w:highlight w:val="none"/>
                <w:lang w:val="en-US" w:eastAsia="zh-CN"/>
              </w:rPr>
              <w:t>成交</w:t>
            </w:r>
            <w:r>
              <w:rPr>
                <w:rFonts w:hint="eastAsia" w:ascii="宋体" w:hAnsi="宋体" w:cs="宋体"/>
                <w:color w:val="auto"/>
                <w:highlight w:val="none"/>
              </w:rPr>
              <w:t>供应商自行负责；</w:t>
            </w:r>
          </w:p>
          <w:p>
            <w:pPr>
              <w:widowControl/>
              <w:spacing w:line="400" w:lineRule="exact"/>
              <w:rPr>
                <w:rFonts w:hint="eastAsia" w:ascii="宋体" w:hAnsi="宋体" w:cs="宋体"/>
                <w:color w:val="auto"/>
                <w:highlight w:val="none"/>
              </w:rPr>
            </w:pPr>
            <w:r>
              <w:rPr>
                <w:rFonts w:hint="eastAsia" w:ascii="宋体" w:hAnsi="宋体" w:cs="宋体"/>
                <w:color w:val="auto"/>
                <w:highlight w:val="none"/>
              </w:rPr>
              <w:t>（3）严格按所投产品的安装规范要求进行安装，确保安全。</w:t>
            </w:r>
          </w:p>
          <w:p>
            <w:pPr>
              <w:spacing w:line="400" w:lineRule="exact"/>
              <w:rPr>
                <w:rFonts w:hint="eastAsia" w:ascii="宋体" w:hAnsi="宋体" w:cs="宋体"/>
                <w:color w:val="auto"/>
                <w:highlight w:val="none"/>
              </w:rPr>
            </w:pPr>
            <w:r>
              <w:rPr>
                <w:rFonts w:hint="eastAsia" w:ascii="宋体" w:hAnsi="宋体" w:cs="宋体"/>
                <w:color w:val="auto"/>
                <w:highlight w:val="none"/>
              </w:rPr>
              <w:t>五、其他要求：</w:t>
            </w:r>
          </w:p>
          <w:p>
            <w:pPr>
              <w:spacing w:line="400" w:lineRule="exact"/>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报价必须含以下部分，包括：</w:t>
            </w:r>
          </w:p>
          <w:p>
            <w:pPr>
              <w:spacing w:line="400" w:lineRule="exact"/>
              <w:rPr>
                <w:rFonts w:hint="eastAsia" w:ascii="宋体" w:hAnsi="宋体" w:cs="宋体"/>
                <w:color w:val="auto"/>
                <w:highlight w:val="none"/>
              </w:rPr>
            </w:pPr>
            <w:r>
              <w:rPr>
                <w:rFonts w:hint="eastAsia" w:ascii="宋体" w:hAnsi="宋体" w:cs="宋体"/>
                <w:color w:val="auto"/>
                <w:highlight w:val="none"/>
              </w:rPr>
              <w:t>（1）货物的价格；</w:t>
            </w:r>
          </w:p>
          <w:p>
            <w:pPr>
              <w:spacing w:line="400" w:lineRule="exact"/>
              <w:rPr>
                <w:rFonts w:hint="eastAsia" w:ascii="宋体" w:hAnsi="宋体" w:cs="宋体"/>
                <w:color w:val="auto"/>
                <w:highlight w:val="none"/>
              </w:rPr>
            </w:pPr>
            <w:r>
              <w:rPr>
                <w:rFonts w:hint="eastAsia" w:ascii="宋体" w:hAnsi="宋体" w:cs="宋体"/>
                <w:color w:val="auto"/>
                <w:highlight w:val="none"/>
              </w:rPr>
              <w:t>（2）必要的保险费用和各项税金；</w:t>
            </w:r>
          </w:p>
          <w:p>
            <w:pPr>
              <w:tabs>
                <w:tab w:val="left" w:pos="3490"/>
                <w:tab w:val="left" w:pos="3670"/>
                <w:tab w:val="left" w:pos="3895"/>
              </w:tabs>
              <w:spacing w:line="400" w:lineRule="exact"/>
              <w:rPr>
                <w:rFonts w:hint="eastAsia" w:ascii="宋体" w:hAnsi="宋体" w:cs="宋体"/>
                <w:color w:val="auto"/>
                <w:highlight w:val="none"/>
                <w:u w:val="none"/>
              </w:rPr>
            </w:pPr>
            <w:r>
              <w:rPr>
                <w:rFonts w:hint="eastAsia" w:ascii="宋体" w:hAnsi="宋体" w:cs="宋体"/>
                <w:color w:val="auto"/>
                <w:highlight w:val="none"/>
              </w:rPr>
              <w:t>（3）其他：</w:t>
            </w:r>
            <w:r>
              <w:rPr>
                <w:rFonts w:hint="eastAsia" w:ascii="宋体" w:hAnsi="宋体" w:cs="宋体"/>
                <w:color w:val="auto"/>
                <w:highlight w:val="none"/>
                <w:u w:val="none"/>
              </w:rPr>
              <w:t>包括货款、随配附件、备品备件、专用工具、包装、运输、装卸、保险、运抵指定交货地点、送货上门服务、现场安装调试、保修等各种费用和售后服务、培训、税金及其他所有成本费用的总和。</w:t>
            </w:r>
          </w:p>
          <w:p>
            <w:pPr>
              <w:spacing w:line="400" w:lineRule="exact"/>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付款方式：</w:t>
            </w:r>
          </w:p>
          <w:p>
            <w:pPr>
              <w:keepNext/>
              <w:keepLines w:val="0"/>
              <w:pageBreakBefore w:val="0"/>
              <w:widowControl w:val="0"/>
              <w:kinsoku/>
              <w:wordWrap w:val="0"/>
              <w:overflowPunct/>
              <w:topLinePunct/>
              <w:autoSpaceDE/>
              <w:autoSpaceDN/>
              <w:bidi w:val="0"/>
              <w:adjustRightInd w:val="0"/>
              <w:snapToGrid w:val="0"/>
              <w:spacing w:line="360" w:lineRule="auto"/>
              <w:ind w:left="63" w:leftChars="30" w:right="0" w:firstLine="220" w:firstLineChars="100"/>
              <w:jc w:val="left"/>
              <w:textAlignment w:val="baseline"/>
              <w:rPr>
                <w:rFonts w:hint="eastAsia" w:ascii="宋体" w:hAnsi="宋体" w:eastAsia="宋体" w:cs="宋体"/>
                <w:b w:val="0"/>
                <w:bCs w:val="0"/>
                <w:strike w:val="0"/>
                <w:dstrike w:val="0"/>
                <w:snapToGrid w:val="0"/>
                <w:color w:val="auto"/>
                <w:spacing w:val="5"/>
                <w:kern w:val="0"/>
                <w:sz w:val="21"/>
                <w:szCs w:val="21"/>
                <w:highlight w:val="none"/>
                <w:lang w:val="en-US" w:eastAsia="zh-CN"/>
              </w:rPr>
            </w:pPr>
            <w:r>
              <w:rPr>
                <w:rFonts w:hint="eastAsia" w:ascii="宋体" w:hAnsi="宋体" w:cs="宋体"/>
                <w:b w:val="0"/>
                <w:bCs w:val="0"/>
                <w:strike w:val="0"/>
                <w:dstrike w:val="0"/>
                <w:snapToGrid w:val="0"/>
                <w:color w:val="auto"/>
                <w:spacing w:val="5"/>
                <w:kern w:val="0"/>
                <w:sz w:val="21"/>
                <w:szCs w:val="21"/>
                <w:highlight w:val="none"/>
                <w:lang w:val="en-US" w:eastAsia="zh-CN"/>
              </w:rPr>
              <w:t>（1）</w:t>
            </w:r>
            <w:r>
              <w:rPr>
                <w:rFonts w:hint="eastAsia" w:ascii="宋体" w:hAnsi="宋体" w:eastAsia="宋体" w:cs="宋体"/>
                <w:b w:val="0"/>
                <w:bCs w:val="0"/>
                <w:strike w:val="0"/>
                <w:dstrike w:val="0"/>
                <w:snapToGrid w:val="0"/>
                <w:color w:val="auto"/>
                <w:spacing w:val="5"/>
                <w:kern w:val="0"/>
                <w:sz w:val="21"/>
                <w:szCs w:val="21"/>
                <w:highlight w:val="none"/>
                <w:lang w:val="en-US" w:eastAsia="zh-CN"/>
              </w:rPr>
              <w:t>设备到货后，</w:t>
            </w:r>
            <w:r>
              <w:rPr>
                <w:rFonts w:hint="eastAsia" w:ascii="宋体" w:hAnsi="宋体" w:cs="宋体"/>
                <w:b w:val="0"/>
                <w:bCs w:val="0"/>
                <w:strike w:val="0"/>
                <w:dstrike w:val="0"/>
                <w:snapToGrid w:val="0"/>
                <w:color w:val="auto"/>
                <w:spacing w:val="5"/>
                <w:kern w:val="0"/>
                <w:sz w:val="21"/>
                <w:szCs w:val="21"/>
                <w:highlight w:val="none"/>
                <w:lang w:val="en-US" w:eastAsia="zh-CN"/>
              </w:rPr>
              <w:t>供应商</w:t>
            </w:r>
            <w:r>
              <w:rPr>
                <w:rFonts w:hint="eastAsia" w:ascii="宋体" w:hAnsi="宋体" w:eastAsia="宋体" w:cs="宋体"/>
                <w:b w:val="0"/>
                <w:bCs w:val="0"/>
                <w:strike w:val="0"/>
                <w:dstrike w:val="0"/>
                <w:snapToGrid w:val="0"/>
                <w:color w:val="auto"/>
                <w:spacing w:val="5"/>
                <w:kern w:val="0"/>
                <w:sz w:val="21"/>
                <w:szCs w:val="21"/>
                <w:highlight w:val="none"/>
                <w:lang w:val="en-US" w:eastAsia="zh-CN"/>
              </w:rPr>
              <w:t>向</w:t>
            </w:r>
            <w:r>
              <w:rPr>
                <w:rFonts w:hint="eastAsia" w:ascii="宋体" w:hAnsi="宋体" w:cs="宋体"/>
                <w:b w:val="0"/>
                <w:bCs w:val="0"/>
                <w:strike w:val="0"/>
                <w:dstrike w:val="0"/>
                <w:snapToGrid w:val="0"/>
                <w:color w:val="auto"/>
                <w:spacing w:val="5"/>
                <w:kern w:val="0"/>
                <w:sz w:val="21"/>
                <w:szCs w:val="21"/>
                <w:highlight w:val="none"/>
                <w:lang w:val="en-US" w:eastAsia="zh-CN"/>
              </w:rPr>
              <w:t>采购人发出请款函并</w:t>
            </w:r>
            <w:r>
              <w:rPr>
                <w:rFonts w:hint="eastAsia" w:ascii="宋体" w:hAnsi="宋体" w:eastAsia="宋体" w:cs="宋体"/>
                <w:b w:val="0"/>
                <w:bCs w:val="0"/>
                <w:strike w:val="0"/>
                <w:dstrike w:val="0"/>
                <w:snapToGrid w:val="0"/>
                <w:color w:val="auto"/>
                <w:spacing w:val="5"/>
                <w:kern w:val="0"/>
                <w:sz w:val="21"/>
                <w:szCs w:val="21"/>
                <w:highlight w:val="none"/>
                <w:lang w:val="en-US" w:eastAsia="zh-CN"/>
              </w:rPr>
              <w:t>开具相应价款的发票，</w:t>
            </w:r>
            <w:r>
              <w:rPr>
                <w:rFonts w:hint="eastAsia" w:ascii="宋体" w:hAnsi="宋体" w:cs="宋体"/>
                <w:b w:val="0"/>
                <w:bCs w:val="0"/>
                <w:strike w:val="0"/>
                <w:dstrike w:val="0"/>
                <w:snapToGrid w:val="0"/>
                <w:color w:val="auto"/>
                <w:spacing w:val="5"/>
                <w:kern w:val="0"/>
                <w:sz w:val="21"/>
                <w:szCs w:val="21"/>
                <w:highlight w:val="none"/>
                <w:lang w:val="en-US" w:eastAsia="zh-CN"/>
              </w:rPr>
              <w:t>采购人</w:t>
            </w:r>
            <w:r>
              <w:rPr>
                <w:rFonts w:hint="eastAsia" w:ascii="宋体" w:hAnsi="宋体" w:eastAsia="宋体" w:cs="宋体"/>
                <w:b w:val="0"/>
                <w:bCs w:val="0"/>
                <w:strike w:val="0"/>
                <w:dstrike w:val="0"/>
                <w:snapToGrid w:val="0"/>
                <w:color w:val="auto"/>
                <w:spacing w:val="5"/>
                <w:kern w:val="0"/>
                <w:sz w:val="21"/>
                <w:szCs w:val="21"/>
                <w:highlight w:val="none"/>
                <w:lang w:val="en-US" w:eastAsia="zh-CN"/>
              </w:rPr>
              <w:t>收到合格发票后</w:t>
            </w:r>
            <w:r>
              <w:rPr>
                <w:rFonts w:hint="eastAsia" w:ascii="宋体" w:hAnsi="宋体" w:cs="宋体"/>
                <w:b w:val="0"/>
                <w:bCs w:val="0"/>
                <w:strike w:val="0"/>
                <w:dstrike w:val="0"/>
                <w:snapToGrid w:val="0"/>
                <w:color w:val="auto"/>
                <w:spacing w:val="5"/>
                <w:kern w:val="0"/>
                <w:sz w:val="21"/>
                <w:szCs w:val="21"/>
                <w:highlight w:val="none"/>
                <w:lang w:val="en-US" w:eastAsia="zh-CN"/>
              </w:rPr>
              <w:t>30</w:t>
            </w:r>
            <w:r>
              <w:rPr>
                <w:rFonts w:hint="eastAsia" w:ascii="宋体" w:hAnsi="宋体" w:eastAsia="宋体" w:cs="宋体"/>
                <w:b w:val="0"/>
                <w:bCs w:val="0"/>
                <w:strike w:val="0"/>
                <w:dstrike w:val="0"/>
                <w:snapToGrid w:val="0"/>
                <w:color w:val="auto"/>
                <w:spacing w:val="5"/>
                <w:kern w:val="0"/>
                <w:sz w:val="21"/>
                <w:szCs w:val="21"/>
                <w:highlight w:val="none"/>
                <w:lang w:val="en-US" w:eastAsia="zh-CN"/>
              </w:rPr>
              <w:t>个工作日内，</w:t>
            </w:r>
            <w:r>
              <w:rPr>
                <w:rFonts w:hint="eastAsia" w:ascii="宋体" w:hAnsi="宋体" w:cs="宋体"/>
                <w:b w:val="0"/>
                <w:bCs w:val="0"/>
                <w:strike w:val="0"/>
                <w:dstrike w:val="0"/>
                <w:snapToGrid w:val="0"/>
                <w:color w:val="auto"/>
                <w:spacing w:val="5"/>
                <w:kern w:val="0"/>
                <w:sz w:val="21"/>
                <w:szCs w:val="21"/>
                <w:highlight w:val="none"/>
                <w:lang w:val="en-US" w:eastAsia="zh-CN"/>
              </w:rPr>
              <w:t>采购人</w:t>
            </w:r>
            <w:r>
              <w:rPr>
                <w:rFonts w:hint="eastAsia" w:ascii="宋体" w:hAnsi="宋体" w:eastAsia="宋体" w:cs="宋体"/>
                <w:b w:val="0"/>
                <w:bCs w:val="0"/>
                <w:strike w:val="0"/>
                <w:dstrike w:val="0"/>
                <w:snapToGrid w:val="0"/>
                <w:color w:val="auto"/>
                <w:spacing w:val="5"/>
                <w:kern w:val="0"/>
                <w:sz w:val="21"/>
                <w:szCs w:val="21"/>
                <w:highlight w:val="none"/>
                <w:lang w:val="en-US" w:eastAsia="zh-CN"/>
              </w:rPr>
              <w:t>应向</w:t>
            </w:r>
            <w:r>
              <w:rPr>
                <w:rFonts w:hint="eastAsia" w:ascii="宋体" w:hAnsi="宋体" w:cs="宋体"/>
                <w:b w:val="0"/>
                <w:bCs w:val="0"/>
                <w:strike w:val="0"/>
                <w:dstrike w:val="0"/>
                <w:snapToGrid w:val="0"/>
                <w:color w:val="auto"/>
                <w:spacing w:val="5"/>
                <w:kern w:val="0"/>
                <w:sz w:val="21"/>
                <w:szCs w:val="21"/>
                <w:highlight w:val="none"/>
                <w:lang w:val="en-US" w:eastAsia="zh-CN"/>
              </w:rPr>
              <w:t>供应商</w:t>
            </w:r>
            <w:r>
              <w:rPr>
                <w:rFonts w:hint="eastAsia" w:ascii="宋体" w:hAnsi="宋体" w:eastAsia="宋体" w:cs="宋体"/>
                <w:b w:val="0"/>
                <w:bCs w:val="0"/>
                <w:strike w:val="0"/>
                <w:dstrike w:val="0"/>
                <w:snapToGrid w:val="0"/>
                <w:color w:val="auto"/>
                <w:spacing w:val="5"/>
                <w:kern w:val="0"/>
                <w:sz w:val="21"/>
                <w:szCs w:val="21"/>
                <w:highlight w:val="none"/>
                <w:lang w:val="en-US" w:eastAsia="zh-CN"/>
              </w:rPr>
              <w:t>支付合同总金额的</w:t>
            </w:r>
            <w:r>
              <w:rPr>
                <w:rFonts w:hint="eastAsia" w:ascii="宋体" w:hAnsi="宋体" w:cs="宋体"/>
                <w:b w:val="0"/>
                <w:bCs w:val="0"/>
                <w:strike w:val="0"/>
                <w:dstrike w:val="0"/>
                <w:snapToGrid w:val="0"/>
                <w:color w:val="auto"/>
                <w:spacing w:val="5"/>
                <w:kern w:val="0"/>
                <w:sz w:val="21"/>
                <w:szCs w:val="21"/>
                <w:highlight w:val="none"/>
                <w:lang w:val="en-US" w:eastAsia="zh-CN"/>
              </w:rPr>
              <w:t>5</w:t>
            </w:r>
            <w:r>
              <w:rPr>
                <w:rFonts w:hint="eastAsia" w:ascii="宋体" w:hAnsi="宋体" w:eastAsia="宋体" w:cs="宋体"/>
                <w:b w:val="0"/>
                <w:bCs w:val="0"/>
                <w:strike w:val="0"/>
                <w:dstrike w:val="0"/>
                <w:snapToGrid w:val="0"/>
                <w:color w:val="auto"/>
                <w:spacing w:val="5"/>
                <w:kern w:val="0"/>
                <w:sz w:val="21"/>
                <w:szCs w:val="21"/>
                <w:highlight w:val="none"/>
                <w:lang w:val="en-US" w:eastAsia="zh-CN"/>
              </w:rPr>
              <w:t>0%</w:t>
            </w:r>
            <w:r>
              <w:rPr>
                <w:rFonts w:hint="eastAsia" w:ascii="宋体" w:hAnsi="宋体" w:cs="宋体"/>
                <w:b w:val="0"/>
                <w:bCs w:val="0"/>
                <w:strike w:val="0"/>
                <w:dstrike w:val="0"/>
                <w:snapToGrid w:val="0"/>
                <w:color w:val="auto"/>
                <w:spacing w:val="5"/>
                <w:kern w:val="0"/>
                <w:sz w:val="21"/>
                <w:szCs w:val="21"/>
                <w:highlight w:val="none"/>
                <w:lang w:val="en-US" w:eastAsia="zh-CN"/>
              </w:rPr>
              <w:t>；</w:t>
            </w:r>
          </w:p>
          <w:p>
            <w:pPr>
              <w:keepNext/>
              <w:keepLines w:val="0"/>
              <w:pageBreakBefore w:val="0"/>
              <w:widowControl w:val="0"/>
              <w:kinsoku/>
              <w:wordWrap w:val="0"/>
              <w:overflowPunct/>
              <w:topLinePunct/>
              <w:autoSpaceDE/>
              <w:autoSpaceDN/>
              <w:bidi w:val="0"/>
              <w:adjustRightInd w:val="0"/>
              <w:snapToGrid w:val="0"/>
              <w:spacing w:line="360" w:lineRule="auto"/>
              <w:ind w:left="63" w:leftChars="30" w:right="0" w:firstLine="220" w:firstLineChars="100"/>
              <w:jc w:val="left"/>
              <w:textAlignment w:val="baseline"/>
              <w:rPr>
                <w:rFonts w:hint="eastAsia" w:ascii="宋体" w:hAnsi="宋体" w:cs="宋体"/>
                <w:b w:val="0"/>
                <w:bCs w:val="0"/>
                <w:strike w:val="0"/>
                <w:dstrike w:val="0"/>
                <w:snapToGrid w:val="0"/>
                <w:color w:val="auto"/>
                <w:spacing w:val="5"/>
                <w:kern w:val="0"/>
                <w:sz w:val="21"/>
                <w:szCs w:val="21"/>
                <w:highlight w:val="none"/>
                <w:lang w:val="en-US" w:eastAsia="zh-CN"/>
              </w:rPr>
            </w:pPr>
            <w:r>
              <w:rPr>
                <w:rFonts w:hint="eastAsia" w:ascii="宋体" w:hAnsi="宋体" w:cs="宋体"/>
                <w:b w:val="0"/>
                <w:bCs w:val="0"/>
                <w:strike w:val="0"/>
                <w:dstrike w:val="0"/>
                <w:snapToGrid w:val="0"/>
                <w:color w:val="auto"/>
                <w:spacing w:val="5"/>
                <w:kern w:val="0"/>
                <w:sz w:val="21"/>
                <w:szCs w:val="21"/>
                <w:highlight w:val="none"/>
                <w:lang w:val="en-US" w:eastAsia="zh-CN"/>
              </w:rPr>
              <w:t>（2）全部设备完成安装、调试、使用培训，经最终</w:t>
            </w:r>
            <w:r>
              <w:rPr>
                <w:rFonts w:hint="eastAsia" w:ascii="宋体" w:hAnsi="宋体" w:eastAsia="宋体" w:cs="宋体"/>
                <w:b w:val="0"/>
                <w:bCs w:val="0"/>
                <w:strike w:val="0"/>
                <w:dstrike w:val="0"/>
                <w:snapToGrid w:val="0"/>
                <w:color w:val="auto"/>
                <w:spacing w:val="5"/>
                <w:kern w:val="0"/>
                <w:sz w:val="21"/>
                <w:szCs w:val="21"/>
                <w:highlight w:val="none"/>
                <w:lang w:val="en-US" w:eastAsia="zh-CN"/>
              </w:rPr>
              <w:t>验收</w:t>
            </w:r>
            <w:r>
              <w:rPr>
                <w:rFonts w:hint="eastAsia" w:ascii="宋体" w:hAnsi="宋体" w:cs="宋体"/>
                <w:b w:val="0"/>
                <w:bCs w:val="0"/>
                <w:strike w:val="0"/>
                <w:dstrike w:val="0"/>
                <w:snapToGrid w:val="0"/>
                <w:color w:val="auto"/>
                <w:spacing w:val="5"/>
                <w:kern w:val="0"/>
                <w:sz w:val="21"/>
                <w:szCs w:val="21"/>
                <w:highlight w:val="none"/>
                <w:lang w:val="en-US" w:eastAsia="zh-CN"/>
              </w:rPr>
              <w:t>合格</w:t>
            </w:r>
            <w:r>
              <w:rPr>
                <w:rFonts w:hint="eastAsia" w:ascii="宋体" w:hAnsi="宋体" w:eastAsia="宋体" w:cs="宋体"/>
                <w:b w:val="0"/>
                <w:bCs w:val="0"/>
                <w:strike w:val="0"/>
                <w:dstrike w:val="0"/>
                <w:snapToGrid w:val="0"/>
                <w:color w:val="auto"/>
                <w:spacing w:val="5"/>
                <w:kern w:val="0"/>
                <w:sz w:val="21"/>
                <w:szCs w:val="21"/>
                <w:highlight w:val="none"/>
                <w:lang w:val="en-US" w:eastAsia="zh-CN"/>
              </w:rPr>
              <w:t>后，</w:t>
            </w:r>
            <w:r>
              <w:rPr>
                <w:rFonts w:hint="eastAsia" w:ascii="宋体" w:hAnsi="宋体" w:cs="宋体"/>
                <w:b w:val="0"/>
                <w:bCs w:val="0"/>
                <w:strike w:val="0"/>
                <w:dstrike w:val="0"/>
                <w:snapToGrid w:val="0"/>
                <w:color w:val="auto"/>
                <w:spacing w:val="5"/>
                <w:kern w:val="0"/>
                <w:sz w:val="21"/>
                <w:szCs w:val="21"/>
                <w:highlight w:val="none"/>
                <w:lang w:val="en-US" w:eastAsia="zh-CN"/>
              </w:rPr>
              <w:t>供应商</w:t>
            </w:r>
            <w:r>
              <w:rPr>
                <w:rFonts w:hint="eastAsia" w:ascii="宋体" w:hAnsi="宋体" w:eastAsia="宋体" w:cs="宋体"/>
                <w:b w:val="0"/>
                <w:bCs w:val="0"/>
                <w:strike w:val="0"/>
                <w:dstrike w:val="0"/>
                <w:snapToGrid w:val="0"/>
                <w:color w:val="auto"/>
                <w:spacing w:val="5"/>
                <w:kern w:val="0"/>
                <w:sz w:val="21"/>
                <w:szCs w:val="21"/>
                <w:highlight w:val="none"/>
                <w:lang w:val="en-US" w:eastAsia="zh-CN"/>
              </w:rPr>
              <w:t>向</w:t>
            </w:r>
            <w:r>
              <w:rPr>
                <w:rFonts w:hint="eastAsia" w:ascii="宋体" w:hAnsi="宋体" w:cs="宋体"/>
                <w:b w:val="0"/>
                <w:bCs w:val="0"/>
                <w:strike w:val="0"/>
                <w:dstrike w:val="0"/>
                <w:snapToGrid w:val="0"/>
                <w:color w:val="auto"/>
                <w:spacing w:val="5"/>
                <w:kern w:val="0"/>
                <w:sz w:val="21"/>
                <w:szCs w:val="21"/>
                <w:highlight w:val="none"/>
                <w:lang w:val="en-US" w:eastAsia="zh-CN"/>
              </w:rPr>
              <w:t>采购人发出请款函并</w:t>
            </w:r>
            <w:r>
              <w:rPr>
                <w:rFonts w:hint="eastAsia" w:ascii="宋体" w:hAnsi="宋体" w:eastAsia="宋体" w:cs="宋体"/>
                <w:b w:val="0"/>
                <w:bCs w:val="0"/>
                <w:strike w:val="0"/>
                <w:dstrike w:val="0"/>
                <w:snapToGrid w:val="0"/>
                <w:color w:val="auto"/>
                <w:spacing w:val="5"/>
                <w:kern w:val="0"/>
                <w:sz w:val="21"/>
                <w:szCs w:val="21"/>
                <w:highlight w:val="none"/>
                <w:lang w:val="en-US" w:eastAsia="zh-CN"/>
              </w:rPr>
              <w:t>开具合同总金额</w:t>
            </w:r>
            <w:r>
              <w:rPr>
                <w:rFonts w:hint="eastAsia" w:ascii="宋体" w:hAnsi="宋体" w:cs="宋体"/>
                <w:b w:val="0"/>
                <w:bCs w:val="0"/>
                <w:strike w:val="0"/>
                <w:dstrike w:val="0"/>
                <w:snapToGrid w:val="0"/>
                <w:color w:val="auto"/>
                <w:spacing w:val="5"/>
                <w:kern w:val="0"/>
                <w:sz w:val="21"/>
                <w:szCs w:val="21"/>
                <w:highlight w:val="none"/>
                <w:lang w:val="en-US" w:eastAsia="zh-CN"/>
              </w:rPr>
              <w:t>30</w:t>
            </w:r>
            <w:r>
              <w:rPr>
                <w:rFonts w:hint="eastAsia" w:ascii="宋体" w:hAnsi="宋体" w:eastAsia="宋体" w:cs="宋体"/>
                <w:b w:val="0"/>
                <w:bCs w:val="0"/>
                <w:strike w:val="0"/>
                <w:dstrike w:val="0"/>
                <w:snapToGrid w:val="0"/>
                <w:color w:val="auto"/>
                <w:spacing w:val="5"/>
                <w:kern w:val="0"/>
                <w:sz w:val="21"/>
                <w:szCs w:val="21"/>
                <w:highlight w:val="none"/>
                <w:lang w:val="en-US" w:eastAsia="zh-CN"/>
              </w:rPr>
              <w:t>%发票，</w:t>
            </w:r>
            <w:r>
              <w:rPr>
                <w:rFonts w:hint="eastAsia" w:ascii="宋体" w:hAnsi="宋体" w:cs="宋体"/>
                <w:b w:val="0"/>
                <w:bCs w:val="0"/>
                <w:strike w:val="0"/>
                <w:dstrike w:val="0"/>
                <w:snapToGrid w:val="0"/>
                <w:color w:val="auto"/>
                <w:spacing w:val="5"/>
                <w:kern w:val="0"/>
                <w:sz w:val="21"/>
                <w:szCs w:val="21"/>
                <w:highlight w:val="none"/>
                <w:lang w:val="en-US" w:eastAsia="zh-CN"/>
              </w:rPr>
              <w:t>采购人</w:t>
            </w:r>
            <w:r>
              <w:rPr>
                <w:rFonts w:hint="eastAsia" w:ascii="宋体" w:hAnsi="宋体" w:eastAsia="宋体" w:cs="宋体"/>
                <w:b w:val="0"/>
                <w:bCs w:val="0"/>
                <w:strike w:val="0"/>
                <w:dstrike w:val="0"/>
                <w:snapToGrid w:val="0"/>
                <w:color w:val="auto"/>
                <w:spacing w:val="5"/>
                <w:kern w:val="0"/>
                <w:sz w:val="21"/>
                <w:szCs w:val="21"/>
                <w:highlight w:val="none"/>
                <w:lang w:val="en-US" w:eastAsia="zh-CN"/>
              </w:rPr>
              <w:t>收到合格发票后</w:t>
            </w:r>
            <w:r>
              <w:rPr>
                <w:rFonts w:hint="eastAsia" w:ascii="宋体" w:hAnsi="宋体" w:cs="宋体"/>
                <w:b w:val="0"/>
                <w:bCs w:val="0"/>
                <w:strike w:val="0"/>
                <w:dstrike w:val="0"/>
                <w:snapToGrid w:val="0"/>
                <w:color w:val="auto"/>
                <w:spacing w:val="5"/>
                <w:kern w:val="0"/>
                <w:sz w:val="21"/>
                <w:szCs w:val="21"/>
                <w:highlight w:val="none"/>
                <w:lang w:val="en-US" w:eastAsia="zh-CN"/>
              </w:rPr>
              <w:t>30</w:t>
            </w:r>
            <w:r>
              <w:rPr>
                <w:rFonts w:hint="eastAsia" w:ascii="宋体" w:hAnsi="宋体" w:eastAsia="宋体" w:cs="宋体"/>
                <w:b w:val="0"/>
                <w:bCs w:val="0"/>
                <w:strike w:val="0"/>
                <w:dstrike w:val="0"/>
                <w:snapToGrid w:val="0"/>
                <w:color w:val="auto"/>
                <w:spacing w:val="5"/>
                <w:kern w:val="0"/>
                <w:sz w:val="21"/>
                <w:szCs w:val="21"/>
                <w:highlight w:val="none"/>
                <w:lang w:val="en-US" w:eastAsia="zh-CN"/>
              </w:rPr>
              <w:t>个工作日内，</w:t>
            </w:r>
            <w:r>
              <w:rPr>
                <w:rFonts w:hint="eastAsia" w:ascii="宋体" w:hAnsi="宋体" w:cs="宋体"/>
                <w:b w:val="0"/>
                <w:bCs w:val="0"/>
                <w:strike w:val="0"/>
                <w:dstrike w:val="0"/>
                <w:snapToGrid w:val="0"/>
                <w:color w:val="auto"/>
                <w:spacing w:val="5"/>
                <w:kern w:val="0"/>
                <w:sz w:val="21"/>
                <w:szCs w:val="21"/>
                <w:highlight w:val="none"/>
                <w:lang w:val="en-US" w:eastAsia="zh-CN"/>
              </w:rPr>
              <w:t>采购人</w:t>
            </w:r>
            <w:r>
              <w:rPr>
                <w:rFonts w:hint="eastAsia" w:ascii="宋体" w:hAnsi="宋体" w:eastAsia="宋体" w:cs="宋体"/>
                <w:b w:val="0"/>
                <w:bCs w:val="0"/>
                <w:strike w:val="0"/>
                <w:dstrike w:val="0"/>
                <w:snapToGrid w:val="0"/>
                <w:color w:val="auto"/>
                <w:spacing w:val="5"/>
                <w:kern w:val="0"/>
                <w:sz w:val="21"/>
                <w:szCs w:val="21"/>
                <w:highlight w:val="none"/>
                <w:lang w:val="en-US" w:eastAsia="zh-CN"/>
              </w:rPr>
              <w:t>应向</w:t>
            </w:r>
            <w:r>
              <w:rPr>
                <w:rFonts w:hint="eastAsia" w:ascii="宋体" w:hAnsi="宋体" w:cs="宋体"/>
                <w:b w:val="0"/>
                <w:bCs w:val="0"/>
                <w:strike w:val="0"/>
                <w:dstrike w:val="0"/>
                <w:snapToGrid w:val="0"/>
                <w:color w:val="auto"/>
                <w:spacing w:val="5"/>
                <w:kern w:val="0"/>
                <w:sz w:val="21"/>
                <w:szCs w:val="21"/>
                <w:highlight w:val="none"/>
                <w:lang w:val="en-US" w:eastAsia="zh-CN"/>
              </w:rPr>
              <w:t>供应商</w:t>
            </w:r>
            <w:r>
              <w:rPr>
                <w:rFonts w:hint="eastAsia" w:ascii="宋体" w:hAnsi="宋体" w:eastAsia="宋体" w:cs="宋体"/>
                <w:b w:val="0"/>
                <w:bCs w:val="0"/>
                <w:strike w:val="0"/>
                <w:dstrike w:val="0"/>
                <w:snapToGrid w:val="0"/>
                <w:color w:val="auto"/>
                <w:spacing w:val="5"/>
                <w:kern w:val="0"/>
                <w:sz w:val="21"/>
                <w:szCs w:val="21"/>
                <w:highlight w:val="none"/>
                <w:lang w:val="en-US" w:eastAsia="zh-CN"/>
              </w:rPr>
              <w:t>支付合同总金额的</w:t>
            </w:r>
            <w:r>
              <w:rPr>
                <w:rFonts w:hint="eastAsia" w:ascii="宋体" w:hAnsi="宋体" w:cs="宋体"/>
                <w:b w:val="0"/>
                <w:bCs w:val="0"/>
                <w:strike w:val="0"/>
                <w:dstrike w:val="0"/>
                <w:snapToGrid w:val="0"/>
                <w:color w:val="auto"/>
                <w:spacing w:val="5"/>
                <w:kern w:val="0"/>
                <w:sz w:val="21"/>
                <w:szCs w:val="21"/>
                <w:highlight w:val="none"/>
                <w:lang w:val="en-US" w:eastAsia="zh-CN"/>
              </w:rPr>
              <w:t>30</w:t>
            </w:r>
            <w:r>
              <w:rPr>
                <w:rFonts w:hint="eastAsia" w:ascii="宋体" w:hAnsi="宋体" w:eastAsia="宋体" w:cs="宋体"/>
                <w:b w:val="0"/>
                <w:bCs w:val="0"/>
                <w:strike w:val="0"/>
                <w:dstrike w:val="0"/>
                <w:snapToGrid w:val="0"/>
                <w:color w:val="auto"/>
                <w:spacing w:val="5"/>
                <w:kern w:val="0"/>
                <w:sz w:val="21"/>
                <w:szCs w:val="21"/>
                <w:highlight w:val="none"/>
                <w:lang w:val="en-US" w:eastAsia="zh-CN"/>
              </w:rPr>
              <w:t>%</w:t>
            </w:r>
            <w:r>
              <w:rPr>
                <w:rFonts w:hint="eastAsia" w:ascii="宋体" w:hAnsi="宋体" w:cs="宋体"/>
                <w:b w:val="0"/>
                <w:bCs w:val="0"/>
                <w:strike w:val="0"/>
                <w:dstrike w:val="0"/>
                <w:snapToGrid w:val="0"/>
                <w:color w:val="auto"/>
                <w:spacing w:val="5"/>
                <w:kern w:val="0"/>
                <w:sz w:val="21"/>
                <w:szCs w:val="21"/>
                <w:highlight w:val="none"/>
                <w:lang w:val="en-US" w:eastAsia="zh-CN"/>
              </w:rPr>
              <w:t>；</w:t>
            </w:r>
          </w:p>
          <w:p>
            <w:pPr>
              <w:keepNext/>
              <w:keepLines w:val="0"/>
              <w:pageBreakBefore w:val="0"/>
              <w:widowControl w:val="0"/>
              <w:kinsoku/>
              <w:wordWrap w:val="0"/>
              <w:overflowPunct/>
              <w:topLinePunct/>
              <w:autoSpaceDE/>
              <w:autoSpaceDN/>
              <w:bidi w:val="0"/>
              <w:adjustRightInd w:val="0"/>
              <w:snapToGrid w:val="0"/>
              <w:spacing w:line="360" w:lineRule="auto"/>
              <w:ind w:left="63" w:leftChars="30" w:right="0" w:firstLine="220" w:firstLineChars="100"/>
              <w:jc w:val="left"/>
              <w:textAlignment w:val="baseline"/>
              <w:rPr>
                <w:rFonts w:hint="default" w:ascii="宋体" w:hAnsi="宋体" w:cs="宋体"/>
                <w:b w:val="0"/>
                <w:bCs w:val="0"/>
                <w:strike w:val="0"/>
                <w:dstrike w:val="0"/>
                <w:snapToGrid w:val="0"/>
                <w:color w:val="auto"/>
                <w:spacing w:val="5"/>
                <w:kern w:val="0"/>
                <w:sz w:val="21"/>
                <w:szCs w:val="21"/>
                <w:highlight w:val="none"/>
                <w:lang w:val="en-US" w:eastAsia="zh-CN"/>
              </w:rPr>
            </w:pPr>
            <w:r>
              <w:rPr>
                <w:rFonts w:hint="eastAsia" w:ascii="宋体" w:hAnsi="宋体" w:cs="宋体"/>
                <w:b w:val="0"/>
                <w:bCs w:val="0"/>
                <w:strike w:val="0"/>
                <w:dstrike w:val="0"/>
                <w:snapToGrid w:val="0"/>
                <w:color w:val="auto"/>
                <w:spacing w:val="5"/>
                <w:kern w:val="0"/>
                <w:sz w:val="21"/>
                <w:szCs w:val="21"/>
                <w:highlight w:val="none"/>
                <w:lang w:val="en-US" w:eastAsia="zh-CN"/>
              </w:rPr>
              <w:t>（3）全部设备自最终验收合格之日起，正常使用满60天后，供应商向采购人发出请款函并开具合同总金额20%发票，采购人收到合格发票后30个工作日内，采购人向供应商支付合同总金额的20%。</w:t>
            </w:r>
          </w:p>
          <w:p>
            <w:pPr>
              <w:spacing w:line="400" w:lineRule="exact"/>
              <w:rPr>
                <w:rFonts w:hint="eastAsia"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售后服务要求：</w:t>
            </w:r>
          </w:p>
          <w:p>
            <w:pPr>
              <w:spacing w:line="400" w:lineRule="exact"/>
              <w:rPr>
                <w:rFonts w:hint="eastAsia" w:ascii="宋体" w:hAnsi="宋体" w:cs="宋体"/>
                <w:color w:val="auto"/>
                <w:highlight w:val="none"/>
              </w:rPr>
            </w:pPr>
            <w:r>
              <w:rPr>
                <w:rFonts w:hint="eastAsia" w:ascii="宋体" w:hAnsi="宋体" w:cs="宋体"/>
                <w:color w:val="auto"/>
                <w:highlight w:val="none"/>
              </w:rPr>
              <w:t>（1）必须是全新、原装的，未使用过的产品。</w:t>
            </w:r>
          </w:p>
          <w:p>
            <w:pPr>
              <w:spacing w:line="400" w:lineRule="exact"/>
              <w:rPr>
                <w:rFonts w:hint="eastAsia" w:ascii="宋体" w:hAnsi="宋体" w:cs="宋体"/>
                <w:color w:val="auto"/>
                <w:highlight w:val="none"/>
              </w:rPr>
            </w:pPr>
            <w:r>
              <w:rPr>
                <w:rFonts w:hint="eastAsia" w:ascii="宋体" w:hAnsi="宋体" w:cs="宋体"/>
                <w:color w:val="auto"/>
                <w:highlight w:val="none"/>
              </w:rPr>
              <w:t>（2）按国家有关产品“三包”规定执行“三包”。质保期：自设备验收合格之日起不少于</w:t>
            </w:r>
            <w:r>
              <w:rPr>
                <w:rFonts w:hint="eastAsia" w:ascii="宋体" w:hAnsi="宋体" w:cs="宋体"/>
                <w:color w:val="auto"/>
                <w:highlight w:val="none"/>
                <w:lang w:val="en-US" w:eastAsia="zh-CN"/>
              </w:rPr>
              <w:t>3</w:t>
            </w:r>
            <w:r>
              <w:rPr>
                <w:rFonts w:hint="eastAsia" w:ascii="宋体" w:hAnsi="宋体" w:cs="宋体"/>
                <w:color w:val="auto"/>
                <w:highlight w:val="none"/>
              </w:rPr>
              <w:t>年。质保期内的维修费用</w:t>
            </w:r>
            <w:r>
              <w:rPr>
                <w:rFonts w:hint="eastAsia" w:ascii="宋体" w:hAnsi="宋体" w:cs="宋体"/>
                <w:color w:val="auto"/>
                <w:highlight w:val="none"/>
                <w:lang w:val="en-US" w:eastAsia="zh-CN"/>
              </w:rPr>
              <w:t>已包含在报价中</w:t>
            </w:r>
            <w:r>
              <w:rPr>
                <w:rFonts w:hint="eastAsia" w:ascii="宋体" w:hAnsi="宋体" w:cs="宋体"/>
                <w:color w:val="auto"/>
                <w:highlight w:val="none"/>
              </w:rPr>
              <w:t>，质保期后的维修只收取零备件费。</w:t>
            </w:r>
          </w:p>
          <w:p>
            <w:pPr>
              <w:spacing w:line="400" w:lineRule="exact"/>
              <w:rPr>
                <w:rFonts w:hint="eastAsia" w:ascii="宋体" w:hAnsi="宋体" w:cs="宋体"/>
                <w:color w:val="auto"/>
                <w:highlight w:val="none"/>
              </w:rPr>
            </w:pPr>
            <w:r>
              <w:rPr>
                <w:rFonts w:hint="eastAsia" w:ascii="宋体" w:hAnsi="宋体" w:cs="宋体"/>
                <w:color w:val="auto"/>
                <w:highlight w:val="none"/>
              </w:rPr>
              <w:t>（3）故障响应时间</w:t>
            </w:r>
            <w:r>
              <w:rPr>
                <w:rFonts w:hint="eastAsia" w:ascii="宋体" w:hAnsi="宋体" w:cs="宋体"/>
                <w:color w:val="auto"/>
                <w:highlight w:val="none"/>
                <w:lang w:eastAsia="zh-CN"/>
              </w:rPr>
              <w:t>：</w:t>
            </w:r>
            <w:r>
              <w:rPr>
                <w:rFonts w:hint="eastAsia" w:ascii="宋体" w:hAnsi="宋体" w:cs="宋体"/>
                <w:color w:val="auto"/>
                <w:highlight w:val="none"/>
              </w:rPr>
              <w:t>供应商应在接到故障通知后30分钟内响应，2小时内解决，如需要到现场处理的需在24小时内到达现场。如24小时未解决问题，将提供备用产品，备用产品必须等于或优于原产品。</w:t>
            </w:r>
          </w:p>
          <w:p>
            <w:pPr>
              <w:spacing w:line="400" w:lineRule="exact"/>
              <w:rPr>
                <w:rFonts w:hint="eastAsia" w:ascii="宋体" w:hAnsi="宋体" w:cs="宋体"/>
                <w:color w:val="auto"/>
                <w:highlight w:val="none"/>
              </w:rPr>
            </w:pPr>
            <w:r>
              <w:rPr>
                <w:rFonts w:hint="eastAsia" w:ascii="宋体" w:hAnsi="宋体" w:cs="宋体"/>
                <w:color w:val="auto"/>
                <w:highlight w:val="none"/>
              </w:rPr>
              <w:t>（4）负责送货上门，安装、调试，提供完整的操作维修手册1套。</w:t>
            </w:r>
            <w:r>
              <w:rPr>
                <w:rFonts w:hint="eastAsia" w:ascii="宋体" w:hAnsi="宋体" w:cs="宋体"/>
                <w:color w:val="auto"/>
                <w:highlight w:val="none"/>
                <w:lang w:val="en-US" w:eastAsia="zh-CN"/>
              </w:rPr>
              <w:t>成交</w:t>
            </w:r>
            <w:r>
              <w:rPr>
                <w:rFonts w:hint="eastAsia" w:ascii="宋体" w:hAnsi="宋体" w:cs="宋体"/>
                <w:color w:val="auto"/>
                <w:highlight w:val="none"/>
              </w:rPr>
              <w:t>供应商须负责提供现场应用和维护培训服务。</w:t>
            </w:r>
          </w:p>
          <w:p>
            <w:pPr>
              <w:spacing w:line="360" w:lineRule="auto"/>
              <w:rPr>
                <w:rFonts w:hint="eastAsia" w:ascii="宋体" w:hAnsi="宋体" w:cs="宋体"/>
                <w:color w:val="auto"/>
                <w:highlight w:val="none"/>
              </w:rPr>
            </w:pPr>
            <w:r>
              <w:rPr>
                <w:rFonts w:hint="eastAsia" w:ascii="宋体" w:hAnsi="宋体" w:cs="宋体"/>
                <w:color w:val="auto"/>
                <w:highlight w:val="none"/>
              </w:rPr>
              <w:t>（5）本项目的技术支持水平包括但不限于</w:t>
            </w:r>
            <w:r>
              <w:rPr>
                <w:rFonts w:hint="eastAsia" w:ascii="宋体" w:hAnsi="宋体" w:cs="宋体"/>
                <w:color w:val="auto"/>
                <w:highlight w:val="none"/>
                <w:lang w:eastAsia="zh-CN"/>
              </w:rPr>
              <w:t>：</w:t>
            </w:r>
            <w:r>
              <w:rPr>
                <w:rFonts w:hint="eastAsia" w:ascii="宋体" w:hAnsi="宋体" w:cs="宋体"/>
                <w:color w:val="auto"/>
                <w:highlight w:val="none"/>
              </w:rPr>
              <w:t>电话技术服务、现场技术服务、定期巡查服务技术升级服务等。</w:t>
            </w:r>
          </w:p>
          <w:p>
            <w:pPr>
              <w:spacing w:line="360" w:lineRule="auto"/>
              <w:rPr>
                <w:rFonts w:cs="宋体"/>
                <w:color w:val="auto"/>
                <w:szCs w:val="21"/>
                <w:highlight w:val="none"/>
              </w:rPr>
            </w:pPr>
            <w:r>
              <w:rPr>
                <w:rFonts w:hint="eastAsia" w:ascii="宋体" w:hAnsi="宋体" w:cs="宋体"/>
                <w:color w:val="auto"/>
                <w:highlight w:val="none"/>
              </w:rPr>
              <w:t>（7）其余按厂家承诺进行。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10" w:type="dxa"/>
            <w:gridSpan w:val="2"/>
            <w:vAlign w:val="center"/>
          </w:tcPr>
          <w:p>
            <w:pPr>
              <w:tabs>
                <w:tab w:val="left" w:pos="180"/>
                <w:tab w:val="left" w:pos="1620"/>
              </w:tabs>
              <w:spacing w:line="360" w:lineRule="auto"/>
              <w:rPr>
                <w:rFonts w:hint="eastAsia" w:ascii="宋体" w:hAnsi="宋体" w:cs="宋体"/>
                <w:color w:val="auto"/>
                <w:szCs w:val="21"/>
                <w:highlight w:val="none"/>
              </w:rPr>
            </w:pPr>
            <w:r>
              <w:rPr>
                <w:rFonts w:hint="eastAsia" w:ascii="宋体" w:hAnsi="宋体" w:cs="宋体"/>
                <w:color w:val="auto"/>
                <w:highlight w:val="none"/>
              </w:rPr>
              <w:t>其他说明</w:t>
            </w:r>
          </w:p>
        </w:tc>
        <w:tc>
          <w:tcPr>
            <w:tcW w:w="8714" w:type="dxa"/>
            <w:gridSpan w:val="5"/>
            <w:vAlign w:val="center"/>
          </w:tcPr>
          <w:p>
            <w:pPr>
              <w:widowControl/>
              <w:spacing w:line="400" w:lineRule="exact"/>
              <w:rPr>
                <w:rFonts w:hint="eastAsia" w:ascii="宋体" w:hAnsi="宋体" w:cs="宋体"/>
                <w:color w:val="auto"/>
                <w:highlight w:val="none"/>
              </w:rPr>
            </w:pPr>
            <w:r>
              <w:rPr>
                <w:rFonts w:hint="eastAsia" w:ascii="宋体" w:hAnsi="宋体" w:cs="宋体"/>
                <w:color w:val="auto"/>
                <w:highlight w:val="none"/>
              </w:rPr>
              <w:t>一、进口产品说明</w:t>
            </w:r>
          </w:p>
          <w:p>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□本表的第</w:t>
            </w:r>
            <w:r>
              <w:rPr>
                <w:rFonts w:hint="eastAsia" w:ascii="宋体" w:hAnsi="宋体" w:cs="宋体"/>
                <w:color w:val="auto"/>
                <w:highlight w:val="none"/>
                <w:u w:val="single"/>
              </w:rPr>
              <w:t xml:space="preserve">     </w:t>
            </w:r>
            <w:r>
              <w:rPr>
                <w:rFonts w:hint="eastAsia" w:ascii="宋体" w:hAnsi="宋体" w:cs="宋体"/>
                <w:color w:val="auto"/>
                <w:highlight w:val="none"/>
              </w:rPr>
              <w:t>项货物所涉及的货物已按规定办妥进口产品采购审核手续，</w:t>
            </w:r>
            <w:r>
              <w:rPr>
                <w:rFonts w:hint="eastAsia" w:ascii="宋体" w:hAnsi="宋体" w:cs="宋体"/>
                <w:color w:val="auto"/>
                <w:highlight w:val="none"/>
                <w:lang w:val="en-US" w:eastAsia="zh-CN"/>
              </w:rPr>
              <w:t>竞标</w:t>
            </w:r>
            <w:r>
              <w:rPr>
                <w:rFonts w:hint="eastAsia" w:ascii="宋体" w:hAnsi="宋体" w:cs="宋体"/>
                <w:color w:val="auto"/>
                <w:highlight w:val="none"/>
              </w:rPr>
              <w:t>产品可选用进口产品；但如选用进口产品时必须为全套原装进口产品（即通过中国海关报关验放进入中国境内且产自关境外的产品），同时</w:t>
            </w:r>
            <w:r>
              <w:rPr>
                <w:rFonts w:hint="eastAsia" w:ascii="宋体" w:hAnsi="宋体" w:cs="宋体"/>
                <w:color w:val="auto"/>
                <w:highlight w:val="none"/>
                <w:lang w:val="en-US" w:eastAsia="zh-CN"/>
              </w:rPr>
              <w:t>供应商</w:t>
            </w:r>
            <w:r>
              <w:rPr>
                <w:rFonts w:hint="eastAsia" w:ascii="宋体" w:hAnsi="宋体" w:cs="宋体"/>
                <w:color w:val="auto"/>
                <w:highlight w:val="none"/>
              </w:rPr>
              <w:t>必须负责办理进口产品所有相关手续并承担所有费用。其他货物不接受进口产品参与投标，否则作无效标处理。</w:t>
            </w:r>
          </w:p>
          <w:p>
            <w:pPr>
              <w:tabs>
                <w:tab w:val="left" w:pos="180"/>
                <w:tab w:val="left" w:pos="1620"/>
              </w:tabs>
              <w:spacing w:line="400" w:lineRule="exact"/>
              <w:ind w:firstLine="420" w:firstLineChars="200"/>
              <w:rPr>
                <w:rFonts w:hint="eastAsia" w:ascii="宋体" w:hAnsi="宋体" w:cs="宋体"/>
                <w:color w:val="auto"/>
                <w:highlight w:val="none"/>
              </w:rPr>
            </w:pPr>
            <w:r>
              <w:rPr>
                <w:rFonts w:hint="eastAsia" w:ascii="宋体" w:hAnsi="宋体" w:cs="宋体"/>
                <w:color w:val="auto"/>
                <w:kern w:val="0"/>
                <w:highlight w:val="none"/>
              </w:rPr>
              <w:t>☑</w:t>
            </w:r>
            <w:r>
              <w:rPr>
                <w:rFonts w:hint="eastAsia" w:ascii="宋体" w:hAnsi="宋体" w:cs="宋体"/>
                <w:color w:val="auto"/>
                <w:highlight w:val="none"/>
              </w:rPr>
              <w:t>本</w:t>
            </w:r>
            <w:r>
              <w:rPr>
                <w:rFonts w:hint="eastAsia" w:ascii="宋体" w:hAnsi="宋体" w:cs="宋体"/>
                <w:color w:val="auto"/>
                <w:highlight w:val="none"/>
                <w:lang w:eastAsia="zh-CN"/>
              </w:rPr>
              <w:t>项目</w:t>
            </w:r>
            <w:r>
              <w:rPr>
                <w:rFonts w:hint="eastAsia" w:ascii="宋体" w:hAnsi="宋体" w:cs="宋体"/>
                <w:color w:val="auto"/>
                <w:highlight w:val="none"/>
              </w:rPr>
              <w:t>货物所涉及的货物不接受进口产品（即通过中国海关报关验放进入中国境内且产自关境外的产品）参与竞标，如有进口产品参与竞标的作无效标处理。</w:t>
            </w:r>
          </w:p>
          <w:p>
            <w:pPr>
              <w:autoSpaceDE w:val="0"/>
              <w:autoSpaceDN w:val="0"/>
              <w:spacing w:line="400" w:lineRule="exact"/>
              <w:rPr>
                <w:rFonts w:hint="eastAsia" w:ascii="宋体" w:hAnsi="宋体" w:cs="宋体"/>
                <w:color w:val="auto"/>
                <w:highlight w:val="none"/>
              </w:rPr>
            </w:pPr>
            <w:r>
              <w:rPr>
                <w:rFonts w:hint="eastAsia" w:ascii="宋体" w:hAnsi="宋体" w:cs="宋体"/>
                <w:color w:val="auto"/>
                <w:highlight w:val="none"/>
              </w:rPr>
              <w:t>二、核心产品：本项目核心产品为</w:t>
            </w:r>
            <w:r>
              <w:rPr>
                <w:rFonts w:hint="eastAsia" w:ascii="宋体" w:hAnsi="宋体" w:cs="宋体"/>
                <w:color w:val="auto"/>
                <w:highlight w:val="none"/>
                <w:u w:val="single"/>
              </w:rPr>
              <w:t xml:space="preserve"> </w:t>
            </w:r>
            <w:r>
              <w:rPr>
                <w:rFonts w:hint="eastAsia" w:ascii="宋体" w:hAnsi="宋体" w:cs="宋体"/>
                <w:b/>
                <w:bCs/>
                <w:color w:val="auto"/>
                <w:highlight w:val="none"/>
                <w:u w:val="single"/>
              </w:rPr>
              <w:t>货物“臭氧水疗仪”</w:t>
            </w:r>
            <w:r>
              <w:rPr>
                <w:rFonts w:hint="eastAsia" w:ascii="宋体" w:hAnsi="宋体" w:cs="宋体"/>
                <w:color w:val="auto"/>
                <w:highlight w:val="none"/>
              </w:rPr>
              <w:t>。（核心产品品牌相同的，视为提供同品牌产品）</w:t>
            </w:r>
          </w:p>
          <w:p>
            <w:pPr>
              <w:spacing w:line="400" w:lineRule="exact"/>
              <w:rPr>
                <w:rFonts w:hint="eastAsia" w:ascii="宋体" w:hAnsi="宋体" w:eastAsia="宋体" w:cs="宋体"/>
                <w:color w:val="auto"/>
                <w:kern w:val="0"/>
                <w:szCs w:val="21"/>
                <w:highlight w:val="none"/>
                <w:lang w:bidi="ar"/>
              </w:rPr>
            </w:pPr>
            <w:r>
              <w:rPr>
                <w:rFonts w:hint="eastAsia" w:ascii="宋体" w:hAnsi="宋体" w:cs="宋体"/>
                <w:color w:val="auto"/>
                <w:highlight w:val="none"/>
              </w:rPr>
              <w:t>注：</w:t>
            </w:r>
            <w:r>
              <w:rPr>
                <w:rFonts w:hint="eastAsia" w:ascii="宋体" w:hAnsi="宋体" w:eastAsia="宋体" w:cs="宋体"/>
                <w:color w:val="auto"/>
                <w:kern w:val="0"/>
                <w:szCs w:val="21"/>
                <w:highlight w:val="none"/>
                <w:lang w:bidi="ar"/>
              </w:rPr>
              <w:t>提供相同品牌产品的不同供应商（或非单一产品采购项目中，多家供应商提供的核心产品品牌相同的），优先获取有厂家授权委托书的供应商并取其中质量和服务均能满足采购文件实质性响应要求且最后竞标总报价最低的供应商参加评审；最后报价相同时，则由采购人自主选择确定一家供应商参加评审，其他竞标无效。</w:t>
            </w:r>
          </w:p>
          <w:p>
            <w:pPr>
              <w:tabs>
                <w:tab w:val="left" w:pos="180"/>
                <w:tab w:val="left" w:pos="1620"/>
              </w:tabs>
              <w:spacing w:line="400" w:lineRule="exact"/>
              <w:rPr>
                <w:rFonts w:cs="宋体"/>
                <w:color w:val="auto"/>
                <w:szCs w:val="21"/>
                <w:highlight w:val="none"/>
              </w:rPr>
            </w:pPr>
          </w:p>
        </w:tc>
      </w:tr>
    </w:tbl>
    <w:p>
      <w:pPr>
        <w:rPr>
          <w:color w:val="auto"/>
          <w:highlight w:val="none"/>
        </w:rPr>
      </w:pPr>
    </w:p>
    <w:p>
      <w:pPr>
        <w:rPr>
          <w:rFonts w:hint="eastAsia"/>
          <w:color w:val="auto"/>
          <w:highlight w:val="none"/>
          <w:lang w:val="en-US" w:eastAsia="zh-CN"/>
        </w:rPr>
      </w:pPr>
      <w:r>
        <w:rPr>
          <w:rFonts w:hint="eastAsia" w:ascii="宋体" w:hAnsi="宋体" w:cs="宋体"/>
          <w:color w:val="auto"/>
          <w:sz w:val="32"/>
          <w:szCs w:val="32"/>
          <w:highlight w:val="none"/>
        </w:rPr>
        <w:br w:type="page"/>
      </w:r>
    </w:p>
    <w:p>
      <w:pPr>
        <w:spacing w:line="428" w:lineRule="exact"/>
        <w:ind w:left="119"/>
        <w:rPr>
          <w:rFonts w:ascii="Arial Unicode MS" w:hAnsi="Arial Unicode MS" w:eastAsia="Arial Unicode MS" w:cs="Arial Unicode MS"/>
          <w:color w:val="auto"/>
          <w:sz w:val="17"/>
          <w:szCs w:val="17"/>
          <w:highlight w:val="none"/>
        </w:rPr>
      </w:pPr>
      <w:r>
        <w:rPr>
          <w:rFonts w:hint="eastAsia" w:ascii="微软雅黑" w:hAnsi="微软雅黑" w:eastAsia="微软雅黑" w:cs="微软雅黑"/>
          <w:color w:val="auto"/>
          <w:sz w:val="32"/>
          <w:szCs w:val="32"/>
          <w:highlight w:val="none"/>
        </w:rPr>
        <w:t>附件</w:t>
      </w:r>
      <w:r>
        <w:rPr>
          <w:rFonts w:hint="eastAsia" w:ascii="微软雅黑" w:hAnsi="微软雅黑" w:eastAsia="微软雅黑" w:cs="微软雅黑"/>
          <w:color w:val="auto"/>
          <w:sz w:val="32"/>
          <w:szCs w:val="32"/>
          <w:highlight w:val="none"/>
          <w:lang w:val="en-US" w:eastAsia="zh-CN"/>
        </w:rPr>
        <w:t>1</w:t>
      </w:r>
      <w:r>
        <w:rPr>
          <w:rFonts w:hint="eastAsia" w:ascii="微软雅黑" w:hAnsi="微软雅黑" w:eastAsia="微软雅黑" w:cs="微软雅黑"/>
          <w:color w:val="auto"/>
          <w:sz w:val="32"/>
          <w:szCs w:val="32"/>
          <w:highlight w:val="none"/>
        </w:rPr>
        <w:t>：</w:t>
      </w:r>
    </w:p>
    <w:p>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b/>
          <w:bCs/>
          <w:color w:val="auto"/>
          <w:sz w:val="40"/>
          <w:szCs w:val="40"/>
          <w:highlight w:val="none"/>
        </w:rPr>
        <w:t>节能产品政府采购品目清单</w:t>
      </w:r>
    </w:p>
    <w:tbl>
      <w:tblPr>
        <w:tblStyle w:val="32"/>
        <w:tblW w:w="9220" w:type="dxa"/>
        <w:tblInd w:w="93" w:type="dxa"/>
        <w:tblLayout w:type="fixed"/>
        <w:tblCellMar>
          <w:top w:w="0" w:type="dxa"/>
          <w:left w:w="108" w:type="dxa"/>
          <w:bottom w:w="0" w:type="dxa"/>
          <w:right w:w="108" w:type="dxa"/>
        </w:tblCellMar>
      </w:tblPr>
      <w:tblGrid>
        <w:gridCol w:w="769"/>
        <w:gridCol w:w="988"/>
        <w:gridCol w:w="1516"/>
        <w:gridCol w:w="1612"/>
        <w:gridCol w:w="4335"/>
      </w:tblGrid>
      <w:tr>
        <w:tblPrEx>
          <w:tblCellMar>
            <w:top w:w="0" w:type="dxa"/>
            <w:left w:w="108" w:type="dxa"/>
            <w:bottom w:w="0" w:type="dxa"/>
            <w:right w:w="108" w:type="dxa"/>
          </w:tblCellMar>
        </w:tblPrEx>
        <w:trPr>
          <w:trHeight w:val="555" w:hRule="atLeast"/>
        </w:trPr>
        <w:tc>
          <w:tcPr>
            <w:tcW w:w="769"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品目序号</w:t>
            </w:r>
          </w:p>
        </w:tc>
        <w:tc>
          <w:tcPr>
            <w:tcW w:w="4116" w:type="dxa"/>
            <w:gridSpan w:val="3"/>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名称</w:t>
            </w:r>
          </w:p>
        </w:tc>
        <w:tc>
          <w:tcPr>
            <w:tcW w:w="4335"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宋体" w:hAnsi="宋体" w:cs="宋体"/>
                <w:b/>
                <w:bCs/>
                <w:color w:val="auto"/>
                <w:kern w:val="0"/>
                <w:sz w:val="22"/>
                <w:highlight w:val="none"/>
              </w:rPr>
            </w:pPr>
            <w:r>
              <w:rPr>
                <w:rFonts w:hint="eastAsia" w:ascii="宋体" w:hAnsi="宋体" w:cs="宋体"/>
                <w:b/>
                <w:bCs/>
                <w:color w:val="auto"/>
                <w:kern w:val="0"/>
                <w:sz w:val="22"/>
                <w:highlight w:val="none"/>
              </w:rPr>
              <w:t>依据的标准</w:t>
            </w:r>
          </w:p>
        </w:tc>
      </w:tr>
      <w:tr>
        <w:tblPrEx>
          <w:tblCellMar>
            <w:top w:w="0" w:type="dxa"/>
            <w:left w:w="108" w:type="dxa"/>
            <w:bottom w:w="0" w:type="dxa"/>
            <w:right w:w="108" w:type="dxa"/>
          </w:tblCellMar>
        </w:tblPrEx>
        <w:trPr>
          <w:trHeight w:val="495" w:hRule="atLeast"/>
        </w:trPr>
        <w:tc>
          <w:tcPr>
            <w:tcW w:w="769"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988"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73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769"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988"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tblPrEx>
          <w:tblCellMar>
            <w:top w:w="0" w:type="dxa"/>
            <w:left w:w="108" w:type="dxa"/>
            <w:bottom w:w="0" w:type="dxa"/>
            <w:right w:w="108" w:type="dxa"/>
          </w:tblCellMar>
        </w:tblPrEx>
        <w:trPr>
          <w:trHeight w:val="97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769"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988"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tblPrEx>
          <w:tblCellMar>
            <w:top w:w="0" w:type="dxa"/>
            <w:left w:w="108" w:type="dxa"/>
            <w:bottom w:w="0" w:type="dxa"/>
            <w:right w:w="108" w:type="dxa"/>
          </w:tblCellMar>
        </w:tblPrEx>
        <w:trPr>
          <w:trHeight w:val="495" w:hRule="atLeast"/>
        </w:trPr>
        <w:tc>
          <w:tcPr>
            <w:tcW w:w="769"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988"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769" w:type="dxa"/>
            <w:tcBorders>
              <w:top w:val="nil"/>
              <w:left w:val="single" w:color="000000" w:sz="8" w:space="0"/>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988" w:type="dxa"/>
            <w:tcBorders>
              <w:top w:val="nil"/>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516" w:type="dxa"/>
            <w:tcBorders>
              <w:top w:val="nil"/>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12" w:type="dxa"/>
            <w:tcBorders>
              <w:top w:val="nil"/>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auto" w:sz="4"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tblPrEx>
          <w:tblCellMar>
            <w:top w:w="0" w:type="dxa"/>
            <w:left w:w="108" w:type="dxa"/>
            <w:bottom w:w="0" w:type="dxa"/>
            <w:right w:w="108" w:type="dxa"/>
          </w:tblCellMar>
        </w:tblPrEx>
        <w:trPr>
          <w:trHeight w:val="735" w:hRule="atLeast"/>
        </w:trPr>
        <w:tc>
          <w:tcPr>
            <w:tcW w:w="7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51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12" w:type="dxa"/>
            <w:tcBorders>
              <w:top w:val="single" w:color="auto" w:sz="4" w:space="0"/>
              <w:left w:val="single" w:color="auto" w:sz="4" w:space="0"/>
              <w:bottom w:val="single" w:color="000000" w:sz="8"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335" w:type="dxa"/>
            <w:tcBorders>
              <w:top w:val="single" w:color="auto" w:sz="4" w:space="0"/>
              <w:left w:val="single" w:color="auto" w:sz="4" w:space="0"/>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000000" w:sz="8"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335" w:type="dxa"/>
            <w:tcBorders>
              <w:top w:val="nil"/>
              <w:left w:val="single" w:color="auto" w:sz="4" w:space="0"/>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000000" w:sz="8"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335" w:type="dxa"/>
            <w:tcBorders>
              <w:top w:val="nil"/>
              <w:left w:val="single" w:color="auto" w:sz="4" w:space="0"/>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12"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335"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335" w:type="dxa"/>
            <w:tcBorders>
              <w:top w:val="single" w:color="auto" w:sz="4" w:space="0"/>
              <w:left w:val="single" w:color="auto" w:sz="4" w:space="0"/>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12" w:type="dxa"/>
            <w:tcBorders>
              <w:top w:val="single" w:color="auto" w:sz="4" w:space="0"/>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tblPrEx>
          <w:tblCellMar>
            <w:top w:w="0" w:type="dxa"/>
            <w:left w:w="108" w:type="dxa"/>
            <w:bottom w:w="0" w:type="dxa"/>
            <w:right w:w="108" w:type="dxa"/>
          </w:tblCellMar>
        </w:tblPrEx>
        <w:trPr>
          <w:trHeight w:val="73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98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op w:val="nil"/>
              <w:left w:val="single" w:color="auto" w:sz="4" w:space="0"/>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tblPrEx>
          <w:tblCellMar>
            <w:top w:w="0" w:type="dxa"/>
            <w:left w:w="108" w:type="dxa"/>
            <w:bottom w:w="0" w:type="dxa"/>
            <w:right w:w="108" w:type="dxa"/>
          </w:tblCellMar>
        </w:tblPrEx>
        <w:trPr>
          <w:trHeight w:val="90"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98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12" w:type="dxa"/>
            <w:tcBorders>
              <w:top w:val="single" w:color="auto" w:sz="4" w:space="0"/>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tblPrEx>
          <w:tblCellMar>
            <w:top w:w="0" w:type="dxa"/>
            <w:left w:w="108" w:type="dxa"/>
            <w:bottom w:w="0" w:type="dxa"/>
            <w:right w:w="108" w:type="dxa"/>
          </w:tblCellMar>
        </w:tblPrEx>
        <w:trPr>
          <w:trHeight w:val="495"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98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tblPrEx>
          <w:tblCellMar>
            <w:top w:w="0" w:type="dxa"/>
            <w:left w:w="108" w:type="dxa"/>
            <w:bottom w:w="0" w:type="dxa"/>
            <w:right w:w="108" w:type="dxa"/>
          </w:tblCellMar>
        </w:tblPrEx>
        <w:trPr>
          <w:trHeight w:val="495" w:hRule="atLeast"/>
        </w:trPr>
        <w:tc>
          <w:tcPr>
            <w:tcW w:w="7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tblPrEx>
          <w:tblCellMar>
            <w:top w:w="0" w:type="dxa"/>
            <w:left w:w="108" w:type="dxa"/>
            <w:bottom w:w="0" w:type="dxa"/>
            <w:right w:w="108" w:type="dxa"/>
          </w:tblCellMar>
        </w:tblPrEx>
        <w:trPr>
          <w:trHeight w:val="97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335" w:type="dxa"/>
            <w:tcBorders>
              <w:top w:val="nil"/>
              <w:left w:val="nil"/>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12" w:type="dxa"/>
            <w:tcBorders>
              <w:top w:val="nil"/>
              <w:left w:val="single" w:color="auto" w:sz="4" w:space="0"/>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33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tblPrEx>
          <w:tblCellMar>
            <w:top w:w="0" w:type="dxa"/>
            <w:left w:w="108" w:type="dxa"/>
            <w:bottom w:w="0" w:type="dxa"/>
            <w:right w:w="108" w:type="dxa"/>
          </w:tblCellMar>
        </w:tblPrEx>
        <w:trPr>
          <w:trHeight w:val="495" w:hRule="atLeast"/>
        </w:trPr>
        <w:tc>
          <w:tcPr>
            <w:tcW w:w="7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769" w:type="dxa"/>
            <w:vMerge w:val="continue"/>
            <w:tcBorders>
              <w:top w:val="single" w:color="auto" w:sz="4" w:space="0"/>
              <w:left w:val="single" w:color="auto" w:sz="4" w:space="0"/>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769" w:type="dxa"/>
            <w:vMerge w:val="continue"/>
            <w:tcBorders>
              <w:top w:val="nil"/>
              <w:left w:val="single" w:color="auto" w:sz="4" w:space="0"/>
              <w:bottom w:val="single" w:color="000000" w:sz="8" w:space="0"/>
              <w:right w:val="single" w:color="auto" w:sz="4"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769" w:type="dxa"/>
            <w:tcBorders>
              <w:top w:val="nil"/>
              <w:left w:val="single" w:color="auto" w:sz="4" w:space="0"/>
              <w:bottom w:val="single" w:color="000000" w:sz="8"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988" w:type="dxa"/>
            <w:tcBorders>
              <w:top w:val="single" w:color="auto" w:sz="4" w:space="0"/>
              <w:left w:val="single" w:color="auto" w:sz="4" w:space="0"/>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516" w:type="dxa"/>
            <w:tcBorders>
              <w:top w:val="single" w:color="auto" w:sz="4" w:space="0"/>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12" w:type="dxa"/>
            <w:tcBorders>
              <w:top w:val="single" w:color="auto" w:sz="4" w:space="0"/>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tblPrEx>
          <w:tblCellMar>
            <w:top w:w="0" w:type="dxa"/>
            <w:left w:w="108" w:type="dxa"/>
            <w:bottom w:w="0" w:type="dxa"/>
            <w:right w:w="108" w:type="dxa"/>
          </w:tblCellMar>
        </w:tblPrEx>
        <w:trPr>
          <w:trHeight w:val="975" w:hRule="atLeast"/>
        </w:trPr>
        <w:tc>
          <w:tcPr>
            <w:tcW w:w="769" w:type="dxa"/>
            <w:tcBorders>
              <w:top w:val="nil"/>
              <w:left w:val="single" w:color="auto" w:sz="4" w:space="0"/>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988" w:type="dxa"/>
            <w:tcBorders>
              <w:top w:val="single" w:color="auto" w:sz="4" w:space="0"/>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516" w:type="dxa"/>
            <w:tcBorders>
              <w:top w:val="single" w:color="auto" w:sz="4" w:space="0"/>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12" w:type="dxa"/>
            <w:tcBorders>
              <w:top w:val="single" w:color="auto" w:sz="4" w:space="0"/>
              <w:left w:val="nil"/>
              <w:bottom w:val="single" w:color="auto" w:sz="4"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335"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769" w:type="dxa"/>
            <w:tcBorders>
              <w:top w:val="single" w:color="auto" w:sz="4" w:space="0"/>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988" w:type="dxa"/>
            <w:tcBorders>
              <w:top w:val="single" w:color="auto" w:sz="4" w:space="0"/>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516" w:type="dxa"/>
            <w:tcBorders>
              <w:top w:val="single" w:color="auto" w:sz="4" w:space="0"/>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12" w:type="dxa"/>
            <w:tcBorders>
              <w:top w:val="single" w:color="auto" w:sz="4" w:space="0"/>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single" w:color="auto" w:sz="4" w:space="0"/>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tblPrEx>
          <w:tblCellMar>
            <w:top w:w="0" w:type="dxa"/>
            <w:left w:w="108" w:type="dxa"/>
            <w:bottom w:w="0" w:type="dxa"/>
            <w:right w:w="108" w:type="dxa"/>
          </w:tblCellMar>
        </w:tblPrEx>
        <w:trPr>
          <w:trHeight w:val="285" w:hRule="atLeast"/>
        </w:trPr>
        <w:tc>
          <w:tcPr>
            <w:tcW w:w="769"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988"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tblPrEx>
          <w:tblCellMar>
            <w:top w:w="0" w:type="dxa"/>
            <w:left w:w="108" w:type="dxa"/>
            <w:bottom w:w="0" w:type="dxa"/>
            <w:right w:w="108" w:type="dxa"/>
          </w:tblCellMar>
        </w:tblPrEx>
        <w:trPr>
          <w:trHeight w:val="49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tblPrEx>
          <w:tblCellMar>
            <w:top w:w="0" w:type="dxa"/>
            <w:left w:w="108" w:type="dxa"/>
            <w:bottom w:w="0" w:type="dxa"/>
            <w:right w:w="108" w:type="dxa"/>
          </w:tblCellMar>
        </w:tblPrEx>
        <w:trPr>
          <w:trHeight w:val="495" w:hRule="atLeast"/>
        </w:trPr>
        <w:tc>
          <w:tcPr>
            <w:tcW w:w="769"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988"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tblPrEx>
          <w:tblCellMar>
            <w:top w:w="0" w:type="dxa"/>
            <w:left w:w="108" w:type="dxa"/>
            <w:bottom w:w="0" w:type="dxa"/>
            <w:right w:w="108" w:type="dxa"/>
          </w:tblCellMar>
        </w:tblPrEx>
        <w:trPr>
          <w:trHeight w:val="495" w:hRule="atLeast"/>
        </w:trPr>
        <w:tc>
          <w:tcPr>
            <w:tcW w:w="769"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988"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tblPrEx>
          <w:tblCellMar>
            <w:top w:w="0" w:type="dxa"/>
            <w:left w:w="108" w:type="dxa"/>
            <w:bottom w:w="0" w:type="dxa"/>
            <w:right w:w="108" w:type="dxa"/>
          </w:tblCellMar>
        </w:tblPrEx>
        <w:trPr>
          <w:trHeight w:val="495" w:hRule="atLeast"/>
        </w:trPr>
        <w:tc>
          <w:tcPr>
            <w:tcW w:w="769"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988"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tblPrEx>
          <w:tblCellMar>
            <w:top w:w="0" w:type="dxa"/>
            <w:left w:w="108" w:type="dxa"/>
            <w:bottom w:w="0" w:type="dxa"/>
            <w:right w:w="108" w:type="dxa"/>
          </w:tblCellMar>
        </w:tblPrEx>
        <w:trPr>
          <w:trHeight w:val="495" w:hRule="atLeast"/>
        </w:trPr>
        <w:tc>
          <w:tcPr>
            <w:tcW w:w="769"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988"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pPr>
        <w:spacing w:line="360" w:lineRule="auto"/>
        <w:rPr>
          <w:rFonts w:ascii="宋体" w:hAns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pPr>
        <w:jc w:val="left"/>
        <w:rPr>
          <w:rFonts w:ascii="Arial Unicode MS" w:hAnsi="Arial Unicode MS" w:eastAsia="Arial Unicode MS" w:cs="Arial Unicode MS"/>
          <w:color w:val="auto"/>
          <w:sz w:val="32"/>
          <w:szCs w:val="32"/>
          <w:highlight w:val="none"/>
        </w:rPr>
      </w:pPr>
      <w:r>
        <w:rPr>
          <w:rFonts w:hint="eastAsia" w:hAnsi="宋体"/>
          <w:color w:val="auto"/>
          <w:highlight w:val="none"/>
        </w:rPr>
        <w:t xml:space="preserve">    </w:t>
      </w:r>
      <w:r>
        <w:rPr>
          <w:rFonts w:hint="eastAsia"/>
          <w:color w:val="auto"/>
          <w:highlight w:val="none"/>
        </w:rPr>
        <w:t>2.以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rFonts w:hint="eastAsia"/>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Arial Unicode MS"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pPr>
        <w:spacing w:line="528" w:lineRule="exact"/>
        <w:jc w:val="center"/>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b/>
          <w:bCs/>
          <w:color w:val="auto"/>
          <w:sz w:val="40"/>
          <w:szCs w:val="40"/>
          <w:highlight w:val="none"/>
        </w:rPr>
        <w:t>中小微企业划型标准</w:t>
      </w:r>
    </w:p>
    <w:tbl>
      <w:tblPr>
        <w:tblStyle w:val="32"/>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pPr>
        <w:spacing w:line="560" w:lineRule="exact"/>
        <w:ind w:firstLine="525" w:firstLineChars="250"/>
        <w:rPr>
          <w:rFonts w:ascii="宋体" w:hAnsi="宋体"/>
          <w:color w:val="auto"/>
          <w:kern w:val="0"/>
          <w:sz w:val="20"/>
          <w:szCs w:val="21"/>
          <w:highlight w:val="none"/>
        </w:rPr>
        <w:sectPr>
          <w:headerReference r:id="rId10" w:type="default"/>
          <w:footerReference r:id="rId11" w:type="default"/>
          <w:pgSz w:w="11906" w:h="16838"/>
          <w:pgMar w:top="1361" w:right="1587" w:bottom="1361" w:left="1587" w:header="283" w:footer="567" w:gutter="0"/>
          <w:pgNumType w:fmt="decimal"/>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pStyle w:val="2"/>
        <w:spacing w:line="240" w:lineRule="auto"/>
        <w:jc w:val="center"/>
        <w:rPr>
          <w:color w:val="auto"/>
          <w:sz w:val="32"/>
          <w:szCs w:val="32"/>
          <w:highlight w:val="none"/>
        </w:rPr>
      </w:pPr>
      <w:bookmarkStart w:id="92" w:name="_Toc6950"/>
      <w:bookmarkStart w:id="93" w:name="_Toc18249"/>
      <w:r>
        <w:rPr>
          <w:rFonts w:hint="eastAsia" w:ascii="Cambria" w:hAnsi="Cambria"/>
          <w:bCs w:val="0"/>
          <w:color w:val="auto"/>
          <w:sz w:val="32"/>
          <w:szCs w:val="32"/>
          <w:highlight w:val="none"/>
        </w:rPr>
        <w:t>第三章</w:t>
      </w:r>
      <w:bookmarkStart w:id="186" w:name="_GoBack"/>
      <w:bookmarkEnd w:id="186"/>
      <w:r>
        <w:rPr>
          <w:rFonts w:hint="eastAsia" w:ascii="Cambria" w:hAnsi="Cambria"/>
          <w:bCs w:val="0"/>
          <w:color w:val="auto"/>
          <w:sz w:val="32"/>
          <w:szCs w:val="32"/>
          <w:highlight w:val="none"/>
        </w:rPr>
        <w:t xml:space="preserve"> 供应商须知</w:t>
      </w:r>
      <w:bookmarkEnd w:id="68"/>
      <w:bookmarkEnd w:id="69"/>
      <w:bookmarkEnd w:id="70"/>
      <w:bookmarkEnd w:id="92"/>
      <w:bookmarkEnd w:id="93"/>
    </w:p>
    <w:p>
      <w:pPr>
        <w:pStyle w:val="3"/>
        <w:spacing w:line="240" w:lineRule="auto"/>
        <w:jc w:val="center"/>
        <w:rPr>
          <w:rFonts w:hint="eastAsia" w:ascii="宋体" w:hAnsi="宋体"/>
          <w:b w:val="0"/>
          <w:color w:val="auto"/>
          <w:highlight w:val="none"/>
        </w:rPr>
      </w:pPr>
      <w:bookmarkStart w:id="94" w:name="_Toc80886928"/>
      <w:r>
        <w:rPr>
          <w:rFonts w:hint="eastAsia" w:ascii="宋体" w:hAnsi="宋体"/>
          <w:b w:val="0"/>
          <w:color w:val="auto"/>
          <w:highlight w:val="none"/>
        </w:rPr>
        <w:t>第一节 供应商须知前附表</w:t>
      </w:r>
      <w:bookmarkEnd w:id="94"/>
    </w:p>
    <w:tbl>
      <w:tblPr>
        <w:tblStyle w:val="32"/>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3"/>
        <w:gridCol w:w="2467"/>
        <w:gridCol w:w="6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1043" w:type="dxa"/>
            <w:tcBorders>
              <w:top w:val="single" w:color="000000" w:sz="4" w:space="0"/>
              <w:left w:val="single" w:color="000000" w:sz="4" w:space="0"/>
              <w:bottom w:val="single" w:color="000000" w:sz="4" w:space="0"/>
              <w:right w:val="single" w:color="000000" w:sz="4" w:space="0"/>
            </w:tcBorders>
          </w:tcPr>
          <w:p>
            <w:pPr>
              <w:keepNext w:val="0"/>
              <w:keepLines w:val="0"/>
              <w:pageBreakBefore w:val="0"/>
              <w:kinsoku/>
              <w:wordWrap/>
              <w:overflowPunct/>
              <w:topLinePunct w:val="0"/>
              <w:bidi w:val="0"/>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tcPr>
          <w:p>
            <w:pPr>
              <w:keepNext w:val="0"/>
              <w:keepLines w:val="0"/>
              <w:pageBreakBefore w:val="0"/>
              <w:kinsoku/>
              <w:wordWrap/>
              <w:overflowPunct/>
              <w:topLinePunct w:val="0"/>
              <w:bidi w:val="0"/>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tcPr>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供应商资格条件要求详见公告。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不允许联合体投标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是否允许</w:t>
            </w:r>
            <w:r>
              <w:rPr>
                <w:rFonts w:hint="eastAsia" w:ascii="宋体" w:hAnsi="宋体" w:eastAsia="宋体" w:cs="宋体"/>
                <w:b w:val="0"/>
                <w:bCs w:val="0"/>
                <w:color w:val="auto"/>
                <w:sz w:val="24"/>
                <w:szCs w:val="24"/>
                <w:highlight w:val="none"/>
              </w:rPr>
              <w:t>分包转包</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不允许分包、转包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资格证明文件组成</w:t>
            </w:r>
          </w:p>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08"/>
              <w:keepNext w:val="0"/>
              <w:keepLines w:val="0"/>
              <w:pageBreakBefore w:val="0"/>
              <w:widowControl w:val="0"/>
              <w:kinsoku/>
              <w:wordWrap/>
              <w:overflowPunct/>
              <w:topLinePunct w:val="0"/>
              <w:autoSpaceDE/>
              <w:autoSpaceDN/>
              <w:bidi w:val="0"/>
              <w:adjustRightInd/>
              <w:snapToGrid/>
              <w:spacing w:before="160" w:line="440" w:lineRule="exact"/>
              <w:ind w:left="116" w:right="110" w:firstLine="11"/>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w:t>
            </w:r>
            <w:bookmarkStart w:id="95" w:name="OLE_LINK40"/>
            <w:r>
              <w:rPr>
                <w:rFonts w:hint="eastAsia" w:ascii="宋体" w:hAnsi="宋体" w:eastAsia="宋体" w:cs="宋体"/>
                <w:color w:val="auto"/>
                <w:spacing w:val="6"/>
                <w:sz w:val="24"/>
                <w:szCs w:val="24"/>
                <w:highlight w:val="none"/>
              </w:rPr>
              <w:t>崇左市政府采购供应商信用承诺函（格式后附，供应商应对其承诺内容的真实性、合法性、有效性负责）；</w:t>
            </w:r>
            <w:r>
              <w:rPr>
                <w:rFonts w:hint="eastAsia" w:ascii="宋体" w:hAnsi="宋体" w:eastAsia="宋体" w:cs="宋体"/>
                <w:b/>
                <w:bCs/>
                <w:color w:val="auto"/>
                <w:spacing w:val="6"/>
                <w:sz w:val="24"/>
                <w:szCs w:val="24"/>
                <w:highlight w:val="none"/>
              </w:rPr>
              <w:t>（必须提供，否则</w:t>
            </w:r>
            <w:r>
              <w:rPr>
                <w:rFonts w:hint="eastAsia" w:ascii="宋体" w:hAnsi="宋体" w:eastAsia="宋体" w:cs="宋体"/>
                <w:b/>
                <w:bCs/>
                <w:color w:val="auto"/>
                <w:spacing w:val="8"/>
                <w:sz w:val="24"/>
                <w:szCs w:val="24"/>
                <w:highlight w:val="none"/>
              </w:rPr>
              <w:t>响应文件</w:t>
            </w:r>
            <w:r>
              <w:rPr>
                <w:rFonts w:hint="eastAsia" w:ascii="宋体" w:hAnsi="宋体" w:eastAsia="宋体" w:cs="宋体"/>
                <w:b/>
                <w:bCs/>
                <w:color w:val="auto"/>
                <w:spacing w:val="6"/>
                <w:sz w:val="24"/>
                <w:szCs w:val="24"/>
                <w:highlight w:val="none"/>
              </w:rPr>
              <w:t>按无效响</w:t>
            </w:r>
            <w:r>
              <w:rPr>
                <w:rFonts w:hint="eastAsia" w:ascii="宋体" w:hAnsi="宋体" w:eastAsia="宋体" w:cs="宋体"/>
                <w:b/>
                <w:bCs/>
                <w:color w:val="auto"/>
                <w:spacing w:val="5"/>
                <w:sz w:val="24"/>
                <w:szCs w:val="24"/>
                <w:highlight w:val="none"/>
              </w:rPr>
              <w:t>应处理</w:t>
            </w:r>
            <w:r>
              <w:rPr>
                <w:rFonts w:hint="eastAsia" w:ascii="宋体" w:hAnsi="宋体" w:eastAsia="宋体" w:cs="宋体"/>
                <w:b/>
                <w:bCs/>
                <w:color w:val="auto"/>
                <w:spacing w:val="2"/>
                <w:sz w:val="24"/>
                <w:szCs w:val="24"/>
                <w:highlight w:val="none"/>
              </w:rPr>
              <w:t>）</w:t>
            </w:r>
            <w:bookmarkEnd w:id="95"/>
          </w:p>
          <w:p>
            <w:pPr>
              <w:pStyle w:val="108"/>
              <w:keepNext w:val="0"/>
              <w:keepLines w:val="0"/>
              <w:pageBreakBefore w:val="0"/>
              <w:widowControl w:val="0"/>
              <w:kinsoku/>
              <w:wordWrap/>
              <w:overflowPunct/>
              <w:topLinePunct w:val="0"/>
              <w:autoSpaceDE/>
              <w:autoSpaceDN/>
              <w:bidi w:val="0"/>
              <w:adjustRightInd/>
              <w:snapToGrid/>
              <w:spacing w:before="1" w:line="440" w:lineRule="exact"/>
              <w:ind w:left="117" w:right="110" w:hanging="2"/>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bookmarkStart w:id="96" w:name="OLE_LINK41"/>
            <w:r>
              <w:rPr>
                <w:rFonts w:hint="eastAsia" w:ascii="宋体" w:hAnsi="宋体" w:eastAsia="宋体" w:cs="宋体"/>
                <w:color w:val="auto"/>
                <w:spacing w:val="8"/>
                <w:sz w:val="24"/>
                <w:szCs w:val="24"/>
                <w:highlight w:val="none"/>
              </w:rPr>
              <w:t>.供应商直接控股、管理关系信息表（格式后附</w:t>
            </w:r>
            <w:r>
              <w:rPr>
                <w:rFonts w:hint="eastAsia" w:ascii="宋体" w:hAnsi="宋体" w:eastAsia="宋体" w:cs="宋体"/>
                <w:color w:val="auto"/>
                <w:spacing w:val="-9"/>
                <w:sz w:val="24"/>
                <w:szCs w:val="24"/>
                <w:highlight w:val="none"/>
              </w:rPr>
              <w:t>）；（</w:t>
            </w:r>
            <w:r>
              <w:rPr>
                <w:rFonts w:hint="eastAsia" w:ascii="宋体" w:hAnsi="宋体" w:eastAsia="宋体" w:cs="宋体"/>
                <w:b/>
                <w:bCs/>
                <w:color w:val="auto"/>
                <w:spacing w:val="8"/>
                <w:sz w:val="24"/>
                <w:szCs w:val="24"/>
                <w:highlight w:val="none"/>
              </w:rPr>
              <w:t>必须提供，否则响应文件按无</w:t>
            </w:r>
            <w:r>
              <w:rPr>
                <w:rFonts w:hint="eastAsia" w:ascii="宋体" w:hAnsi="宋体" w:eastAsia="宋体" w:cs="宋体"/>
                <w:b/>
                <w:bCs/>
                <w:color w:val="auto"/>
                <w:spacing w:val="4"/>
                <w:sz w:val="24"/>
                <w:szCs w:val="24"/>
                <w:highlight w:val="none"/>
              </w:rPr>
              <w:t>效响应处理</w:t>
            </w:r>
            <w:r>
              <w:rPr>
                <w:rFonts w:hint="eastAsia" w:ascii="宋体" w:hAnsi="宋体" w:eastAsia="宋体" w:cs="宋体"/>
                <w:color w:val="auto"/>
                <w:spacing w:val="4"/>
                <w:sz w:val="24"/>
                <w:szCs w:val="24"/>
                <w:highlight w:val="none"/>
              </w:rPr>
              <w:t>）</w:t>
            </w:r>
            <w:bookmarkEnd w:id="96"/>
          </w:p>
          <w:p>
            <w:pPr>
              <w:pStyle w:val="108"/>
              <w:keepNext w:val="0"/>
              <w:keepLines w:val="0"/>
              <w:pageBreakBefore w:val="0"/>
              <w:widowControl w:val="0"/>
              <w:kinsoku/>
              <w:wordWrap/>
              <w:overflowPunct/>
              <w:topLinePunct w:val="0"/>
              <w:autoSpaceDE/>
              <w:autoSpaceDN/>
              <w:bidi w:val="0"/>
              <w:adjustRightInd/>
              <w:snapToGrid/>
              <w:spacing w:line="440" w:lineRule="exact"/>
              <w:ind w:left="111"/>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3.</w:t>
            </w:r>
            <w:bookmarkStart w:id="97" w:name="OLE_LINK42"/>
            <w:r>
              <w:rPr>
                <w:rFonts w:hint="eastAsia" w:ascii="宋体" w:hAnsi="宋体" w:eastAsia="宋体" w:cs="宋体"/>
                <w:color w:val="auto"/>
                <w:spacing w:val="9"/>
                <w:sz w:val="24"/>
                <w:szCs w:val="24"/>
                <w:highlight w:val="none"/>
              </w:rPr>
              <w:t>竞标声明（格式后附</w:t>
            </w:r>
            <w:r>
              <w:rPr>
                <w:rFonts w:hint="eastAsia" w:ascii="宋体" w:hAnsi="宋体" w:eastAsia="宋体" w:cs="宋体"/>
                <w:color w:val="auto"/>
                <w:spacing w:val="2"/>
                <w:sz w:val="24"/>
                <w:szCs w:val="24"/>
                <w:highlight w:val="none"/>
              </w:rPr>
              <w:t>）；（</w:t>
            </w:r>
            <w:r>
              <w:rPr>
                <w:rFonts w:hint="eastAsia" w:ascii="宋体" w:hAnsi="宋体" w:eastAsia="宋体" w:cs="宋体"/>
                <w:b/>
                <w:bCs/>
                <w:color w:val="auto"/>
                <w:spacing w:val="9"/>
                <w:sz w:val="24"/>
                <w:szCs w:val="24"/>
                <w:highlight w:val="none"/>
              </w:rPr>
              <w:t>必须提供，否则响应文件作无效处理</w:t>
            </w:r>
            <w:r>
              <w:rPr>
                <w:rFonts w:hint="eastAsia" w:ascii="宋体" w:hAnsi="宋体" w:eastAsia="宋体" w:cs="宋体"/>
                <w:color w:val="auto"/>
                <w:spacing w:val="9"/>
                <w:sz w:val="24"/>
                <w:szCs w:val="24"/>
                <w:highlight w:val="none"/>
              </w:rPr>
              <w:t>）</w:t>
            </w:r>
          </w:p>
          <w:bookmarkEnd w:id="97"/>
          <w:p>
            <w:pPr>
              <w:pStyle w:val="108"/>
              <w:keepNext w:val="0"/>
              <w:keepLines w:val="0"/>
              <w:pageBreakBefore w:val="0"/>
              <w:widowControl w:val="0"/>
              <w:kinsoku/>
              <w:wordWrap/>
              <w:overflowPunct/>
              <w:topLinePunct w:val="0"/>
              <w:autoSpaceDE/>
              <w:autoSpaceDN/>
              <w:bidi w:val="0"/>
              <w:adjustRightInd/>
              <w:snapToGrid/>
              <w:spacing w:line="440" w:lineRule="exact"/>
              <w:ind w:left="111"/>
              <w:textAlignment w:val="auto"/>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4</w:t>
            </w:r>
            <w:r>
              <w:rPr>
                <w:rFonts w:hint="eastAsia" w:ascii="宋体" w:hAnsi="宋体" w:eastAsia="宋体" w:cs="宋体"/>
                <w:color w:val="auto"/>
                <w:spacing w:val="9"/>
                <w:sz w:val="24"/>
                <w:szCs w:val="24"/>
                <w:highlight w:val="none"/>
              </w:rPr>
              <w:t>.根据竞争性谈判公告对应的特定资格要求及特定条件设置供应商提供的资格证明材料</w:t>
            </w:r>
            <w:r>
              <w:rPr>
                <w:rFonts w:hint="eastAsia" w:ascii="宋体" w:hAnsi="宋体" w:eastAsia="宋体" w:cs="宋体"/>
                <w:color w:val="auto"/>
                <w:spacing w:val="2"/>
                <w:sz w:val="24"/>
                <w:szCs w:val="24"/>
                <w:highlight w:val="none"/>
              </w:rPr>
              <w:t>；（</w:t>
            </w:r>
            <w:r>
              <w:rPr>
                <w:rFonts w:hint="eastAsia" w:ascii="宋体" w:hAnsi="宋体" w:eastAsia="宋体" w:cs="宋体"/>
                <w:b/>
                <w:bCs/>
                <w:color w:val="auto"/>
                <w:spacing w:val="9"/>
                <w:sz w:val="24"/>
                <w:szCs w:val="24"/>
                <w:highlight w:val="none"/>
              </w:rPr>
              <w:t>必须提供，否则响应文件作无效处理</w:t>
            </w:r>
            <w:r>
              <w:rPr>
                <w:rFonts w:hint="eastAsia" w:ascii="宋体" w:hAnsi="宋体" w:eastAsia="宋体" w:cs="宋体"/>
                <w:color w:val="auto"/>
                <w:spacing w:val="9"/>
                <w:sz w:val="24"/>
                <w:szCs w:val="24"/>
                <w:highlight w:val="none"/>
              </w:rPr>
              <w:t>）</w:t>
            </w:r>
          </w:p>
          <w:p>
            <w:pPr>
              <w:pStyle w:val="108"/>
              <w:keepNext w:val="0"/>
              <w:keepLines w:val="0"/>
              <w:pageBreakBefore w:val="0"/>
              <w:widowControl w:val="0"/>
              <w:kinsoku/>
              <w:wordWrap/>
              <w:overflowPunct/>
              <w:topLinePunct w:val="0"/>
              <w:autoSpaceDE/>
              <w:autoSpaceDN/>
              <w:bidi w:val="0"/>
              <w:adjustRightInd/>
              <w:snapToGrid/>
              <w:spacing w:line="440" w:lineRule="exact"/>
              <w:ind w:left="111"/>
              <w:textAlignment w:val="auto"/>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9"/>
                <w:sz w:val="24"/>
                <w:szCs w:val="24"/>
                <w:highlight w:val="none"/>
                <w:lang w:val="en-US" w:eastAsia="zh-CN"/>
              </w:rPr>
              <w:t>5.</w:t>
            </w:r>
            <w:r>
              <w:rPr>
                <w:rFonts w:hint="eastAsia" w:ascii="宋体" w:hAnsi="宋体" w:eastAsia="宋体" w:cs="宋体"/>
                <w:color w:val="auto"/>
                <w:spacing w:val="9"/>
                <w:sz w:val="24"/>
                <w:szCs w:val="24"/>
                <w:highlight w:val="none"/>
              </w:rPr>
              <w:t>除竞争性谈判文件规定必须提供以外，供应商认为需要提供的其他证明材料</w:t>
            </w:r>
            <w:r>
              <w:rPr>
                <w:rFonts w:hint="eastAsia" w:ascii="宋体" w:hAnsi="宋体" w:eastAsia="宋体" w:cs="宋体"/>
                <w:color w:val="auto"/>
                <w:spacing w:val="9"/>
                <w:sz w:val="24"/>
                <w:szCs w:val="24"/>
                <w:highlight w:val="none"/>
                <w:lang w:eastAsia="zh-CN"/>
              </w:rPr>
              <w:t>。</w:t>
            </w:r>
          </w:p>
          <w:p>
            <w:pPr>
              <w:pStyle w:val="108"/>
              <w:keepNext w:val="0"/>
              <w:keepLines w:val="0"/>
              <w:pageBreakBefore w:val="0"/>
              <w:kinsoku/>
              <w:wordWrap/>
              <w:overflowPunct/>
              <w:topLinePunct w:val="0"/>
              <w:bidi w:val="0"/>
              <w:spacing w:before="158" w:line="440" w:lineRule="exact"/>
              <w:ind w:right="108"/>
              <w:rPr>
                <w:rFonts w:hint="eastAsia" w:ascii="宋体" w:hAnsi="宋体" w:eastAsia="宋体" w:cs="宋体"/>
                <w:b w:val="0"/>
                <w:bCs w:val="0"/>
                <w:color w:val="auto"/>
                <w:spacing w:val="5"/>
                <w:sz w:val="24"/>
                <w:szCs w:val="24"/>
                <w:highlight w:val="none"/>
              </w:rPr>
            </w:pPr>
            <w:r>
              <w:rPr>
                <w:rFonts w:hint="eastAsia" w:ascii="宋体" w:hAnsi="宋体" w:eastAsia="宋体" w:cs="宋体"/>
                <w:b w:val="0"/>
                <w:bCs w:val="0"/>
                <w:color w:val="auto"/>
                <w:spacing w:val="5"/>
                <w:sz w:val="24"/>
                <w:szCs w:val="24"/>
                <w:highlight w:val="none"/>
              </w:rPr>
              <w:t>注：</w:t>
            </w:r>
          </w:p>
          <w:p>
            <w:pPr>
              <w:pStyle w:val="108"/>
              <w:keepNext w:val="0"/>
              <w:keepLines w:val="0"/>
              <w:pageBreakBefore w:val="0"/>
              <w:kinsoku/>
              <w:wordWrap/>
              <w:overflowPunct/>
              <w:topLinePunct w:val="0"/>
              <w:bidi w:val="0"/>
              <w:spacing w:before="158" w:line="440" w:lineRule="exact"/>
              <w:ind w:right="108"/>
              <w:rPr>
                <w:rFonts w:hint="eastAsia" w:ascii="宋体" w:hAnsi="宋体" w:eastAsia="宋体" w:cs="宋体"/>
                <w:b w:val="0"/>
                <w:bCs w:val="0"/>
                <w:color w:val="auto"/>
                <w:spacing w:val="5"/>
                <w:sz w:val="24"/>
                <w:szCs w:val="24"/>
                <w:highlight w:val="none"/>
              </w:rPr>
            </w:pPr>
            <w:r>
              <w:rPr>
                <w:rFonts w:hint="eastAsia" w:ascii="宋体" w:hAnsi="宋体" w:eastAsia="宋体" w:cs="宋体"/>
                <w:b w:val="0"/>
                <w:bCs w:val="0"/>
                <w:color w:val="auto"/>
                <w:spacing w:val="5"/>
                <w:sz w:val="24"/>
                <w:szCs w:val="24"/>
                <w:highlight w:val="none"/>
              </w:rPr>
              <w:t>1、以上标明“必须提供 ”的材料属于复印件的，必须加盖供应商公章，否则响应文件按无效响应处理。</w:t>
            </w:r>
          </w:p>
          <w:p>
            <w:pPr>
              <w:pStyle w:val="108"/>
              <w:keepNext w:val="0"/>
              <w:keepLines w:val="0"/>
              <w:pageBreakBefore w:val="0"/>
              <w:kinsoku/>
              <w:wordWrap/>
              <w:overflowPunct/>
              <w:topLinePunct w:val="0"/>
              <w:bidi w:val="0"/>
              <w:spacing w:before="158" w:line="440" w:lineRule="exact"/>
              <w:ind w:right="108"/>
              <w:rPr>
                <w:rFonts w:hint="eastAsia" w:ascii="宋体" w:hAnsi="宋体" w:eastAsia="宋体" w:cs="宋体"/>
                <w:b/>
                <w:bCs/>
                <w:color w:val="auto"/>
                <w:spacing w:val="1"/>
                <w:sz w:val="24"/>
                <w:szCs w:val="24"/>
                <w:highlight w:val="none"/>
              </w:rPr>
            </w:pPr>
            <w:r>
              <w:rPr>
                <w:rFonts w:hint="eastAsia" w:ascii="宋体" w:hAnsi="宋体" w:eastAsia="宋体" w:cs="宋体"/>
                <w:b w:val="0"/>
                <w:bCs w:val="0"/>
                <w:color w:val="auto"/>
                <w:spacing w:val="5"/>
                <w:sz w:val="24"/>
                <w:szCs w:val="24"/>
                <w:highlight w:val="none"/>
              </w:rPr>
              <w:t>2、竞标声明必须由法定代表人签字并加盖供应商公章，否则响应文件按无效响应处理。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b/>
                <w:bCs/>
                <w:color w:val="auto"/>
                <w:sz w:val="24"/>
                <w:szCs w:val="24"/>
                <w:highlight w:val="none"/>
              </w:rPr>
            </w:pPr>
            <w:r>
              <w:rPr>
                <w:rFonts w:hint="eastAsia" w:ascii="宋体" w:hAnsi="宋体" w:eastAsia="宋体" w:cs="宋体"/>
                <w:b w:val="0"/>
                <w:bCs w:val="0"/>
                <w:color w:val="auto"/>
                <w:sz w:val="24"/>
                <w:szCs w:val="24"/>
                <w:highlight w:val="none"/>
              </w:rPr>
              <w:t>商务</w:t>
            </w:r>
            <w:r>
              <w:rPr>
                <w:rFonts w:hint="eastAsia" w:ascii="宋体" w:hAnsi="宋体" w:eastAsia="宋体" w:cs="宋体"/>
                <w:b w:val="0"/>
                <w:bCs w:val="0"/>
                <w:color w:val="auto"/>
                <w:sz w:val="24"/>
                <w:szCs w:val="24"/>
                <w:highlight w:val="none"/>
                <w:lang w:val="en-US" w:eastAsia="zh-CN"/>
              </w:rPr>
              <w:t>技术</w:t>
            </w:r>
            <w:r>
              <w:rPr>
                <w:rFonts w:hint="eastAsia" w:ascii="宋体" w:hAnsi="宋体" w:eastAsia="宋体" w:cs="宋体"/>
                <w:b w:val="0"/>
                <w:bCs w:val="0"/>
                <w:color w:val="auto"/>
                <w:sz w:val="24"/>
                <w:szCs w:val="24"/>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1.无串通竞标行为的承诺函（格式后附）；（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Start w:id="98" w:name="OLE_LINK43"/>
            <w:r>
              <w:rPr>
                <w:rFonts w:hint="eastAsia" w:ascii="宋体" w:hAnsi="宋体" w:eastAsia="宋体" w:cs="宋体"/>
                <w:color w:val="auto"/>
                <w:sz w:val="24"/>
                <w:szCs w:val="24"/>
                <w:highlight w:val="none"/>
              </w:rPr>
              <w:t>法定代表人身份证明书及法定代表人有效身份证正反面复印件（格式后附）；（</w:t>
            </w:r>
            <w:r>
              <w:rPr>
                <w:rFonts w:hint="eastAsia" w:ascii="宋体" w:hAnsi="宋体" w:eastAsia="宋体" w:cs="宋体"/>
                <w:b/>
                <w:bCs/>
                <w:color w:val="auto"/>
                <w:sz w:val="24"/>
                <w:szCs w:val="24"/>
                <w:highlight w:val="none"/>
              </w:rPr>
              <w:t>除自然人竞标外</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p>
          <w:bookmarkEnd w:id="98"/>
          <w:p>
            <w:pPr>
              <w:keepNext w:val="0"/>
              <w:keepLines w:val="0"/>
              <w:pageBreakBefore w:val="0"/>
              <w:kinsoku/>
              <w:wordWrap/>
              <w:overflowPunct/>
              <w:topLinePunct w:val="0"/>
              <w:bidi w:val="0"/>
              <w:spacing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3.法定代表人授权委托书及委托代理人有效身份证正反面复印件（格式后附）；（</w:t>
            </w:r>
            <w:r>
              <w:rPr>
                <w:rFonts w:hint="eastAsia" w:ascii="宋体" w:hAnsi="宋体" w:eastAsia="宋体" w:cs="宋体"/>
                <w:b/>
                <w:color w:val="auto"/>
                <w:sz w:val="24"/>
                <w:szCs w:val="24"/>
                <w:highlight w:val="none"/>
              </w:rPr>
              <w:t>委托时必须提供，否则响应文件按无效响应处理</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bookmarkStart w:id="99" w:name="OLE_LINK44"/>
            <w:r>
              <w:rPr>
                <w:rFonts w:hint="eastAsia" w:ascii="宋体" w:hAnsi="宋体" w:eastAsia="宋体" w:cs="宋体"/>
                <w:color w:val="auto"/>
                <w:sz w:val="24"/>
                <w:szCs w:val="24"/>
                <w:highlight w:val="none"/>
              </w:rPr>
              <w:t>商务条款偏离表（格式后附）；（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bookmarkEnd w:id="99"/>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bookmarkStart w:id="100" w:name="OLE_LINK45"/>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rPr>
              <w:t>配置清单（均不含报价）（格式后附）（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bookmarkEnd w:id="100"/>
          </w:p>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bookmarkStart w:id="101" w:name="OLE_LINK46"/>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rPr>
              <w:t>需求偏离表（格式后附）；（</w:t>
            </w:r>
            <w:r>
              <w:rPr>
                <w:rFonts w:hint="eastAsia" w:ascii="宋体" w:hAnsi="宋体" w:eastAsia="宋体" w:cs="宋体"/>
                <w:b/>
                <w:color w:val="auto"/>
                <w:sz w:val="24"/>
                <w:szCs w:val="24"/>
                <w:highlight w:val="none"/>
              </w:rPr>
              <w:t>必须提供，否则作无效投标处理</w:t>
            </w:r>
            <w:r>
              <w:rPr>
                <w:rFonts w:hint="eastAsia" w:ascii="宋体" w:hAnsi="宋体" w:eastAsia="宋体" w:cs="宋体"/>
                <w:color w:val="auto"/>
                <w:sz w:val="24"/>
                <w:szCs w:val="24"/>
                <w:highlight w:val="none"/>
              </w:rPr>
              <w:t>）</w:t>
            </w:r>
          </w:p>
          <w:bookmarkEnd w:id="101"/>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bookmarkStart w:id="102" w:name="OLE_LINK47"/>
            <w:r>
              <w:rPr>
                <w:rFonts w:hint="eastAsia" w:ascii="宋体" w:hAnsi="宋体" w:eastAsia="宋体" w:cs="宋体"/>
                <w:color w:val="auto"/>
                <w:sz w:val="24"/>
                <w:szCs w:val="24"/>
                <w:highlight w:val="none"/>
              </w:rPr>
              <w:t>售后服务承诺</w:t>
            </w:r>
            <w:r>
              <w:rPr>
                <w:rFonts w:hint="eastAsia" w:ascii="宋体" w:hAnsi="宋体" w:eastAsia="宋体" w:cs="宋体"/>
                <w:color w:val="auto"/>
                <w:spacing w:val="8"/>
                <w:sz w:val="24"/>
                <w:szCs w:val="24"/>
                <w:highlight w:val="none"/>
              </w:rPr>
              <w:t>（格式自拟</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必须提供，否则响应文件作无效处理</w:t>
            </w:r>
            <w:r>
              <w:rPr>
                <w:rFonts w:hint="eastAsia" w:ascii="宋体" w:hAnsi="宋体" w:eastAsia="宋体" w:cs="宋体"/>
                <w:color w:val="auto"/>
                <w:sz w:val="24"/>
                <w:szCs w:val="24"/>
                <w:highlight w:val="none"/>
              </w:rPr>
              <w:t>）</w:t>
            </w:r>
            <w:bookmarkEnd w:id="102"/>
          </w:p>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8</w:t>
            </w:r>
            <w:r>
              <w:rPr>
                <w:rFonts w:hint="eastAsia" w:ascii="宋体" w:hAnsi="宋体" w:cs="宋体"/>
                <w:color w:val="auto"/>
                <w:spacing w:val="8"/>
                <w:sz w:val="24"/>
                <w:szCs w:val="24"/>
                <w:highlight w:val="none"/>
                <w:lang w:val="en-US" w:eastAsia="zh-CN"/>
              </w:rPr>
              <w:t>.</w:t>
            </w:r>
            <w:r>
              <w:rPr>
                <w:rFonts w:hint="eastAsia" w:ascii="宋体" w:hAnsi="宋体" w:eastAsia="宋体" w:cs="宋体"/>
                <w:color w:val="auto"/>
                <w:sz w:val="24"/>
                <w:szCs w:val="24"/>
                <w:highlight w:val="none"/>
                <w:lang w:val="en-US" w:eastAsia="zh-CN"/>
              </w:rPr>
              <w:t>《关于符合本国产品标准的声明函》或者财政部会同有关部门规定的有关证明文件；（供应商根据自身响应情况出具）</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w:t>
            </w:r>
            <w:bookmarkStart w:id="103" w:name="OLE_LINK48"/>
            <w:r>
              <w:rPr>
                <w:rFonts w:hint="eastAsia" w:ascii="宋体" w:hAnsi="宋体" w:eastAsia="宋体" w:cs="宋体"/>
                <w:color w:val="auto"/>
                <w:kern w:val="2"/>
                <w:sz w:val="24"/>
                <w:szCs w:val="24"/>
                <w:highlight w:val="none"/>
                <w:lang w:val="en-US" w:eastAsia="zh-CN" w:bidi="ar-SA"/>
              </w:rPr>
              <w:t>项目实施方案（格式自拟）</w:t>
            </w:r>
            <w:r>
              <w:rPr>
                <w:color w:val="auto"/>
                <w:spacing w:val="3"/>
                <w:highlight w:val="none"/>
              </w:rPr>
              <w:t>；（</w:t>
            </w:r>
            <w:r>
              <w:rPr>
                <w:b/>
                <w:bCs/>
                <w:color w:val="auto"/>
                <w:spacing w:val="9"/>
                <w:highlight w:val="none"/>
              </w:rPr>
              <w:t>必须提供，否则响应文件按无效处理</w:t>
            </w:r>
            <w:r>
              <w:rPr>
                <w:color w:val="auto"/>
                <w:spacing w:val="9"/>
                <w:highlight w:val="none"/>
              </w:rPr>
              <w:t>）</w:t>
            </w:r>
          </w:p>
          <w:bookmarkEnd w:id="103"/>
          <w:p>
            <w:pPr>
              <w:pStyle w:val="13"/>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项目实施人员一览表； （</w:t>
            </w:r>
            <w:r>
              <w:rPr>
                <w:rFonts w:hint="eastAsia" w:ascii="宋体" w:hAnsi="宋体" w:eastAsia="宋体" w:cs="宋体"/>
                <w:b/>
                <w:color w:val="auto"/>
                <w:sz w:val="24"/>
                <w:szCs w:val="24"/>
                <w:highlight w:val="none"/>
              </w:rPr>
              <w:t>如有，请提供</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bidi="ar"/>
              </w:rPr>
              <w:t>格式自拟</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除</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文件规定必须提供以外，投标人认为需要提供的其他证明材料。</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注： </w:t>
            </w:r>
          </w:p>
          <w:p>
            <w:pPr>
              <w:keepNext w:val="0"/>
              <w:keepLines w:val="0"/>
              <w:pageBreakBefore w:val="0"/>
              <w:kinsoku/>
              <w:wordWrap/>
              <w:overflowPunct/>
              <w:topLinePunct w:val="0"/>
              <w:bidi w:val="0"/>
              <w:snapToGrid w:val="0"/>
              <w:spacing w:line="440" w:lineRule="exact"/>
              <w:ind w:firstLine="472" w:firstLineChars="196"/>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1.法定代表人授权委托书必须由法定代表人及委托代理人签字，并加盖供应商公章，否则响应文件按无效响应处理。</w:t>
            </w:r>
          </w:p>
          <w:p>
            <w:pPr>
              <w:keepNext w:val="0"/>
              <w:keepLines w:val="0"/>
              <w:pageBreakBefore w:val="0"/>
              <w:kinsoku/>
              <w:wordWrap/>
              <w:overflowPunct/>
              <w:topLinePunct w:val="0"/>
              <w:bidi w:val="0"/>
              <w:spacing w:line="440" w:lineRule="exact"/>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2.以上标明“必须提供”的材料属于复印件的扫描件的，必须加盖供应商公章，否则响应文件按无效响应处理。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1D41D5"/>
                <w:sz w:val="24"/>
                <w:szCs w:val="24"/>
                <w:highlight w:val="none"/>
              </w:rPr>
              <w:t>12.1.</w:t>
            </w:r>
            <w:r>
              <w:rPr>
                <w:rFonts w:hint="eastAsia" w:ascii="宋体" w:hAnsi="宋体" w:cs="宋体"/>
                <w:color w:val="1D41D5"/>
                <w:sz w:val="24"/>
                <w:szCs w:val="24"/>
                <w:highlight w:val="none"/>
                <w:lang w:val="en-US" w:eastAsia="zh-CN"/>
              </w:rPr>
              <w:t>3</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abs>
                <w:tab w:val="left" w:pos="459"/>
              </w:tabs>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bookmarkStart w:id="104" w:name="OLE_LINK49"/>
            <w:r>
              <w:rPr>
                <w:rFonts w:hint="eastAsia" w:ascii="宋体" w:hAnsi="宋体" w:eastAsia="宋体" w:cs="宋体"/>
                <w:color w:val="auto"/>
                <w:sz w:val="24"/>
                <w:szCs w:val="24"/>
                <w:highlight w:val="none"/>
              </w:rPr>
              <w:t>响应函（格式后附）；</w:t>
            </w:r>
            <w:r>
              <w:rPr>
                <w:rFonts w:hint="eastAsia" w:ascii="宋体" w:hAnsi="宋体" w:eastAsia="宋体" w:cs="宋体"/>
                <w:b/>
                <w:color w:val="auto"/>
                <w:sz w:val="24"/>
                <w:szCs w:val="24"/>
                <w:highlight w:val="none"/>
              </w:rPr>
              <w:t>（必须提供，否则作无效响应处理）</w:t>
            </w:r>
            <w:bookmarkEnd w:id="104"/>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Start w:id="105" w:name="OLE_LINK50"/>
            <w:r>
              <w:rPr>
                <w:rFonts w:hint="eastAsia" w:ascii="宋体" w:hAnsi="宋体" w:eastAsia="宋体" w:cs="宋体"/>
                <w:color w:val="auto"/>
                <w:sz w:val="24"/>
                <w:szCs w:val="24"/>
                <w:highlight w:val="none"/>
              </w:rPr>
              <w:t>响应报价表（格式后附）；（</w:t>
            </w:r>
            <w:r>
              <w:rPr>
                <w:rFonts w:hint="eastAsia" w:ascii="宋体" w:hAnsi="宋体" w:eastAsia="宋体" w:cs="宋体"/>
                <w:b/>
                <w:color w:val="auto"/>
                <w:sz w:val="24"/>
                <w:szCs w:val="24"/>
                <w:highlight w:val="none"/>
              </w:rPr>
              <w:t>必须提供，否则响应文件按无效响应处理</w:t>
            </w:r>
            <w:r>
              <w:rPr>
                <w:rFonts w:hint="eastAsia" w:ascii="宋体" w:hAnsi="宋体" w:eastAsia="宋体" w:cs="宋体"/>
                <w:color w:val="auto"/>
                <w:sz w:val="24"/>
                <w:szCs w:val="24"/>
                <w:highlight w:val="none"/>
              </w:rPr>
              <w:t>）</w:t>
            </w:r>
            <w:bookmarkEnd w:id="105"/>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pacing w:val="8"/>
                <w:sz w:val="24"/>
                <w:szCs w:val="24"/>
                <w:highlight w:val="none"/>
              </w:rPr>
              <w:t>供应商针对报价需要说明的其他文件和说明</w:t>
            </w:r>
            <w:r>
              <w:rPr>
                <w:rFonts w:hint="eastAsia" w:ascii="宋体" w:hAnsi="宋体" w:eastAsia="宋体" w:cs="宋体"/>
                <w:b/>
                <w:bCs/>
                <w:color w:val="auto"/>
                <w:spacing w:val="8"/>
                <w:sz w:val="24"/>
                <w:szCs w:val="24"/>
                <w:highlight w:val="none"/>
              </w:rPr>
              <w:t>（格式自拟）。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12.2</w:t>
            </w:r>
          </w:p>
        </w:tc>
        <w:tc>
          <w:tcPr>
            <w:tcW w:w="2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 w:val="24"/>
                <w:szCs w:val="24"/>
                <w:highlight w:val="none"/>
              </w:rPr>
              <w:t>否则响应文件按无效响应处理</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2.响应文件电子版密封方式：电子响应文件通过平台有效CA加密后在“广西政府采购云平台”平台投送。</w:t>
            </w:r>
          </w:p>
          <w:p>
            <w:pPr>
              <w:pStyle w:val="21"/>
              <w:keepNext w:val="0"/>
              <w:keepLines w:val="0"/>
              <w:pageBreakBefore w:val="0"/>
              <w:kinsoku/>
              <w:wordWrap/>
              <w:overflowPunct/>
              <w:topLinePunct w:val="0"/>
              <w:bidi w:val="0"/>
              <w:spacing w:line="44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注：投标客户端生成电子标书时，同时自动生成加密标书和备份标书。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jc w:val="left"/>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响应总报价为现场交货价，包括：</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（1）货物的价格；</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（2）必要的保险费用和各项税金；</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（3）其他： 包括货款、随配附件、备品备件、专用工具、包装、运输、装卸、保险、运抵指定交货地点、送货上门服务、现场安装调试、保修等各种费用和售后服务、培训、税金及其他所有成本费用的总和。</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
                <w:bCs/>
                <w:color w:val="auto"/>
                <w:kern w:val="2"/>
                <w:sz w:val="24"/>
                <w:szCs w:val="24"/>
                <w:highlight w:val="none"/>
                <w:lang w:val="en-US" w:eastAsia="zh-CN"/>
              </w:rPr>
              <w:t>备注：竞标报价不得超过项目预算金额。</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b/>
                <w:bCs/>
                <w:color w:val="auto"/>
                <w:kern w:val="2"/>
                <w:sz w:val="24"/>
                <w:szCs w:val="24"/>
                <w:highlight w:val="none"/>
                <w:lang w:val="en-US" w:eastAsia="zh-CN"/>
              </w:rPr>
            </w:pPr>
            <w:r>
              <w:rPr>
                <w:rFonts w:hint="eastAsia" w:ascii="宋体" w:hAnsi="宋体" w:eastAsia="宋体" w:cs="宋体"/>
                <w:bCs/>
                <w:strike w:val="0"/>
                <w:dstrike w:val="0"/>
                <w:color w:val="auto"/>
                <w:kern w:val="0"/>
                <w:sz w:val="21"/>
                <w:szCs w:val="21"/>
                <w:highlight w:val="none"/>
                <w:lang w:val="en-US" w:eastAsia="zh-CN"/>
              </w:rPr>
              <w:t>竞标</w:t>
            </w:r>
            <w:r>
              <w:rPr>
                <w:rFonts w:hint="eastAsia" w:ascii="宋体" w:hAnsi="宋体" w:eastAsia="宋体" w:cs="宋体"/>
                <w:bCs/>
                <w:strike w:val="0"/>
                <w:dstrike w:val="0"/>
                <w:color w:val="auto"/>
                <w:kern w:val="0"/>
                <w:sz w:val="21"/>
                <w:szCs w:val="21"/>
                <w:highlight w:val="none"/>
              </w:rPr>
              <w:t>报价包含货物、随配附件、备品备件、工具、运抵指定交货地点、现场安装、安装调试、安装所需材料、委托培训费和售后服务、税金、检验、验收及其他所有成本费用的总和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numPr>
                <w:ilvl w:val="0"/>
                <w:numId w:val="0"/>
              </w:numPr>
              <w:tabs>
                <w:tab w:val="left" w:pos="840"/>
              </w:tabs>
              <w:kinsoku/>
              <w:wordWrap/>
              <w:overflowPunct/>
              <w:topLinePunct w:val="0"/>
              <w:bidi w:val="0"/>
              <w:snapToGrid w:val="0"/>
              <w:spacing w:after="120" w:line="440" w:lineRule="exact"/>
              <w:ind w:leftChars="-1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自首次响应文件提交截止之日起</w:t>
            </w:r>
            <w:r>
              <w:rPr>
                <w:rFonts w:hint="eastAsia" w:ascii="宋体" w:hAnsi="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保证金</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val="0"/>
              <w:autoSpaceDN w:val="0"/>
              <w:bidi w:val="0"/>
              <w:snapToGrid w:val="0"/>
              <w:spacing w:line="440" w:lineRule="exac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本项目不收取</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104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详见竞争性</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rPr>
                <w:rFonts w:hint="eastAsia" w:ascii="宋体" w:hAnsi="宋体" w:eastAsia="宋体" w:cs="宋体"/>
                <w:color w:val="auto"/>
                <w:sz w:val="24"/>
                <w:szCs w:val="24"/>
                <w:highlight w:val="none"/>
              </w:rPr>
            </w:pP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详见竞争性</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公告。</w:t>
            </w:r>
          </w:p>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按照</w:t>
            </w:r>
            <w:r>
              <w:rPr>
                <w:rFonts w:hint="eastAsia" w:ascii="宋体" w:hAnsi="宋体" w:eastAsia="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文件规定加盖电子印章、加密后生成响应文件，通过广西政府采购网广西政府采购云平台平台在线提交，逾期提交的系统自动默认放弃。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20.6</w:t>
            </w:r>
          </w:p>
        </w:tc>
        <w:tc>
          <w:tcPr>
            <w:tcW w:w="2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详见竞争性</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04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商务条款评审中允许负偏离的条款数为</w:t>
            </w:r>
            <w:r>
              <w:rPr>
                <w:rFonts w:hint="eastAsia" w:ascii="宋体" w:hAnsi="宋体" w:eastAsia="宋体" w:cs="宋体"/>
                <w:b w:val="0"/>
                <w:bCs w:val="0"/>
                <w:color w:val="auto"/>
                <w:sz w:val="24"/>
                <w:szCs w:val="24"/>
                <w:highlight w:val="none"/>
                <w:u w:val="single"/>
              </w:rPr>
              <w:t xml:space="preserve"> 0  </w:t>
            </w:r>
            <w:r>
              <w:rPr>
                <w:rFonts w:hint="eastAsia" w:ascii="宋体" w:hAnsi="宋体" w:eastAsia="宋体" w:cs="宋体"/>
                <w:b w:val="0"/>
                <w:bCs w:val="0"/>
                <w:color w:val="auto"/>
                <w:sz w:val="24"/>
                <w:szCs w:val="24"/>
                <w:highlight w:val="none"/>
              </w:rPr>
              <w:t>项。</w:t>
            </w:r>
          </w:p>
          <w:p>
            <w:pPr>
              <w:keepNext w:val="0"/>
              <w:keepLines w:val="0"/>
              <w:pageBreakBefore w:val="0"/>
              <w:kinsoku/>
              <w:wordWrap/>
              <w:overflowPunct/>
              <w:topLinePunct w:val="0"/>
              <w:bidi w:val="0"/>
              <w:snapToGrid w:val="0"/>
              <w:spacing w:line="440" w:lineRule="exact"/>
              <w:rPr>
                <w:rFonts w:hint="eastAsia" w:ascii="宋体" w:hAnsi="宋体" w:eastAsia="宋体" w:cs="宋体"/>
                <w:b/>
                <w:bCs/>
                <w:color w:val="auto"/>
                <w:sz w:val="24"/>
                <w:szCs w:val="24"/>
                <w:highlight w:val="none"/>
              </w:rPr>
            </w:pPr>
            <w:r>
              <w:rPr>
                <w:rFonts w:hint="eastAsia" w:ascii="宋体" w:hAnsi="宋体" w:eastAsia="宋体" w:cs="宋体"/>
                <w:b w:val="0"/>
                <w:bCs w:val="0"/>
                <w:color w:val="auto"/>
                <w:sz w:val="24"/>
                <w:szCs w:val="24"/>
                <w:highlight w:val="none"/>
                <w:lang w:val="en-US" w:eastAsia="zh-CN"/>
              </w:rPr>
              <w:t>技术</w:t>
            </w:r>
            <w:r>
              <w:rPr>
                <w:rFonts w:hint="eastAsia" w:ascii="宋体" w:hAnsi="宋体" w:eastAsia="宋体" w:cs="宋体"/>
                <w:b w:val="0"/>
                <w:bCs w:val="0"/>
                <w:color w:val="auto"/>
                <w:sz w:val="24"/>
                <w:szCs w:val="24"/>
                <w:highlight w:val="none"/>
              </w:rPr>
              <w:t>需求</w:t>
            </w:r>
            <w:r>
              <w:rPr>
                <w:rFonts w:hint="eastAsia" w:ascii="宋体" w:hAnsi="宋体" w:eastAsia="宋体" w:cs="宋体"/>
                <w:b w:val="0"/>
                <w:bCs w:val="0"/>
                <w:color w:val="auto"/>
                <w:sz w:val="24"/>
                <w:szCs w:val="24"/>
                <w:highlight w:val="none"/>
                <w:lang w:val="en-US" w:eastAsia="zh-CN"/>
              </w:rPr>
              <w:t>参数</w:t>
            </w:r>
            <w:r>
              <w:rPr>
                <w:rFonts w:hint="eastAsia" w:ascii="宋体" w:hAnsi="宋体" w:eastAsia="宋体" w:cs="宋体"/>
                <w:b w:val="0"/>
                <w:bCs w:val="0"/>
                <w:color w:val="auto"/>
                <w:sz w:val="24"/>
                <w:szCs w:val="24"/>
                <w:highlight w:val="none"/>
              </w:rPr>
              <w:t>评审中允许负偏离的条款数为</w:t>
            </w:r>
            <w:r>
              <w:rPr>
                <w:rFonts w:hint="eastAsia" w:ascii="宋体" w:hAnsi="宋体" w:eastAsia="宋体" w:cs="宋体"/>
                <w:b w:val="0"/>
                <w:bCs w:val="0"/>
                <w:color w:val="auto"/>
                <w:sz w:val="24"/>
                <w:szCs w:val="24"/>
                <w:highlight w:val="none"/>
                <w:u w:val="single"/>
              </w:rPr>
              <w:t xml:space="preserve"> </w:t>
            </w:r>
            <w:r>
              <w:rPr>
                <w:rFonts w:hint="eastAsia" w:ascii="宋体" w:hAnsi="宋体" w:eastAsia="宋体" w:cs="宋体"/>
                <w:b w:val="0"/>
                <w:bCs w:val="0"/>
                <w:color w:val="auto"/>
                <w:sz w:val="24"/>
                <w:szCs w:val="24"/>
                <w:highlight w:val="none"/>
                <w:u w:val="single"/>
                <w:lang w:val="en-US" w:eastAsia="zh-CN"/>
              </w:rPr>
              <w:t>3</w:t>
            </w:r>
            <w:r>
              <w:rPr>
                <w:rFonts w:hint="eastAsia" w:ascii="宋体" w:hAnsi="宋体" w:eastAsia="宋体" w:cs="宋体"/>
                <w:b w:val="0"/>
                <w:bCs w:val="0"/>
                <w:color w:val="auto"/>
                <w:sz w:val="24"/>
                <w:szCs w:val="24"/>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043"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谈判的顺序</w:t>
            </w:r>
          </w:p>
        </w:tc>
        <w:tc>
          <w:tcPr>
            <w:tcW w:w="6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sz w:val="24"/>
                <w:szCs w:val="24"/>
                <w:highlight w:val="none"/>
              </w:rPr>
              <w:t>系统自动提取的顺序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043" w:type="dxa"/>
            <w:vMerge w:val="continue"/>
            <w:tcBorders>
              <w:left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评审方法</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本项目采用最低评标价法。最低评标价法是指响应文件满足竞争性谈判文件全部实质性要求且评审价最低的供应商为成交候选人的评审方法。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rPr>
                <w:rFonts w:hint="eastAsia" w:ascii="宋体" w:hAnsi="宋体" w:eastAsia="宋体" w:cs="宋体"/>
                <w:color w:val="auto"/>
                <w:sz w:val="24"/>
                <w:szCs w:val="24"/>
                <w:highlight w:val="none"/>
              </w:rPr>
            </w:pP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评审价相同时成交原则</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评审价相同时，按照最后报价由低到高顺序依次推荐；最后报价相同时，按以下原则确定成交候选人的顺序：</w:t>
            </w:r>
          </w:p>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依次按带“▲”的实质性要求正偏离项数多的优先、均无正偏离或者正偏离项数一致时负偏离项数少的优先、质量保证期长优先、交货期短优先、故障响应时间短优先的顺序排列。</w:t>
            </w:r>
          </w:p>
          <w:p>
            <w:pPr>
              <w:keepNext w:val="0"/>
              <w:keepLines w:val="0"/>
              <w:pageBreakBefore w:val="0"/>
              <w:kinsoku/>
              <w:wordWrap/>
              <w:overflowPunct/>
              <w:topLinePunct w:val="0"/>
              <w:bidi w:val="0"/>
              <w:spacing w:line="440" w:lineRule="exac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□由谈判小组推荐代表随机抽取。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本项目不收取履约保证金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29.1</w:t>
            </w:r>
          </w:p>
        </w:tc>
        <w:tc>
          <w:tcPr>
            <w:tcW w:w="2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签订合同</w:t>
            </w:r>
          </w:p>
        </w:tc>
        <w:tc>
          <w:tcPr>
            <w:tcW w:w="6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签订合同时间：自成交通知书发出之日起</w:t>
            </w:r>
            <w:r>
              <w:rPr>
                <w:rFonts w:hint="eastAsia" w:ascii="宋体" w:hAnsi="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rPr>
              <w:t xml:space="preserve">日内。 </w:t>
            </w:r>
          </w:p>
          <w:p>
            <w:pPr>
              <w:keepNext w:val="0"/>
              <w:keepLines w:val="0"/>
              <w:pageBreakBefore w:val="0"/>
              <w:kinsoku/>
              <w:wordWrap/>
              <w:overflowPunct/>
              <w:topLinePunct w:val="0"/>
              <w:bidi w:val="0"/>
              <w:spacing w:line="44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签订合同注意事项：</w:t>
            </w:r>
          </w:p>
          <w:p>
            <w:pPr>
              <w:keepNext w:val="0"/>
              <w:keepLines w:val="0"/>
              <w:pageBreakBefore w:val="0"/>
              <w:kinsoku/>
              <w:wordWrap/>
              <w:overflowPunct/>
              <w:topLinePunct w:val="0"/>
              <w:bidi w:val="0"/>
              <w:snapToGrid w:val="0"/>
              <w:spacing w:line="44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崇左市全市的政府采购项目推行政府采购项目电子合同在线签订，政府采购合同需由采购人与成交供应商在广西政府采购云平台在线签订电子合同。成交 供应商需及时办理公司电子印章及法人（合同签订授权人）电子签章。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29.5</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使用的有效CA证书加盖单位电子公章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30</w:t>
            </w:r>
          </w:p>
        </w:tc>
        <w:tc>
          <w:tcPr>
            <w:tcW w:w="24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政府采购合同公告</w:t>
            </w:r>
          </w:p>
        </w:tc>
        <w:tc>
          <w:tcPr>
            <w:tcW w:w="6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根据《中华人民共和国政府采购法实施条例》第五十条规定，采购人应当自政府采购合同签订之日起 2 个工作日内，将政府采购合同在省级以上人民政府财政部门指定的媒体上公告，但政府采购合同中涉及国家秘密、商业秘密的内容除外。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w:t>
            </w:r>
            <w:r>
              <w:rPr>
                <w:rFonts w:hint="eastAsia" w:ascii="宋体" w:hAnsi="宋体" w:eastAsia="宋体" w:cs="宋体"/>
                <w:color w:val="auto"/>
                <w:sz w:val="24"/>
                <w:szCs w:val="24"/>
                <w:highlight w:val="none"/>
                <w:lang w:val="en-US" w:eastAsia="zh-CN"/>
              </w:rPr>
              <w:t>事项</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napToGrid w:val="0"/>
              <w:spacing w:line="44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1.接收质疑函方式：以书面形式</w:t>
            </w:r>
          </w:p>
          <w:p>
            <w:pPr>
              <w:pStyle w:val="17"/>
              <w:keepNext w:val="0"/>
              <w:keepLines w:val="0"/>
              <w:pageBreakBefore w:val="0"/>
              <w:kinsoku/>
              <w:wordWrap/>
              <w:overflowPunct/>
              <w:topLinePunct w:val="0"/>
              <w:bidi w:val="0"/>
              <w:snapToGrid w:val="0"/>
              <w:spacing w:line="440" w:lineRule="exac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质疑联系部门及联系方式：</w:t>
            </w:r>
            <w:r>
              <w:rPr>
                <w:rFonts w:hint="eastAsia" w:hAnsi="宋体" w:cs="宋体"/>
                <w:color w:val="auto"/>
                <w:kern w:val="0"/>
                <w:sz w:val="24"/>
                <w:szCs w:val="24"/>
                <w:highlight w:val="none"/>
                <w:lang w:val="en-US" w:eastAsia="zh-CN" w:bidi="ar-SA"/>
              </w:rPr>
              <w:t>广西同泽工程项目管理股份有限公司</w:t>
            </w:r>
            <w:r>
              <w:rPr>
                <w:rFonts w:hint="eastAsia" w:ascii="宋体" w:hAnsi="宋体" w:eastAsia="宋体" w:cs="宋体"/>
                <w:color w:val="auto"/>
                <w:kern w:val="0"/>
                <w:sz w:val="24"/>
                <w:szCs w:val="24"/>
                <w:highlight w:val="none"/>
                <w:lang w:val="en-US" w:eastAsia="zh-CN" w:bidi="ar-SA"/>
              </w:rPr>
              <w:t>，联系电话：0771-</w:t>
            </w:r>
            <w:r>
              <w:rPr>
                <w:rFonts w:hint="eastAsia" w:hAnsi="宋体" w:cs="宋体"/>
                <w:color w:val="auto"/>
                <w:kern w:val="0"/>
                <w:sz w:val="24"/>
                <w:szCs w:val="24"/>
                <w:highlight w:val="none"/>
                <w:lang w:val="en-US" w:eastAsia="zh-CN" w:bidi="ar-SA"/>
              </w:rPr>
              <w:t>5590098</w:t>
            </w:r>
            <w:r>
              <w:rPr>
                <w:rFonts w:hint="eastAsia" w:ascii="宋体" w:hAnsi="宋体" w:eastAsia="宋体" w:cs="宋体"/>
                <w:color w:val="auto"/>
                <w:kern w:val="0"/>
                <w:sz w:val="24"/>
                <w:szCs w:val="24"/>
                <w:highlight w:val="none"/>
                <w:lang w:val="en-US" w:eastAsia="zh-CN" w:bidi="ar-SA"/>
              </w:rPr>
              <w:t>，通讯地址：南宁市良庆区凯旋路16号裕达国际中心广东大厦1103室</w:t>
            </w:r>
          </w:p>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SA"/>
              </w:rPr>
              <w:t>2.</w:t>
            </w:r>
            <w:r>
              <w:rPr>
                <w:rFonts w:hint="eastAsia" w:ascii="宋体" w:hAnsi="宋体" w:eastAsia="宋体" w:cs="宋体"/>
                <w:color w:val="auto"/>
                <w:sz w:val="24"/>
                <w:szCs w:val="24"/>
                <w:highlight w:val="none"/>
              </w:rPr>
              <w:t>现场提交质疑办理业务时间</w:t>
            </w:r>
            <w:r>
              <w:rPr>
                <w:rFonts w:hint="eastAsia" w:ascii="宋体" w:hAnsi="宋体" w:eastAsia="宋体" w:cs="宋体"/>
                <w:color w:val="auto"/>
                <w:kern w:val="0"/>
                <w:sz w:val="24"/>
                <w:szCs w:val="24"/>
                <w:highlight w:val="none"/>
                <w:lang w:val="en-US" w:eastAsia="zh-CN" w:bidi="ar-SA"/>
              </w:rPr>
              <w:t>：每天上午9时00分到12时00分，下午1</w:t>
            </w:r>
            <w:r>
              <w:rPr>
                <w:rFonts w:hint="eastAsia" w:ascii="宋体" w:hAnsi="宋体" w:cs="宋体"/>
                <w:color w:val="auto"/>
                <w:kern w:val="0"/>
                <w:sz w:val="24"/>
                <w:szCs w:val="24"/>
                <w:highlight w:val="none"/>
                <w:lang w:val="en-US" w:eastAsia="zh-CN" w:bidi="ar-SA"/>
              </w:rPr>
              <w:t>4</w:t>
            </w:r>
            <w:r>
              <w:rPr>
                <w:rFonts w:hint="eastAsia" w:ascii="宋体" w:hAnsi="宋体" w:eastAsia="宋体" w:cs="宋体"/>
                <w:color w:val="auto"/>
                <w:kern w:val="0"/>
                <w:sz w:val="24"/>
                <w:szCs w:val="24"/>
                <w:highlight w:val="none"/>
                <w:lang w:val="en-US" w:eastAsia="zh-CN" w:bidi="ar-SA"/>
              </w:rPr>
              <w:t>时</w:t>
            </w:r>
            <w:r>
              <w:rPr>
                <w:rFonts w:hint="eastAsia" w:ascii="宋体" w:hAnsi="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0分到1</w:t>
            </w:r>
            <w:r>
              <w:rPr>
                <w:rFonts w:hint="eastAsia" w:ascii="宋体" w:hAnsi="宋体" w:cs="宋体"/>
                <w:color w:val="auto"/>
                <w:kern w:val="0"/>
                <w:sz w:val="24"/>
                <w:szCs w:val="24"/>
                <w:highlight w:val="none"/>
                <w:lang w:val="en-US" w:eastAsia="zh-CN" w:bidi="ar-SA"/>
              </w:rPr>
              <w:t>7</w:t>
            </w:r>
            <w:r>
              <w:rPr>
                <w:rFonts w:hint="eastAsia" w:ascii="宋体" w:hAnsi="宋体" w:eastAsia="宋体" w:cs="宋体"/>
                <w:color w:val="auto"/>
                <w:kern w:val="0"/>
                <w:sz w:val="24"/>
                <w:szCs w:val="24"/>
                <w:highlight w:val="none"/>
                <w:lang w:val="en-US" w:eastAsia="zh-CN" w:bidi="ar-SA"/>
              </w:rPr>
              <w:t>时</w:t>
            </w:r>
            <w:r>
              <w:rPr>
                <w:rFonts w:hint="eastAsia" w:ascii="宋体" w:hAnsi="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0分，双休日和法定节假日不办理业务。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7"/>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采购代理服务费支付方式：</w:t>
            </w:r>
          </w:p>
          <w:p>
            <w:pPr>
              <w:keepNext w:val="0"/>
              <w:keepLines w:val="0"/>
              <w:pageBreakBefore w:val="0"/>
              <w:kinsoku/>
              <w:wordWrap/>
              <w:overflowPunct/>
              <w:topLinePunct w:val="0"/>
              <w:bidi w:val="0"/>
              <w:snapToGrid w:val="0"/>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rPr>
              <w:t>以中标金额为计费额</w:t>
            </w:r>
            <w:r>
              <w:rPr>
                <w:rFonts w:hint="eastAsia" w:ascii="宋体" w:hAnsi="宋体" w:eastAsia="宋体" w:cs="宋体"/>
                <w:color w:val="auto"/>
                <w:sz w:val="24"/>
                <w:szCs w:val="24"/>
                <w:highlight w:val="none"/>
                <w:lang w:val="en-US" w:eastAsia="zh-CN"/>
              </w:rPr>
              <w:t>计算的代理服务</w:t>
            </w:r>
            <w:r>
              <w:rPr>
                <w:rFonts w:hint="eastAsia" w:ascii="宋体" w:hAnsi="宋体" w:eastAsia="宋体" w:cs="宋体"/>
                <w:b w:val="0"/>
                <w:bCs w:val="0"/>
                <w:color w:val="auto"/>
                <w:sz w:val="24"/>
                <w:szCs w:val="24"/>
                <w:highlight w:val="none"/>
                <w:lang w:val="en-US" w:eastAsia="zh-CN"/>
              </w:rPr>
              <w:t>费</w:t>
            </w:r>
            <w:r>
              <w:rPr>
                <w:rFonts w:hint="eastAsia" w:ascii="宋体" w:hAnsi="宋体" w:eastAsia="宋体" w:cs="宋体"/>
                <w:b w:val="0"/>
                <w:bCs w:val="0"/>
                <w:color w:val="auto"/>
                <w:spacing w:val="-6"/>
                <w:sz w:val="24"/>
                <w:szCs w:val="24"/>
                <w:highlight w:val="none"/>
                <w:u w:val="none"/>
              </w:rPr>
              <w:t>，参照国家计委《招标代理服务收费管理暂行办法》（计价格【2002】1980号》规定及发改价格[2011]534号文规定的差额定律累进法收费标准下浮20%向成交供应商收取</w:t>
            </w:r>
            <w:r>
              <w:rPr>
                <w:rFonts w:hint="eastAsia" w:ascii="宋体" w:hAnsi="宋体" w:cs="宋体"/>
                <w:b w:val="0"/>
                <w:bCs w:val="0"/>
                <w:color w:val="auto"/>
                <w:spacing w:val="-6"/>
                <w:sz w:val="24"/>
                <w:szCs w:val="24"/>
                <w:highlight w:val="none"/>
                <w:u w:val="none"/>
                <w:lang w:eastAsia="zh-CN"/>
              </w:rPr>
              <w:t>，</w:t>
            </w:r>
            <w:r>
              <w:rPr>
                <w:rFonts w:hint="eastAsia" w:ascii="宋体" w:hAnsi="宋体" w:eastAsia="宋体" w:cs="宋体"/>
                <w:color w:val="auto"/>
                <w:sz w:val="24"/>
                <w:szCs w:val="24"/>
                <w:highlight w:val="none"/>
                <w:lang w:val="en-US" w:eastAsia="zh-CN"/>
              </w:rPr>
              <w:t>由成交供应商在领取成交通知书前，一次性向采购代理机构支付。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解释</w:t>
            </w:r>
          </w:p>
        </w:tc>
        <w:tc>
          <w:tcPr>
            <w:tcW w:w="68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tabs>
                <w:tab w:val="left" w:pos="1080"/>
              </w:tabs>
              <w:kinsoku/>
              <w:wordWrap/>
              <w:overflowPunct/>
              <w:topLinePunct w:val="0"/>
              <w:bidi w:val="0"/>
              <w:spacing w:line="440" w:lineRule="exac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解释：</w:t>
            </w:r>
            <w:r>
              <w:rPr>
                <w:rFonts w:hint="eastAsia" w:ascii="宋体" w:hAnsi="宋体" w:eastAsia="宋体" w:cs="宋体"/>
                <w:color w:val="auto"/>
                <w:kern w:val="0"/>
                <w:sz w:val="24"/>
                <w:highlight w:val="none"/>
              </w:rPr>
              <w:t>构成本谈判文件的各个组成文件应互为解释，互为说明；除谈判文件中有特别规定外，仅适用于竞标阶段的规定，按更正公告（澄清公告）、竞争性谈判公告、采购需求、供应商须知、</w:t>
            </w:r>
            <w:r>
              <w:rPr>
                <w:rFonts w:hint="eastAsia" w:ascii="宋体" w:hAnsi="宋体" w:eastAsia="宋体" w:cs="宋体"/>
                <w:bCs/>
                <w:color w:val="auto"/>
                <w:kern w:val="44"/>
                <w:sz w:val="24"/>
                <w:highlight w:val="none"/>
                <w:lang w:val="zh-CN"/>
              </w:rPr>
              <w:t>评审程序和评定成交的标准</w:t>
            </w:r>
            <w:r>
              <w:rPr>
                <w:rFonts w:hint="eastAsia" w:ascii="宋体" w:hAnsi="宋体" w:eastAsia="宋体" w:cs="宋体"/>
                <w:color w:val="auto"/>
                <w:kern w:val="0"/>
                <w:sz w:val="24"/>
                <w:highlight w:val="none"/>
              </w:rPr>
              <w:t>、响应文件格式、合同文本的先后顺序解释；同一组成文件中就同一事项的规定或者约定不一致的，以编排顺序在后者为准；同一组成文件不同版本之间有不一致的，以形成时间在后者为准；更正公告（澄清公告）与同步更新的谈判文件不一致时以更正公告（澄清公告）为准。按本款前述规定仍不能形成结论的，</w:t>
            </w:r>
            <w:r>
              <w:rPr>
                <w:rFonts w:hint="eastAsia" w:ascii="宋体" w:hAnsi="宋体" w:eastAsia="宋体" w:cs="宋体"/>
                <w:b/>
                <w:color w:val="auto"/>
                <w:kern w:val="0"/>
                <w:sz w:val="24"/>
                <w:highlight w:val="none"/>
              </w:rPr>
              <w:t>由采购人或者采购代理机构负责解释。</w:t>
            </w:r>
          </w:p>
          <w:p>
            <w:pPr>
              <w:keepNext w:val="0"/>
              <w:keepLines w:val="0"/>
              <w:pageBreakBefore w:val="0"/>
              <w:tabs>
                <w:tab w:val="left" w:pos="1080"/>
              </w:tabs>
              <w:kinsoku/>
              <w:wordWrap/>
              <w:overflowPunct/>
              <w:topLinePunct w:val="0"/>
              <w:bidi w:val="0"/>
              <w:spacing w:line="440" w:lineRule="exact"/>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法律责任：</w:t>
            </w:r>
          </w:p>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kern w:val="0"/>
                <w:sz w:val="24"/>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w:t>
            </w:r>
          </w:p>
        </w:tc>
        <w:tc>
          <w:tcPr>
            <w:tcW w:w="24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6850" w:type="dxa"/>
            <w:tcBorders>
              <w:top w:val="single" w:color="000000" w:sz="4" w:space="0"/>
              <w:left w:val="single" w:color="000000" w:sz="4" w:space="0"/>
              <w:bottom w:val="single" w:color="000000" w:sz="4" w:space="0"/>
              <w:right w:val="single" w:color="000000" w:sz="4" w:space="0"/>
            </w:tcBorders>
            <w:vAlign w:val="center"/>
          </w:tcPr>
          <w:p>
            <w:pPr>
              <w:pStyle w:val="11"/>
              <w:keepNext w:val="0"/>
              <w:keepLines w:val="0"/>
              <w:pageBreakBefore w:val="0"/>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竞标专用章、业务专用章及银行的转账章、现金收讫章、现金付讫章等其他形式印章均不能代替公章。</w:t>
            </w:r>
          </w:p>
          <w:p>
            <w:pPr>
              <w:pStyle w:val="11"/>
              <w:keepNext w:val="0"/>
              <w:keepLines w:val="0"/>
              <w:pageBreakBefore w:val="0"/>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2.本竞争性谈判文件中描述供应商的“签字”是指供应商通过指定电子化政府采购平台办理数字证书（CA认证）获得的以供应商法定代表人或者委托代理人姓名制作的电子印章或手写签字。</w:t>
            </w:r>
          </w:p>
          <w:p>
            <w:pPr>
              <w:pStyle w:val="11"/>
              <w:keepNext w:val="0"/>
              <w:keepLines w:val="0"/>
              <w:pageBreakBefore w:val="0"/>
              <w:tabs>
                <w:tab w:val="center" w:pos="4153"/>
                <w:tab w:val="right" w:pos="8306"/>
              </w:tabs>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竞争性谈判文件所称的“盖公章”“电子签名”，是指经广西政府采购云平台认可的CA认证的电子签名数据为表现形式的印章，可用于签署电子版响应文件，电子印章与实物印章具有同等法律效力，不因其采用电子化表现形式而否定其法律效力。</w:t>
            </w:r>
          </w:p>
          <w:p>
            <w:pPr>
              <w:pStyle w:val="11"/>
              <w:keepNext w:val="0"/>
              <w:keepLines w:val="0"/>
              <w:pageBreakBefore w:val="0"/>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pPr>
              <w:pStyle w:val="11"/>
              <w:keepNext w:val="0"/>
              <w:keepLines w:val="0"/>
              <w:pageBreakBefore w:val="0"/>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5.自然人竞标的，竞争性谈判文件规定盖公章处由自然人摁手指指印。</w:t>
            </w:r>
          </w:p>
          <w:p>
            <w:pPr>
              <w:keepNext w:val="0"/>
              <w:keepLines w:val="0"/>
              <w:pageBreakBefore w:val="0"/>
              <w:kinsoku/>
              <w:wordWrap/>
              <w:overflowPunct/>
              <w:topLinePunct w:val="0"/>
              <w:bidi w:val="0"/>
              <w:snapToGrid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6.本竞争性谈判文件所称的“以上”“以下”“以内”“届满”，包括本数；所称的“不满”“超过”“以外”，不包括本数。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0" w:type="dxa"/>
            <w:gridSpan w:val="3"/>
            <w:vAlign w:val="center"/>
          </w:tcPr>
          <w:p>
            <w:pPr>
              <w:pStyle w:val="17"/>
              <w:keepNext w:val="0"/>
              <w:keepLines w:val="0"/>
              <w:pageBreakBefore w:val="0"/>
              <w:kinsoku/>
              <w:wordWrap/>
              <w:overflowPunct/>
              <w:topLinePunct w:val="0"/>
              <w:bidi w:val="0"/>
              <w:adjustRightInd w:val="0"/>
              <w:snapToGrid w:val="0"/>
              <w:spacing w:line="440" w:lineRule="exact"/>
              <w:ind w:left="403"/>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rPr>
              <w:t>“政采贷”相关信息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0" w:type="dxa"/>
            <w:gridSpan w:val="3"/>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崇左市线上“政采贷”政策告知函</w:t>
            </w:r>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各供应商：</w:t>
            </w:r>
          </w:p>
          <w:p>
            <w:pPr>
              <w:keepNext w:val="0"/>
              <w:keepLines w:val="0"/>
              <w:pageBreakBefore w:val="0"/>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欢迎贵公司参与崇左市政府采购活动！</w:t>
            </w:r>
          </w:p>
          <w:p>
            <w:pPr>
              <w:keepNext w:val="0"/>
              <w:keepLines w:val="0"/>
              <w:pageBreakBefore w:val="0"/>
              <w:kinsoku/>
              <w:wordWrap/>
              <w:overflowPunct/>
              <w:topLinePunct w:val="0"/>
              <w:bidi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pPr>
              <w:pStyle w:val="17"/>
              <w:keepNext w:val="0"/>
              <w:keepLines w:val="0"/>
              <w:pageBreakBefore w:val="0"/>
              <w:kinsoku/>
              <w:wordWrap/>
              <w:overflowPunct/>
              <w:topLinePunct w:val="0"/>
              <w:bidi w:val="0"/>
              <w:adjustRightInd w:val="0"/>
              <w:snapToGrid w:val="0"/>
              <w:spacing w:line="440" w:lineRule="exact"/>
              <w:ind w:left="403"/>
              <w:jc w:val="left"/>
              <w:rPr>
                <w:rFonts w:hint="eastAsia" w:ascii="宋体" w:hAnsi="宋体" w:eastAsia="宋体" w:cs="宋体"/>
                <w:b/>
                <w:bCs/>
                <w:color w:val="auto"/>
                <w:kern w:val="2"/>
                <w:sz w:val="24"/>
                <w:szCs w:val="24"/>
                <w:highlight w:val="none"/>
              </w:rPr>
            </w:pPr>
            <w:r>
              <w:rPr>
                <w:rFonts w:hint="eastAsia" w:ascii="宋体" w:hAnsi="宋体" w:eastAsia="宋体" w:cs="宋体"/>
                <w:color w:val="auto"/>
                <w:sz w:val="24"/>
                <w:szCs w:val="24"/>
                <w:highlight w:val="none"/>
              </w:rPr>
              <w:t>相关金融产品和银行业金融机构联系方式，可在中征应收账款融资服务平台查询（网址：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"https://www.crcrfsp.com/"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https://www.crcrfsp.com/</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，客服电话：400-009-0001）。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71" w:hRule="atLeast"/>
          <w:jc w:val="center"/>
        </w:trPr>
        <w:tc>
          <w:tcPr>
            <w:tcW w:w="10360" w:type="dxa"/>
            <w:gridSpan w:val="3"/>
            <w:vAlign w:val="center"/>
          </w:tcPr>
          <w:p>
            <w:pPr>
              <w:keepNext w:val="0"/>
              <w:keepLines w:val="0"/>
              <w:pageBreakBefore w:val="0"/>
              <w:kinsoku/>
              <w:wordWrap/>
              <w:overflowPunct/>
              <w:topLinePunct w:val="0"/>
              <w:bidi w:val="0"/>
              <w:spacing w:line="44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崇左市线上“政采贷”业务流程图</w:t>
            </w:r>
          </w:p>
          <w:p>
            <w:pPr>
              <w:pStyle w:val="13"/>
              <w:keepNext w:val="0"/>
              <w:keepLines w:val="0"/>
              <w:pageBreakBefore w:val="0"/>
              <w:kinsoku/>
              <w:wordWrap/>
              <w:overflowPunct/>
              <w:topLinePunct w:val="0"/>
              <w:bidi w:val="0"/>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6176010" cy="5956300"/>
                  <wp:effectExtent l="0" t="0" r="0" b="0"/>
                  <wp:docPr id="3"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1"/>
                          <pic:cNvPicPr>
                            <a:picLocks noChangeAspect="1"/>
                          </pic:cNvPicPr>
                        </pic:nvPicPr>
                        <pic:blipFill>
                          <a:blip r:embed="rId21"/>
                          <a:stretch>
                            <a:fillRect/>
                          </a:stretch>
                        </pic:blipFill>
                        <pic:spPr>
                          <a:xfrm>
                            <a:off x="0" y="0"/>
                            <a:ext cx="6176010" cy="5956300"/>
                          </a:xfrm>
                          <a:prstGeom prst="rect">
                            <a:avLst/>
                          </a:prstGeom>
                          <a:noFill/>
                          <a:ln>
                            <a:noFill/>
                          </a:ln>
                        </pic:spPr>
                      </pic:pic>
                    </a:graphicData>
                  </a:graphic>
                </wp:inline>
              </w:drawing>
            </w:r>
          </w:p>
          <w:p>
            <w:pPr>
              <w:pStyle w:val="17"/>
              <w:keepNext w:val="0"/>
              <w:keepLines w:val="0"/>
              <w:pageBreakBefore w:val="0"/>
              <w:kinsoku/>
              <w:wordWrap/>
              <w:overflowPunct/>
              <w:topLinePunct w:val="0"/>
              <w:bidi w:val="0"/>
              <w:adjustRightInd w:val="0"/>
              <w:snapToGrid w:val="0"/>
              <w:spacing w:line="440" w:lineRule="exact"/>
              <w:ind w:left="403"/>
              <w:jc w:val="left"/>
              <w:rPr>
                <w:rFonts w:hint="eastAsia" w:ascii="宋体" w:hAnsi="宋体" w:eastAsia="宋体" w:cs="宋体"/>
                <w:color w:val="auto"/>
                <w:sz w:val="24"/>
                <w:szCs w:val="24"/>
                <w:highlight w:val="none"/>
              </w:rPr>
            </w:pPr>
          </w:p>
        </w:tc>
      </w:tr>
    </w:tbl>
    <w:p>
      <w:pPr>
        <w:pStyle w:val="83"/>
        <w:keepNext w:val="0"/>
        <w:keepLines w:val="0"/>
        <w:pageBreakBefore w:val="0"/>
        <w:kinsoku/>
        <w:wordWrap/>
        <w:overflowPunct/>
        <w:topLinePunct w:val="0"/>
        <w:bidi w:val="0"/>
        <w:spacing w:line="440" w:lineRule="exact"/>
        <w:ind w:firstLine="48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tbl>
      <w:tblPr>
        <w:tblStyle w:val="32"/>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60" w:type="dxa"/>
            <w:vAlign w:val="center"/>
          </w:tcPr>
          <w:p>
            <w:pPr>
              <w:pStyle w:val="83"/>
              <w:keepNext w:val="0"/>
              <w:keepLines w:val="0"/>
              <w:pageBreakBefore w:val="0"/>
              <w:kinsoku/>
              <w:wordWrap/>
              <w:overflowPunct/>
              <w:topLinePunct w:val="0"/>
              <w:bidi w:val="0"/>
              <w:spacing w:line="440" w:lineRule="exact"/>
              <w:ind w:firstLine="482"/>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崇左市金融机构线上“政采贷”业务办理联络表</w:t>
            </w:r>
          </w:p>
          <w:p>
            <w:pPr>
              <w:keepNext w:val="0"/>
              <w:keepLines w:val="0"/>
              <w:pageBreakBefore w:val="0"/>
              <w:kinsoku/>
              <w:wordWrap/>
              <w:overflowPunct/>
              <w:topLinePunct w:val="0"/>
              <w:bidi w:val="0"/>
              <w:spacing w:line="440" w:lineRule="exact"/>
              <w:rPr>
                <w:rFonts w:hint="eastAsia" w:ascii="宋体" w:hAnsi="宋体" w:eastAsia="宋体" w:cs="宋体"/>
                <w:color w:val="auto"/>
                <w:sz w:val="24"/>
                <w:szCs w:val="24"/>
                <w:highlight w:val="none"/>
              </w:rPr>
            </w:pPr>
          </w:p>
          <w:tbl>
            <w:tblPr>
              <w:tblStyle w:val="32"/>
              <w:tblW w:w="9905" w:type="dxa"/>
              <w:tblInd w:w="0" w:type="dxa"/>
              <w:tblLayout w:type="fixed"/>
              <w:tblCellMar>
                <w:top w:w="0" w:type="dxa"/>
                <w:left w:w="108" w:type="dxa"/>
                <w:bottom w:w="0" w:type="dxa"/>
                <w:right w:w="108" w:type="dxa"/>
              </w:tblCellMar>
            </w:tblPr>
            <w:tblGrid>
              <w:gridCol w:w="3641"/>
              <w:gridCol w:w="4200"/>
              <w:gridCol w:w="2064"/>
            </w:tblGrid>
            <w:tr>
              <w:tblPrEx>
                <w:tblCellMar>
                  <w:top w:w="0" w:type="dxa"/>
                  <w:left w:w="108" w:type="dxa"/>
                  <w:bottom w:w="0" w:type="dxa"/>
                  <w:right w:w="108" w:type="dxa"/>
                </w:tblCellMar>
              </w:tblPrEx>
              <w:trPr>
                <w:trHeight w:val="90" w:hRule="atLeast"/>
              </w:trPr>
              <w:tc>
                <w:tcPr>
                  <w:tcW w:w="183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金融机构名称</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地址</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业务咨询电话</w:t>
                  </w:r>
                </w:p>
              </w:tc>
            </w:tr>
            <w:tr>
              <w:tblPrEx>
                <w:tblCellMar>
                  <w:top w:w="0" w:type="dxa"/>
                  <w:left w:w="108" w:type="dxa"/>
                  <w:bottom w:w="0" w:type="dxa"/>
                  <w:right w:w="108" w:type="dxa"/>
                </w:tblCellMar>
              </w:tblPrEx>
              <w:trPr>
                <w:trHeight w:val="365" w:hRule="atLeast"/>
              </w:trPr>
              <w:tc>
                <w:tcPr>
                  <w:tcW w:w="5000"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崇左市本级及江州区</w:t>
                  </w:r>
                </w:p>
              </w:tc>
            </w:tr>
            <w:tr>
              <w:tblPrEx>
                <w:tblCellMar>
                  <w:top w:w="0" w:type="dxa"/>
                  <w:left w:w="108" w:type="dxa"/>
                  <w:bottom w:w="0" w:type="dxa"/>
                  <w:right w:w="108" w:type="dxa"/>
                </w:tblCellMar>
              </w:tblPrEx>
              <w:trPr>
                <w:trHeight w:val="35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工商银行崇左分行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崇左市骆越大道6号（东盟国际城）裙楼2号楼</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0771-7820436 0771-7820439</w:t>
                  </w:r>
                </w:p>
              </w:tc>
            </w:tr>
            <w:tr>
              <w:tblPrEx>
                <w:tblCellMar>
                  <w:top w:w="0" w:type="dxa"/>
                  <w:left w:w="108" w:type="dxa"/>
                  <w:bottom w:w="0" w:type="dxa"/>
                  <w:right w:w="108" w:type="dxa"/>
                </w:tblCellMar>
              </w:tblPrEx>
              <w:trPr>
                <w:trHeight w:val="9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农业银行崇左分行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江州区友谊大道26号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0771-7917212</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农业银行江州支行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江州区江南路48号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0771-7917054</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建行崇左分行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崇左市江州区江南路73号建行大厦</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0771-7831103</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中国银行崇左分行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崇左市江州区龙胤大厦五楼</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0771-7928650 0771-7920613</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崇左农商行授信审批部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崇左市城西路109号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0771-7925660</w:t>
                  </w:r>
                </w:p>
              </w:tc>
            </w:tr>
            <w:tr>
              <w:tblPrEx>
                <w:tblCellMar>
                  <w:top w:w="0" w:type="dxa"/>
                  <w:left w:w="108" w:type="dxa"/>
                  <w:bottom w:w="0" w:type="dxa"/>
                  <w:right w:w="108" w:type="dxa"/>
                </w:tblCellMar>
              </w:tblPrEx>
              <w:trPr>
                <w:trHeight w:val="9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中国邮政储蓄银行崇左市分行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崇左市江州区骆越大道2号中国邮政储蓄银行崇左市分行</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0771-7968699</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桂林银行崇左分行营业部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广西壮族自治区崇左市江州区友谊大道中段龙胤·财富广场101商铺（龙胤大厦六楼营业部）</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0771-7916636</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桂林银行江州支行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崇左市江州区建设路41号桂林银行</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0771-7988895</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广西北部湾银行崇左分行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崇左市友谊大道中段西侧龙胤财富广场三期财富中心122号商铺</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0771-7960855</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广西北部湾银行崇左市中泰产业园支行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广西壮族自治区崇左市江州区中泰产业园企业总部基地企业服务中心一楼</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0771-7821126</w:t>
                  </w: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广西北部湾银行崇左市丽江支行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崇左市江州区丽江路丽江明珠滨江花苑三期106-109号商铺</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0771-7831866</w:t>
                  </w:r>
                </w:p>
              </w:tc>
            </w:tr>
            <w:tr>
              <w:tblPrEx>
                <w:tblCellMar>
                  <w:top w:w="0" w:type="dxa"/>
                  <w:left w:w="108" w:type="dxa"/>
                  <w:bottom w:w="0" w:type="dxa"/>
                  <w:right w:w="108" w:type="dxa"/>
                </w:tblCellMar>
              </w:tblPrEx>
              <w:trPr>
                <w:trHeight w:val="350" w:hRule="atLeast"/>
              </w:trPr>
              <w:tc>
                <w:tcPr>
                  <w:tcW w:w="5000"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扶绥县</w:t>
                  </w:r>
                </w:p>
              </w:tc>
            </w:tr>
            <w:tr>
              <w:tblPrEx>
                <w:tblCellMar>
                  <w:top w:w="0" w:type="dxa"/>
                  <w:left w:w="108" w:type="dxa"/>
                  <w:bottom w:w="0" w:type="dxa"/>
                  <w:right w:w="108" w:type="dxa"/>
                </w:tblCellMar>
              </w:tblPrEx>
              <w:trPr>
                <w:trHeight w:val="38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工商银行扶绥县支行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扶绥县新宁镇同正大道94号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0771-7535612</w:t>
                  </w:r>
                </w:p>
              </w:tc>
            </w:tr>
            <w:tr>
              <w:tblPrEx>
                <w:tblCellMar>
                  <w:top w:w="0" w:type="dxa"/>
                  <w:left w:w="108" w:type="dxa"/>
                  <w:bottom w:w="0" w:type="dxa"/>
                  <w:right w:w="108" w:type="dxa"/>
                </w:tblCellMar>
              </w:tblPrEx>
              <w:trPr>
                <w:trHeight w:val="44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农业银行扶绥县支行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扶绥县新宁镇新华路126号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0771-7917330</w:t>
                  </w:r>
                </w:p>
              </w:tc>
            </w:tr>
            <w:tr>
              <w:tblPrEx>
                <w:tblCellMar>
                  <w:top w:w="0" w:type="dxa"/>
                  <w:left w:w="108" w:type="dxa"/>
                  <w:bottom w:w="0" w:type="dxa"/>
                  <w:right w:w="108" w:type="dxa"/>
                </w:tblCellMar>
              </w:tblPrEx>
              <w:trPr>
                <w:trHeight w:val="749"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建行扶绥支行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扶绥县南密路6号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0771-7516511 0771-7531157</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建行扶绥空港支行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扶绥县双拥路3号东信华府18号楼一层</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0771-7525822</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中国银行扶绥支行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扶绥县-扶绥大道16号山水城市广场一层商铺</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0771-5025887</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扶绥农商行三农零售与乡村振兴金融部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扶绥县新宁镇永宁路2-1号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0771-7533041</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中国邮政储蓄银行扶绥县支行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扶绥县松江路138号中国邮政储蓄银行扶绥县支行</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0771-7536178 0771-7536177</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桂林银行崇左扶绥支行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广西崇左市扶绥县新宁镇松江路20号（桂林银行崇左扶绥支行）</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0771-7661101</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广西北部湾银行扶绥县支行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崇左市扶绥县新宁镇同正大道333号碧园·未来城商业综合体13号楼一楼1050、1051号商铺</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0771-7500768</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扶绥深通村镇银行业发部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扶绥县大景城1号楼正门旁</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0771-7525678</w:t>
                  </w:r>
                </w:p>
              </w:tc>
            </w:tr>
            <w:tr>
              <w:tblPrEx>
                <w:tblCellMar>
                  <w:top w:w="0" w:type="dxa"/>
                  <w:left w:w="108" w:type="dxa"/>
                  <w:bottom w:w="0" w:type="dxa"/>
                  <w:right w:w="108" w:type="dxa"/>
                </w:tblCellMar>
              </w:tblPrEx>
              <w:trPr>
                <w:trHeight w:val="47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宁明县</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36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工商银行宁明县支行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宁明县城中镇兴远街70号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0771-8620729</w:t>
                  </w:r>
                </w:p>
              </w:tc>
            </w:tr>
            <w:tr>
              <w:tblPrEx>
                <w:tblCellMar>
                  <w:top w:w="0" w:type="dxa"/>
                  <w:left w:w="108" w:type="dxa"/>
                  <w:bottom w:w="0" w:type="dxa"/>
                  <w:right w:w="108" w:type="dxa"/>
                </w:tblCellMar>
              </w:tblPrEx>
              <w:trPr>
                <w:trHeight w:val="32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农业银行宁明县支行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宁明县城中镇明阳街11号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0771-7917093</w:t>
                  </w:r>
                </w:p>
              </w:tc>
            </w:tr>
            <w:tr>
              <w:tblPrEx>
                <w:tblCellMar>
                  <w:top w:w="0" w:type="dxa"/>
                  <w:left w:w="108" w:type="dxa"/>
                  <w:bottom w:w="0" w:type="dxa"/>
                  <w:right w:w="108" w:type="dxa"/>
                </w:tblCellMar>
              </w:tblPrEx>
              <w:trPr>
                <w:trHeight w:val="32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建行宁明支行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after="90"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宁明县城中镇兴宁大道77号明江财富广场一层1-13号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0771-8629006</w:t>
                  </w:r>
                </w:p>
              </w:tc>
            </w:tr>
            <w:tr>
              <w:tblPrEx>
                <w:tblCellMar>
                  <w:top w:w="0" w:type="dxa"/>
                  <w:left w:w="108" w:type="dxa"/>
                  <w:bottom w:w="0" w:type="dxa"/>
                  <w:right w:w="108" w:type="dxa"/>
                </w:tblCellMar>
              </w:tblPrEx>
              <w:trPr>
                <w:trHeight w:val="32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宁明农商行三农零售与乡村振兴金融部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宁明县城中镇明阳街3号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0771-8628166</w:t>
                  </w:r>
                </w:p>
              </w:tc>
            </w:tr>
            <w:tr>
              <w:tblPrEx>
                <w:tblCellMar>
                  <w:top w:w="0" w:type="dxa"/>
                  <w:left w:w="108" w:type="dxa"/>
                  <w:bottom w:w="0" w:type="dxa"/>
                  <w:right w:w="108" w:type="dxa"/>
                </w:tblCellMar>
              </w:tblPrEx>
              <w:trPr>
                <w:trHeight w:val="439"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桂林银行崇左宁明支行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宁明县城中镇兴宁大道中70号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0771-8630787</w:t>
                  </w:r>
                </w:p>
              </w:tc>
            </w:tr>
            <w:tr>
              <w:tblPrEx>
                <w:tblCellMar>
                  <w:top w:w="0" w:type="dxa"/>
                  <w:left w:w="108" w:type="dxa"/>
                  <w:bottom w:w="0" w:type="dxa"/>
                  <w:right w:w="108" w:type="dxa"/>
                </w:tblCellMar>
              </w:tblPrEx>
              <w:trPr>
                <w:trHeight w:val="32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广西北部湾银行宁明支行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崇左市宁明县城中镇兴宁大道中79号（明都大酒店）A幢楼1楼铺面</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0771-8622237</w:t>
                  </w:r>
                </w:p>
              </w:tc>
            </w:tr>
            <w:tr>
              <w:tblPrEx>
                <w:tblCellMar>
                  <w:top w:w="0" w:type="dxa"/>
                  <w:left w:w="108" w:type="dxa"/>
                  <w:bottom w:w="0" w:type="dxa"/>
                  <w:right w:w="108" w:type="dxa"/>
                </w:tblCellMar>
              </w:tblPrEx>
              <w:trPr>
                <w:trHeight w:val="377" w:hRule="atLeast"/>
              </w:trPr>
              <w:tc>
                <w:tcPr>
                  <w:tcW w:w="5000"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大新县</w:t>
                  </w:r>
                </w:p>
              </w:tc>
            </w:tr>
            <w:tr>
              <w:tblPrEx>
                <w:tblCellMar>
                  <w:top w:w="0" w:type="dxa"/>
                  <w:left w:w="108" w:type="dxa"/>
                  <w:bottom w:w="0" w:type="dxa"/>
                  <w:right w:w="108" w:type="dxa"/>
                </w:tblCellMar>
              </w:tblPrEx>
              <w:trPr>
                <w:trHeight w:val="391"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工商银行大新县支行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大新县桃城镇民生街98号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0771-3628078</w:t>
                  </w:r>
                </w:p>
              </w:tc>
            </w:tr>
            <w:tr>
              <w:tblPrEx>
                <w:tblCellMar>
                  <w:top w:w="0" w:type="dxa"/>
                  <w:left w:w="108" w:type="dxa"/>
                  <w:bottom w:w="0" w:type="dxa"/>
                  <w:right w:w="108" w:type="dxa"/>
                </w:tblCellMar>
              </w:tblPrEx>
              <w:trPr>
                <w:trHeight w:val="458"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农业银行大新县支行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大新县桃城镇伦理路223号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0771-</w:t>
                  </w:r>
                  <w:r>
                    <w:rPr>
                      <w:rFonts w:hint="eastAsia" w:ascii="宋体" w:hAnsi="宋体" w:eastAsia="宋体" w:cs="宋体"/>
                      <w:color w:val="auto"/>
                      <w:sz w:val="24"/>
                      <w:szCs w:val="24"/>
                      <w:highlight w:val="none"/>
                    </w:rPr>
                    <w:t>7917015</w:t>
                  </w:r>
                </w:p>
              </w:tc>
            </w:tr>
            <w:tr>
              <w:tblPrEx>
                <w:tblCellMar>
                  <w:top w:w="0" w:type="dxa"/>
                  <w:left w:w="108" w:type="dxa"/>
                  <w:bottom w:w="0" w:type="dxa"/>
                  <w:right w:w="108" w:type="dxa"/>
                </w:tblCellMar>
              </w:tblPrEx>
              <w:trPr>
                <w:trHeight w:val="42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建行大新支行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大新县民生街7号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0771-3689766</w:t>
                  </w:r>
                </w:p>
              </w:tc>
            </w:tr>
            <w:tr>
              <w:tblPrEx>
                <w:tblCellMar>
                  <w:top w:w="0" w:type="dxa"/>
                  <w:left w:w="108" w:type="dxa"/>
                  <w:bottom w:w="0" w:type="dxa"/>
                  <w:right w:w="108" w:type="dxa"/>
                </w:tblCellMar>
              </w:tblPrEx>
              <w:trPr>
                <w:trHeight w:val="42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大新农商行三农零售与乡村振兴金融部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大新县城养利路131号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0771-3623887</w:t>
                  </w:r>
                </w:p>
              </w:tc>
            </w:tr>
            <w:tr>
              <w:tblPrEx>
                <w:tblCellMar>
                  <w:top w:w="0" w:type="dxa"/>
                  <w:left w:w="108" w:type="dxa"/>
                  <w:bottom w:w="0" w:type="dxa"/>
                  <w:right w:w="108" w:type="dxa"/>
                </w:tblCellMar>
              </w:tblPrEx>
              <w:trPr>
                <w:trHeight w:val="62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桂林银行崇左大新支行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崇左市大新县桃城镇民生街7号东盟商业广场1楼桂林银行</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0771-3621996</w:t>
                  </w:r>
                </w:p>
              </w:tc>
            </w:tr>
            <w:tr>
              <w:tblPrEx>
                <w:tblCellMar>
                  <w:top w:w="0" w:type="dxa"/>
                  <w:left w:w="108" w:type="dxa"/>
                  <w:bottom w:w="0" w:type="dxa"/>
                  <w:right w:w="108" w:type="dxa"/>
                </w:tblCellMar>
              </w:tblPrEx>
              <w:trPr>
                <w:trHeight w:val="42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广西北部湾银行大新支行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崇左市大新县桃城镇伦理路230号1楼铺面</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0771-3628366</w:t>
                  </w:r>
                </w:p>
              </w:tc>
            </w:tr>
            <w:tr>
              <w:tblPrEx>
                <w:tblCellMar>
                  <w:top w:w="0" w:type="dxa"/>
                  <w:left w:w="108" w:type="dxa"/>
                  <w:bottom w:w="0" w:type="dxa"/>
                  <w:right w:w="108" w:type="dxa"/>
                </w:tblCellMar>
              </w:tblPrEx>
              <w:trPr>
                <w:trHeight w:val="42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崇左大新长江村镇银行营业部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大新县桃城镇德天大道74-1号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0771-3698002</w:t>
                  </w:r>
                </w:p>
              </w:tc>
            </w:tr>
            <w:tr>
              <w:tblPrEx>
                <w:tblCellMar>
                  <w:top w:w="0" w:type="dxa"/>
                  <w:left w:w="108" w:type="dxa"/>
                  <w:bottom w:w="0" w:type="dxa"/>
                  <w:right w:w="108" w:type="dxa"/>
                </w:tblCellMar>
              </w:tblPrEx>
              <w:trPr>
                <w:trHeight w:val="42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崇左大新长江村镇银行百汇支行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大新县桃城镇伦那路8号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0771-3626199</w:t>
                  </w:r>
                </w:p>
              </w:tc>
            </w:tr>
            <w:tr>
              <w:tblPrEx>
                <w:tblCellMar>
                  <w:top w:w="0" w:type="dxa"/>
                  <w:left w:w="108" w:type="dxa"/>
                  <w:bottom w:w="0" w:type="dxa"/>
                  <w:right w:w="108" w:type="dxa"/>
                </w:tblCellMar>
              </w:tblPrEx>
              <w:trPr>
                <w:trHeight w:val="35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龙州县</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428"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工商银行龙州县支行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龙州县龙江街60号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0771-8868619</w:t>
                  </w:r>
                </w:p>
              </w:tc>
            </w:tr>
            <w:tr>
              <w:tblPrEx>
                <w:tblCellMar>
                  <w:top w:w="0" w:type="dxa"/>
                  <w:left w:w="108" w:type="dxa"/>
                  <w:bottom w:w="0" w:type="dxa"/>
                  <w:right w:w="108" w:type="dxa"/>
                </w:tblCellMar>
              </w:tblPrEx>
              <w:trPr>
                <w:trHeight w:val="544"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农业银行龙州县支行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龙州县龙州镇康平街26号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0771-8812504</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建行龙州支行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龙州县龙夏路2号龙州商业广场D栋1号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0771-8820525</w:t>
                  </w:r>
                </w:p>
              </w:tc>
            </w:tr>
            <w:tr>
              <w:tblPrEx>
                <w:tblCellMar>
                  <w:top w:w="0" w:type="dxa"/>
                  <w:left w:w="108" w:type="dxa"/>
                  <w:bottom w:w="0" w:type="dxa"/>
                  <w:right w:w="108" w:type="dxa"/>
                </w:tblCellMar>
              </w:tblPrEx>
              <w:trPr>
                <w:trHeight w:val="41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龙州农商行公司机构金融部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龙州县龙州镇独山路172号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0771-8813013</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桂林银行崇左龙州支行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龙州县龙州镇同顾大道1号同顾·中央公园20栋10号—13号房</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0771-8871021</w:t>
                  </w:r>
                </w:p>
              </w:tc>
            </w:tr>
            <w:tr>
              <w:tblPrEx>
                <w:tblCellMar>
                  <w:top w:w="0" w:type="dxa"/>
                  <w:left w:w="108" w:type="dxa"/>
                  <w:bottom w:w="0" w:type="dxa"/>
                  <w:right w:w="108" w:type="dxa"/>
                </w:tblCellMar>
              </w:tblPrEx>
              <w:trPr>
                <w:trHeight w:val="33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广西北部湾银行龙州支行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崇左市龙州县龙州镇龙夏路1号、3号、5号（南湖商务酒店）一楼铺面</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0771-8811533</w:t>
                  </w:r>
                </w:p>
              </w:tc>
            </w:tr>
            <w:tr>
              <w:tblPrEx>
                <w:tblCellMar>
                  <w:top w:w="0" w:type="dxa"/>
                  <w:left w:w="108" w:type="dxa"/>
                  <w:bottom w:w="0" w:type="dxa"/>
                  <w:right w:w="108" w:type="dxa"/>
                </w:tblCellMar>
              </w:tblPrEx>
              <w:trPr>
                <w:trHeight w:val="48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天等县</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center"/>
                    <w:textAlignment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27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工商银行天等县支行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天等县天等镇朝阳东路054号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0771-3532211</w:t>
                  </w:r>
                </w:p>
              </w:tc>
            </w:tr>
            <w:tr>
              <w:tblPrEx>
                <w:tblCellMar>
                  <w:top w:w="0" w:type="dxa"/>
                  <w:left w:w="108" w:type="dxa"/>
                  <w:bottom w:w="0" w:type="dxa"/>
                  <w:right w:w="108" w:type="dxa"/>
                </w:tblCellMar>
              </w:tblPrEx>
              <w:trPr>
                <w:trHeight w:val="39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农业银行天等县支行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天等县天等镇天宝北路007号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0771-7917046</w:t>
                  </w:r>
                </w:p>
              </w:tc>
            </w:tr>
            <w:tr>
              <w:tblPrEx>
                <w:tblCellMar>
                  <w:top w:w="0" w:type="dxa"/>
                  <w:left w:w="108" w:type="dxa"/>
                  <w:bottom w:w="0" w:type="dxa"/>
                  <w:right w:w="108" w:type="dxa"/>
                </w:tblCellMar>
              </w:tblPrEx>
              <w:trPr>
                <w:trHeight w:val="39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天等农商行公司机构金融部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天等县天等镇仕民路48号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0771-3521361</w:t>
                  </w:r>
                </w:p>
              </w:tc>
            </w:tr>
            <w:tr>
              <w:tblPrEx>
                <w:tblCellMar>
                  <w:top w:w="0" w:type="dxa"/>
                  <w:left w:w="108" w:type="dxa"/>
                  <w:bottom w:w="0" w:type="dxa"/>
                  <w:right w:w="108" w:type="dxa"/>
                </w:tblCellMar>
              </w:tblPrEx>
              <w:trPr>
                <w:trHeight w:val="39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桂林银行崇左天等支行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广西崇左市天等县天等镇天宝北路天府中央城5号楼115号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0771-3522157</w:t>
                  </w:r>
                </w:p>
              </w:tc>
            </w:tr>
            <w:tr>
              <w:tblPrEx>
                <w:tblCellMar>
                  <w:top w:w="0" w:type="dxa"/>
                  <w:left w:w="108" w:type="dxa"/>
                  <w:bottom w:w="0" w:type="dxa"/>
                  <w:right w:w="108" w:type="dxa"/>
                </w:tblCellMar>
              </w:tblPrEx>
              <w:trPr>
                <w:trHeight w:val="39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广西北部湾银行天等支行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崇左市天等县天宝南路002号天富商业广场28栋一层商铺6-17号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0771-3528688</w:t>
                  </w:r>
                </w:p>
              </w:tc>
            </w:tr>
            <w:tr>
              <w:tblPrEx>
                <w:tblCellMar>
                  <w:top w:w="0" w:type="dxa"/>
                  <w:left w:w="108" w:type="dxa"/>
                  <w:bottom w:w="0" w:type="dxa"/>
                  <w:right w:w="108" w:type="dxa"/>
                </w:tblCellMar>
              </w:tblPrEx>
              <w:trPr>
                <w:trHeight w:val="335" w:hRule="atLeast"/>
              </w:trPr>
              <w:tc>
                <w:tcPr>
                  <w:tcW w:w="5000"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凭祥市</w:t>
                  </w:r>
                </w:p>
              </w:tc>
            </w:tr>
            <w:tr>
              <w:tblPrEx>
                <w:tblCellMar>
                  <w:top w:w="0" w:type="dxa"/>
                  <w:left w:w="108" w:type="dxa"/>
                  <w:bottom w:w="0" w:type="dxa"/>
                  <w:right w:w="108" w:type="dxa"/>
                </w:tblCellMar>
              </w:tblPrEx>
              <w:trPr>
                <w:trHeight w:val="440"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工商银行凭祥分行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凭祥市新华路5号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0771-8529259</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农业银行凭祥支行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凭祥市北大路216号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0771-7917258</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建行凭祥支行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凭祥市屏山路138号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0771-8525068 0771-8536852</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建行凭祥中区支行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凭祥市金象大道香格里拉3幢3-01至3-03号商铺</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0771-8551161</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建行凭祥浦寨支行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凭祥市浦寨商业城万泰一楼8-9号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0771-8561665</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中国银行凭祥支行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凭祥市-北环路112号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0771-8520356</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凭祥农商行业务拓展部</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凭祥市友谊关大道13号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0771-8535667</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桂林银行广西自贸试验区崇左片区凭祥支行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凭祥市北大路一支40号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0771-8520550</w:t>
                  </w:r>
                </w:p>
              </w:tc>
            </w:tr>
            <w:tr>
              <w:tblPrEx>
                <w:tblCellMar>
                  <w:top w:w="0" w:type="dxa"/>
                  <w:left w:w="108" w:type="dxa"/>
                  <w:bottom w:w="0" w:type="dxa"/>
                  <w:right w:w="108" w:type="dxa"/>
                </w:tblCellMar>
              </w:tblPrEx>
              <w:trPr>
                <w:trHeight w:val="215" w:hRule="atLeast"/>
              </w:trPr>
              <w:tc>
                <w:tcPr>
                  <w:tcW w:w="18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广西北部湾银行广西自贸试验区崇左片区凭祥支行</w:t>
                  </w:r>
                </w:p>
              </w:tc>
              <w:tc>
                <w:tcPr>
                  <w:tcW w:w="2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凭祥市北大路一支60-1号</w:t>
                  </w:r>
                </w:p>
              </w:tc>
              <w:tc>
                <w:tcPr>
                  <w:tcW w:w="104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spacing w:line="44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0771-8556667</w:t>
                  </w:r>
                </w:p>
              </w:tc>
            </w:tr>
          </w:tbl>
          <w:p>
            <w:pPr>
              <w:pStyle w:val="17"/>
              <w:keepNext w:val="0"/>
              <w:keepLines w:val="0"/>
              <w:pageBreakBefore w:val="0"/>
              <w:kinsoku/>
              <w:wordWrap/>
              <w:overflowPunct/>
              <w:topLinePunct w:val="0"/>
              <w:bidi w:val="0"/>
              <w:adjustRightInd w:val="0"/>
              <w:snapToGrid w:val="0"/>
              <w:spacing w:line="440" w:lineRule="exact"/>
              <w:ind w:left="403"/>
              <w:jc w:val="left"/>
              <w:rPr>
                <w:rFonts w:hint="eastAsia" w:ascii="宋体" w:hAnsi="宋体" w:eastAsia="宋体" w:cs="宋体"/>
                <w:color w:val="auto"/>
                <w:sz w:val="24"/>
                <w:szCs w:val="24"/>
                <w:highlight w:val="none"/>
              </w:rPr>
            </w:pPr>
          </w:p>
        </w:tc>
      </w:tr>
    </w:tbl>
    <w:p>
      <w:pPr>
        <w:pStyle w:val="3"/>
        <w:spacing w:line="360" w:lineRule="exact"/>
        <w:jc w:val="center"/>
        <w:rPr>
          <w:rFonts w:hint="eastAsia" w:ascii="仿宋" w:hAnsi="仿宋" w:eastAsia="仿宋" w:cs="仿宋"/>
          <w:bCs/>
          <w:color w:val="auto"/>
          <w:sz w:val="24"/>
          <w:highlight w:val="none"/>
          <w:lang w:val="zh-CN"/>
        </w:rPr>
      </w:pPr>
      <w:r>
        <w:rPr>
          <w:rFonts w:ascii="宋体" w:hAnsi="宋体"/>
          <w:color w:val="auto"/>
          <w:highlight w:val="none"/>
        </w:rPr>
        <w:br w:type="page"/>
      </w:r>
      <w:bookmarkStart w:id="106" w:name="_Toc80886929"/>
      <w:r>
        <w:rPr>
          <w:rFonts w:hint="eastAsia" w:ascii="宋体" w:hAnsi="宋体"/>
          <w:bCs w:val="0"/>
          <w:color w:val="auto"/>
          <w:highlight w:val="none"/>
        </w:rPr>
        <w:t>第二节 供应商须知正文</w:t>
      </w:r>
      <w:bookmarkEnd w:id="106"/>
      <w:bookmarkStart w:id="107" w:name="_Toc80886930"/>
    </w:p>
    <w:p>
      <w:pPr>
        <w:keepNext/>
        <w:keepLines/>
        <w:spacing w:line="360" w:lineRule="auto"/>
        <w:ind w:firstLine="480" w:firstLineChars="200"/>
        <w:outlineLvl w:val="2"/>
        <w:rPr>
          <w:rFonts w:hint="eastAsia" w:ascii="宋体" w:hAnsi="宋体" w:eastAsia="宋体" w:cs="宋体"/>
          <w:bCs/>
          <w:color w:val="auto"/>
          <w:sz w:val="24"/>
          <w:szCs w:val="24"/>
          <w:highlight w:val="none"/>
          <w:lang w:val="zh-CN"/>
        </w:rPr>
      </w:pPr>
      <w:bookmarkStart w:id="108" w:name="_Toc27704"/>
      <w:bookmarkStart w:id="109" w:name="_Toc18711"/>
      <w:bookmarkStart w:id="110" w:name="_Toc80205925"/>
      <w:r>
        <w:rPr>
          <w:rFonts w:hint="eastAsia" w:ascii="宋体" w:hAnsi="宋体" w:eastAsia="宋体" w:cs="宋体"/>
          <w:bCs/>
          <w:color w:val="auto"/>
          <w:sz w:val="24"/>
          <w:szCs w:val="24"/>
          <w:highlight w:val="none"/>
          <w:lang w:val="zh-CN"/>
        </w:rPr>
        <w:t>一、总则</w:t>
      </w:r>
      <w:bookmarkEnd w:id="108"/>
      <w:bookmarkEnd w:id="109"/>
      <w:bookmarkEnd w:id="110"/>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1.适用范围</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pacing w:val="-6"/>
          <w:sz w:val="24"/>
          <w:szCs w:val="24"/>
          <w:highlight w:val="none"/>
        </w:rPr>
        <w:t>本竞争性谈判文件（以下简称谈判文件）适用于本项目的所有采购程序和环节（法律、法规另有规定的，从其规定）。</w:t>
      </w:r>
    </w:p>
    <w:p>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2.定义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2.1“采购人”是指依法进行采购的国家机关、事业单位、团体组织。</w:t>
      </w:r>
    </w:p>
    <w:p>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2.2“采购代理机构”是指政府采购集中采购机构和集中采购机构以外的采购代理机构。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2.3“供应商”是指向采购人提供货物、工程或者服务的法人、其他组织或者自然人。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2.4“货物 ”是指各种形态和种类的物品，包括原材料、燃料、设备、产品等。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2.5“竞标”是指按照本项目竞争性谈判公告规定的方式供应商获取谈判文件、提交响应文件并希望获得标的的行为。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2.6“书面形式”是指合同书、信件和数据电文（包括电报、电传、传真、电子数据交换和电子邮件）等可以有形地表现所载内容的形式。</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2.7“响应文件”</w:t>
      </w:r>
      <w:r>
        <w:rPr>
          <w:rFonts w:hint="eastAsia" w:ascii="宋体" w:hAnsi="宋体" w:eastAsia="宋体" w:cs="宋体"/>
          <w:color w:val="auto"/>
          <w:spacing w:val="-6"/>
          <w:sz w:val="24"/>
          <w:szCs w:val="24"/>
          <w:highlight w:val="none"/>
        </w:rPr>
        <w:t>是指：供应商根据本谈判文件要求，编制包含报价、技术和货物等所有内容的文件。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 “实质性要求”：是指采购需求中带“▲ ”的条款或者不能负偏离的条款或者已经指明不满足按响应文件作无效处理的条款。</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2.9“正偏离”是指响应文件对谈判文件“采购需求”中有关条款作出优于条款要求并有利于采购人的响应情形；</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2.10“负偏离”是指响应文件对谈判文件“采购需求”中有关条款作出的响应不满足条款要求，导致采购人要求不能得到满足的情形。</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2.11“首次报价”是指供应商提交的首次响应文件中的响应报价。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2.12“评审价”是指供应商提交的最后报价并经修正和政策功能价格扣除后的价格。</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3.供应商的资格条件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供应商的资格条件详见“供应商须知前附表”。</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w:t>
      </w:r>
      <w:r>
        <w:rPr>
          <w:rFonts w:hint="eastAsia" w:ascii="宋体" w:hAnsi="宋体" w:cs="宋体"/>
          <w:b/>
          <w:bCs/>
          <w:color w:val="auto"/>
          <w:sz w:val="24"/>
          <w:szCs w:val="24"/>
          <w:highlight w:val="none"/>
          <w:lang w:val="en-US" w:eastAsia="zh-CN"/>
        </w:rPr>
        <w:t>竞标</w:t>
      </w:r>
      <w:r>
        <w:rPr>
          <w:rFonts w:hint="eastAsia" w:ascii="宋体" w:hAnsi="宋体" w:eastAsia="宋体" w:cs="宋体"/>
          <w:b/>
          <w:bCs/>
          <w:color w:val="auto"/>
          <w:sz w:val="24"/>
          <w:szCs w:val="24"/>
          <w:highlight w:val="none"/>
        </w:rPr>
        <w:t>费用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供应商应承担参与本次采购活动有关的所有费用，包括但不限于获取竞争性谈判文件、勘查现场、编制和提交响应文件、参加谈判与应答、签订合同等，不论竞标结果如何，均应自行承担。</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5.联合体竞标</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5.1本项目是否接受联合体竞标，详见“供应商须知前附表”。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5.2如接受联合体竞标，联合体竞标要求详见“供应商须知前附表”。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根据《政府采购促进中小企业发展管理办法》（财库〔2020〕46 号）第九条第二款的规定和《广西壮族自治区财政厅关于进一步发挥政府 采购政策功能促进企业发展的通知》（桂财采〔2022〕30 号）的规定，接受大中型企业与小微企业组成联合体或者允许大中型企业向一家或者多家小微企业分包的采购项目，对于联合协议或者分包意向协议约定小微企业的合同份额占到合同总金额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30%以上的，采购人、采购代理机构应当对联合体或者大中型企业的报价给予4%-6%的扣除，用扣除后的价格参加评审。</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6.转包与分包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6.1本项目不允许转包。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6.2本项目是否允许分包详见“供应商须知前附表”，本项目不允许违法分包。</w:t>
      </w:r>
    </w:p>
    <w:p>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6.3 按照《政府采购促进中小企业发展管理办法》（财库〔2020〕46 号）的规定，依据该办法规定享受扶持政策获得政府采购合同的，小微企业不得将合同分包给大中型企业，中型企业不得将合同分包给大型企业。</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7.特别说明</w:t>
      </w:r>
    </w:p>
    <w:p>
      <w:pPr>
        <w:spacing w:line="360" w:lineRule="auto"/>
        <w:ind w:firstLine="480" w:firstLineChars="200"/>
        <w:rPr>
          <w:rFonts w:ascii="宋体" w:hAnsi="宋体" w:cs="宋体"/>
          <w:color w:val="auto"/>
          <w:sz w:val="24"/>
          <w:szCs w:val="24"/>
          <w:highlight w:val="none"/>
        </w:rPr>
      </w:pPr>
      <w:bookmarkStart w:id="111" w:name="_Toc30516"/>
      <w:bookmarkStart w:id="112" w:name="_Toc80205926"/>
      <w:bookmarkStart w:id="113" w:name="_Toc10931"/>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HYPERLINK  \l "_8.1"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7.1</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人推荐资格，其他响应文件按无效处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非单一产品采购项目，多家供应商提供的核心产品品牌相同的，按前款规定处理。</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w:t>
      </w:r>
      <w:r>
        <w:rPr>
          <w:rFonts w:hint="eastAsia" w:ascii="宋体" w:hAnsi="宋体"/>
          <w:color w:val="auto"/>
          <w:sz w:val="24"/>
          <w:szCs w:val="24"/>
          <w:highlight w:val="none"/>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7.3供应商应仔细阅读谈判文件的所有内容，按照谈判文件的要求提交响应文件，并对所提供的全部资料的真实性承担法律责任。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7.5在政府采购活动中，采购人员及相关人员与供应商有下列利害关系之一的，应当回避：</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（1）参加采购活动前3年内与供应商存在劳动关系；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（2）参加采购活动前3年内担任供应商的董事、监事；</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（3）参加采购活动前3年内是供应商的控股股东或者实际控制人；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（4）与供应商的法定代表人或者负责人有夫妻、直系血亲、三代以内旁系血亲或者近姻亲关系；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（5）与供应商有其他可能影响政府采购活动公平、公正进行的关系。</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7.6有下列情形之一的视为供应商相互串通竞标，响应文件将被视为无效：</w:t>
      </w:r>
    </w:p>
    <w:p>
      <w:pPr>
        <w:spacing w:line="360" w:lineRule="auto"/>
        <w:ind w:firstLine="480" w:firstLineChars="200"/>
        <w:contextualSpacing/>
        <w:rPr>
          <w:rFonts w:ascii="宋体" w:hAnsi="宋体" w:cs="宋体"/>
          <w:color w:val="auto"/>
          <w:sz w:val="24"/>
          <w:szCs w:val="24"/>
          <w:highlight w:val="none"/>
        </w:rPr>
      </w:pPr>
      <w:r>
        <w:rPr>
          <w:rFonts w:hint="eastAsia" w:ascii="宋体" w:hAnsi="宋体" w:cs="宋体"/>
          <w:color w:val="auto"/>
          <w:sz w:val="24"/>
          <w:szCs w:val="24"/>
          <w:highlight w:val="none"/>
        </w:rPr>
        <w:t>（1）不同供应商的响应文件由同一单位或者个人编制；或不同供应商报名的IP地址一致的；</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（2）不同供应商委托同一单位或者个人办理竞标事宜；</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（3）不同的供应商的响应文件载明的项目管理员为同一个人；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（4）不同供应商的响应文件异常一致或者报价呈规律性差异；</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（5）不同供应商的响应文件相互混装；</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（6）不同供应商的竞标保证金从同一单位或者个人账户转出。</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7.7供应商有下列情形之一的，属于恶意串通行为</w:t>
      </w:r>
      <w:bookmarkStart w:id="114" w:name="_Hlk54682620"/>
      <w:r>
        <w:rPr>
          <w:rFonts w:hint="eastAsia" w:ascii="宋体" w:hAnsi="宋体" w:cs="宋体"/>
          <w:color w:val="auto"/>
          <w:sz w:val="24"/>
          <w:szCs w:val="24"/>
          <w:highlight w:val="none"/>
        </w:rPr>
        <w:t>，将报同级监督管理部门</w:t>
      </w:r>
      <w:bookmarkEnd w:id="114"/>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（1）供应商直接或者间接从采购人或者采购代理机构处获得其他供应商的相关信息并修改其响应文件；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（2）供应商按照采购人或者采购代理机构的授意撤换、修改响应文件；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（3）供应商之间协商报价、技术方案等响应文件或者响应文件的实质性内容；</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（4）属于同一集团、协会、商会等组织成员的供应商按照该组织要求协同参加政府采购活动；</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（6）供应商之间商定部分供应商放弃参加政府采购活动或者放弃成交；</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（7）供应商与采购人或者采购代理机构之间、供应商相互之间，为谋求特定供应商成交或者排斥其他供应商的其他串通行为。</w:t>
      </w:r>
    </w:p>
    <w:p>
      <w:pPr>
        <w:pStyle w:val="7"/>
        <w:spacing w:line="360" w:lineRule="auto"/>
        <w:rPr>
          <w:rFonts w:ascii="宋体" w:hAnsi="宋体"/>
          <w:color w:val="auto"/>
          <w:sz w:val="24"/>
          <w:szCs w:val="24"/>
          <w:highlight w:val="none"/>
        </w:rPr>
      </w:pPr>
      <w:r>
        <w:rPr>
          <w:rFonts w:ascii="宋体" w:hAnsi="宋体"/>
          <w:color w:val="auto"/>
          <w:sz w:val="24"/>
          <w:szCs w:val="24"/>
          <w:highlight w:val="none"/>
        </w:rPr>
        <w:t>7.8</w:t>
      </w:r>
      <w:r>
        <w:rPr>
          <w:rFonts w:hint="eastAsia" w:ascii="宋体" w:hAnsi="宋体"/>
          <w:color w:val="auto"/>
          <w:sz w:val="24"/>
          <w:szCs w:val="24"/>
          <w:highlight w:val="none"/>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7"/>
        <w:spacing w:line="360" w:lineRule="auto"/>
        <w:rPr>
          <w:rFonts w:ascii="宋体" w:hAnsi="宋体"/>
          <w:color w:val="auto"/>
          <w:sz w:val="24"/>
          <w:szCs w:val="24"/>
          <w:highlight w:val="none"/>
        </w:rPr>
      </w:pPr>
      <w:r>
        <w:rPr>
          <w:rFonts w:hint="eastAsia" w:ascii="宋体" w:hAnsi="宋体"/>
          <w:color w:val="auto"/>
          <w:sz w:val="24"/>
          <w:szCs w:val="24"/>
          <w:highlight w:val="none"/>
        </w:rPr>
        <w:t>产品在中国境内生产的组件成本占比应当达到规定比例，计算公式为：</w:t>
      </w:r>
    </w:p>
    <w:p>
      <w:pPr>
        <w:widowControl/>
        <w:shd w:val="clear" w:color="auto" w:fill="FFFFFF"/>
        <w:spacing w:before="30" w:after="30" w:line="360" w:lineRule="auto"/>
        <w:jc w:val="center"/>
        <w:rPr>
          <w:rFonts w:ascii="宋体" w:hAnsi="宋体" w:cs="宋体"/>
          <w:color w:val="auto"/>
          <w:kern w:val="0"/>
          <w:sz w:val="24"/>
          <w:szCs w:val="24"/>
          <w:highlight w:val="none"/>
        </w:rPr>
      </w:pPr>
      <w:r>
        <w:rPr>
          <w:rFonts w:ascii="宋体" w:hAnsi="宋体" w:cs="宋体"/>
          <w:color w:val="auto"/>
          <w:kern w:val="0"/>
          <w:sz w:val="24"/>
          <w:szCs w:val="24"/>
          <w:highlight w:val="none"/>
        </w:rPr>
        <w:fldChar w:fldCharType="begin"/>
      </w:r>
      <w:r>
        <w:rPr>
          <w:rFonts w:ascii="宋体" w:hAnsi="宋体" w:cs="宋体"/>
          <w:color w:val="auto"/>
          <w:kern w:val="0"/>
          <w:sz w:val="24"/>
          <w:szCs w:val="24"/>
          <w:highlight w:val="none"/>
        </w:rPr>
        <w:instrText xml:space="preserve"> INCLUDEPICTURE "https://www.gov.cn/zhengce/content/202509/W020250930645245947614.png" \* MERGEFORMATINET </w:instrText>
      </w:r>
      <w:r>
        <w:rPr>
          <w:rFonts w:ascii="宋体" w:hAnsi="宋体" w:cs="宋体"/>
          <w:color w:val="auto"/>
          <w:kern w:val="0"/>
          <w:sz w:val="24"/>
          <w:szCs w:val="24"/>
          <w:highlight w:val="none"/>
        </w:rPr>
        <w:fldChar w:fldCharType="separate"/>
      </w:r>
      <w:r>
        <w:rPr>
          <w:rFonts w:ascii="宋体" w:hAnsi="宋体" w:cs="宋体"/>
          <w:color w:val="auto"/>
          <w:kern w:val="0"/>
          <w:sz w:val="24"/>
          <w:szCs w:val="24"/>
          <w:highlight w:val="none"/>
        </w:rPr>
        <w:drawing>
          <wp:inline distT="0" distB="0" distL="114300" distR="114300">
            <wp:extent cx="4827905" cy="762635"/>
            <wp:effectExtent l="0" t="0" r="1079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r:link="rId23"/>
                    <a:stretch>
                      <a:fillRect/>
                    </a:stretch>
                  </pic:blipFill>
                  <pic:spPr>
                    <a:xfrm>
                      <a:off x="0" y="0"/>
                      <a:ext cx="4827905" cy="762635"/>
                    </a:xfrm>
                    <a:prstGeom prst="rect">
                      <a:avLst/>
                    </a:prstGeom>
                    <a:noFill/>
                    <a:ln>
                      <a:noFill/>
                    </a:ln>
                  </pic:spPr>
                </pic:pic>
              </a:graphicData>
            </a:graphic>
          </wp:inline>
        </w:drawing>
      </w:r>
      <w:r>
        <w:rPr>
          <w:rFonts w:ascii="宋体" w:hAnsi="宋体" w:cs="宋体"/>
          <w:color w:val="auto"/>
          <w:kern w:val="0"/>
          <w:sz w:val="24"/>
          <w:szCs w:val="24"/>
          <w:highlight w:val="none"/>
        </w:rPr>
        <w:fldChar w:fldCharType="end"/>
      </w:r>
    </w:p>
    <w:p>
      <w:pPr>
        <w:pStyle w:val="7"/>
        <w:spacing w:line="360" w:lineRule="auto"/>
        <w:rPr>
          <w:rFonts w:ascii="宋体" w:hAnsi="宋体"/>
          <w:color w:val="auto"/>
          <w:sz w:val="24"/>
          <w:szCs w:val="24"/>
          <w:highlight w:val="none"/>
        </w:rPr>
      </w:pPr>
      <w:r>
        <w:rPr>
          <w:rFonts w:hint="eastAsia" w:ascii="宋体" w:hAnsi="宋体"/>
          <w:color w:val="auto"/>
          <w:sz w:val="24"/>
          <w:szCs w:val="24"/>
          <w:highlight w:val="none"/>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pPr>
        <w:pStyle w:val="7"/>
        <w:spacing w:line="360" w:lineRule="auto"/>
        <w:rPr>
          <w:rFonts w:ascii="宋体" w:hAnsi="宋体"/>
          <w:color w:val="auto"/>
          <w:sz w:val="24"/>
          <w:szCs w:val="24"/>
          <w:highlight w:val="none"/>
        </w:rPr>
      </w:pPr>
      <w:r>
        <w:rPr>
          <w:rFonts w:hint="eastAsia" w:ascii="宋体" w:hAnsi="宋体"/>
          <w:color w:val="auto"/>
          <w:sz w:val="24"/>
          <w:szCs w:val="24"/>
          <w:highlight w:val="none"/>
        </w:rPr>
        <w:t>政府采购活动中既有本国产品又有非本国产品参与竞争的，依法对本国产品给予价格评审优惠，对本国产品的报价给予20%的价格扣除，用扣除后的价格参与评审。</w:t>
      </w:r>
    </w:p>
    <w:p>
      <w:pPr>
        <w:pStyle w:val="7"/>
        <w:spacing w:line="360" w:lineRule="auto"/>
        <w:rPr>
          <w:rFonts w:ascii="宋体" w:hAnsi="宋体"/>
          <w:color w:val="auto"/>
          <w:sz w:val="24"/>
          <w:szCs w:val="24"/>
          <w:highlight w:val="none"/>
        </w:rPr>
      </w:pPr>
      <w:r>
        <w:rPr>
          <w:rFonts w:hint="eastAsia" w:ascii="宋体" w:hAnsi="宋体"/>
          <w:color w:val="auto"/>
          <w:sz w:val="24"/>
          <w:szCs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keepNext/>
        <w:keepLines/>
        <w:spacing w:line="360" w:lineRule="auto"/>
        <w:ind w:firstLine="480" w:firstLineChars="200"/>
        <w:outlineLvl w:val="2"/>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二、谈判文件</w:t>
      </w:r>
      <w:bookmarkEnd w:id="111"/>
      <w:bookmarkEnd w:id="112"/>
      <w:bookmarkEnd w:id="113"/>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8.谈判文件的构成</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竞争性谈判公告；</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采购需求；</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第三章 供应商须知； </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评审程序和评定成交的标准；</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响应文件格式；</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合同文本；</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 质疑、投诉材料格式。</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9.供应商的询问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供应商应认真阅读谈判文件的采购需求，如供应商对谈判文件有疑问的，如要求采购人作出澄清或者修改的，供应商尽应在提交首次响应文件截止之日前，以书面形式向采购人、采购代理机构提出。</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10.谈判文件的澄清和修改</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10.1已获取谈判文件的潜在供应商，若有问题需要澄清，应于应标截止时间前，以书面形式向采购代理机构提出，采购代理机构与采购人研究后，对认为有必要回答的问题，按照本章10.3的内容处理。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w:t>
      </w:r>
      <w:r>
        <w:rPr>
          <w:rFonts w:hint="eastAsia" w:ascii="宋体" w:hAnsi="宋体" w:eastAsia="宋体" w:cs="宋体"/>
          <w:color w:val="auto"/>
          <w:sz w:val="24"/>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10.5 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 w:val="24"/>
          <w:szCs w:val="24"/>
          <w:highlight w:val="none"/>
        </w:rPr>
        <w:t>（二）</w:t>
      </w:r>
      <w:r>
        <w:rPr>
          <w:rFonts w:hint="eastAsia" w:ascii="宋体" w:hAnsi="宋体" w:eastAsia="宋体" w:cs="宋体"/>
          <w:color w:val="auto"/>
          <w:sz w:val="24"/>
          <w:szCs w:val="24"/>
          <w:highlight w:val="none"/>
        </w:rPr>
        <w:t>网上查询地址”规定的政府采购信息发布媒体上发布更正公告。</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b/>
          <w:color w:val="auto"/>
          <w:kern w:val="0"/>
          <w:sz w:val="24"/>
          <w:szCs w:val="24"/>
          <w:highlight w:val="none"/>
        </w:rPr>
        <w:t>响应文件未按谈判文件的澄清、修改的内容编制，又不符合实质性要求的，其响应文件作无效处理。</w:t>
      </w:r>
    </w:p>
    <w:p>
      <w:pPr>
        <w:keepNext/>
        <w:keepLines/>
        <w:spacing w:line="360" w:lineRule="auto"/>
        <w:ind w:firstLine="480" w:firstLineChars="200"/>
        <w:outlineLvl w:val="2"/>
        <w:rPr>
          <w:rFonts w:hint="eastAsia" w:ascii="宋体" w:hAnsi="宋体" w:eastAsia="宋体" w:cs="宋体"/>
          <w:color w:val="auto"/>
          <w:sz w:val="24"/>
          <w:szCs w:val="24"/>
          <w:highlight w:val="none"/>
          <w:lang w:val="zh-CN"/>
        </w:rPr>
      </w:pPr>
      <w:bookmarkStart w:id="115" w:name="_Toc11107"/>
      <w:bookmarkStart w:id="116" w:name="_Toc12627"/>
      <w:bookmarkStart w:id="117" w:name="_Toc80205927"/>
      <w:r>
        <w:rPr>
          <w:rFonts w:hint="eastAsia" w:ascii="宋体" w:hAnsi="宋体" w:eastAsia="宋体" w:cs="宋体"/>
          <w:color w:val="auto"/>
          <w:sz w:val="24"/>
          <w:szCs w:val="24"/>
          <w:highlight w:val="none"/>
          <w:lang w:val="zh-CN"/>
        </w:rPr>
        <w:t>三、响应文件的编制</w:t>
      </w:r>
      <w:bookmarkEnd w:id="115"/>
      <w:bookmarkEnd w:id="116"/>
      <w:bookmarkEnd w:id="117"/>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11.响应文件的编制原则</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供应商必须按照谈判文件的要求编制响应文件，并对其提交的响应文件的真实性、合法性承担法律责任。响应文件必须对谈判文件作出实质性响应。</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12.响应文件的组成</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12.1响应文件由资格文件、报价文件、商务技术文件三部分组成。</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12.1.1资格文件：详见供应商须知前附表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12.1.2商务技术文件：详见供应商须知前附表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12.1.3报价文件：详见供应商须知前附表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12.2响应文件电子版：详见供应商须知前附表</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13.计量单位</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谈判文件已有明确规定的，使用谈判文件规定的计量单位；谈判文件没有规定的，应采用中华人民共和国法定计量单位，货币种类为人民币，否则视同未响应。</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14.竞标的风险</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供应商没有按照谈判文件要求提供全部资料，或者供应商没有对谈判文件在各方面作出实质性响应可能导致其响应无效，是供应商应当考虑的风险。</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15.响应报价要求和构成</w:t>
      </w:r>
    </w:p>
    <w:p>
      <w:pPr>
        <w:tabs>
          <w:tab w:val="left" w:pos="2492"/>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15.1响应报价应按“第五章 响应文件格式”中“响应报价表”格式填写。</w:t>
      </w:r>
    </w:p>
    <w:p>
      <w:pPr>
        <w:tabs>
          <w:tab w:val="left" w:pos="2492"/>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15.2响应报价的价格构成见“供应商须知前附表”。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15.3响应报价要求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15.3.1供应商的响应报价应符合以下要求，否则响应文件作无效响应处理：</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（1）供应商必须就“采购需求”中所竞标的项目/每个分标的全部内容分别作完整唯一总价报价，不得存在漏项报价；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（2）供应商必须就所竞标的项目/分标的单项内容作唯一报价。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15.3.2响应报价（包含首次报价、最后报价）超过所竞标项目/分标规定的采购预算金额或者最高限价的（如本项目公布了最高限价），其响应文件将作无效处理。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15.3.3响应报价（包含首次报价、最后报价）超过分项采购预算金额或者最高限价的（如本项目公布了最高限价），其响应文件将作无效处理。</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16.竞标有效期</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 竞标有效期应由供应商按“供应商须知前附表”规定的期限作出响应。</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16.3供应商的响应文件在竞标有效期内均保持有效。</w:t>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17.谈判保证金</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17.1供应商须按“供应商须知前附表”的规定提交谈判保证金。</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17.2谈判保证金的退还</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17.2.1未</w:t>
      </w:r>
      <w:r>
        <w:rPr>
          <w:rFonts w:hint="eastAsia" w:ascii="宋体" w:hAnsi="宋体" w:eastAsia="宋体" w:cs="宋体"/>
          <w:color w:val="auto"/>
          <w:spacing w:val="-6"/>
          <w:sz w:val="24"/>
          <w:szCs w:val="24"/>
          <w:highlight w:val="none"/>
        </w:rPr>
        <w:t>成交供应商的谈判保证金自成交通知书发出之日起5个工作日内退还，退还方式如下：</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（1）采用银行转账方式的，以转账方式退回到供应商银行账户。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（2）采用支票、汇票、本票或者金融机构、担保机构出具的保函等方式的，由供应商代表持相关授权证明材料至采购代理机构办理支票、汇票、本票或者金融机构、担保机构出具的保函等原件退还手续。</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17.2.2成交供应商的谈判保证金自签订合同之日起5个工作日内退还，退还方式同未成交供应商的谈判保证金的退还方式。 </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17.3谈判保证金不计息。</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17.4供应商有下列情形之一的，谈判保证金将不予退还： </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（1）供应商在提交响应文件截止时间后撤回响应文件的；</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（2）供应商在响应文件中提供虚假材料的；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（3）除因不可抗力或者竞争性谈判文件认可的情形以外，成交供应商不与采购人签订合同的；</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（4）供应商与采购人、其他供应商或者采购代理机构恶意串通的；</w:t>
      </w:r>
    </w:p>
    <w:p>
      <w:pPr>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（5）竞争性谈判文件规定的其他情形。</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18.响应文件编制的要求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由此引发的后果由供应商承担。</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18.2响应文件应按资格证明、报价分别编制，商务文件与技术文件合并编制，本谈判只接收电子版响应文件，要求见本章“12.2响应文件电子版要求”。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bookmarkStart w:id="118" w:name="_Hlk65832699"/>
      <w:r>
        <w:rPr>
          <w:rFonts w:hint="eastAsia" w:ascii="宋体" w:hAnsi="宋体" w:eastAsia="宋体" w:cs="宋体"/>
          <w:color w:val="auto"/>
          <w:sz w:val="24"/>
          <w:szCs w:val="24"/>
          <w:highlight w:val="none"/>
        </w:rPr>
        <w:t>3响应文件须由供应商按</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sz w:val="24"/>
          <w:szCs w:val="24"/>
          <w:highlight w:val="none"/>
        </w:rPr>
        <w:t>第五章 响应文件格式</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sz w:val="24"/>
          <w:szCs w:val="24"/>
          <w:highlight w:val="none"/>
        </w:rPr>
        <w:t>要求进行签署、盖章</w:t>
      </w:r>
      <w:bookmarkEnd w:id="118"/>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否则其响应文件作无效响应处理。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18.4响应文件中标注的供应商名称应与营业执照（事业单位法人证书、执业许可证、自然人身份证）及公章一致，</w:t>
      </w:r>
      <w:r>
        <w:rPr>
          <w:rFonts w:hint="eastAsia" w:ascii="宋体" w:hAnsi="宋体" w:eastAsia="宋体" w:cs="宋体"/>
          <w:b/>
          <w:bCs/>
          <w:color w:val="auto"/>
          <w:sz w:val="24"/>
          <w:szCs w:val="24"/>
          <w:highlight w:val="none"/>
        </w:rPr>
        <w:t>否则其响应文件作无效响应处理</w:t>
      </w:r>
      <w:r>
        <w:rPr>
          <w:rFonts w:hint="eastAsia" w:ascii="宋体" w:hAnsi="宋体" w:eastAsia="宋体" w:cs="宋体"/>
          <w:color w:val="auto"/>
          <w:sz w:val="24"/>
          <w:szCs w:val="24"/>
          <w:highlight w:val="none"/>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18.5响应文件应避免涂改、行间插字或者删除。</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19.响应文件的加密</w:t>
      </w:r>
    </w:p>
    <w:p>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19.1供应商进行电子交易应安装客户端软件—“</w:t>
      </w:r>
      <w:r>
        <w:rPr>
          <w:rFonts w:hint="eastAsia" w:ascii="宋体" w:hAnsi="宋体" w:eastAsia="宋体" w:cs="宋体"/>
          <w:color w:val="auto"/>
          <w:sz w:val="24"/>
          <w:szCs w:val="24"/>
          <w:highlight w:val="none"/>
        </w:rPr>
        <w:t>广西政府采购云平台新版客户端</w:t>
      </w:r>
      <w:r>
        <w:rPr>
          <w:rFonts w:hint="eastAsia" w:ascii="宋体" w:hAnsi="宋体" w:eastAsia="宋体" w:cs="宋体"/>
          <w:color w:val="auto"/>
          <w:kern w:val="0"/>
          <w:sz w:val="24"/>
          <w:szCs w:val="24"/>
          <w:highlight w:val="none"/>
          <w:lang w:val="zh-CN"/>
        </w:rPr>
        <w:t>”，并按照谈判文件和电子交易平台的要求编制并加密响应文件。供应商未按规定加密的响应文件，电子交易平台将拒收并提示。</w:t>
      </w:r>
    </w:p>
    <w:p>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19.2使用“</w:t>
      </w:r>
      <w:r>
        <w:rPr>
          <w:rFonts w:hint="eastAsia" w:ascii="宋体" w:hAnsi="宋体" w:eastAsia="宋体" w:cs="宋体"/>
          <w:color w:val="auto"/>
          <w:sz w:val="24"/>
          <w:szCs w:val="24"/>
          <w:highlight w:val="none"/>
        </w:rPr>
        <w:t>广西政府采购云平台</w:t>
      </w:r>
      <w:r>
        <w:rPr>
          <w:rFonts w:hint="eastAsia" w:ascii="宋体" w:hAnsi="宋体" w:eastAsia="宋体" w:cs="宋体"/>
          <w:color w:val="auto"/>
          <w:kern w:val="0"/>
          <w:sz w:val="24"/>
          <w:szCs w:val="24"/>
          <w:highlight w:val="none"/>
          <w:lang w:val="zh-CN"/>
        </w:rPr>
        <w:t>电子交易客户端”需要提前申领CA数字证书。</w:t>
      </w:r>
    </w:p>
    <w:p>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19.3为确保网上操作合法、有效和安全，供应商应当在响应文件提交截止时间前完成在“</w:t>
      </w:r>
      <w:r>
        <w:rPr>
          <w:rFonts w:hint="eastAsia" w:ascii="宋体" w:hAnsi="宋体" w:eastAsia="宋体" w:cs="宋体"/>
          <w:color w:val="auto"/>
          <w:sz w:val="24"/>
          <w:szCs w:val="24"/>
          <w:highlight w:val="none"/>
        </w:rPr>
        <w:t>广西政府采购云平台</w:t>
      </w:r>
      <w:r>
        <w:rPr>
          <w:rFonts w:hint="eastAsia" w:ascii="宋体" w:hAnsi="宋体" w:eastAsia="宋体" w:cs="宋体"/>
          <w:color w:val="auto"/>
          <w:kern w:val="0"/>
          <w:sz w:val="24"/>
          <w:szCs w:val="24"/>
          <w:highlight w:val="none"/>
          <w:lang w:val="zh-CN"/>
        </w:rPr>
        <w:t>”的身份认证，确保在电子交易过程中能够对相关数据电文进行加密和使用电子签名。</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20.响应文件的提交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20.1供应商必须在“供应商须知前附表”规定的时间和地点提交响应文件。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 在响应文件提交截止时间以后，不能补充、修改响应文件。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在提交“最后报价”后，供应商不能退出谈判。</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20.5 采购机构不可视情况延长提交响应文件的截止时间。</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20.6备份响应文件。</w:t>
      </w:r>
      <w:r>
        <w:rPr>
          <w:rFonts w:hint="eastAsia" w:ascii="宋体" w:hAnsi="宋体" w:eastAsia="宋体" w:cs="宋体"/>
          <w:bCs/>
          <w:color w:val="auto"/>
          <w:sz w:val="24"/>
          <w:szCs w:val="24"/>
          <w:highlight w:val="none"/>
        </w:rPr>
        <w:t>详见“供应商须知前附表”。</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21.首次响应文件的补充、修改与撤回</w:t>
      </w:r>
    </w:p>
    <w:p>
      <w:pP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 截止时间后的撤回</w:t>
      </w:r>
    </w:p>
    <w:p>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供应商在首次响应文件提交截止时间后向采购人、采购代理机构书面申请撤回响应文件的，将根据本须知正文第17.4条的规定不予退还其谈判保证金（如有）。</w:t>
      </w:r>
    </w:p>
    <w:p>
      <w:pPr>
        <w:keepNext/>
        <w:keepLines/>
        <w:spacing w:line="360" w:lineRule="auto"/>
        <w:ind w:firstLine="480" w:firstLineChars="200"/>
        <w:outlineLvl w:val="2"/>
        <w:rPr>
          <w:rFonts w:hint="eastAsia" w:ascii="宋体" w:hAnsi="宋体" w:eastAsia="宋体" w:cs="宋体"/>
          <w:color w:val="auto"/>
          <w:sz w:val="24"/>
          <w:szCs w:val="24"/>
          <w:highlight w:val="none"/>
          <w:lang w:val="zh-CN"/>
        </w:rPr>
      </w:pPr>
      <w:bookmarkStart w:id="119" w:name="_Toc29978"/>
      <w:bookmarkStart w:id="120" w:name="_Toc80205928"/>
      <w:bookmarkStart w:id="121" w:name="_Toc8836"/>
      <w:r>
        <w:rPr>
          <w:rFonts w:hint="eastAsia" w:ascii="宋体" w:hAnsi="宋体" w:eastAsia="宋体" w:cs="宋体"/>
          <w:color w:val="auto"/>
          <w:sz w:val="24"/>
          <w:szCs w:val="24"/>
          <w:highlight w:val="none"/>
          <w:lang w:val="zh-CN"/>
        </w:rPr>
        <w:t>四、评审及谈判</w:t>
      </w:r>
      <w:bookmarkEnd w:id="119"/>
      <w:bookmarkEnd w:id="120"/>
      <w:bookmarkEnd w:id="121"/>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23.谈判小组成立</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23.2评审专家应当从政府采购评审专家库内相关专业的专家名单中随机抽取。</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24.首次响应文件的开启</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24.1首次响应文件由谈判小组或者采购代理机构在“供应商须知前附表”规定的时间开启。</w:t>
      </w:r>
    </w:p>
    <w:p>
      <w:pPr>
        <w:spacing w:line="360" w:lineRule="auto"/>
        <w:ind w:firstLine="480" w:firstLineChars="200"/>
        <w:rPr>
          <w:rFonts w:hint="eastAsia" w:ascii="宋体" w:hAnsi="宋体" w:eastAsia="宋体" w:cs="宋体"/>
          <w:bCs/>
          <w:color w:val="auto"/>
          <w:kern w:val="0"/>
          <w:sz w:val="24"/>
          <w:szCs w:val="24"/>
          <w:highlight w:val="none"/>
          <w:lang w:val="zh-CN"/>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lang w:val="zh-CN"/>
        </w:rPr>
        <w:t xml:space="preserve">.2 </w:t>
      </w:r>
      <w:r>
        <w:rPr>
          <w:rFonts w:hint="eastAsia" w:ascii="宋体" w:hAnsi="宋体" w:eastAsia="宋体" w:cs="宋体"/>
          <w:bCs/>
          <w:color w:val="auto"/>
          <w:kern w:val="0"/>
          <w:sz w:val="24"/>
          <w:szCs w:val="24"/>
          <w:highlight w:val="none"/>
          <w:lang w:val="zh-CN"/>
        </w:rPr>
        <w:t>响应文件解密</w:t>
      </w:r>
    </w:p>
    <w:p>
      <w:pPr>
        <w:snapToGrid w:val="0"/>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bCs/>
          <w:color w:val="auto"/>
          <w:kern w:val="0"/>
          <w:sz w:val="24"/>
          <w:szCs w:val="24"/>
          <w:highlight w:val="none"/>
          <w:lang w:val="zh-CN"/>
        </w:rPr>
        <w:t>采购代理机构将在“供应商须知前附表”规定的时</w:t>
      </w:r>
      <w:r>
        <w:rPr>
          <w:rFonts w:hint="eastAsia" w:ascii="宋体" w:hAnsi="宋体" w:eastAsia="宋体" w:cs="宋体"/>
          <w:color w:val="auto"/>
          <w:kern w:val="0"/>
          <w:sz w:val="24"/>
          <w:szCs w:val="24"/>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 w:val="24"/>
          <w:szCs w:val="24"/>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 w:val="24"/>
          <w:szCs w:val="24"/>
          <w:highlight w:val="none"/>
        </w:rPr>
        <w:t>规定的时间内</w:t>
      </w:r>
      <w:r>
        <w:rPr>
          <w:rFonts w:hint="eastAsia" w:ascii="宋体" w:hAnsi="宋体" w:eastAsia="宋体" w:cs="宋体"/>
          <w:b/>
          <w:color w:val="auto"/>
          <w:kern w:val="0"/>
          <w:sz w:val="24"/>
          <w:szCs w:val="24"/>
          <w:highlight w:val="none"/>
          <w:lang w:val="zh-CN"/>
        </w:rPr>
        <w:t>完成对电子版响应文件在线解密</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1"/>
          <w:sz w:val="24"/>
          <w:szCs w:val="24"/>
          <w:highlight w:val="none"/>
        </w:rPr>
        <w:t>响应文件未按时</w:t>
      </w:r>
      <w:r>
        <w:rPr>
          <w:rFonts w:hint="eastAsia" w:ascii="宋体" w:hAnsi="宋体" w:eastAsia="宋体" w:cs="宋体"/>
          <w:color w:val="auto"/>
          <w:kern w:val="0"/>
          <w:sz w:val="24"/>
          <w:szCs w:val="24"/>
          <w:highlight w:val="none"/>
          <w:lang w:val="zh-CN"/>
        </w:rPr>
        <w:t>解密的，</w:t>
      </w:r>
      <w:r>
        <w:rPr>
          <w:rFonts w:hint="eastAsia" w:ascii="宋体" w:hAnsi="宋体" w:eastAsia="宋体" w:cs="宋体"/>
          <w:b/>
          <w:color w:val="auto"/>
          <w:kern w:val="0"/>
          <w:sz w:val="24"/>
          <w:szCs w:val="24"/>
          <w:highlight w:val="none"/>
          <w:lang w:val="zh-CN"/>
        </w:rPr>
        <w:t>视为响应文件无效。</w:t>
      </w:r>
      <w:r>
        <w:rPr>
          <w:rFonts w:hint="eastAsia" w:ascii="宋体" w:hAnsi="宋体" w:eastAsia="宋体" w:cs="宋体"/>
          <w:color w:val="auto"/>
          <w:kern w:val="0"/>
          <w:sz w:val="24"/>
          <w:szCs w:val="24"/>
          <w:highlight w:val="none"/>
          <w:lang w:val="zh-CN"/>
        </w:rPr>
        <w:t>（解密</w:t>
      </w:r>
      <w:r>
        <w:rPr>
          <w:rFonts w:hint="eastAsia" w:ascii="宋体" w:hAnsi="宋体" w:eastAsia="宋体" w:cs="宋体"/>
          <w:bCs/>
          <w:color w:val="auto"/>
          <w:kern w:val="0"/>
          <w:sz w:val="24"/>
          <w:szCs w:val="24"/>
          <w:highlight w:val="none"/>
          <w:lang w:val="zh-CN"/>
        </w:rPr>
        <w:t>异常情况处理：详见本章</w:t>
      </w: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zh-CN"/>
        </w:rPr>
        <w:t>.3 电子交易活动的中止。）</w:t>
      </w:r>
    </w:p>
    <w:p>
      <w:pP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如</w:t>
      </w:r>
      <w:r>
        <w:rPr>
          <w:rFonts w:hint="eastAsia" w:ascii="宋体" w:hAnsi="宋体" w:eastAsia="宋体" w:cs="宋体"/>
          <w:bCs/>
          <w:color w:val="auto"/>
          <w:kern w:val="0"/>
          <w:sz w:val="24"/>
          <w:szCs w:val="24"/>
          <w:highlight w:val="none"/>
          <w:lang w:val="zh-CN"/>
        </w:rPr>
        <w:t>供应商成功解密响应文件，但未在“</w:t>
      </w:r>
      <w:r>
        <w:rPr>
          <w:rFonts w:hint="eastAsia" w:ascii="宋体" w:hAnsi="宋体" w:eastAsia="宋体" w:cs="宋体"/>
          <w:color w:val="auto"/>
          <w:sz w:val="24"/>
          <w:szCs w:val="24"/>
          <w:highlight w:val="none"/>
        </w:rPr>
        <w:t>广西政府采购云平台</w:t>
      </w:r>
      <w:r>
        <w:rPr>
          <w:rFonts w:hint="eastAsia" w:ascii="宋体" w:hAnsi="宋体" w:eastAsia="宋体" w:cs="宋体"/>
          <w:bCs/>
          <w:color w:val="auto"/>
          <w:kern w:val="0"/>
          <w:sz w:val="24"/>
          <w:szCs w:val="24"/>
          <w:highlight w:val="none"/>
          <w:lang w:val="zh-CN"/>
        </w:rPr>
        <w:t>”电子开标大厅参加谈判的，视同认可谈判过程和结果，</w:t>
      </w:r>
      <w:r>
        <w:rPr>
          <w:rFonts w:hint="eastAsia" w:ascii="宋体" w:hAnsi="宋体" w:eastAsia="宋体" w:cs="宋体"/>
          <w:color w:val="auto"/>
          <w:kern w:val="0"/>
          <w:sz w:val="24"/>
          <w:szCs w:val="24"/>
          <w:highlight w:val="none"/>
          <w:lang w:val="zh-CN"/>
        </w:rPr>
        <w:t>由此产生的后果由供应商自行负责。 参与谈判的供应商不足3家的，不得谈判。</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25.评审程序和评定成交的标准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25.1本项目的评审方法详见“供应商须知前附表”。谈判小组按照“第四章 评审程序和评定成交的标准”规定的方法、评审因素、标准和程序对响应文件进行评审。</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 谈判顺序详见 “供应商须知前附表”。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25.3电子交易活动的中止。采购过程中出现以下情形，导致电子交易平台无法正常运行，或者无法保证电子交易的公平、公正和安全时，采购机构可中止电子交易活动：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（1）电子交易平台发生故障而无法登录访问的； </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（2）电子交易平台应用或数据库出现错误，不能进行正常操作的；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（3）电子交易平台发现严重安全漏洞，有潜在泄密危险的；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（4）病毒发作导致不能进行正常操作的； </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（5）其他无法保证电子交易的公平、公正和安全的情况。</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keepNext/>
        <w:keepLines/>
        <w:spacing w:line="360" w:lineRule="auto"/>
        <w:ind w:firstLine="480" w:firstLineChars="200"/>
        <w:outlineLvl w:val="2"/>
        <w:rPr>
          <w:rFonts w:hint="eastAsia" w:ascii="宋体" w:hAnsi="宋体" w:eastAsia="宋体" w:cs="宋体"/>
          <w:color w:val="auto"/>
          <w:sz w:val="24"/>
          <w:szCs w:val="24"/>
          <w:highlight w:val="none"/>
          <w:lang w:val="zh-CN"/>
        </w:rPr>
      </w:pPr>
      <w:bookmarkStart w:id="122" w:name="_Toc27003"/>
      <w:bookmarkStart w:id="123" w:name="_Toc29707"/>
      <w:bookmarkStart w:id="124" w:name="_Toc80205929"/>
      <w:r>
        <w:rPr>
          <w:rFonts w:hint="eastAsia" w:ascii="宋体" w:hAnsi="宋体" w:eastAsia="宋体" w:cs="宋体"/>
          <w:color w:val="auto"/>
          <w:sz w:val="24"/>
          <w:szCs w:val="24"/>
          <w:highlight w:val="none"/>
          <w:lang w:val="zh-CN"/>
        </w:rPr>
        <w:t>五、成交及合同</w:t>
      </w:r>
      <w:bookmarkEnd w:id="122"/>
      <w:bookmarkEnd w:id="123"/>
      <w:bookmarkEnd w:id="124"/>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26.确定成交供应商及结果公告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none"/>
        </w:rPr>
        <w:t>26.1确定成交供应商。采</w:t>
      </w:r>
      <w:r>
        <w:rPr>
          <w:rFonts w:hint="eastAsia" w:ascii="宋体" w:hAnsi="宋体" w:eastAsia="宋体" w:cs="宋体"/>
          <w:color w:val="auto"/>
          <w:sz w:val="24"/>
          <w:szCs w:val="24"/>
          <w:highlight w:val="none"/>
        </w:rPr>
        <w:t>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26.2成交通知及成交结果公告。采购代理机构应当在</w:t>
      </w:r>
      <w:r>
        <w:rPr>
          <w:rFonts w:hint="eastAsia" w:ascii="宋体" w:hAnsi="宋体" w:eastAsia="宋体" w:cs="宋体"/>
          <w:color w:val="auto"/>
          <w:kern w:val="0"/>
          <w:sz w:val="24"/>
          <w:szCs w:val="24"/>
          <w:highlight w:val="none"/>
        </w:rPr>
        <w:t>成交</w:t>
      </w:r>
      <w:r>
        <w:rPr>
          <w:rFonts w:hint="eastAsia" w:ascii="宋体" w:hAnsi="宋体" w:eastAsia="宋体" w:cs="宋体"/>
          <w:color w:val="auto"/>
          <w:sz w:val="24"/>
          <w:szCs w:val="24"/>
          <w:highlight w:val="none"/>
        </w:rPr>
        <w:t>供应商确定后2个工作日内，在省级以上财政部门指定的媒体上公告成交结果，同时向成交供应商发出成交通知书。</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25" w:name="_Hlk66782294"/>
      <w:r>
        <w:rPr>
          <w:rFonts w:hint="eastAsia" w:ascii="宋体" w:hAnsi="宋体" w:eastAsia="宋体" w:cs="宋体"/>
          <w:color w:val="auto"/>
          <w:sz w:val="24"/>
          <w:szCs w:val="24"/>
          <w:highlight w:val="none"/>
        </w:rPr>
        <w:t>成交供应商享受《政府采购促进中小企业发展管理办法》（财库〔2020〕46号）规定的中小企业扶持政策的，采购人、采购代理机构应当随成交结果公开成交供应商的《中小企业声明函》。</w:t>
      </w:r>
      <w:bookmarkEnd w:id="125"/>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26.4采购人、采购代理机构应当随成交结果公开成交供应商的《关于符合本国产品标准的声明函》或有关证明文件。</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26.5</w:t>
      </w:r>
      <w:r>
        <w:rPr>
          <w:rFonts w:hint="eastAsia" w:ascii="宋体" w:hAnsi="宋体" w:eastAsia="宋体" w:cs="宋体"/>
          <w:color w:val="auto"/>
          <w:sz w:val="24"/>
          <w:szCs w:val="24"/>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26.</w:t>
      </w:r>
      <w:r>
        <w:rPr>
          <w:rFonts w:hint="eastAsia" w:ascii="宋体"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rPr>
        <w:t>排名第一的成交候选人放弃成交，采购人可以按照评审报告推荐的成交候选人名单排序，依法确定下一候选人为成交</w:t>
      </w:r>
      <w:r>
        <w:rPr>
          <w:rFonts w:hint="eastAsia" w:ascii="宋体" w:hAnsi="宋体" w:eastAsia="宋体" w:cs="宋体"/>
          <w:color w:val="auto"/>
          <w:sz w:val="24"/>
          <w:szCs w:val="24"/>
          <w:highlight w:val="none"/>
        </w:rPr>
        <w:t>供应商</w:t>
      </w:r>
      <w:r>
        <w:rPr>
          <w:rFonts w:hint="eastAsia" w:ascii="宋体" w:hAnsi="宋体" w:eastAsia="宋体" w:cs="宋体"/>
          <w:bCs/>
          <w:color w:val="auto"/>
          <w:sz w:val="24"/>
          <w:szCs w:val="24"/>
          <w:highlight w:val="none"/>
        </w:rPr>
        <w:t>，也可以重新开展政府采购活动。</w:t>
      </w:r>
      <w:r>
        <w:rPr>
          <w:rFonts w:hint="eastAsia" w:ascii="宋体" w:hAnsi="宋体" w:eastAsia="宋体" w:cs="宋体"/>
          <w:b/>
          <w:bCs/>
          <w:color w:val="auto"/>
          <w:sz w:val="24"/>
          <w:szCs w:val="24"/>
          <w:highlight w:val="none"/>
        </w:rPr>
        <w:t>27.履约保证金</w:t>
      </w:r>
    </w:p>
    <w:p>
      <w:pPr>
        <w:pStyle w:val="11"/>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27.1履约保证金的金额、提交方式、退付的时间和条件详见 “供应商须知前附表”。成交供应商未按规定提交履约保证金的，视为拒绝与采购人签订合同，采购人可以按照评审报告推荐的成交候选人名单排序，依法确定下一候选人为成交供应商，也可以重新开展政府采购活动。</w:t>
      </w:r>
    </w:p>
    <w:p>
      <w:pPr>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27.2签订合同后，如成交供应商不按双方签订的合同规定履约，则没收其全部履约保证金，履约保证金不足以赔偿损失的，按实际损失赔偿。</w:t>
      </w:r>
    </w:p>
    <w:p>
      <w:pPr>
        <w:spacing w:line="360" w:lineRule="auto"/>
        <w:ind w:firstLine="484" w:firstLineChars="2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27.3在履约保证金退还日期前，若成交供应商的开户名称、开户银行、账号有变动的，请以书面形式通知履约保证金收取单位，否则由此产生的后果由成交供应商自负。</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28.签订合同</w:t>
      </w:r>
    </w:p>
    <w:p>
      <w:pPr>
        <w:adjustRightInd w:val="0"/>
        <w:snapToGrid w:val="0"/>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28.1采购人与成交供应商应当在成交通知书规定的时间内，按照谈判文件确定的合同文本以及采购标的、服务技术、采购金额、采购数量、技术和</w:t>
      </w:r>
      <w:r>
        <w:rPr>
          <w:rFonts w:hint="eastAsia" w:ascii="宋体" w:hAnsi="宋体" w:cs="宋体"/>
          <w:color w:val="auto"/>
          <w:kern w:val="0"/>
          <w:sz w:val="24"/>
          <w:szCs w:val="24"/>
          <w:highlight w:val="none"/>
          <w:lang w:eastAsia="zh-CN"/>
        </w:rPr>
        <w:t>货物</w:t>
      </w:r>
      <w:r>
        <w:rPr>
          <w:rFonts w:hint="eastAsia" w:ascii="宋体" w:hAnsi="宋体" w:eastAsia="宋体" w:cs="宋体"/>
          <w:color w:val="auto"/>
          <w:kern w:val="0"/>
          <w:sz w:val="24"/>
          <w:szCs w:val="24"/>
          <w:highlight w:val="none"/>
        </w:rPr>
        <w:t>要求等事项签订政府采购合同。</w:t>
      </w:r>
      <w:r>
        <w:rPr>
          <w:rFonts w:hint="eastAsia" w:ascii="宋体" w:hAnsi="宋体" w:eastAsia="宋体" w:cs="宋体"/>
          <w:color w:val="auto"/>
          <w:kern w:val="0"/>
          <w:sz w:val="24"/>
          <w:szCs w:val="24"/>
          <w:highlight w:val="none"/>
          <w:lang w:val="zh-CN"/>
        </w:rPr>
        <w:t>如成交供应商为联合体的，由联合体成员各方法定代表人或其授权代表与采购人代表签订合同。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28.2采购人不得向成交供应商提出超出谈判文件以外的任何要求作为签订合同的条件，不得与成交供应商订立背离谈判文件确定的合同文本以及采购标的、服务技术、采购金额、采购数量、技术和</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要求等实质性内容的协议。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28.4如签订合同并生效后，供应商无故拒绝或延期，除按照合同条款处理外，列入不良行为记录，并给予通报。</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28.5采购合同由采购人与成交供应商根据谈判文件、响应文件等内容通过政府采购电子交易平台在线签订，自动备案，在线签订须携带的材料见“ 供应商须知前附表”。</w:t>
      </w:r>
      <w:r>
        <w:rPr>
          <w:rFonts w:hint="eastAsia" w:ascii="宋体" w:hAnsi="宋体" w:eastAsia="宋体" w:cs="宋体"/>
          <w:b/>
          <w:bCs/>
          <w:color w:val="auto"/>
          <w:sz w:val="24"/>
          <w:szCs w:val="24"/>
          <w:highlight w:val="none"/>
        </w:rPr>
        <w:t>（适用于签订电子合同的情形）</w:t>
      </w:r>
    </w:p>
    <w:p>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采购合同由采购人与成交供应商根据谈判文件、响应文件等内容签订，</w:t>
      </w:r>
      <w:r>
        <w:rPr>
          <w:rFonts w:hint="eastAsia" w:ascii="宋体" w:hAnsi="宋体" w:eastAsia="宋体" w:cs="宋体"/>
          <w:color w:val="auto"/>
          <w:sz w:val="24"/>
          <w:szCs w:val="24"/>
          <w:highlight w:val="none"/>
        </w:rPr>
        <w:t>成交供应商应当在签订合同时按供应商须知前附表规定向采购人出示相关证明材料，经采购人核验合格后方可签订合同。</w:t>
      </w:r>
      <w:r>
        <w:rPr>
          <w:rFonts w:hint="eastAsia" w:ascii="宋体" w:hAnsi="宋体" w:eastAsia="宋体" w:cs="宋体"/>
          <w:b/>
          <w:bCs/>
          <w:color w:val="auto"/>
          <w:sz w:val="24"/>
          <w:szCs w:val="24"/>
          <w:highlight w:val="none"/>
        </w:rPr>
        <w:t>（适用于签订纸质合同的情形）</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29.政府采购合同公告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30. 询问、质疑和投诉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30.1供应商对政府采购活动事项有疑问的，可以向采购人或者采购代理机构提出询问，采购人或者采购代理机构应当在3个工作日内对供应商依法提出的询问作出答复。</w:t>
      </w:r>
    </w:p>
    <w:p>
      <w:pPr>
        <w:spacing w:line="360" w:lineRule="auto"/>
        <w:ind w:firstLine="480" w:firstLineChars="200"/>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rPr>
        <w:t>30.2供应商认为谈判文件、采购过程或者成交结果使自己的合法权益受到损害的，应当在知道或者应知其权益受到损害之日起7个工作日内，以书面形式向采购人或者采购代理机构提出质疑，采购人或者采购代理机构应当在7个工作日内对供应商依法提出的质疑作出答复。</w:t>
      </w:r>
      <w:r>
        <w:rPr>
          <w:rFonts w:hint="eastAsia" w:ascii="宋体" w:hAnsi="宋体" w:eastAsia="宋体" w:cs="宋体"/>
          <w:color w:val="auto"/>
          <w:sz w:val="24"/>
          <w:szCs w:val="24"/>
          <w:highlight w:val="none"/>
          <w:shd w:val="clear" w:color="auto" w:fill="FFFFFF"/>
        </w:rPr>
        <w:t>接收质疑函的方式、联系部门、联系电话和通讯地址等信息详见</w:t>
      </w:r>
      <w:r>
        <w:rPr>
          <w:rFonts w:hint="eastAsia" w:ascii="宋体" w:hAnsi="宋体" w:eastAsia="宋体" w:cs="宋体"/>
          <w:color w:val="auto"/>
          <w:sz w:val="24"/>
          <w:szCs w:val="24"/>
          <w:highlight w:val="none"/>
        </w:rPr>
        <w:t>“供应商须知前附表”。</w:t>
      </w:r>
      <w:r>
        <w:rPr>
          <w:rFonts w:hint="eastAsia" w:ascii="宋体" w:hAnsi="宋体" w:eastAsia="宋体" w:cs="宋体"/>
          <w:b w:val="0"/>
          <w:bCs/>
          <w:color w:val="auto"/>
          <w:sz w:val="24"/>
          <w:szCs w:val="24"/>
          <w:highlight w:val="none"/>
        </w:rPr>
        <w:t xml:space="preserve">具体质疑起算时间及处理方式如下： </w:t>
      </w:r>
    </w:p>
    <w:p>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（1）潜在供应商依法获取采购文件后，认为采购文件使自己的权益受到损害的，应当在竞争性谈判文件公告期限届满之日起7个工作日内提出质疑。</w:t>
      </w:r>
    </w:p>
    <w:p>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（3）供应商认为成交结果使自己的权益受到损害的，应当在成交结果公告期限届满之日起7个工作日内提出质疑，由采购人受理并负责答复。</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30.4 供应商提出质疑应当提交质疑函和必要的证明材料，针对同一采购程序环节的质疑必须在法定质疑期内一次性提出。质疑函应当包括下列内容（质疑函格式后附）：</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（1）供应商的姓名或者名称、地址、邮编、联系人及联系电话；</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（2）质疑项目的名称、编号；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（3）具体、明确的质疑事项和与质疑事项相关的请求；</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（4）事实依据；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（5）必要的法律依据；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（6）提出质疑的日期。</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供应商为自然人的，应当由本人签字；供应商为法人或者其他组织的，应当由法定代表人、主要负责人，或者其委托代理人签字或者盖章，并加盖公章。</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质疑答复导致成交结果改变的，采购人或者采购代理机构应当将有关情况书面报告本级财政部门。</w:t>
      </w:r>
    </w:p>
    <w:p>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pPr>
        <w:keepNext/>
        <w:keepLines/>
        <w:spacing w:line="360" w:lineRule="auto"/>
        <w:ind w:firstLine="482" w:firstLineChars="200"/>
        <w:outlineLvl w:val="2"/>
        <w:rPr>
          <w:rFonts w:hint="eastAsia" w:ascii="宋体" w:hAnsi="宋体" w:eastAsia="宋体" w:cs="宋体"/>
          <w:bCs/>
          <w:color w:val="auto"/>
          <w:sz w:val="24"/>
          <w:szCs w:val="24"/>
          <w:highlight w:val="none"/>
          <w:lang w:val="zh-CN"/>
        </w:rPr>
      </w:pPr>
      <w:bookmarkStart w:id="126" w:name="_Toc6502"/>
      <w:bookmarkStart w:id="127" w:name="_Toc25772"/>
      <w:r>
        <w:rPr>
          <w:rFonts w:hint="eastAsia" w:ascii="宋体" w:hAnsi="宋体" w:eastAsia="宋体" w:cs="宋体"/>
          <w:b/>
          <w:bCs/>
          <w:color w:val="auto"/>
          <w:sz w:val="24"/>
          <w:szCs w:val="24"/>
          <w:highlight w:val="none"/>
          <w:lang w:val="zh-CN"/>
        </w:rPr>
        <w:t>六</w:t>
      </w:r>
      <w:r>
        <w:rPr>
          <w:rFonts w:hint="eastAsia" w:ascii="宋体" w:hAnsi="宋体" w:eastAsia="宋体" w:cs="宋体"/>
          <w:bCs/>
          <w:color w:val="auto"/>
          <w:sz w:val="24"/>
          <w:szCs w:val="24"/>
          <w:highlight w:val="none"/>
          <w:lang w:val="zh-CN"/>
        </w:rPr>
        <w:t>、验收</w:t>
      </w:r>
      <w:bookmarkEnd w:id="126"/>
      <w:bookmarkEnd w:id="127"/>
    </w:p>
    <w:p>
      <w:pPr>
        <w:tabs>
          <w:tab w:val="left" w:pos="0"/>
        </w:tabs>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31.验收</w:t>
      </w:r>
    </w:p>
    <w:p>
      <w:pPr>
        <w:tabs>
          <w:tab w:val="left" w:pos="0"/>
        </w:tabs>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如有）返还条件挂钩。履约验收的各项资料应当存档备查。</w:t>
      </w:r>
    </w:p>
    <w:p>
      <w:pPr>
        <w:tabs>
          <w:tab w:val="left" w:pos="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keepLines/>
        <w:spacing w:line="360" w:lineRule="auto"/>
        <w:ind w:firstLine="480" w:firstLineChars="200"/>
        <w:outlineLvl w:val="2"/>
        <w:rPr>
          <w:rFonts w:hint="eastAsia" w:ascii="宋体" w:hAnsi="宋体" w:eastAsia="宋体" w:cs="宋体"/>
          <w:color w:val="auto"/>
          <w:sz w:val="24"/>
          <w:szCs w:val="24"/>
          <w:highlight w:val="none"/>
          <w:lang w:val="zh-CN"/>
        </w:rPr>
      </w:pPr>
      <w:bookmarkStart w:id="128" w:name="_Toc15842"/>
      <w:bookmarkStart w:id="129" w:name="_Toc80205931"/>
      <w:bookmarkStart w:id="130" w:name="_Toc1379"/>
      <w:r>
        <w:rPr>
          <w:rFonts w:hint="eastAsia" w:ascii="宋体" w:hAnsi="宋体" w:eastAsia="宋体" w:cs="宋体"/>
          <w:color w:val="auto"/>
          <w:sz w:val="24"/>
          <w:szCs w:val="24"/>
          <w:highlight w:val="none"/>
          <w:lang w:val="zh-CN"/>
        </w:rPr>
        <w:t>七、其他事项</w:t>
      </w:r>
      <w:bookmarkEnd w:id="128"/>
      <w:bookmarkEnd w:id="129"/>
      <w:bookmarkEnd w:id="130"/>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32.采购代理服务费</w:t>
      </w:r>
    </w:p>
    <w:p>
      <w:pPr>
        <w:tabs>
          <w:tab w:val="left" w:pos="283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32.1采购代理服务费收费标准及缴费账户详见“供应商须知前附表”，供应商为联合体的，可以由联合体中的一方或者多方共同缴纳采购代理服务费。</w:t>
      </w:r>
    </w:p>
    <w:p>
      <w:pPr>
        <w:pStyle w:val="1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32.2采购代理服务费收费计算标准：</w:t>
      </w:r>
    </w:p>
    <w:tbl>
      <w:tblPr>
        <w:tblStyle w:val="32"/>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费率</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w:t>
            </w:r>
          </w:p>
        </w:tc>
        <w:tc>
          <w:tcPr>
            <w:tcW w:w="1659" w:type="dxa"/>
            <w:noWrap w:val="0"/>
            <w:vAlign w:val="center"/>
          </w:tcPr>
          <w:p>
            <w:pPr>
              <w:spacing w:line="360" w:lineRule="auto"/>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货物类</w:t>
            </w:r>
          </w:p>
        </w:tc>
        <w:tc>
          <w:tcPr>
            <w:tcW w:w="1532"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服务类</w:t>
            </w:r>
          </w:p>
        </w:tc>
        <w:tc>
          <w:tcPr>
            <w:tcW w:w="1546" w:type="dxa"/>
            <w:noWrap w:val="0"/>
            <w:vAlign w:val="cente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100万元以下</w:t>
            </w:r>
          </w:p>
        </w:tc>
        <w:tc>
          <w:tcPr>
            <w:tcW w:w="1659"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1.5%                </w:t>
            </w:r>
          </w:p>
        </w:tc>
        <w:tc>
          <w:tcPr>
            <w:tcW w:w="1532"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1.5%</w:t>
            </w:r>
          </w:p>
        </w:tc>
        <w:tc>
          <w:tcPr>
            <w:tcW w:w="1546"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100～500万元</w:t>
            </w:r>
          </w:p>
        </w:tc>
        <w:tc>
          <w:tcPr>
            <w:tcW w:w="1659"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1.1%                 </w:t>
            </w:r>
          </w:p>
        </w:tc>
        <w:tc>
          <w:tcPr>
            <w:tcW w:w="1532"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0.8%</w:t>
            </w:r>
          </w:p>
        </w:tc>
        <w:tc>
          <w:tcPr>
            <w:tcW w:w="1546"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500～1000万元</w:t>
            </w:r>
          </w:p>
        </w:tc>
        <w:tc>
          <w:tcPr>
            <w:tcW w:w="1659"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  0.8%                </w:t>
            </w:r>
          </w:p>
        </w:tc>
        <w:tc>
          <w:tcPr>
            <w:tcW w:w="1532"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0.45%</w:t>
            </w:r>
          </w:p>
        </w:tc>
        <w:tc>
          <w:tcPr>
            <w:tcW w:w="1546"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1000～5000万元</w:t>
            </w:r>
          </w:p>
        </w:tc>
        <w:tc>
          <w:tcPr>
            <w:tcW w:w="1659"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0.5%                </w:t>
            </w:r>
          </w:p>
        </w:tc>
        <w:tc>
          <w:tcPr>
            <w:tcW w:w="1532"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0.25%</w:t>
            </w:r>
          </w:p>
        </w:tc>
        <w:tc>
          <w:tcPr>
            <w:tcW w:w="1546"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5000万元～1亿元</w:t>
            </w:r>
          </w:p>
        </w:tc>
        <w:tc>
          <w:tcPr>
            <w:tcW w:w="1659"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0.25%                 </w:t>
            </w:r>
          </w:p>
        </w:tc>
        <w:tc>
          <w:tcPr>
            <w:tcW w:w="1532"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0.1%</w:t>
            </w:r>
          </w:p>
        </w:tc>
        <w:tc>
          <w:tcPr>
            <w:tcW w:w="1546" w:type="dxa"/>
            <w:noWrap w:val="0"/>
            <w:vAlign w:val="top"/>
          </w:tcPr>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0.2%</w:t>
            </w:r>
          </w:p>
        </w:tc>
      </w:tr>
    </w:tbl>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注： </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（1）按本表费率计算的收费为采购代理的收费基准价格；</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（2）采购代理收费按差额定率累进法计算。</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例如：某服务采购代理业务成交金额或者暂定价为150万元，计算采购代理收费额如下：</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 万元 ×l.5 ％＝ 1.5 万元</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150 － 100 ）万元 ×0.8％＝ 0.4 万元</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合计收费＝ 1.5 ＋ 0.4＝ 1.9（万元）</w:t>
      </w:r>
    </w:p>
    <w:p>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33.需要补充的其他内容</w:t>
      </w:r>
    </w:p>
    <w:p>
      <w:pPr>
        <w:spacing w:line="360" w:lineRule="auto"/>
        <w:ind w:firstLine="480" w:firstLineChars="200"/>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zh-CN"/>
        </w:rPr>
        <w:t>.1本谈判文件解释规则详见“供应商须知前附表”。</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33.2 其他事</w:t>
      </w:r>
      <w:r>
        <w:rPr>
          <w:rFonts w:hint="eastAsia" w:ascii="宋体" w:hAnsi="宋体" w:eastAsia="宋体" w:cs="宋体"/>
          <w:color w:val="auto"/>
          <w:sz w:val="24"/>
          <w:szCs w:val="24"/>
          <w:highlight w:val="none"/>
        </w:rPr>
        <w:t>项详见“供应商须知前附表”。</w:t>
      </w:r>
    </w:p>
    <w:p>
      <w:pPr>
        <w:spacing w:line="360" w:lineRule="auto"/>
        <w:ind w:firstLine="480" w:firstLineChars="200"/>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3</w:t>
      </w:r>
      <w:r>
        <w:rPr>
          <w:rFonts w:hint="eastAsia"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lang w:val="zh-CN"/>
        </w:rPr>
        <w:t>.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宋体" w:hAnsi="宋体" w:eastAsia="宋体" w:cs="宋体"/>
          <w:color w:val="auto"/>
          <w:sz w:val="24"/>
          <w:szCs w:val="24"/>
          <w:highlight w:val="none"/>
        </w:rPr>
        <w:t>在政府采购活动中，供应商提供的</w:t>
      </w:r>
      <w:r>
        <w:rPr>
          <w:rFonts w:hint="eastAsia" w:ascii="宋体" w:hAnsi="宋体" w:eastAsia="宋体" w:cs="宋体"/>
          <w:color w:val="auto"/>
          <w:kern w:val="0"/>
          <w:sz w:val="24"/>
          <w:szCs w:val="24"/>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eastAsia="宋体" w:cs="宋体"/>
          <w:color w:val="auto"/>
          <w:sz w:val="24"/>
          <w:szCs w:val="24"/>
          <w:highlight w:val="none"/>
        </w:rPr>
        <w:t>，享受本文件规定的中小企业扶持政策。</w:t>
      </w:r>
    </w:p>
    <w:p>
      <w:pPr>
        <w:pStyle w:val="17"/>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textAlignment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依据本文件规定享受扶持政策获得政府采购合同的，小微企业不得将合同分包给大中型企业，中型企业不得将合同分包给大型企业。</w:t>
      </w:r>
    </w:p>
    <w:p>
      <w:pPr>
        <w:spacing w:line="360" w:lineRule="auto"/>
        <w:ind w:firstLine="480" w:firstLineChars="200"/>
        <w:textAlignment w:val="cente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33.4</w:t>
      </w:r>
      <w:r>
        <w:rPr>
          <w:rFonts w:hint="eastAsia" w:ascii="宋体" w:hAnsi="宋体" w:eastAsia="宋体" w:cs="宋体"/>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numPr>
          <w:ilvl w:val="0"/>
          <w:numId w:val="11"/>
        </w:numPr>
        <w:rPr>
          <w:rFonts w:hint="eastAsia" w:ascii="仿宋" w:hAnsi="仿宋" w:eastAsia="仿宋" w:cs="仿宋"/>
          <w:bCs/>
          <w:color w:val="auto"/>
          <w:sz w:val="24"/>
          <w:szCs w:val="24"/>
          <w:highlight w:val="none"/>
        </w:rPr>
      </w:pPr>
      <w:r>
        <w:rPr>
          <w:rFonts w:hint="eastAsia" w:ascii="宋体" w:hAnsi="宋体" w:eastAsia="宋体" w:cs="宋体"/>
          <w:bCs/>
          <w:color w:val="auto"/>
          <w:sz w:val="24"/>
          <w:szCs w:val="24"/>
          <w:highlight w:val="none"/>
        </w:rPr>
        <w:t>《崇左市财政局关于进一步做好线上“政采贷”融资业务工作的通知》( 崇财采(2024)10号)相关附件。</w:t>
      </w:r>
    </w:p>
    <w:p>
      <w:pPr>
        <w:numPr>
          <w:ilvl w:val="0"/>
          <w:numId w:val="0"/>
        </w:numPr>
        <w:rPr>
          <w:rFonts w:hint="eastAsia" w:ascii="仿宋" w:hAnsi="仿宋" w:eastAsia="仿宋" w:cs="仿宋"/>
          <w:bCs/>
          <w:color w:val="auto"/>
          <w:sz w:val="24"/>
          <w:szCs w:val="24"/>
          <w:highlight w:val="none"/>
        </w:rPr>
      </w:pPr>
    </w:p>
    <w:bookmarkEnd w:id="107"/>
    <w:p>
      <w:pPr>
        <w:pStyle w:val="31"/>
        <w:ind w:firstLine="480"/>
        <w:rPr>
          <w:rFonts w:hint="eastAsia" w:ascii="宋体" w:hAnsi="宋体" w:eastAsia="宋体" w:cs="宋体"/>
          <w:color w:val="auto"/>
          <w:kern w:val="2"/>
          <w:sz w:val="24"/>
          <w:szCs w:val="24"/>
          <w:highlight w:val="none"/>
        </w:rPr>
      </w:pPr>
      <w:bookmarkStart w:id="131" w:name="_Toc80886937"/>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31"/>
        <w:ind w:firstLine="480"/>
        <w:rPr>
          <w:rFonts w:hint="eastAsia" w:ascii="宋体" w:hAnsi="宋体" w:eastAsia="宋体" w:cs="宋体"/>
          <w:color w:val="auto"/>
          <w:kern w:val="2"/>
          <w:sz w:val="24"/>
          <w:szCs w:val="24"/>
          <w:highlight w:val="none"/>
        </w:rPr>
      </w:pPr>
    </w:p>
    <w:p>
      <w:pPr>
        <w:pStyle w:val="2"/>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color w:val="auto"/>
          <w:highlight w:val="none"/>
        </w:rPr>
      </w:pPr>
      <w:bookmarkStart w:id="132" w:name="_Toc6936"/>
      <w:bookmarkStart w:id="133" w:name="_Toc30137"/>
      <w:bookmarkStart w:id="134" w:name="_Toc20765"/>
      <w:bookmarkStart w:id="135" w:name="_Toc14349"/>
      <w:r>
        <w:rPr>
          <w:rFonts w:hint="eastAsia"/>
          <w:color w:val="auto"/>
          <w:highlight w:val="none"/>
          <w:lang w:eastAsia="zh-CN"/>
        </w:rPr>
        <w:t>第</w:t>
      </w:r>
      <w:r>
        <w:rPr>
          <w:rFonts w:hint="eastAsia"/>
          <w:color w:val="auto"/>
          <w:highlight w:val="none"/>
        </w:rPr>
        <w:t>四章  评审程序、评审方法和评审标准</w:t>
      </w:r>
      <w:bookmarkEnd w:id="131"/>
      <w:bookmarkEnd w:id="132"/>
      <w:bookmarkEnd w:id="133"/>
      <w:bookmarkEnd w:id="134"/>
      <w:bookmarkEnd w:id="135"/>
      <w:bookmarkStart w:id="136" w:name="_Toc80886938"/>
    </w:p>
    <w:p>
      <w:pPr>
        <w:pageBreakBefore w:val="0"/>
        <w:widowControl w:val="0"/>
        <w:kinsoku/>
        <w:wordWrap/>
        <w:overflowPunct/>
        <w:topLinePunct w:val="0"/>
        <w:autoSpaceDE/>
        <w:autoSpaceDN/>
        <w:bidi w:val="0"/>
        <w:adjustRightInd/>
        <w:snapToGrid/>
        <w:spacing w:line="480" w:lineRule="auto"/>
        <w:ind w:firstLine="420"/>
        <w:contextualSpacing/>
        <w:jc w:val="center"/>
        <w:textAlignment w:val="auto"/>
        <w:rPr>
          <w:rFonts w:hint="eastAsia" w:ascii="宋体" w:hAnsi="宋体" w:eastAsia="宋体" w:cs="宋体"/>
          <w:color w:val="auto"/>
          <w:sz w:val="36"/>
          <w:szCs w:val="36"/>
          <w:highlight w:val="none"/>
          <w:lang w:val="zh-CN"/>
        </w:rPr>
      </w:pPr>
      <w:bookmarkStart w:id="137" w:name="_Toc10464"/>
      <w:bookmarkStart w:id="138" w:name="_Toc18230"/>
      <w:bookmarkStart w:id="139" w:name="_Toc80205933"/>
      <w:r>
        <w:rPr>
          <w:rFonts w:hint="eastAsia" w:ascii="宋体" w:hAnsi="宋体" w:eastAsia="宋体" w:cs="宋体"/>
          <w:b/>
          <w:bCs/>
          <w:color w:val="auto"/>
          <w:sz w:val="30"/>
          <w:szCs w:val="30"/>
          <w:highlight w:val="none"/>
          <w:lang w:val="zh-CN"/>
        </w:rPr>
        <w:t>第一节 评审程序和评审方法</w:t>
      </w:r>
      <w:bookmarkEnd w:id="137"/>
      <w:bookmarkEnd w:id="138"/>
      <w:bookmarkEnd w:id="139"/>
    </w:p>
    <w:p>
      <w:pPr>
        <w:spacing w:line="360" w:lineRule="auto"/>
        <w:ind w:firstLine="42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1.确认谈判文件</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由谈判小组确认谈判文件。</w:t>
      </w:r>
    </w:p>
    <w:p>
      <w:pPr>
        <w:spacing w:line="360" w:lineRule="auto"/>
        <w:ind w:firstLine="42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2.1响应文件开启后，谈判小组依法对供应商的资格文件进行审查。</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注：采购人代表或者采购代理机构在资格审查结束前，对供应商进行信用查询。</w:t>
      </w:r>
    </w:p>
    <w:p>
      <w:pPr>
        <w:keepNext w:val="0"/>
        <w:keepLines w:val="0"/>
        <w:pageBreakBefore w:val="0"/>
        <w:widowControl w:val="0"/>
        <w:kinsoku/>
        <w:wordWrap w:val="0"/>
        <w:overflowPunct/>
        <w:topLinePunct w:val="0"/>
        <w:autoSpaceDE/>
        <w:autoSpaceDN/>
        <w:bidi w:val="0"/>
        <w:adjustRightInd/>
        <w:snapToGrid/>
        <w:spacing w:line="360" w:lineRule="auto"/>
        <w:ind w:firstLine="42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（1）查询渠道：广西政府采购云平台“信用中国”网站(</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"http://www.creditchina.gov.cn"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www.creditchina.gov.cn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)、中国政府采购网(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"http://www.ccgp.gov.cn"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www.ccgp.gov.cn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、中国执行信息公开网（https://zxgk.court.gov.cn/）</w:t>
      </w:r>
      <w:r>
        <w:rPr>
          <w:rFonts w:hint="eastAsia" w:ascii="宋体" w:hAnsi="宋体" w:eastAsia="宋体" w:cs="宋体"/>
          <w:color w:val="auto"/>
          <w:sz w:val="24"/>
          <w:highlight w:val="none"/>
        </w:rPr>
        <w:t>链接入口。</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（2）信用查询截止时点：资格审查结束前。</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查询记录和证据留存方式：在查询网站中直接查询记录，截图另存为电子文档作为评审资料保存。</w:t>
      </w:r>
    </w:p>
    <w:p>
      <w:pPr>
        <w:keepNext w:val="0"/>
        <w:keepLines w:val="0"/>
        <w:pageBreakBefore w:val="0"/>
        <w:widowControl w:val="0"/>
        <w:kinsoku/>
        <w:wordWrap w:val="0"/>
        <w:overflowPunct/>
        <w:topLinePunct w:val="0"/>
        <w:autoSpaceDE/>
        <w:autoSpaceDN/>
        <w:bidi w:val="0"/>
        <w:adjustRightInd/>
        <w:snapToGrid/>
        <w:spacing w:line="360" w:lineRule="auto"/>
        <w:ind w:firstLine="42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（3）信用信息使用规则：对在“信用中国”网站(www.creditchina.gov.cn) 、中国政府采购网(www.ccgp.gov.cn)</w:t>
      </w:r>
      <w:r>
        <w:rPr>
          <w:rFonts w:hint="eastAsia" w:ascii="宋体" w:hAnsi="宋体" w:cs="宋体"/>
          <w:color w:val="auto"/>
          <w:sz w:val="24"/>
          <w:highlight w:val="none"/>
          <w:lang w:eastAsia="zh-CN"/>
        </w:rPr>
        <w:t>、中国执行信息公开网（https://zxgk.court.gov.cn/）</w:t>
      </w:r>
      <w:r>
        <w:rPr>
          <w:rFonts w:hint="eastAsia" w:ascii="宋体" w:hAnsi="宋体" w:eastAsia="宋体" w:cs="宋体"/>
          <w:color w:val="auto"/>
          <w:sz w:val="24"/>
          <w:highlight w:val="none"/>
        </w:rPr>
        <w:t>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2.2资格审查标准为本谈判文件中载明对供应商资格要求的条件。资格审查采用合格制，凡符合谈判文件规定的供应商资格要求的响应文件均通过资格审查。</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2.3供应商有下列情形之一的，资格审查不通过，其响应文件作无效响应处理：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（1）不具备谈判文件中规定的资格要求的；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（2）响应文件未提供任一项“供应商须知前附表”资格文件规定的“必须提供”的文件资料的；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（3）响应文件提供的资格文件出现任一项不符合“供应商须知前附表”资格文件规定的“必须提供”的文件资料要求或者无效的。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（4）同一合同项下的不同供应商，单位负责人为同一人或者存在直接控股、管理关系的；为本项目提供过整体设计、规范编制或者项目管理、监理、检测等服务的。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2.4通过资格审查的合格供应商不足3家的，不得进入符合性审查环节，采购人或者采购代理机构应当重新开展采购活动。</w:t>
      </w:r>
    </w:p>
    <w:p>
      <w:pPr>
        <w:spacing w:line="360" w:lineRule="auto"/>
        <w:ind w:firstLine="42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pPr>
        <w:spacing w:line="360" w:lineRule="auto"/>
        <w:ind w:firstLine="420"/>
        <w:contextualSpacing/>
        <w:rPr>
          <w:rFonts w:hint="eastAsia" w:ascii="宋体" w:hAnsi="宋体" w:eastAsia="宋体" w:cs="宋体"/>
          <w:color w:val="auto"/>
          <w:sz w:val="24"/>
          <w:highlight w:val="none"/>
        </w:rPr>
      </w:pPr>
      <w:bookmarkStart w:id="140" w:name="_Hlk42528882"/>
      <w:r>
        <w:rPr>
          <w:rFonts w:hint="eastAsia" w:ascii="宋体" w:hAnsi="宋体" w:eastAsia="宋体" w:cs="宋体"/>
          <w:color w:val="auto"/>
          <w:sz w:val="24"/>
          <w:highlight w:val="none"/>
        </w:rPr>
        <w:t>3.1由谈判小组对通过资格审查的合格供应商的响应文件的响应报价、商务、技术等实质性要求进行符合性审查，以确定其是否满足谈判文件的实质性要求。</w:t>
      </w:r>
    </w:p>
    <w:bookmarkEnd w:id="140"/>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由法定代表人或其授权代表签字或者加盖公章。供应商为自然人的，必须由本人签字并附身份证明。</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3.4首次响应报价出现前后不一致的，按照下列规定修正： </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（1）响应报价表内容与响应文件中相应内容不一致的，以响应报价表为准；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（2）大写金额和小写金额不一致的，以大写金额为准；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（3）单价金额小数点或者百分比有明显错位的，以响应报价表的总价为准，并修改单价；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（4）总价金额与按单价汇总金额不一致的，以单价金额计算结果为准。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同时出现两种以上不一致的，按照以上（1）-（4）规定的顺序逐条进行修正。修正后的报价经供应商确认后产生约束力，供应商不确认的，其响应文件作无效响应处理。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3.5商务技术、报价评审</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在评审时，如发现下列情形之一的，将被视为响应文件无效处理：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（1）商务技术评审</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1）响应文件未按谈判文件要求签署、盖章；</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2）委托代理人未能出具有效身份证明或者出具的身份证明与授权委托书中的信息不符； </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3）未对竞标有效期作出响应或者响应文件承诺的竞标有效期不满足谈判文件要求；</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4）响应文件的实质性内容未使用中文表述、使用计量单位不符合谈判文件要求；</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5）响应文件中的文件资料因填写不齐全或者内容虚假或者出现其他情形而导致被谈判小组认定无效；</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6）响应文件含有采购人不能接受的附加条件；</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7）属于“供应商须知正文”第7.5条情形；</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8）虚假竞标，或者出现其他情形而导致被谈判小组认定无效；</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9）竞标技术方案不明确，谈判文件未允许但响应文件中存在一个或者一个以上备选（替代）竞标方案；</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10）响应文件标注的项目名称或者项目编号与竞争性谈判文件标注的项目名称或者项目编号不一致的；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11）未响应谈判文件实质性要求的；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12）提交的谈判保证金无效或者未按照竞争性谈判文件规定提交谈判保证金；</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13）法律、法规和谈判文件规定的其他无效情形。</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（2）报价评审</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 响应文件未提供“供应商须知前附表” 报价文件中规定的“响应报价表”；</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2）未采用人民币报价或者未按照谈判文件标明的币种报价；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4）响应报价（包含首次报价、最后报价）超过所竞标项目/分标规定的采购预算金额或者最高限价的（如本项目公布了最高限价）；</w:t>
      </w:r>
      <w:bookmarkStart w:id="141" w:name="_Hlk42596405"/>
      <w:r>
        <w:rPr>
          <w:rFonts w:hint="eastAsia" w:ascii="宋体" w:hAnsi="宋体" w:eastAsia="宋体" w:cs="宋体"/>
          <w:color w:val="auto"/>
          <w:sz w:val="24"/>
          <w:highlight w:val="none"/>
        </w:rPr>
        <w:t>响应报价（包含首次报价、最后报价）</w:t>
      </w:r>
      <w:bookmarkEnd w:id="141"/>
      <w:bookmarkStart w:id="142" w:name="_Hlk42596276"/>
      <w:r>
        <w:rPr>
          <w:rFonts w:hint="eastAsia" w:ascii="宋体" w:hAnsi="宋体" w:eastAsia="宋体" w:cs="宋体"/>
          <w:color w:val="auto"/>
          <w:sz w:val="24"/>
          <w:highlight w:val="none"/>
        </w:rPr>
        <w:t>超过谈判文件分项采购预算金额或者最高限价的</w:t>
      </w:r>
      <w:bookmarkEnd w:id="142"/>
      <w:r>
        <w:rPr>
          <w:rFonts w:hint="eastAsia" w:ascii="宋体" w:hAnsi="宋体" w:eastAsia="宋体" w:cs="宋体"/>
          <w:color w:val="auto"/>
          <w:sz w:val="24"/>
          <w:highlight w:val="none"/>
        </w:rPr>
        <w:t>（如本项目公布了最高限价）；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6）响应文件响应的标的数量及单位与竞争性谈判文件要求实质性不一致的。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pPr>
        <w:spacing w:line="360" w:lineRule="auto"/>
        <w:ind w:firstLine="42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4.谈判程序</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4.1谈判小组按照“供应商须知前附表” 确定的顺序，集中与单一供应商分别进行谈判，并给予所有参加谈判的供应商平等的谈判机会。符合谈判资格的供应商必须在接到谈判通知后规定时间内参加谈判，未在规定时间内参加谈判的视同放弃参加谈判权利，其响应文件作无效响应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4.2在谈判过程中，谈判小组可以根据谈判文件和谈判情况实质性变动采购需求中的技术、</w:t>
      </w:r>
      <w:r>
        <w:rPr>
          <w:rFonts w:hint="eastAsia" w:ascii="宋体" w:hAnsi="宋体" w:cs="宋体"/>
          <w:color w:val="auto"/>
          <w:sz w:val="24"/>
          <w:highlight w:val="none"/>
          <w:lang w:eastAsia="zh-CN"/>
        </w:rPr>
        <w:t>货物</w:t>
      </w:r>
      <w:r>
        <w:rPr>
          <w:rFonts w:hint="eastAsia" w:ascii="宋体" w:hAnsi="宋体" w:eastAsia="宋体" w:cs="宋体"/>
          <w:color w:val="auto"/>
          <w:sz w:val="24"/>
          <w:highlight w:val="none"/>
        </w:rPr>
        <w:t>要求以及合同草案条款，但不得变动谈判文件中的其他内容。实质性变动的内容，须经采购人代表确认。可能实质性变动的内容为采购需求中的技术、</w:t>
      </w:r>
      <w:r>
        <w:rPr>
          <w:rFonts w:hint="eastAsia" w:ascii="宋体" w:hAnsi="宋体" w:cs="宋体"/>
          <w:color w:val="auto"/>
          <w:sz w:val="24"/>
          <w:highlight w:val="none"/>
          <w:lang w:eastAsia="zh-CN"/>
        </w:rPr>
        <w:t>货物</w:t>
      </w:r>
      <w:r>
        <w:rPr>
          <w:rFonts w:hint="eastAsia" w:ascii="宋体" w:hAnsi="宋体" w:eastAsia="宋体" w:cs="宋体"/>
          <w:color w:val="auto"/>
          <w:sz w:val="24"/>
          <w:highlight w:val="none"/>
        </w:rPr>
        <w:t>要求以及合同草案条款。</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4.3对谈判文件作出的实质性变动是谈判文件的有效组成部分，由谈判小组及时以电子澄清函形式同时通知所有参加谈判的供应商。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4.5谈判中，谈判的任何一方不得透露与谈判有关的其他供应商的技术资料、价格和其他信息。</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4.6谈判小组应对谈判过程和重要谈判内容进行记录，作为评审报告一部分，谈判小组在记录上签字确认。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4.7谈判过程中重新提交的响应文件，供应商可以在开启前补充、修改。</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4.8对谈判过程提交的响应文件进行有效性、完整性和响应程度审查，通过审查的合格供应商不足3家的，采购人或者采购代理机构应当重新开展采购活动。</w:t>
      </w:r>
    </w:p>
    <w:p>
      <w:pPr>
        <w:spacing w:line="360" w:lineRule="auto"/>
        <w:ind w:firstLine="42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 最后报价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5.1谈判文件能够详细列明采购标的的技术、</w:t>
      </w:r>
      <w:r>
        <w:rPr>
          <w:rFonts w:hint="eastAsia" w:ascii="宋体" w:hAnsi="宋体" w:cs="宋体"/>
          <w:color w:val="auto"/>
          <w:sz w:val="24"/>
          <w:highlight w:val="none"/>
          <w:lang w:eastAsia="zh-CN"/>
        </w:rPr>
        <w:t>货物</w:t>
      </w:r>
      <w:r>
        <w:rPr>
          <w:rFonts w:hint="eastAsia" w:ascii="宋体" w:hAnsi="宋体" w:eastAsia="宋体" w:cs="宋体"/>
          <w:color w:val="auto"/>
          <w:sz w:val="24"/>
          <w:highlight w:val="none"/>
        </w:rPr>
        <w:t>要求的，谈判结束后，由谈判小组要求所有继续参加谈判的供应商在规定时间内提交最后报价，提交最后报价的供应商不得少于3家，否则必须重新采购。</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5.2谈判文件不能详细列明采购标的的技术、</w:t>
      </w:r>
      <w:r>
        <w:rPr>
          <w:rFonts w:hint="eastAsia" w:ascii="宋体" w:hAnsi="宋体" w:cs="宋体"/>
          <w:color w:val="auto"/>
          <w:sz w:val="24"/>
          <w:highlight w:val="none"/>
          <w:lang w:eastAsia="zh-CN"/>
        </w:rPr>
        <w:t>货物</w:t>
      </w:r>
      <w:r>
        <w:rPr>
          <w:rFonts w:hint="eastAsia" w:ascii="宋体" w:hAnsi="宋体" w:eastAsia="宋体" w:cs="宋体"/>
          <w:color w:val="auto"/>
          <w:sz w:val="24"/>
          <w:highlight w:val="none"/>
        </w:rPr>
        <w:t>要求，需经谈判由供应商提供最后设计方案或者解决方案的，谈判结束后，由谈判小组按照少数服从多数的原则投票推荐3家以上供应商的设计方案或者解决方案，并要求其在规定时间内在广西政府采购云平台远程不见面开标大厅响应最后报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5.3 最后报价是供应商响应文件的有效组成部分。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5.4已经提交响应文件的供应商，在提交最后报价之前，可以根据谈判情况退出谈判，退出谈判的供应商的响应文件作无效响应处理。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5.5供应商未在规定时间内提交最后报价的，视同放弃报价权利退出谈判。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5.6最终响应文件的报价出现前后不一致的，按照本章第3.4条的规定修正。 </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5.7修正后的最后报价出现下列情形的，作无效响应处理：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（1）供应商不确认的（全流程电子化评标采取在线确认）；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（3）经供应商确认修正后的响应报价（包含首次报价、最后报价）超过分项采购预算金额或者最高限价的（如本项目公布了最高限价）。</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5.8经供应商确认修正后的最后报价作为评审及签订合同的依据。</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5.9供应商出现最后报价作无效响应处理或者响应文件作无效处理时，谈判小组应当告知有关供应商。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5.10最后报价结束后，谈判小组不得再与供应商进行任何形式的商谈。</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5.11采购评审中出现下列情形之一的，谈判小组应当启动异常低价响应审查程序：</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A.最后报价低于全部通过符合性审查供应商最后报价平均值65%的，即</w:t>
      </w:r>
      <w:bookmarkStart w:id="143" w:name="OLE_LINK1"/>
      <w:r>
        <w:rPr>
          <w:rFonts w:hint="eastAsia" w:ascii="宋体" w:hAnsi="宋体" w:eastAsia="宋体" w:cs="宋体"/>
          <w:color w:val="auto"/>
          <w:sz w:val="24"/>
          <w:highlight w:val="none"/>
        </w:rPr>
        <w:t>最后报价＜</w:t>
      </w:r>
      <w:bookmarkEnd w:id="143"/>
      <w:r>
        <w:rPr>
          <w:rFonts w:hint="eastAsia" w:ascii="宋体" w:hAnsi="宋体" w:eastAsia="宋体" w:cs="宋体"/>
          <w:color w:val="auto"/>
          <w:sz w:val="24"/>
          <w:highlight w:val="none"/>
        </w:rPr>
        <w:t xml:space="preserve">全部通过符合性审查供应商最后报价平均值×65%； </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B.最后报价低于通过符合性审查的次低报价供应商最后报价65%的，即最后报价＜通过符合性审查的次低报价供应商最后报价×65%； </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C.最后报价低于采购项目最高限价65%的，即最后报价＜采购项目最高限价×65%；</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D.谈判小组基于专业判断，认为供应商报价过低，有可能影响产品质量或者不能诚信履约的其他情形。</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相关法律法规对供应商报价有规定的，从其规定。</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谈判小组启动异常低价响应审查后，属于上述A项至D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上述C项情形，供应商已随响应文件一并提交相关书面说明及必要的证明材料的，在评审现场可不再重复提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谈判小组依据专业经验，参考同类项目中标（成交）价格、类似产品市场价格水平、行业人工费用标准、国家有关部门指导行业协会发布的行业平均成本等情况，对报价合理性进行判断。供应商不能提供书面说明、证明材料，或者提供的书面说明、证明材料不能证明其报价合理性的，谈判小组应当将其作为无效响应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异常低价响应审查的启动原因、审查意见和审查结果应当在评审报告中记录，并随供应商提供的相关书面说明及证明材料，以及谈判小组有关互联网浏览、查询历史一并归档。</w:t>
      </w:r>
    </w:p>
    <w:p>
      <w:pPr>
        <w:spacing w:line="360" w:lineRule="auto"/>
        <w:ind w:firstLine="420"/>
        <w:contextualSpacing/>
        <w:rPr>
          <w:rFonts w:hint="eastAsia" w:ascii="宋体" w:hAnsi="宋体" w:eastAsia="宋体" w:cs="宋体"/>
          <w:b/>
          <w:bCs/>
          <w:color w:val="auto"/>
          <w:sz w:val="24"/>
          <w:highlight w:val="none"/>
        </w:rPr>
      </w:pPr>
      <w:bookmarkStart w:id="144" w:name="_Toc5389"/>
      <w:bookmarkStart w:id="145" w:name="_Toc17730"/>
      <w:bookmarkStart w:id="146" w:name="_Toc80205934"/>
      <w:r>
        <w:rPr>
          <w:rFonts w:hint="eastAsia" w:ascii="宋体" w:hAnsi="宋体" w:eastAsia="宋体" w:cs="宋体"/>
          <w:b/>
          <w:bCs/>
          <w:color w:val="auto"/>
          <w:sz w:val="24"/>
          <w:highlight w:val="none"/>
        </w:rPr>
        <w:t>6. 最后报价政府采购政策性扣除（如为专门面向中小企业采购的项目或者采购包，则不再执行最后报价政府采购政策性扣除）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6.1评审价为供应商的最后报价进行政策性扣除后的价格，评审价只是作为评审时使用。最终成交供应商的成交金额等于最后报价（如有修正，以确认修正后的最后报价为准）。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6.2政策性扣除计算方法。</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政府采购促进中小企业发展管理办法》（财库〔2020〕46号）及《广西壮族自治区财政厅关于持续优化政府采购营商环境推动高质量发展的通知》（桂财采〔2024〕55号）的规定，供应商在其响应文件中提供《中小企业声明函》，且其竞标全部货物均由小微企业提供的，对供应商的竞标报价给予10%的扣除，扣除后的价格为评审价，即评审价=竞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 的扣除，用扣除后的价格参加评审，扣除后的价格为评审价，即评审价=竞标报价×（1-4%）。</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6.5本国产品政策性扣除计算方法。</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未达到80%，不享受价格评审优惠。</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如果所有参与竞争的供应商均可享受本国产品价格评审优惠，则统一不进行价格扣除。</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供应商在其响应文件中提供《关于符合本国产品标准的声明函》或财政部会同有关部门规定的有关证明文件，出具符合要求的《声明函》或有关证明文件的，该产品视为本国产品。</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6.6中小企业折扣与本国产品折扣进行叠加计算，用扣除后的价格参加评审。即评审价=竞标报价-中小企业折扣-本国产品折扣，除上述情况外，评审价=竞标报价。</w:t>
      </w:r>
    </w:p>
    <w:p>
      <w:pPr>
        <w:spacing w:line="360" w:lineRule="auto"/>
        <w:ind w:firstLine="420"/>
        <w:contextualSpacing/>
        <w:jc w:val="center"/>
        <w:rPr>
          <w:rFonts w:hint="eastAsia" w:ascii="宋体" w:hAnsi="宋体" w:eastAsia="宋体" w:cs="宋体"/>
          <w:color w:val="auto"/>
          <w:sz w:val="24"/>
          <w:highlight w:val="none"/>
          <w:lang w:val="zh-CN"/>
        </w:rPr>
      </w:pPr>
      <w:r>
        <w:rPr>
          <w:rFonts w:hint="eastAsia" w:ascii="宋体" w:hAnsi="宋体" w:eastAsia="宋体" w:cs="宋体"/>
          <w:b/>
          <w:bCs/>
          <w:color w:val="auto"/>
          <w:sz w:val="30"/>
          <w:szCs w:val="30"/>
          <w:highlight w:val="none"/>
          <w:lang w:val="zh-CN"/>
        </w:rPr>
        <w:t>第二节 评审原则</w:t>
      </w:r>
      <w:bookmarkEnd w:id="144"/>
      <w:bookmarkEnd w:id="145"/>
      <w:bookmarkEnd w:id="146"/>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1.评审原则</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1.2根据《政府采购非招标采购方式管理办法》（财政部令第74号）第二十一条规定，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bookmarkStart w:id="147" w:name="_Toc321836413"/>
      <w:bookmarkStart w:id="148" w:name="_Toc432194885"/>
      <w:bookmarkStart w:id="149" w:name="_Toc432106535"/>
    </w:p>
    <w:bookmarkEnd w:id="147"/>
    <w:bookmarkEnd w:id="148"/>
    <w:bookmarkEnd w:id="149"/>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2.终止竞争性谈判采购活动</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出现下列情形之一的，采购人或者采购代理机构应当终止竞争性谈判采购活动，发布项目终止公告并说明原因，重新开展采购活动：</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（1）因情况变化，不再符合规定的竞争性谈判采购方式适用情形的； </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（2）出现影响采购公正的违法、违规行为的；</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（3）在采购过程中符合竞争要求的供应商或者报价未超过采购预算的供应商不足3家的，但《政府采购非招标采购方式管理办法》第二十七条第二款规定的情形除外。</w:t>
      </w:r>
    </w:p>
    <w:p>
      <w:pPr>
        <w:spacing w:line="360" w:lineRule="auto"/>
        <w:ind w:firstLine="420"/>
        <w:contextualSpacing/>
        <w:jc w:val="center"/>
        <w:rPr>
          <w:rFonts w:hint="eastAsia" w:ascii="宋体" w:hAnsi="宋体" w:eastAsia="宋体" w:cs="宋体"/>
          <w:color w:val="auto"/>
          <w:sz w:val="24"/>
          <w:highlight w:val="none"/>
          <w:lang w:val="zh-CN"/>
        </w:rPr>
      </w:pPr>
      <w:bookmarkStart w:id="150" w:name="_Toc16039"/>
      <w:bookmarkStart w:id="151" w:name="_Toc9627"/>
      <w:r>
        <w:rPr>
          <w:rFonts w:hint="eastAsia" w:ascii="宋体" w:hAnsi="宋体" w:eastAsia="宋体" w:cs="宋体"/>
          <w:b/>
          <w:bCs/>
          <w:color w:val="auto"/>
          <w:sz w:val="30"/>
          <w:szCs w:val="30"/>
          <w:highlight w:val="none"/>
          <w:lang w:val="zh-CN"/>
        </w:rPr>
        <w:t>第三节 评审报告</w:t>
      </w:r>
      <w:bookmarkEnd w:id="150"/>
      <w:bookmarkEnd w:id="151"/>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1.成交标准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并在线编写电子评审报告。</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2.评审争议事项处理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谈判小组成员对需要共同认定的事项存在争议的，应当按照少数服从多数的原则作出结论。持不同意见的谈判小组成员应当在评审报告上签署不同意见及理由，否则视为同意评审报告。</w:t>
      </w:r>
    </w:p>
    <w:p>
      <w:pPr>
        <w:spacing w:line="360" w:lineRule="auto"/>
        <w:ind w:firstLine="420"/>
        <w:contextualSpacing/>
        <w:jc w:val="center"/>
        <w:rPr>
          <w:rFonts w:hint="eastAsia" w:ascii="宋体" w:hAnsi="宋体" w:eastAsia="宋体" w:cs="宋体"/>
          <w:color w:val="auto"/>
          <w:sz w:val="24"/>
          <w:highlight w:val="none"/>
          <w:lang w:val="zh-CN"/>
        </w:rPr>
      </w:pPr>
      <w:bookmarkStart w:id="152" w:name="_Toc27241"/>
      <w:bookmarkStart w:id="153" w:name="_Toc17221"/>
      <w:r>
        <w:rPr>
          <w:rFonts w:hint="eastAsia" w:ascii="宋体" w:hAnsi="宋体" w:eastAsia="宋体" w:cs="宋体"/>
          <w:b/>
          <w:bCs/>
          <w:color w:val="auto"/>
          <w:sz w:val="30"/>
          <w:szCs w:val="30"/>
          <w:highlight w:val="none"/>
          <w:lang w:val="zh-CN"/>
        </w:rPr>
        <w:t>第四节 评审过程的保密与录像</w:t>
      </w:r>
      <w:bookmarkEnd w:id="152"/>
      <w:bookmarkEnd w:id="153"/>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1.保密。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评审活动在严格保密的情况下进行。评审过程中凡是与采购响应文件评审和比较、成交供应商推荐等评审有关的情况，以及涉及国家秘密和商业秘密等信息，谈判小组成员、采购人和采购机构工作人员、相关监督人员等与评审有关的人员应当予以保密。</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2.录音录像。</w:t>
      </w:r>
    </w:p>
    <w:p>
      <w:pPr>
        <w:spacing w:line="360" w:lineRule="auto"/>
        <w:ind w:firstLine="42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采购代理机构对评审工作现场及操作屏幕进行全过程录音录像，录音录像资料作为采购项目文件随其他文件一并存档。</w:t>
      </w:r>
    </w:p>
    <w:p>
      <w:pPr>
        <w:spacing w:line="360" w:lineRule="auto"/>
        <w:ind w:firstLine="420"/>
        <w:contextualSpacing/>
        <w:rPr>
          <w:rFonts w:hint="eastAsia" w:ascii="宋体" w:hAnsi="宋体" w:eastAsia="宋体" w:cs="宋体"/>
          <w:color w:val="auto"/>
          <w:sz w:val="24"/>
          <w:highlight w:val="none"/>
        </w:rPr>
      </w:pPr>
    </w:p>
    <w:p>
      <w:pPr>
        <w:spacing w:line="360" w:lineRule="auto"/>
        <w:ind w:firstLine="420"/>
        <w:rPr>
          <w:rFonts w:hint="eastAsia" w:ascii="宋体" w:hAnsi="宋体" w:eastAsia="宋体" w:cs="宋体"/>
          <w:color w:val="auto"/>
          <w:highlight w:val="none"/>
        </w:rPr>
      </w:pPr>
    </w:p>
    <w:p>
      <w:pPr>
        <w:snapToGrid w:val="0"/>
        <w:spacing w:before="120" w:after="50"/>
        <w:jc w:val="center"/>
        <w:rPr>
          <w:rFonts w:hint="eastAsia" w:ascii="仿宋" w:hAnsi="仿宋" w:eastAsia="仿宋" w:cs="仿宋"/>
          <w:color w:val="auto"/>
          <w:highlight w:val="none"/>
        </w:rPr>
      </w:pPr>
    </w:p>
    <w:bookmarkEnd w:id="136"/>
    <w:p>
      <w:pPr>
        <w:spacing w:line="400" w:lineRule="exact"/>
        <w:rPr>
          <w:rFonts w:hint="eastAsia" w:ascii="宋体" w:hAnsi="宋体" w:cs="宋体"/>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rPr>
          <w:color w:val="auto"/>
          <w:highlight w:val="none"/>
        </w:rPr>
      </w:pPr>
      <w:r>
        <w:rPr>
          <w:color w:val="auto"/>
          <w:highlight w:val="none"/>
        </w:rPr>
        <w:br w:type="page"/>
      </w: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pStyle w:val="31"/>
        <w:ind w:firstLine="640"/>
        <w:rPr>
          <w:color w:val="auto"/>
          <w:highlight w:val="none"/>
        </w:rPr>
      </w:pPr>
    </w:p>
    <w:p>
      <w:pPr>
        <w:rPr>
          <w:color w:val="auto"/>
          <w:highlight w:val="none"/>
        </w:rPr>
      </w:pPr>
    </w:p>
    <w:p>
      <w:pPr>
        <w:pStyle w:val="2"/>
        <w:numPr>
          <w:ilvl w:val="0"/>
          <w:numId w:val="12"/>
        </w:numPr>
        <w:jc w:val="center"/>
        <w:rPr>
          <w:rFonts w:hint="eastAsia"/>
          <w:color w:val="auto"/>
          <w:highlight w:val="none"/>
        </w:rPr>
      </w:pPr>
      <w:bookmarkStart w:id="154" w:name="_Toc25320"/>
      <w:bookmarkStart w:id="155" w:name="_Toc80886941"/>
      <w:bookmarkStart w:id="156" w:name="_Toc29859"/>
      <w:r>
        <w:rPr>
          <w:rFonts w:hint="eastAsia"/>
          <w:color w:val="auto"/>
          <w:highlight w:val="none"/>
          <w:lang w:val="en-US" w:eastAsia="zh-CN"/>
        </w:rPr>
        <w:t xml:space="preserve">  </w:t>
      </w:r>
      <w:bookmarkStart w:id="157" w:name="_Toc1583"/>
      <w:bookmarkStart w:id="158" w:name="_Toc15555"/>
      <w:r>
        <w:rPr>
          <w:rFonts w:hint="eastAsia"/>
          <w:color w:val="auto"/>
          <w:highlight w:val="none"/>
        </w:rPr>
        <w:t>响应文件格式</w:t>
      </w:r>
      <w:bookmarkEnd w:id="154"/>
      <w:bookmarkEnd w:id="155"/>
      <w:bookmarkEnd w:id="156"/>
      <w:bookmarkEnd w:id="157"/>
      <w:bookmarkEnd w:id="158"/>
    </w:p>
    <w:p>
      <w:pPr>
        <w:widowControl w:val="0"/>
        <w:numPr>
          <w:ilvl w:val="0"/>
          <w:numId w:val="0"/>
        </w:numPr>
        <w:jc w:val="both"/>
        <w:rPr>
          <w:color w:val="auto"/>
          <w:highlight w:val="none"/>
        </w:rPr>
      </w:pPr>
    </w:p>
    <w:p>
      <w:pPr>
        <w:spacing w:before="91" w:line="220" w:lineRule="auto"/>
        <w:ind w:left="563"/>
        <w:rPr>
          <w:rFonts w:ascii="宋体" w:hAnsi="宋体" w:eastAsia="宋体" w:cs="宋体"/>
          <w:color w:val="auto"/>
          <w:spacing w:val="-1"/>
          <w:sz w:val="28"/>
          <w:szCs w:val="28"/>
          <w:highlight w:val="none"/>
        </w:rPr>
      </w:pPr>
    </w:p>
    <w:p>
      <w:pPr>
        <w:spacing w:before="91" w:line="220" w:lineRule="auto"/>
        <w:ind w:left="563"/>
        <w:rPr>
          <w:rFonts w:ascii="宋体" w:hAnsi="宋体" w:eastAsia="宋体" w:cs="宋体"/>
          <w:color w:val="auto"/>
          <w:spacing w:val="-1"/>
          <w:sz w:val="28"/>
          <w:szCs w:val="28"/>
          <w:highlight w:val="none"/>
        </w:rPr>
      </w:pPr>
    </w:p>
    <w:p>
      <w:pPr>
        <w:pStyle w:val="13"/>
        <w:spacing w:line="260" w:lineRule="auto"/>
        <w:rPr>
          <w:color w:val="auto"/>
          <w:highlight w:val="none"/>
        </w:rPr>
      </w:pPr>
    </w:p>
    <w:p>
      <w:pPr>
        <w:pStyle w:val="13"/>
        <w:spacing w:line="260" w:lineRule="auto"/>
        <w:rPr>
          <w:color w:val="auto"/>
          <w:highlight w:val="none"/>
        </w:rPr>
      </w:pPr>
    </w:p>
    <w:p>
      <w:pPr>
        <w:pStyle w:val="13"/>
        <w:spacing w:line="261" w:lineRule="auto"/>
        <w:rPr>
          <w:color w:val="auto"/>
          <w:highlight w:val="none"/>
        </w:rPr>
      </w:pPr>
    </w:p>
    <w:p>
      <w:pPr>
        <w:pStyle w:val="13"/>
        <w:spacing w:line="261" w:lineRule="auto"/>
        <w:rPr>
          <w:color w:val="auto"/>
          <w:highlight w:val="none"/>
        </w:rPr>
      </w:pPr>
    </w:p>
    <w:p>
      <w:pPr>
        <w:pStyle w:val="13"/>
        <w:spacing w:line="261" w:lineRule="auto"/>
        <w:rPr>
          <w:color w:val="auto"/>
          <w:highlight w:val="none"/>
        </w:rPr>
      </w:pPr>
    </w:p>
    <w:p>
      <w:pPr>
        <w:pStyle w:val="13"/>
        <w:spacing w:line="261" w:lineRule="auto"/>
        <w:rPr>
          <w:color w:val="auto"/>
          <w:highlight w:val="none"/>
        </w:rPr>
      </w:pPr>
    </w:p>
    <w:p>
      <w:pPr>
        <w:widowControl w:val="0"/>
        <w:numPr>
          <w:ilvl w:val="0"/>
          <w:numId w:val="0"/>
        </w:numPr>
        <w:jc w:val="both"/>
        <w:rPr>
          <w:rFonts w:hint="eastAsia" w:eastAsia="宋体"/>
          <w:color w:val="auto"/>
          <w:highlight w:val="none"/>
          <w:lang w:eastAsia="zh-CN"/>
        </w:rPr>
        <w:sectPr>
          <w:footerReference r:id="rId13" w:type="first"/>
          <w:footerReference r:id="rId12" w:type="default"/>
          <w:pgSz w:w="11910" w:h="16840"/>
          <w:pgMar w:top="1531" w:right="1531" w:bottom="1474" w:left="1587" w:header="624" w:footer="624" w:gutter="0"/>
          <w:cols w:space="720" w:num="1"/>
        </w:sectPr>
      </w:pPr>
      <w:r>
        <w:rPr>
          <w:rFonts w:hint="eastAsia" w:ascii="宋体" w:hAnsi="宋体" w:cs="宋体"/>
          <w:b/>
          <w:bCs/>
          <w:color w:val="auto"/>
          <w:sz w:val="28"/>
          <w:szCs w:val="28"/>
          <w:highlight w:val="none"/>
          <w:lang w:val="en-US" w:eastAsia="zh-CN"/>
        </w:rPr>
        <w:t xml:space="preserve"> </w:t>
      </w:r>
    </w:p>
    <w:p>
      <w:pPr>
        <w:ind w:firstLine="3213" w:firstLineChars="1000"/>
        <w:rPr>
          <w:rFonts w:hint="eastAsia" w:ascii="宋体" w:hAnsi="宋体"/>
          <w:b/>
          <w:color w:val="auto"/>
          <w:sz w:val="32"/>
          <w:szCs w:val="32"/>
          <w:highlight w:val="none"/>
        </w:rPr>
      </w:pPr>
      <w:bookmarkStart w:id="159" w:name="_Toc80886942"/>
      <w:bookmarkStart w:id="160" w:name="_Toc80205938"/>
      <w:r>
        <w:rPr>
          <w:rFonts w:hint="eastAsia" w:ascii="宋体" w:hAnsi="宋体"/>
          <w:b/>
          <w:color w:val="auto"/>
          <w:sz w:val="32"/>
          <w:szCs w:val="32"/>
          <w:highlight w:val="none"/>
        </w:rPr>
        <w:t>第一节 封面格式</w:t>
      </w:r>
      <w:bookmarkEnd w:id="159"/>
      <w:bookmarkEnd w:id="160"/>
    </w:p>
    <w:p>
      <w:pPr>
        <w:snapToGrid w:val="0"/>
        <w:spacing w:before="120" w:beforeLines="50" w:after="50"/>
        <w:rPr>
          <w:rFonts w:hint="eastAsia" w:ascii="宋体" w:hAnsi="宋体"/>
          <w:color w:val="auto"/>
          <w:sz w:val="24"/>
          <w:szCs w:val="20"/>
          <w:highlight w:val="none"/>
        </w:rPr>
      </w:pPr>
    </w:p>
    <w:p>
      <w:pPr>
        <w:snapToGrid w:val="0"/>
        <w:spacing w:before="120" w:beforeLines="50" w:after="50"/>
        <w:jc w:val="center"/>
        <w:rPr>
          <w:rFonts w:hint="eastAsia" w:ascii="宋体" w:hAnsi="宋体"/>
          <w:bCs/>
          <w:color w:val="auto"/>
          <w:sz w:val="24"/>
          <w:szCs w:val="20"/>
          <w:highlight w:val="none"/>
        </w:rPr>
      </w:pPr>
    </w:p>
    <w:p>
      <w:pPr>
        <w:snapToGrid w:val="0"/>
        <w:spacing w:before="120" w:beforeLines="50" w:after="50"/>
        <w:jc w:val="center"/>
        <w:rPr>
          <w:rFonts w:hint="eastAsia" w:ascii="微软雅黑" w:hAnsi="微软雅黑" w:eastAsia="微软雅黑" w:cs="微软雅黑"/>
          <w:bCs/>
          <w:color w:val="auto"/>
          <w:sz w:val="44"/>
          <w:szCs w:val="44"/>
          <w:highlight w:val="none"/>
        </w:rPr>
      </w:pPr>
      <w:r>
        <w:rPr>
          <w:rFonts w:hint="eastAsia" w:ascii="仿宋" w:hAnsi="仿宋" w:eastAsia="仿宋" w:cs="仿宋"/>
          <w:b/>
          <w:bCs/>
          <w:color w:val="auto"/>
          <w:sz w:val="44"/>
          <w:szCs w:val="44"/>
          <w:highlight w:val="none"/>
        </w:rPr>
        <w:t>电 子 响 应 文 件</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仿宋_GB2312" w:hAnsi="仿宋_GB2312" w:eastAsia="仿宋_GB2312" w:cs="仿宋_GB2312"/>
          <w:bCs/>
          <w:color w:val="auto"/>
          <w:sz w:val="32"/>
          <w:szCs w:val="32"/>
          <w:highlight w:val="none"/>
        </w:rPr>
      </w:pPr>
    </w:p>
    <w:p>
      <w:pPr>
        <w:snapToGrid w:val="0"/>
        <w:spacing w:before="120" w:beforeLines="50" w:after="50"/>
        <w:ind w:firstLine="838" w:firstLineChars="262"/>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pPr>
        <w:snapToGrid w:val="0"/>
        <w:spacing w:before="120" w:beforeLines="50" w:after="50"/>
        <w:ind w:firstLine="1280" w:firstLineChars="400"/>
        <w:rPr>
          <w:rFonts w:hint="eastAsia" w:ascii="宋体" w:hAnsi="宋体" w:cs="仿宋_GB2312"/>
          <w:bCs/>
          <w:color w:val="auto"/>
          <w:sz w:val="32"/>
          <w:szCs w:val="32"/>
          <w:highlight w:val="none"/>
        </w:rPr>
      </w:pPr>
    </w:p>
    <w:p>
      <w:pPr>
        <w:snapToGrid w:val="0"/>
        <w:spacing w:before="120" w:beforeLines="50" w:after="50"/>
        <w:ind w:firstLine="960" w:firstLineChars="3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pPr>
        <w:snapToGrid w:val="0"/>
        <w:spacing w:before="120" w:beforeLines="50" w:after="50"/>
        <w:ind w:firstLine="480" w:firstLineChars="150"/>
        <w:rPr>
          <w:rFonts w:hint="eastAsia" w:ascii="宋体" w:hAnsi="宋体" w:cs="仿宋_GB2312"/>
          <w:bCs/>
          <w:color w:val="auto"/>
          <w:sz w:val="32"/>
          <w:szCs w:val="32"/>
          <w:highlight w:val="none"/>
        </w:rPr>
      </w:pPr>
    </w:p>
    <w:p>
      <w:pPr>
        <w:snapToGrid w:val="0"/>
        <w:spacing w:before="120" w:beforeLines="50" w:after="50"/>
        <w:ind w:firstLine="960" w:firstLineChars="3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pPr>
        <w:snapToGrid w:val="0"/>
        <w:spacing w:before="120" w:beforeLines="50" w:after="50"/>
        <w:rPr>
          <w:rFonts w:hint="eastAsia" w:ascii="宋体" w:hAnsi="宋体" w:cs="仿宋_GB2312"/>
          <w:bCs/>
          <w:color w:val="auto"/>
          <w:sz w:val="32"/>
          <w:szCs w:val="32"/>
          <w:highlight w:val="none"/>
        </w:rPr>
      </w:pPr>
    </w:p>
    <w:p>
      <w:pPr>
        <w:snapToGrid w:val="0"/>
        <w:spacing w:before="120" w:beforeLines="50" w:after="50"/>
        <w:ind w:firstLine="960" w:firstLineChars="3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pPr>
        <w:snapToGrid w:val="0"/>
        <w:spacing w:before="120" w:beforeLines="50" w:after="50"/>
        <w:rPr>
          <w:rFonts w:hint="eastAsia" w:ascii="宋体" w:hAnsi="宋体" w:cs="仿宋_GB2312"/>
          <w:bCs/>
          <w:color w:val="auto"/>
          <w:sz w:val="32"/>
          <w:szCs w:val="32"/>
          <w:highlight w:val="none"/>
        </w:rPr>
      </w:pPr>
    </w:p>
    <w:p>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pPr>
        <w:snapToGrid w:val="0"/>
        <w:spacing w:before="120" w:beforeLines="50" w:after="50"/>
        <w:ind w:firstLine="5440" w:firstLineChars="1700"/>
        <w:jc w:val="center"/>
        <w:rPr>
          <w:rFonts w:hint="eastAsia" w:ascii="宋体" w:hAnsi="宋体" w:cs="仿宋_GB2312"/>
          <w:bCs/>
          <w:color w:val="auto"/>
          <w:sz w:val="32"/>
          <w:szCs w:val="32"/>
          <w:highlight w:val="none"/>
        </w:rPr>
      </w:pPr>
    </w:p>
    <w:p>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pPr>
        <w:rPr>
          <w:color w:val="auto"/>
          <w:highlight w:val="none"/>
        </w:rPr>
        <w:sectPr>
          <w:pgSz w:w="11910" w:h="16840"/>
          <w:pgMar w:top="1340" w:right="1500" w:bottom="280" w:left="1680" w:header="720" w:footer="720" w:gutter="0"/>
          <w:cols w:space="720" w:num="1"/>
        </w:sectPr>
      </w:pPr>
    </w:p>
    <w:p>
      <w:pPr>
        <w:ind w:firstLine="2240" w:firstLineChars="700"/>
        <w:rPr>
          <w:rFonts w:hint="eastAsia" w:ascii="宋体" w:hAnsi="宋体"/>
          <w:bCs/>
          <w:color w:val="auto"/>
          <w:sz w:val="32"/>
          <w:szCs w:val="32"/>
          <w:highlight w:val="none"/>
        </w:rPr>
      </w:pPr>
      <w:bookmarkStart w:id="161" w:name="_Toc80886943"/>
      <w:bookmarkStart w:id="162" w:name="_Toc80205939"/>
    </w:p>
    <w:p>
      <w:pPr>
        <w:ind w:firstLine="2249" w:firstLineChars="700"/>
        <w:rPr>
          <w:rFonts w:hint="eastAsia" w:ascii="宋体" w:hAnsi="宋体"/>
          <w:b/>
          <w:color w:val="auto"/>
          <w:sz w:val="32"/>
          <w:szCs w:val="32"/>
          <w:highlight w:val="none"/>
        </w:rPr>
      </w:pPr>
      <w:r>
        <w:rPr>
          <w:rFonts w:hint="eastAsia" w:ascii="宋体" w:hAnsi="宋体"/>
          <w:b/>
          <w:color w:val="auto"/>
          <w:sz w:val="32"/>
          <w:szCs w:val="32"/>
          <w:highlight w:val="none"/>
        </w:rPr>
        <w:t>第二节 资格证明文件格式</w:t>
      </w:r>
      <w:bookmarkEnd w:id="161"/>
      <w:bookmarkEnd w:id="162"/>
    </w:p>
    <w:p>
      <w:pPr>
        <w:snapToGrid w:val="0"/>
        <w:spacing w:before="120" w:beforeLines="50" w:after="50"/>
        <w:rPr>
          <w:rFonts w:hint="eastAsia" w:ascii="宋体" w:hAnsi="宋体"/>
          <w:color w:val="auto"/>
          <w:sz w:val="24"/>
          <w:highlight w:val="none"/>
        </w:rPr>
      </w:pPr>
      <w:r>
        <w:rPr>
          <w:rFonts w:hint="eastAsia" w:ascii="宋体" w:hAnsi="宋体"/>
          <w:color w:val="auto"/>
          <w:sz w:val="24"/>
          <w:highlight w:val="none"/>
        </w:rPr>
        <w:t xml:space="preserve">                                                 </w:t>
      </w:r>
    </w:p>
    <w:p>
      <w:pPr>
        <w:snapToGrid w:val="0"/>
        <w:spacing w:before="120" w:beforeLines="50" w:after="50"/>
        <w:ind w:firstLine="6240" w:firstLineChars="260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pPr>
        <w:snapToGrid w:val="0"/>
        <w:spacing w:before="120" w:beforeLines="50" w:after="50"/>
        <w:rPr>
          <w:rFonts w:hint="eastAsia" w:ascii="宋体" w:hAnsi="宋体"/>
          <w:color w:val="auto"/>
          <w:sz w:val="24"/>
          <w:szCs w:val="20"/>
          <w:highlight w:val="none"/>
        </w:rPr>
      </w:pPr>
    </w:p>
    <w:p>
      <w:pPr>
        <w:snapToGrid w:val="0"/>
        <w:spacing w:before="120" w:beforeLines="50" w:after="50"/>
        <w:rPr>
          <w:rFonts w:hint="eastAsia" w:ascii="宋体" w:hAnsi="宋体"/>
          <w:color w:val="auto"/>
          <w:sz w:val="24"/>
          <w:szCs w:val="20"/>
          <w:highlight w:val="none"/>
        </w:rPr>
      </w:pPr>
    </w:p>
    <w:p>
      <w:pPr>
        <w:snapToGrid w:val="0"/>
        <w:spacing w:before="120" w:beforeLines="50" w:after="50"/>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电 子 响 应 文 件</w:t>
      </w:r>
    </w:p>
    <w:p>
      <w:pPr>
        <w:pStyle w:val="13"/>
        <w:rPr>
          <w:rFonts w:hint="eastAsia"/>
          <w:color w:val="auto"/>
          <w:highlight w:val="none"/>
        </w:rPr>
      </w:pPr>
    </w:p>
    <w:p>
      <w:pPr>
        <w:snapToGrid w:val="0"/>
        <w:spacing w:before="120" w:beforeLines="50" w:after="50"/>
        <w:jc w:val="center"/>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资  格  证  明  文  件（封面）</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pPr>
        <w:pStyle w:val="21"/>
        <w:rPr>
          <w:rFonts w:hint="eastAsia" w:ascii="宋体" w:hAnsi="宋体" w:cs="仿宋_GB2312"/>
          <w:bCs/>
          <w:color w:val="auto"/>
          <w:sz w:val="32"/>
          <w:szCs w:val="32"/>
          <w:highlight w:val="none"/>
        </w:rPr>
      </w:pP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1280" w:firstLineChars="400"/>
        <w:rPr>
          <w:rFonts w:hint="eastAsia" w:ascii="宋体" w:hAnsi="宋体" w:cs="仿宋_GB2312"/>
          <w:bCs/>
          <w:color w:val="auto"/>
          <w:sz w:val="32"/>
          <w:szCs w:val="32"/>
          <w:highlight w:val="none"/>
        </w:rPr>
      </w:pPr>
    </w:p>
    <w:p>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pPr>
        <w:snapToGrid w:val="0"/>
        <w:spacing w:before="120" w:beforeLines="50" w:after="50" w:line="360" w:lineRule="auto"/>
        <w:jc w:val="center"/>
        <w:rPr>
          <w:rFonts w:hint="eastAsia" w:ascii="仿宋_GB2312" w:hAnsi="仿宋" w:eastAsia="仿宋_GB2312" w:cs="仿宋_GB2312"/>
          <w:b/>
          <w:color w:val="auto"/>
          <w:kern w:val="0"/>
          <w:sz w:val="36"/>
          <w:szCs w:val="36"/>
          <w:highlight w:val="none"/>
        </w:rPr>
      </w:pPr>
      <w:r>
        <w:rPr>
          <w:rFonts w:ascii="宋体" w:hAnsi="宋体"/>
          <w:color w:val="auto"/>
          <w:sz w:val="24"/>
          <w:highlight w:val="none"/>
        </w:rPr>
        <w:br w:type="page"/>
      </w:r>
      <w:r>
        <w:rPr>
          <w:rFonts w:hint="eastAsia" w:ascii="宋体" w:hAnsi="宋体"/>
          <w:b/>
          <w:bCs/>
          <w:color w:val="auto"/>
          <w:sz w:val="32"/>
          <w:szCs w:val="32"/>
          <w:highlight w:val="none"/>
        </w:rPr>
        <w:t xml:space="preserve"> </w:t>
      </w:r>
      <w:r>
        <w:rPr>
          <w:rFonts w:hint="eastAsia" w:ascii="仿宋_GB2312" w:hAnsi="仿宋" w:eastAsia="仿宋_GB2312" w:cs="仿宋_GB2312"/>
          <w:b/>
          <w:color w:val="auto"/>
          <w:kern w:val="0"/>
          <w:sz w:val="36"/>
          <w:szCs w:val="36"/>
          <w:highlight w:val="none"/>
        </w:rPr>
        <w:t>资格证明文件目录</w:t>
      </w:r>
    </w:p>
    <w:p>
      <w:pPr>
        <w:snapToGrid w:val="0"/>
        <w:spacing w:line="360" w:lineRule="auto"/>
        <w:rPr>
          <w:rFonts w:hint="eastAsia" w:ascii="仿宋_GB2312" w:hAnsi="仿宋" w:eastAsia="仿宋_GB2312" w:cs="仿宋_GB2312"/>
          <w:color w:val="auto"/>
          <w:kern w:val="0"/>
          <w:sz w:val="24"/>
          <w:highlight w:val="none"/>
        </w:rPr>
      </w:pPr>
    </w:p>
    <w:p>
      <w:pPr>
        <w:snapToGrid w:val="0"/>
        <w:spacing w:before="120" w:beforeLines="50" w:after="50" w:line="360" w:lineRule="auto"/>
        <w:ind w:left="142" w:firstLine="482" w:firstLineChars="200"/>
        <w:jc w:val="left"/>
        <w:rPr>
          <w:rFonts w:hint="eastAsia" w:ascii="宋体" w:hAnsi="宋体"/>
          <w:color w:val="auto"/>
          <w:szCs w:val="21"/>
          <w:highlight w:val="none"/>
        </w:rPr>
      </w:pPr>
      <w:r>
        <w:rPr>
          <w:rFonts w:hint="eastAsia" w:ascii="宋体" w:hAnsi="宋体" w:cs="宋体"/>
          <w:b/>
          <w:bCs/>
          <w:color w:val="auto"/>
          <w:kern w:val="0"/>
          <w:sz w:val="24"/>
          <w:highlight w:val="none"/>
        </w:rPr>
        <w:t>根据</w:t>
      </w:r>
      <w:r>
        <w:rPr>
          <w:rFonts w:hint="eastAsia" w:ascii="宋体" w:hAnsi="宋体" w:cs="宋体"/>
          <w:b/>
          <w:bCs/>
          <w:color w:val="auto"/>
          <w:kern w:val="0"/>
          <w:sz w:val="24"/>
          <w:highlight w:val="none"/>
          <w:lang w:val="en-US" w:eastAsia="zh-CN"/>
        </w:rPr>
        <w:t>谈判</w:t>
      </w:r>
      <w:r>
        <w:rPr>
          <w:rFonts w:hint="eastAsia" w:ascii="宋体" w:hAnsi="宋体" w:cs="宋体"/>
          <w:b/>
          <w:bCs/>
          <w:color w:val="auto"/>
          <w:kern w:val="0"/>
          <w:sz w:val="24"/>
          <w:highlight w:val="none"/>
        </w:rPr>
        <w:t>文件规定及供应商提供的材料自行编写目录（部分格式后附）。</w:t>
      </w:r>
    </w:p>
    <w:p>
      <w:pPr>
        <w:spacing w:line="300" w:lineRule="auto"/>
        <w:rPr>
          <w:rFonts w:hint="eastAsia" w:ascii="宋体" w:hAnsi="宋体"/>
          <w:color w:val="auto"/>
          <w:szCs w:val="21"/>
          <w:highlight w:val="none"/>
        </w:rPr>
      </w:pPr>
    </w:p>
    <w:p>
      <w:pPr>
        <w:spacing w:line="300" w:lineRule="auto"/>
        <w:rPr>
          <w:rFonts w:hint="eastAsia" w:ascii="宋体" w:hAnsi="宋体"/>
          <w:color w:val="auto"/>
          <w:szCs w:val="21"/>
          <w:highlight w:val="none"/>
        </w:rPr>
      </w:pPr>
    </w:p>
    <w:p>
      <w:pPr>
        <w:spacing w:line="300" w:lineRule="auto"/>
        <w:rPr>
          <w:rFonts w:hint="eastAsia" w:ascii="宋体" w:hAnsi="宋体"/>
          <w:color w:val="auto"/>
          <w:szCs w:val="21"/>
          <w:highlight w:val="none"/>
        </w:rPr>
      </w:pPr>
    </w:p>
    <w:p>
      <w:pPr>
        <w:spacing w:line="300" w:lineRule="auto"/>
        <w:rPr>
          <w:rFonts w:hint="eastAsia" w:ascii="宋体" w:hAnsi="宋体"/>
          <w:color w:val="auto"/>
          <w:szCs w:val="21"/>
          <w:highlight w:val="none"/>
        </w:rPr>
      </w:pPr>
    </w:p>
    <w:p>
      <w:pPr>
        <w:spacing w:line="300" w:lineRule="auto"/>
        <w:rPr>
          <w:rFonts w:hint="eastAsia" w:ascii="宋体" w:hAnsi="宋体"/>
          <w:color w:val="auto"/>
          <w:szCs w:val="21"/>
          <w:highlight w:val="none"/>
        </w:rPr>
      </w:pPr>
    </w:p>
    <w:p>
      <w:pPr>
        <w:spacing w:line="300" w:lineRule="auto"/>
        <w:rPr>
          <w:rFonts w:hint="eastAsia" w:ascii="宋体" w:hAnsi="宋体"/>
          <w:color w:val="auto"/>
          <w:szCs w:val="21"/>
          <w:highlight w:val="none"/>
        </w:rPr>
      </w:pPr>
    </w:p>
    <w:p>
      <w:pPr>
        <w:spacing w:line="300" w:lineRule="auto"/>
        <w:rPr>
          <w:rFonts w:hint="eastAsia" w:ascii="宋体" w:hAnsi="宋体"/>
          <w:color w:val="auto"/>
          <w:szCs w:val="21"/>
          <w:highlight w:val="none"/>
        </w:rPr>
      </w:pPr>
    </w:p>
    <w:p>
      <w:pPr>
        <w:autoSpaceDE w:val="0"/>
        <w:autoSpaceDN w:val="0"/>
        <w:spacing w:line="360" w:lineRule="auto"/>
        <w:ind w:firstLine="5355" w:firstLineChars="2550"/>
        <w:rPr>
          <w:rFonts w:hint="eastAsia" w:ascii="仿宋_GB2312" w:hAnsi="仿宋" w:eastAsia="仿宋_GB2312" w:cs="仿宋_GB2312"/>
          <w:b/>
          <w:bCs/>
          <w:color w:val="auto"/>
          <w:sz w:val="24"/>
          <w:highlight w:val="none"/>
        </w:rPr>
      </w:pPr>
      <w:r>
        <w:rPr>
          <w:rFonts w:hAnsi="宋体"/>
          <w:color w:val="auto"/>
          <w:highlight w:val="none"/>
        </w:rPr>
        <w:br w:type="page"/>
      </w:r>
    </w:p>
    <w:p>
      <w:pPr>
        <w:spacing w:line="360" w:lineRule="auto"/>
        <w:contextualSpacing/>
        <w:jc w:val="left"/>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lang w:val="en-US" w:eastAsia="zh-CN"/>
        </w:rPr>
        <w:t>一</w:t>
      </w:r>
      <w:r>
        <w:rPr>
          <w:rFonts w:hint="eastAsia" w:ascii="仿宋" w:hAnsi="仿宋" w:eastAsia="仿宋" w:cs="仿宋_GB2312"/>
          <w:b/>
          <w:color w:val="auto"/>
          <w:kern w:val="0"/>
          <w:sz w:val="30"/>
          <w:szCs w:val="30"/>
          <w:highlight w:val="none"/>
        </w:rPr>
        <w:t>、供应商直接控股、管理关系信息表</w:t>
      </w:r>
    </w:p>
    <w:p>
      <w:pPr>
        <w:spacing w:line="360" w:lineRule="auto"/>
        <w:ind w:firstLine="596" w:firstLineChars="198"/>
        <w:contextualSpacing/>
        <w:jc w:val="center"/>
        <w:rPr>
          <w:rFonts w:hint="eastAsia" w:ascii="仿宋" w:hAnsi="仿宋" w:eastAsia="仿宋" w:cs="仿宋_GB2312"/>
          <w:b/>
          <w:color w:val="auto"/>
          <w:kern w:val="0"/>
          <w:sz w:val="30"/>
          <w:szCs w:val="30"/>
          <w:highlight w:val="none"/>
        </w:rPr>
      </w:pPr>
    </w:p>
    <w:p>
      <w:pPr>
        <w:spacing w:line="360" w:lineRule="auto"/>
        <w:ind w:firstLine="596" w:firstLineChars="198"/>
        <w:contextualSpacing/>
        <w:jc w:val="center"/>
        <w:rPr>
          <w:rFonts w:hint="eastAsia" w:ascii="宋体" w:hAnsi="宋体"/>
          <w:b/>
          <w:color w:val="auto"/>
          <w:sz w:val="24"/>
          <w:highlight w:val="none"/>
        </w:rPr>
      </w:pPr>
      <w:r>
        <w:rPr>
          <w:rFonts w:hint="eastAsia" w:ascii="仿宋" w:hAnsi="仿宋" w:eastAsia="仿宋" w:cs="仿宋_GB2312"/>
          <w:b/>
          <w:color w:val="auto"/>
          <w:kern w:val="0"/>
          <w:sz w:val="30"/>
          <w:szCs w:val="30"/>
          <w:highlight w:val="none"/>
        </w:rPr>
        <w:t>供应商直接控股股东信息</w:t>
      </w:r>
    </w:p>
    <w:tbl>
      <w:tblPr>
        <w:tblStyle w:val="32"/>
        <w:tblW w:w="9126" w:type="dxa"/>
        <w:jc w:val="center"/>
        <w:shd w:val="clear" w:color="auto" w:fill="FBFBFB"/>
        <w:tblLayout w:type="fixed"/>
        <w:tblCellMar>
          <w:top w:w="0" w:type="dxa"/>
          <w:left w:w="0" w:type="dxa"/>
          <w:bottom w:w="0" w:type="dxa"/>
          <w:right w:w="0" w:type="dxa"/>
        </w:tblCellMar>
      </w:tblPr>
      <w:tblGrid>
        <w:gridCol w:w="880"/>
        <w:gridCol w:w="2655"/>
        <w:gridCol w:w="1455"/>
        <w:gridCol w:w="2786"/>
        <w:gridCol w:w="135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278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35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78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78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78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786"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135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bl>
    <w:p>
      <w:pPr>
        <w:spacing w:line="360" w:lineRule="auto"/>
        <w:contextualSpacing/>
        <w:jc w:val="left"/>
        <w:rPr>
          <w:rFonts w:hint="eastAsia" w:ascii="仿宋_GB2312" w:hAnsi="仿宋" w:eastAsia="仿宋_GB2312" w:cs="仿宋_GB2312"/>
          <w:color w:val="auto"/>
          <w:kern w:val="0"/>
          <w:sz w:val="24"/>
          <w:highlight w:val="none"/>
        </w:rPr>
      </w:pPr>
    </w:p>
    <w:p>
      <w:pPr>
        <w:spacing w:line="360" w:lineRule="auto"/>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3.供应商不存在直接控股股东的，则填“无”。</w:t>
      </w:r>
    </w:p>
    <w:p>
      <w:pPr>
        <w:snapToGrid w:val="0"/>
        <w:spacing w:line="360" w:lineRule="auto"/>
        <w:jc w:val="left"/>
        <w:rPr>
          <w:rFonts w:hint="eastAsia" w:ascii="宋体" w:hAnsi="宋体" w:cs="宋体"/>
          <w:color w:val="auto"/>
          <w:sz w:val="24"/>
          <w:highlight w:val="none"/>
        </w:rPr>
      </w:pPr>
    </w:p>
    <w:p>
      <w:pPr>
        <w:snapToGrid w:val="0"/>
        <w:spacing w:line="360" w:lineRule="auto"/>
        <w:jc w:val="left"/>
        <w:rPr>
          <w:rFonts w:hint="eastAsia" w:ascii="宋体" w:hAnsi="宋体" w:cs="宋体"/>
          <w:color w:val="auto"/>
          <w:sz w:val="24"/>
          <w:highlight w:val="none"/>
        </w:rPr>
      </w:pPr>
    </w:p>
    <w:p>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pPr>
        <w:autoSpaceDE w:val="0"/>
        <w:autoSpaceDN w:val="0"/>
        <w:spacing w:line="360" w:lineRule="auto"/>
        <w:ind w:firstLine="6120" w:firstLineChars="255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pPr>
        <w:snapToGrid w:val="0"/>
        <w:rPr>
          <w:rFonts w:hint="eastAsia" w:ascii="仿宋" w:hAnsi="仿宋" w:eastAsia="仿宋" w:cs="仿宋_GB2312"/>
          <w:b/>
          <w:color w:val="auto"/>
          <w:kern w:val="0"/>
          <w:sz w:val="30"/>
          <w:szCs w:val="30"/>
          <w:highlight w:val="none"/>
        </w:rPr>
      </w:pPr>
    </w:p>
    <w:p>
      <w:pPr>
        <w:snapToGrid w:val="0"/>
        <w:jc w:val="center"/>
        <w:rPr>
          <w:rFonts w:hint="eastAsia" w:ascii="仿宋" w:hAnsi="仿宋" w:eastAsia="仿宋" w:cs="仿宋_GB2312"/>
          <w:b/>
          <w:color w:val="auto"/>
          <w:kern w:val="0"/>
          <w:sz w:val="30"/>
          <w:szCs w:val="30"/>
          <w:highlight w:val="none"/>
        </w:rPr>
      </w:pPr>
    </w:p>
    <w:p>
      <w:pPr>
        <w:snapToGrid w:val="0"/>
        <w:jc w:val="center"/>
        <w:rPr>
          <w:rFonts w:hint="eastAsia" w:ascii="仿宋" w:hAnsi="仿宋" w:eastAsia="仿宋" w:cs="仿宋_GB2312"/>
          <w:b/>
          <w:color w:val="auto"/>
          <w:kern w:val="0"/>
          <w:sz w:val="30"/>
          <w:szCs w:val="30"/>
          <w:highlight w:val="none"/>
        </w:rPr>
      </w:pPr>
    </w:p>
    <w:p>
      <w:pPr>
        <w:snapToGrid w:val="0"/>
        <w:jc w:val="center"/>
        <w:rPr>
          <w:rFonts w:hint="eastAsia" w:ascii="仿宋" w:hAnsi="仿宋" w:eastAsia="仿宋" w:cs="仿宋_GB2312"/>
          <w:b/>
          <w:color w:val="auto"/>
          <w:kern w:val="0"/>
          <w:sz w:val="30"/>
          <w:szCs w:val="30"/>
          <w:highlight w:val="none"/>
        </w:rPr>
      </w:pPr>
    </w:p>
    <w:p>
      <w:pPr>
        <w:snapToGrid w:val="0"/>
        <w:jc w:val="center"/>
        <w:rPr>
          <w:rFonts w:hint="eastAsia" w:ascii="仿宋" w:hAnsi="仿宋" w:eastAsia="仿宋" w:cs="仿宋_GB2312"/>
          <w:b/>
          <w:color w:val="auto"/>
          <w:kern w:val="0"/>
          <w:sz w:val="30"/>
          <w:szCs w:val="30"/>
          <w:highlight w:val="none"/>
        </w:rPr>
      </w:pPr>
    </w:p>
    <w:p>
      <w:pPr>
        <w:snapToGrid w:val="0"/>
        <w:jc w:val="center"/>
        <w:rPr>
          <w:rFonts w:hint="eastAsia" w:ascii="仿宋" w:hAnsi="仿宋" w:eastAsia="仿宋" w:cs="仿宋_GB2312"/>
          <w:b/>
          <w:color w:val="auto"/>
          <w:kern w:val="0"/>
          <w:sz w:val="30"/>
          <w:szCs w:val="30"/>
          <w:highlight w:val="none"/>
        </w:rPr>
      </w:pPr>
      <w:r>
        <w:rPr>
          <w:rFonts w:hint="eastAsia" w:ascii="仿宋" w:hAnsi="仿宋" w:eastAsia="仿宋" w:cs="仿宋_GB2312"/>
          <w:b/>
          <w:color w:val="auto"/>
          <w:kern w:val="0"/>
          <w:sz w:val="30"/>
          <w:szCs w:val="30"/>
          <w:highlight w:val="none"/>
          <w:lang w:val="en-US" w:eastAsia="zh-CN"/>
        </w:rPr>
        <w:t>二、</w:t>
      </w:r>
      <w:r>
        <w:rPr>
          <w:rFonts w:hint="eastAsia" w:ascii="仿宋" w:hAnsi="仿宋" w:eastAsia="仿宋" w:cs="仿宋_GB2312"/>
          <w:b/>
          <w:color w:val="auto"/>
          <w:kern w:val="0"/>
          <w:sz w:val="30"/>
          <w:szCs w:val="30"/>
          <w:highlight w:val="none"/>
        </w:rPr>
        <w:t>供应商直接管理关系信息表</w:t>
      </w:r>
    </w:p>
    <w:p>
      <w:pPr>
        <w:snapToGrid w:val="0"/>
        <w:spacing w:line="360" w:lineRule="auto"/>
        <w:jc w:val="center"/>
        <w:rPr>
          <w:rFonts w:hint="eastAsia" w:ascii="宋体" w:hAnsi="宋体"/>
          <w:b/>
          <w:color w:val="auto"/>
          <w:sz w:val="24"/>
          <w:highlight w:val="none"/>
        </w:rPr>
      </w:pPr>
    </w:p>
    <w:tbl>
      <w:tblPr>
        <w:tblStyle w:val="32"/>
        <w:tblW w:w="8473" w:type="dxa"/>
        <w:jc w:val="center"/>
        <w:shd w:val="clear" w:color="auto" w:fill="FBFBFB"/>
        <w:tblLayout w:type="fixed"/>
        <w:tblCellMar>
          <w:top w:w="0" w:type="dxa"/>
          <w:left w:w="0" w:type="dxa"/>
          <w:bottom w:w="0" w:type="dxa"/>
          <w:right w:w="0" w:type="dxa"/>
        </w:tblCellMar>
      </w:tblPr>
      <w:tblGrid>
        <w:gridCol w:w="808"/>
        <w:gridCol w:w="2910"/>
        <w:gridCol w:w="2580"/>
        <w:gridCol w:w="2175"/>
      </w:tblGrid>
      <w:tr>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91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25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17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91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5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17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91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5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17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91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5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17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91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5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c>
          <w:tcPr>
            <w:tcW w:w="217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hint="eastAsia" w:ascii="宋体" w:hAnsi="宋体" w:cs="宋体"/>
                <w:color w:val="auto"/>
                <w:kern w:val="0"/>
                <w:sz w:val="24"/>
                <w:highlight w:val="none"/>
              </w:rPr>
            </w:pPr>
          </w:p>
        </w:tc>
      </w:tr>
    </w:tbl>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注：</w:t>
      </w:r>
    </w:p>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2.本表所指的管理关系仅限于直接管理关系，不包括间接的管理关系。</w:t>
      </w:r>
    </w:p>
    <w:p>
      <w:pPr>
        <w:spacing w:line="360" w:lineRule="auto"/>
        <w:ind w:firstLine="480" w:firstLineChars="200"/>
        <w:contextualSpacing/>
        <w:jc w:val="left"/>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3.供应商不存在直接管理关系的，则填“无”。</w:t>
      </w:r>
    </w:p>
    <w:p>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p>
    <w:p>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p>
    <w:p>
      <w:pPr>
        <w:autoSpaceDE w:val="0"/>
        <w:autoSpaceDN w:val="0"/>
        <w:spacing w:line="360" w:lineRule="auto"/>
        <w:ind w:left="4365" w:leftChars="1850" w:hanging="480" w:hangingChars="2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pPr>
        <w:autoSpaceDE w:val="0"/>
        <w:autoSpaceDN w:val="0"/>
        <w:spacing w:line="360" w:lineRule="auto"/>
        <w:ind w:firstLine="6120" w:firstLineChars="2550"/>
        <w:rPr>
          <w:rFonts w:hint="eastAsia" w:ascii="宋体" w:hAnsi="宋体" w:eastAsia="仿宋"/>
          <w:color w:val="auto"/>
          <w:sz w:val="28"/>
          <w:szCs w:val="28"/>
          <w:highlight w:val="none"/>
          <w:lang w:eastAsia="zh-CN"/>
        </w:rPr>
      </w:pPr>
      <w:r>
        <w:rPr>
          <w:rFonts w:hint="eastAsia" w:ascii="仿宋_GB2312" w:hAnsi="仿宋" w:eastAsia="仿宋_GB2312" w:cs="仿宋_GB2312"/>
          <w:color w:val="auto"/>
          <w:kern w:val="0"/>
          <w:sz w:val="24"/>
          <w:highlight w:val="none"/>
          <w:lang w:val="zh-CN"/>
        </w:rPr>
        <w:t>日期：  年  月   日</w:t>
      </w:r>
      <w:r>
        <w:rPr>
          <w:rFonts w:ascii="宋体" w:hAnsi="宋体"/>
          <w:color w:val="auto"/>
          <w:sz w:val="28"/>
          <w:szCs w:val="28"/>
          <w:highlight w:val="none"/>
        </w:rPr>
        <w:br w:type="page"/>
      </w: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三、</w:t>
      </w:r>
      <w:r>
        <w:rPr>
          <w:rFonts w:hint="eastAsia" w:ascii="仿宋" w:hAnsi="仿宋" w:eastAsia="仿宋" w:cs="仿宋_GB2312"/>
          <w:b/>
          <w:color w:val="auto"/>
          <w:kern w:val="0"/>
          <w:sz w:val="30"/>
          <w:szCs w:val="30"/>
          <w:highlight w:val="none"/>
          <w:lang w:val="en-US" w:eastAsia="zh-CN"/>
        </w:rPr>
        <w:t>竞标</w:t>
      </w:r>
      <w:r>
        <w:rPr>
          <w:rFonts w:hint="eastAsia" w:ascii="仿宋" w:hAnsi="仿宋" w:eastAsia="仿宋" w:cs="仿宋_GB2312"/>
          <w:b/>
          <w:color w:val="auto"/>
          <w:kern w:val="0"/>
          <w:sz w:val="30"/>
          <w:szCs w:val="30"/>
          <w:highlight w:val="none"/>
        </w:rPr>
        <w:t>声明</w:t>
      </w:r>
      <w:r>
        <w:rPr>
          <w:rFonts w:hint="eastAsia" w:ascii="仿宋" w:hAnsi="仿宋" w:eastAsia="仿宋" w:cs="仿宋_GB2312"/>
          <w:b/>
          <w:color w:val="auto"/>
          <w:kern w:val="0"/>
          <w:sz w:val="30"/>
          <w:szCs w:val="30"/>
          <w:highlight w:val="none"/>
          <w:lang w:val="en-US" w:eastAsia="zh-CN"/>
        </w:rPr>
        <w:t xml:space="preserve"> </w:t>
      </w:r>
    </w:p>
    <w:p>
      <w:pPr>
        <w:spacing w:line="320" w:lineRule="exact"/>
        <w:jc w:val="center"/>
        <w:rPr>
          <w:rFonts w:hint="eastAsia" w:ascii="宋体" w:hAnsi="宋体"/>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val="en-US" w:eastAsia="zh-CN"/>
        </w:rPr>
        <w:t>竞标</w:t>
      </w:r>
      <w:r>
        <w:rPr>
          <w:rFonts w:hint="eastAsia" w:ascii="宋体" w:hAnsi="宋体" w:eastAsia="宋体" w:cs="宋体"/>
          <w:b/>
          <w:color w:val="auto"/>
          <w:sz w:val="32"/>
          <w:szCs w:val="32"/>
          <w:highlight w:val="none"/>
        </w:rPr>
        <w:t>声明</w:t>
      </w:r>
      <w:r>
        <w:rPr>
          <w:rFonts w:hint="eastAsia" w:ascii="宋体" w:hAnsi="宋体" w:cs="宋体"/>
          <w:b/>
          <w:color w:val="auto"/>
          <w:sz w:val="32"/>
          <w:szCs w:val="32"/>
          <w:highlight w:val="none"/>
          <w:lang w:val="en-US" w:eastAsia="zh-CN"/>
        </w:rPr>
        <w:t xml:space="preserve"> </w:t>
      </w:r>
    </w:p>
    <w:p>
      <w:pPr>
        <w:spacing w:line="320" w:lineRule="exact"/>
        <w:jc w:val="center"/>
        <w:rPr>
          <w:rFonts w:hint="eastAsia" w:ascii="宋体" w:hAnsi="宋体" w:eastAsia="宋体" w:cs="宋体"/>
          <w:color w:val="auto"/>
          <w:sz w:val="24"/>
          <w:szCs w:val="20"/>
          <w:highlight w:val="none"/>
        </w:rPr>
      </w:pPr>
    </w:p>
    <w:p>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eastAsia="zh-CN"/>
        </w:rPr>
        <w:t>（采购人名称或采购代理机构名称）</w:t>
      </w:r>
      <w:r>
        <w:rPr>
          <w:rFonts w:hint="eastAsia" w:ascii="宋体" w:hAnsi="宋体" w:eastAsia="宋体" w:cs="宋体"/>
          <w:color w:val="auto"/>
          <w:sz w:val="24"/>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firstLine="416" w:firstLineChars="200"/>
        <w:contextualSpacing/>
        <w:textAlignment w:val="auto"/>
        <w:rPr>
          <w:rFonts w:hint="eastAsia" w:ascii="宋体" w:hAnsi="宋体" w:eastAsia="宋体" w:cs="宋体"/>
          <w:color w:val="auto"/>
          <w:sz w:val="24"/>
          <w:highlight w:val="none"/>
        </w:rPr>
      </w:pPr>
      <w:r>
        <w:rPr>
          <w:rFonts w:ascii="宋体" w:hAnsi="宋体" w:eastAsia="宋体" w:cs="宋体"/>
          <w:color w:val="auto"/>
          <w:spacing w:val="-16"/>
          <w:sz w:val="24"/>
          <w:szCs w:val="24"/>
          <w:highlight w:val="none"/>
        </w:rPr>
        <w:t>我</w:t>
      </w:r>
      <w:r>
        <w:rPr>
          <w:rFonts w:ascii="宋体" w:hAnsi="宋体" w:eastAsia="宋体" w:cs="宋体"/>
          <w:color w:val="auto"/>
          <w:spacing w:val="-31"/>
          <w:sz w:val="24"/>
          <w:szCs w:val="24"/>
          <w:highlight w:val="none"/>
        </w:rPr>
        <w:t xml:space="preserve"> </w:t>
      </w:r>
      <w:r>
        <w:rPr>
          <w:rFonts w:ascii="宋体" w:hAnsi="宋体" w:eastAsia="宋体" w:cs="宋体"/>
          <w:color w:val="auto"/>
          <w:spacing w:val="-16"/>
          <w:sz w:val="24"/>
          <w:szCs w:val="24"/>
          <w:highlight w:val="none"/>
        </w:rPr>
        <w:t>方</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rPr>
        <w:t xml:space="preserve">         （项目名称）        </w:t>
      </w:r>
      <w:r>
        <w:rPr>
          <w:rFonts w:hint="eastAsia" w:ascii="宋体" w:hAnsi="宋体" w:eastAsia="宋体" w:cs="宋体"/>
          <w:color w:val="auto"/>
          <w:sz w:val="24"/>
          <w:highlight w:val="none"/>
        </w:rPr>
        <w:t>项目的竞标，为便于贵方公正、择优地确定成交供应商及其竞标产品和服务，我方就本次竞标有关事项郑重声明如下：</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w:t>
      </w:r>
      <w:r>
        <w:rPr>
          <w:rFonts w:hint="eastAsia" w:ascii="宋体" w:hAnsi="宋体" w:eastAsia="宋体" w:cs="宋体"/>
          <w:color w:val="auto"/>
          <w:sz w:val="24"/>
          <w:highlight w:val="none"/>
          <w:lang w:val="en-US" w:eastAsia="zh-CN"/>
        </w:rPr>
        <w:t>竞争性谈判文件</w:t>
      </w:r>
      <w:r>
        <w:rPr>
          <w:rFonts w:hint="eastAsia" w:ascii="宋体" w:hAnsi="宋体" w:eastAsia="宋体" w:cs="宋体"/>
          <w:color w:val="auto"/>
          <w:sz w:val="24"/>
          <w:highlight w:val="none"/>
        </w:rPr>
        <w:t>的约定履行合同责任和义务；</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w:t>
      </w:r>
      <w:r>
        <w:rPr>
          <w:rFonts w:hint="eastAsia" w:ascii="宋体" w:hAnsi="宋体" w:eastAsia="宋体" w:cs="宋体"/>
          <w:color w:val="auto"/>
          <w:sz w:val="24"/>
          <w:highlight w:val="none"/>
          <w:lang w:val="en-US" w:eastAsia="zh-CN"/>
        </w:rPr>
        <w:t>竞争性谈判文件</w:t>
      </w:r>
      <w:r>
        <w:rPr>
          <w:rFonts w:hint="eastAsia" w:ascii="宋体" w:hAnsi="宋体" w:eastAsia="宋体" w:cs="宋体"/>
          <w:color w:val="auto"/>
          <w:sz w:val="24"/>
          <w:highlight w:val="none"/>
        </w:rPr>
        <w:t>，包括澄清或者更正公告（如有）；</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w:t>
      </w:r>
      <w:r>
        <w:rPr>
          <w:rFonts w:hint="eastAsia" w:ascii="宋体" w:hAnsi="宋体" w:eastAsia="宋体" w:cs="宋体"/>
          <w:color w:val="auto"/>
          <w:sz w:val="24"/>
          <w:highlight w:val="none"/>
          <w:lang w:val="en-US" w:eastAsia="zh-CN"/>
        </w:rPr>
        <w:t>谈判</w:t>
      </w:r>
      <w:r>
        <w:rPr>
          <w:rFonts w:hint="eastAsia" w:ascii="宋体" w:hAnsi="宋体" w:eastAsia="宋体" w:cs="宋体"/>
          <w:color w:val="auto"/>
          <w:sz w:val="24"/>
          <w:highlight w:val="none"/>
        </w:rPr>
        <w:t>有关的一切数据或者资料；</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w:t>
      </w:r>
      <w:r>
        <w:rPr>
          <w:rFonts w:hint="eastAsia" w:ascii="宋体" w:hAnsi="宋体" w:eastAsia="宋体" w:cs="宋体"/>
          <w:color w:val="auto"/>
          <w:sz w:val="24"/>
          <w:highlight w:val="none"/>
          <w:lang w:val="en-US" w:eastAsia="zh-CN"/>
        </w:rPr>
        <w:t>谈判</w:t>
      </w:r>
      <w:r>
        <w:rPr>
          <w:rFonts w:hint="eastAsia" w:ascii="宋体" w:hAnsi="宋体" w:eastAsia="宋体" w:cs="宋体"/>
          <w:color w:val="auto"/>
          <w:sz w:val="24"/>
          <w:highlight w:val="none"/>
        </w:rPr>
        <w:t>文件规定的竞标有效期。</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pPr>
        <w:pStyle w:val="17"/>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pPr>
        <w:pStyle w:val="17"/>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pPr>
        <w:pStyle w:val="15"/>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pPr>
        <w:pStyle w:val="15"/>
        <w:tabs>
          <w:tab w:val="left" w:pos="939"/>
        </w:tabs>
        <w:spacing w:line="360" w:lineRule="auto"/>
        <w:ind w:left="0" w:leftChars="0" w:firstLine="480" w:firstLineChars="200"/>
        <w:rPr>
          <w:rFonts w:hint="eastAsia" w:ascii="宋体" w:hAnsi="宋体" w:eastAsia="宋体" w:cs="宋体"/>
          <w:color w:val="auto"/>
          <w:sz w:val="24"/>
          <w:highlight w:val="none"/>
        </w:rPr>
      </w:pPr>
    </w:p>
    <w:p>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p>
    <w:p>
      <w:pPr>
        <w:autoSpaceDE w:val="0"/>
        <w:autoSpaceDN w:val="0"/>
        <w:spacing w:line="360" w:lineRule="auto"/>
        <w:ind w:firstLine="3360" w:firstLineChars="14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rPr>
          <w:rFonts w:hint="eastAsia" w:ascii="宋体" w:hAnsi="宋体" w:eastAsia="宋体" w:cs="宋体"/>
          <w:color w:val="auto"/>
          <w:kern w:val="0"/>
          <w:sz w:val="24"/>
          <w:highlight w:val="none"/>
          <w:lang w:val="zh-CN"/>
        </w:rPr>
      </w:pPr>
    </w:p>
    <w:p>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340" w:right="1500" w:bottom="280" w:left="1680" w:header="720" w:footer="720" w:gutter="0"/>
          <w:cols w:space="720" w:num="1"/>
        </w:sectPr>
      </w:pPr>
      <w:r>
        <w:rPr>
          <w:rFonts w:hint="eastAsia" w:ascii="宋体" w:hAnsi="宋体" w:eastAsia="宋体" w:cs="宋体"/>
          <w:color w:val="auto"/>
          <w:kern w:val="0"/>
          <w:sz w:val="24"/>
          <w:highlight w:val="none"/>
          <w:lang w:val="zh-CN"/>
        </w:rPr>
        <w:t xml:space="preserve">日期：  年  月 </w:t>
      </w:r>
      <w:r>
        <w:rPr>
          <w:rFonts w:hint="eastAsia" w:ascii="宋体" w:hAnsi="宋体" w:eastAsia="宋体" w:cs="宋体"/>
          <w:color w:val="auto"/>
          <w:kern w:val="0"/>
          <w:sz w:val="24"/>
          <w:highlight w:val="none"/>
        </w:rPr>
        <w:t xml:space="preserve">  日</w:t>
      </w:r>
      <w:r>
        <w:rPr>
          <w:rFonts w:hint="eastAsia" w:ascii="宋体" w:hAnsi="宋体" w:eastAsia="宋体" w:cs="宋体"/>
          <w:color w:val="auto"/>
          <w:kern w:val="0"/>
          <w:sz w:val="24"/>
          <w:highlight w:val="none"/>
          <w:lang w:val="zh-CN"/>
        </w:rPr>
        <w:t xml:space="preserve"> </w:t>
      </w:r>
    </w:p>
    <w:p>
      <w:pPr>
        <w:ind w:left="416" w:leftChars="198"/>
        <w:rPr>
          <w:color w:val="auto"/>
          <w:highlight w:val="none"/>
        </w:rPr>
      </w:pPr>
      <w:r>
        <w:rPr>
          <w:rFonts w:hint="eastAsia"/>
          <w:b/>
          <w:bCs/>
          <w:color w:val="auto"/>
          <w:sz w:val="32"/>
          <w:szCs w:val="32"/>
          <w:highlight w:val="none"/>
          <w:lang w:val="en-US" w:eastAsia="zh-CN"/>
        </w:rPr>
        <w:t>四</w:t>
      </w:r>
      <w:r>
        <w:rPr>
          <w:rFonts w:hint="eastAsia"/>
          <w:b/>
          <w:bCs/>
          <w:color w:val="auto"/>
          <w:sz w:val="32"/>
          <w:szCs w:val="32"/>
          <w:highlight w:val="none"/>
        </w:rPr>
        <w:t>、崇左市政府采购供应商信用承诺函</w:t>
      </w:r>
    </w:p>
    <w:p>
      <w:pPr>
        <w:pStyle w:val="21"/>
        <w:ind w:left="416" w:leftChars="198"/>
        <w:rPr>
          <w:color w:val="auto"/>
          <w:highlight w:val="none"/>
        </w:rPr>
      </w:pPr>
    </w:p>
    <w:p>
      <w:pPr>
        <w:pStyle w:val="21"/>
        <w:ind w:left="416" w:leftChars="198"/>
        <w:rPr>
          <w:color w:val="auto"/>
          <w:highlight w:val="none"/>
        </w:rPr>
      </w:pPr>
    </w:p>
    <w:p>
      <w:pPr>
        <w:widowControl/>
        <w:spacing w:line="440" w:lineRule="exact"/>
        <w:jc w:val="center"/>
        <w:rPr>
          <w:rFonts w:hint="eastAsia" w:ascii="宋体" w:hAnsi="宋体" w:cs="宋体"/>
          <w:color w:val="auto"/>
          <w:kern w:val="0"/>
          <w:sz w:val="36"/>
          <w:szCs w:val="36"/>
          <w:highlight w:val="none"/>
          <w:lang w:bidi="ar"/>
        </w:rPr>
      </w:pPr>
    </w:p>
    <w:p>
      <w:pPr>
        <w:widowControl/>
        <w:spacing w:line="440" w:lineRule="exact"/>
        <w:jc w:val="center"/>
        <w:rPr>
          <w:rFonts w:hint="eastAsia" w:ascii="微软雅黑" w:hAnsi="微软雅黑" w:eastAsia="微软雅黑" w:cs="微软雅黑"/>
          <w:color w:val="auto"/>
          <w:kern w:val="0"/>
          <w:sz w:val="36"/>
          <w:szCs w:val="36"/>
          <w:highlight w:val="none"/>
          <w:lang w:bidi="ar"/>
        </w:rPr>
      </w:pPr>
      <w:r>
        <w:rPr>
          <w:rFonts w:hint="eastAsia" w:ascii="宋体" w:hAnsi="宋体" w:cs="宋体"/>
          <w:color w:val="auto"/>
          <w:kern w:val="0"/>
          <w:sz w:val="36"/>
          <w:szCs w:val="36"/>
          <w:highlight w:val="none"/>
          <w:lang w:bidi="ar"/>
        </w:rPr>
        <w:t>崇左市政府采购供应商信用承诺函（格式）</w:t>
      </w:r>
    </w:p>
    <w:p>
      <w:pPr>
        <w:pStyle w:val="110"/>
        <w:ind w:firstLine="480"/>
        <w:rPr>
          <w:color w:val="auto"/>
          <w:highlight w:val="none"/>
        </w:rPr>
      </w:pPr>
    </w:p>
    <w:p>
      <w:pPr>
        <w:widowControl/>
        <w:spacing w:line="440" w:lineRule="exact"/>
        <w:rPr>
          <w:rFonts w:hint="eastAsia" w:ascii="宋体" w:hAnsi="宋体" w:cs="宋体"/>
          <w:color w:val="auto"/>
          <w:szCs w:val="21"/>
          <w:highlight w:val="none"/>
        </w:rPr>
      </w:pPr>
      <w:r>
        <w:rPr>
          <w:rFonts w:hint="eastAsia" w:ascii="宋体" w:hAnsi="宋体" w:cs="宋体"/>
          <w:color w:val="auto"/>
          <w:kern w:val="0"/>
          <w:szCs w:val="21"/>
          <w:highlight w:val="none"/>
          <w:lang w:bidi="ar"/>
        </w:rPr>
        <w:t>致</w:t>
      </w:r>
      <w:r>
        <w:rPr>
          <w:rFonts w:hint="eastAsia" w:ascii="宋体" w:hAnsi="宋体" w:cs="宋体"/>
          <w:color w:val="auto"/>
          <w:kern w:val="0"/>
          <w:szCs w:val="21"/>
          <w:highlight w:val="none"/>
          <w:u w:val="single"/>
          <w:lang w:bidi="ar"/>
        </w:rPr>
        <w:t>（采购代理机构名称）</w:t>
      </w:r>
      <w:r>
        <w:rPr>
          <w:rFonts w:hint="eastAsia" w:ascii="宋体" w:hAnsi="宋体" w:cs="宋体"/>
          <w:color w:val="auto"/>
          <w:kern w:val="0"/>
          <w:szCs w:val="21"/>
          <w:highlight w:val="none"/>
          <w:lang w:bidi="ar"/>
        </w:rPr>
        <w:t>:</w:t>
      </w:r>
    </w:p>
    <w:p>
      <w:pPr>
        <w:widowControl/>
        <w:spacing w:line="440" w:lineRule="exact"/>
        <w:ind w:firstLine="420" w:firstLineChars="200"/>
        <w:rPr>
          <w:rFonts w:hint="eastAsia" w:ascii="宋体" w:hAnsi="宋体" w:cs="宋体"/>
          <w:color w:val="auto"/>
          <w:spacing w:val="-6"/>
          <w:szCs w:val="21"/>
          <w:highlight w:val="none"/>
        </w:rPr>
      </w:pPr>
      <w:r>
        <w:rPr>
          <w:rFonts w:hint="eastAsia" w:ascii="宋体" w:hAnsi="宋体" w:cs="宋体"/>
          <w:color w:val="auto"/>
          <w:kern w:val="0"/>
          <w:szCs w:val="21"/>
          <w:highlight w:val="none"/>
          <w:lang w:bidi="ar"/>
        </w:rPr>
        <w:t>我方自愿参加</w:t>
      </w:r>
      <w:r>
        <w:rPr>
          <w:rFonts w:hint="eastAsia" w:ascii="宋体" w:hAnsi="宋体" w:cs="宋体"/>
          <w:color w:val="auto"/>
          <w:kern w:val="0"/>
          <w:szCs w:val="21"/>
          <w:highlight w:val="none"/>
          <w:u w:val="single"/>
          <w:lang w:bidi="ar"/>
        </w:rPr>
        <w:t xml:space="preserve"> （项目名称） </w:t>
      </w:r>
      <w:r>
        <w:rPr>
          <w:rFonts w:hint="eastAsia" w:ascii="宋体" w:hAnsi="宋体" w:cs="宋体"/>
          <w:color w:val="auto"/>
          <w:kern w:val="0"/>
          <w:szCs w:val="21"/>
          <w:highlight w:val="none"/>
          <w:lang w:bidi="ar"/>
        </w:rPr>
        <w:t>项目</w:t>
      </w:r>
      <w:r>
        <w:rPr>
          <w:rFonts w:hint="eastAsia" w:ascii="宋体" w:hAnsi="宋体" w:cs="宋体"/>
          <w:color w:val="auto"/>
          <w:spacing w:val="6"/>
          <w:szCs w:val="21"/>
          <w:highlight w:val="none"/>
        </w:rPr>
        <w:t>（项目编号：</w:t>
      </w:r>
      <w:r>
        <w:rPr>
          <w:rFonts w:hint="eastAsia" w:ascii="宋体" w:hAnsi="宋体" w:cs="宋体"/>
          <w:color w:val="auto"/>
          <w:spacing w:val="6"/>
          <w:szCs w:val="21"/>
          <w:highlight w:val="none"/>
          <w:u w:val="single"/>
        </w:rPr>
        <w:t xml:space="preserve">         </w:t>
      </w:r>
      <w:r>
        <w:rPr>
          <w:rFonts w:hint="eastAsia" w:ascii="宋体" w:hAnsi="宋体" w:cs="宋体"/>
          <w:color w:val="auto"/>
          <w:spacing w:val="6"/>
          <w:szCs w:val="21"/>
          <w:highlight w:val="none"/>
        </w:rPr>
        <w:t>）</w:t>
      </w:r>
      <w:r>
        <w:rPr>
          <w:rFonts w:hint="eastAsia" w:ascii="宋体" w:hAnsi="宋体" w:cs="宋体"/>
          <w:color w:val="auto"/>
          <w:kern w:val="0"/>
          <w:szCs w:val="21"/>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Cs w:val="21"/>
          <w:highlight w:val="none"/>
          <w:lang w:bidi="ar"/>
        </w:rPr>
        <w:t xml:space="preserve">： </w:t>
      </w:r>
    </w:p>
    <w:p>
      <w:pPr>
        <w:widowControl/>
        <w:spacing w:line="440" w:lineRule="exact"/>
        <w:ind w:firstLine="420" w:firstLineChars="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1.我方</w:t>
      </w:r>
      <w:r>
        <w:rPr>
          <w:rFonts w:hint="eastAsia" w:ascii="宋体" w:hAnsi="宋体" w:cs="宋体"/>
          <w:color w:val="auto"/>
          <w:spacing w:val="6"/>
          <w:szCs w:val="21"/>
          <w:highlight w:val="none"/>
        </w:rPr>
        <w:t>具有独立承担民事责任的能力或我方属于银行、保险、石油石化、电力、电信等有行业特殊情况的法人的分支机构在参加本次政府采购活动前已取得总公司的授权。</w:t>
      </w:r>
    </w:p>
    <w:p>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 xml:space="preserve">2.我方具有符合采购文件资格要求的财务状况报告。 </w:t>
      </w:r>
    </w:p>
    <w:p>
      <w:pPr>
        <w:widowControl/>
        <w:spacing w:line="440" w:lineRule="exact"/>
        <w:ind w:firstLine="396" w:firstLineChars="200"/>
        <w:rPr>
          <w:rFonts w:hint="eastAsia" w:ascii="宋体" w:hAnsi="宋体" w:cs="宋体"/>
          <w:color w:val="auto"/>
          <w:spacing w:val="-17"/>
          <w:szCs w:val="21"/>
          <w:highlight w:val="none"/>
        </w:rPr>
      </w:pPr>
      <w:r>
        <w:rPr>
          <w:rFonts w:hint="eastAsia" w:ascii="宋体" w:hAnsi="宋体" w:cs="宋体"/>
          <w:color w:val="auto"/>
          <w:spacing w:val="-6"/>
          <w:kern w:val="0"/>
          <w:szCs w:val="21"/>
          <w:highlight w:val="none"/>
          <w:lang w:bidi="ar"/>
        </w:rPr>
        <w:t>3.我方具有符合采购文件资格要求的依法缴纳税收和社会保障资金的良好记录。</w:t>
      </w:r>
      <w:r>
        <w:rPr>
          <w:rFonts w:hint="eastAsia" w:ascii="宋体" w:hAnsi="宋体" w:cs="宋体"/>
          <w:color w:val="auto"/>
          <w:spacing w:val="-17"/>
          <w:kern w:val="0"/>
          <w:szCs w:val="21"/>
          <w:highlight w:val="none"/>
          <w:lang w:bidi="ar"/>
        </w:rPr>
        <w:t xml:space="preserve"> </w:t>
      </w:r>
    </w:p>
    <w:p>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 xml:space="preserve">4.我方具有符合采购文件资格要求履行合同所必需的设备和专业技术能力。 </w:t>
      </w:r>
    </w:p>
    <w:p>
      <w:pPr>
        <w:widowControl/>
        <w:spacing w:line="44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lang w:bidi="ar"/>
        </w:rPr>
        <w:t xml:space="preserve">5.我方参加政府采购活动前3年内在经营活动中没有重大违法记录。 </w:t>
      </w:r>
    </w:p>
    <w:p>
      <w:pPr>
        <w:widowControl/>
        <w:spacing w:line="440" w:lineRule="exact"/>
        <w:ind w:firstLine="420" w:firstLineChars="200"/>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我方对以上承诺内容的真实性负责。如有虚假，将依法承担相应责任。</w:t>
      </w:r>
    </w:p>
    <w:p>
      <w:pPr>
        <w:widowControl/>
        <w:spacing w:line="440" w:lineRule="exact"/>
        <w:ind w:firstLine="3150" w:firstLineChars="1500"/>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供应商名称（</w:t>
      </w:r>
      <w:r>
        <w:rPr>
          <w:rFonts w:hint="eastAsia" w:ascii="宋体" w:hAnsi="宋体" w:cs="宋体"/>
          <w:color w:val="auto"/>
          <w:szCs w:val="21"/>
          <w:highlight w:val="none"/>
        </w:rPr>
        <w:t>电子签章</w:t>
      </w:r>
      <w:r>
        <w:rPr>
          <w:rFonts w:hint="eastAsia" w:ascii="宋体" w:hAnsi="宋体" w:cs="宋体"/>
          <w:color w:val="auto"/>
          <w:kern w:val="0"/>
          <w:szCs w:val="21"/>
          <w:highlight w:val="none"/>
          <w:lang w:bidi="ar"/>
        </w:rPr>
        <w:t xml:space="preserve">）： </w:t>
      </w:r>
    </w:p>
    <w:p>
      <w:pPr>
        <w:tabs>
          <w:tab w:val="left" w:pos="7560"/>
        </w:tabs>
        <w:spacing w:line="440" w:lineRule="exact"/>
        <w:ind w:firstLine="3150" w:firstLineChars="1500"/>
        <w:jc w:val="left"/>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日期：</w:t>
      </w:r>
    </w:p>
    <w:p>
      <w:pPr>
        <w:pStyle w:val="17"/>
        <w:spacing w:line="560" w:lineRule="exact"/>
        <w:ind w:firstLine="420" w:firstLineChars="200"/>
        <w:rPr>
          <w:rFonts w:hint="eastAsia" w:hAnsi="宋体" w:cs="宋体"/>
          <w:color w:val="auto"/>
          <w:sz w:val="21"/>
          <w:highlight w:val="none"/>
        </w:rPr>
      </w:pPr>
      <w:r>
        <w:rPr>
          <w:rFonts w:hint="eastAsia" w:hAnsi="宋体" w:cs="宋体"/>
          <w:color w:val="auto"/>
          <w:sz w:val="21"/>
          <w:highlight w:val="none"/>
          <w:lang w:bidi="ar"/>
        </w:rPr>
        <w:t>注：1.</w:t>
      </w:r>
      <w:r>
        <w:rPr>
          <w:rFonts w:hint="eastAsia" w:hAnsi="宋体" w:cs="宋体"/>
          <w:color w:val="auto"/>
          <w:sz w:val="21"/>
          <w:highlight w:val="none"/>
        </w:rPr>
        <w:t>参与政府采购活动的供应商可按第1点的内容：“</w:t>
      </w:r>
      <w:r>
        <w:rPr>
          <w:rFonts w:hint="eastAsia" w:hAnsi="宋体" w:cs="宋体"/>
          <w:color w:val="auto"/>
          <w:sz w:val="21"/>
          <w:highlight w:val="none"/>
          <w:lang w:bidi="ar"/>
        </w:rPr>
        <w:t>我方</w:t>
      </w:r>
      <w:r>
        <w:rPr>
          <w:rFonts w:hint="eastAsia" w:hAnsi="宋体" w:cs="宋体"/>
          <w:color w:val="auto"/>
          <w:spacing w:val="6"/>
          <w:sz w:val="21"/>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hAnsi="宋体" w:cs="宋体"/>
          <w:color w:val="auto"/>
          <w:sz w:val="21"/>
          <w:highlight w:val="none"/>
          <w:lang w:bidi="ar"/>
        </w:rPr>
        <w:t>我方</w:t>
      </w:r>
      <w:r>
        <w:rPr>
          <w:rFonts w:hint="eastAsia" w:hAnsi="宋体" w:cs="宋体"/>
          <w:color w:val="auto"/>
          <w:spacing w:val="6"/>
          <w:sz w:val="21"/>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pPr>
        <w:autoSpaceDE w:val="0"/>
        <w:autoSpaceDN w:val="0"/>
        <w:spacing w:line="360" w:lineRule="auto"/>
        <w:rPr>
          <w:rFonts w:hint="eastAsia" w:ascii="仿宋_GB2312" w:hAnsi="仿宋" w:eastAsia="仿宋_GB2312" w:cs="仿宋_GB2312"/>
          <w:color w:val="auto"/>
          <w:kern w:val="0"/>
          <w:sz w:val="24"/>
          <w:highlight w:val="none"/>
          <w:lang w:val="zh-CN"/>
        </w:rPr>
      </w:pPr>
    </w:p>
    <w:p>
      <w:pPr>
        <w:snapToGrid w:val="0"/>
        <w:spacing w:line="360" w:lineRule="auto"/>
        <w:rPr>
          <w:rFonts w:hint="eastAsia" w:ascii="仿宋" w:hAnsi="仿宋" w:eastAsia="仿宋" w:cs="仿宋_GB2312"/>
          <w:b/>
          <w:color w:val="auto"/>
          <w:kern w:val="0"/>
          <w:sz w:val="30"/>
          <w:szCs w:val="30"/>
          <w:highlight w:val="none"/>
        </w:rPr>
      </w:pPr>
    </w:p>
    <w:p>
      <w:pPr>
        <w:pStyle w:val="31"/>
        <w:ind w:firstLine="480"/>
        <w:rPr>
          <w:rFonts w:hint="eastAsia" w:hAnsi="仿宋" w:cs="仿宋_GB2312"/>
          <w:color w:val="auto"/>
          <w:sz w:val="24"/>
          <w:highlight w:val="none"/>
          <w:lang w:val="zh-CN"/>
        </w:rPr>
      </w:pPr>
    </w:p>
    <w:p>
      <w:pPr>
        <w:pStyle w:val="31"/>
        <w:ind w:firstLine="643"/>
        <w:rPr>
          <w:rFonts w:hint="eastAsia" w:ascii="宋体" w:hAnsi="宋体"/>
          <w:b/>
          <w:bCs/>
          <w:color w:val="auto"/>
          <w:szCs w:val="32"/>
          <w:highlight w:val="none"/>
        </w:rPr>
      </w:pPr>
      <w:bookmarkStart w:id="163" w:name="_Toc80886944"/>
      <w:bookmarkStart w:id="164" w:name="_Toc80205940"/>
    </w:p>
    <w:p>
      <w:pPr>
        <w:pStyle w:val="31"/>
        <w:ind w:firstLine="643"/>
        <w:rPr>
          <w:rFonts w:hint="eastAsia" w:ascii="宋体" w:hAnsi="宋体"/>
          <w:b/>
          <w:bCs/>
          <w:color w:val="auto"/>
          <w:szCs w:val="32"/>
          <w:highlight w:val="none"/>
        </w:rPr>
      </w:pPr>
    </w:p>
    <w:p>
      <w:pPr>
        <w:ind w:firstLine="2249" w:firstLineChars="700"/>
        <w:rPr>
          <w:rFonts w:hint="eastAsia" w:ascii="宋体" w:hAnsi="宋体"/>
          <w:b/>
          <w:bCs/>
          <w:color w:val="auto"/>
          <w:sz w:val="32"/>
          <w:szCs w:val="32"/>
          <w:highlight w:val="none"/>
        </w:rPr>
      </w:pPr>
      <w:r>
        <w:rPr>
          <w:rFonts w:hint="eastAsia" w:ascii="宋体" w:hAnsi="宋体"/>
          <w:b/>
          <w:bCs/>
          <w:color w:val="auto"/>
          <w:sz w:val="32"/>
          <w:szCs w:val="32"/>
          <w:highlight w:val="none"/>
        </w:rPr>
        <w:t>第三节 商务技术文件格式</w:t>
      </w:r>
      <w:bookmarkEnd w:id="163"/>
      <w:bookmarkEnd w:id="164"/>
    </w:p>
    <w:p>
      <w:pPr>
        <w:snapToGrid w:val="0"/>
        <w:spacing w:before="120" w:beforeLines="50" w:after="50"/>
        <w:rPr>
          <w:rFonts w:hint="eastAsia" w:ascii="宋体" w:hAnsi="宋体"/>
          <w:color w:val="auto"/>
          <w:sz w:val="24"/>
          <w:highlight w:val="none"/>
        </w:rPr>
      </w:pPr>
      <w:r>
        <w:rPr>
          <w:rFonts w:hint="eastAsia" w:ascii="宋体" w:hAnsi="宋体"/>
          <w:color w:val="auto"/>
          <w:sz w:val="24"/>
          <w:highlight w:val="none"/>
        </w:rPr>
        <w:t xml:space="preserve">                                                 </w:t>
      </w:r>
    </w:p>
    <w:p>
      <w:pPr>
        <w:snapToGrid w:val="0"/>
        <w:spacing w:before="120" w:beforeLines="50" w:after="50"/>
        <w:ind w:firstLine="6240" w:firstLineChars="260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pPr>
        <w:snapToGrid w:val="0"/>
        <w:spacing w:before="120" w:beforeLines="50" w:after="50"/>
        <w:rPr>
          <w:rFonts w:hint="eastAsia" w:ascii="宋体" w:hAnsi="宋体"/>
          <w:color w:val="auto"/>
          <w:sz w:val="24"/>
          <w:szCs w:val="20"/>
          <w:highlight w:val="none"/>
        </w:rPr>
      </w:pPr>
    </w:p>
    <w:p>
      <w:pPr>
        <w:pStyle w:val="31"/>
        <w:ind w:firstLine="480"/>
        <w:rPr>
          <w:rFonts w:hint="eastAsia" w:ascii="宋体" w:hAnsi="宋体" w:eastAsia="宋体" w:cs="宋体"/>
          <w:b/>
          <w:bCs/>
          <w:color w:val="auto"/>
          <w:sz w:val="24"/>
          <w:highlight w:val="none"/>
        </w:rPr>
      </w:pPr>
    </w:p>
    <w:p>
      <w:pPr>
        <w:snapToGrid w:val="0"/>
        <w:spacing w:before="120" w:beforeLines="50" w:after="50"/>
        <w:jc w:val="center"/>
        <w:rPr>
          <w:rFonts w:hint="eastAsia" w:ascii="宋体" w:hAnsi="宋体" w:eastAsia="宋体" w:cs="宋体"/>
          <w:b/>
          <w:bCs/>
          <w:color w:val="auto"/>
          <w:sz w:val="24"/>
          <w:szCs w:val="20"/>
          <w:highlight w:val="none"/>
        </w:rPr>
      </w:pPr>
      <w:r>
        <w:rPr>
          <w:rFonts w:hint="eastAsia" w:ascii="宋体" w:hAnsi="宋体" w:eastAsia="宋体" w:cs="宋体"/>
          <w:b/>
          <w:bCs/>
          <w:color w:val="auto"/>
          <w:sz w:val="44"/>
          <w:szCs w:val="44"/>
          <w:highlight w:val="none"/>
        </w:rPr>
        <w:t>电 子 响 应 文 件</w:t>
      </w:r>
    </w:p>
    <w:p>
      <w:pPr>
        <w:snapToGrid w:val="0"/>
        <w:spacing w:before="120" w:beforeLines="50" w:after="50"/>
        <w:jc w:val="center"/>
        <w:rPr>
          <w:rFonts w:hint="eastAsia" w:ascii="微软雅黑" w:hAnsi="微软雅黑" w:eastAsia="微软雅黑" w:cs="微软雅黑"/>
          <w:bCs/>
          <w:color w:val="auto"/>
          <w:sz w:val="44"/>
          <w:szCs w:val="44"/>
          <w:highlight w:val="none"/>
        </w:rPr>
      </w:pPr>
      <w:r>
        <w:rPr>
          <w:rFonts w:hint="eastAsia" w:ascii="宋体" w:hAnsi="宋体" w:eastAsia="宋体" w:cs="宋体"/>
          <w:b/>
          <w:bCs/>
          <w:color w:val="auto"/>
          <w:sz w:val="44"/>
          <w:szCs w:val="44"/>
          <w:highlight w:val="none"/>
        </w:rPr>
        <w:t>商  务  技  术  文  件（封面）</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pPr>
        <w:pStyle w:val="21"/>
        <w:rPr>
          <w:color w:val="auto"/>
          <w:highlight w:val="none"/>
        </w:rPr>
      </w:pPr>
    </w:p>
    <w:p>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1280" w:firstLineChars="400"/>
        <w:rPr>
          <w:rFonts w:hint="eastAsia" w:ascii="宋体" w:hAnsi="宋体" w:cs="仿宋_GB2312"/>
          <w:bCs/>
          <w:color w:val="auto"/>
          <w:sz w:val="32"/>
          <w:szCs w:val="32"/>
          <w:highlight w:val="none"/>
        </w:rPr>
      </w:pPr>
    </w:p>
    <w:p>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pPr>
        <w:snapToGrid w:val="0"/>
        <w:spacing w:before="120" w:beforeLines="50" w:after="50" w:line="360" w:lineRule="auto"/>
        <w:ind w:left="142" w:firstLine="643" w:firstLineChars="200"/>
        <w:jc w:val="left"/>
        <w:rPr>
          <w:rFonts w:hint="eastAsia" w:ascii="宋体" w:hAnsi="宋体"/>
          <w:b/>
          <w:bCs/>
          <w:color w:val="auto"/>
          <w:sz w:val="32"/>
          <w:szCs w:val="32"/>
          <w:highlight w:val="none"/>
        </w:rPr>
        <w:sectPr>
          <w:pgSz w:w="11910" w:h="16840"/>
          <w:pgMar w:top="1340" w:right="1500" w:bottom="280" w:left="1680" w:header="720" w:footer="720" w:gutter="0"/>
          <w:cols w:space="720" w:num="1"/>
        </w:sectPr>
      </w:pPr>
    </w:p>
    <w:p>
      <w:pPr>
        <w:jc w:val="center"/>
        <w:rPr>
          <w:rFonts w:hint="eastAsia" w:ascii="仿宋_GB2312" w:hAnsi="仿宋" w:eastAsia="仿宋_GB2312" w:cs="仿宋_GB2312"/>
          <w:b/>
          <w:color w:val="auto"/>
          <w:kern w:val="0"/>
          <w:sz w:val="28"/>
          <w:szCs w:val="28"/>
          <w:highlight w:val="none"/>
        </w:rPr>
      </w:pPr>
      <w:r>
        <w:rPr>
          <w:rFonts w:hint="eastAsia" w:ascii="仿宋_GB2312" w:hAnsi="仿宋" w:eastAsia="仿宋_GB2312" w:cs="仿宋_GB2312"/>
          <w:b/>
          <w:color w:val="auto"/>
          <w:kern w:val="0"/>
          <w:sz w:val="28"/>
          <w:szCs w:val="28"/>
          <w:highlight w:val="none"/>
        </w:rPr>
        <w:t>商务技术文件目录</w:t>
      </w:r>
    </w:p>
    <w:p>
      <w:pPr>
        <w:jc w:val="center"/>
        <w:rPr>
          <w:rFonts w:hint="eastAsia" w:ascii="仿宋_GB2312" w:hAnsi="仿宋" w:eastAsia="仿宋_GB2312" w:cs="仿宋_GB2312"/>
          <w:b/>
          <w:color w:val="auto"/>
          <w:kern w:val="0"/>
          <w:sz w:val="28"/>
          <w:szCs w:val="28"/>
          <w:highlight w:val="none"/>
        </w:rPr>
      </w:pPr>
    </w:p>
    <w:p>
      <w:pPr>
        <w:spacing w:line="400" w:lineRule="exact"/>
        <w:jc w:val="center"/>
        <w:rPr>
          <w:rFonts w:hint="eastAsia" w:ascii="仿宋_GB2312" w:hAnsi="仿宋_GB2312" w:eastAsia="仿宋_GB2312" w:cs="仿宋_GB2312"/>
          <w:color w:val="auto"/>
          <w:sz w:val="32"/>
          <w:szCs w:val="32"/>
          <w:highlight w:val="none"/>
        </w:rPr>
      </w:pPr>
      <w:r>
        <w:rPr>
          <w:rFonts w:hint="eastAsia" w:cs="仿宋_GB2312"/>
          <w:b/>
          <w:bCs/>
          <w:color w:val="auto"/>
          <w:sz w:val="24"/>
          <w:szCs w:val="24"/>
          <w:highlight w:val="none"/>
        </w:rPr>
        <w:t>根据</w:t>
      </w:r>
      <w:r>
        <w:rPr>
          <w:rFonts w:hint="eastAsia" w:cs="仿宋_GB2312"/>
          <w:b/>
          <w:bCs/>
          <w:color w:val="auto"/>
          <w:sz w:val="24"/>
          <w:szCs w:val="24"/>
          <w:highlight w:val="none"/>
          <w:lang w:val="en-US" w:eastAsia="zh-CN"/>
        </w:rPr>
        <w:t>谈判</w:t>
      </w:r>
      <w:r>
        <w:rPr>
          <w:rFonts w:hint="eastAsia" w:cs="仿宋_GB2312"/>
          <w:b/>
          <w:bCs/>
          <w:color w:val="auto"/>
          <w:sz w:val="24"/>
          <w:szCs w:val="24"/>
          <w:highlight w:val="none"/>
        </w:rPr>
        <w:t>文件规定及供应商提供的材料自行编写目录（部分格式后附）。</w:t>
      </w:r>
    </w:p>
    <w:p>
      <w:pPr>
        <w:spacing w:line="520" w:lineRule="exact"/>
        <w:rPr>
          <w:rFonts w:hint="eastAsia" w:ascii="微软雅黑" w:hAnsi="微软雅黑" w:eastAsia="微软雅黑" w:cs="微软雅黑"/>
          <w:color w:val="auto"/>
          <w:sz w:val="44"/>
          <w:szCs w:val="44"/>
          <w:highlight w:val="none"/>
        </w:rPr>
      </w:pPr>
      <w:r>
        <w:rPr>
          <w:rFonts w:hint="eastAsia" w:ascii="微软雅黑" w:hAnsi="微软雅黑" w:eastAsia="微软雅黑" w:cs="微软雅黑"/>
          <w:color w:val="auto"/>
          <w:sz w:val="44"/>
          <w:szCs w:val="44"/>
          <w:highlight w:val="none"/>
        </w:rPr>
        <w:br w:type="page"/>
      </w:r>
      <w:r>
        <w:rPr>
          <w:rFonts w:hint="eastAsia" w:ascii="微软雅黑" w:hAnsi="微软雅黑" w:eastAsia="微软雅黑" w:cs="微软雅黑"/>
          <w:color w:val="auto"/>
          <w:sz w:val="44"/>
          <w:szCs w:val="44"/>
          <w:highlight w:val="none"/>
        </w:rPr>
        <w:t xml:space="preserve">  </w:t>
      </w:r>
      <w:r>
        <w:rPr>
          <w:rFonts w:hint="eastAsia" w:ascii="仿宋" w:hAnsi="仿宋" w:eastAsia="仿宋" w:cs="仿宋_GB2312"/>
          <w:b/>
          <w:color w:val="auto"/>
          <w:sz w:val="30"/>
          <w:szCs w:val="30"/>
          <w:highlight w:val="none"/>
        </w:rPr>
        <w:t>一、无串通竞标行为的承诺函</w:t>
      </w:r>
    </w:p>
    <w:p>
      <w:pPr>
        <w:spacing w:line="520" w:lineRule="exact"/>
        <w:jc w:val="center"/>
        <w:rPr>
          <w:rFonts w:hint="eastAsia" w:ascii="微软雅黑" w:hAnsi="微软雅黑" w:eastAsia="微软雅黑" w:cs="微软雅黑"/>
          <w:color w:val="auto"/>
          <w:sz w:val="44"/>
          <w:szCs w:val="44"/>
          <w:highlight w:val="none"/>
        </w:rPr>
      </w:pPr>
    </w:p>
    <w:p>
      <w:pPr>
        <w:spacing w:line="52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无串通竞标行为的承诺函</w:t>
      </w:r>
    </w:p>
    <w:p>
      <w:pPr>
        <w:spacing w:line="520" w:lineRule="exact"/>
        <w:ind w:firstLine="640" w:firstLineChars="200"/>
        <w:rPr>
          <w:rFonts w:hint="eastAsia" w:ascii="仿宋_GB2312" w:hAnsi="仿宋_GB2312" w:eastAsia="仿宋_GB2312" w:cs="仿宋_GB2312"/>
          <w:color w:val="auto"/>
          <w:sz w:val="32"/>
          <w:szCs w:val="32"/>
          <w:highlight w:val="none"/>
        </w:rPr>
      </w:pPr>
    </w:p>
    <w:p>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同供应商的响应文件异常一致或者响应报价呈规律性差异；</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保证金从同一单位或者个人账户转出。</w:t>
      </w:r>
    </w:p>
    <w:p>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5.供应商之间事先约定一致抬高或者压低响应报价，或者在竞争性</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项目中事先约定轮流以高价位或者低价位成交，或者事先约定由某一特定供应商成交，然后再参加竞标；</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pPr>
        <w:spacing w:line="360" w:lineRule="auto"/>
        <w:ind w:firstLine="480" w:firstLineChars="200"/>
        <w:contextualSpacing/>
        <w:rPr>
          <w:rFonts w:hint="eastAsia" w:ascii="宋体" w:hAnsi="宋体" w:cs="仿宋_GB2312"/>
          <w:color w:val="auto"/>
          <w:sz w:val="24"/>
          <w:highlight w:val="none"/>
        </w:rPr>
      </w:pPr>
    </w:p>
    <w:p>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520" w:lineRule="exact"/>
        <w:ind w:left="239" w:leftChars="114" w:firstLine="6120" w:firstLineChars="2550"/>
        <w:jc w:val="left"/>
        <w:rPr>
          <w:rFonts w:hint="eastAsia" w:ascii="仿宋_GB2312" w:hAnsi="仿宋" w:eastAsia="仿宋_GB2312" w:cs="仿宋_GB2312"/>
          <w:color w:val="auto"/>
          <w:kern w:val="0"/>
          <w:sz w:val="24"/>
          <w:highlight w:val="none"/>
          <w:lang w:val="zh-CN"/>
        </w:rPr>
      </w:pPr>
      <w:r>
        <w:rPr>
          <w:rFonts w:hint="eastAsia" w:ascii="宋体" w:hAnsi="宋体" w:eastAsia="宋体" w:cs="宋体"/>
          <w:color w:val="auto"/>
          <w:kern w:val="0"/>
          <w:sz w:val="24"/>
          <w:highlight w:val="none"/>
          <w:lang w:val="zh-CN"/>
        </w:rPr>
        <w:t xml:space="preserve">日期：  年  月   日   </w:t>
      </w:r>
    </w:p>
    <w:p>
      <w:pPr>
        <w:spacing w:line="520" w:lineRule="exact"/>
        <w:ind w:left="239" w:leftChars="114" w:firstLine="6120" w:firstLineChars="2550"/>
        <w:jc w:val="left"/>
        <w:rPr>
          <w:rFonts w:hint="eastAsia" w:ascii="仿宋_GB2312" w:hAnsi="仿宋" w:eastAsia="仿宋_GB2312" w:cs="仿宋_GB2312"/>
          <w:color w:val="auto"/>
          <w:kern w:val="0"/>
          <w:sz w:val="24"/>
          <w:highlight w:val="none"/>
          <w:lang w:val="zh-CN"/>
        </w:rPr>
      </w:pPr>
    </w:p>
    <w:p>
      <w:pPr>
        <w:spacing w:line="520" w:lineRule="exact"/>
        <w:jc w:val="both"/>
        <w:rPr>
          <w:rFonts w:hint="eastAsia" w:ascii="微软雅黑" w:hAnsi="微软雅黑" w:eastAsia="微软雅黑" w:cs="微软雅黑"/>
          <w:bCs/>
          <w:color w:val="auto"/>
          <w:sz w:val="44"/>
          <w:szCs w:val="44"/>
          <w:highlight w:val="none"/>
        </w:rPr>
      </w:pPr>
      <w:r>
        <w:rPr>
          <w:rFonts w:hint="eastAsia" w:ascii="仿宋" w:hAnsi="仿宋" w:eastAsia="仿宋" w:cs="仿宋_GB2312"/>
          <w:b/>
          <w:color w:val="auto"/>
          <w:sz w:val="30"/>
          <w:szCs w:val="30"/>
          <w:highlight w:val="none"/>
        </w:rPr>
        <w:t>二、法定代表人身份证明书及法定代表人有效身份证正反面复印件</w:t>
      </w:r>
    </w:p>
    <w:p>
      <w:pPr>
        <w:spacing w:line="520" w:lineRule="exact"/>
        <w:jc w:val="center"/>
        <w:rPr>
          <w:rFonts w:hint="eastAsia" w:ascii="微软雅黑" w:hAnsi="微软雅黑" w:eastAsia="微软雅黑" w:cs="微软雅黑"/>
          <w:bCs/>
          <w:color w:val="auto"/>
          <w:sz w:val="44"/>
          <w:szCs w:val="44"/>
          <w:highlight w:val="none"/>
        </w:rPr>
      </w:pPr>
    </w:p>
    <w:p>
      <w:pPr>
        <w:spacing w:line="5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法定代表人证明书</w:t>
      </w:r>
    </w:p>
    <w:p>
      <w:pPr>
        <w:spacing w:line="360" w:lineRule="auto"/>
        <w:ind w:left="540"/>
        <w:contextualSpacing/>
        <w:rPr>
          <w:rFonts w:hint="eastAsia" w:ascii="仿宋_GB2312" w:hAnsi="仿宋_GB2312" w:eastAsia="仿宋_GB2312" w:cs="仿宋_GB2312"/>
          <w:color w:val="auto"/>
          <w:sz w:val="32"/>
          <w:szCs w:val="32"/>
          <w:highlight w:val="none"/>
        </w:rPr>
      </w:pPr>
    </w:p>
    <w:p>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pPr>
        <w:spacing w:line="360" w:lineRule="auto"/>
        <w:ind w:left="540"/>
        <w:contextualSpacing/>
        <w:rPr>
          <w:rFonts w:hint="eastAsia" w:ascii="宋体" w:hAnsi="宋体" w:cs="仿宋_GB2312"/>
          <w:color w:val="auto"/>
          <w:sz w:val="24"/>
          <w:highlight w:val="none"/>
        </w:rPr>
      </w:pPr>
    </w:p>
    <w:p>
      <w:pPr>
        <w:spacing w:line="360" w:lineRule="auto"/>
        <w:ind w:left="540"/>
        <w:contextualSpacing/>
        <w:rPr>
          <w:rFonts w:hint="eastAsia" w:ascii="宋体" w:hAnsi="宋体" w:cs="仿宋_GB2312"/>
          <w:color w:val="auto"/>
          <w:sz w:val="24"/>
          <w:highlight w:val="none"/>
        </w:rPr>
      </w:pPr>
    </w:p>
    <w:p>
      <w:pPr>
        <w:spacing w:line="360" w:lineRule="auto"/>
        <w:ind w:left="540"/>
        <w:contextualSpacing/>
        <w:rPr>
          <w:rFonts w:hint="eastAsia" w:ascii="宋体" w:hAnsi="宋体" w:cs="仿宋_GB2312"/>
          <w:color w:val="auto"/>
          <w:sz w:val="24"/>
          <w:highlight w:val="none"/>
        </w:rPr>
      </w:pPr>
    </w:p>
    <w:p>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pPr>
        <w:spacing w:line="360" w:lineRule="auto"/>
        <w:ind w:left="540"/>
        <w:contextualSpacing/>
        <w:rPr>
          <w:rFonts w:hint="eastAsia" w:ascii="宋体" w:hAnsi="宋体" w:cs="仿宋_GB2312"/>
          <w:color w:val="auto"/>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cs="仿宋_GB2312"/>
          <w:b/>
          <w:color w:val="auto"/>
          <w:sz w:val="24"/>
          <w:highlight w:val="none"/>
        </w:rPr>
      </w:pPr>
      <w:r>
        <w:rPr>
          <w:rFonts w:hint="eastAsia" w:ascii="宋体" w:hAnsi="宋体" w:eastAsia="宋体" w:cs="宋体"/>
          <w:color w:val="auto"/>
          <w:kern w:val="0"/>
          <w:sz w:val="24"/>
          <w:highlight w:val="none"/>
          <w:lang w:val="zh-CN"/>
        </w:rPr>
        <w:t xml:space="preserve">                                                   日期：  年  月   日</w:t>
      </w:r>
    </w:p>
    <w:p>
      <w:pPr>
        <w:spacing w:line="360" w:lineRule="auto"/>
        <w:contextualSpacing/>
        <w:jc w:val="left"/>
        <w:rPr>
          <w:rFonts w:hint="eastAsia" w:ascii="宋体" w:hAnsi="宋体" w:cs="仿宋_GB2312"/>
          <w:color w:val="auto"/>
          <w:sz w:val="24"/>
          <w:highlight w:val="none"/>
        </w:rPr>
      </w:pPr>
    </w:p>
    <w:p>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注：1</w:t>
      </w:r>
      <w:r>
        <w:rPr>
          <w:rFonts w:ascii="宋体" w:hAnsi="宋体" w:cs="仿宋_GB2312"/>
          <w:color w:val="auto"/>
          <w:sz w:val="24"/>
          <w:highlight w:val="none"/>
        </w:rPr>
        <w:t>.</w:t>
      </w:r>
      <w:r>
        <w:rPr>
          <w:rFonts w:hint="eastAsia" w:ascii="宋体" w:hAnsi="宋体" w:cs="仿宋_GB2312"/>
          <w:color w:val="auto"/>
          <w:sz w:val="24"/>
          <w:highlight w:val="none"/>
        </w:rPr>
        <w:t>自然人竞标的无需提供，联合体竞标的只需牵头人出具。</w:t>
      </w:r>
    </w:p>
    <w:p>
      <w:pPr>
        <w:spacing w:line="360" w:lineRule="auto"/>
        <w:ind w:firstLine="480" w:firstLine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2</w:t>
      </w:r>
      <w:r>
        <w:rPr>
          <w:rFonts w:ascii="宋体" w:hAnsi="宋体" w:cs="仿宋_GB2312"/>
          <w:color w:val="auto"/>
          <w:sz w:val="24"/>
          <w:highlight w:val="none"/>
        </w:rPr>
        <w:t>.</w:t>
      </w:r>
      <w:r>
        <w:rPr>
          <w:rFonts w:hint="eastAsia" w:ascii="宋体" w:hAnsi="宋体" w:cs="仿宋_GB2312"/>
          <w:color w:val="auto"/>
          <w:sz w:val="24"/>
          <w:highlight w:val="none"/>
        </w:rPr>
        <w:t>供应商为其他组织或者自然人时，本</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文件规定的法定代表人指负责人或者自然人。本</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文件所称负责人是指参加竞标的其他组织营业执照上的负责人，本</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文件所称自然人指参与竞标的自然人本人。</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tbl>
      <w:tblPr>
        <w:tblStyle w:val="32"/>
        <w:tblW w:w="8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254" w:type="dxa"/>
          </w:tcPr>
          <w:p>
            <w:pPr>
              <w:spacing w:line="360" w:lineRule="auto"/>
              <w:rPr>
                <w:rFonts w:ascii="宋体"/>
                <w:b/>
                <w:color w:val="auto"/>
                <w:sz w:val="24"/>
                <w:highlight w:val="none"/>
              </w:rPr>
            </w:pPr>
          </w:p>
          <w:p>
            <w:pPr>
              <w:spacing w:line="360" w:lineRule="auto"/>
              <w:rPr>
                <w:rFonts w:ascii="宋体"/>
                <w:b/>
                <w:color w:val="auto"/>
                <w:sz w:val="24"/>
                <w:highlight w:val="none"/>
              </w:rPr>
            </w:pPr>
            <w:r>
              <w:rPr>
                <w:rFonts w:hint="eastAsia" w:ascii="宋体"/>
                <w:b/>
                <w:color w:val="auto"/>
                <w:sz w:val="24"/>
                <w:highlight w:val="none"/>
              </w:rPr>
              <w:t>法定代表身份证复印件粘帖处（正、反面）</w:t>
            </w:r>
          </w:p>
        </w:tc>
      </w:tr>
    </w:tbl>
    <w:p>
      <w:pPr>
        <w:spacing w:line="360" w:lineRule="auto"/>
        <w:contextualSpacing/>
        <w:jc w:val="left"/>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color w:val="auto"/>
          <w:sz w:val="44"/>
          <w:szCs w:val="44"/>
          <w:highlight w:val="none"/>
        </w:rPr>
        <w:br w:type="page"/>
      </w:r>
      <w:r>
        <w:rPr>
          <w:rFonts w:hint="eastAsia" w:ascii="仿宋" w:hAnsi="仿宋" w:eastAsia="仿宋" w:cs="仿宋_GB2312"/>
          <w:b/>
          <w:color w:val="auto"/>
          <w:sz w:val="30"/>
          <w:szCs w:val="30"/>
          <w:highlight w:val="none"/>
        </w:rPr>
        <w:t>三、法定代表人授权委托书及委托代理人有效身份证正反面复印件</w:t>
      </w:r>
    </w:p>
    <w:p>
      <w:pPr>
        <w:spacing w:line="500" w:lineRule="exact"/>
        <w:jc w:val="center"/>
        <w:rPr>
          <w:rFonts w:hint="eastAsia" w:ascii="微软雅黑" w:hAnsi="微软雅黑" w:eastAsia="微软雅黑" w:cs="微软雅黑"/>
          <w:color w:val="auto"/>
          <w:sz w:val="44"/>
          <w:szCs w:val="44"/>
          <w:highlight w:val="none"/>
        </w:rPr>
      </w:pPr>
    </w:p>
    <w:p>
      <w:pPr>
        <w:spacing w:line="5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授权委托书</w:t>
      </w:r>
    </w:p>
    <w:p>
      <w:pPr>
        <w:spacing w:line="5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（如有委托时）</w:t>
      </w:r>
    </w:p>
    <w:p>
      <w:pPr>
        <w:spacing w:line="520" w:lineRule="exact"/>
        <w:rPr>
          <w:rFonts w:hint="eastAsia" w:ascii="仿宋_GB2312" w:hAnsi="仿宋_GB2312" w:eastAsia="仿宋_GB2312" w:cs="仿宋_GB2312"/>
          <w:color w:val="auto"/>
          <w:sz w:val="32"/>
          <w:szCs w:val="32"/>
          <w:highlight w:val="none"/>
        </w:rPr>
      </w:pP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lang w:eastAsia="zh-CN"/>
        </w:rPr>
        <w:t>广西同泽工程项目管理股份有限公司</w:t>
      </w:r>
      <w:r>
        <w:rPr>
          <w:rFonts w:hint="eastAsia" w:ascii="宋体" w:hAnsi="宋体" w:cs="仿宋_GB2312"/>
          <w:color w:val="auto"/>
          <w:sz w:val="24"/>
          <w:highlight w:val="none"/>
        </w:rPr>
        <w:t>：</w:t>
      </w:r>
    </w:p>
    <w:p>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项目名称：                                   </w:t>
      </w:r>
      <w:r>
        <w:rPr>
          <w:rFonts w:hint="eastAsia" w:ascii="宋体" w:hAnsi="宋体" w:cs="仿宋_GB2312"/>
          <w:color w:val="auto"/>
          <w:sz w:val="24"/>
          <w:highlight w:val="none"/>
        </w:rPr>
        <w:t>项目的竞标活动，并代表我方全权办理针对上述项目的所有采购程序和环节的具体事务和签署相关文件。</w:t>
      </w: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pPr>
        <w:spacing w:line="360" w:lineRule="auto"/>
        <w:rPr>
          <w:rFonts w:hint="eastAsia" w:ascii="宋体" w:hAnsi="宋体" w:cs="仿宋_GB2312"/>
          <w:color w:val="auto"/>
          <w:sz w:val="24"/>
          <w:highlight w:val="none"/>
        </w:rPr>
      </w:pP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委托代理人（签字）：         法定代表人（签字或盖章）：                    </w:t>
      </w: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w:t>
      </w:r>
    </w:p>
    <w:p>
      <w:pPr>
        <w:spacing w:line="360" w:lineRule="auto"/>
        <w:rPr>
          <w:rFonts w:hint="eastAsia" w:ascii="宋体" w:hAnsi="宋体" w:eastAsia="宋体" w:cs="宋体"/>
          <w:color w:val="auto"/>
          <w:sz w:val="24"/>
          <w:highlight w:val="none"/>
        </w:rPr>
      </w:pPr>
      <w:r>
        <w:rPr>
          <w:rFonts w:hint="eastAsia" w:ascii="宋体" w:hAnsi="宋体" w:cs="仿宋_GB2312"/>
          <w:color w:val="auto"/>
          <w:sz w:val="24"/>
          <w:highlight w:val="non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cs="仿宋_GB2312"/>
          <w:color w:val="auto"/>
          <w:sz w:val="24"/>
          <w:highlight w:val="none"/>
        </w:rPr>
      </w:pPr>
      <w:r>
        <w:rPr>
          <w:rFonts w:hint="eastAsia" w:ascii="宋体" w:hAnsi="宋体" w:eastAsia="宋体" w:cs="宋体"/>
          <w:color w:val="auto"/>
          <w:kern w:val="0"/>
          <w:sz w:val="24"/>
          <w:highlight w:val="none"/>
          <w:lang w:val="zh-CN"/>
        </w:rPr>
        <w:t xml:space="preserve">                                                   日期：  年  月   日</w:t>
      </w:r>
    </w:p>
    <w:p>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法定代表人必须在授权委托书上亲笔签字或盖章，委托代理人必须在授权委托书上亲笔签字，</w:t>
      </w:r>
      <w:r>
        <w:rPr>
          <w:rFonts w:hint="eastAsia" w:ascii="宋体" w:hAnsi="宋体" w:cs="仿宋_GB2312"/>
          <w:b/>
          <w:color w:val="auto"/>
          <w:sz w:val="24"/>
          <w:highlight w:val="none"/>
        </w:rPr>
        <w:t>否则其响应文件按无效响应处理。</w:t>
      </w:r>
    </w:p>
    <w:p>
      <w:pPr>
        <w:spacing w:line="360" w:lineRule="auto"/>
        <w:ind w:firstLine="480" w:firstLineChars="200"/>
        <w:jc w:val="left"/>
        <w:rPr>
          <w:rFonts w:hint="eastAsia" w:ascii="宋体" w:hAnsi="宋体" w:cs="仿宋_GB2312"/>
          <w:color w:val="auto"/>
          <w:sz w:val="24"/>
          <w:highlight w:val="none"/>
        </w:rPr>
      </w:pPr>
      <w:r>
        <w:rPr>
          <w:rFonts w:ascii="宋体" w:hAnsi="宋体" w:cs="仿宋_GB2312"/>
          <w:color w:val="auto"/>
          <w:sz w:val="24"/>
          <w:highlight w:val="none"/>
        </w:rPr>
        <w:t>2.</w:t>
      </w:r>
      <w:r>
        <w:rPr>
          <w:rFonts w:hint="eastAsia" w:ascii="宋体" w:hAnsi="宋体" w:cs="仿宋_GB2312"/>
          <w:color w:val="auto"/>
          <w:sz w:val="24"/>
          <w:highlight w:val="none"/>
        </w:rPr>
        <w:t>供应商为其他组织或者自然人时，本</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文件规定的法定代表人指负责人或者自然人。本</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文件所称负责人是指参加竞标的其他组织营业执照上的负责人，本</w:t>
      </w:r>
      <w:r>
        <w:rPr>
          <w:rFonts w:hint="eastAsia" w:ascii="宋体" w:hAnsi="宋体" w:cs="仿宋_GB2312"/>
          <w:color w:val="auto"/>
          <w:sz w:val="24"/>
          <w:highlight w:val="none"/>
          <w:lang w:val="en-US" w:eastAsia="zh-CN"/>
        </w:rPr>
        <w:t>谈判</w:t>
      </w:r>
      <w:r>
        <w:rPr>
          <w:rFonts w:hint="eastAsia" w:ascii="宋体" w:hAnsi="宋体" w:cs="仿宋_GB2312"/>
          <w:color w:val="auto"/>
          <w:sz w:val="24"/>
          <w:highlight w:val="none"/>
        </w:rPr>
        <w:t>文件所称自然人指参与竞标的自然人本人。</w:t>
      </w:r>
    </w:p>
    <w:p>
      <w:pPr>
        <w:spacing w:line="360" w:lineRule="auto"/>
        <w:ind w:firstLine="480" w:firstLineChars="200"/>
        <w:jc w:val="left"/>
        <w:rPr>
          <w:rFonts w:hint="eastAsia" w:ascii="仿宋" w:hAnsi="仿宋" w:eastAsia="仿宋" w:cs="仿宋_GB2312"/>
          <w:b/>
          <w:color w:val="auto"/>
          <w:sz w:val="30"/>
          <w:szCs w:val="30"/>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 xml:space="preserve"> 法人、其他组织竞标时“我方”是指“我单位”，自然人竞标时“我方”是指“本人”。</w:t>
      </w:r>
      <w:r>
        <w:rPr>
          <w:rFonts w:ascii="仿宋_GB2312" w:hAnsi="仿宋_GB2312" w:eastAsia="仿宋_GB2312" w:cs="仿宋_GB2312"/>
          <w:color w:val="auto"/>
          <w:szCs w:val="21"/>
          <w:highlight w:val="none"/>
        </w:rPr>
        <w:br w:type="page"/>
      </w:r>
      <w:r>
        <w:rPr>
          <w:rFonts w:hint="eastAsia" w:ascii="仿宋_GB2312" w:hAnsi="仿宋_GB2312" w:eastAsia="仿宋_GB2312" w:cs="仿宋_GB2312"/>
          <w:color w:val="auto"/>
          <w:sz w:val="32"/>
          <w:szCs w:val="32"/>
          <w:highlight w:val="none"/>
        </w:rPr>
        <w:t xml:space="preserve">   </w:t>
      </w:r>
      <w:r>
        <w:rPr>
          <w:rFonts w:hint="eastAsia" w:ascii="仿宋" w:hAnsi="仿宋" w:eastAsia="仿宋" w:cs="仿宋_GB2312"/>
          <w:b/>
          <w:color w:val="auto"/>
          <w:sz w:val="30"/>
          <w:szCs w:val="30"/>
          <w:highlight w:val="none"/>
        </w:rPr>
        <w:t>四、商务条款偏离表</w:t>
      </w:r>
    </w:p>
    <w:p>
      <w:pPr>
        <w:spacing w:line="520" w:lineRule="exact"/>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商务条款偏离表</w:t>
      </w:r>
    </w:p>
    <w:p>
      <w:pPr>
        <w:spacing w:line="520" w:lineRule="exact"/>
        <w:rPr>
          <w:rFonts w:hint="eastAsia" w:ascii="仿宋_GB2312" w:hAnsi="仿宋_GB2312" w:eastAsia="仿宋_GB2312" w:cs="仿宋_GB2312"/>
          <w:color w:val="auto"/>
          <w:sz w:val="32"/>
          <w:szCs w:val="32"/>
          <w:highlight w:val="none"/>
        </w:rPr>
      </w:pPr>
    </w:p>
    <w:p>
      <w:pPr>
        <w:spacing w:line="360" w:lineRule="auto"/>
        <w:rPr>
          <w:rFonts w:hint="default" w:ascii="宋体" w:hAnsi="宋体" w:cs="仿宋_GB2312" w:eastAsiaTheme="minorEastAsia"/>
          <w:color w:val="auto"/>
          <w:sz w:val="24"/>
          <w:highlight w:val="none"/>
          <w:lang w:val="en-US" w:eastAsia="zh-CN"/>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p>
    <w:p>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olor w:val="auto"/>
                <w:szCs w:val="21"/>
                <w:highlight w:val="none"/>
              </w:rPr>
            </w:pPr>
            <w:r>
              <w:rPr>
                <w:rFonts w:hint="eastAsia" w:ascii="宋体" w:hAnsi="宋体"/>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olor w:val="auto"/>
                <w:szCs w:val="21"/>
                <w:highlight w:val="none"/>
              </w:rPr>
            </w:pPr>
            <w:r>
              <w:rPr>
                <w:rFonts w:hint="eastAsia" w:ascii="宋体" w:hAnsi="宋体"/>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1  ……</w:t>
            </w:r>
          </w:p>
          <w:p>
            <w:pPr>
              <w:spacing w:line="340" w:lineRule="exact"/>
              <w:rPr>
                <w:rFonts w:hint="eastAsia" w:ascii="宋体" w:hAnsi="宋体"/>
                <w:color w:val="auto"/>
                <w:szCs w:val="21"/>
                <w:highlight w:val="none"/>
              </w:rPr>
            </w:pPr>
            <w:r>
              <w:rPr>
                <w:rFonts w:hint="eastAsia" w:ascii="宋体" w:hAnsi="宋体"/>
                <w:color w:val="auto"/>
                <w:szCs w:val="21"/>
                <w:highlight w:val="none"/>
              </w:rPr>
              <w:t>2  ……</w:t>
            </w:r>
          </w:p>
          <w:p>
            <w:pPr>
              <w:spacing w:line="340" w:lineRule="exact"/>
              <w:rPr>
                <w:rFonts w:hint="eastAsia" w:ascii="宋体" w:hAnsi="宋体"/>
                <w:color w:val="auto"/>
                <w:szCs w:val="21"/>
                <w:highlight w:val="none"/>
              </w:rPr>
            </w:pPr>
            <w:r>
              <w:rPr>
                <w:rFonts w:hint="eastAsia" w:ascii="宋体" w:hAnsi="宋体"/>
                <w:color w:val="auto"/>
                <w:szCs w:val="21"/>
                <w:highlight w:val="none"/>
              </w:rPr>
              <w:t>3  ……</w:t>
            </w:r>
          </w:p>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1  ……</w:t>
            </w:r>
          </w:p>
          <w:p>
            <w:pPr>
              <w:spacing w:line="340" w:lineRule="exact"/>
              <w:rPr>
                <w:rFonts w:hint="eastAsia" w:ascii="宋体" w:hAnsi="宋体"/>
                <w:color w:val="auto"/>
                <w:szCs w:val="21"/>
                <w:highlight w:val="none"/>
              </w:rPr>
            </w:pPr>
            <w:r>
              <w:rPr>
                <w:rFonts w:hint="eastAsia" w:ascii="宋体" w:hAnsi="宋体"/>
                <w:color w:val="auto"/>
                <w:szCs w:val="21"/>
                <w:highlight w:val="none"/>
              </w:rPr>
              <w:t>2  ……</w:t>
            </w:r>
          </w:p>
          <w:p>
            <w:pPr>
              <w:spacing w:line="340" w:lineRule="exact"/>
              <w:rPr>
                <w:rFonts w:hint="eastAsia" w:ascii="宋体" w:hAnsi="宋体"/>
                <w:color w:val="auto"/>
                <w:szCs w:val="21"/>
                <w:highlight w:val="none"/>
              </w:rPr>
            </w:pPr>
            <w:r>
              <w:rPr>
                <w:rFonts w:hint="eastAsia" w:ascii="宋体" w:hAnsi="宋体"/>
                <w:color w:val="auto"/>
                <w:szCs w:val="21"/>
                <w:highlight w:val="none"/>
              </w:rPr>
              <w:t>3  ……</w:t>
            </w:r>
          </w:p>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1  ……</w:t>
            </w:r>
          </w:p>
          <w:p>
            <w:pPr>
              <w:spacing w:line="340" w:lineRule="exact"/>
              <w:rPr>
                <w:rFonts w:hint="eastAsia" w:ascii="宋体" w:hAnsi="宋体"/>
                <w:color w:val="auto"/>
                <w:szCs w:val="21"/>
                <w:highlight w:val="none"/>
              </w:rPr>
            </w:pPr>
            <w:r>
              <w:rPr>
                <w:rFonts w:hint="eastAsia" w:ascii="宋体" w:hAnsi="宋体"/>
                <w:color w:val="auto"/>
                <w:szCs w:val="21"/>
                <w:highlight w:val="none"/>
              </w:rPr>
              <w:t>2  ……</w:t>
            </w:r>
          </w:p>
          <w:p>
            <w:pPr>
              <w:spacing w:line="340" w:lineRule="exact"/>
              <w:rPr>
                <w:rFonts w:hint="eastAsia" w:ascii="宋体" w:hAnsi="宋体"/>
                <w:color w:val="auto"/>
                <w:szCs w:val="21"/>
                <w:highlight w:val="none"/>
              </w:rPr>
            </w:pPr>
            <w:r>
              <w:rPr>
                <w:rFonts w:hint="eastAsia" w:ascii="宋体" w:hAnsi="宋体"/>
                <w:color w:val="auto"/>
                <w:szCs w:val="21"/>
                <w:highlight w:val="none"/>
              </w:rPr>
              <w:t>3  ……</w:t>
            </w:r>
          </w:p>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1  ……</w:t>
            </w:r>
          </w:p>
          <w:p>
            <w:pPr>
              <w:spacing w:line="340" w:lineRule="exact"/>
              <w:rPr>
                <w:rFonts w:hint="eastAsia" w:ascii="宋体" w:hAnsi="宋体"/>
                <w:color w:val="auto"/>
                <w:szCs w:val="21"/>
                <w:highlight w:val="none"/>
              </w:rPr>
            </w:pPr>
            <w:r>
              <w:rPr>
                <w:rFonts w:hint="eastAsia" w:ascii="宋体" w:hAnsi="宋体"/>
                <w:color w:val="auto"/>
                <w:szCs w:val="21"/>
                <w:highlight w:val="none"/>
              </w:rPr>
              <w:t>2  ……</w:t>
            </w:r>
          </w:p>
          <w:p>
            <w:pPr>
              <w:spacing w:line="340" w:lineRule="exact"/>
              <w:rPr>
                <w:rFonts w:hint="eastAsia" w:ascii="宋体" w:hAnsi="宋体"/>
                <w:color w:val="auto"/>
                <w:szCs w:val="21"/>
                <w:highlight w:val="none"/>
              </w:rPr>
            </w:pPr>
            <w:r>
              <w:rPr>
                <w:rFonts w:hint="eastAsia" w:ascii="宋体" w:hAnsi="宋体"/>
                <w:color w:val="auto"/>
                <w:szCs w:val="21"/>
                <w:highlight w:val="none"/>
              </w:rPr>
              <w:t>3  ……</w:t>
            </w:r>
          </w:p>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1  ……</w:t>
            </w:r>
          </w:p>
          <w:p>
            <w:pPr>
              <w:spacing w:line="340" w:lineRule="exact"/>
              <w:rPr>
                <w:rFonts w:hint="eastAsia" w:ascii="宋体" w:hAnsi="宋体"/>
                <w:color w:val="auto"/>
                <w:szCs w:val="21"/>
                <w:highlight w:val="none"/>
              </w:rPr>
            </w:pPr>
            <w:r>
              <w:rPr>
                <w:rFonts w:hint="eastAsia" w:ascii="宋体" w:hAnsi="宋体"/>
                <w:color w:val="auto"/>
                <w:szCs w:val="21"/>
                <w:highlight w:val="none"/>
              </w:rPr>
              <w:t>2  ……</w:t>
            </w:r>
          </w:p>
          <w:p>
            <w:pPr>
              <w:spacing w:line="340" w:lineRule="exact"/>
              <w:rPr>
                <w:rFonts w:hint="eastAsia" w:ascii="宋体" w:hAnsi="宋体"/>
                <w:color w:val="auto"/>
                <w:szCs w:val="21"/>
                <w:highlight w:val="none"/>
              </w:rPr>
            </w:pPr>
            <w:r>
              <w:rPr>
                <w:rFonts w:hint="eastAsia" w:ascii="宋体" w:hAnsi="宋体"/>
                <w:color w:val="auto"/>
                <w:szCs w:val="21"/>
                <w:highlight w:val="none"/>
              </w:rPr>
              <w:t>3  ……</w:t>
            </w:r>
          </w:p>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olor w:val="auto"/>
                <w:szCs w:val="21"/>
                <w:highlight w:val="none"/>
              </w:rPr>
            </w:pPr>
            <w:r>
              <w:rPr>
                <w:rFonts w:hint="eastAsia" w:ascii="宋体" w:hAnsi="宋体"/>
                <w:color w:val="auto"/>
                <w:szCs w:val="21"/>
                <w:highlight w:val="none"/>
              </w:rPr>
              <w:t>1  ……</w:t>
            </w:r>
          </w:p>
          <w:p>
            <w:pPr>
              <w:spacing w:line="340" w:lineRule="exact"/>
              <w:rPr>
                <w:rFonts w:hint="eastAsia" w:ascii="宋体" w:hAnsi="宋体"/>
                <w:color w:val="auto"/>
                <w:szCs w:val="21"/>
                <w:highlight w:val="none"/>
              </w:rPr>
            </w:pPr>
            <w:r>
              <w:rPr>
                <w:rFonts w:hint="eastAsia" w:ascii="宋体" w:hAnsi="宋体"/>
                <w:color w:val="auto"/>
                <w:szCs w:val="21"/>
                <w:highlight w:val="none"/>
              </w:rPr>
              <w:t>2  ……</w:t>
            </w:r>
          </w:p>
          <w:p>
            <w:pPr>
              <w:spacing w:line="340" w:lineRule="exact"/>
              <w:rPr>
                <w:rFonts w:hint="eastAsia" w:ascii="宋体" w:hAnsi="宋体"/>
                <w:color w:val="auto"/>
                <w:szCs w:val="21"/>
                <w:highlight w:val="none"/>
              </w:rPr>
            </w:pPr>
            <w:r>
              <w:rPr>
                <w:rFonts w:hint="eastAsia" w:ascii="宋体" w:hAnsi="宋体"/>
                <w:color w:val="auto"/>
                <w:szCs w:val="21"/>
                <w:highlight w:val="none"/>
              </w:rPr>
              <w:t>3  ……</w:t>
            </w:r>
          </w:p>
          <w:p>
            <w:pPr>
              <w:spacing w:line="340" w:lineRule="exact"/>
              <w:rPr>
                <w:rFonts w:hint="eastAsia"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olor w:val="auto"/>
                <w:szCs w:val="21"/>
                <w:highlight w:val="none"/>
              </w:rPr>
            </w:pPr>
          </w:p>
        </w:tc>
      </w:tr>
    </w:tbl>
    <w:p>
      <w:pPr>
        <w:pStyle w:val="14"/>
        <w:spacing w:line="400" w:lineRule="exact"/>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pPr>
        <w:pStyle w:val="14"/>
        <w:spacing w:line="400" w:lineRule="exact"/>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1.说明：应对照</w:t>
      </w:r>
      <w:r>
        <w:rPr>
          <w:rFonts w:hint="eastAsia" w:ascii="宋体" w:hAnsi="宋体" w:eastAsia="宋体" w:cs="仿宋_GB2312"/>
          <w:color w:val="auto"/>
          <w:sz w:val="24"/>
          <w:szCs w:val="24"/>
          <w:highlight w:val="none"/>
          <w:lang w:val="en-US" w:eastAsia="zh-CN"/>
        </w:rPr>
        <w:t>谈判</w:t>
      </w:r>
      <w:r>
        <w:rPr>
          <w:rFonts w:hint="eastAsia" w:ascii="宋体" w:hAnsi="宋体" w:eastAsia="宋体" w:cs="仿宋_GB2312"/>
          <w:color w:val="auto"/>
          <w:sz w:val="24"/>
          <w:szCs w:val="24"/>
          <w:highlight w:val="none"/>
        </w:rPr>
        <w:t>文件“第二章 采购需求”中的商务条款逐条作出明确响应，并作出偏离说明。</w:t>
      </w:r>
    </w:p>
    <w:p>
      <w:pPr>
        <w:pStyle w:val="14"/>
        <w:spacing w:line="400" w:lineRule="exact"/>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w:t>
      </w:r>
      <w:r>
        <w:rPr>
          <w:rFonts w:hint="eastAsia" w:ascii="宋体" w:hAnsi="宋体" w:eastAsia="宋体" w:cs="仿宋_GB2312"/>
          <w:color w:val="auto"/>
          <w:sz w:val="24"/>
          <w:szCs w:val="24"/>
          <w:highlight w:val="none"/>
          <w:lang w:val="en-US" w:eastAsia="zh-CN"/>
        </w:rPr>
        <w:t>谈判</w:t>
      </w:r>
      <w:r>
        <w:rPr>
          <w:rFonts w:hint="eastAsia" w:ascii="宋体" w:hAnsi="宋体" w:eastAsia="宋体" w:cs="仿宋_GB2312"/>
          <w:color w:val="auto"/>
          <w:sz w:val="24"/>
          <w:szCs w:val="24"/>
          <w:highlight w:val="none"/>
        </w:rPr>
        <w:t>文件要求，在“偏离说明”中注明“正偏离”、“负偏离”或者“无偏离”。既不属于“正偏离”也不属于“负偏离”即为“无偏离”。</w:t>
      </w:r>
      <w:r>
        <w:rPr>
          <w:rFonts w:hint="eastAsia" w:ascii="宋体" w:hAnsi="宋体" w:cs="仿宋_GB2312"/>
          <w:color w:val="auto"/>
          <w:sz w:val="24"/>
          <w:szCs w:val="24"/>
          <w:highlight w:val="none"/>
        </w:rPr>
        <w:t xml:space="preserve"> </w:t>
      </w:r>
      <w:r>
        <w:rPr>
          <w:rFonts w:hint="eastAsia" w:ascii="宋体" w:hAnsi="宋体" w:eastAsia="宋体" w:cs="仿宋_GB2312"/>
          <w:color w:val="auto"/>
          <w:sz w:val="24"/>
          <w:szCs w:val="24"/>
          <w:highlight w:val="none"/>
        </w:rPr>
        <w:t>当响应文件的商务内容低于</w:t>
      </w:r>
      <w:r>
        <w:rPr>
          <w:rFonts w:hint="eastAsia" w:ascii="宋体" w:hAnsi="宋体" w:eastAsia="宋体" w:cs="仿宋_GB2312"/>
          <w:color w:val="auto"/>
          <w:sz w:val="24"/>
          <w:szCs w:val="24"/>
          <w:highlight w:val="none"/>
          <w:lang w:val="en-US" w:eastAsia="zh-CN"/>
        </w:rPr>
        <w:t>谈判</w:t>
      </w:r>
      <w:r>
        <w:rPr>
          <w:rFonts w:hint="eastAsia" w:ascii="宋体" w:hAnsi="宋体" w:eastAsia="宋体" w:cs="仿宋_GB2312"/>
          <w:color w:val="auto"/>
          <w:sz w:val="24"/>
          <w:szCs w:val="24"/>
          <w:highlight w:val="none"/>
        </w:rPr>
        <w:t>文件要求时，竞标人应当如实写明“负偏离”，否则视为虚假应标。</w:t>
      </w:r>
    </w:p>
    <w:p>
      <w:pPr>
        <w:spacing w:line="400" w:lineRule="exact"/>
        <w:rPr>
          <w:rFonts w:hint="eastAsia" w:ascii="宋体" w:hAnsi="宋体" w:cs="仿宋_GB2312"/>
          <w:color w:val="auto"/>
          <w:kern w:val="0"/>
          <w:sz w:val="24"/>
          <w:highlight w:val="none"/>
        </w:rPr>
      </w:pPr>
      <w:r>
        <w:rPr>
          <w:rFonts w:hint="eastAsia" w:ascii="宋体" w:hAnsi="宋体" w:cs="仿宋_GB2312"/>
          <w:color w:val="auto"/>
          <w:kern w:val="0"/>
          <w:sz w:val="24"/>
          <w:highlight w:val="none"/>
        </w:rPr>
        <w:t>3</w:t>
      </w:r>
      <w:r>
        <w:rPr>
          <w:rFonts w:ascii="宋体" w:hAnsi="宋体" w:cs="仿宋_GB2312"/>
          <w:color w:val="auto"/>
          <w:kern w:val="0"/>
          <w:sz w:val="24"/>
          <w:highlight w:val="none"/>
        </w:rPr>
        <w:t>.</w:t>
      </w:r>
      <w:r>
        <w:rPr>
          <w:rFonts w:hint="eastAsia" w:ascii="宋体" w:hAnsi="宋体" w:cs="仿宋_GB2312"/>
          <w:color w:val="auto"/>
          <w:kern w:val="0"/>
          <w:sz w:val="24"/>
          <w:highlight w:val="none"/>
        </w:rPr>
        <w:t>表格内容均需按要求填写，不得留空，否则按竞标无效处理。</w:t>
      </w:r>
    </w:p>
    <w:p>
      <w:pPr>
        <w:spacing w:line="360" w:lineRule="auto"/>
        <w:ind w:firstLine="3840" w:firstLineChars="1600"/>
        <w:rPr>
          <w:rFonts w:hint="eastAsia" w:ascii="宋体" w:hAnsi="宋体" w:eastAsia="宋体" w:cs="宋体"/>
          <w:color w:val="auto"/>
          <w:kern w:val="0"/>
          <w:sz w:val="24"/>
          <w:highlight w:val="none"/>
        </w:rPr>
      </w:pPr>
    </w:p>
    <w:p>
      <w:pPr>
        <w:spacing w:line="360" w:lineRule="auto"/>
        <w:ind w:firstLine="3840" w:firstLineChars="16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pPr>
        <w:pStyle w:val="13"/>
        <w:rPr>
          <w:rFonts w:hint="eastAsia"/>
          <w:color w:val="auto"/>
          <w:highlight w:val="none"/>
        </w:rPr>
      </w:pPr>
    </w:p>
    <w:p>
      <w:pPr>
        <w:rPr>
          <w:rFonts w:hint="eastAsia" w:ascii="宋体" w:hAnsi="宋体" w:eastAsia="宋体" w:cs="宋体"/>
          <w:b/>
          <w:bCs w:val="0"/>
          <w:color w:val="auto"/>
          <w:sz w:val="30"/>
          <w:szCs w:val="30"/>
          <w:highlight w:val="none"/>
          <w:lang w:val="en-US" w:eastAsia="zh-CN"/>
        </w:rPr>
      </w:pPr>
      <w:r>
        <w:rPr>
          <w:rFonts w:hint="eastAsia" w:ascii="宋体" w:hAnsi="宋体" w:eastAsia="宋体" w:cs="宋体"/>
          <w:b/>
          <w:bCs w:val="0"/>
          <w:color w:val="auto"/>
          <w:sz w:val="30"/>
          <w:szCs w:val="30"/>
          <w:highlight w:val="none"/>
          <w:lang w:val="en-US" w:eastAsia="zh-CN"/>
        </w:rPr>
        <w:br w:type="page"/>
      </w:r>
    </w:p>
    <w:p>
      <w:pPr>
        <w:adjustRightInd w:val="0"/>
        <w:snapToGrid w:val="0"/>
        <w:spacing w:line="520" w:lineRule="exact"/>
        <w:jc w:val="both"/>
        <w:rPr>
          <w:rFonts w:hint="default" w:ascii="微软雅黑" w:hAnsi="微软雅黑" w:eastAsia="微软雅黑" w:cs="微软雅黑"/>
          <w:bCs/>
          <w:color w:val="auto"/>
          <w:sz w:val="44"/>
          <w:szCs w:val="44"/>
          <w:highlight w:val="none"/>
          <w:lang w:val="en-US" w:eastAsia="zh-CN"/>
        </w:rPr>
      </w:pPr>
      <w:r>
        <w:rPr>
          <w:rFonts w:hint="eastAsia" w:ascii="宋体" w:hAnsi="宋体" w:eastAsia="宋体" w:cs="宋体"/>
          <w:b/>
          <w:bCs w:val="0"/>
          <w:color w:val="auto"/>
          <w:sz w:val="30"/>
          <w:szCs w:val="30"/>
          <w:highlight w:val="none"/>
          <w:lang w:val="en-US" w:eastAsia="zh-CN"/>
        </w:rPr>
        <w:t>五、</w:t>
      </w:r>
      <w:r>
        <w:rPr>
          <w:rFonts w:hint="eastAsia" w:ascii="宋体" w:hAnsi="宋体" w:cs="宋体"/>
          <w:b/>
          <w:bCs w:val="0"/>
          <w:color w:val="auto"/>
          <w:sz w:val="30"/>
          <w:szCs w:val="30"/>
          <w:highlight w:val="none"/>
          <w:lang w:val="en-US" w:eastAsia="zh-CN"/>
        </w:rPr>
        <w:t>货物</w:t>
      </w:r>
      <w:r>
        <w:rPr>
          <w:rFonts w:hint="eastAsia" w:ascii="宋体" w:hAnsi="宋体" w:eastAsia="宋体" w:cs="宋体"/>
          <w:b/>
          <w:bCs w:val="0"/>
          <w:color w:val="auto"/>
          <w:sz w:val="30"/>
          <w:szCs w:val="30"/>
          <w:highlight w:val="none"/>
          <w:lang w:val="en-US" w:eastAsia="zh-CN"/>
        </w:rPr>
        <w:t>配置清单（格式）</w:t>
      </w:r>
    </w:p>
    <w:p>
      <w:pPr>
        <w:adjustRightInd w:val="0"/>
        <w:snapToGrid w:val="0"/>
        <w:spacing w:line="520" w:lineRule="exact"/>
        <w:jc w:val="center"/>
        <w:rPr>
          <w:rFonts w:ascii="微软雅黑" w:hAnsi="微软雅黑" w:eastAsia="微软雅黑" w:cs="微软雅黑"/>
          <w:bCs/>
          <w:color w:val="auto"/>
          <w:sz w:val="44"/>
          <w:szCs w:val="44"/>
          <w:highlight w:val="none"/>
        </w:rPr>
      </w:pPr>
    </w:p>
    <w:p>
      <w:pPr>
        <w:adjustRightInd w:val="0"/>
        <w:snapToGrid w:val="0"/>
        <w:spacing w:line="520" w:lineRule="exact"/>
        <w:jc w:val="center"/>
        <w:rPr>
          <w:rFonts w:hint="eastAsia" w:ascii="宋体" w:hAnsi="宋体" w:eastAsia="宋体" w:cs="宋体"/>
          <w:b/>
          <w:bCs w:val="0"/>
          <w:color w:val="auto"/>
          <w:sz w:val="32"/>
          <w:szCs w:val="32"/>
          <w:highlight w:val="none"/>
        </w:rPr>
      </w:pPr>
      <w:r>
        <w:rPr>
          <w:rFonts w:hint="eastAsia" w:ascii="宋体" w:hAnsi="宋体" w:cs="宋体"/>
          <w:b/>
          <w:bCs w:val="0"/>
          <w:color w:val="auto"/>
          <w:sz w:val="44"/>
          <w:szCs w:val="44"/>
          <w:highlight w:val="none"/>
          <w:lang w:val="en-US" w:eastAsia="zh-CN"/>
        </w:rPr>
        <w:t>货物</w:t>
      </w:r>
      <w:r>
        <w:rPr>
          <w:rFonts w:hint="eastAsia" w:ascii="宋体" w:hAnsi="宋体" w:eastAsia="宋体" w:cs="宋体"/>
          <w:b/>
          <w:bCs w:val="0"/>
          <w:color w:val="auto"/>
          <w:sz w:val="44"/>
          <w:szCs w:val="44"/>
          <w:highlight w:val="none"/>
        </w:rPr>
        <w:t>配置清单</w:t>
      </w:r>
    </w:p>
    <w:p>
      <w:pPr>
        <w:spacing w:line="300" w:lineRule="auto"/>
        <w:rPr>
          <w:rFonts w:hint="eastAsia" w:ascii="宋体" w:hAnsi="宋体" w:eastAsia="宋体" w:cs="宋体"/>
          <w:b/>
          <w:bCs w:val="0"/>
          <w:color w:val="auto"/>
          <w:szCs w:val="21"/>
          <w:highlight w:val="none"/>
        </w:rPr>
      </w:pPr>
    </w:p>
    <w:p>
      <w:pPr>
        <w:spacing w:line="360" w:lineRule="auto"/>
        <w:rPr>
          <w:rFonts w:hint="default" w:ascii="宋体" w:hAnsi="宋体" w:cs="仿宋_GB2312" w:eastAsiaTheme="minorEastAsia"/>
          <w:color w:val="auto"/>
          <w:sz w:val="24"/>
          <w:highlight w:val="none"/>
          <w:lang w:val="en-US" w:eastAsia="zh-CN"/>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p>
    <w:p>
      <w:pPr>
        <w:spacing w:line="360" w:lineRule="auto"/>
        <w:rPr>
          <w:rFonts w:hint="eastAsia"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pPr>
        <w:spacing w:line="360" w:lineRule="auto"/>
        <w:rPr>
          <w:rFonts w:hint="default" w:ascii="宋体" w:hAnsi="宋体" w:cs="仿宋_GB2312" w:eastAsiaTheme="minorEastAsia"/>
          <w:color w:val="auto"/>
          <w:sz w:val="24"/>
          <w:highlight w:val="none"/>
          <w:u w:val="single"/>
          <w:lang w:val="en-US" w:eastAsia="zh-CN"/>
        </w:rPr>
      </w:pPr>
    </w:p>
    <w:tbl>
      <w:tblPr>
        <w:tblStyle w:val="32"/>
        <w:tblW w:w="4531"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200"/>
        <w:gridCol w:w="776"/>
        <w:gridCol w:w="1980"/>
        <w:gridCol w:w="925"/>
        <w:gridCol w:w="1203"/>
        <w:gridCol w:w="953"/>
        <w:gridCol w:w="8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69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r>
              <w:rPr>
                <w:rFonts w:hint="eastAsia" w:ascii="宋体" w:hAnsi="宋体"/>
                <w:color w:val="auto"/>
                <w:sz w:val="24"/>
                <w:highlight w:val="none"/>
                <w:lang w:val="en-US" w:eastAsia="zh-CN"/>
              </w:rPr>
              <w:t>货物</w:t>
            </w:r>
            <w:r>
              <w:rPr>
                <w:rFonts w:hint="eastAsia" w:ascii="宋体" w:hAnsi="宋体"/>
                <w:color w:val="auto"/>
                <w:sz w:val="24"/>
                <w:highlight w:val="none"/>
              </w:rPr>
              <w:t>名称</w:t>
            </w:r>
          </w:p>
        </w:tc>
        <w:tc>
          <w:tcPr>
            <w:tcW w:w="4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11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6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auto"/>
                <w:sz w:val="24"/>
                <w:highlight w:val="none"/>
              </w:rPr>
            </w:pPr>
          </w:p>
          <w:p>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55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50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11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6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auto"/>
                <w:sz w:val="24"/>
                <w:highlight w:val="none"/>
              </w:rPr>
            </w:pPr>
          </w:p>
        </w:tc>
        <w:tc>
          <w:tcPr>
            <w:tcW w:w="55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11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6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auto"/>
                <w:sz w:val="24"/>
                <w:highlight w:val="none"/>
              </w:rPr>
            </w:pPr>
          </w:p>
        </w:tc>
        <w:tc>
          <w:tcPr>
            <w:tcW w:w="55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697"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4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114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538"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699" w:type="pct"/>
            <w:tcBorders>
              <w:top w:val="single" w:color="auto" w:sz="4" w:space="0"/>
              <w:left w:val="single" w:color="auto" w:sz="4" w:space="0"/>
              <w:bottom w:val="single" w:color="auto" w:sz="4" w:space="0"/>
              <w:right w:val="single" w:color="auto" w:sz="4" w:space="0"/>
            </w:tcBorders>
          </w:tcPr>
          <w:p>
            <w:pPr>
              <w:snapToGrid w:val="0"/>
              <w:spacing w:before="50" w:after="50"/>
              <w:jc w:val="center"/>
              <w:rPr>
                <w:rFonts w:ascii="宋体" w:hAnsi="宋体"/>
                <w:color w:val="auto"/>
                <w:sz w:val="24"/>
                <w:highlight w:val="none"/>
              </w:rPr>
            </w:pPr>
          </w:p>
        </w:tc>
        <w:tc>
          <w:tcPr>
            <w:tcW w:w="55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c>
          <w:tcPr>
            <w:tcW w:w="501" w:type="pc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olor w:val="auto"/>
                <w:sz w:val="24"/>
                <w:highlight w:val="none"/>
              </w:rPr>
            </w:pPr>
          </w:p>
        </w:tc>
      </w:tr>
    </w:tbl>
    <w:p>
      <w:pPr>
        <w:spacing w:line="360" w:lineRule="auto"/>
        <w:rPr>
          <w:rFonts w:ascii="宋体" w:hAnsi="宋体"/>
          <w:color w:val="auto"/>
          <w:sz w:val="24"/>
          <w:highlight w:val="none"/>
        </w:rPr>
      </w:pPr>
      <w:r>
        <w:rPr>
          <w:rFonts w:hint="eastAsia" w:ascii="宋体" w:hAnsi="宋体"/>
          <w:color w:val="auto"/>
          <w:sz w:val="24"/>
          <w:highlight w:val="none"/>
        </w:rPr>
        <w:t>备注：</w:t>
      </w:r>
    </w:p>
    <w:p>
      <w:pPr>
        <w:spacing w:before="181" w:line="360" w:lineRule="auto"/>
        <w:ind w:left="122" w:firstLine="2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以上货物配置清单中“货物名称、数量及单位、品牌、规格型号、制造商、原产地、</w:t>
      </w:r>
      <w:r>
        <w:rPr>
          <w:rFonts w:ascii="宋体" w:hAnsi="宋体" w:eastAsia="宋体" w:cs="宋体"/>
          <w:b/>
          <w:bCs/>
          <w:color w:val="auto"/>
          <w:spacing w:val="-1"/>
          <w:sz w:val="24"/>
          <w:szCs w:val="24"/>
          <w:highlight w:val="none"/>
        </w:rPr>
        <w:t>参数性能、指标及配置</w:t>
      </w:r>
      <w:r>
        <w:rPr>
          <w:rFonts w:ascii="宋体" w:hAnsi="宋体" w:eastAsia="宋体" w:cs="宋体"/>
          <w:color w:val="auto"/>
          <w:spacing w:val="-88"/>
          <w:sz w:val="24"/>
          <w:szCs w:val="24"/>
          <w:highlight w:val="none"/>
        </w:rPr>
        <w:t xml:space="preserve"> </w:t>
      </w:r>
      <w:r>
        <w:rPr>
          <w:rFonts w:ascii="宋体" w:hAnsi="宋体" w:eastAsia="宋体" w:cs="宋体"/>
          <w:b/>
          <w:bCs/>
          <w:color w:val="auto"/>
          <w:spacing w:val="-1"/>
          <w:sz w:val="24"/>
          <w:szCs w:val="24"/>
          <w:highlight w:val="none"/>
        </w:rPr>
        <w:t>”必须如实填写完整，品牌、规格</w:t>
      </w:r>
      <w:r>
        <w:rPr>
          <w:rFonts w:ascii="宋体" w:hAnsi="宋体" w:eastAsia="宋体" w:cs="宋体"/>
          <w:b/>
          <w:bCs/>
          <w:color w:val="auto"/>
          <w:spacing w:val="-2"/>
          <w:sz w:val="24"/>
          <w:szCs w:val="24"/>
          <w:highlight w:val="none"/>
        </w:rPr>
        <w:t>型号没有则填无，填写有</w:t>
      </w:r>
      <w:r>
        <w:rPr>
          <w:rFonts w:ascii="宋体" w:hAnsi="宋体" w:eastAsia="宋体" w:cs="宋体"/>
          <w:b/>
          <w:bCs/>
          <w:color w:val="auto"/>
          <w:sz w:val="24"/>
          <w:szCs w:val="24"/>
          <w:highlight w:val="none"/>
        </w:rPr>
        <w:t>缺漏的，响应文件按无效处理。</w:t>
      </w:r>
      <w:r>
        <w:rPr>
          <w:rFonts w:ascii="宋体" w:hAnsi="宋体" w:eastAsia="宋体" w:cs="宋体"/>
          <w:color w:val="auto"/>
          <w:sz w:val="24"/>
          <w:szCs w:val="24"/>
          <w:highlight w:val="none"/>
        </w:rPr>
        <w:t>货物名称、数量及单位、品牌必须与“竞标报价表</w:t>
      </w:r>
      <w:r>
        <w:rPr>
          <w:rFonts w:ascii="宋体" w:hAnsi="宋体" w:eastAsia="宋体" w:cs="宋体"/>
          <w:color w:val="auto"/>
          <w:spacing w:val="-82"/>
          <w:sz w:val="24"/>
          <w:szCs w:val="24"/>
          <w:highlight w:val="none"/>
        </w:rPr>
        <w:t xml:space="preserve"> </w:t>
      </w:r>
      <w:r>
        <w:rPr>
          <w:rFonts w:ascii="宋体" w:hAnsi="宋体" w:eastAsia="宋体" w:cs="宋体"/>
          <w:color w:val="auto"/>
          <w:sz w:val="24"/>
          <w:szCs w:val="24"/>
          <w:highlight w:val="none"/>
        </w:rPr>
        <w:t>”</w:t>
      </w:r>
      <w:r>
        <w:rPr>
          <w:rFonts w:ascii="宋体" w:hAnsi="宋体" w:eastAsia="宋体" w:cs="宋体"/>
          <w:color w:val="auto"/>
          <w:spacing w:val="-1"/>
          <w:sz w:val="24"/>
          <w:szCs w:val="24"/>
          <w:highlight w:val="none"/>
        </w:rPr>
        <w:t>一致，否则响应文件按无效处理</w:t>
      </w:r>
      <w:r>
        <w:rPr>
          <w:rFonts w:ascii="宋体" w:hAnsi="宋体" w:eastAsia="宋体" w:cs="宋体"/>
          <w:b/>
          <w:bCs/>
          <w:color w:val="auto"/>
          <w:spacing w:val="-1"/>
          <w:sz w:val="24"/>
          <w:szCs w:val="24"/>
          <w:highlight w:val="none"/>
        </w:rPr>
        <w:t>。</w:t>
      </w:r>
    </w:p>
    <w:p>
      <w:pPr>
        <w:adjustRightInd w:val="0"/>
        <w:spacing w:line="360" w:lineRule="auto"/>
        <w:jc w:val="left"/>
        <w:rPr>
          <w:rFonts w:ascii="宋体" w:hAnsi="宋体" w:cs="仿宋_GB2312"/>
          <w:color w:val="auto"/>
          <w:sz w:val="24"/>
          <w:highlight w:val="none"/>
        </w:rPr>
      </w:pPr>
    </w:p>
    <w:p>
      <w:pPr>
        <w:spacing w:line="360" w:lineRule="auto"/>
        <w:ind w:firstLine="3840" w:firstLineChars="16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pPr>
        <w:spacing w:line="360" w:lineRule="auto"/>
        <w:ind w:firstLine="3840" w:firstLineChars="1600"/>
        <w:rPr>
          <w:rFonts w:hint="eastAsia" w:ascii="仿宋_GB2312" w:hAnsi="仿宋" w:eastAsia="仿宋_GB2312" w:cs="仿宋_GB2312"/>
          <w:color w:val="auto"/>
          <w:kern w:val="0"/>
          <w:sz w:val="24"/>
          <w:highlight w:val="none"/>
        </w:rPr>
      </w:pPr>
    </w:p>
    <w:p>
      <w:pPr>
        <w:widowControl/>
        <w:ind w:left="5268" w:leftChars="2280" w:hanging="480" w:hangingChars="200"/>
        <w:jc w:val="left"/>
        <w:rPr>
          <w:rFonts w:hint="eastAsia" w:ascii="宋体" w:hAnsi="宋体" w:eastAsia="宋体" w:cs="宋体"/>
          <w:color w:val="auto"/>
          <w:kern w:val="0"/>
          <w:sz w:val="24"/>
          <w:szCs w:val="24"/>
          <w:highlight w:val="none"/>
          <w:lang w:val="zh-CN"/>
        </w:rPr>
      </w:pPr>
      <w:r>
        <w:rPr>
          <w:rFonts w:hint="eastAsia" w:ascii="仿宋_GB2312" w:hAnsi="仿宋" w:eastAsia="仿宋_GB2312" w:cs="仿宋_GB2312"/>
          <w:color w:val="auto"/>
          <w:kern w:val="0"/>
          <w:sz w:val="24"/>
          <w:highlight w:val="none"/>
          <w:lang w:val="zh-CN"/>
        </w:rPr>
        <w:t xml:space="preserve">                                                   日期：  年  月   日</w:t>
      </w:r>
    </w:p>
    <w:p>
      <w:pPr>
        <w:bidi w:val="0"/>
        <w:rPr>
          <w:rFonts w:hint="eastAsia"/>
          <w:color w:val="auto"/>
          <w:highlight w:val="none"/>
          <w:lang w:val="zh-CN"/>
        </w:rPr>
      </w:pPr>
    </w:p>
    <w:p>
      <w:pPr>
        <w:autoSpaceDE w:val="0"/>
        <w:autoSpaceDN w:val="0"/>
        <w:spacing w:line="360" w:lineRule="auto"/>
        <w:ind w:firstLine="6505" w:firstLineChars="2700"/>
        <w:rPr>
          <w:rFonts w:ascii="仿宋_GB2312" w:hAnsi="仿宋" w:eastAsia="仿宋_GB2312" w:cs="仿宋_GB2312"/>
          <w:b/>
          <w:bCs/>
          <w:color w:val="auto"/>
          <w:sz w:val="24"/>
          <w:highlight w:val="none"/>
        </w:rPr>
      </w:pPr>
    </w:p>
    <w:p>
      <w:pPr>
        <w:snapToGrid w:val="0"/>
        <w:spacing w:before="120" w:beforeLines="50" w:after="50"/>
        <w:ind w:firstLine="602" w:firstLineChars="200"/>
        <w:rPr>
          <w:rFonts w:ascii="仿宋" w:hAnsi="仿宋" w:eastAsia="仿宋" w:cs="仿宋_GB2312"/>
          <w:b/>
          <w:color w:val="auto"/>
          <w:sz w:val="30"/>
          <w:szCs w:val="30"/>
          <w:highlight w:val="none"/>
        </w:rPr>
      </w:pPr>
    </w:p>
    <w:p>
      <w:pPr>
        <w:snapToGrid w:val="0"/>
        <w:spacing w:before="120" w:beforeLines="50" w:after="50"/>
        <w:ind w:firstLine="602" w:firstLineChars="200"/>
        <w:rPr>
          <w:rFonts w:ascii="仿宋" w:hAnsi="仿宋" w:eastAsia="仿宋" w:cs="仿宋_GB2312"/>
          <w:b/>
          <w:color w:val="auto"/>
          <w:sz w:val="30"/>
          <w:szCs w:val="30"/>
          <w:highlight w:val="none"/>
        </w:rPr>
      </w:pPr>
    </w:p>
    <w:p>
      <w:pPr>
        <w:snapToGrid w:val="0"/>
        <w:spacing w:before="120" w:beforeLines="50" w:after="50"/>
        <w:ind w:firstLine="602" w:firstLineChars="200"/>
        <w:rPr>
          <w:rFonts w:ascii="仿宋" w:hAnsi="仿宋" w:eastAsia="仿宋" w:cs="仿宋_GB2312"/>
          <w:b/>
          <w:color w:val="auto"/>
          <w:sz w:val="30"/>
          <w:szCs w:val="30"/>
          <w:highlight w:val="none"/>
        </w:rPr>
      </w:pPr>
    </w:p>
    <w:p>
      <w:pPr>
        <w:snapToGrid w:val="0"/>
        <w:spacing w:before="120" w:beforeLines="50" w:after="50"/>
        <w:ind w:firstLine="602" w:firstLineChars="200"/>
        <w:rPr>
          <w:rFonts w:ascii="仿宋" w:hAnsi="仿宋" w:eastAsia="仿宋" w:cs="仿宋_GB2312"/>
          <w:b/>
          <w:color w:val="auto"/>
          <w:sz w:val="30"/>
          <w:szCs w:val="30"/>
          <w:highlight w:val="none"/>
        </w:rPr>
      </w:pPr>
    </w:p>
    <w:p>
      <w:pPr>
        <w:snapToGrid w:val="0"/>
        <w:spacing w:line="360" w:lineRule="auto"/>
        <w:ind w:firstLine="602" w:firstLineChars="200"/>
        <w:rPr>
          <w:rFonts w:hint="eastAsia" w:ascii="仿宋" w:hAnsi="仿宋" w:eastAsia="仿宋" w:cs="仿宋_GB2312"/>
          <w:b/>
          <w:color w:val="auto"/>
          <w:sz w:val="30"/>
          <w:szCs w:val="30"/>
          <w:highlight w:val="none"/>
        </w:rPr>
      </w:pPr>
    </w:p>
    <w:p>
      <w:pPr>
        <w:numPr>
          <w:ilvl w:val="0"/>
          <w:numId w:val="13"/>
        </w:numPr>
        <w:snapToGrid w:val="0"/>
        <w:spacing w:line="360" w:lineRule="auto"/>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val="en-US" w:eastAsia="zh-CN"/>
        </w:rPr>
        <w:t>货物</w:t>
      </w:r>
      <w:r>
        <w:rPr>
          <w:rFonts w:hint="eastAsia" w:ascii="宋体" w:hAnsi="宋体" w:eastAsia="宋体" w:cs="宋体"/>
          <w:b/>
          <w:color w:val="auto"/>
          <w:sz w:val="30"/>
          <w:szCs w:val="30"/>
          <w:highlight w:val="none"/>
        </w:rPr>
        <w:t>需求偏离表</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lang w:val="en-US" w:eastAsia="zh-CN"/>
        </w:rPr>
        <w:t>格式</w:t>
      </w:r>
      <w:r>
        <w:rPr>
          <w:rFonts w:hint="eastAsia" w:ascii="宋体" w:hAnsi="宋体" w:eastAsia="宋体" w:cs="宋体"/>
          <w:b/>
          <w:color w:val="auto"/>
          <w:sz w:val="30"/>
          <w:szCs w:val="30"/>
          <w:highlight w:val="none"/>
          <w:lang w:eastAsia="zh-CN"/>
        </w:rPr>
        <w:t>）</w:t>
      </w:r>
    </w:p>
    <w:p>
      <w:pPr>
        <w:spacing w:line="500" w:lineRule="exact"/>
        <w:jc w:val="center"/>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货物需求偏离表</w:t>
      </w:r>
    </w:p>
    <w:p>
      <w:pPr>
        <w:spacing w:line="500" w:lineRule="exact"/>
        <w:jc w:val="center"/>
        <w:rPr>
          <w:rFonts w:hint="eastAsia" w:ascii="宋体" w:hAnsi="宋体"/>
          <w:b/>
          <w:color w:val="auto"/>
          <w:sz w:val="32"/>
          <w:szCs w:val="32"/>
          <w:highlight w:val="none"/>
        </w:rPr>
      </w:pPr>
      <w:r>
        <w:rPr>
          <w:rFonts w:hint="eastAsia" w:ascii="微软雅黑" w:hAnsi="微软雅黑" w:eastAsia="微软雅黑" w:cs="微软雅黑"/>
          <w:bCs/>
          <w:color w:val="auto"/>
          <w:sz w:val="44"/>
          <w:szCs w:val="44"/>
          <w:highlight w:val="none"/>
        </w:rPr>
        <w:t>(注：按采购需求具体条款修改)</w:t>
      </w:r>
    </w:p>
    <w:p>
      <w:pPr>
        <w:spacing w:line="360" w:lineRule="auto"/>
        <w:contextualSpacing/>
        <w:jc w:val="left"/>
        <w:rPr>
          <w:rFonts w:hint="eastAsia" w:ascii="宋体" w:hAnsi="宋体"/>
          <w:color w:val="auto"/>
          <w:sz w:val="24"/>
          <w:highlight w:val="none"/>
        </w:rPr>
      </w:pPr>
    </w:p>
    <w:p>
      <w:pPr>
        <w:spacing w:line="360" w:lineRule="auto"/>
        <w:rPr>
          <w:rFonts w:hint="default" w:ascii="宋体" w:hAnsi="宋体" w:cs="仿宋_GB2312" w:eastAsiaTheme="minorEastAsia"/>
          <w:color w:val="auto"/>
          <w:sz w:val="24"/>
          <w:highlight w:val="none"/>
          <w:lang w:val="en-US" w:eastAsia="zh-CN"/>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 xml:space="preserve">                      </w:t>
      </w:r>
    </w:p>
    <w:p>
      <w:pPr>
        <w:pStyle w:val="17"/>
        <w:spacing w:line="360" w:lineRule="auto"/>
        <w:contextualSpacing/>
        <w:rPr>
          <w:rFonts w:hint="eastAsia" w:hAnsi="宋体" w:cs="仿宋_GB2312"/>
          <w:color w:val="auto"/>
          <w:sz w:val="24"/>
          <w:szCs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hint="eastAsia" w:ascii="宋体" w:hAnsi="宋体"/>
                <w:color w:val="auto"/>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auto"/>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货物名称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货物参数要求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货物名称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货物参数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1  ……</w:t>
            </w:r>
          </w:p>
          <w:p>
            <w:pPr>
              <w:rPr>
                <w:rFonts w:ascii="宋体" w:hAnsi="宋体"/>
                <w:color w:val="auto"/>
                <w:szCs w:val="21"/>
                <w:highlight w:val="none"/>
              </w:rPr>
            </w:pPr>
            <w:r>
              <w:rPr>
                <w:rFonts w:hint="eastAsia" w:ascii="宋体" w:hAnsi="宋体"/>
                <w:color w:val="auto"/>
                <w:szCs w:val="21"/>
                <w:highlight w:val="none"/>
              </w:rPr>
              <w:t>2  ……</w:t>
            </w:r>
          </w:p>
          <w:p>
            <w:pPr>
              <w:rPr>
                <w:rFonts w:ascii="宋体" w:hAnsi="宋体"/>
                <w:color w:val="auto"/>
                <w:szCs w:val="21"/>
                <w:highlight w:val="none"/>
              </w:rPr>
            </w:pPr>
            <w:r>
              <w:rPr>
                <w:rFonts w:hint="eastAsia" w:ascii="宋体" w:hAnsi="宋体"/>
                <w:color w:val="auto"/>
                <w:szCs w:val="21"/>
                <w:highlight w:val="none"/>
              </w:rPr>
              <w:t>3  ……</w:t>
            </w:r>
          </w:p>
          <w:p>
            <w:pPr>
              <w:rPr>
                <w:rFonts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r>
              <w:rPr>
                <w:rFonts w:hint="eastAsia" w:ascii="宋体" w:hAnsi="宋体"/>
                <w:color w:val="auto"/>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szCs w:val="21"/>
                <w:highlight w:val="none"/>
              </w:rPr>
            </w:pPr>
          </w:p>
        </w:tc>
      </w:tr>
    </w:tbl>
    <w:p>
      <w:pPr>
        <w:spacing w:line="360" w:lineRule="auto"/>
        <w:contextualSpacing/>
        <w:rPr>
          <w:rFonts w:ascii="宋体" w:hAnsi="宋体"/>
          <w:color w:val="auto"/>
          <w:kern w:val="0"/>
          <w:szCs w:val="21"/>
          <w:highlight w:val="none"/>
        </w:rPr>
      </w:pPr>
      <w:r>
        <w:rPr>
          <w:rFonts w:hint="eastAsia" w:ascii="宋体" w:hAnsi="宋体"/>
          <w:color w:val="auto"/>
          <w:kern w:val="0"/>
          <w:szCs w:val="21"/>
          <w:highlight w:val="none"/>
        </w:rPr>
        <w:t>注：</w:t>
      </w:r>
    </w:p>
    <w:p>
      <w:pPr>
        <w:spacing w:line="360" w:lineRule="auto"/>
        <w:contextualSpacing/>
        <w:rPr>
          <w:rFonts w:ascii="宋体" w:hAnsi="宋体" w:cs="仿宋_GB2312"/>
          <w:color w:val="auto"/>
          <w:kern w:val="0"/>
          <w:szCs w:val="21"/>
          <w:highlight w:val="none"/>
        </w:rPr>
      </w:pPr>
      <w:r>
        <w:rPr>
          <w:rFonts w:hint="eastAsia" w:ascii="宋体" w:hAnsi="宋体" w:cs="仿宋_GB2312"/>
          <w:color w:val="auto"/>
          <w:kern w:val="0"/>
          <w:szCs w:val="21"/>
          <w:highlight w:val="none"/>
        </w:rPr>
        <w:t>1.说明：应对照</w:t>
      </w:r>
      <w:r>
        <w:rPr>
          <w:rFonts w:hint="eastAsia" w:ascii="宋体" w:hAnsi="宋体" w:cs="仿宋_GB2312"/>
          <w:color w:val="auto"/>
          <w:kern w:val="0"/>
          <w:szCs w:val="21"/>
          <w:highlight w:val="none"/>
          <w:lang w:val="en-US" w:eastAsia="zh-CN"/>
        </w:rPr>
        <w:t>谈判</w:t>
      </w:r>
      <w:r>
        <w:rPr>
          <w:rFonts w:hint="eastAsia" w:ascii="宋体" w:hAnsi="宋体" w:cs="仿宋_GB2312"/>
          <w:color w:val="auto"/>
          <w:kern w:val="0"/>
          <w:szCs w:val="21"/>
          <w:highlight w:val="none"/>
        </w:rPr>
        <w:t>文件“第二章”中“</w:t>
      </w:r>
      <w:r>
        <w:rPr>
          <w:rFonts w:hint="eastAsia" w:ascii="宋体" w:hAnsi="宋体" w:cs="仿宋_GB2312"/>
          <w:color w:val="auto"/>
          <w:kern w:val="0"/>
          <w:szCs w:val="21"/>
          <w:highlight w:val="none"/>
          <w:lang w:val="en-US" w:eastAsia="zh-CN"/>
        </w:rPr>
        <w:t>货物采购需求一览表</w:t>
      </w:r>
      <w:r>
        <w:rPr>
          <w:rFonts w:hint="eastAsia" w:ascii="宋体" w:hAnsi="宋体" w:cs="仿宋_GB2312"/>
          <w:b w:val="0"/>
          <w:bCs w:val="0"/>
          <w:color w:val="auto"/>
          <w:kern w:val="0"/>
          <w:szCs w:val="21"/>
          <w:highlight w:val="none"/>
        </w:rPr>
        <w:t>”的技术参数条款逐条作出明确响应，</w:t>
      </w:r>
      <w:r>
        <w:rPr>
          <w:rFonts w:hint="eastAsia" w:ascii="宋体" w:hAnsi="宋体" w:cs="仿宋_GB2312"/>
          <w:color w:val="auto"/>
          <w:kern w:val="0"/>
          <w:szCs w:val="21"/>
          <w:highlight w:val="none"/>
        </w:rPr>
        <w:t>并作出偏离说明。</w:t>
      </w:r>
    </w:p>
    <w:p>
      <w:pPr>
        <w:spacing w:line="400" w:lineRule="exact"/>
        <w:rPr>
          <w:rFonts w:hint="eastAsia" w:ascii="宋体" w:hAnsi="宋体" w:eastAsia="宋体" w:cs="仿宋_GB2312"/>
          <w:color w:val="auto"/>
          <w:szCs w:val="21"/>
          <w:highlight w:val="none"/>
        </w:rPr>
      </w:pPr>
      <w:r>
        <w:rPr>
          <w:rFonts w:hint="eastAsia" w:ascii="宋体" w:hAnsi="宋体" w:eastAsia="宋体" w:cs="仿宋_GB2312"/>
          <w:color w:val="auto"/>
          <w:szCs w:val="21"/>
          <w:highlight w:val="none"/>
        </w:rPr>
        <w:t>2.供应商应根据自身的承诺，对照谈判文件要求，在“偏离说明”中注明“正偏离”或者“负偏离”或者“无偏离”。既不属于“正偏离”也不属于“负偏离”即为“无偏离”。 当响应文件的技术参数及配置内容低于竞争性谈判文件要求时，供应商应当如实写明“负偏离”</w:t>
      </w:r>
    </w:p>
    <w:p>
      <w:pPr>
        <w:spacing w:line="40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3.表格内容均需按要求填写并盖章，不得留空，否则按竞标无效处理。</w:t>
      </w: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宋体" w:hAnsi="宋体" w:eastAsia="宋体" w:cs="宋体"/>
          <w:color w:val="auto"/>
          <w:kern w:val="0"/>
          <w:sz w:val="24"/>
          <w:highlight w:val="none"/>
          <w:lang w:val="zh-CN"/>
        </w:rPr>
        <w:t>日期：  年  月   日</w:t>
      </w:r>
    </w:p>
    <w:p>
      <w:pPr>
        <w:rPr>
          <w:rFonts w:hint="eastAsia" w:ascii="宋体" w:hAnsi="宋体" w:cs="仿宋_GB2312"/>
          <w:b/>
          <w:color w:val="auto"/>
          <w:szCs w:val="21"/>
          <w:highlight w:val="none"/>
          <w:lang w:val="en-US" w:eastAsia="zh-CN"/>
        </w:rPr>
      </w:pPr>
      <w:r>
        <w:rPr>
          <w:rFonts w:hint="eastAsia" w:ascii="宋体" w:hAnsi="宋体" w:cs="仿宋_GB2312"/>
          <w:b/>
          <w:color w:val="auto"/>
          <w:szCs w:val="21"/>
          <w:highlight w:val="none"/>
          <w:lang w:val="en-US" w:eastAsia="zh-CN"/>
        </w:rPr>
        <w:br w:type="page"/>
      </w:r>
    </w:p>
    <w:p>
      <w:pPr>
        <w:shd w:val="clear"/>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lang w:val="en-US" w:eastAsia="zh-CN"/>
        </w:rPr>
        <w:t>七</w:t>
      </w:r>
      <w:r>
        <w:rPr>
          <w:rFonts w:hint="eastAsia" w:ascii="宋体" w:hAnsi="宋体" w:cs="仿宋_GB2312"/>
          <w:b/>
          <w:color w:val="auto"/>
          <w:szCs w:val="21"/>
          <w:highlight w:val="none"/>
        </w:rPr>
        <w:t>、供应商类似的业绩证明文件</w:t>
      </w:r>
    </w:p>
    <w:tbl>
      <w:tblPr>
        <w:tblStyle w:val="3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86"/>
        <w:gridCol w:w="2740"/>
        <w:gridCol w:w="2345"/>
        <w:gridCol w:w="25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32" w:hRule="atLeast"/>
        </w:trPr>
        <w:tc>
          <w:tcPr>
            <w:tcW w:w="1034" w:type="pct"/>
            <w:tcBorders>
              <w:top w:val="single" w:color="auto" w:sz="4" w:space="0"/>
              <w:left w:val="single" w:color="auto" w:sz="4" w:space="0"/>
              <w:bottom w:val="single" w:color="auto" w:sz="4" w:space="0"/>
              <w:right w:val="single" w:color="auto" w:sz="4" w:space="0"/>
            </w:tcBorders>
            <w:noWrap/>
            <w:vAlign w:val="center"/>
          </w:tcPr>
          <w:p>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采购人名称</w:t>
            </w:r>
          </w:p>
        </w:tc>
        <w:tc>
          <w:tcPr>
            <w:tcW w:w="1483" w:type="pct"/>
            <w:tcBorders>
              <w:top w:val="single" w:color="auto" w:sz="4" w:space="0"/>
              <w:left w:val="single" w:color="auto" w:sz="4" w:space="0"/>
              <w:bottom w:val="single" w:color="auto" w:sz="4" w:space="0"/>
              <w:right w:val="single" w:color="auto" w:sz="4" w:space="0"/>
            </w:tcBorders>
            <w:noWrap/>
            <w:vAlign w:val="center"/>
          </w:tcPr>
          <w:p>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1275" w:type="pct"/>
            <w:tcBorders>
              <w:top w:val="single" w:color="auto" w:sz="4" w:space="0"/>
              <w:left w:val="single" w:color="auto" w:sz="4" w:space="0"/>
              <w:bottom w:val="single" w:color="auto" w:sz="4" w:space="0"/>
              <w:right w:val="single" w:color="auto" w:sz="4" w:space="0"/>
            </w:tcBorders>
            <w:noWrap/>
            <w:vAlign w:val="center"/>
          </w:tcPr>
          <w:p>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合同金额</w:t>
            </w:r>
          </w:p>
          <w:p>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（万元）</w:t>
            </w:r>
          </w:p>
        </w:tc>
        <w:tc>
          <w:tcPr>
            <w:tcW w:w="1206" w:type="pct"/>
            <w:tcBorders>
              <w:top w:val="single" w:color="auto" w:sz="4" w:space="0"/>
              <w:left w:val="single" w:color="auto" w:sz="4" w:space="0"/>
              <w:bottom w:val="single" w:color="auto" w:sz="4" w:space="0"/>
              <w:right w:val="single" w:color="auto" w:sz="4" w:space="0"/>
            </w:tcBorders>
            <w:noWrap/>
            <w:vAlign w:val="center"/>
          </w:tcPr>
          <w:p>
            <w:pPr>
              <w:shd w:val="clear"/>
              <w:snapToGrid w:val="0"/>
              <w:spacing w:line="240" w:lineRule="exact"/>
              <w:jc w:val="center"/>
              <w:rPr>
                <w:rFonts w:hint="eastAsia" w:ascii="宋体" w:hAnsi="宋体"/>
                <w:color w:val="auto"/>
                <w:szCs w:val="21"/>
                <w:highlight w:val="none"/>
              </w:rPr>
            </w:pPr>
            <w:r>
              <w:rPr>
                <w:rFonts w:hint="eastAsia" w:ascii="宋体" w:hAnsi="宋体"/>
                <w:color w:val="auto"/>
                <w:szCs w:val="21"/>
                <w:highlight w:val="none"/>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034" w:type="pct"/>
            <w:tcBorders>
              <w:top w:val="single" w:color="auto" w:sz="4" w:space="0"/>
              <w:left w:val="single" w:color="auto" w:sz="4" w:space="0"/>
              <w:bottom w:val="single" w:color="auto" w:sz="4" w:space="0"/>
              <w:right w:val="single" w:color="auto" w:sz="4" w:space="0"/>
            </w:tcBorders>
            <w:noWrap/>
          </w:tcPr>
          <w:p>
            <w:pPr>
              <w:shd w:val="clear"/>
              <w:snapToGrid w:val="0"/>
              <w:spacing w:line="24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pPr>
              <w:shd w:val="clear"/>
              <w:snapToGrid w:val="0"/>
              <w:spacing w:line="24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pPr>
              <w:shd w:val="clear"/>
              <w:snapToGrid w:val="0"/>
              <w:spacing w:line="24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pPr>
              <w:shd w:val="clear"/>
              <w:snapToGrid w:val="0"/>
              <w:spacing w:line="24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034"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034"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034"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034"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483"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75"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c>
          <w:tcPr>
            <w:tcW w:w="1206" w:type="pct"/>
            <w:tcBorders>
              <w:top w:val="single" w:color="auto" w:sz="4" w:space="0"/>
              <w:left w:val="single" w:color="auto" w:sz="4" w:space="0"/>
              <w:bottom w:val="single" w:color="auto" w:sz="4" w:space="0"/>
              <w:right w:val="single" w:color="auto" w:sz="4" w:space="0"/>
            </w:tcBorders>
            <w:noWrap/>
          </w:tcPr>
          <w:p>
            <w:pPr>
              <w:shd w:val="clear"/>
              <w:snapToGrid w:val="0"/>
              <w:spacing w:before="50" w:after="158" w:afterLines="50" w:line="400" w:lineRule="exact"/>
              <w:jc w:val="left"/>
              <w:rPr>
                <w:rFonts w:hint="eastAsia" w:ascii="宋体" w:hAnsi="宋体"/>
                <w:color w:val="auto"/>
                <w:sz w:val="24"/>
                <w:highlight w:val="none"/>
              </w:rPr>
            </w:pPr>
          </w:p>
        </w:tc>
      </w:tr>
    </w:tbl>
    <w:p>
      <w:pPr>
        <w:pStyle w:val="25"/>
        <w:shd w:val="clear"/>
        <w:snapToGrid w:val="0"/>
        <w:ind w:left="480" w:hanging="480"/>
        <w:rPr>
          <w:rFonts w:hint="eastAsia" w:ascii="宋体" w:hAnsi="宋体"/>
          <w:color w:val="auto"/>
          <w:sz w:val="24"/>
          <w:highlight w:val="none"/>
        </w:rPr>
      </w:pPr>
    </w:p>
    <w:p>
      <w:pPr>
        <w:pStyle w:val="25"/>
        <w:shd w:val="clear"/>
        <w:snapToGrid w:val="0"/>
        <w:ind w:left="480" w:hanging="480"/>
        <w:rPr>
          <w:rFonts w:hint="eastAsia" w:ascii="宋体" w:hAnsi="宋体"/>
          <w:color w:val="auto"/>
          <w:sz w:val="24"/>
          <w:highlight w:val="none"/>
        </w:rPr>
      </w:pPr>
    </w:p>
    <w:p>
      <w:pPr>
        <w:shd w:val="clear"/>
        <w:autoSpaceDE w:val="0"/>
        <w:autoSpaceDN w:val="0"/>
        <w:spacing w:line="360" w:lineRule="auto"/>
        <w:ind w:firstLine="120"/>
        <w:rPr>
          <w:rFonts w:hint="eastAsia" w:ascii="宋体" w:hAnsi="宋体" w:cs="宋体"/>
          <w:color w:val="auto"/>
          <w:szCs w:val="21"/>
          <w:highlight w:val="none"/>
        </w:rPr>
      </w:pPr>
      <w:r>
        <w:rPr>
          <w:rFonts w:hint="eastAsia" w:ascii="宋体" w:hAnsi="宋体" w:cs="宋体"/>
          <w:b/>
          <w:color w:val="auto"/>
          <w:szCs w:val="21"/>
          <w:highlight w:val="none"/>
        </w:rPr>
        <w:t>附表：相关项目业绩一览表（供应商同类项目中标/成交通知书或合同复印件格式自拟）</w:t>
      </w:r>
    </w:p>
    <w:p>
      <w:pPr>
        <w:pStyle w:val="17"/>
        <w:shd w:val="clear"/>
        <w:spacing w:line="360" w:lineRule="auto"/>
        <w:ind w:left="72"/>
        <w:rPr>
          <w:rFonts w:hint="eastAsia" w:hAnsi="宋体" w:cs="宋体"/>
          <w:color w:val="auto"/>
          <w:sz w:val="21"/>
          <w:highlight w:val="none"/>
        </w:rPr>
      </w:pPr>
      <w:r>
        <w:rPr>
          <w:rFonts w:hint="eastAsia" w:hAnsi="宋体" w:cs="宋体"/>
          <w:color w:val="auto"/>
          <w:sz w:val="21"/>
          <w:highlight w:val="none"/>
        </w:rPr>
        <w:t>注：供应商可按上述格式自行编制，须随表提交相应的中标/成交通知书或合同复印件并注明所在供应商商务技术文件页码。</w:t>
      </w:r>
    </w:p>
    <w:p>
      <w:pPr>
        <w:shd w:val="clear"/>
        <w:snapToGrid w:val="0"/>
        <w:spacing w:line="360" w:lineRule="auto"/>
        <w:rPr>
          <w:rFonts w:hint="eastAsia" w:ascii="宋体" w:hAnsi="宋体" w:cs="宋体"/>
          <w:color w:val="auto"/>
          <w:szCs w:val="21"/>
          <w:highlight w:val="none"/>
        </w:rPr>
      </w:pPr>
    </w:p>
    <w:p>
      <w:pPr>
        <w:shd w:val="clear"/>
        <w:snapToGrid w:val="0"/>
        <w:spacing w:line="360" w:lineRule="auto"/>
        <w:ind w:firstLine="2940" w:firstLineChars="1400"/>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供应商名称（电子签章）：</w:t>
      </w:r>
    </w:p>
    <w:p>
      <w:pPr>
        <w:shd w:val="clear"/>
        <w:spacing w:line="500" w:lineRule="exact"/>
        <w:jc w:val="center"/>
        <w:rPr>
          <w:rFonts w:hint="eastAsia" w:ascii="宋体" w:hAnsi="宋体" w:cs="宋体"/>
          <w:color w:val="auto"/>
          <w:szCs w:val="21"/>
          <w:highlight w:val="none"/>
        </w:rPr>
      </w:pPr>
      <w:r>
        <w:rPr>
          <w:rFonts w:hint="eastAsia" w:ascii="宋体" w:hAnsi="宋体" w:cs="宋体"/>
          <w:color w:val="auto"/>
          <w:kern w:val="0"/>
          <w:szCs w:val="21"/>
          <w:highlight w:val="none"/>
          <w:lang w:val="zh-CN"/>
        </w:rPr>
        <w:t xml:space="preserve">                         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w:t>
      </w:r>
    </w:p>
    <w:p>
      <w:pPr>
        <w:widowControl/>
        <w:shd w:val="clear"/>
        <w:jc w:val="left"/>
        <w:rPr>
          <w:rFonts w:hint="eastAsia" w:ascii="仿宋_GB2312" w:hAnsi="仿宋_GB2312" w:eastAsia="仿宋_GB2312" w:cs="仿宋_GB2312"/>
          <w:color w:val="auto"/>
          <w:sz w:val="32"/>
          <w:szCs w:val="32"/>
          <w:highlight w:val="none"/>
        </w:rPr>
        <w:sectPr>
          <w:pgSz w:w="11905" w:h="16838"/>
          <w:pgMar w:top="1383" w:right="1310" w:bottom="1383" w:left="1310" w:header="624" w:footer="624" w:gutter="0"/>
          <w:cols w:space="0" w:num="1"/>
          <w:docGrid w:type="lines" w:linePitch="317" w:charSpace="0"/>
        </w:sectPr>
      </w:pPr>
    </w:p>
    <w:p>
      <w:pPr>
        <w:bidi w:val="0"/>
        <w:rPr>
          <w:rFonts w:hint="eastAsia"/>
          <w:color w:val="auto"/>
          <w:highlight w:val="none"/>
        </w:rPr>
      </w:pPr>
    </w:p>
    <w:p>
      <w:pPr>
        <w:autoSpaceDE w:val="0"/>
        <w:autoSpaceDN w:val="0"/>
        <w:spacing w:line="360" w:lineRule="auto"/>
        <w:ind w:firstLine="6505" w:firstLineChars="2700"/>
        <w:rPr>
          <w:rFonts w:hint="eastAsia" w:ascii="仿宋_GB2312" w:hAnsi="仿宋" w:eastAsia="仿宋_GB2312" w:cs="仿宋_GB2312"/>
          <w:b/>
          <w:bCs/>
          <w:color w:val="auto"/>
          <w:sz w:val="24"/>
          <w:highlight w:val="none"/>
        </w:rPr>
      </w:pPr>
    </w:p>
    <w:p>
      <w:pPr>
        <w:ind w:firstLine="2570" w:firstLineChars="800"/>
        <w:rPr>
          <w:rFonts w:hint="eastAsia" w:ascii="宋体" w:hAnsi="宋体"/>
          <w:color w:val="auto"/>
          <w:highlight w:val="none"/>
        </w:rPr>
      </w:pPr>
      <w:bookmarkStart w:id="165" w:name="_Toc80205941"/>
      <w:bookmarkStart w:id="166" w:name="_Toc80886945"/>
      <w:r>
        <w:rPr>
          <w:rFonts w:hint="eastAsia" w:ascii="宋体" w:hAnsi="宋体"/>
          <w:b/>
          <w:bCs/>
          <w:color w:val="auto"/>
          <w:sz w:val="32"/>
          <w:szCs w:val="32"/>
          <w:highlight w:val="none"/>
        </w:rPr>
        <w:t>第四节 报价文件格式</w:t>
      </w:r>
      <w:bookmarkEnd w:id="165"/>
      <w:bookmarkEnd w:id="166"/>
    </w:p>
    <w:p>
      <w:pPr>
        <w:snapToGrid w:val="0"/>
        <w:spacing w:before="120" w:beforeLines="50" w:after="50"/>
        <w:rPr>
          <w:rFonts w:hint="eastAsia" w:ascii="宋体" w:hAnsi="宋体"/>
          <w:color w:val="auto"/>
          <w:sz w:val="24"/>
          <w:highlight w:val="none"/>
        </w:rPr>
      </w:pPr>
      <w:r>
        <w:rPr>
          <w:rFonts w:hint="eastAsia" w:ascii="宋体" w:hAnsi="宋体"/>
          <w:color w:val="auto"/>
          <w:sz w:val="24"/>
          <w:highlight w:val="none"/>
        </w:rPr>
        <w:t xml:space="preserve">                                                   </w:t>
      </w:r>
    </w:p>
    <w:p>
      <w:pPr>
        <w:snapToGrid w:val="0"/>
        <w:spacing w:before="120" w:beforeLines="50" w:after="50"/>
        <w:ind w:firstLine="6240" w:firstLineChars="260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pPr>
        <w:snapToGrid w:val="0"/>
        <w:spacing w:before="120" w:beforeLines="50" w:after="50"/>
        <w:rPr>
          <w:rFonts w:hint="eastAsia" w:ascii="宋体" w:hAnsi="宋体"/>
          <w:color w:val="auto"/>
          <w:sz w:val="24"/>
          <w:szCs w:val="20"/>
          <w:highlight w:val="none"/>
        </w:rPr>
      </w:pPr>
    </w:p>
    <w:p>
      <w:pPr>
        <w:snapToGrid w:val="0"/>
        <w:spacing w:before="120" w:beforeLines="50" w:after="50"/>
        <w:rPr>
          <w:rFonts w:hint="eastAsia" w:ascii="宋体" w:hAnsi="宋体"/>
          <w:color w:val="auto"/>
          <w:sz w:val="24"/>
          <w:szCs w:val="20"/>
          <w:highlight w:val="none"/>
        </w:rPr>
      </w:pPr>
    </w:p>
    <w:p>
      <w:pPr>
        <w:snapToGrid w:val="0"/>
        <w:spacing w:before="120" w:beforeLines="50" w:after="50"/>
        <w:jc w:val="center"/>
        <w:rPr>
          <w:rFonts w:hint="eastAsia" w:ascii="宋体" w:hAnsi="宋体"/>
          <w:color w:val="auto"/>
          <w:sz w:val="24"/>
          <w:szCs w:val="20"/>
          <w:highlight w:val="none"/>
        </w:rPr>
      </w:pPr>
      <w:r>
        <w:rPr>
          <w:rFonts w:hint="eastAsia" w:ascii="仿宋" w:hAnsi="仿宋" w:eastAsia="仿宋" w:cs="仿宋"/>
          <w:b/>
          <w:bCs/>
          <w:color w:val="auto"/>
          <w:sz w:val="44"/>
          <w:szCs w:val="44"/>
          <w:highlight w:val="none"/>
        </w:rPr>
        <w:t>电 子 响 应 文 件</w:t>
      </w:r>
    </w:p>
    <w:p>
      <w:pPr>
        <w:snapToGrid w:val="0"/>
        <w:spacing w:before="120" w:beforeLines="50" w:after="50"/>
        <w:jc w:val="center"/>
        <w:rPr>
          <w:rFonts w:hint="eastAsia" w:ascii="微软雅黑" w:hAnsi="微软雅黑" w:eastAsia="微软雅黑" w:cs="微软雅黑"/>
          <w:bCs/>
          <w:color w:val="auto"/>
          <w:sz w:val="44"/>
          <w:szCs w:val="44"/>
          <w:highlight w:val="none"/>
        </w:rPr>
      </w:pPr>
      <w:r>
        <w:rPr>
          <w:rFonts w:hint="eastAsia" w:ascii="微软雅黑" w:hAnsi="微软雅黑" w:eastAsia="微软雅黑" w:cs="微软雅黑"/>
          <w:bCs/>
          <w:color w:val="auto"/>
          <w:sz w:val="44"/>
          <w:szCs w:val="44"/>
          <w:highlight w:val="none"/>
        </w:rPr>
        <w:t xml:space="preserve">报 </w:t>
      </w:r>
      <w:r>
        <w:rPr>
          <w:rFonts w:ascii="微软雅黑" w:hAnsi="微软雅黑" w:eastAsia="微软雅黑" w:cs="微软雅黑"/>
          <w:bCs/>
          <w:color w:val="auto"/>
          <w:sz w:val="44"/>
          <w:szCs w:val="44"/>
          <w:highlight w:val="none"/>
        </w:rPr>
        <w:t xml:space="preserve"> </w:t>
      </w:r>
      <w:r>
        <w:rPr>
          <w:rFonts w:hint="eastAsia" w:ascii="微软雅黑" w:hAnsi="微软雅黑" w:eastAsia="微软雅黑" w:cs="微软雅黑"/>
          <w:bCs/>
          <w:color w:val="auto"/>
          <w:sz w:val="44"/>
          <w:szCs w:val="44"/>
          <w:highlight w:val="none"/>
        </w:rPr>
        <w:t>价  文  件（封面）</w:t>
      </w: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rPr>
          <w:rFonts w:hint="eastAsia" w:ascii="宋体" w:hAnsi="宋体"/>
          <w:bCs/>
          <w:color w:val="auto"/>
          <w:sz w:val="24"/>
          <w:szCs w:val="20"/>
          <w:highlight w:val="none"/>
        </w:rPr>
      </w:pP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pPr>
        <w:snapToGrid w:val="0"/>
        <w:spacing w:before="120" w:beforeLines="50" w:after="50"/>
        <w:ind w:firstLine="720" w:firstLineChars="225"/>
        <w:rPr>
          <w:rFonts w:hint="eastAsia" w:ascii="宋体" w:hAnsi="宋体" w:cs="仿宋_GB2312"/>
          <w:bCs/>
          <w:color w:val="auto"/>
          <w:sz w:val="32"/>
          <w:szCs w:val="32"/>
          <w:highlight w:val="none"/>
        </w:rPr>
      </w:pPr>
    </w:p>
    <w:p>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720" w:firstLineChars="225"/>
        <w:rPr>
          <w:rFonts w:hint="eastAsia" w:ascii="宋体" w:hAnsi="宋体" w:cs="仿宋_GB2312"/>
          <w:bCs/>
          <w:color w:val="auto"/>
          <w:sz w:val="32"/>
          <w:szCs w:val="32"/>
          <w:highlight w:val="none"/>
        </w:rPr>
      </w:pPr>
    </w:p>
    <w:p>
      <w:pPr>
        <w:pStyle w:val="7"/>
        <w:snapToGrid w:val="0"/>
        <w:spacing w:before="50" w:after="50"/>
        <w:ind w:firstLine="1280" w:firstLineChars="400"/>
        <w:rPr>
          <w:rFonts w:hint="eastAsia" w:ascii="宋体" w:hAnsi="宋体" w:cs="仿宋_GB2312"/>
          <w:bCs/>
          <w:color w:val="auto"/>
          <w:sz w:val="32"/>
          <w:szCs w:val="32"/>
          <w:highlight w:val="none"/>
        </w:rPr>
      </w:pPr>
    </w:p>
    <w:p>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pPr>
        <w:snapToGrid w:val="0"/>
        <w:spacing w:before="120" w:beforeLines="50" w:after="50" w:line="400" w:lineRule="exact"/>
        <w:jc w:val="center"/>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报价文件目录</w:t>
      </w:r>
    </w:p>
    <w:p>
      <w:pPr>
        <w:rPr>
          <w:rFonts w:hint="eastAsia" w:ascii="宋体" w:hAnsi="宋体" w:cs="宋体"/>
          <w:color w:val="auto"/>
          <w:highlight w:val="none"/>
        </w:rPr>
      </w:pPr>
    </w:p>
    <w:p>
      <w:pPr>
        <w:snapToGrid w:val="0"/>
        <w:spacing w:before="120" w:beforeLines="50" w:after="50" w:line="360" w:lineRule="auto"/>
        <w:ind w:left="142" w:firstLine="480" w:firstLineChars="200"/>
        <w:jc w:val="left"/>
        <w:rPr>
          <w:rFonts w:hint="eastAsia" w:ascii="仿宋_GB2312" w:hAnsi="仿宋_GB2312" w:eastAsia="仿宋_GB2312" w:cs="仿宋_GB2312"/>
          <w:color w:val="auto"/>
          <w:sz w:val="32"/>
          <w:szCs w:val="32"/>
          <w:highlight w:val="none"/>
        </w:rPr>
      </w:pPr>
      <w:r>
        <w:rPr>
          <w:rFonts w:hint="eastAsia" w:ascii="宋体" w:hAnsi="宋体" w:cs="宋体"/>
          <w:color w:val="auto"/>
          <w:kern w:val="0"/>
          <w:sz w:val="24"/>
          <w:highlight w:val="none"/>
        </w:rPr>
        <w:t>根据竞争性谈判采购文件规定及供应商提供的材料自行编写目录及页码（部分格式后附）。</w:t>
      </w:r>
    </w:p>
    <w:p>
      <w:pPr>
        <w:snapToGrid w:val="0"/>
        <w:spacing w:before="120" w:beforeLines="50" w:after="50" w:line="360" w:lineRule="auto"/>
        <w:ind w:left="142" w:firstLine="480" w:firstLineChars="200"/>
        <w:jc w:val="left"/>
        <w:rPr>
          <w:rFonts w:hint="eastAsia" w:hAnsi="宋体" w:cs="仿宋_GB2312"/>
          <w:color w:val="auto"/>
          <w:sz w:val="24"/>
          <w:highlight w:val="none"/>
        </w:rPr>
      </w:pPr>
      <w:r>
        <w:rPr>
          <w:rFonts w:hAnsi="宋体" w:cs="仿宋_GB2312"/>
          <w:color w:val="auto"/>
          <w:sz w:val="24"/>
          <w:highlight w:val="none"/>
        </w:rPr>
        <w:br w:type="page"/>
      </w:r>
      <w:r>
        <w:rPr>
          <w:rFonts w:hint="eastAsia" w:hAnsi="宋体"/>
          <w:b/>
          <w:bCs/>
          <w:color w:val="auto"/>
          <w:sz w:val="32"/>
          <w:szCs w:val="32"/>
          <w:highlight w:val="none"/>
        </w:rPr>
        <w:t>一、响应函</w:t>
      </w:r>
    </w:p>
    <w:p>
      <w:pPr>
        <w:pStyle w:val="17"/>
        <w:spacing w:line="500" w:lineRule="exact"/>
        <w:jc w:val="center"/>
        <w:rPr>
          <w:rFonts w:ascii="Times New Roman" w:hAnsi="Times New Roman"/>
          <w:b/>
          <w:bCs/>
          <w:color w:val="auto"/>
          <w:sz w:val="30"/>
          <w:szCs w:val="30"/>
          <w:highlight w:val="none"/>
        </w:rPr>
      </w:pPr>
      <w:r>
        <w:rPr>
          <w:rFonts w:hint="eastAsia" w:ascii="Times New Roman" w:hAnsi="Times New Roman"/>
          <w:b/>
          <w:bCs/>
          <w:color w:val="auto"/>
          <w:sz w:val="30"/>
          <w:szCs w:val="30"/>
          <w:highlight w:val="none"/>
        </w:rPr>
        <w:t>响应函</w:t>
      </w:r>
    </w:p>
    <w:p>
      <w:pPr>
        <w:pStyle w:val="17"/>
        <w:spacing w:line="400" w:lineRule="exact"/>
        <w:rPr>
          <w:rFonts w:ascii="Times New Roman" w:hAnsi="Times New Roman"/>
          <w:color w:val="auto"/>
          <w:sz w:val="24"/>
          <w:szCs w:val="24"/>
          <w:highlight w:val="none"/>
        </w:rPr>
      </w:pPr>
      <w:r>
        <w:rPr>
          <w:rFonts w:hint="eastAsia" w:ascii="Times New Roman" w:hAnsi="Times New Roman"/>
          <w:color w:val="auto"/>
          <w:sz w:val="24"/>
          <w:szCs w:val="24"/>
          <w:highlight w:val="none"/>
        </w:rPr>
        <w:t>致：</w:t>
      </w:r>
      <w:r>
        <w:rPr>
          <w:rFonts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u w:val="single"/>
          <w:lang w:eastAsia="zh-CN"/>
        </w:rPr>
        <w:t>广西同泽工程项目管理股份有限公司</w:t>
      </w:r>
      <w:r>
        <w:rPr>
          <w:rFonts w:ascii="Times New Roman" w:hAnsi="Times New Roman"/>
          <w:color w:val="auto"/>
          <w:sz w:val="24"/>
          <w:szCs w:val="24"/>
          <w:highlight w:val="none"/>
          <w:u w:val="single"/>
        </w:rPr>
        <w:t xml:space="preserve"> </w:t>
      </w:r>
    </w:p>
    <w:p>
      <w:pPr>
        <w:pStyle w:val="17"/>
        <w:spacing w:line="400" w:lineRule="exact"/>
        <w:ind w:firstLine="480" w:firstLineChars="200"/>
        <w:rPr>
          <w:rFonts w:ascii="Times New Roman" w:hAnsi="Times New Roman"/>
          <w:color w:val="auto"/>
          <w:sz w:val="24"/>
          <w:szCs w:val="24"/>
          <w:highlight w:val="none"/>
        </w:rPr>
      </w:pPr>
      <w:r>
        <w:rPr>
          <w:rFonts w:hint="eastAsia"/>
          <w:color w:val="auto"/>
          <w:sz w:val="24"/>
          <w:szCs w:val="24"/>
          <w:highlight w:val="none"/>
        </w:rPr>
        <w:t>我方已仔细阅读了贵方组织的</w:t>
      </w:r>
      <w:r>
        <w:rPr>
          <w:rFonts w:hint="eastAsia"/>
          <w:color w:val="auto"/>
          <w:sz w:val="24"/>
          <w:szCs w:val="24"/>
          <w:highlight w:val="none"/>
          <w:u w:val="single"/>
        </w:rPr>
        <w:t xml:space="preserve"> 项目名称     </w:t>
      </w:r>
      <w:r>
        <w:rPr>
          <w:rFonts w:hint="eastAsia"/>
          <w:color w:val="auto"/>
          <w:sz w:val="24"/>
          <w:szCs w:val="24"/>
          <w:highlight w:val="none"/>
        </w:rPr>
        <w:t>项目（项目编号：</w:t>
      </w:r>
      <w:r>
        <w:rPr>
          <w:rFonts w:hint="eastAsia" w:hAnsi="宋体"/>
          <w:color w:val="auto"/>
          <w:sz w:val="24"/>
          <w:szCs w:val="24"/>
          <w:highlight w:val="none"/>
          <w:u w:val="single"/>
        </w:rPr>
        <w:t xml:space="preserve">       </w:t>
      </w:r>
      <w:r>
        <w:rPr>
          <w:rFonts w:hint="eastAsia"/>
          <w:color w:val="auto"/>
          <w:sz w:val="24"/>
          <w:szCs w:val="24"/>
          <w:highlight w:val="none"/>
        </w:rPr>
        <w:t>）的竞争性</w:t>
      </w:r>
      <w:r>
        <w:rPr>
          <w:rFonts w:hint="eastAsia"/>
          <w:color w:val="auto"/>
          <w:sz w:val="24"/>
          <w:szCs w:val="24"/>
          <w:highlight w:val="none"/>
          <w:lang w:val="en-US" w:eastAsia="zh-CN"/>
        </w:rPr>
        <w:t>谈判</w:t>
      </w:r>
      <w:r>
        <w:rPr>
          <w:rFonts w:hint="eastAsia"/>
          <w:color w:val="auto"/>
          <w:sz w:val="24"/>
          <w:szCs w:val="24"/>
          <w:highlight w:val="none"/>
        </w:rPr>
        <w:t xml:space="preserve">采购文件的全部内容，现正式递交下述文件参加贵方组织的本次政府采购活动： </w:t>
      </w:r>
    </w:p>
    <w:p>
      <w:pPr>
        <w:pStyle w:val="17"/>
        <w:shd w:val="clear"/>
        <w:spacing w:line="38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一、首次报价文件电子版（包含按“第三章 供应商须知”提交的全部文件）；</w:t>
      </w:r>
    </w:p>
    <w:p>
      <w:pPr>
        <w:pStyle w:val="17"/>
        <w:shd w:val="clear"/>
        <w:spacing w:line="38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二、技术文件电子版（包含按“第三章 供应商须知”提交的全部文件）；商务文件电子版（包含按“第三章 供应商须知”提交的全部文件）；（商务技术文件已合并装订成册）；</w:t>
      </w:r>
    </w:p>
    <w:p>
      <w:pPr>
        <w:pStyle w:val="17"/>
        <w:shd w:val="clear"/>
        <w:spacing w:line="38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三、资格证明文件电子版（包含按“第三章供应商须知”提交的全部文件）；</w:t>
      </w:r>
    </w:p>
    <w:p>
      <w:pPr>
        <w:pStyle w:val="17"/>
        <w:spacing w:line="400" w:lineRule="exact"/>
        <w:ind w:firstLine="480" w:firstLineChars="200"/>
        <w:rPr>
          <w:rFonts w:ascii="Times New Roman" w:hAnsi="Times New Roman"/>
          <w:color w:val="auto"/>
          <w:sz w:val="24"/>
          <w:szCs w:val="24"/>
          <w:highlight w:val="none"/>
        </w:rPr>
      </w:pPr>
      <w:r>
        <w:rPr>
          <w:rFonts w:hint="eastAsia"/>
          <w:color w:val="auto"/>
          <w:sz w:val="24"/>
          <w:szCs w:val="24"/>
          <w:highlight w:val="none"/>
        </w:rPr>
        <w:t>据此函，签字人兹宣布：</w:t>
      </w:r>
    </w:p>
    <w:p>
      <w:pPr>
        <w:pStyle w:val="17"/>
        <w:spacing w:line="400" w:lineRule="exact"/>
        <w:ind w:firstLine="482"/>
        <w:rPr>
          <w:rFonts w:ascii="Times New Roman" w:hAnsi="Times New Roman"/>
          <w:color w:val="auto"/>
          <w:sz w:val="24"/>
          <w:szCs w:val="24"/>
          <w:highlight w:val="none"/>
        </w:rPr>
      </w:pPr>
      <w:r>
        <w:rPr>
          <w:rFonts w:hint="eastAsia"/>
          <w:color w:val="auto"/>
          <w:sz w:val="24"/>
          <w:szCs w:val="24"/>
          <w:highlight w:val="none"/>
        </w:rPr>
        <w:t>1、我方愿意以（大写）人民币</w:t>
      </w:r>
      <w:r>
        <w:rPr>
          <w:rFonts w:hint="eastAsia"/>
          <w:color w:val="auto"/>
          <w:sz w:val="24"/>
          <w:szCs w:val="24"/>
          <w:highlight w:val="none"/>
          <w:u w:val="single"/>
        </w:rPr>
        <w:t xml:space="preserve">              </w:t>
      </w:r>
      <w:r>
        <w:rPr>
          <w:rFonts w:hint="eastAsia"/>
          <w:color w:val="auto"/>
          <w:sz w:val="24"/>
          <w:szCs w:val="24"/>
          <w:highlight w:val="none"/>
        </w:rPr>
        <w:t>（￥</w:t>
      </w:r>
      <w:r>
        <w:rPr>
          <w:rFonts w:hint="eastAsia"/>
          <w:color w:val="auto"/>
          <w:sz w:val="24"/>
          <w:szCs w:val="24"/>
          <w:highlight w:val="none"/>
          <w:u w:val="single"/>
        </w:rPr>
        <w:t xml:space="preserve">          </w:t>
      </w:r>
      <w:r>
        <w:rPr>
          <w:rFonts w:hint="eastAsia"/>
          <w:color w:val="auto"/>
          <w:sz w:val="24"/>
          <w:szCs w:val="24"/>
          <w:highlight w:val="none"/>
        </w:rPr>
        <w:t>元)的竞标总报价，提供交货期（无分标时填写）：</w:t>
      </w:r>
      <w:r>
        <w:rPr>
          <w:rFonts w:hint="eastAsia"/>
          <w:color w:val="auto"/>
          <w:sz w:val="24"/>
          <w:szCs w:val="24"/>
          <w:highlight w:val="none"/>
          <w:u w:val="single"/>
        </w:rPr>
        <w:t xml:space="preserve">            </w:t>
      </w:r>
      <w:r>
        <w:rPr>
          <w:rFonts w:hint="eastAsia"/>
          <w:color w:val="auto"/>
          <w:sz w:val="24"/>
          <w:szCs w:val="24"/>
          <w:highlight w:val="none"/>
        </w:rPr>
        <w:t>，提供本项目竞争性</w:t>
      </w:r>
      <w:r>
        <w:rPr>
          <w:rFonts w:hint="eastAsia"/>
          <w:color w:val="auto"/>
          <w:sz w:val="24"/>
          <w:szCs w:val="24"/>
          <w:highlight w:val="none"/>
          <w:lang w:val="en-US" w:eastAsia="zh-CN"/>
        </w:rPr>
        <w:t>谈判</w:t>
      </w:r>
      <w:r>
        <w:rPr>
          <w:rFonts w:hint="eastAsia"/>
          <w:color w:val="auto"/>
          <w:sz w:val="24"/>
          <w:szCs w:val="24"/>
          <w:highlight w:val="none"/>
        </w:rPr>
        <w:t>采购文件第二章“采购需求一览表”中相应的采购内容。</w:t>
      </w:r>
    </w:p>
    <w:p>
      <w:pPr>
        <w:pStyle w:val="17"/>
        <w:spacing w:line="400" w:lineRule="exact"/>
        <w:ind w:firstLine="482"/>
        <w:rPr>
          <w:rFonts w:ascii="Times New Roman" w:hAnsi="Times New Roman"/>
          <w:color w:val="auto"/>
          <w:sz w:val="24"/>
          <w:szCs w:val="24"/>
          <w:highlight w:val="none"/>
        </w:rPr>
      </w:pPr>
      <w:r>
        <w:rPr>
          <w:rFonts w:hint="eastAsia"/>
          <w:color w:val="auto"/>
          <w:sz w:val="24"/>
          <w:szCs w:val="24"/>
          <w:highlight w:val="none"/>
        </w:rPr>
        <w:t>其中（有分标时填写）：</w:t>
      </w:r>
    </w:p>
    <w:p>
      <w:pPr>
        <w:pStyle w:val="17"/>
        <w:spacing w:line="400" w:lineRule="exact"/>
        <w:ind w:firstLine="482"/>
        <w:rPr>
          <w:rFonts w:ascii="Times New Roman" w:hAnsi="Times New Roman"/>
          <w:color w:val="auto"/>
          <w:sz w:val="24"/>
          <w:szCs w:val="24"/>
          <w:highlight w:val="none"/>
        </w:rPr>
      </w:pPr>
      <w:r>
        <w:rPr>
          <w:rFonts w:hint="eastAsia"/>
          <w:color w:val="auto"/>
          <w:sz w:val="24"/>
          <w:szCs w:val="24"/>
          <w:highlight w:val="none"/>
          <w:u w:val="single"/>
        </w:rPr>
        <w:t xml:space="preserve">    </w:t>
      </w:r>
      <w:r>
        <w:rPr>
          <w:rFonts w:hint="eastAsia"/>
          <w:color w:val="auto"/>
          <w:sz w:val="24"/>
          <w:szCs w:val="24"/>
          <w:highlight w:val="none"/>
        </w:rPr>
        <w:t>分标报价为（大写）人民币</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color w:val="auto"/>
          <w:sz w:val="24"/>
          <w:szCs w:val="24"/>
          <w:highlight w:val="none"/>
          <w:u w:val="single"/>
        </w:rPr>
        <w:t xml:space="preserve">           </w:t>
      </w:r>
      <w:r>
        <w:rPr>
          <w:rFonts w:hint="eastAsia"/>
          <w:color w:val="auto"/>
          <w:sz w:val="24"/>
          <w:szCs w:val="24"/>
          <w:highlight w:val="none"/>
        </w:rPr>
        <w:t>元)，服务期：</w:t>
      </w:r>
      <w:r>
        <w:rPr>
          <w:rFonts w:hint="eastAsia"/>
          <w:color w:val="auto"/>
          <w:sz w:val="24"/>
          <w:szCs w:val="24"/>
          <w:highlight w:val="none"/>
          <w:u w:val="single"/>
        </w:rPr>
        <w:t xml:space="preserve">          </w:t>
      </w:r>
      <w:r>
        <w:rPr>
          <w:rFonts w:hint="eastAsia"/>
          <w:color w:val="auto"/>
          <w:sz w:val="24"/>
          <w:szCs w:val="24"/>
          <w:highlight w:val="none"/>
        </w:rPr>
        <w:t>；</w:t>
      </w:r>
    </w:p>
    <w:p>
      <w:pPr>
        <w:pStyle w:val="17"/>
        <w:spacing w:line="400" w:lineRule="exact"/>
        <w:ind w:firstLine="482"/>
        <w:rPr>
          <w:rFonts w:ascii="Times New Roman" w:hAnsi="Times New Roman"/>
          <w:color w:val="auto"/>
          <w:sz w:val="24"/>
          <w:szCs w:val="24"/>
          <w:highlight w:val="none"/>
        </w:rPr>
      </w:pPr>
      <w:r>
        <w:rPr>
          <w:rFonts w:hint="eastAsia"/>
          <w:color w:val="auto"/>
          <w:sz w:val="24"/>
          <w:szCs w:val="24"/>
          <w:highlight w:val="none"/>
          <w:u w:val="single"/>
        </w:rPr>
        <w:t xml:space="preserve">    </w:t>
      </w:r>
      <w:r>
        <w:rPr>
          <w:rFonts w:hint="eastAsia"/>
          <w:color w:val="auto"/>
          <w:sz w:val="24"/>
          <w:szCs w:val="24"/>
          <w:highlight w:val="none"/>
        </w:rPr>
        <w:t>分标报价为（大写）人民币</w:t>
      </w:r>
      <w:r>
        <w:rPr>
          <w:rFonts w:hint="eastAsia"/>
          <w:color w:val="auto"/>
          <w:sz w:val="24"/>
          <w:szCs w:val="24"/>
          <w:highlight w:val="none"/>
          <w:u w:val="single"/>
        </w:rPr>
        <w:t xml:space="preserve">               </w:t>
      </w:r>
      <w:r>
        <w:rPr>
          <w:rFonts w:hint="eastAsia"/>
          <w:color w:val="auto"/>
          <w:sz w:val="24"/>
          <w:szCs w:val="24"/>
          <w:highlight w:val="none"/>
        </w:rPr>
        <w:t xml:space="preserve"> (￥</w:t>
      </w:r>
      <w:r>
        <w:rPr>
          <w:rFonts w:hint="eastAsia"/>
          <w:color w:val="auto"/>
          <w:sz w:val="24"/>
          <w:szCs w:val="24"/>
          <w:highlight w:val="none"/>
          <w:u w:val="single"/>
        </w:rPr>
        <w:t xml:space="preserve">           </w:t>
      </w:r>
      <w:r>
        <w:rPr>
          <w:rFonts w:hint="eastAsia"/>
          <w:color w:val="auto"/>
          <w:sz w:val="24"/>
          <w:szCs w:val="24"/>
          <w:highlight w:val="none"/>
        </w:rPr>
        <w:t>元)，服务期：</w:t>
      </w:r>
      <w:r>
        <w:rPr>
          <w:rFonts w:hint="eastAsia"/>
          <w:color w:val="auto"/>
          <w:sz w:val="24"/>
          <w:szCs w:val="24"/>
          <w:highlight w:val="none"/>
          <w:u w:val="single"/>
        </w:rPr>
        <w:t xml:space="preserve">          </w:t>
      </w:r>
      <w:r>
        <w:rPr>
          <w:rFonts w:hint="eastAsia"/>
          <w:color w:val="auto"/>
          <w:sz w:val="24"/>
          <w:szCs w:val="24"/>
          <w:highlight w:val="none"/>
        </w:rPr>
        <w:t>；</w:t>
      </w:r>
    </w:p>
    <w:p>
      <w:pPr>
        <w:pStyle w:val="17"/>
        <w:spacing w:line="400" w:lineRule="exact"/>
        <w:ind w:firstLine="482"/>
        <w:rPr>
          <w:rFonts w:ascii="Times New Roman" w:hAnsi="Times New Roman"/>
          <w:color w:val="auto"/>
          <w:sz w:val="24"/>
          <w:szCs w:val="24"/>
          <w:highlight w:val="none"/>
        </w:rPr>
      </w:pPr>
      <w:r>
        <w:rPr>
          <w:rFonts w:hint="eastAsia"/>
          <w:color w:val="auto"/>
          <w:sz w:val="24"/>
          <w:szCs w:val="24"/>
          <w:highlight w:val="none"/>
        </w:rPr>
        <w:t>......</w:t>
      </w:r>
    </w:p>
    <w:p>
      <w:pPr>
        <w:pStyle w:val="17"/>
        <w:spacing w:line="400" w:lineRule="exact"/>
        <w:ind w:firstLine="482"/>
        <w:rPr>
          <w:color w:val="auto"/>
          <w:sz w:val="24"/>
          <w:szCs w:val="24"/>
          <w:highlight w:val="none"/>
        </w:rPr>
      </w:pPr>
      <w:r>
        <w:rPr>
          <w:rFonts w:hint="eastAsia"/>
          <w:color w:val="auto"/>
          <w:sz w:val="24"/>
          <w:szCs w:val="24"/>
          <w:highlight w:val="none"/>
        </w:rPr>
        <w:t>2、我方同意自本项目竞争性</w:t>
      </w:r>
      <w:r>
        <w:rPr>
          <w:rFonts w:hint="eastAsia"/>
          <w:color w:val="auto"/>
          <w:sz w:val="24"/>
          <w:szCs w:val="24"/>
          <w:highlight w:val="none"/>
          <w:lang w:val="en-US" w:eastAsia="zh-CN"/>
        </w:rPr>
        <w:t>谈判</w:t>
      </w:r>
      <w:r>
        <w:rPr>
          <w:rFonts w:hint="eastAsia"/>
          <w:color w:val="auto"/>
          <w:sz w:val="24"/>
          <w:szCs w:val="24"/>
          <w:highlight w:val="none"/>
        </w:rPr>
        <w:t>采购文件采购公告规定的递交响应文件截止时间起遵循</w:t>
      </w:r>
      <w:r>
        <w:rPr>
          <w:rFonts w:hint="eastAsia" w:hAnsi="宋体"/>
          <w:color w:val="auto"/>
          <w:sz w:val="24"/>
          <w:szCs w:val="24"/>
          <w:highlight w:val="none"/>
        </w:rPr>
        <w:t>本响应函</w:t>
      </w:r>
      <w:r>
        <w:rPr>
          <w:rFonts w:hint="eastAsia"/>
          <w:color w:val="auto"/>
          <w:sz w:val="24"/>
          <w:szCs w:val="24"/>
          <w:highlight w:val="none"/>
        </w:rPr>
        <w:t>，并承诺在“第三章 供应商须知”规定的响应有效期内不修改、撤销响应文件。</w:t>
      </w:r>
    </w:p>
    <w:p>
      <w:pPr>
        <w:pStyle w:val="17"/>
        <w:spacing w:line="400" w:lineRule="exact"/>
        <w:ind w:firstLine="482"/>
        <w:rPr>
          <w:color w:val="auto"/>
          <w:sz w:val="24"/>
          <w:szCs w:val="24"/>
          <w:highlight w:val="none"/>
        </w:rPr>
      </w:pPr>
      <w:r>
        <w:rPr>
          <w:rFonts w:hint="eastAsia"/>
          <w:color w:val="auto"/>
          <w:sz w:val="24"/>
          <w:szCs w:val="24"/>
          <w:highlight w:val="none"/>
        </w:rPr>
        <w:t>3、我方在此声明，所递交的响应文件及有关资料内容完整、真实和准确。</w:t>
      </w:r>
    </w:p>
    <w:p>
      <w:pPr>
        <w:pStyle w:val="17"/>
        <w:spacing w:line="400" w:lineRule="exact"/>
        <w:ind w:firstLine="482"/>
        <w:rPr>
          <w:color w:val="auto"/>
          <w:sz w:val="24"/>
          <w:szCs w:val="24"/>
          <w:highlight w:val="none"/>
        </w:rPr>
      </w:pPr>
      <w:r>
        <w:rPr>
          <w:rFonts w:hint="eastAsia"/>
          <w:color w:val="auto"/>
          <w:sz w:val="24"/>
          <w:szCs w:val="24"/>
          <w:highlight w:val="none"/>
        </w:rPr>
        <w:t>4、如本项目采购内容涉及须符合国家强制规定的，我方承诺我方本次竞标均符合国家有关强制规定。</w:t>
      </w:r>
    </w:p>
    <w:p>
      <w:pPr>
        <w:pStyle w:val="17"/>
        <w:spacing w:line="400" w:lineRule="exact"/>
        <w:ind w:firstLine="482"/>
        <w:rPr>
          <w:color w:val="auto"/>
          <w:sz w:val="24"/>
          <w:szCs w:val="24"/>
          <w:highlight w:val="none"/>
        </w:rPr>
      </w:pPr>
      <w:r>
        <w:rPr>
          <w:rFonts w:hint="eastAsia"/>
          <w:color w:val="auto"/>
          <w:sz w:val="24"/>
          <w:szCs w:val="24"/>
          <w:highlight w:val="none"/>
        </w:rPr>
        <w:t>5、如我方成交，我方承诺在收到成交通知书后，在成交通知书规定的期限内，</w:t>
      </w:r>
      <w:r>
        <w:rPr>
          <w:rFonts w:hint="eastAsia" w:hAnsi="宋体"/>
          <w:color w:val="auto"/>
          <w:sz w:val="24"/>
          <w:szCs w:val="24"/>
          <w:highlight w:val="none"/>
        </w:rPr>
        <w:t>根据竞争性</w:t>
      </w:r>
      <w:r>
        <w:rPr>
          <w:rFonts w:hint="eastAsia" w:hAnsi="宋体"/>
          <w:color w:val="auto"/>
          <w:sz w:val="24"/>
          <w:szCs w:val="24"/>
          <w:highlight w:val="none"/>
          <w:lang w:val="en-US" w:eastAsia="zh-CN"/>
        </w:rPr>
        <w:t>谈判</w:t>
      </w:r>
      <w:r>
        <w:rPr>
          <w:rFonts w:hint="eastAsia" w:hAnsi="宋体"/>
          <w:color w:val="auto"/>
          <w:sz w:val="24"/>
          <w:szCs w:val="24"/>
          <w:highlight w:val="none"/>
        </w:rPr>
        <w:t>采购文件、我方的响应文件及有关澄清承诺书的要求按第六章“合同文本”与采购人订立书面合同，并按照合同约定</w:t>
      </w:r>
      <w:r>
        <w:rPr>
          <w:rFonts w:hint="eastAsia"/>
          <w:color w:val="auto"/>
          <w:sz w:val="24"/>
          <w:szCs w:val="24"/>
          <w:highlight w:val="none"/>
        </w:rPr>
        <w:t>承担完成合同的责任和义务。</w:t>
      </w:r>
    </w:p>
    <w:p>
      <w:pPr>
        <w:pStyle w:val="17"/>
        <w:spacing w:line="400" w:lineRule="exact"/>
        <w:ind w:firstLine="482"/>
        <w:rPr>
          <w:color w:val="auto"/>
          <w:sz w:val="24"/>
          <w:szCs w:val="24"/>
          <w:highlight w:val="none"/>
        </w:rPr>
      </w:pPr>
      <w:r>
        <w:rPr>
          <w:rFonts w:hint="eastAsia"/>
          <w:color w:val="auto"/>
          <w:sz w:val="24"/>
          <w:szCs w:val="24"/>
          <w:highlight w:val="none"/>
        </w:rPr>
        <w:t>6、我方已详细审核竞争性</w:t>
      </w:r>
      <w:r>
        <w:rPr>
          <w:rFonts w:hint="eastAsia"/>
          <w:color w:val="auto"/>
          <w:sz w:val="24"/>
          <w:szCs w:val="24"/>
          <w:highlight w:val="none"/>
          <w:lang w:val="en-US" w:eastAsia="zh-CN"/>
        </w:rPr>
        <w:t>谈判</w:t>
      </w:r>
      <w:r>
        <w:rPr>
          <w:rFonts w:hint="eastAsia"/>
          <w:color w:val="auto"/>
          <w:sz w:val="24"/>
          <w:szCs w:val="24"/>
          <w:highlight w:val="none"/>
        </w:rPr>
        <w:t>采购文件，我方知道必须放弃提出含糊不清或误解问题的权利。</w:t>
      </w:r>
    </w:p>
    <w:p>
      <w:pPr>
        <w:pStyle w:val="17"/>
        <w:spacing w:line="400" w:lineRule="exact"/>
        <w:ind w:firstLine="482"/>
        <w:rPr>
          <w:color w:val="auto"/>
          <w:sz w:val="24"/>
          <w:szCs w:val="24"/>
          <w:highlight w:val="none"/>
        </w:rPr>
      </w:pPr>
      <w:r>
        <w:rPr>
          <w:rFonts w:hint="eastAsia"/>
          <w:color w:val="auto"/>
          <w:sz w:val="24"/>
          <w:szCs w:val="24"/>
          <w:highlight w:val="none"/>
        </w:rPr>
        <w:t>7、我方承诺满足竞争性</w:t>
      </w:r>
      <w:r>
        <w:rPr>
          <w:rFonts w:hint="eastAsia"/>
          <w:color w:val="auto"/>
          <w:sz w:val="24"/>
          <w:szCs w:val="24"/>
          <w:highlight w:val="none"/>
          <w:lang w:val="en-US" w:eastAsia="zh-CN"/>
        </w:rPr>
        <w:t>谈判</w:t>
      </w:r>
      <w:r>
        <w:rPr>
          <w:rFonts w:hint="eastAsia"/>
          <w:color w:val="auto"/>
          <w:sz w:val="24"/>
          <w:szCs w:val="24"/>
          <w:highlight w:val="none"/>
        </w:rPr>
        <w:t>采购文件</w:t>
      </w:r>
      <w:r>
        <w:rPr>
          <w:rFonts w:hint="eastAsia" w:hAnsi="宋体"/>
          <w:color w:val="auto"/>
          <w:sz w:val="24"/>
          <w:szCs w:val="24"/>
          <w:highlight w:val="none"/>
        </w:rPr>
        <w:t>第六章“合同文本”</w:t>
      </w:r>
      <w:r>
        <w:rPr>
          <w:rFonts w:hint="eastAsia"/>
          <w:color w:val="auto"/>
          <w:sz w:val="24"/>
          <w:szCs w:val="24"/>
          <w:highlight w:val="none"/>
        </w:rPr>
        <w:t>的条款，承担完成合同的责任和义务。</w:t>
      </w:r>
    </w:p>
    <w:p>
      <w:pPr>
        <w:pStyle w:val="17"/>
        <w:spacing w:line="400" w:lineRule="exact"/>
        <w:ind w:firstLine="482"/>
        <w:rPr>
          <w:color w:val="auto"/>
          <w:sz w:val="24"/>
          <w:szCs w:val="24"/>
          <w:highlight w:val="none"/>
        </w:rPr>
      </w:pPr>
      <w:r>
        <w:rPr>
          <w:rFonts w:hint="eastAsia"/>
          <w:color w:val="auto"/>
          <w:sz w:val="24"/>
          <w:szCs w:val="24"/>
          <w:highlight w:val="none"/>
        </w:rPr>
        <w:t>8、我方同意应贵方要求提供与本竞标有关的任何数据或资料。若贵方需要，我方愿意提供我方作出的一切承诺的证明材料。</w:t>
      </w:r>
    </w:p>
    <w:p>
      <w:pPr>
        <w:pStyle w:val="17"/>
        <w:spacing w:line="400" w:lineRule="exact"/>
        <w:ind w:firstLine="482"/>
        <w:rPr>
          <w:color w:val="auto"/>
          <w:sz w:val="24"/>
          <w:szCs w:val="24"/>
          <w:highlight w:val="none"/>
        </w:rPr>
      </w:pPr>
      <w:r>
        <w:rPr>
          <w:rFonts w:hint="eastAsia"/>
          <w:color w:val="auto"/>
          <w:sz w:val="24"/>
          <w:szCs w:val="24"/>
          <w:highlight w:val="none"/>
        </w:rPr>
        <w:t>9、我方完全理解贵方不一定接受响应报价最低的竞标人为成交供应商的行为。</w:t>
      </w:r>
    </w:p>
    <w:p>
      <w:pPr>
        <w:pStyle w:val="17"/>
        <w:spacing w:line="400" w:lineRule="exact"/>
        <w:ind w:firstLine="482"/>
        <w:rPr>
          <w:color w:val="auto"/>
          <w:sz w:val="24"/>
          <w:szCs w:val="24"/>
          <w:highlight w:val="none"/>
        </w:rPr>
      </w:pPr>
      <w:r>
        <w:rPr>
          <w:rFonts w:hint="eastAsia"/>
          <w:color w:val="auto"/>
          <w:sz w:val="24"/>
          <w:szCs w:val="24"/>
          <w:highlight w:val="none"/>
        </w:rPr>
        <w:t>10、我方将严格遵守《中华人民共和国政府采购法》第七十七条的规定，即供应商有下列情形之一的，处以采购金额千分之五以上千分之十</w:t>
      </w:r>
      <w:r>
        <w:rPr>
          <w:rFonts w:hint="eastAsia" w:hAnsi="宋体"/>
          <w:color w:val="auto"/>
          <w:sz w:val="24"/>
          <w:szCs w:val="24"/>
          <w:highlight w:val="none"/>
        </w:rPr>
        <w:t>以下的罚款，列入不良行为记录名单，在一至三年内禁止参加政府采购活动，有违法所得的，并处没收违法所得，情节严重的，由工商行政管理机关吊销营业执照；构成犯罪的，依法追究刑事责任：</w:t>
      </w:r>
    </w:p>
    <w:p>
      <w:pPr>
        <w:pStyle w:val="17"/>
        <w:numPr>
          <w:ilvl w:val="0"/>
          <w:numId w:val="14"/>
        </w:numPr>
        <w:tabs>
          <w:tab w:val="left" w:pos="945"/>
        </w:tabs>
        <w:spacing w:line="400" w:lineRule="exact"/>
        <w:ind w:left="0" w:firstLine="420" w:firstLineChars="175"/>
        <w:rPr>
          <w:rFonts w:hint="eastAsia" w:hAnsi="宋体"/>
          <w:color w:val="auto"/>
          <w:sz w:val="24"/>
          <w:szCs w:val="24"/>
          <w:highlight w:val="none"/>
        </w:rPr>
      </w:pPr>
      <w:r>
        <w:rPr>
          <w:rFonts w:hint="eastAsia" w:hAnsi="宋体"/>
          <w:color w:val="auto"/>
          <w:sz w:val="24"/>
          <w:szCs w:val="24"/>
          <w:highlight w:val="none"/>
        </w:rPr>
        <w:t>提供虚假材料谋取中标、成交的；</w:t>
      </w:r>
    </w:p>
    <w:p>
      <w:pPr>
        <w:pStyle w:val="17"/>
        <w:numPr>
          <w:ilvl w:val="0"/>
          <w:numId w:val="14"/>
        </w:numPr>
        <w:tabs>
          <w:tab w:val="left" w:pos="945"/>
        </w:tabs>
        <w:spacing w:line="400" w:lineRule="exact"/>
        <w:ind w:left="0" w:firstLine="420" w:firstLineChars="175"/>
        <w:rPr>
          <w:rFonts w:hint="eastAsia" w:hAnsi="宋体"/>
          <w:color w:val="auto"/>
          <w:sz w:val="24"/>
          <w:szCs w:val="24"/>
          <w:highlight w:val="none"/>
        </w:rPr>
      </w:pPr>
      <w:r>
        <w:rPr>
          <w:rFonts w:hint="eastAsia" w:hAnsi="宋体"/>
          <w:color w:val="auto"/>
          <w:sz w:val="24"/>
          <w:szCs w:val="24"/>
          <w:highlight w:val="none"/>
        </w:rPr>
        <w:t>采取不正当手段诋毁、排挤其他供应商的；</w:t>
      </w:r>
    </w:p>
    <w:p>
      <w:pPr>
        <w:pStyle w:val="17"/>
        <w:numPr>
          <w:ilvl w:val="0"/>
          <w:numId w:val="14"/>
        </w:numPr>
        <w:tabs>
          <w:tab w:val="left" w:pos="945"/>
        </w:tabs>
        <w:spacing w:line="400" w:lineRule="exact"/>
        <w:ind w:left="0" w:firstLine="420" w:firstLineChars="175"/>
        <w:rPr>
          <w:color w:val="auto"/>
          <w:sz w:val="24"/>
          <w:szCs w:val="24"/>
          <w:highlight w:val="none"/>
        </w:rPr>
      </w:pPr>
      <w:r>
        <w:rPr>
          <w:rFonts w:hint="eastAsia" w:hAnsi="宋体"/>
          <w:color w:val="auto"/>
          <w:sz w:val="24"/>
          <w:szCs w:val="24"/>
          <w:highlight w:val="none"/>
        </w:rPr>
        <w:t>与采购人、其他供应商或者采购代理机构恶意串通的；</w:t>
      </w:r>
    </w:p>
    <w:p>
      <w:pPr>
        <w:pStyle w:val="17"/>
        <w:numPr>
          <w:ilvl w:val="0"/>
          <w:numId w:val="14"/>
        </w:numPr>
        <w:tabs>
          <w:tab w:val="left" w:pos="945"/>
        </w:tabs>
        <w:spacing w:line="400" w:lineRule="exact"/>
        <w:ind w:left="0" w:firstLine="420" w:firstLineChars="175"/>
        <w:rPr>
          <w:color w:val="auto"/>
          <w:sz w:val="24"/>
          <w:szCs w:val="24"/>
          <w:highlight w:val="none"/>
        </w:rPr>
      </w:pPr>
      <w:r>
        <w:rPr>
          <w:rFonts w:hint="eastAsia" w:hAnsi="宋体"/>
          <w:color w:val="auto"/>
          <w:sz w:val="24"/>
          <w:szCs w:val="24"/>
          <w:highlight w:val="none"/>
        </w:rPr>
        <w:t>向采购人、采购代理机构行贿或者提供其他不正当利益的；</w:t>
      </w:r>
    </w:p>
    <w:p>
      <w:pPr>
        <w:pStyle w:val="17"/>
        <w:numPr>
          <w:ilvl w:val="0"/>
          <w:numId w:val="14"/>
        </w:numPr>
        <w:tabs>
          <w:tab w:val="left" w:pos="945"/>
        </w:tabs>
        <w:spacing w:line="400" w:lineRule="exact"/>
        <w:ind w:left="0" w:firstLine="420" w:firstLineChars="175"/>
        <w:rPr>
          <w:color w:val="auto"/>
          <w:sz w:val="24"/>
          <w:szCs w:val="24"/>
          <w:highlight w:val="none"/>
        </w:rPr>
      </w:pPr>
      <w:r>
        <w:rPr>
          <w:rFonts w:hint="eastAsia" w:hAnsi="宋体"/>
          <w:color w:val="auto"/>
          <w:sz w:val="24"/>
          <w:szCs w:val="24"/>
          <w:highlight w:val="none"/>
        </w:rPr>
        <w:t>在采购过程中与采购人进行协商</w:t>
      </w:r>
      <w:r>
        <w:rPr>
          <w:rFonts w:hint="eastAsia" w:hAnsi="宋体"/>
          <w:color w:val="auto"/>
          <w:sz w:val="24"/>
          <w:szCs w:val="24"/>
          <w:highlight w:val="none"/>
          <w:lang w:val="en-US" w:eastAsia="zh-CN"/>
        </w:rPr>
        <w:t>谈判</w:t>
      </w:r>
      <w:r>
        <w:rPr>
          <w:rFonts w:hint="eastAsia" w:hAnsi="宋体"/>
          <w:color w:val="auto"/>
          <w:sz w:val="24"/>
          <w:szCs w:val="24"/>
          <w:highlight w:val="none"/>
        </w:rPr>
        <w:t>的；</w:t>
      </w:r>
    </w:p>
    <w:p>
      <w:pPr>
        <w:pStyle w:val="17"/>
        <w:numPr>
          <w:ilvl w:val="0"/>
          <w:numId w:val="14"/>
        </w:numPr>
        <w:tabs>
          <w:tab w:val="left" w:pos="945"/>
        </w:tabs>
        <w:spacing w:line="400" w:lineRule="exact"/>
        <w:ind w:left="0" w:firstLine="420" w:firstLineChars="175"/>
        <w:rPr>
          <w:color w:val="auto"/>
          <w:sz w:val="24"/>
          <w:szCs w:val="24"/>
          <w:highlight w:val="none"/>
        </w:rPr>
      </w:pPr>
      <w:r>
        <w:rPr>
          <w:rFonts w:hint="eastAsia" w:hAnsi="宋体"/>
          <w:color w:val="auto"/>
          <w:sz w:val="24"/>
          <w:szCs w:val="24"/>
          <w:highlight w:val="none"/>
        </w:rPr>
        <w:t>拒绝有关部门监督检查或提供虚假情况的。</w:t>
      </w:r>
    </w:p>
    <w:p>
      <w:pPr>
        <w:pStyle w:val="17"/>
        <w:spacing w:line="400" w:lineRule="exact"/>
        <w:ind w:firstLine="420"/>
        <w:rPr>
          <w:color w:val="auto"/>
          <w:sz w:val="24"/>
          <w:szCs w:val="24"/>
          <w:highlight w:val="none"/>
        </w:rPr>
      </w:pPr>
      <w:r>
        <w:rPr>
          <w:rFonts w:hint="eastAsia" w:hAnsi="宋体" w:cs="宋体"/>
          <w:color w:val="auto"/>
          <w:sz w:val="24"/>
          <w:szCs w:val="24"/>
          <w:highlight w:val="none"/>
        </w:rPr>
        <w:t>11.与本</w:t>
      </w:r>
      <w:r>
        <w:rPr>
          <w:rFonts w:hint="eastAsia" w:hAnsi="宋体" w:cs="宋体"/>
          <w:color w:val="auto"/>
          <w:sz w:val="24"/>
          <w:szCs w:val="24"/>
          <w:highlight w:val="none"/>
          <w:lang w:val="en-US" w:eastAsia="zh-CN"/>
        </w:rPr>
        <w:t>谈判</w:t>
      </w:r>
      <w:r>
        <w:rPr>
          <w:rFonts w:hint="eastAsia" w:hAnsi="宋体" w:cs="宋体"/>
          <w:color w:val="auto"/>
          <w:sz w:val="24"/>
          <w:szCs w:val="24"/>
          <w:highlight w:val="none"/>
        </w:rPr>
        <w:t>有关的一切正式往来信函请寄</w:t>
      </w:r>
      <w:r>
        <w:rPr>
          <w:rFonts w:hint="eastAsia"/>
          <w:color w:val="auto"/>
          <w:sz w:val="24"/>
          <w:szCs w:val="24"/>
          <w:highlight w:val="none"/>
        </w:rPr>
        <w:t>：</w:t>
      </w:r>
    </w:p>
    <w:p>
      <w:pPr>
        <w:pStyle w:val="17"/>
        <w:spacing w:line="400" w:lineRule="exact"/>
        <w:ind w:firstLine="420"/>
        <w:rPr>
          <w:color w:val="auto"/>
          <w:sz w:val="24"/>
          <w:szCs w:val="24"/>
          <w:highlight w:val="none"/>
        </w:rPr>
      </w:pPr>
      <w:r>
        <w:rPr>
          <w:rFonts w:hint="eastAsia"/>
          <w:color w:val="auto"/>
          <w:sz w:val="24"/>
          <w:szCs w:val="24"/>
          <w:highlight w:val="none"/>
        </w:rPr>
        <w:t>地址：</w:t>
      </w:r>
      <w:r>
        <w:rPr>
          <w:rFonts w:hint="eastAsia"/>
          <w:color w:val="auto"/>
          <w:sz w:val="24"/>
          <w:szCs w:val="24"/>
          <w:highlight w:val="none"/>
          <w:u w:val="single"/>
        </w:rPr>
        <w:t xml:space="preserve">                                                        </w:t>
      </w:r>
      <w:r>
        <w:rPr>
          <w:rFonts w:hint="eastAsia"/>
          <w:color w:val="auto"/>
          <w:sz w:val="24"/>
          <w:szCs w:val="24"/>
          <w:highlight w:val="none"/>
        </w:rPr>
        <w:t xml:space="preserve"> </w:t>
      </w:r>
    </w:p>
    <w:p>
      <w:pPr>
        <w:pStyle w:val="17"/>
        <w:spacing w:line="400" w:lineRule="exact"/>
        <w:ind w:firstLine="420"/>
        <w:rPr>
          <w:color w:val="auto"/>
          <w:sz w:val="24"/>
          <w:szCs w:val="24"/>
          <w:highlight w:val="none"/>
          <w:u w:val="single"/>
        </w:rPr>
      </w:pPr>
      <w:r>
        <w:rPr>
          <w:rFonts w:hint="eastAsia"/>
          <w:color w:val="auto"/>
          <w:sz w:val="24"/>
          <w:szCs w:val="24"/>
          <w:highlight w:val="none"/>
        </w:rPr>
        <w:t>电话：</w:t>
      </w:r>
      <w:r>
        <w:rPr>
          <w:rFonts w:hint="eastAsia"/>
          <w:color w:val="auto"/>
          <w:sz w:val="24"/>
          <w:szCs w:val="24"/>
          <w:highlight w:val="none"/>
          <w:u w:val="single"/>
        </w:rPr>
        <w:t xml:space="preserve">                                      　　　　　　　　　</w:t>
      </w:r>
    </w:p>
    <w:p>
      <w:pPr>
        <w:pStyle w:val="17"/>
        <w:spacing w:line="400" w:lineRule="exact"/>
        <w:ind w:firstLine="420"/>
        <w:rPr>
          <w:color w:val="auto"/>
          <w:sz w:val="24"/>
          <w:szCs w:val="24"/>
          <w:highlight w:val="none"/>
        </w:rPr>
      </w:pPr>
      <w:r>
        <w:rPr>
          <w:rFonts w:hint="eastAsia"/>
          <w:color w:val="auto"/>
          <w:sz w:val="24"/>
          <w:szCs w:val="24"/>
          <w:highlight w:val="none"/>
        </w:rPr>
        <w:t>传真：</w:t>
      </w:r>
      <w:r>
        <w:rPr>
          <w:rFonts w:hint="eastAsia"/>
          <w:color w:val="auto"/>
          <w:sz w:val="24"/>
          <w:szCs w:val="24"/>
          <w:highlight w:val="none"/>
          <w:u w:val="single"/>
        </w:rPr>
        <w:t>　　　　　　　　　　　　　　　　　　　　　　　　　　　　</w:t>
      </w:r>
    </w:p>
    <w:p>
      <w:pPr>
        <w:pStyle w:val="17"/>
        <w:spacing w:line="400" w:lineRule="exact"/>
        <w:ind w:firstLine="420"/>
        <w:rPr>
          <w:color w:val="auto"/>
          <w:sz w:val="24"/>
          <w:szCs w:val="24"/>
          <w:highlight w:val="none"/>
          <w:u w:val="single"/>
        </w:rPr>
      </w:pPr>
      <w:r>
        <w:rPr>
          <w:rFonts w:hint="eastAsia"/>
          <w:color w:val="auto"/>
          <w:sz w:val="24"/>
          <w:szCs w:val="24"/>
          <w:highlight w:val="none"/>
        </w:rPr>
        <w:t>邮政编码：</w:t>
      </w:r>
      <w:r>
        <w:rPr>
          <w:rFonts w:hint="eastAsia"/>
          <w:color w:val="auto"/>
          <w:sz w:val="24"/>
          <w:szCs w:val="24"/>
          <w:highlight w:val="none"/>
          <w:u w:val="single"/>
        </w:rPr>
        <w:t xml:space="preserve">                                                    </w:t>
      </w:r>
    </w:p>
    <w:p>
      <w:pPr>
        <w:pStyle w:val="17"/>
        <w:spacing w:line="400" w:lineRule="exact"/>
        <w:ind w:firstLine="420"/>
        <w:rPr>
          <w:color w:val="auto"/>
          <w:sz w:val="24"/>
          <w:szCs w:val="24"/>
          <w:highlight w:val="none"/>
          <w:u w:val="single"/>
        </w:rPr>
      </w:pPr>
      <w:r>
        <w:rPr>
          <w:rFonts w:hint="eastAsia"/>
          <w:color w:val="auto"/>
          <w:sz w:val="24"/>
          <w:szCs w:val="24"/>
          <w:highlight w:val="none"/>
        </w:rPr>
        <w:t>开户名称：</w:t>
      </w:r>
      <w:r>
        <w:rPr>
          <w:rFonts w:hint="eastAsia"/>
          <w:color w:val="auto"/>
          <w:sz w:val="24"/>
          <w:szCs w:val="24"/>
          <w:highlight w:val="none"/>
          <w:u w:val="single"/>
        </w:rPr>
        <w:t xml:space="preserve">                                                    </w:t>
      </w:r>
    </w:p>
    <w:p>
      <w:pPr>
        <w:pStyle w:val="17"/>
        <w:spacing w:line="400" w:lineRule="exact"/>
        <w:ind w:firstLine="420"/>
        <w:rPr>
          <w:color w:val="auto"/>
          <w:sz w:val="24"/>
          <w:szCs w:val="24"/>
          <w:highlight w:val="none"/>
          <w:u w:val="single"/>
        </w:rPr>
      </w:pPr>
      <w:r>
        <w:rPr>
          <w:rFonts w:hint="eastAsia"/>
          <w:color w:val="auto"/>
          <w:sz w:val="24"/>
          <w:szCs w:val="24"/>
          <w:highlight w:val="none"/>
        </w:rPr>
        <w:t>开户银行：</w:t>
      </w:r>
      <w:r>
        <w:rPr>
          <w:rFonts w:hint="eastAsia"/>
          <w:color w:val="auto"/>
          <w:sz w:val="24"/>
          <w:szCs w:val="24"/>
          <w:highlight w:val="none"/>
          <w:u w:val="single"/>
        </w:rPr>
        <w:t xml:space="preserve">                                                    </w:t>
      </w:r>
    </w:p>
    <w:p>
      <w:pPr>
        <w:pStyle w:val="17"/>
        <w:spacing w:line="400" w:lineRule="exact"/>
        <w:ind w:firstLine="420"/>
        <w:rPr>
          <w:color w:val="auto"/>
          <w:sz w:val="24"/>
          <w:szCs w:val="24"/>
          <w:highlight w:val="none"/>
          <w:u w:val="single"/>
        </w:rPr>
      </w:pPr>
      <w:r>
        <w:rPr>
          <w:rFonts w:hint="eastAsia"/>
          <w:color w:val="auto"/>
          <w:sz w:val="24"/>
          <w:szCs w:val="24"/>
          <w:highlight w:val="none"/>
        </w:rPr>
        <w:t>银行账号：</w:t>
      </w:r>
      <w:r>
        <w:rPr>
          <w:rFonts w:hint="eastAsia"/>
          <w:color w:val="auto"/>
          <w:sz w:val="24"/>
          <w:szCs w:val="24"/>
          <w:highlight w:val="none"/>
          <w:u w:val="single"/>
        </w:rPr>
        <w:t xml:space="preserve">                                                    </w:t>
      </w:r>
    </w:p>
    <w:p>
      <w:pPr>
        <w:pStyle w:val="15"/>
        <w:tabs>
          <w:tab w:val="left" w:pos="939"/>
        </w:tabs>
        <w:spacing w:line="400" w:lineRule="exact"/>
        <w:ind w:left="0" w:leftChars="0"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pPr>
        <w:spacing w:line="400" w:lineRule="exact"/>
        <w:contextualSpacing/>
        <w:jc w:val="left"/>
        <w:rPr>
          <w:rFonts w:hint="eastAsia" w:ascii="宋体" w:hAnsi="宋体" w:cs="宋体"/>
          <w:color w:val="auto"/>
          <w:sz w:val="24"/>
          <w:highlight w:val="none"/>
        </w:rPr>
      </w:pPr>
    </w:p>
    <w:p>
      <w:pPr>
        <w:autoSpaceDE w:val="0"/>
        <w:autoSpaceDN w:val="0"/>
        <w:spacing w:line="400" w:lineRule="exact"/>
        <w:ind w:firstLine="6000" w:firstLineChars="25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pPr>
        <w:autoSpaceDE w:val="0"/>
        <w:autoSpaceDN w:val="0"/>
        <w:spacing w:line="400" w:lineRule="exact"/>
        <w:ind w:firstLine="6480" w:firstLineChars="2700"/>
        <w:rPr>
          <w:rFonts w:hint="eastAsia" w:ascii="仿宋_GB2312" w:hAnsi="仿宋" w:eastAsia="仿宋_GB2312" w:cs="仿宋_GB2312"/>
          <w:color w:val="auto"/>
          <w:kern w:val="0"/>
          <w:sz w:val="24"/>
          <w:highlight w:val="none"/>
          <w:lang w:val="zh-CN"/>
        </w:rPr>
        <w:sectPr>
          <w:pgSz w:w="11910" w:h="16840"/>
          <w:pgMar w:top="1340" w:right="1500" w:bottom="280" w:left="1680" w:header="720" w:footer="720" w:gutter="0"/>
          <w:cols w:space="720" w:num="1"/>
        </w:sectPr>
      </w:pPr>
      <w:r>
        <w:rPr>
          <w:rFonts w:hint="eastAsia" w:ascii="仿宋_GB2312" w:hAnsi="仿宋" w:eastAsia="仿宋_GB2312" w:cs="仿宋_GB2312"/>
          <w:color w:val="auto"/>
          <w:kern w:val="0"/>
          <w:sz w:val="24"/>
          <w:highlight w:val="none"/>
          <w:lang w:val="zh-CN"/>
        </w:rPr>
        <w:t xml:space="preserve">日期：  年  月   </w:t>
      </w:r>
    </w:p>
    <w:p>
      <w:pPr>
        <w:pStyle w:val="31"/>
        <w:ind w:firstLine="0" w:firstLineChars="0"/>
        <w:rPr>
          <w:color w:val="auto"/>
          <w:highlight w:val="none"/>
        </w:rPr>
      </w:pPr>
    </w:p>
    <w:p>
      <w:pPr>
        <w:keepNext w:val="0"/>
        <w:keepLines w:val="0"/>
        <w:pageBreakBefore w:val="0"/>
        <w:widowControl w:val="0"/>
        <w:numPr>
          <w:ilvl w:val="0"/>
          <w:numId w:val="15"/>
        </w:numPr>
        <w:kinsoku/>
        <w:wordWrap/>
        <w:overflowPunct/>
        <w:topLinePunct w:val="0"/>
        <w:autoSpaceDE/>
        <w:autoSpaceDN/>
        <w:bidi w:val="0"/>
        <w:adjustRightInd/>
        <w:snapToGrid/>
        <w:spacing w:line="480" w:lineRule="auto"/>
        <w:ind w:firstLine="643" w:firstLineChars="200"/>
        <w:textAlignment w:val="auto"/>
        <w:rPr>
          <w:rFonts w:hint="eastAsia" w:ascii="宋体" w:hAnsi="宋体"/>
          <w:b/>
          <w:bCs/>
          <w:color w:val="auto"/>
          <w:sz w:val="32"/>
          <w:szCs w:val="32"/>
          <w:highlight w:val="none"/>
        </w:rPr>
      </w:pPr>
      <w:r>
        <w:rPr>
          <w:rFonts w:hint="eastAsia" w:ascii="宋体" w:hAnsi="宋体"/>
          <w:b/>
          <w:bCs/>
          <w:color w:val="auto"/>
          <w:sz w:val="32"/>
          <w:szCs w:val="32"/>
          <w:highlight w:val="none"/>
        </w:rPr>
        <w:t>响应报价表</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jc w:val="center"/>
        <w:textAlignment w:val="auto"/>
        <w:rPr>
          <w:rFonts w:hint="eastAsia" w:ascii="宋体" w:hAnsi="宋体"/>
          <w:b/>
          <w:bCs/>
          <w:color w:val="auto"/>
          <w:sz w:val="32"/>
          <w:szCs w:val="32"/>
          <w:highlight w:val="none"/>
        </w:rPr>
      </w:pPr>
      <w:r>
        <w:rPr>
          <w:rFonts w:hint="eastAsia" w:ascii="宋体" w:hAnsi="宋体"/>
          <w:b/>
          <w:bCs/>
          <w:color w:val="auto"/>
          <w:sz w:val="32"/>
          <w:szCs w:val="32"/>
          <w:highlight w:val="none"/>
        </w:rPr>
        <w:t>响应报价表</w:t>
      </w:r>
    </w:p>
    <w:p>
      <w:pPr>
        <w:snapToGrid w:val="0"/>
        <w:spacing w:before="50" w:after="50" w:line="360" w:lineRule="auto"/>
        <w:rPr>
          <w:rFonts w:hint="eastAsia" w:ascii="宋体" w:hAnsi="宋体"/>
          <w:color w:val="auto"/>
          <w:sz w:val="24"/>
          <w:highlight w:val="non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崇左市荣军优抚医院皮肤科设备采购项目</w:t>
      </w:r>
      <w:r>
        <w:rPr>
          <w:rFonts w:hint="eastAsia" w:ascii="宋体" w:hAnsi="宋体"/>
          <w:color w:val="auto"/>
          <w:sz w:val="24"/>
          <w:highlight w:val="none"/>
          <w:u w:val="none"/>
        </w:rPr>
        <w:t xml:space="preserve">      </w:t>
      </w:r>
    </w:p>
    <w:p>
      <w:pPr>
        <w:snapToGrid w:val="0"/>
        <w:spacing w:before="50" w:after="50" w:line="360" w:lineRule="auto"/>
        <w:rPr>
          <w:rFonts w:ascii="宋体" w:hAnsi="宋体" w:eastAsia="宋体" w:cs="宋体"/>
          <w:color w:val="auto"/>
          <w:sz w:val="24"/>
          <w:szCs w:val="24"/>
          <w:highlight w:val="none"/>
        </w:rPr>
      </w:pP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s="仿宋_GB2312"/>
          <w:color w:val="auto"/>
          <w:sz w:val="24"/>
          <w:highlight w:val="none"/>
        </w:rPr>
        <w:t xml:space="preserve">    </w:t>
      </w:r>
    </w:p>
    <w:p>
      <w:pPr>
        <w:spacing w:line="146" w:lineRule="exact"/>
        <w:rPr>
          <w:color w:val="auto"/>
          <w:highlight w:val="none"/>
        </w:rPr>
      </w:pPr>
    </w:p>
    <w:tbl>
      <w:tblPr>
        <w:tblStyle w:val="107"/>
        <w:tblW w:w="90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1259"/>
        <w:gridCol w:w="1250"/>
        <w:gridCol w:w="1209"/>
        <w:gridCol w:w="1110"/>
        <w:gridCol w:w="1230"/>
        <w:gridCol w:w="1590"/>
        <w:gridCol w:w="7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23" w:type="dxa"/>
            <w:vAlign w:val="top"/>
          </w:tcPr>
          <w:p>
            <w:pPr>
              <w:spacing w:line="241" w:lineRule="auto"/>
              <w:rPr>
                <w:rFonts w:ascii="Arial"/>
                <w:color w:val="auto"/>
                <w:sz w:val="21"/>
                <w:highlight w:val="none"/>
              </w:rPr>
            </w:pPr>
          </w:p>
          <w:p>
            <w:pPr>
              <w:pStyle w:val="108"/>
              <w:spacing w:before="65" w:line="229" w:lineRule="auto"/>
              <w:ind w:left="113"/>
              <w:rPr>
                <w:color w:val="auto"/>
                <w:highlight w:val="none"/>
              </w:rPr>
            </w:pPr>
            <w:r>
              <w:rPr>
                <w:color w:val="auto"/>
                <w:spacing w:val="5"/>
                <w:highlight w:val="none"/>
              </w:rPr>
              <w:t>序号</w:t>
            </w:r>
          </w:p>
        </w:tc>
        <w:tc>
          <w:tcPr>
            <w:tcW w:w="1259" w:type="dxa"/>
            <w:vAlign w:val="top"/>
          </w:tcPr>
          <w:p>
            <w:pPr>
              <w:spacing w:line="241" w:lineRule="auto"/>
              <w:rPr>
                <w:rFonts w:ascii="Arial"/>
                <w:color w:val="auto"/>
                <w:sz w:val="21"/>
                <w:highlight w:val="none"/>
              </w:rPr>
            </w:pPr>
          </w:p>
          <w:p>
            <w:pPr>
              <w:pStyle w:val="108"/>
              <w:spacing w:before="65" w:line="228" w:lineRule="auto"/>
              <w:ind w:left="112"/>
              <w:rPr>
                <w:color w:val="auto"/>
                <w:highlight w:val="none"/>
              </w:rPr>
            </w:pPr>
            <w:r>
              <w:rPr>
                <w:rFonts w:hint="eastAsia"/>
                <w:color w:val="auto"/>
                <w:spacing w:val="7"/>
                <w:highlight w:val="none"/>
                <w:lang w:val="en-US" w:eastAsia="zh-CN"/>
              </w:rPr>
              <w:t>货物</w:t>
            </w:r>
            <w:r>
              <w:rPr>
                <w:color w:val="auto"/>
                <w:spacing w:val="7"/>
                <w:highlight w:val="none"/>
              </w:rPr>
              <w:t>名称</w:t>
            </w:r>
          </w:p>
        </w:tc>
        <w:tc>
          <w:tcPr>
            <w:tcW w:w="1250" w:type="dxa"/>
            <w:vAlign w:val="top"/>
          </w:tcPr>
          <w:p>
            <w:pPr>
              <w:rPr>
                <w:rFonts w:ascii="Arial"/>
                <w:color w:val="auto"/>
                <w:sz w:val="21"/>
                <w:highlight w:val="none"/>
              </w:rPr>
            </w:pPr>
          </w:p>
          <w:p>
            <w:pPr>
              <w:pStyle w:val="108"/>
              <w:spacing w:before="65" w:line="228" w:lineRule="auto"/>
              <w:ind w:left="209"/>
              <w:rPr>
                <w:color w:val="auto"/>
                <w:highlight w:val="none"/>
              </w:rPr>
            </w:pPr>
            <w:r>
              <w:rPr>
                <w:color w:val="auto"/>
                <w:spacing w:val="7"/>
                <w:highlight w:val="none"/>
              </w:rPr>
              <w:t>规格型号</w:t>
            </w:r>
          </w:p>
        </w:tc>
        <w:tc>
          <w:tcPr>
            <w:tcW w:w="1209" w:type="dxa"/>
            <w:vAlign w:val="top"/>
          </w:tcPr>
          <w:p>
            <w:pPr>
              <w:pStyle w:val="108"/>
              <w:spacing w:before="171" w:line="254" w:lineRule="auto"/>
              <w:ind w:left="178" w:right="171" w:firstLine="16"/>
              <w:rPr>
                <w:color w:val="auto"/>
                <w:highlight w:val="none"/>
              </w:rPr>
            </w:pPr>
            <w:r>
              <w:rPr>
                <w:color w:val="auto"/>
                <w:spacing w:val="1"/>
                <w:highlight w:val="none"/>
              </w:rPr>
              <w:t>品牌及</w:t>
            </w:r>
            <w:r>
              <w:rPr>
                <w:color w:val="auto"/>
                <w:spacing w:val="6"/>
                <w:highlight w:val="none"/>
              </w:rPr>
              <w:t>制造商</w:t>
            </w:r>
          </w:p>
        </w:tc>
        <w:tc>
          <w:tcPr>
            <w:tcW w:w="1110" w:type="dxa"/>
            <w:vAlign w:val="top"/>
          </w:tcPr>
          <w:p>
            <w:pPr>
              <w:pStyle w:val="108"/>
              <w:spacing w:before="36" w:line="226" w:lineRule="auto"/>
              <w:ind w:left="152"/>
              <w:jc w:val="center"/>
              <w:rPr>
                <w:color w:val="auto"/>
                <w:highlight w:val="none"/>
              </w:rPr>
            </w:pPr>
            <w:r>
              <w:rPr>
                <w:color w:val="auto"/>
                <w:spacing w:val="6"/>
                <w:highlight w:val="none"/>
              </w:rPr>
              <w:t>数量及单位①</w:t>
            </w:r>
          </w:p>
        </w:tc>
        <w:tc>
          <w:tcPr>
            <w:tcW w:w="1230" w:type="dxa"/>
            <w:vAlign w:val="top"/>
          </w:tcPr>
          <w:p>
            <w:pPr>
              <w:pStyle w:val="108"/>
              <w:tabs>
                <w:tab w:val="left" w:pos="840"/>
              </w:tabs>
              <w:spacing w:before="170" w:line="253" w:lineRule="auto"/>
              <w:ind w:right="242"/>
              <w:jc w:val="center"/>
              <w:rPr>
                <w:color w:val="auto"/>
                <w:highlight w:val="none"/>
              </w:rPr>
            </w:pPr>
            <w:r>
              <w:rPr>
                <w:color w:val="auto"/>
                <w:spacing w:val="5"/>
                <w:highlight w:val="none"/>
              </w:rPr>
              <w:t>单价(元)</w:t>
            </w:r>
            <w:r>
              <w:rPr>
                <w:color w:val="auto"/>
                <w:spacing w:val="3"/>
                <w:highlight w:val="none"/>
              </w:rPr>
              <w:t xml:space="preserve"> </w:t>
            </w:r>
            <w:r>
              <w:rPr>
                <w:color w:val="auto"/>
                <w:spacing w:val="2"/>
                <w:highlight w:val="none"/>
              </w:rPr>
              <w:t>②</w:t>
            </w:r>
          </w:p>
        </w:tc>
        <w:tc>
          <w:tcPr>
            <w:tcW w:w="1590" w:type="dxa"/>
            <w:vAlign w:val="top"/>
          </w:tcPr>
          <w:p>
            <w:pPr>
              <w:pStyle w:val="108"/>
              <w:spacing w:before="171" w:line="228" w:lineRule="auto"/>
              <w:jc w:val="center"/>
              <w:rPr>
                <w:color w:val="auto"/>
                <w:highlight w:val="none"/>
              </w:rPr>
            </w:pPr>
            <w:r>
              <w:rPr>
                <w:color w:val="auto"/>
                <w:spacing w:val="6"/>
                <w:highlight w:val="none"/>
              </w:rPr>
              <w:t>单项合计（元）</w:t>
            </w:r>
            <w:r>
              <w:rPr>
                <w:color w:val="auto"/>
                <w:spacing w:val="15"/>
                <w:highlight w:val="none"/>
              </w:rPr>
              <w:t>③</w:t>
            </w:r>
            <w:r>
              <w:rPr>
                <w:color w:val="auto"/>
                <w:spacing w:val="-70"/>
                <w:highlight w:val="none"/>
              </w:rPr>
              <w:t xml:space="preserve"> </w:t>
            </w:r>
            <w:r>
              <w:rPr>
                <w:color w:val="auto"/>
                <w:spacing w:val="15"/>
                <w:highlight w:val="none"/>
              </w:rPr>
              <w:t>=</w:t>
            </w:r>
            <w:r>
              <w:rPr>
                <w:color w:val="auto"/>
                <w:spacing w:val="-64"/>
                <w:highlight w:val="none"/>
              </w:rPr>
              <w:t xml:space="preserve"> </w:t>
            </w:r>
            <w:r>
              <w:rPr>
                <w:color w:val="auto"/>
                <w:spacing w:val="15"/>
                <w:highlight w:val="none"/>
              </w:rPr>
              <w:t>①×②</w:t>
            </w:r>
          </w:p>
        </w:tc>
        <w:tc>
          <w:tcPr>
            <w:tcW w:w="720" w:type="dxa"/>
            <w:vAlign w:val="top"/>
          </w:tcPr>
          <w:p>
            <w:pPr>
              <w:spacing w:line="241" w:lineRule="auto"/>
              <w:rPr>
                <w:rFonts w:ascii="Arial"/>
                <w:color w:val="auto"/>
                <w:sz w:val="21"/>
                <w:highlight w:val="none"/>
              </w:rPr>
            </w:pPr>
          </w:p>
          <w:p>
            <w:pPr>
              <w:pStyle w:val="108"/>
              <w:spacing w:before="65" w:line="229" w:lineRule="auto"/>
              <w:jc w:val="center"/>
              <w:rPr>
                <w:color w:val="auto"/>
                <w:highlight w:val="none"/>
              </w:rPr>
            </w:pPr>
            <w:r>
              <w:rPr>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23" w:type="dxa"/>
            <w:vAlign w:val="top"/>
          </w:tcPr>
          <w:p>
            <w:pPr>
              <w:pStyle w:val="108"/>
              <w:spacing w:before="122" w:line="270" w:lineRule="exact"/>
              <w:ind w:left="329"/>
              <w:rPr>
                <w:color w:val="auto"/>
                <w:highlight w:val="none"/>
              </w:rPr>
            </w:pPr>
            <w:r>
              <w:rPr>
                <w:color w:val="auto"/>
                <w:position w:val="1"/>
                <w:highlight w:val="none"/>
              </w:rPr>
              <w:t>1</w:t>
            </w:r>
          </w:p>
        </w:tc>
        <w:tc>
          <w:tcPr>
            <w:tcW w:w="1259" w:type="dxa"/>
            <w:vAlign w:val="top"/>
          </w:tcPr>
          <w:p>
            <w:pPr>
              <w:rPr>
                <w:rFonts w:ascii="Arial"/>
                <w:color w:val="auto"/>
                <w:sz w:val="21"/>
                <w:highlight w:val="none"/>
              </w:rPr>
            </w:pPr>
          </w:p>
        </w:tc>
        <w:tc>
          <w:tcPr>
            <w:tcW w:w="1250" w:type="dxa"/>
            <w:vAlign w:val="top"/>
          </w:tcPr>
          <w:p>
            <w:pPr>
              <w:rPr>
                <w:rFonts w:ascii="Arial"/>
                <w:color w:val="auto"/>
                <w:sz w:val="21"/>
                <w:highlight w:val="none"/>
              </w:rPr>
            </w:pPr>
          </w:p>
        </w:tc>
        <w:tc>
          <w:tcPr>
            <w:tcW w:w="1209" w:type="dxa"/>
            <w:vAlign w:val="top"/>
          </w:tcPr>
          <w:p>
            <w:pPr>
              <w:rPr>
                <w:rFonts w:ascii="Arial"/>
                <w:color w:val="auto"/>
                <w:sz w:val="21"/>
                <w:highlight w:val="none"/>
              </w:rPr>
            </w:pPr>
          </w:p>
        </w:tc>
        <w:tc>
          <w:tcPr>
            <w:tcW w:w="1110" w:type="dxa"/>
            <w:vAlign w:val="top"/>
          </w:tcPr>
          <w:p>
            <w:pPr>
              <w:rPr>
                <w:rFonts w:ascii="Arial"/>
                <w:color w:val="auto"/>
                <w:sz w:val="21"/>
                <w:highlight w:val="none"/>
              </w:rPr>
            </w:pPr>
          </w:p>
        </w:tc>
        <w:tc>
          <w:tcPr>
            <w:tcW w:w="1230" w:type="dxa"/>
            <w:vAlign w:val="top"/>
          </w:tcPr>
          <w:p>
            <w:pPr>
              <w:rPr>
                <w:rFonts w:ascii="Arial"/>
                <w:color w:val="auto"/>
                <w:sz w:val="21"/>
                <w:highlight w:val="none"/>
              </w:rPr>
            </w:pPr>
          </w:p>
        </w:tc>
        <w:tc>
          <w:tcPr>
            <w:tcW w:w="1590" w:type="dxa"/>
            <w:vAlign w:val="top"/>
          </w:tcPr>
          <w:p>
            <w:pPr>
              <w:rPr>
                <w:rFonts w:ascii="Arial"/>
                <w:color w:val="auto"/>
                <w:sz w:val="21"/>
                <w:highlight w:val="none"/>
              </w:rPr>
            </w:pPr>
          </w:p>
        </w:tc>
        <w:tc>
          <w:tcPr>
            <w:tcW w:w="7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3" w:type="dxa"/>
            <w:vAlign w:val="top"/>
          </w:tcPr>
          <w:p>
            <w:pPr>
              <w:pStyle w:val="108"/>
              <w:spacing w:before="126" w:line="270" w:lineRule="exact"/>
              <w:ind w:left="316"/>
              <w:rPr>
                <w:color w:val="auto"/>
                <w:highlight w:val="none"/>
              </w:rPr>
            </w:pPr>
            <w:r>
              <w:rPr>
                <w:color w:val="auto"/>
                <w:position w:val="1"/>
                <w:highlight w:val="none"/>
              </w:rPr>
              <w:t>2</w:t>
            </w:r>
          </w:p>
        </w:tc>
        <w:tc>
          <w:tcPr>
            <w:tcW w:w="1259" w:type="dxa"/>
            <w:vAlign w:val="top"/>
          </w:tcPr>
          <w:p>
            <w:pPr>
              <w:rPr>
                <w:rFonts w:ascii="Arial"/>
                <w:color w:val="auto"/>
                <w:sz w:val="21"/>
                <w:highlight w:val="none"/>
              </w:rPr>
            </w:pPr>
          </w:p>
        </w:tc>
        <w:tc>
          <w:tcPr>
            <w:tcW w:w="1250" w:type="dxa"/>
            <w:vAlign w:val="top"/>
          </w:tcPr>
          <w:p>
            <w:pPr>
              <w:rPr>
                <w:rFonts w:ascii="Arial"/>
                <w:color w:val="auto"/>
                <w:sz w:val="21"/>
                <w:highlight w:val="none"/>
              </w:rPr>
            </w:pPr>
          </w:p>
        </w:tc>
        <w:tc>
          <w:tcPr>
            <w:tcW w:w="1209" w:type="dxa"/>
            <w:vAlign w:val="top"/>
          </w:tcPr>
          <w:p>
            <w:pPr>
              <w:rPr>
                <w:rFonts w:ascii="Arial"/>
                <w:color w:val="auto"/>
                <w:sz w:val="21"/>
                <w:highlight w:val="none"/>
              </w:rPr>
            </w:pPr>
          </w:p>
        </w:tc>
        <w:tc>
          <w:tcPr>
            <w:tcW w:w="1110" w:type="dxa"/>
            <w:vAlign w:val="top"/>
          </w:tcPr>
          <w:p>
            <w:pPr>
              <w:rPr>
                <w:rFonts w:ascii="Arial"/>
                <w:color w:val="auto"/>
                <w:sz w:val="21"/>
                <w:highlight w:val="none"/>
              </w:rPr>
            </w:pPr>
          </w:p>
        </w:tc>
        <w:tc>
          <w:tcPr>
            <w:tcW w:w="1230" w:type="dxa"/>
            <w:vAlign w:val="top"/>
          </w:tcPr>
          <w:p>
            <w:pPr>
              <w:rPr>
                <w:rFonts w:ascii="Arial"/>
                <w:color w:val="auto"/>
                <w:sz w:val="21"/>
                <w:highlight w:val="none"/>
              </w:rPr>
            </w:pPr>
          </w:p>
        </w:tc>
        <w:tc>
          <w:tcPr>
            <w:tcW w:w="1590" w:type="dxa"/>
            <w:vAlign w:val="top"/>
          </w:tcPr>
          <w:p>
            <w:pPr>
              <w:rPr>
                <w:rFonts w:ascii="Arial"/>
                <w:color w:val="auto"/>
                <w:sz w:val="21"/>
                <w:highlight w:val="none"/>
              </w:rPr>
            </w:pPr>
          </w:p>
        </w:tc>
        <w:tc>
          <w:tcPr>
            <w:tcW w:w="7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723" w:type="dxa"/>
            <w:vAlign w:val="top"/>
          </w:tcPr>
          <w:p>
            <w:pPr>
              <w:pStyle w:val="108"/>
              <w:spacing w:before="304" w:line="84" w:lineRule="exact"/>
              <w:ind w:left="216"/>
              <w:rPr>
                <w:color w:val="auto"/>
                <w:highlight w:val="none"/>
              </w:rPr>
            </w:pPr>
            <w:r>
              <w:rPr>
                <w:color w:val="auto"/>
                <w:spacing w:val="3"/>
                <w:position w:val="1"/>
                <w:highlight w:val="none"/>
              </w:rPr>
              <w:t>...</w:t>
            </w:r>
          </w:p>
        </w:tc>
        <w:tc>
          <w:tcPr>
            <w:tcW w:w="1259" w:type="dxa"/>
            <w:vAlign w:val="top"/>
          </w:tcPr>
          <w:p>
            <w:pPr>
              <w:rPr>
                <w:rFonts w:ascii="Arial"/>
                <w:color w:val="auto"/>
                <w:sz w:val="21"/>
                <w:highlight w:val="none"/>
              </w:rPr>
            </w:pPr>
          </w:p>
        </w:tc>
        <w:tc>
          <w:tcPr>
            <w:tcW w:w="1250" w:type="dxa"/>
            <w:vAlign w:val="top"/>
          </w:tcPr>
          <w:p>
            <w:pPr>
              <w:rPr>
                <w:rFonts w:ascii="Arial"/>
                <w:color w:val="auto"/>
                <w:sz w:val="21"/>
                <w:highlight w:val="none"/>
              </w:rPr>
            </w:pPr>
          </w:p>
        </w:tc>
        <w:tc>
          <w:tcPr>
            <w:tcW w:w="1209" w:type="dxa"/>
            <w:vAlign w:val="top"/>
          </w:tcPr>
          <w:p>
            <w:pPr>
              <w:rPr>
                <w:rFonts w:ascii="Arial"/>
                <w:color w:val="auto"/>
                <w:sz w:val="21"/>
                <w:highlight w:val="none"/>
              </w:rPr>
            </w:pPr>
          </w:p>
        </w:tc>
        <w:tc>
          <w:tcPr>
            <w:tcW w:w="1110" w:type="dxa"/>
            <w:vAlign w:val="top"/>
          </w:tcPr>
          <w:p>
            <w:pPr>
              <w:rPr>
                <w:rFonts w:ascii="Arial"/>
                <w:color w:val="auto"/>
                <w:sz w:val="21"/>
                <w:highlight w:val="none"/>
              </w:rPr>
            </w:pPr>
          </w:p>
        </w:tc>
        <w:tc>
          <w:tcPr>
            <w:tcW w:w="1230" w:type="dxa"/>
            <w:vAlign w:val="top"/>
          </w:tcPr>
          <w:p>
            <w:pPr>
              <w:rPr>
                <w:rFonts w:ascii="Arial"/>
                <w:color w:val="auto"/>
                <w:sz w:val="21"/>
                <w:highlight w:val="none"/>
              </w:rPr>
            </w:pPr>
          </w:p>
        </w:tc>
        <w:tc>
          <w:tcPr>
            <w:tcW w:w="1590" w:type="dxa"/>
            <w:vAlign w:val="top"/>
          </w:tcPr>
          <w:p>
            <w:pPr>
              <w:rPr>
                <w:rFonts w:ascii="Arial"/>
                <w:color w:val="auto"/>
                <w:sz w:val="21"/>
                <w:highlight w:val="none"/>
              </w:rPr>
            </w:pPr>
          </w:p>
        </w:tc>
        <w:tc>
          <w:tcPr>
            <w:tcW w:w="7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091" w:type="dxa"/>
            <w:gridSpan w:val="8"/>
            <w:vAlign w:val="top"/>
          </w:tcPr>
          <w:p>
            <w:pPr>
              <w:pStyle w:val="108"/>
              <w:spacing w:before="73" w:line="213" w:lineRule="auto"/>
              <w:ind w:left="120" w:right="110" w:hanging="3"/>
              <w:rPr>
                <w:color w:val="auto"/>
                <w:highlight w:val="none"/>
              </w:rPr>
            </w:pPr>
            <w:r>
              <w:rPr>
                <w:b/>
                <w:bCs/>
                <w:color w:val="auto"/>
                <w:spacing w:val="9"/>
                <w:highlight w:val="none"/>
              </w:rPr>
              <w:t>竞标总报价</w:t>
            </w:r>
            <w:r>
              <w:rPr>
                <w:color w:val="auto"/>
                <w:spacing w:val="-25"/>
                <w:highlight w:val="none"/>
              </w:rPr>
              <w:t>（</w:t>
            </w:r>
            <w:r>
              <w:rPr>
                <w:color w:val="auto"/>
                <w:spacing w:val="9"/>
                <w:highlight w:val="none"/>
              </w:rPr>
              <w:t>包含税费等所有费用</w:t>
            </w:r>
            <w:r>
              <w:rPr>
                <w:color w:val="auto"/>
                <w:spacing w:val="-25"/>
                <w:highlight w:val="none"/>
              </w:rPr>
              <w:t>）：</w:t>
            </w:r>
            <w:r>
              <w:rPr>
                <w:color w:val="auto"/>
                <w:spacing w:val="-25"/>
                <w:highlight w:val="none"/>
                <w:u w:val="single" w:color="auto"/>
              </w:rPr>
              <w:t>（</w:t>
            </w:r>
            <w:r>
              <w:rPr>
                <w:color w:val="auto"/>
                <w:spacing w:val="9"/>
                <w:highlight w:val="none"/>
                <w:u w:val="single" w:color="auto"/>
              </w:rPr>
              <w:t>大写）</w:t>
            </w:r>
            <w:r>
              <w:rPr>
                <w:color w:val="auto"/>
                <w:spacing w:val="7"/>
                <w:highlight w:val="none"/>
              </w:rPr>
              <w:t>人民币</w:t>
            </w:r>
            <w:r>
              <w:rPr>
                <w:color w:val="auto"/>
                <w:spacing w:val="7"/>
                <w:highlight w:val="none"/>
                <w:u w:val="single" w:color="auto"/>
              </w:rPr>
              <w:t xml:space="preserve">            (</w:t>
            </w:r>
            <w:r>
              <w:rPr>
                <w:color w:val="auto"/>
                <w:spacing w:val="-18"/>
                <w:highlight w:val="none"/>
                <w:u w:val="single" w:color="auto"/>
              </w:rPr>
              <w:t xml:space="preserve"> </w:t>
            </w:r>
            <w:r>
              <w:rPr>
                <w:rFonts w:ascii="Arial" w:hAnsi="Arial" w:eastAsia="Arial" w:cs="Arial"/>
                <w:color w:val="auto"/>
                <w:spacing w:val="7"/>
                <w:highlight w:val="none"/>
                <w:u w:val="single" w:color="auto"/>
              </w:rPr>
              <w:t xml:space="preserve">¥        </w:t>
            </w:r>
            <w:r>
              <w:rPr>
                <w:rFonts w:ascii="Arial" w:hAnsi="Arial" w:eastAsia="Arial" w:cs="Arial"/>
                <w:color w:val="auto"/>
                <w:spacing w:val="6"/>
                <w:highlight w:val="none"/>
                <w:u w:val="single" w:color="auto"/>
              </w:rPr>
              <w:t xml:space="preserve">  </w:t>
            </w:r>
            <w:r>
              <w:rPr>
                <w:rFonts w:ascii="Arial" w:hAnsi="Arial" w:eastAsia="Arial" w:cs="Arial"/>
                <w:color w:val="auto"/>
                <w:spacing w:val="-46"/>
                <w:highlight w:val="none"/>
              </w:rPr>
              <w:t xml:space="preserve"> </w:t>
            </w:r>
            <w:r>
              <w:rPr>
                <w:color w:val="auto"/>
                <w:spacing w:val="6"/>
                <w:highlight w:val="no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091" w:type="dxa"/>
            <w:gridSpan w:val="8"/>
            <w:vAlign w:val="top"/>
          </w:tcPr>
          <w:p>
            <w:pPr>
              <w:pStyle w:val="108"/>
              <w:spacing w:before="293" w:line="228" w:lineRule="auto"/>
              <w:ind w:left="118"/>
              <w:rPr>
                <w:color w:val="auto"/>
                <w:highlight w:val="none"/>
              </w:rPr>
            </w:pPr>
            <w:r>
              <w:rPr>
                <w:color w:val="auto"/>
                <w:spacing w:val="5"/>
                <w:highlight w:val="none"/>
              </w:rPr>
              <w:t>交付时间：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9091" w:type="dxa"/>
            <w:gridSpan w:val="8"/>
            <w:vAlign w:val="top"/>
          </w:tcPr>
          <w:p>
            <w:pPr>
              <w:pStyle w:val="108"/>
              <w:spacing w:before="210" w:line="219" w:lineRule="auto"/>
              <w:ind w:left="113"/>
              <w:rPr>
                <w:color w:val="auto"/>
                <w:sz w:val="21"/>
                <w:szCs w:val="21"/>
                <w:highlight w:val="none"/>
              </w:rPr>
            </w:pPr>
            <w:r>
              <w:rPr>
                <w:color w:val="auto"/>
                <w:spacing w:val="5"/>
                <w:highlight w:val="none"/>
              </w:rPr>
              <w:t>优惠及其它</w:t>
            </w:r>
            <w:r>
              <w:rPr>
                <w:color w:val="auto"/>
                <w:spacing w:val="-7"/>
                <w:highlight w:val="none"/>
              </w:rPr>
              <w:t>：</w:t>
            </w:r>
            <w:r>
              <w:rPr>
                <w:color w:val="auto"/>
                <w:spacing w:val="-70"/>
                <w:highlight w:val="none"/>
              </w:rPr>
              <w:t xml:space="preserve"> </w:t>
            </w:r>
            <w:r>
              <w:rPr>
                <w:i/>
                <w:iCs/>
                <w:color w:val="auto"/>
                <w:spacing w:val="-7"/>
                <w:sz w:val="21"/>
                <w:szCs w:val="21"/>
                <w:highlight w:val="none"/>
              </w:rPr>
              <w:t>（</w:t>
            </w:r>
            <w:r>
              <w:rPr>
                <w:i/>
                <w:iCs/>
                <w:color w:val="auto"/>
                <w:spacing w:val="5"/>
                <w:sz w:val="21"/>
                <w:szCs w:val="21"/>
                <w:highlight w:val="none"/>
              </w:rPr>
              <w:t>如没有填写无）</w:t>
            </w:r>
          </w:p>
        </w:tc>
      </w:tr>
    </w:tbl>
    <w:p>
      <w:pPr>
        <w:keepNext w:val="0"/>
        <w:keepLines w:val="0"/>
        <w:pageBreakBefore w:val="0"/>
        <w:widowControl w:val="0"/>
        <w:kinsoku/>
        <w:wordWrap/>
        <w:overflowPunct/>
        <w:topLinePunct w:val="0"/>
        <w:autoSpaceDE/>
        <w:autoSpaceDN/>
        <w:bidi w:val="0"/>
        <w:adjustRightInd/>
        <w:snapToGrid/>
        <w:spacing w:before="80" w:line="240" w:lineRule="auto"/>
        <w:ind w:left="539"/>
        <w:textAlignment w:val="auto"/>
        <w:rPr>
          <w:rFonts w:ascii="宋体" w:hAnsi="宋体" w:eastAsia="宋体" w:cs="宋体"/>
          <w:color w:val="auto"/>
          <w:sz w:val="20"/>
          <w:szCs w:val="20"/>
          <w:highlight w:val="none"/>
        </w:rPr>
      </w:pPr>
      <w:r>
        <w:rPr>
          <w:rFonts w:ascii="宋体" w:hAnsi="宋体" w:eastAsia="宋体" w:cs="宋体"/>
          <w:color w:val="auto"/>
          <w:sz w:val="20"/>
          <w:szCs w:val="20"/>
          <w:highlight w:val="none"/>
        </w:rPr>
        <w:t>注：</w:t>
      </w:r>
    </w:p>
    <w:p>
      <w:pPr>
        <w:keepNext w:val="0"/>
        <w:keepLines w:val="0"/>
        <w:pageBreakBefore w:val="0"/>
        <w:widowControl w:val="0"/>
        <w:kinsoku/>
        <w:wordWrap/>
        <w:overflowPunct/>
        <w:topLinePunct w:val="0"/>
        <w:autoSpaceDE/>
        <w:autoSpaceDN/>
        <w:bidi w:val="0"/>
        <w:adjustRightInd/>
        <w:snapToGrid/>
        <w:spacing w:before="208" w:line="240" w:lineRule="auto"/>
        <w:ind w:left="120" w:right="156" w:firstLine="434"/>
        <w:textAlignment w:val="auto"/>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1、供应商需按本表格式填写，不得自行更改，也不得留空（备注除外）, 如有多分标，按分标分别</w:t>
      </w:r>
      <w:r>
        <w:rPr>
          <w:rFonts w:ascii="宋体" w:hAnsi="宋体" w:eastAsia="宋体" w:cs="宋体"/>
          <w:color w:val="auto"/>
          <w:spacing w:val="8"/>
          <w:sz w:val="20"/>
          <w:szCs w:val="20"/>
          <w:highlight w:val="none"/>
        </w:rPr>
        <w:t>提供响应报价表，</w:t>
      </w:r>
      <w:r>
        <w:rPr>
          <w:rFonts w:ascii="宋体" w:hAnsi="宋体" w:eastAsia="宋体" w:cs="宋体"/>
          <w:b/>
          <w:bCs/>
          <w:color w:val="auto"/>
          <w:spacing w:val="8"/>
          <w:sz w:val="20"/>
          <w:szCs w:val="20"/>
          <w:highlight w:val="none"/>
        </w:rPr>
        <w:t>否则其响应按无效响应处理。</w:t>
      </w:r>
    </w:p>
    <w:p>
      <w:pPr>
        <w:keepNext w:val="0"/>
        <w:keepLines w:val="0"/>
        <w:pageBreakBefore w:val="0"/>
        <w:widowControl w:val="0"/>
        <w:kinsoku/>
        <w:wordWrap/>
        <w:overflowPunct/>
        <w:topLinePunct w:val="0"/>
        <w:autoSpaceDE/>
        <w:autoSpaceDN/>
        <w:bidi w:val="0"/>
        <w:adjustRightInd/>
        <w:snapToGrid/>
        <w:spacing w:before="213" w:line="240" w:lineRule="auto"/>
        <w:ind w:left="120" w:right="156" w:firstLine="421"/>
        <w:textAlignment w:val="auto"/>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2、如为联合体响应的，“供应商名称</w:t>
      </w:r>
      <w:r>
        <w:rPr>
          <w:rFonts w:ascii="宋体" w:hAnsi="宋体" w:eastAsia="宋体" w:cs="宋体"/>
          <w:color w:val="auto"/>
          <w:spacing w:val="-73"/>
          <w:sz w:val="20"/>
          <w:szCs w:val="20"/>
          <w:highlight w:val="none"/>
        </w:rPr>
        <w:t xml:space="preserve"> </w:t>
      </w:r>
      <w:r>
        <w:rPr>
          <w:rFonts w:ascii="宋体" w:hAnsi="宋体" w:eastAsia="宋体" w:cs="宋体"/>
          <w:color w:val="auto"/>
          <w:spacing w:val="9"/>
          <w:sz w:val="20"/>
          <w:szCs w:val="20"/>
          <w:highlight w:val="none"/>
        </w:rPr>
        <w:t>”处必须列明联合体各方名称，并标注联合体牵头人名称，且</w:t>
      </w:r>
      <w:r>
        <w:rPr>
          <w:rFonts w:ascii="宋体" w:hAnsi="宋体" w:eastAsia="宋体" w:cs="宋体"/>
          <w:color w:val="auto"/>
          <w:spacing w:val="8"/>
          <w:sz w:val="20"/>
          <w:szCs w:val="20"/>
          <w:highlight w:val="none"/>
        </w:rPr>
        <w:t>盖章处须加盖联合体各方公章，</w:t>
      </w:r>
      <w:r>
        <w:rPr>
          <w:rFonts w:ascii="宋体" w:hAnsi="宋体" w:eastAsia="宋体" w:cs="宋体"/>
          <w:b/>
          <w:bCs/>
          <w:color w:val="auto"/>
          <w:spacing w:val="8"/>
          <w:sz w:val="20"/>
          <w:szCs w:val="20"/>
          <w:highlight w:val="none"/>
        </w:rPr>
        <w:t>否则其响应按无效响应处理。</w:t>
      </w:r>
    </w:p>
    <w:p>
      <w:pPr>
        <w:keepNext w:val="0"/>
        <w:keepLines w:val="0"/>
        <w:pageBreakBefore w:val="0"/>
        <w:widowControl w:val="0"/>
        <w:kinsoku/>
        <w:wordWrap/>
        <w:overflowPunct/>
        <w:topLinePunct w:val="0"/>
        <w:autoSpaceDE/>
        <w:autoSpaceDN/>
        <w:bidi w:val="0"/>
        <w:adjustRightInd/>
        <w:snapToGrid/>
        <w:spacing w:before="215" w:line="240" w:lineRule="auto"/>
        <w:ind w:left="121" w:right="13" w:firstLine="422"/>
        <w:textAlignment w:val="auto"/>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3、以上表格要求细分项目及报价，在“</w:t>
      </w:r>
      <w:r>
        <w:rPr>
          <w:rFonts w:hint="eastAsia" w:ascii="宋体" w:hAnsi="宋体" w:cs="宋体"/>
          <w:color w:val="auto"/>
          <w:spacing w:val="7"/>
          <w:sz w:val="20"/>
          <w:szCs w:val="20"/>
          <w:highlight w:val="none"/>
          <w:lang w:val="en-US" w:eastAsia="zh-CN"/>
        </w:rPr>
        <w:t>货物</w:t>
      </w:r>
      <w:r>
        <w:rPr>
          <w:rFonts w:ascii="宋体" w:hAnsi="宋体" w:eastAsia="宋体" w:cs="宋体"/>
          <w:color w:val="auto"/>
          <w:spacing w:val="7"/>
          <w:sz w:val="20"/>
          <w:szCs w:val="20"/>
          <w:highlight w:val="none"/>
        </w:rPr>
        <w:t>名称</w:t>
      </w:r>
      <w:r>
        <w:rPr>
          <w:rFonts w:ascii="宋体" w:hAnsi="宋体" w:eastAsia="宋体" w:cs="宋体"/>
          <w:color w:val="auto"/>
          <w:spacing w:val="-70"/>
          <w:sz w:val="20"/>
          <w:szCs w:val="20"/>
          <w:highlight w:val="none"/>
        </w:rPr>
        <w:t xml:space="preserve"> </w:t>
      </w:r>
      <w:r>
        <w:rPr>
          <w:rFonts w:ascii="宋体" w:hAnsi="宋体" w:eastAsia="宋体" w:cs="宋体"/>
          <w:color w:val="auto"/>
          <w:spacing w:val="7"/>
          <w:sz w:val="20"/>
          <w:szCs w:val="20"/>
          <w:highlight w:val="none"/>
        </w:rPr>
        <w:t>”一栏中，填写具体货物，</w:t>
      </w:r>
      <w:r>
        <w:rPr>
          <w:rFonts w:ascii="宋体" w:hAnsi="宋体" w:eastAsia="宋体" w:cs="宋体"/>
          <w:color w:val="auto"/>
          <w:spacing w:val="6"/>
          <w:sz w:val="20"/>
          <w:szCs w:val="20"/>
          <w:highlight w:val="none"/>
        </w:rPr>
        <w:t>在“规格型号</w:t>
      </w:r>
      <w:r>
        <w:rPr>
          <w:rFonts w:ascii="宋体" w:hAnsi="宋体" w:eastAsia="宋体" w:cs="宋体"/>
          <w:color w:val="auto"/>
          <w:spacing w:val="-70"/>
          <w:sz w:val="20"/>
          <w:szCs w:val="20"/>
          <w:highlight w:val="none"/>
        </w:rPr>
        <w:t xml:space="preserve"> </w:t>
      </w:r>
      <w:r>
        <w:rPr>
          <w:rFonts w:ascii="宋体" w:hAnsi="宋体" w:eastAsia="宋体" w:cs="宋体"/>
          <w:color w:val="auto"/>
          <w:spacing w:val="6"/>
          <w:sz w:val="20"/>
          <w:szCs w:val="20"/>
          <w:highlight w:val="none"/>
        </w:rPr>
        <w:t>”一栏中，</w:t>
      </w:r>
      <w:r>
        <w:rPr>
          <w:rFonts w:ascii="宋体" w:hAnsi="宋体" w:eastAsia="宋体" w:cs="宋体"/>
          <w:color w:val="auto"/>
          <w:spacing w:val="8"/>
          <w:sz w:val="20"/>
          <w:szCs w:val="20"/>
          <w:highlight w:val="none"/>
        </w:rPr>
        <w:t>填写具体货物规格和型号，</w:t>
      </w:r>
      <w:r>
        <w:rPr>
          <w:rFonts w:ascii="宋体" w:hAnsi="宋体" w:eastAsia="宋体" w:cs="宋体"/>
          <w:b/>
          <w:bCs/>
          <w:color w:val="auto"/>
          <w:spacing w:val="8"/>
          <w:sz w:val="20"/>
          <w:szCs w:val="20"/>
          <w:highlight w:val="none"/>
        </w:rPr>
        <w:t>否则其响应按无效响应处理。</w:t>
      </w:r>
    </w:p>
    <w:p>
      <w:pPr>
        <w:keepNext w:val="0"/>
        <w:keepLines w:val="0"/>
        <w:pageBreakBefore w:val="0"/>
        <w:widowControl w:val="0"/>
        <w:kinsoku/>
        <w:wordWrap/>
        <w:overflowPunct/>
        <w:topLinePunct w:val="0"/>
        <w:autoSpaceDE/>
        <w:autoSpaceDN/>
        <w:bidi w:val="0"/>
        <w:adjustRightInd/>
        <w:snapToGrid/>
        <w:spacing w:before="213" w:line="240" w:lineRule="auto"/>
        <w:ind w:left="123" w:right="156" w:firstLine="414"/>
        <w:textAlignment w:val="auto"/>
        <w:rPr>
          <w:rFonts w:hint="eastAsia" w:ascii="宋体" w:hAnsi="宋体" w:eastAsia="宋体" w:cs="宋体"/>
          <w:b/>
          <w:bCs/>
          <w:color w:val="auto"/>
          <w:spacing w:val="8"/>
          <w:sz w:val="20"/>
          <w:szCs w:val="20"/>
          <w:highlight w:val="none"/>
          <w:lang w:eastAsia="zh-CN"/>
        </w:rPr>
      </w:pPr>
      <w:r>
        <w:rPr>
          <w:rFonts w:ascii="宋体" w:hAnsi="宋体" w:eastAsia="宋体" w:cs="宋体"/>
          <w:color w:val="auto"/>
          <w:spacing w:val="10"/>
          <w:sz w:val="20"/>
          <w:szCs w:val="20"/>
          <w:highlight w:val="none"/>
        </w:rPr>
        <w:t>4、</w:t>
      </w:r>
      <w:r>
        <w:rPr>
          <w:rFonts w:hint="eastAsia" w:ascii="宋体" w:hAnsi="宋体" w:eastAsia="宋体" w:cs="宋体"/>
          <w:color w:val="auto"/>
          <w:spacing w:val="10"/>
          <w:sz w:val="20"/>
          <w:szCs w:val="20"/>
          <w:highlight w:val="none"/>
        </w:rPr>
        <w:t>供应商的响应报价表必须加盖供应商公章并由法定代表人或者委托代理人签字，</w:t>
      </w:r>
      <w:r>
        <w:rPr>
          <w:rFonts w:hint="eastAsia" w:ascii="宋体" w:hAnsi="宋体" w:eastAsia="宋体" w:cs="宋体"/>
          <w:b/>
          <w:bCs/>
          <w:color w:val="auto"/>
          <w:spacing w:val="8"/>
          <w:sz w:val="20"/>
          <w:szCs w:val="20"/>
          <w:highlight w:val="none"/>
        </w:rPr>
        <w:t>否则其响应文件按无效响应处理</w:t>
      </w:r>
      <w:r>
        <w:rPr>
          <w:rFonts w:hint="eastAsia" w:ascii="宋体" w:hAnsi="宋体" w:eastAsia="宋体" w:cs="宋体"/>
          <w:b/>
          <w:bCs/>
          <w:color w:val="auto"/>
          <w:spacing w:val="8"/>
          <w:sz w:val="20"/>
          <w:szCs w:val="20"/>
          <w:highlight w:val="none"/>
          <w:lang w:eastAsia="zh-CN"/>
        </w:rPr>
        <w:t>。</w:t>
      </w:r>
    </w:p>
    <w:p>
      <w:pPr>
        <w:keepNext w:val="0"/>
        <w:keepLines w:val="0"/>
        <w:pageBreakBefore w:val="0"/>
        <w:widowControl w:val="0"/>
        <w:kinsoku/>
        <w:wordWrap/>
        <w:overflowPunct/>
        <w:topLinePunct w:val="0"/>
        <w:autoSpaceDE/>
        <w:autoSpaceDN/>
        <w:bidi w:val="0"/>
        <w:adjustRightInd/>
        <w:snapToGrid/>
        <w:spacing w:before="213" w:line="240" w:lineRule="auto"/>
        <w:ind w:left="123" w:right="156" w:firstLine="414"/>
        <w:textAlignment w:val="auto"/>
        <w:rPr>
          <w:rFonts w:ascii="宋体" w:hAnsi="宋体" w:eastAsia="宋体" w:cs="宋体"/>
          <w:color w:val="auto"/>
          <w:sz w:val="20"/>
          <w:szCs w:val="20"/>
          <w:highlight w:val="none"/>
        </w:rPr>
      </w:pPr>
      <w:r>
        <w:rPr>
          <w:rFonts w:hint="eastAsia" w:ascii="宋体" w:hAnsi="宋体" w:cs="宋体"/>
          <w:color w:val="auto"/>
          <w:spacing w:val="10"/>
          <w:sz w:val="20"/>
          <w:szCs w:val="20"/>
          <w:highlight w:val="none"/>
          <w:lang w:val="en-US" w:eastAsia="zh-CN"/>
        </w:rPr>
        <w:t>5、</w:t>
      </w:r>
      <w:r>
        <w:rPr>
          <w:rFonts w:ascii="宋体" w:hAnsi="宋体" w:eastAsia="宋体" w:cs="宋体"/>
          <w:color w:val="auto"/>
          <w:spacing w:val="10"/>
          <w:sz w:val="20"/>
          <w:szCs w:val="20"/>
          <w:highlight w:val="none"/>
        </w:rPr>
        <w:t>特别提示：采购代理机构将对项目名称和项目编号，成交供应</w:t>
      </w:r>
      <w:r>
        <w:rPr>
          <w:rFonts w:ascii="宋体" w:hAnsi="宋体" w:eastAsia="宋体" w:cs="宋体"/>
          <w:color w:val="auto"/>
          <w:spacing w:val="9"/>
          <w:sz w:val="20"/>
          <w:szCs w:val="20"/>
          <w:highlight w:val="none"/>
        </w:rPr>
        <w:t>商名称、地址和成交金额，主要成交标的的名称、规格型号、数量、单价等予以</w:t>
      </w:r>
      <w:r>
        <w:rPr>
          <w:rFonts w:ascii="宋体" w:hAnsi="宋体" w:eastAsia="宋体" w:cs="宋体"/>
          <w:color w:val="auto"/>
          <w:spacing w:val="8"/>
          <w:sz w:val="20"/>
          <w:szCs w:val="20"/>
          <w:highlight w:val="none"/>
        </w:rPr>
        <w:t>公示。</w:t>
      </w:r>
    </w:p>
    <w:p>
      <w:pPr>
        <w:autoSpaceDE w:val="0"/>
        <w:autoSpaceDN w:val="0"/>
        <w:spacing w:line="400" w:lineRule="exact"/>
        <w:ind w:firstLine="6000" w:firstLineChars="2500"/>
        <w:rPr>
          <w:rFonts w:hint="eastAsia" w:ascii="仿宋_GB2312" w:hAnsi="仿宋" w:eastAsia="仿宋_GB2312" w:cs="仿宋_GB2312"/>
          <w:color w:val="auto"/>
          <w:kern w:val="0"/>
          <w:sz w:val="24"/>
          <w:highlight w:val="none"/>
        </w:rPr>
      </w:pPr>
    </w:p>
    <w:p>
      <w:pPr>
        <w:autoSpaceDE w:val="0"/>
        <w:autoSpaceDN w:val="0"/>
        <w:spacing w:line="400" w:lineRule="exact"/>
        <w:ind w:firstLine="3360" w:firstLineChars="1400"/>
        <w:rPr>
          <w:rFonts w:hint="eastAsia" w:ascii="仿宋_GB2312" w:hAnsi="仿宋" w:eastAsia="仿宋_GB2312" w:cs="仿宋_GB2312"/>
          <w:color w:val="auto"/>
          <w:kern w:val="0"/>
          <w:sz w:val="24"/>
          <w:highlight w:val="none"/>
        </w:rPr>
      </w:pPr>
    </w:p>
    <w:p>
      <w:pPr>
        <w:autoSpaceDE w:val="0"/>
        <w:autoSpaceDN w:val="0"/>
        <w:spacing w:line="400" w:lineRule="exact"/>
        <w:ind w:firstLine="3360" w:firstLineChars="14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供应商名称（电子签章）：</w:t>
      </w:r>
    </w:p>
    <w:p>
      <w:pPr>
        <w:widowControl/>
        <w:ind w:firstLine="6480" w:firstLineChars="2700"/>
        <w:jc w:val="left"/>
        <w:rPr>
          <w:rFonts w:hint="eastAsia" w:ascii="仿宋_GB2312" w:hAnsi="仿宋" w:eastAsia="仿宋_GB2312" w:cs="仿宋_GB2312"/>
          <w:color w:val="auto"/>
          <w:kern w:val="0"/>
          <w:sz w:val="24"/>
          <w:highlight w:val="none"/>
          <w:lang w:val="zh-CN"/>
        </w:rPr>
      </w:pPr>
    </w:p>
    <w:p>
      <w:pPr>
        <w:widowControl/>
        <w:ind w:firstLine="3600" w:firstLineChars="1500"/>
        <w:jc w:val="left"/>
        <w:rPr>
          <w:rFonts w:hint="eastAsia" w:ascii="仿宋_GB2312" w:hAnsi="仿宋" w:eastAsia="仿宋_GB2312" w:cs="仿宋_GB2312"/>
          <w:color w:val="auto"/>
          <w:kern w:val="0"/>
          <w:sz w:val="24"/>
          <w:highlight w:val="none"/>
          <w:lang w:val="en-US" w:eastAsia="zh-CN"/>
        </w:rPr>
      </w:pPr>
      <w:r>
        <w:rPr>
          <w:rFonts w:hint="eastAsia" w:ascii="仿宋_GB2312" w:hAnsi="仿宋" w:eastAsia="仿宋_GB2312" w:cs="仿宋_GB2312"/>
          <w:color w:val="auto"/>
          <w:kern w:val="0"/>
          <w:sz w:val="24"/>
          <w:highlight w:val="none"/>
          <w:lang w:val="zh-CN"/>
        </w:rPr>
        <w:t xml:space="preserve">日期：  年  月  </w:t>
      </w:r>
      <w:r>
        <w:rPr>
          <w:rFonts w:hint="eastAsia" w:ascii="仿宋_GB2312" w:hAnsi="仿宋" w:eastAsia="仿宋_GB2312" w:cs="仿宋_GB2312"/>
          <w:color w:val="auto"/>
          <w:kern w:val="0"/>
          <w:sz w:val="24"/>
          <w:highlight w:val="none"/>
          <w:lang w:val="en-US" w:eastAsia="zh-CN"/>
        </w:rPr>
        <w:t>日</w:t>
      </w:r>
    </w:p>
    <w:p>
      <w:pPr>
        <w:spacing w:line="500" w:lineRule="exact"/>
        <w:ind w:firstLine="301" w:firstLineChars="100"/>
        <w:rPr>
          <w:rFonts w:hint="eastAsia" w:ascii="仿宋" w:hAnsi="仿宋" w:eastAsia="仿宋" w:cs="仿宋_GB2312"/>
          <w:b/>
          <w:color w:val="auto"/>
          <w:sz w:val="30"/>
          <w:szCs w:val="30"/>
          <w:highlight w:val="none"/>
        </w:rPr>
      </w:pPr>
    </w:p>
    <w:p>
      <w:pP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pPr>
        <w:numPr>
          <w:ilvl w:val="0"/>
          <w:numId w:val="0"/>
        </w:numPr>
        <w:autoSpaceDE w:val="0"/>
        <w:autoSpaceDN w:val="0"/>
        <w:spacing w:line="360" w:lineRule="auto"/>
        <w:outlineLvl w:val="1"/>
        <w:rPr>
          <w:rFonts w:hint="eastAsia" w:ascii="宋体" w:hAnsi="宋体" w:cs="宋体"/>
          <w:b/>
          <w:bCs/>
          <w:color w:val="auto"/>
          <w:sz w:val="32"/>
          <w:szCs w:val="32"/>
          <w:highlight w:val="none"/>
        </w:rPr>
      </w:pPr>
      <w:bookmarkStart w:id="167" w:name="_Toc44229899"/>
      <w:bookmarkEnd w:id="167"/>
      <w:bookmarkStart w:id="168" w:name="_Toc35611516"/>
      <w:bookmarkEnd w:id="168"/>
      <w:bookmarkStart w:id="169" w:name="_Toc31723070"/>
      <w:bookmarkEnd w:id="169"/>
      <w:bookmarkStart w:id="170" w:name="_Toc35611438"/>
      <w:bookmarkEnd w:id="170"/>
      <w:bookmarkStart w:id="171" w:name="_Toc31728084"/>
      <w:bookmarkEnd w:id="171"/>
      <w:bookmarkStart w:id="172" w:name="_Toc637"/>
      <w:bookmarkStart w:id="173" w:name="_Toc12738"/>
      <w:bookmarkStart w:id="174" w:name="_Toc110412258"/>
      <w:bookmarkStart w:id="175" w:name="_Toc8517"/>
      <w:r>
        <w:rPr>
          <w:rFonts w:hint="eastAsia" w:ascii="宋体" w:hAnsi="宋体" w:eastAsia="宋体" w:cs="宋体"/>
          <w:b/>
          <w:bCs/>
          <w:color w:val="auto"/>
          <w:kern w:val="2"/>
          <w:sz w:val="32"/>
          <w:szCs w:val="32"/>
          <w:highlight w:val="none"/>
          <w:lang w:val="en-US" w:eastAsia="zh-CN" w:bidi="ar-SA"/>
        </w:rPr>
        <w:t>第五节</w:t>
      </w:r>
      <w:r>
        <w:rPr>
          <w:rFonts w:hint="eastAsia" w:ascii="宋体" w:hAnsi="宋体" w:cs="宋体"/>
          <w:b/>
          <w:bCs/>
          <w:color w:val="auto"/>
          <w:sz w:val="32"/>
          <w:szCs w:val="32"/>
          <w:highlight w:val="none"/>
        </w:rPr>
        <w:t>其他文书、文件格式</w:t>
      </w:r>
      <w:bookmarkEnd w:id="172"/>
    </w:p>
    <w:p>
      <w:pPr>
        <w:spacing w:before="299" w:line="223" w:lineRule="auto"/>
        <w:jc w:val="both"/>
        <w:rPr>
          <w:rFonts w:ascii="宋体" w:hAnsi="宋体" w:eastAsia="宋体" w:cs="宋体"/>
          <w:color w:val="auto"/>
          <w:spacing w:val="1"/>
          <w:sz w:val="43"/>
          <w:szCs w:val="43"/>
          <w:highlight w:val="none"/>
        </w:rPr>
      </w:pPr>
      <w:r>
        <w:rPr>
          <w:rFonts w:hint="eastAsia" w:ascii="宋体" w:hAnsi="宋体" w:eastAsia="宋体" w:cs="宋体"/>
          <w:b/>
          <w:bCs/>
          <w:color w:val="auto"/>
          <w:spacing w:val="-3"/>
          <w:sz w:val="28"/>
          <w:szCs w:val="28"/>
          <w:highlight w:val="none"/>
          <w:lang w:eastAsia="zh-CN"/>
        </w:rPr>
        <w:t>（</w:t>
      </w:r>
      <w:r>
        <w:rPr>
          <w:rFonts w:hint="eastAsia" w:ascii="宋体" w:hAnsi="宋体" w:eastAsia="宋体" w:cs="宋体"/>
          <w:b/>
          <w:bCs/>
          <w:color w:val="auto"/>
          <w:spacing w:val="-3"/>
          <w:sz w:val="28"/>
          <w:szCs w:val="28"/>
          <w:highlight w:val="none"/>
          <w:lang w:val="en-US" w:eastAsia="zh-CN"/>
        </w:rPr>
        <w:t>1</w:t>
      </w:r>
      <w:r>
        <w:rPr>
          <w:rFonts w:hint="eastAsia" w:ascii="宋体" w:hAnsi="宋体" w:eastAsia="宋体" w:cs="宋体"/>
          <w:b/>
          <w:bCs/>
          <w:color w:val="auto"/>
          <w:spacing w:val="-3"/>
          <w:sz w:val="28"/>
          <w:szCs w:val="28"/>
          <w:highlight w:val="none"/>
          <w:lang w:eastAsia="zh-CN"/>
        </w:rPr>
        <w:t>）</w:t>
      </w:r>
      <w:r>
        <w:rPr>
          <w:rFonts w:hint="eastAsia" w:ascii="宋体" w:hAnsi="宋体" w:eastAsia="宋体" w:cs="宋体"/>
          <w:b/>
          <w:bCs/>
          <w:color w:val="auto"/>
          <w:spacing w:val="-3"/>
          <w:sz w:val="28"/>
          <w:szCs w:val="28"/>
          <w:highlight w:val="none"/>
        </w:rPr>
        <w:t>中小企业声明函</w:t>
      </w:r>
      <w:r>
        <w:rPr>
          <w:rFonts w:ascii="宋体" w:hAnsi="宋体" w:eastAsia="宋体" w:cs="宋体"/>
          <w:b/>
          <w:bCs/>
          <w:color w:val="auto"/>
          <w:spacing w:val="-3"/>
          <w:sz w:val="28"/>
          <w:szCs w:val="28"/>
          <w:highlight w:val="none"/>
        </w:rPr>
        <w:t>的格式</w:t>
      </w:r>
    </w:p>
    <w:p>
      <w:pPr>
        <w:spacing w:before="299" w:line="223" w:lineRule="auto"/>
        <w:jc w:val="center"/>
        <w:rPr>
          <w:rFonts w:ascii="宋体" w:hAnsi="宋体" w:eastAsia="宋体" w:cs="宋体"/>
          <w:color w:val="auto"/>
          <w:sz w:val="43"/>
          <w:szCs w:val="43"/>
          <w:highlight w:val="none"/>
        </w:rPr>
      </w:pPr>
      <w:r>
        <w:rPr>
          <w:rFonts w:ascii="宋体" w:hAnsi="宋体" w:eastAsia="宋体" w:cs="宋体"/>
          <w:color w:val="auto"/>
          <w:spacing w:val="1"/>
          <w:sz w:val="43"/>
          <w:szCs w:val="43"/>
          <w:highlight w:val="none"/>
        </w:rPr>
        <w:t>中小企业声明函</w:t>
      </w:r>
    </w:p>
    <w:p>
      <w:pPr>
        <w:pStyle w:val="13"/>
        <w:spacing w:line="274" w:lineRule="auto"/>
        <w:rPr>
          <w:color w:val="auto"/>
          <w:highlight w:val="none"/>
        </w:rPr>
      </w:pPr>
    </w:p>
    <w:p>
      <w:pPr>
        <w:pStyle w:val="13"/>
        <w:spacing w:line="274" w:lineRule="auto"/>
        <w:rPr>
          <w:color w:val="auto"/>
          <w:highlight w:val="none"/>
        </w:rPr>
      </w:pPr>
    </w:p>
    <w:p>
      <w:pPr>
        <w:spacing w:before="78" w:line="356" w:lineRule="auto"/>
        <w:ind w:right="300" w:firstLine="642"/>
        <w:jc w:val="both"/>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本公司（联合体）郑重声明，根据《政府采购促进中小企业发展管理办法》（财库﹝2020﹞</w:t>
      </w:r>
      <w:r>
        <w:rPr>
          <w:rFonts w:ascii="宋体" w:hAnsi="宋体" w:eastAsia="宋体" w:cs="宋体"/>
          <w:color w:val="auto"/>
          <w:spacing w:val="10"/>
          <w:sz w:val="24"/>
          <w:szCs w:val="24"/>
          <w:highlight w:val="none"/>
        </w:rPr>
        <w:t xml:space="preserve"> </w:t>
      </w:r>
      <w:r>
        <w:rPr>
          <w:rFonts w:ascii="宋体" w:hAnsi="宋体" w:eastAsia="宋体" w:cs="宋体"/>
          <w:color w:val="auto"/>
          <w:spacing w:val="-3"/>
          <w:sz w:val="24"/>
          <w:szCs w:val="24"/>
          <w:highlight w:val="none"/>
        </w:rPr>
        <w:t>46</w:t>
      </w:r>
      <w:r>
        <w:rPr>
          <w:rFonts w:ascii="宋体" w:hAnsi="宋体" w:eastAsia="宋体" w:cs="宋体"/>
          <w:color w:val="auto"/>
          <w:spacing w:val="-36"/>
          <w:sz w:val="24"/>
          <w:szCs w:val="24"/>
          <w:highlight w:val="none"/>
        </w:rPr>
        <w:t xml:space="preserve"> </w:t>
      </w:r>
      <w:r>
        <w:rPr>
          <w:rFonts w:ascii="宋体" w:hAnsi="宋体" w:eastAsia="宋体" w:cs="宋体"/>
          <w:color w:val="auto"/>
          <w:spacing w:val="-3"/>
          <w:sz w:val="24"/>
          <w:szCs w:val="24"/>
          <w:highlight w:val="none"/>
        </w:rPr>
        <w:t>号）的规定，本公司（联合体）参加</w:t>
      </w:r>
      <w:r>
        <w:rPr>
          <w:rFonts w:ascii="宋体" w:hAnsi="宋体" w:eastAsia="宋体" w:cs="宋体"/>
          <w:color w:val="auto"/>
          <w:spacing w:val="-3"/>
          <w:sz w:val="25"/>
          <w:szCs w:val="25"/>
          <w:highlight w:val="none"/>
          <w:u w:val="single" w:color="auto"/>
        </w:rPr>
        <w:t xml:space="preserve"> </w:t>
      </w:r>
      <w:r>
        <w:rPr>
          <w:rFonts w:ascii="宋体" w:hAnsi="宋体" w:eastAsia="宋体" w:cs="宋体"/>
          <w:i/>
          <w:iCs/>
          <w:color w:val="auto"/>
          <w:spacing w:val="-3"/>
          <w:sz w:val="25"/>
          <w:szCs w:val="25"/>
          <w:highlight w:val="none"/>
          <w:u w:val="single" w:color="auto"/>
        </w:rPr>
        <w:t>（单位名称）</w:t>
      </w:r>
      <w:r>
        <w:rPr>
          <w:rFonts w:ascii="宋体" w:hAnsi="宋体" w:eastAsia="宋体" w:cs="宋体"/>
          <w:color w:val="auto"/>
          <w:spacing w:val="-41"/>
          <w:sz w:val="25"/>
          <w:szCs w:val="25"/>
          <w:highlight w:val="none"/>
          <w:u w:val="single" w:color="auto"/>
        </w:rPr>
        <w:t xml:space="preserve"> </w:t>
      </w:r>
      <w:r>
        <w:rPr>
          <w:rFonts w:ascii="宋体" w:hAnsi="宋体" w:eastAsia="宋体" w:cs="宋体"/>
          <w:color w:val="auto"/>
          <w:spacing w:val="-96"/>
          <w:sz w:val="25"/>
          <w:szCs w:val="25"/>
          <w:highlight w:val="none"/>
        </w:rPr>
        <w:t xml:space="preserve"> </w:t>
      </w:r>
      <w:r>
        <w:rPr>
          <w:rFonts w:ascii="宋体" w:hAnsi="宋体" w:eastAsia="宋体" w:cs="宋体"/>
          <w:color w:val="auto"/>
          <w:spacing w:val="-3"/>
          <w:sz w:val="24"/>
          <w:szCs w:val="24"/>
          <w:highlight w:val="none"/>
        </w:rPr>
        <w:t>的</w:t>
      </w:r>
      <w:r>
        <w:rPr>
          <w:rFonts w:ascii="宋体" w:hAnsi="宋体" w:eastAsia="宋体" w:cs="宋体"/>
          <w:i/>
          <w:iCs/>
          <w:color w:val="auto"/>
          <w:spacing w:val="-3"/>
          <w:sz w:val="25"/>
          <w:szCs w:val="25"/>
          <w:highlight w:val="none"/>
          <w:u w:val="single" w:color="auto"/>
        </w:rPr>
        <w:t>（项目名称）</w:t>
      </w:r>
      <w:r>
        <w:rPr>
          <w:rFonts w:ascii="宋体" w:hAnsi="宋体" w:eastAsia="宋体" w:cs="宋体"/>
          <w:color w:val="auto"/>
          <w:spacing w:val="-3"/>
          <w:sz w:val="24"/>
          <w:szCs w:val="24"/>
          <w:highlight w:val="none"/>
        </w:rPr>
        <w:t>采购活动，提供的货物</w:t>
      </w:r>
      <w:r>
        <w:rPr>
          <w:rFonts w:ascii="宋体" w:hAnsi="宋体" w:eastAsia="宋体" w:cs="宋体"/>
          <w:color w:val="auto"/>
          <w:spacing w:val="2"/>
          <w:sz w:val="24"/>
          <w:szCs w:val="24"/>
          <w:highlight w:val="none"/>
        </w:rPr>
        <w:t>全部由符合政策要求的中小企业制造。相关企业（含联合体中的中小企业、签订</w:t>
      </w:r>
      <w:r>
        <w:rPr>
          <w:rFonts w:ascii="宋体" w:hAnsi="宋体" w:eastAsia="宋体" w:cs="宋体"/>
          <w:color w:val="auto"/>
          <w:spacing w:val="1"/>
          <w:sz w:val="24"/>
          <w:szCs w:val="24"/>
          <w:highlight w:val="none"/>
        </w:rPr>
        <w:t>分包意向协议</w:t>
      </w:r>
      <w:r>
        <w:rPr>
          <w:rFonts w:ascii="宋体" w:hAnsi="宋体" w:eastAsia="宋体" w:cs="宋体"/>
          <w:color w:val="auto"/>
          <w:spacing w:val="-1"/>
          <w:sz w:val="24"/>
          <w:szCs w:val="24"/>
          <w:highlight w:val="none"/>
        </w:rPr>
        <w:t>的中小企业）的具体情况如下：</w:t>
      </w:r>
    </w:p>
    <w:p>
      <w:pPr>
        <w:spacing w:before="1" w:line="300" w:lineRule="auto"/>
        <w:ind w:firstLine="67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w:t>
      </w:r>
      <w:r>
        <w:rPr>
          <w:rFonts w:ascii="宋体" w:hAnsi="宋体" w:eastAsia="宋体" w:cs="宋体"/>
          <w:i/>
          <w:iCs/>
          <w:color w:val="auto"/>
          <w:spacing w:val="-4"/>
          <w:sz w:val="25"/>
          <w:szCs w:val="25"/>
          <w:highlight w:val="none"/>
          <w:u w:val="single" w:color="auto"/>
        </w:rPr>
        <w:t>（标的名称</w:t>
      </w:r>
      <w:r>
        <w:rPr>
          <w:rFonts w:ascii="宋体" w:hAnsi="宋体" w:eastAsia="宋体" w:cs="宋体"/>
          <w:i/>
          <w:iCs/>
          <w:color w:val="auto"/>
          <w:spacing w:val="-11"/>
          <w:sz w:val="25"/>
          <w:szCs w:val="25"/>
          <w:highlight w:val="none"/>
          <w:u w:val="single" w:color="auto"/>
        </w:rPr>
        <w:t>）</w:t>
      </w:r>
      <w:r>
        <w:rPr>
          <w:rFonts w:ascii="宋体" w:hAnsi="宋体" w:eastAsia="宋体" w:cs="宋体"/>
          <w:color w:val="auto"/>
          <w:spacing w:val="-11"/>
          <w:sz w:val="24"/>
          <w:szCs w:val="24"/>
          <w:highlight w:val="none"/>
        </w:rPr>
        <w:t>，</w:t>
      </w:r>
      <w:r>
        <w:rPr>
          <w:rFonts w:ascii="宋体" w:hAnsi="宋体" w:eastAsia="宋体" w:cs="宋体"/>
          <w:color w:val="auto"/>
          <w:spacing w:val="-4"/>
          <w:sz w:val="24"/>
          <w:szCs w:val="24"/>
          <w:highlight w:val="none"/>
        </w:rPr>
        <w:t>属于</w:t>
      </w:r>
      <w:r>
        <w:rPr>
          <w:rFonts w:ascii="宋体" w:hAnsi="宋体" w:eastAsia="宋体" w:cs="宋体"/>
          <w:i/>
          <w:iCs/>
          <w:color w:val="auto"/>
          <w:spacing w:val="-4"/>
          <w:sz w:val="25"/>
          <w:szCs w:val="25"/>
          <w:highlight w:val="none"/>
          <w:u w:val="single" w:color="auto"/>
        </w:rPr>
        <w:t>（采购文件中明确的所属行业）</w:t>
      </w:r>
      <w:r>
        <w:rPr>
          <w:rFonts w:ascii="宋体" w:hAnsi="宋体" w:eastAsia="宋体" w:cs="宋体"/>
          <w:i/>
          <w:iCs/>
          <w:color w:val="auto"/>
          <w:spacing w:val="-5"/>
          <w:sz w:val="25"/>
          <w:szCs w:val="25"/>
          <w:highlight w:val="none"/>
          <w:u w:val="single" w:color="auto"/>
        </w:rPr>
        <w:t>行业</w:t>
      </w:r>
      <w:r>
        <w:rPr>
          <w:rFonts w:ascii="宋体" w:hAnsi="宋体" w:eastAsia="宋体" w:cs="宋体"/>
          <w:color w:val="auto"/>
          <w:spacing w:val="-5"/>
          <w:sz w:val="24"/>
          <w:szCs w:val="24"/>
          <w:highlight w:val="none"/>
        </w:rPr>
        <w:t>；制造商为</w:t>
      </w:r>
      <w:r>
        <w:rPr>
          <w:rFonts w:ascii="宋体" w:hAnsi="宋体" w:eastAsia="宋体" w:cs="宋体"/>
          <w:i/>
          <w:iCs/>
          <w:color w:val="auto"/>
          <w:spacing w:val="-5"/>
          <w:sz w:val="25"/>
          <w:szCs w:val="25"/>
          <w:highlight w:val="none"/>
          <w:u w:val="single" w:color="auto"/>
        </w:rPr>
        <w:t>（企业名称</w:t>
      </w:r>
      <w:r>
        <w:rPr>
          <w:rFonts w:ascii="宋体" w:hAnsi="宋体" w:eastAsia="宋体" w:cs="宋体"/>
          <w:i/>
          <w:iCs/>
          <w:color w:val="auto"/>
          <w:spacing w:val="-11"/>
          <w:sz w:val="25"/>
          <w:szCs w:val="25"/>
          <w:highlight w:val="none"/>
          <w:u w:val="single" w:color="auto"/>
        </w:rPr>
        <w:t>）</w:t>
      </w:r>
      <w:r>
        <w:rPr>
          <w:rFonts w:ascii="宋体" w:hAnsi="宋体" w:eastAsia="宋体" w:cs="宋体"/>
          <w:color w:val="auto"/>
          <w:spacing w:val="-11"/>
          <w:sz w:val="24"/>
          <w:szCs w:val="24"/>
          <w:highlight w:val="none"/>
        </w:rPr>
        <w:t>，</w:t>
      </w:r>
      <w:r>
        <w:rPr>
          <w:rFonts w:ascii="宋体" w:hAnsi="宋体" w:eastAsia="宋体" w:cs="宋体"/>
          <w:color w:val="auto"/>
          <w:spacing w:val="-5"/>
          <w:sz w:val="24"/>
          <w:szCs w:val="24"/>
          <w:highlight w:val="none"/>
        </w:rPr>
        <w:t>从业人员</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5"/>
          <w:sz w:val="24"/>
          <w:szCs w:val="24"/>
          <w:highlight w:val="none"/>
        </w:rPr>
        <w:t>人，营业收入为</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5"/>
          <w:sz w:val="24"/>
          <w:szCs w:val="24"/>
          <w:highlight w:val="none"/>
        </w:rPr>
        <w:t>万元，资产总额为</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5"/>
          <w:sz w:val="24"/>
          <w:szCs w:val="24"/>
          <w:highlight w:val="none"/>
        </w:rPr>
        <w:t>万元，属于</w:t>
      </w:r>
      <w:r>
        <w:rPr>
          <w:rFonts w:ascii="宋体" w:hAnsi="宋体" w:eastAsia="宋体" w:cs="宋体"/>
          <w:i/>
          <w:iCs/>
          <w:color w:val="auto"/>
          <w:spacing w:val="-5"/>
          <w:sz w:val="25"/>
          <w:szCs w:val="25"/>
          <w:highlight w:val="none"/>
          <w:u w:val="single" w:color="auto"/>
        </w:rPr>
        <w:t>（中型企业、小型企业、微型企业</w:t>
      </w:r>
      <w:r>
        <w:rPr>
          <w:rFonts w:ascii="宋体" w:hAnsi="宋体" w:eastAsia="宋体" w:cs="宋体"/>
          <w:color w:val="auto"/>
          <w:spacing w:val="-15"/>
          <w:sz w:val="24"/>
          <w:szCs w:val="24"/>
          <w:highlight w:val="none"/>
          <w:u w:val="single" w:color="auto"/>
        </w:rPr>
        <w:t>）</w:t>
      </w:r>
      <w:r>
        <w:rPr>
          <w:rFonts w:ascii="宋体" w:hAnsi="宋体" w:eastAsia="宋体" w:cs="宋体"/>
          <w:color w:val="auto"/>
          <w:spacing w:val="-15"/>
          <w:sz w:val="24"/>
          <w:szCs w:val="24"/>
          <w:highlight w:val="none"/>
        </w:rPr>
        <w:t>；</w:t>
      </w:r>
    </w:p>
    <w:p>
      <w:pPr>
        <w:spacing w:before="180" w:line="300" w:lineRule="auto"/>
        <w:ind w:firstLine="65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2.</w:t>
      </w:r>
      <w:r>
        <w:rPr>
          <w:rFonts w:ascii="宋体" w:hAnsi="宋体" w:eastAsia="宋体" w:cs="宋体"/>
          <w:i/>
          <w:iCs/>
          <w:color w:val="auto"/>
          <w:spacing w:val="-4"/>
          <w:sz w:val="25"/>
          <w:szCs w:val="25"/>
          <w:highlight w:val="none"/>
          <w:u w:val="single" w:color="auto"/>
        </w:rPr>
        <w:t>（标的名称</w:t>
      </w:r>
      <w:r>
        <w:rPr>
          <w:rFonts w:ascii="宋体" w:hAnsi="宋体" w:eastAsia="宋体" w:cs="宋体"/>
          <w:i/>
          <w:iCs/>
          <w:color w:val="auto"/>
          <w:spacing w:val="-10"/>
          <w:sz w:val="25"/>
          <w:szCs w:val="25"/>
          <w:highlight w:val="none"/>
          <w:u w:val="single" w:color="auto"/>
        </w:rPr>
        <w:t>）</w:t>
      </w:r>
      <w:r>
        <w:rPr>
          <w:rFonts w:ascii="宋体" w:hAnsi="宋体" w:eastAsia="宋体" w:cs="宋体"/>
          <w:color w:val="auto"/>
          <w:spacing w:val="-10"/>
          <w:sz w:val="24"/>
          <w:szCs w:val="24"/>
          <w:highlight w:val="none"/>
        </w:rPr>
        <w:t>，</w:t>
      </w:r>
      <w:r>
        <w:rPr>
          <w:rFonts w:ascii="宋体" w:hAnsi="宋体" w:eastAsia="宋体" w:cs="宋体"/>
          <w:color w:val="auto"/>
          <w:spacing w:val="-4"/>
          <w:sz w:val="24"/>
          <w:szCs w:val="24"/>
          <w:highlight w:val="none"/>
        </w:rPr>
        <w:t>属于</w:t>
      </w:r>
      <w:r>
        <w:rPr>
          <w:rFonts w:ascii="宋体" w:hAnsi="宋体" w:eastAsia="宋体" w:cs="宋体"/>
          <w:i/>
          <w:iCs/>
          <w:color w:val="auto"/>
          <w:spacing w:val="-4"/>
          <w:sz w:val="25"/>
          <w:szCs w:val="25"/>
          <w:highlight w:val="none"/>
          <w:u w:val="single" w:color="auto"/>
        </w:rPr>
        <w:t>（采购文件中明确的所属行业）行业</w:t>
      </w:r>
      <w:r>
        <w:rPr>
          <w:rFonts w:ascii="宋体" w:hAnsi="宋体" w:eastAsia="宋体" w:cs="宋体"/>
          <w:color w:val="auto"/>
          <w:spacing w:val="-4"/>
          <w:sz w:val="24"/>
          <w:szCs w:val="24"/>
          <w:highlight w:val="none"/>
        </w:rPr>
        <w:t>；制造商为</w:t>
      </w:r>
      <w:r>
        <w:rPr>
          <w:rFonts w:ascii="宋体" w:hAnsi="宋体" w:eastAsia="宋体" w:cs="宋体"/>
          <w:i/>
          <w:iCs/>
          <w:color w:val="auto"/>
          <w:spacing w:val="-4"/>
          <w:sz w:val="25"/>
          <w:szCs w:val="25"/>
          <w:highlight w:val="none"/>
          <w:u w:val="single" w:color="auto"/>
        </w:rPr>
        <w:t>（企业名称</w:t>
      </w:r>
      <w:r>
        <w:rPr>
          <w:rFonts w:ascii="宋体" w:hAnsi="宋体" w:eastAsia="宋体" w:cs="宋体"/>
          <w:i/>
          <w:iCs/>
          <w:color w:val="auto"/>
          <w:spacing w:val="-10"/>
          <w:sz w:val="25"/>
          <w:szCs w:val="25"/>
          <w:highlight w:val="none"/>
          <w:u w:val="single" w:color="auto"/>
        </w:rPr>
        <w:t>）</w:t>
      </w:r>
      <w:r>
        <w:rPr>
          <w:rFonts w:ascii="宋体" w:hAnsi="宋体" w:eastAsia="宋体" w:cs="宋体"/>
          <w:color w:val="auto"/>
          <w:spacing w:val="-10"/>
          <w:sz w:val="24"/>
          <w:szCs w:val="24"/>
          <w:highlight w:val="none"/>
        </w:rPr>
        <w:t>，</w:t>
      </w:r>
      <w:r>
        <w:rPr>
          <w:rFonts w:ascii="宋体" w:hAnsi="宋体" w:eastAsia="宋体" w:cs="宋体"/>
          <w:color w:val="auto"/>
          <w:spacing w:val="-4"/>
          <w:sz w:val="24"/>
          <w:szCs w:val="24"/>
          <w:highlight w:val="none"/>
        </w:rPr>
        <w:t>从</w:t>
      </w:r>
      <w:r>
        <w:rPr>
          <w:rFonts w:ascii="宋体" w:hAnsi="宋体" w:eastAsia="宋体" w:cs="宋体"/>
          <w:color w:val="auto"/>
          <w:spacing w:val="-5"/>
          <w:sz w:val="24"/>
          <w:szCs w:val="24"/>
          <w:highlight w:val="none"/>
        </w:rPr>
        <w:t>业人员</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5"/>
          <w:sz w:val="24"/>
          <w:szCs w:val="24"/>
          <w:highlight w:val="none"/>
        </w:rPr>
        <w:t>人，营业收入为</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5"/>
          <w:sz w:val="24"/>
          <w:szCs w:val="24"/>
          <w:highlight w:val="none"/>
        </w:rPr>
        <w:t>万元，资产总额为</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5"/>
          <w:sz w:val="24"/>
          <w:szCs w:val="24"/>
          <w:highlight w:val="none"/>
        </w:rPr>
        <w:t>万元，属于</w:t>
      </w:r>
      <w:r>
        <w:rPr>
          <w:rFonts w:ascii="宋体" w:hAnsi="宋体" w:eastAsia="宋体" w:cs="宋体"/>
          <w:i/>
          <w:iCs/>
          <w:color w:val="auto"/>
          <w:spacing w:val="-5"/>
          <w:sz w:val="25"/>
          <w:szCs w:val="25"/>
          <w:highlight w:val="none"/>
          <w:u w:val="single" w:color="auto"/>
        </w:rPr>
        <w:t>（中型企业、小型企业、微型企业）</w:t>
      </w:r>
      <w:r>
        <w:rPr>
          <w:rFonts w:ascii="宋体" w:hAnsi="宋体" w:eastAsia="宋体" w:cs="宋体"/>
          <w:color w:val="auto"/>
          <w:spacing w:val="-5"/>
          <w:sz w:val="24"/>
          <w:szCs w:val="24"/>
          <w:highlight w:val="none"/>
        </w:rPr>
        <w:t>；</w:t>
      </w:r>
    </w:p>
    <w:p>
      <w:pPr>
        <w:spacing w:before="181" w:line="378" w:lineRule="exact"/>
        <w:ind w:left="584"/>
        <w:rPr>
          <w:rFonts w:ascii="宋体" w:hAnsi="宋体" w:eastAsia="宋体" w:cs="宋体"/>
          <w:color w:val="auto"/>
          <w:sz w:val="24"/>
          <w:szCs w:val="24"/>
          <w:highlight w:val="none"/>
        </w:rPr>
      </w:pPr>
      <w:r>
        <w:rPr>
          <w:rFonts w:ascii="宋体" w:hAnsi="宋体" w:eastAsia="宋体" w:cs="宋体"/>
          <w:color w:val="auto"/>
          <w:spacing w:val="-13"/>
          <w:position w:val="3"/>
          <w:sz w:val="24"/>
          <w:szCs w:val="24"/>
          <w:highlight w:val="none"/>
        </w:rPr>
        <w:t>……</w:t>
      </w:r>
    </w:p>
    <w:p>
      <w:pPr>
        <w:spacing w:before="88" w:line="359" w:lineRule="auto"/>
        <w:ind w:left="21" w:right="300"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以上企业，不属于大企业的分支机构，不存在控股股东为大企业的情形，也不存在与大企</w:t>
      </w:r>
      <w:r>
        <w:rPr>
          <w:rFonts w:ascii="宋体" w:hAnsi="宋体" w:eastAsia="宋体" w:cs="宋体"/>
          <w:color w:val="auto"/>
          <w:spacing w:val="-1"/>
          <w:sz w:val="24"/>
          <w:szCs w:val="24"/>
          <w:highlight w:val="none"/>
        </w:rPr>
        <w:t>业的负责人为同一人的情形。</w:t>
      </w:r>
    </w:p>
    <w:p>
      <w:pPr>
        <w:spacing w:before="1" w:line="218" w:lineRule="auto"/>
        <w:ind w:left="568"/>
        <w:rPr>
          <w:rFonts w:ascii="宋体" w:hAnsi="宋体" w:eastAsia="宋体" w:cs="宋体"/>
          <w:color w:val="auto"/>
          <w:sz w:val="24"/>
          <w:szCs w:val="24"/>
          <w:highlight w:val="none"/>
        </w:rPr>
      </w:pPr>
      <w:r>
        <w:rPr>
          <w:rFonts w:ascii="宋体" w:hAnsi="宋体" w:eastAsia="宋体" w:cs="宋体"/>
          <w:color w:val="auto"/>
          <w:sz w:val="24"/>
          <w:szCs w:val="24"/>
          <w:highlight w:val="none"/>
        </w:rPr>
        <w:t>本企业对上述声明内容的真实性负责。如有虚</w:t>
      </w:r>
      <w:r>
        <w:rPr>
          <w:rFonts w:ascii="宋体" w:hAnsi="宋体" w:eastAsia="宋体" w:cs="宋体"/>
          <w:color w:val="auto"/>
          <w:spacing w:val="-1"/>
          <w:sz w:val="24"/>
          <w:szCs w:val="24"/>
          <w:highlight w:val="none"/>
        </w:rPr>
        <w:t>假，将依法承担相应责任。</w:t>
      </w:r>
    </w:p>
    <w:p>
      <w:pPr>
        <w:pStyle w:val="13"/>
        <w:spacing w:line="284" w:lineRule="auto"/>
        <w:rPr>
          <w:color w:val="auto"/>
          <w:highlight w:val="none"/>
        </w:rPr>
      </w:pPr>
    </w:p>
    <w:p>
      <w:pPr>
        <w:pStyle w:val="13"/>
        <w:spacing w:line="285" w:lineRule="auto"/>
        <w:rPr>
          <w:color w:val="auto"/>
          <w:highlight w:val="none"/>
        </w:rPr>
      </w:pPr>
    </w:p>
    <w:p>
      <w:pPr>
        <w:spacing w:before="79" w:line="219" w:lineRule="auto"/>
        <w:ind w:left="452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供应商名称（</w:t>
      </w:r>
      <w:r>
        <w:rPr>
          <w:rFonts w:hint="eastAsia" w:ascii="宋体" w:hAnsi="宋体" w:eastAsia="宋体" w:cs="宋体"/>
          <w:color w:val="auto"/>
          <w:spacing w:val="-2"/>
          <w:sz w:val="24"/>
          <w:szCs w:val="24"/>
          <w:highlight w:val="none"/>
          <w:lang w:val="en-US" w:eastAsia="zh-CN"/>
        </w:rPr>
        <w:t>电子签</w:t>
      </w:r>
      <w:r>
        <w:rPr>
          <w:rFonts w:ascii="宋体" w:hAnsi="宋体" w:eastAsia="宋体" w:cs="宋体"/>
          <w:color w:val="auto"/>
          <w:spacing w:val="-2"/>
          <w:sz w:val="24"/>
          <w:szCs w:val="24"/>
          <w:highlight w:val="none"/>
        </w:rPr>
        <w:t>章</w:t>
      </w:r>
      <w:r>
        <w:rPr>
          <w:rFonts w:ascii="宋体" w:hAnsi="宋体" w:eastAsia="宋体" w:cs="宋体"/>
          <w:color w:val="auto"/>
          <w:spacing w:val="3"/>
          <w:sz w:val="24"/>
          <w:szCs w:val="24"/>
          <w:highlight w:val="none"/>
        </w:rPr>
        <w:t>）：</w:t>
      </w:r>
    </w:p>
    <w:p>
      <w:pPr>
        <w:spacing w:before="182" w:line="219" w:lineRule="auto"/>
        <w:ind w:firstLine="5564" w:firstLineChars="260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8"/>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pPr>
        <w:pStyle w:val="13"/>
        <w:spacing w:line="254" w:lineRule="auto"/>
        <w:rPr>
          <w:color w:val="auto"/>
          <w:highlight w:val="none"/>
        </w:rPr>
      </w:pPr>
    </w:p>
    <w:p>
      <w:pPr>
        <w:pStyle w:val="13"/>
        <w:spacing w:line="254" w:lineRule="auto"/>
        <w:rPr>
          <w:color w:val="auto"/>
          <w:highlight w:val="none"/>
        </w:rPr>
      </w:pPr>
    </w:p>
    <w:p>
      <w:pPr>
        <w:spacing w:before="78" w:line="360" w:lineRule="auto"/>
        <w:ind w:left="424" w:right="158"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注：享受《政府采购促进中小企业发展管理办法》（财库〔2020〕46</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号）规定的中</w:t>
      </w:r>
      <w:r>
        <w:rPr>
          <w:rFonts w:ascii="宋体" w:hAnsi="宋体" w:eastAsia="宋体" w:cs="宋体"/>
          <w:color w:val="auto"/>
          <w:spacing w:val="-2"/>
          <w:sz w:val="24"/>
          <w:szCs w:val="24"/>
          <w:highlight w:val="none"/>
        </w:rPr>
        <w:t>小企</w:t>
      </w:r>
      <w:r>
        <w:rPr>
          <w:rFonts w:ascii="宋体" w:hAnsi="宋体" w:eastAsia="宋体" w:cs="宋体"/>
          <w:color w:val="auto"/>
          <w:sz w:val="24"/>
          <w:szCs w:val="24"/>
          <w:highlight w:val="none"/>
        </w:rPr>
        <w:t>业扶持政策的，采购人或者采购代理机构应当随成交结果公开成交供</w:t>
      </w:r>
      <w:r>
        <w:rPr>
          <w:rFonts w:ascii="宋体" w:hAnsi="宋体" w:eastAsia="宋体" w:cs="宋体"/>
          <w:color w:val="auto"/>
          <w:spacing w:val="-1"/>
          <w:sz w:val="24"/>
          <w:szCs w:val="24"/>
          <w:highlight w:val="none"/>
        </w:rPr>
        <w:t>应商的《中小企业声明</w:t>
      </w:r>
      <w:r>
        <w:rPr>
          <w:rFonts w:ascii="宋体" w:hAnsi="宋体" w:eastAsia="宋体" w:cs="宋体"/>
          <w:color w:val="auto"/>
          <w:sz w:val="24"/>
          <w:szCs w:val="24"/>
          <w:highlight w:val="none"/>
        </w:rPr>
        <w:t>函》，接受社会监督。从业人员、营业收入、资产总额填报上一年度</w:t>
      </w:r>
      <w:r>
        <w:rPr>
          <w:rFonts w:ascii="宋体" w:hAnsi="宋体" w:eastAsia="宋体" w:cs="宋体"/>
          <w:color w:val="auto"/>
          <w:spacing w:val="-1"/>
          <w:sz w:val="24"/>
          <w:szCs w:val="24"/>
          <w:highlight w:val="none"/>
        </w:rPr>
        <w:t>数据，无上一年度数据的新成立企业可不填报。</w:t>
      </w:r>
    </w:p>
    <w:p>
      <w:pPr>
        <w:rPr>
          <w:rFonts w:hint="eastAsia" w:ascii="宋体" w:hAnsi="宋体" w:eastAsia="宋体" w:cs="宋体"/>
          <w:b/>
          <w:bCs/>
          <w:color w:val="auto"/>
          <w:spacing w:val="-3"/>
          <w:sz w:val="28"/>
          <w:szCs w:val="28"/>
          <w:highlight w:val="none"/>
          <w:lang w:val="en-US" w:eastAsia="zh-CN"/>
        </w:rPr>
      </w:pPr>
      <w:r>
        <w:rPr>
          <w:rFonts w:hint="eastAsia" w:ascii="宋体" w:hAnsi="宋体" w:eastAsia="宋体" w:cs="宋体"/>
          <w:b/>
          <w:bCs/>
          <w:color w:val="auto"/>
          <w:spacing w:val="-3"/>
          <w:sz w:val="28"/>
          <w:szCs w:val="28"/>
          <w:highlight w:val="none"/>
          <w:lang w:val="en-US" w:eastAsia="zh-CN"/>
        </w:rPr>
        <w:br w:type="page"/>
      </w:r>
    </w:p>
    <w:p>
      <w:pPr>
        <w:spacing w:before="56" w:line="220" w:lineRule="auto"/>
        <w:ind w:left="6"/>
        <w:rPr>
          <w:rFonts w:ascii="宋体" w:hAnsi="宋体" w:eastAsia="宋体" w:cs="宋体"/>
          <w:color w:val="auto"/>
          <w:sz w:val="28"/>
          <w:szCs w:val="28"/>
          <w:highlight w:val="none"/>
        </w:rPr>
      </w:pPr>
      <w:r>
        <w:rPr>
          <w:rFonts w:hint="eastAsia" w:ascii="宋体" w:hAnsi="宋体" w:cs="宋体"/>
          <w:b/>
          <w:bCs/>
          <w:color w:val="auto"/>
          <w:spacing w:val="-3"/>
          <w:sz w:val="28"/>
          <w:szCs w:val="28"/>
          <w:highlight w:val="none"/>
          <w:lang w:val="en-US" w:eastAsia="zh-CN"/>
        </w:rPr>
        <w:t>（2）</w:t>
      </w:r>
      <w:r>
        <w:rPr>
          <w:rFonts w:ascii="宋体" w:hAnsi="宋体" w:eastAsia="宋体" w:cs="宋体"/>
          <w:b/>
          <w:bCs/>
          <w:color w:val="auto"/>
          <w:spacing w:val="-3"/>
          <w:sz w:val="28"/>
          <w:szCs w:val="28"/>
          <w:highlight w:val="none"/>
        </w:rPr>
        <w:t>残疾人福利性单位声明函的格式：</w:t>
      </w:r>
    </w:p>
    <w:p>
      <w:pPr>
        <w:pStyle w:val="13"/>
        <w:spacing w:line="248" w:lineRule="auto"/>
        <w:rPr>
          <w:color w:val="auto"/>
          <w:highlight w:val="none"/>
        </w:rPr>
      </w:pPr>
    </w:p>
    <w:p>
      <w:pPr>
        <w:pStyle w:val="13"/>
        <w:spacing w:line="248" w:lineRule="auto"/>
        <w:rPr>
          <w:color w:val="auto"/>
          <w:highlight w:val="none"/>
        </w:rPr>
      </w:pPr>
    </w:p>
    <w:p>
      <w:pPr>
        <w:pStyle w:val="13"/>
        <w:spacing w:line="248" w:lineRule="auto"/>
        <w:rPr>
          <w:color w:val="auto"/>
          <w:highlight w:val="none"/>
        </w:rPr>
      </w:pPr>
    </w:p>
    <w:p>
      <w:pPr>
        <w:pStyle w:val="13"/>
        <w:spacing w:line="248" w:lineRule="auto"/>
        <w:rPr>
          <w:color w:val="auto"/>
          <w:highlight w:val="none"/>
        </w:rPr>
      </w:pPr>
    </w:p>
    <w:p>
      <w:pPr>
        <w:pStyle w:val="13"/>
        <w:spacing w:line="248" w:lineRule="auto"/>
        <w:rPr>
          <w:color w:val="auto"/>
          <w:highlight w:val="none"/>
        </w:rPr>
      </w:pPr>
    </w:p>
    <w:p>
      <w:pPr>
        <w:spacing w:before="114" w:line="225" w:lineRule="auto"/>
        <w:ind w:left="2840"/>
        <w:rPr>
          <w:rFonts w:ascii="宋体" w:hAnsi="宋体" w:eastAsia="宋体" w:cs="宋体"/>
          <w:color w:val="auto"/>
          <w:sz w:val="35"/>
          <w:szCs w:val="35"/>
          <w:highlight w:val="none"/>
        </w:rPr>
      </w:pPr>
      <w:r>
        <w:rPr>
          <w:rFonts w:ascii="宋体" w:hAnsi="宋体" w:eastAsia="宋体" w:cs="宋体"/>
          <w:b/>
          <w:bCs/>
          <w:color w:val="auto"/>
          <w:spacing w:val="6"/>
          <w:sz w:val="35"/>
          <w:szCs w:val="35"/>
          <w:highlight w:val="none"/>
        </w:rPr>
        <w:t>残疾人福利性单位声明函</w:t>
      </w:r>
    </w:p>
    <w:p>
      <w:pPr>
        <w:pStyle w:val="13"/>
        <w:spacing w:line="309" w:lineRule="auto"/>
        <w:rPr>
          <w:color w:val="auto"/>
          <w:highlight w:val="none"/>
        </w:rPr>
      </w:pPr>
    </w:p>
    <w:p>
      <w:pPr>
        <w:pStyle w:val="13"/>
        <w:spacing w:line="310" w:lineRule="auto"/>
        <w:rPr>
          <w:color w:val="auto"/>
          <w:highlight w:val="none"/>
        </w:rPr>
      </w:pPr>
    </w:p>
    <w:p>
      <w:pPr>
        <w:pStyle w:val="13"/>
        <w:spacing w:line="310" w:lineRule="auto"/>
        <w:rPr>
          <w:color w:val="auto"/>
          <w:highlight w:val="none"/>
        </w:rPr>
      </w:pPr>
    </w:p>
    <w:p>
      <w:pPr>
        <w:spacing w:before="78" w:line="359" w:lineRule="auto"/>
        <w:ind w:firstLine="482"/>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本单位郑重声明，根据《财政部</w:t>
      </w:r>
      <w:r>
        <w:rPr>
          <w:rFonts w:ascii="宋体" w:hAnsi="宋体" w:eastAsia="宋体" w:cs="宋体"/>
          <w:color w:val="auto"/>
          <w:spacing w:val="35"/>
          <w:sz w:val="24"/>
          <w:szCs w:val="24"/>
          <w:highlight w:val="none"/>
        </w:rPr>
        <w:t xml:space="preserve"> </w:t>
      </w:r>
      <w:r>
        <w:rPr>
          <w:rFonts w:ascii="宋体" w:hAnsi="宋体" w:eastAsia="宋体" w:cs="宋体"/>
          <w:color w:val="auto"/>
          <w:spacing w:val="-1"/>
          <w:sz w:val="24"/>
          <w:szCs w:val="24"/>
          <w:highlight w:val="none"/>
        </w:rPr>
        <w:t>民政部</w:t>
      </w:r>
      <w:r>
        <w:rPr>
          <w:rFonts w:ascii="宋体" w:hAnsi="宋体" w:eastAsia="宋体" w:cs="宋体"/>
          <w:color w:val="auto"/>
          <w:spacing w:val="34"/>
          <w:sz w:val="24"/>
          <w:szCs w:val="24"/>
          <w:highlight w:val="none"/>
        </w:rPr>
        <w:t xml:space="preserve"> </w:t>
      </w:r>
      <w:r>
        <w:rPr>
          <w:rFonts w:ascii="宋体" w:hAnsi="宋体" w:eastAsia="宋体" w:cs="宋体"/>
          <w:color w:val="auto"/>
          <w:spacing w:val="-1"/>
          <w:sz w:val="24"/>
          <w:szCs w:val="24"/>
          <w:highlight w:val="none"/>
        </w:rPr>
        <w:t>中国残疾人联合会关于促进残疾人就业政府采</w:t>
      </w:r>
      <w:r>
        <w:rPr>
          <w:rFonts w:ascii="宋体" w:hAnsi="宋体" w:eastAsia="宋体" w:cs="宋体"/>
          <w:color w:val="auto"/>
          <w:spacing w:val="2"/>
          <w:sz w:val="24"/>
          <w:szCs w:val="24"/>
          <w:highlight w:val="none"/>
        </w:rPr>
        <w:t>购政策的通知》（财库〔2017〕141</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号）的规定，本单位为符合条件的</w:t>
      </w:r>
      <w:r>
        <w:rPr>
          <w:rFonts w:ascii="宋体" w:hAnsi="宋体" w:eastAsia="宋体" w:cs="宋体"/>
          <w:color w:val="auto"/>
          <w:spacing w:val="1"/>
          <w:sz w:val="24"/>
          <w:szCs w:val="24"/>
          <w:highlight w:val="none"/>
        </w:rPr>
        <w:t>残疾人福利性单位，</w:t>
      </w:r>
      <w:r>
        <w:rPr>
          <w:rFonts w:ascii="宋体" w:hAnsi="宋体" w:eastAsia="宋体" w:cs="宋体"/>
          <w:color w:val="auto"/>
          <w:spacing w:val="-2"/>
          <w:sz w:val="24"/>
          <w:szCs w:val="24"/>
          <w:highlight w:val="none"/>
        </w:rPr>
        <w:t>且本单位参加</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2"/>
          <w:sz w:val="24"/>
          <w:szCs w:val="24"/>
          <w:highlight w:val="none"/>
        </w:rPr>
        <w:t>单位的</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2"/>
          <w:sz w:val="24"/>
          <w:szCs w:val="24"/>
          <w:highlight w:val="none"/>
        </w:rPr>
        <w:t>项目采购活动提供本单</w:t>
      </w:r>
      <w:r>
        <w:rPr>
          <w:rFonts w:ascii="宋体" w:hAnsi="宋体" w:eastAsia="宋体" w:cs="宋体"/>
          <w:color w:val="auto"/>
          <w:spacing w:val="-3"/>
          <w:sz w:val="24"/>
          <w:szCs w:val="24"/>
          <w:highlight w:val="none"/>
        </w:rPr>
        <w:t>位制造的货物（由本单位承</w:t>
      </w:r>
      <w:r>
        <w:rPr>
          <w:rFonts w:ascii="宋体" w:hAnsi="宋体" w:eastAsia="宋体" w:cs="宋体"/>
          <w:color w:val="auto"/>
          <w:spacing w:val="-1"/>
          <w:sz w:val="24"/>
          <w:szCs w:val="24"/>
          <w:highlight w:val="none"/>
        </w:rPr>
        <w:t>担工程/提供服务</w:t>
      </w:r>
      <w:r>
        <w:rPr>
          <w:rFonts w:ascii="宋体" w:hAnsi="宋体" w:eastAsia="宋体" w:cs="宋体"/>
          <w:color w:val="auto"/>
          <w:spacing w:val="-19"/>
          <w:sz w:val="24"/>
          <w:szCs w:val="24"/>
          <w:highlight w:val="none"/>
        </w:rPr>
        <w:t>），</w:t>
      </w:r>
      <w:r>
        <w:rPr>
          <w:rFonts w:ascii="宋体" w:hAnsi="宋体" w:eastAsia="宋体" w:cs="宋体"/>
          <w:color w:val="auto"/>
          <w:spacing w:val="-1"/>
          <w:sz w:val="24"/>
          <w:szCs w:val="24"/>
          <w:highlight w:val="none"/>
        </w:rPr>
        <w:t>或者提供其他残疾人福利性单位制造的货物（不包</w:t>
      </w:r>
      <w:r>
        <w:rPr>
          <w:rFonts w:ascii="宋体" w:hAnsi="宋体" w:eastAsia="宋体" w:cs="宋体"/>
          <w:color w:val="auto"/>
          <w:spacing w:val="-2"/>
          <w:sz w:val="24"/>
          <w:szCs w:val="24"/>
          <w:highlight w:val="none"/>
        </w:rPr>
        <w:t>括使用非残疾人福利</w:t>
      </w:r>
      <w:r>
        <w:rPr>
          <w:rFonts w:ascii="宋体" w:hAnsi="宋体" w:eastAsia="宋体" w:cs="宋体"/>
          <w:color w:val="auto"/>
          <w:spacing w:val="-1"/>
          <w:sz w:val="24"/>
          <w:szCs w:val="24"/>
          <w:highlight w:val="none"/>
        </w:rPr>
        <w:t>性单位注册商标的货物）。</w:t>
      </w:r>
    </w:p>
    <w:p>
      <w:pPr>
        <w:spacing w:line="218"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本单位对上述声明的真实性负责。如有虚假，将依法承担相应责任。</w:t>
      </w:r>
    </w:p>
    <w:p>
      <w:pPr>
        <w:pStyle w:val="13"/>
        <w:spacing w:line="248" w:lineRule="auto"/>
        <w:rPr>
          <w:color w:val="auto"/>
          <w:highlight w:val="none"/>
        </w:rPr>
      </w:pPr>
    </w:p>
    <w:p>
      <w:pPr>
        <w:pStyle w:val="13"/>
        <w:spacing w:line="248" w:lineRule="auto"/>
        <w:rPr>
          <w:color w:val="auto"/>
          <w:highlight w:val="none"/>
        </w:rPr>
      </w:pPr>
    </w:p>
    <w:p>
      <w:pPr>
        <w:pStyle w:val="13"/>
        <w:spacing w:line="249" w:lineRule="auto"/>
        <w:rPr>
          <w:color w:val="auto"/>
          <w:highlight w:val="none"/>
        </w:rPr>
      </w:pPr>
    </w:p>
    <w:p>
      <w:pPr>
        <w:pStyle w:val="13"/>
        <w:spacing w:line="249" w:lineRule="auto"/>
        <w:rPr>
          <w:color w:val="auto"/>
          <w:highlight w:val="none"/>
        </w:rPr>
      </w:pPr>
    </w:p>
    <w:p>
      <w:pPr>
        <w:pStyle w:val="13"/>
        <w:spacing w:line="249" w:lineRule="auto"/>
        <w:rPr>
          <w:color w:val="auto"/>
          <w:highlight w:val="none"/>
        </w:rPr>
      </w:pPr>
    </w:p>
    <w:p>
      <w:pPr>
        <w:pStyle w:val="13"/>
        <w:spacing w:line="249" w:lineRule="auto"/>
        <w:rPr>
          <w:color w:val="auto"/>
          <w:highlight w:val="none"/>
        </w:rPr>
      </w:pPr>
    </w:p>
    <w:p>
      <w:pPr>
        <w:spacing w:before="79" w:line="219" w:lineRule="auto"/>
        <w:ind w:left="452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供应商名称（</w:t>
      </w:r>
      <w:r>
        <w:rPr>
          <w:rFonts w:hint="eastAsia" w:ascii="宋体" w:hAnsi="宋体" w:eastAsia="宋体" w:cs="宋体"/>
          <w:color w:val="auto"/>
          <w:spacing w:val="-2"/>
          <w:sz w:val="24"/>
          <w:szCs w:val="24"/>
          <w:highlight w:val="none"/>
          <w:lang w:val="en-US" w:eastAsia="zh-CN"/>
        </w:rPr>
        <w:t>电子签</w:t>
      </w:r>
      <w:r>
        <w:rPr>
          <w:rFonts w:ascii="宋体" w:hAnsi="宋体" w:eastAsia="宋体" w:cs="宋体"/>
          <w:color w:val="auto"/>
          <w:spacing w:val="-2"/>
          <w:sz w:val="24"/>
          <w:szCs w:val="24"/>
          <w:highlight w:val="none"/>
        </w:rPr>
        <w:t>章</w:t>
      </w:r>
      <w:r>
        <w:rPr>
          <w:rFonts w:ascii="宋体" w:hAnsi="宋体" w:eastAsia="宋体" w:cs="宋体"/>
          <w:color w:val="auto"/>
          <w:spacing w:val="3"/>
          <w:sz w:val="24"/>
          <w:szCs w:val="24"/>
          <w:highlight w:val="none"/>
        </w:rPr>
        <w:t>）：</w:t>
      </w:r>
    </w:p>
    <w:p>
      <w:pPr>
        <w:spacing w:before="184" w:line="219" w:lineRule="auto"/>
        <w:ind w:left="4363"/>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pacing w:val="5"/>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pacing w:val="8"/>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pacing w:val="17"/>
          <w:sz w:val="24"/>
          <w:szCs w:val="24"/>
          <w:highlight w:val="none"/>
        </w:rPr>
        <w:t xml:space="preserve">   </w:t>
      </w:r>
      <w:r>
        <w:rPr>
          <w:rFonts w:ascii="宋体" w:hAnsi="宋体" w:eastAsia="宋体" w:cs="宋体"/>
          <w:color w:val="auto"/>
          <w:spacing w:val="-13"/>
          <w:sz w:val="24"/>
          <w:szCs w:val="24"/>
          <w:highlight w:val="none"/>
        </w:rPr>
        <w:t>日</w:t>
      </w:r>
    </w:p>
    <w:p>
      <w:pPr>
        <w:pStyle w:val="13"/>
        <w:spacing w:line="249" w:lineRule="auto"/>
        <w:rPr>
          <w:color w:val="auto"/>
          <w:highlight w:val="none"/>
        </w:rPr>
      </w:pPr>
    </w:p>
    <w:p>
      <w:pPr>
        <w:pStyle w:val="13"/>
        <w:spacing w:line="249" w:lineRule="auto"/>
        <w:rPr>
          <w:color w:val="auto"/>
          <w:highlight w:val="none"/>
        </w:rPr>
      </w:pPr>
    </w:p>
    <w:p>
      <w:pPr>
        <w:pStyle w:val="13"/>
        <w:spacing w:line="249" w:lineRule="auto"/>
        <w:rPr>
          <w:color w:val="auto"/>
          <w:highlight w:val="none"/>
        </w:rPr>
      </w:pPr>
    </w:p>
    <w:p>
      <w:pPr>
        <w:pStyle w:val="13"/>
        <w:spacing w:line="250" w:lineRule="auto"/>
        <w:rPr>
          <w:color w:val="auto"/>
          <w:highlight w:val="none"/>
        </w:rPr>
      </w:pPr>
    </w:p>
    <w:p>
      <w:pPr>
        <w:spacing w:before="79" w:line="360" w:lineRule="auto"/>
        <w:ind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注：请根据自己的真实情况出具《残疾人福利性单位声明函》。依法享受</w:t>
      </w:r>
      <w:r>
        <w:rPr>
          <w:rFonts w:ascii="宋体" w:hAnsi="宋体" w:eastAsia="宋体" w:cs="宋体"/>
          <w:color w:val="auto"/>
          <w:sz w:val="24"/>
          <w:szCs w:val="24"/>
          <w:highlight w:val="none"/>
        </w:rPr>
        <w:t>中小企业扶持</w:t>
      </w:r>
      <w:r>
        <w:rPr>
          <w:rFonts w:ascii="宋体" w:hAnsi="宋体" w:eastAsia="宋体" w:cs="宋体"/>
          <w:color w:val="auto"/>
          <w:spacing w:val="1"/>
          <w:sz w:val="24"/>
          <w:szCs w:val="24"/>
          <w:highlight w:val="none"/>
        </w:rPr>
        <w:t>政策的，采购人或者采购代理机构在公告成交结果时，同时公告其《残疾人</w:t>
      </w:r>
      <w:r>
        <w:rPr>
          <w:rFonts w:ascii="宋体" w:hAnsi="宋体" w:eastAsia="宋体" w:cs="宋体"/>
          <w:color w:val="auto"/>
          <w:sz w:val="24"/>
          <w:szCs w:val="24"/>
          <w:highlight w:val="none"/>
        </w:rPr>
        <w:t>福利性单位声明</w:t>
      </w:r>
      <w:r>
        <w:rPr>
          <w:rFonts w:ascii="宋体" w:hAnsi="宋体" w:eastAsia="宋体" w:cs="宋体"/>
          <w:color w:val="auto"/>
          <w:spacing w:val="-1"/>
          <w:sz w:val="24"/>
          <w:szCs w:val="24"/>
          <w:highlight w:val="none"/>
        </w:rPr>
        <w:t>函》，接受社会监督。</w:t>
      </w:r>
    </w:p>
    <w:p>
      <w:pPr>
        <w:spacing w:line="360" w:lineRule="auto"/>
        <w:rPr>
          <w:rFonts w:ascii="宋体" w:hAnsi="宋体" w:eastAsia="宋体" w:cs="宋体"/>
          <w:color w:val="auto"/>
          <w:sz w:val="24"/>
          <w:szCs w:val="24"/>
          <w:highlight w:val="none"/>
        </w:rPr>
        <w:sectPr>
          <w:pgSz w:w="11911" w:h="16839"/>
          <w:pgMar w:top="1253" w:right="1135" w:bottom="1115" w:left="1140" w:header="737" w:footer="680" w:gutter="0"/>
          <w:cols w:space="720" w:num="1"/>
        </w:sectPr>
      </w:pPr>
    </w:p>
    <w:bookmarkEnd w:id="173"/>
    <w:bookmarkEnd w:id="174"/>
    <w:bookmarkEnd w:id="175"/>
    <w:p>
      <w:pPr>
        <w:bidi w:val="0"/>
        <w:rPr>
          <w:rFonts w:hint="eastAsia"/>
          <w:color w:val="auto"/>
          <w:highlight w:val="none"/>
        </w:rPr>
      </w:pPr>
      <w:r>
        <w:rPr>
          <w:rFonts w:hint="eastAsia" w:ascii="宋体" w:hAnsi="宋体" w:cs="宋体"/>
          <w:b/>
          <w:bCs/>
          <w:color w:val="auto"/>
          <w:spacing w:val="-3"/>
          <w:sz w:val="28"/>
          <w:szCs w:val="28"/>
          <w:highlight w:val="none"/>
          <w:lang w:val="en-US" w:eastAsia="zh-CN"/>
        </w:rPr>
        <w:t>（3）</w:t>
      </w:r>
      <w:r>
        <w:rPr>
          <w:rFonts w:hint="eastAsia"/>
          <w:b/>
          <w:bCs/>
          <w:color w:val="auto"/>
          <w:sz w:val="28"/>
          <w:szCs w:val="28"/>
          <w:highlight w:val="none"/>
        </w:rPr>
        <w:t>符合政府采购政策的证明材料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color w:val="auto"/>
          <w:sz w:val="24"/>
          <w:szCs w:val="24"/>
          <w:highlight w:val="none"/>
        </w:rPr>
        <w:t>列入节能产品政府采购品目清单及环境标志产品政府采购品目清单的货物清单。（如有，须提供）投标产品中如有列入节能产品政府采购品目清单及环境标志产品政府采购品目清单的货物，应按下表提供清单。</w:t>
      </w:r>
    </w:p>
    <w:p>
      <w:pPr>
        <w:bidi w:val="0"/>
        <w:jc w:val="center"/>
        <w:rPr>
          <w:rFonts w:hint="eastAsia"/>
          <w:b/>
          <w:bCs/>
          <w:color w:val="auto"/>
          <w:highlight w:val="none"/>
        </w:rPr>
      </w:pPr>
    </w:p>
    <w:p>
      <w:pPr>
        <w:bidi w:val="0"/>
        <w:jc w:val="center"/>
        <w:rPr>
          <w:rFonts w:hint="eastAsia"/>
          <w:b/>
          <w:bCs/>
          <w:color w:val="auto"/>
          <w:sz w:val="24"/>
          <w:szCs w:val="24"/>
          <w:highlight w:val="none"/>
        </w:rPr>
      </w:pPr>
      <w:r>
        <w:rPr>
          <w:rFonts w:hint="eastAsia"/>
          <w:b/>
          <w:bCs/>
          <w:color w:val="auto"/>
          <w:sz w:val="24"/>
          <w:szCs w:val="24"/>
          <w:highlight w:val="none"/>
        </w:rPr>
        <w:t>节能产品及环境标志产品清单</w:t>
      </w:r>
    </w:p>
    <w:p>
      <w:pPr>
        <w:bidi w:val="0"/>
        <w:jc w:val="center"/>
        <w:rPr>
          <w:rFonts w:hint="eastAsia"/>
          <w:b/>
          <w:bCs/>
          <w:color w:val="auto"/>
          <w:sz w:val="24"/>
          <w:szCs w:val="24"/>
          <w:highlight w:val="none"/>
        </w:rPr>
      </w:pPr>
    </w:p>
    <w:tbl>
      <w:tblPr>
        <w:tblStyle w:val="107"/>
        <w:tblW w:w="9331" w:type="dxa"/>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9"/>
        <w:gridCol w:w="1131"/>
        <w:gridCol w:w="895"/>
        <w:gridCol w:w="1085"/>
        <w:gridCol w:w="1405"/>
        <w:gridCol w:w="1846"/>
        <w:gridCol w:w="1408"/>
        <w:gridCol w:w="7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1" w:hRule="atLeast"/>
        </w:trPr>
        <w:tc>
          <w:tcPr>
            <w:tcW w:w="779" w:type="dxa"/>
            <w:tcBorders>
              <w:top w:val="single" w:color="000000" w:sz="10" w:space="0"/>
              <w:left w:val="single" w:color="000000" w:sz="10" w:space="0"/>
            </w:tcBorders>
            <w:vAlign w:val="top"/>
          </w:tcPr>
          <w:p>
            <w:pPr>
              <w:spacing w:line="262" w:lineRule="auto"/>
              <w:rPr>
                <w:rFonts w:ascii="Arial"/>
                <w:color w:val="auto"/>
                <w:sz w:val="21"/>
                <w:highlight w:val="none"/>
              </w:rPr>
            </w:pPr>
          </w:p>
          <w:p>
            <w:pPr>
              <w:pStyle w:val="108"/>
              <w:spacing w:before="65" w:line="230" w:lineRule="auto"/>
              <w:ind w:left="168"/>
              <w:rPr>
                <w:color w:val="auto"/>
                <w:highlight w:val="none"/>
              </w:rPr>
            </w:pPr>
            <w:r>
              <w:rPr>
                <w:color w:val="auto"/>
                <w:spacing w:val="5"/>
                <w:highlight w:val="none"/>
              </w:rPr>
              <w:t>序号</w:t>
            </w:r>
          </w:p>
        </w:tc>
        <w:tc>
          <w:tcPr>
            <w:tcW w:w="1131" w:type="dxa"/>
            <w:tcBorders>
              <w:top w:val="single" w:color="000000" w:sz="10" w:space="0"/>
              <w:right w:val="single" w:color="000000" w:sz="2" w:space="0"/>
            </w:tcBorders>
            <w:vAlign w:val="top"/>
          </w:tcPr>
          <w:p>
            <w:pPr>
              <w:spacing w:line="262" w:lineRule="auto"/>
              <w:rPr>
                <w:rFonts w:ascii="Arial"/>
                <w:color w:val="auto"/>
                <w:sz w:val="21"/>
                <w:highlight w:val="none"/>
              </w:rPr>
            </w:pPr>
          </w:p>
          <w:p>
            <w:pPr>
              <w:pStyle w:val="108"/>
              <w:spacing w:before="65" w:line="228" w:lineRule="auto"/>
              <w:ind w:left="348"/>
              <w:rPr>
                <w:color w:val="auto"/>
                <w:highlight w:val="none"/>
              </w:rPr>
            </w:pPr>
            <w:r>
              <w:rPr>
                <w:color w:val="auto"/>
                <w:spacing w:val="4"/>
                <w:highlight w:val="none"/>
              </w:rPr>
              <w:t>类别</w:t>
            </w:r>
          </w:p>
        </w:tc>
        <w:tc>
          <w:tcPr>
            <w:tcW w:w="895" w:type="dxa"/>
            <w:tcBorders>
              <w:top w:val="single" w:color="000000" w:sz="10" w:space="0"/>
              <w:left w:val="single" w:color="000000" w:sz="2" w:space="0"/>
            </w:tcBorders>
            <w:vAlign w:val="top"/>
          </w:tcPr>
          <w:p>
            <w:pPr>
              <w:spacing w:line="262" w:lineRule="auto"/>
              <w:rPr>
                <w:rFonts w:ascii="Arial"/>
                <w:color w:val="auto"/>
                <w:sz w:val="21"/>
                <w:highlight w:val="none"/>
              </w:rPr>
            </w:pPr>
          </w:p>
          <w:p>
            <w:pPr>
              <w:pStyle w:val="108"/>
              <w:spacing w:before="65" w:line="231" w:lineRule="auto"/>
              <w:ind w:left="252"/>
              <w:rPr>
                <w:color w:val="auto"/>
                <w:highlight w:val="none"/>
              </w:rPr>
            </w:pPr>
            <w:r>
              <w:rPr>
                <w:color w:val="auto"/>
                <w:spacing w:val="-4"/>
                <w:highlight w:val="none"/>
              </w:rPr>
              <w:t>品目</w:t>
            </w:r>
          </w:p>
        </w:tc>
        <w:tc>
          <w:tcPr>
            <w:tcW w:w="1085" w:type="dxa"/>
            <w:tcBorders>
              <w:top w:val="single" w:color="000000" w:sz="10" w:space="0"/>
              <w:right w:val="single" w:color="000000" w:sz="2" w:space="0"/>
            </w:tcBorders>
            <w:vAlign w:val="top"/>
          </w:tcPr>
          <w:p>
            <w:pPr>
              <w:spacing w:line="262" w:lineRule="auto"/>
              <w:rPr>
                <w:rFonts w:ascii="Arial"/>
                <w:color w:val="auto"/>
                <w:sz w:val="21"/>
                <w:highlight w:val="none"/>
              </w:rPr>
            </w:pPr>
          </w:p>
          <w:p>
            <w:pPr>
              <w:pStyle w:val="108"/>
              <w:spacing w:before="65" w:line="228" w:lineRule="auto"/>
              <w:ind w:left="346"/>
              <w:rPr>
                <w:color w:val="auto"/>
                <w:highlight w:val="none"/>
              </w:rPr>
            </w:pPr>
            <w:r>
              <w:rPr>
                <w:color w:val="auto"/>
                <w:spacing w:val="-4"/>
                <w:highlight w:val="none"/>
              </w:rPr>
              <w:t>品牌</w:t>
            </w:r>
          </w:p>
        </w:tc>
        <w:tc>
          <w:tcPr>
            <w:tcW w:w="1405" w:type="dxa"/>
            <w:tcBorders>
              <w:top w:val="single" w:color="000000" w:sz="10" w:space="0"/>
              <w:left w:val="single" w:color="000000" w:sz="2" w:space="0"/>
            </w:tcBorders>
            <w:vAlign w:val="top"/>
          </w:tcPr>
          <w:p>
            <w:pPr>
              <w:spacing w:line="262" w:lineRule="auto"/>
              <w:rPr>
                <w:rFonts w:ascii="Arial"/>
                <w:color w:val="auto"/>
                <w:sz w:val="21"/>
                <w:highlight w:val="none"/>
              </w:rPr>
            </w:pPr>
          </w:p>
          <w:p>
            <w:pPr>
              <w:pStyle w:val="108"/>
              <w:spacing w:before="65" w:line="228" w:lineRule="auto"/>
              <w:ind w:left="286"/>
              <w:rPr>
                <w:color w:val="auto"/>
                <w:highlight w:val="none"/>
              </w:rPr>
            </w:pPr>
            <w:r>
              <w:rPr>
                <w:color w:val="auto"/>
                <w:spacing w:val="7"/>
                <w:highlight w:val="none"/>
              </w:rPr>
              <w:t>规格型号</w:t>
            </w:r>
          </w:p>
        </w:tc>
        <w:tc>
          <w:tcPr>
            <w:tcW w:w="1846" w:type="dxa"/>
            <w:tcBorders>
              <w:top w:val="single" w:color="000000" w:sz="10" w:space="0"/>
            </w:tcBorders>
            <w:vAlign w:val="top"/>
          </w:tcPr>
          <w:p>
            <w:pPr>
              <w:spacing w:line="262" w:lineRule="auto"/>
              <w:rPr>
                <w:rFonts w:ascii="Arial"/>
                <w:color w:val="auto"/>
                <w:sz w:val="21"/>
                <w:highlight w:val="none"/>
              </w:rPr>
            </w:pPr>
          </w:p>
          <w:p>
            <w:pPr>
              <w:pStyle w:val="108"/>
              <w:spacing w:before="65" w:line="228" w:lineRule="auto"/>
              <w:ind w:left="89"/>
              <w:rPr>
                <w:color w:val="auto"/>
                <w:highlight w:val="none"/>
              </w:rPr>
            </w:pPr>
            <w:r>
              <w:rPr>
                <w:color w:val="auto"/>
                <w:spacing w:val="7"/>
                <w:highlight w:val="none"/>
              </w:rPr>
              <w:t>生产者（制造商）</w:t>
            </w:r>
          </w:p>
        </w:tc>
        <w:tc>
          <w:tcPr>
            <w:tcW w:w="1408" w:type="dxa"/>
            <w:tcBorders>
              <w:top w:val="single" w:color="000000" w:sz="10" w:space="0"/>
            </w:tcBorders>
            <w:vAlign w:val="top"/>
          </w:tcPr>
          <w:p>
            <w:pPr>
              <w:pStyle w:val="108"/>
              <w:spacing w:before="139" w:line="282" w:lineRule="auto"/>
              <w:ind w:left="191" w:right="60" w:hanging="109"/>
              <w:rPr>
                <w:color w:val="auto"/>
                <w:highlight w:val="none"/>
              </w:rPr>
            </w:pPr>
            <w:r>
              <w:rPr>
                <w:color w:val="auto"/>
                <w:spacing w:val="8"/>
                <w:highlight w:val="none"/>
              </w:rPr>
              <w:t>证书编号及证</w:t>
            </w:r>
            <w:r>
              <w:rPr>
                <w:color w:val="auto"/>
                <w:spacing w:val="7"/>
                <w:highlight w:val="none"/>
              </w:rPr>
              <w:t>书到期日期</w:t>
            </w:r>
          </w:p>
        </w:tc>
        <w:tc>
          <w:tcPr>
            <w:tcW w:w="782" w:type="dxa"/>
            <w:tcBorders>
              <w:top w:val="single" w:color="000000" w:sz="10" w:space="0"/>
              <w:right w:val="single" w:color="000000" w:sz="10" w:space="0"/>
            </w:tcBorders>
            <w:vAlign w:val="top"/>
          </w:tcPr>
          <w:p>
            <w:pPr>
              <w:spacing w:line="262" w:lineRule="auto"/>
              <w:rPr>
                <w:rFonts w:ascii="Arial"/>
                <w:color w:val="auto"/>
                <w:sz w:val="21"/>
                <w:highlight w:val="none"/>
              </w:rPr>
            </w:pPr>
          </w:p>
          <w:p>
            <w:pPr>
              <w:pStyle w:val="108"/>
              <w:spacing w:before="65" w:line="230" w:lineRule="auto"/>
              <w:ind w:left="189"/>
              <w:rPr>
                <w:color w:val="auto"/>
                <w:highlight w:val="none"/>
              </w:rPr>
            </w:pPr>
            <w:r>
              <w:rPr>
                <w:color w:val="auto"/>
                <w:spacing w:val="3"/>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779" w:type="dxa"/>
            <w:tcBorders>
              <w:left w:val="single" w:color="000000" w:sz="10" w:space="0"/>
            </w:tcBorders>
            <w:vAlign w:val="top"/>
          </w:tcPr>
          <w:p>
            <w:pPr>
              <w:spacing w:before="119" w:line="248" w:lineRule="exact"/>
              <w:ind w:left="34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position w:val="1"/>
                <w:sz w:val="20"/>
                <w:szCs w:val="20"/>
                <w:highlight w:val="none"/>
              </w:rPr>
              <w:t>1</w:t>
            </w:r>
          </w:p>
        </w:tc>
        <w:tc>
          <w:tcPr>
            <w:tcW w:w="1131" w:type="dxa"/>
            <w:tcBorders>
              <w:right w:val="single" w:color="000000" w:sz="2" w:space="0"/>
            </w:tcBorders>
            <w:vAlign w:val="top"/>
          </w:tcPr>
          <w:p>
            <w:pPr>
              <w:rPr>
                <w:rFonts w:ascii="Arial"/>
                <w:color w:val="auto"/>
                <w:sz w:val="21"/>
                <w:highlight w:val="none"/>
              </w:rPr>
            </w:pPr>
          </w:p>
        </w:tc>
        <w:tc>
          <w:tcPr>
            <w:tcW w:w="895" w:type="dxa"/>
            <w:tcBorders>
              <w:left w:val="single" w:color="000000" w:sz="2" w:space="0"/>
            </w:tcBorders>
            <w:vAlign w:val="top"/>
          </w:tcPr>
          <w:p>
            <w:pPr>
              <w:rPr>
                <w:rFonts w:ascii="Arial"/>
                <w:color w:val="auto"/>
                <w:sz w:val="21"/>
                <w:highlight w:val="none"/>
              </w:rPr>
            </w:pPr>
          </w:p>
        </w:tc>
        <w:tc>
          <w:tcPr>
            <w:tcW w:w="1085" w:type="dxa"/>
            <w:tcBorders>
              <w:right w:val="single" w:color="000000" w:sz="2" w:space="0"/>
            </w:tcBorders>
            <w:vAlign w:val="top"/>
          </w:tcPr>
          <w:p>
            <w:pPr>
              <w:rPr>
                <w:rFonts w:ascii="Arial"/>
                <w:color w:val="auto"/>
                <w:sz w:val="21"/>
                <w:highlight w:val="none"/>
              </w:rPr>
            </w:pPr>
          </w:p>
        </w:tc>
        <w:tc>
          <w:tcPr>
            <w:tcW w:w="1405" w:type="dxa"/>
            <w:tcBorders>
              <w:left w:val="single" w:color="000000" w:sz="2" w:space="0"/>
            </w:tcBorders>
            <w:vAlign w:val="top"/>
          </w:tcPr>
          <w:p>
            <w:pPr>
              <w:rPr>
                <w:rFonts w:ascii="Arial"/>
                <w:color w:val="auto"/>
                <w:sz w:val="21"/>
                <w:highlight w:val="none"/>
              </w:rPr>
            </w:pPr>
          </w:p>
        </w:tc>
        <w:tc>
          <w:tcPr>
            <w:tcW w:w="1846" w:type="dxa"/>
            <w:vAlign w:val="top"/>
          </w:tcPr>
          <w:p>
            <w:pPr>
              <w:rPr>
                <w:rFonts w:ascii="Arial"/>
                <w:color w:val="auto"/>
                <w:sz w:val="21"/>
                <w:highlight w:val="none"/>
              </w:rPr>
            </w:pPr>
          </w:p>
        </w:tc>
        <w:tc>
          <w:tcPr>
            <w:tcW w:w="1408" w:type="dxa"/>
            <w:vAlign w:val="top"/>
          </w:tcPr>
          <w:p>
            <w:pPr>
              <w:rPr>
                <w:rFonts w:ascii="Arial"/>
                <w:color w:val="auto"/>
                <w:sz w:val="21"/>
                <w:highlight w:val="none"/>
              </w:rPr>
            </w:pPr>
          </w:p>
        </w:tc>
        <w:tc>
          <w:tcPr>
            <w:tcW w:w="782" w:type="dxa"/>
            <w:tcBorders>
              <w:right w:val="single" w:color="000000" w:sz="10" w:space="0"/>
            </w:tcBorders>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779" w:type="dxa"/>
            <w:tcBorders>
              <w:left w:val="single" w:color="000000" w:sz="10" w:space="0"/>
            </w:tcBorders>
            <w:vAlign w:val="top"/>
          </w:tcPr>
          <w:p>
            <w:pPr>
              <w:spacing w:before="122" w:line="245" w:lineRule="exact"/>
              <w:ind w:left="32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position w:val="1"/>
                <w:sz w:val="20"/>
                <w:szCs w:val="20"/>
                <w:highlight w:val="none"/>
              </w:rPr>
              <w:t>2</w:t>
            </w:r>
          </w:p>
        </w:tc>
        <w:tc>
          <w:tcPr>
            <w:tcW w:w="1131" w:type="dxa"/>
            <w:tcBorders>
              <w:right w:val="single" w:color="000000" w:sz="2" w:space="0"/>
            </w:tcBorders>
            <w:vAlign w:val="top"/>
          </w:tcPr>
          <w:p>
            <w:pPr>
              <w:rPr>
                <w:rFonts w:ascii="Arial"/>
                <w:color w:val="auto"/>
                <w:sz w:val="21"/>
                <w:highlight w:val="none"/>
              </w:rPr>
            </w:pPr>
          </w:p>
        </w:tc>
        <w:tc>
          <w:tcPr>
            <w:tcW w:w="895" w:type="dxa"/>
            <w:tcBorders>
              <w:left w:val="single" w:color="000000" w:sz="2" w:space="0"/>
            </w:tcBorders>
            <w:vAlign w:val="top"/>
          </w:tcPr>
          <w:p>
            <w:pPr>
              <w:rPr>
                <w:rFonts w:ascii="Arial"/>
                <w:color w:val="auto"/>
                <w:sz w:val="21"/>
                <w:highlight w:val="none"/>
              </w:rPr>
            </w:pPr>
          </w:p>
        </w:tc>
        <w:tc>
          <w:tcPr>
            <w:tcW w:w="1085" w:type="dxa"/>
            <w:tcBorders>
              <w:right w:val="single" w:color="000000" w:sz="2" w:space="0"/>
            </w:tcBorders>
            <w:vAlign w:val="top"/>
          </w:tcPr>
          <w:p>
            <w:pPr>
              <w:rPr>
                <w:rFonts w:ascii="Arial"/>
                <w:color w:val="auto"/>
                <w:sz w:val="21"/>
                <w:highlight w:val="none"/>
              </w:rPr>
            </w:pPr>
          </w:p>
        </w:tc>
        <w:tc>
          <w:tcPr>
            <w:tcW w:w="1405" w:type="dxa"/>
            <w:tcBorders>
              <w:left w:val="single" w:color="000000" w:sz="2" w:space="0"/>
            </w:tcBorders>
            <w:vAlign w:val="top"/>
          </w:tcPr>
          <w:p>
            <w:pPr>
              <w:rPr>
                <w:rFonts w:ascii="Arial"/>
                <w:color w:val="auto"/>
                <w:sz w:val="21"/>
                <w:highlight w:val="none"/>
              </w:rPr>
            </w:pPr>
          </w:p>
        </w:tc>
        <w:tc>
          <w:tcPr>
            <w:tcW w:w="1846" w:type="dxa"/>
            <w:vAlign w:val="top"/>
          </w:tcPr>
          <w:p>
            <w:pPr>
              <w:rPr>
                <w:rFonts w:ascii="Arial"/>
                <w:color w:val="auto"/>
                <w:sz w:val="21"/>
                <w:highlight w:val="none"/>
              </w:rPr>
            </w:pPr>
          </w:p>
        </w:tc>
        <w:tc>
          <w:tcPr>
            <w:tcW w:w="1408" w:type="dxa"/>
            <w:vAlign w:val="top"/>
          </w:tcPr>
          <w:p>
            <w:pPr>
              <w:rPr>
                <w:rFonts w:ascii="Arial"/>
                <w:color w:val="auto"/>
                <w:sz w:val="21"/>
                <w:highlight w:val="none"/>
              </w:rPr>
            </w:pPr>
          </w:p>
        </w:tc>
        <w:tc>
          <w:tcPr>
            <w:tcW w:w="782" w:type="dxa"/>
            <w:tcBorders>
              <w:right w:val="single" w:color="000000" w:sz="10" w:space="0"/>
            </w:tcBorders>
            <w:vAlign w:val="top"/>
          </w:tcPr>
          <w:p>
            <w:pPr>
              <w:rPr>
                <w:rFonts w:ascii="Arial"/>
                <w:color w:val="auto"/>
                <w:sz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7" w:hRule="atLeast"/>
        </w:trPr>
        <w:tc>
          <w:tcPr>
            <w:tcW w:w="779" w:type="dxa"/>
            <w:tcBorders>
              <w:left w:val="single" w:color="000000" w:sz="10" w:space="0"/>
            </w:tcBorders>
            <w:vAlign w:val="top"/>
          </w:tcPr>
          <w:p>
            <w:pPr>
              <w:spacing w:line="256" w:lineRule="auto"/>
              <w:rPr>
                <w:rFonts w:ascii="Arial"/>
                <w:color w:val="auto"/>
                <w:sz w:val="21"/>
                <w:highlight w:val="none"/>
              </w:rPr>
            </w:pPr>
          </w:p>
          <w:p>
            <w:pPr>
              <w:spacing w:before="58" w:line="61" w:lineRule="exact"/>
              <w:ind w:left="18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4"/>
                <w:position w:val="1"/>
                <w:sz w:val="20"/>
                <w:szCs w:val="20"/>
                <w:highlight w:val="none"/>
              </w:rPr>
              <w:t>……</w:t>
            </w:r>
          </w:p>
        </w:tc>
        <w:tc>
          <w:tcPr>
            <w:tcW w:w="1131" w:type="dxa"/>
            <w:tcBorders>
              <w:right w:val="single" w:color="000000" w:sz="2" w:space="0"/>
            </w:tcBorders>
            <w:vAlign w:val="top"/>
          </w:tcPr>
          <w:p>
            <w:pPr>
              <w:rPr>
                <w:rFonts w:ascii="Arial"/>
                <w:color w:val="auto"/>
                <w:sz w:val="21"/>
                <w:highlight w:val="none"/>
              </w:rPr>
            </w:pPr>
          </w:p>
        </w:tc>
        <w:tc>
          <w:tcPr>
            <w:tcW w:w="895" w:type="dxa"/>
            <w:tcBorders>
              <w:left w:val="single" w:color="000000" w:sz="2" w:space="0"/>
            </w:tcBorders>
            <w:vAlign w:val="top"/>
          </w:tcPr>
          <w:p>
            <w:pPr>
              <w:rPr>
                <w:rFonts w:ascii="Arial"/>
                <w:color w:val="auto"/>
                <w:sz w:val="21"/>
                <w:highlight w:val="none"/>
              </w:rPr>
            </w:pPr>
          </w:p>
        </w:tc>
        <w:tc>
          <w:tcPr>
            <w:tcW w:w="1085" w:type="dxa"/>
            <w:tcBorders>
              <w:right w:val="single" w:color="000000" w:sz="2" w:space="0"/>
            </w:tcBorders>
            <w:vAlign w:val="top"/>
          </w:tcPr>
          <w:p>
            <w:pPr>
              <w:rPr>
                <w:rFonts w:ascii="Arial"/>
                <w:color w:val="auto"/>
                <w:sz w:val="21"/>
                <w:highlight w:val="none"/>
              </w:rPr>
            </w:pPr>
          </w:p>
        </w:tc>
        <w:tc>
          <w:tcPr>
            <w:tcW w:w="1405" w:type="dxa"/>
            <w:tcBorders>
              <w:left w:val="single" w:color="000000" w:sz="2" w:space="0"/>
            </w:tcBorders>
            <w:vAlign w:val="top"/>
          </w:tcPr>
          <w:p>
            <w:pPr>
              <w:rPr>
                <w:rFonts w:ascii="Arial"/>
                <w:color w:val="auto"/>
                <w:sz w:val="21"/>
                <w:highlight w:val="none"/>
              </w:rPr>
            </w:pPr>
          </w:p>
        </w:tc>
        <w:tc>
          <w:tcPr>
            <w:tcW w:w="1846" w:type="dxa"/>
            <w:vAlign w:val="top"/>
          </w:tcPr>
          <w:p>
            <w:pPr>
              <w:rPr>
                <w:rFonts w:ascii="Arial"/>
                <w:color w:val="auto"/>
                <w:sz w:val="21"/>
                <w:highlight w:val="none"/>
              </w:rPr>
            </w:pPr>
          </w:p>
        </w:tc>
        <w:tc>
          <w:tcPr>
            <w:tcW w:w="1408" w:type="dxa"/>
            <w:vAlign w:val="top"/>
          </w:tcPr>
          <w:p>
            <w:pPr>
              <w:rPr>
                <w:rFonts w:ascii="Arial"/>
                <w:color w:val="auto"/>
                <w:sz w:val="21"/>
                <w:highlight w:val="none"/>
              </w:rPr>
            </w:pPr>
          </w:p>
        </w:tc>
        <w:tc>
          <w:tcPr>
            <w:tcW w:w="782" w:type="dxa"/>
            <w:tcBorders>
              <w:right w:val="single" w:color="000000" w:sz="10" w:space="0"/>
            </w:tcBorders>
            <w:vAlign w:val="top"/>
          </w:tcPr>
          <w:p>
            <w:pPr>
              <w:rPr>
                <w:rFonts w:ascii="Arial"/>
                <w:color w:val="auto"/>
                <w:sz w:val="21"/>
                <w:highlight w:val="none"/>
              </w:rPr>
            </w:pPr>
          </w:p>
        </w:tc>
      </w:tr>
    </w:tbl>
    <w:p>
      <w:pPr>
        <w:bidi w:val="0"/>
        <w:rPr>
          <w:rFonts w:hint="eastAsia"/>
          <w:color w:val="auto"/>
          <w:highlight w:val="none"/>
        </w:rPr>
      </w:pP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p>
    <w:p>
      <w:pPr>
        <w:bidi w:val="0"/>
        <w:rPr>
          <w:rFonts w:hint="eastAsia"/>
          <w:color w:val="auto"/>
          <w:highlight w:val="none"/>
        </w:rPr>
      </w:pPr>
      <w:r>
        <w:rPr>
          <w:rFonts w:hint="eastAsia"/>
          <w:color w:val="auto"/>
          <w:highlight w:val="none"/>
        </w:rPr>
        <w:t>注：类别填写节能或环境标志，品目填写编号及产品名称如 A02010104 台式计算机。</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br w:type="page"/>
      </w:r>
    </w:p>
    <w:p>
      <w:pPr>
        <w:bidi w:val="0"/>
        <w:jc w:val="left"/>
        <w:rPr>
          <w:rFonts w:hint="eastAsia"/>
          <w:color w:val="auto"/>
          <w:highlight w:val="none"/>
        </w:rPr>
      </w:pPr>
      <w:r>
        <w:rPr>
          <w:rFonts w:hint="eastAsia" w:ascii="宋体" w:hAnsi="宋体" w:cs="宋体"/>
          <w:b/>
          <w:bCs/>
          <w:color w:val="auto"/>
          <w:spacing w:val="-3"/>
          <w:sz w:val="28"/>
          <w:szCs w:val="28"/>
          <w:highlight w:val="none"/>
          <w:lang w:val="en-US" w:eastAsia="zh-CN"/>
        </w:rPr>
        <w:t>（4）</w:t>
      </w:r>
      <w:r>
        <w:rPr>
          <w:rFonts w:hint="eastAsia" w:ascii="宋体" w:hAnsi="宋体" w:eastAsia="宋体" w:cs="宋体"/>
          <w:b/>
          <w:bCs/>
          <w:color w:val="auto"/>
          <w:sz w:val="24"/>
          <w:szCs w:val="24"/>
          <w:highlight w:val="none"/>
        </w:rPr>
        <w:t>如供应商提供的产品属于本国产品，按以下格式提供关于符合本国产品标准的声明函</w:t>
      </w:r>
    </w:p>
    <w:p>
      <w:pPr>
        <w:bidi w:val="0"/>
        <w:rPr>
          <w:rFonts w:hint="eastAsia"/>
          <w:color w:val="auto"/>
          <w:highlight w:val="none"/>
        </w:rPr>
      </w:pPr>
    </w:p>
    <w:p>
      <w:pPr>
        <w:spacing w:before="114" w:line="225" w:lineRule="auto"/>
        <w:ind w:left="2840"/>
        <w:rPr>
          <w:rFonts w:hint="eastAsia" w:ascii="宋体" w:hAnsi="宋体" w:eastAsia="宋体" w:cs="宋体"/>
          <w:b/>
          <w:bCs/>
          <w:color w:val="auto"/>
          <w:spacing w:val="6"/>
          <w:sz w:val="35"/>
          <w:szCs w:val="35"/>
          <w:highlight w:val="none"/>
        </w:rPr>
      </w:pPr>
      <w:r>
        <w:rPr>
          <w:rFonts w:hint="eastAsia" w:ascii="宋体" w:hAnsi="宋体" w:eastAsia="宋体" w:cs="宋体"/>
          <w:b/>
          <w:bCs/>
          <w:color w:val="auto"/>
          <w:spacing w:val="6"/>
          <w:sz w:val="35"/>
          <w:szCs w:val="35"/>
          <w:highlight w:val="none"/>
        </w:rPr>
        <w:t>关于符合本国产品标准的声明函</w:t>
      </w:r>
    </w:p>
    <w:p>
      <w:pPr>
        <w:pStyle w:val="28"/>
        <w:widowControl/>
        <w:shd w:val="clear" w:color="auto" w:fill="FFFFFF"/>
        <w:spacing w:before="30" w:beforeAutospacing="0" w:after="30" w:afterAutospacing="0"/>
        <w:ind w:firstLine="420"/>
        <w:rPr>
          <w:rFonts w:hint="eastAsia" w:asciiTheme="majorEastAsia" w:hAnsiTheme="majorEastAsia" w:eastAsiaTheme="majorEastAsia" w:cstheme="majorEastAsia"/>
          <w:color w:val="auto"/>
          <w:kern w:val="2"/>
          <w:highlight w:val="none"/>
        </w:rPr>
      </w:pP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本公司（单位）郑重声明，根据《国务院办公厅关于在政府采购中实施本国产品标准及相关政策的通知》（国办发〔2025〕34号）的规定，本公司（单位）提供的以下产品属于本国产品。具体情况如下：</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1.</w:t>
      </w:r>
      <w:r>
        <w:rPr>
          <w:rStyle w:val="39"/>
          <w:rFonts w:hint="eastAsia" w:asciiTheme="majorEastAsia" w:hAnsiTheme="majorEastAsia" w:eastAsiaTheme="majorEastAsia" w:cstheme="majorEastAsia"/>
          <w:color w:val="auto"/>
          <w:highlight w:val="none"/>
          <w:u w:val="single"/>
          <w:shd w:val="clear" w:color="auto" w:fill="FFFFFF"/>
        </w:rPr>
        <w:t>（产品名称1）</w:t>
      </w:r>
      <w:r>
        <w:rPr>
          <w:rStyle w:val="39"/>
          <w:rFonts w:hint="eastAsia" w:asciiTheme="majorEastAsia" w:hAnsiTheme="majorEastAsia" w:eastAsiaTheme="majorEastAsia" w:cstheme="majorEastAsia"/>
          <w:color w:val="auto"/>
          <w:highlight w:val="none"/>
          <w:shd w:val="clear" w:color="auto" w:fill="FFFFFF"/>
          <w:vertAlign w:val="superscript"/>
        </w:rPr>
        <w:t>1</w:t>
      </w:r>
      <w:r>
        <w:rPr>
          <w:rFonts w:hint="eastAsia" w:asciiTheme="majorEastAsia" w:hAnsiTheme="majorEastAsia" w:eastAsiaTheme="majorEastAsia" w:cstheme="majorEastAsia"/>
          <w:color w:val="auto"/>
          <w:highlight w:val="none"/>
          <w:shd w:val="clear" w:color="auto" w:fill="FFFFFF"/>
        </w:rPr>
        <w:t>，生产厂为</w:t>
      </w:r>
      <w:r>
        <w:rPr>
          <w:rStyle w:val="39"/>
          <w:rFonts w:hint="eastAsia" w:asciiTheme="majorEastAsia" w:hAnsiTheme="majorEastAsia" w:eastAsiaTheme="majorEastAsia" w:cstheme="majorEastAsia"/>
          <w:color w:val="auto"/>
          <w:highlight w:val="none"/>
          <w:u w:val="single"/>
          <w:shd w:val="clear" w:color="auto" w:fill="FFFFFF"/>
        </w:rPr>
        <w:t>（厂名）</w:t>
      </w:r>
      <w:r>
        <w:rPr>
          <w:rStyle w:val="39"/>
          <w:rFonts w:hint="eastAsia" w:asciiTheme="majorEastAsia" w:hAnsiTheme="majorEastAsia" w:eastAsiaTheme="majorEastAsia" w:cstheme="majorEastAsia"/>
          <w:color w:val="auto"/>
          <w:highlight w:val="none"/>
          <w:shd w:val="clear" w:color="auto" w:fill="FFFFFF"/>
          <w:vertAlign w:val="superscript"/>
        </w:rPr>
        <w:t>2</w:t>
      </w:r>
      <w:r>
        <w:rPr>
          <w:rFonts w:hint="eastAsia" w:asciiTheme="majorEastAsia" w:hAnsiTheme="majorEastAsia" w:eastAsiaTheme="majorEastAsia" w:cstheme="majorEastAsia"/>
          <w:color w:val="auto"/>
          <w:highlight w:val="none"/>
          <w:shd w:val="clear" w:color="auto" w:fill="FFFFFF"/>
        </w:rPr>
        <w:t>，厂址为</w:t>
      </w:r>
      <w:r>
        <w:rPr>
          <w:rStyle w:val="39"/>
          <w:rFonts w:hint="eastAsia" w:asciiTheme="majorEastAsia" w:hAnsiTheme="majorEastAsia" w:eastAsiaTheme="majorEastAsia" w:cstheme="majorEastAsia"/>
          <w:color w:val="auto"/>
          <w:highlight w:val="none"/>
          <w:u w:val="single"/>
          <w:shd w:val="clear" w:color="auto" w:fill="FFFFFF"/>
        </w:rPr>
        <w:t>（生产厂址）</w:t>
      </w:r>
      <w:r>
        <w:rPr>
          <w:rFonts w:hint="eastAsia" w:asciiTheme="majorEastAsia" w:hAnsiTheme="majorEastAsia" w:eastAsiaTheme="majorEastAsia" w:cstheme="majorEastAsia"/>
          <w:color w:val="auto"/>
          <w:highlight w:val="none"/>
          <w:shd w:val="clear" w:color="auto" w:fill="FFFFFF"/>
        </w:rPr>
        <w:t>。</w:t>
      </w:r>
      <w:r>
        <w:rPr>
          <w:rStyle w:val="39"/>
          <w:rFonts w:hint="eastAsia" w:asciiTheme="majorEastAsia" w:hAnsiTheme="majorEastAsia" w:eastAsiaTheme="majorEastAsia" w:cstheme="majorEastAsia"/>
          <w:color w:val="auto"/>
          <w:highlight w:val="none"/>
          <w:u w:val="single"/>
          <w:shd w:val="clear" w:color="auto" w:fill="FFFFFF"/>
        </w:rPr>
        <w:t>（产品名称1）</w:t>
      </w:r>
      <w:r>
        <w:rPr>
          <w:rFonts w:hint="eastAsia" w:asciiTheme="majorEastAsia" w:hAnsiTheme="majorEastAsia" w:eastAsiaTheme="majorEastAsia" w:cstheme="majorEastAsia"/>
          <w:color w:val="auto"/>
          <w:highlight w:val="none"/>
          <w:shd w:val="clear" w:color="auto" w:fill="FFFFFF"/>
        </w:rPr>
        <w:t>的中国境内生产的组件成本占比≥</w:t>
      </w:r>
      <w:r>
        <w:rPr>
          <w:rStyle w:val="39"/>
          <w:rFonts w:hint="eastAsia" w:asciiTheme="majorEastAsia" w:hAnsiTheme="majorEastAsia" w:eastAsiaTheme="majorEastAsia" w:cstheme="majorEastAsia"/>
          <w:color w:val="auto"/>
          <w:highlight w:val="none"/>
          <w:u w:val="single"/>
          <w:shd w:val="clear" w:color="auto" w:fill="FFFFFF"/>
        </w:rPr>
        <w:t>（规定比例）</w:t>
      </w:r>
      <w:r>
        <w:rPr>
          <w:rStyle w:val="39"/>
          <w:rFonts w:hint="eastAsia" w:asciiTheme="majorEastAsia" w:hAnsiTheme="majorEastAsia" w:eastAsiaTheme="majorEastAsia" w:cstheme="majorEastAsia"/>
          <w:color w:val="auto"/>
          <w:highlight w:val="none"/>
          <w:shd w:val="clear" w:color="auto" w:fill="FFFFFF"/>
          <w:vertAlign w:val="superscript"/>
        </w:rPr>
        <w:t>3</w:t>
      </w:r>
      <w:r>
        <w:rPr>
          <w:rFonts w:hint="eastAsia" w:asciiTheme="majorEastAsia" w:hAnsiTheme="majorEastAsia" w:eastAsiaTheme="majorEastAsia" w:cstheme="majorEastAsia"/>
          <w:color w:val="auto"/>
          <w:highlight w:val="none"/>
          <w:shd w:val="clear" w:color="auto" w:fill="FFFFFF"/>
        </w:rPr>
        <w:t>。</w:t>
      </w:r>
      <w:r>
        <w:rPr>
          <w:rStyle w:val="39"/>
          <w:rFonts w:hint="eastAsia" w:asciiTheme="majorEastAsia" w:hAnsiTheme="majorEastAsia" w:eastAsiaTheme="majorEastAsia" w:cstheme="majorEastAsia"/>
          <w:color w:val="auto"/>
          <w:highlight w:val="none"/>
          <w:u w:val="single"/>
          <w:shd w:val="clear" w:color="auto" w:fill="FFFFFF"/>
        </w:rPr>
        <w:t>（产品名称1）</w:t>
      </w:r>
      <w:r>
        <w:rPr>
          <w:rFonts w:hint="eastAsia" w:asciiTheme="majorEastAsia" w:hAnsiTheme="majorEastAsia" w:eastAsiaTheme="majorEastAsia" w:cstheme="majorEastAsia"/>
          <w:color w:val="auto"/>
          <w:highlight w:val="none"/>
          <w:shd w:val="clear" w:color="auto" w:fill="FFFFFF"/>
        </w:rPr>
        <w:t>的</w:t>
      </w:r>
      <w:r>
        <w:rPr>
          <w:rStyle w:val="39"/>
          <w:rFonts w:hint="eastAsia" w:asciiTheme="majorEastAsia" w:hAnsiTheme="majorEastAsia" w:eastAsiaTheme="majorEastAsia" w:cstheme="majorEastAsia"/>
          <w:color w:val="auto"/>
          <w:highlight w:val="none"/>
          <w:u w:val="single"/>
          <w:shd w:val="clear" w:color="auto" w:fill="FFFFFF"/>
        </w:rPr>
        <w:t>（关键组件）</w:t>
      </w:r>
      <w:r>
        <w:rPr>
          <w:rStyle w:val="39"/>
          <w:rFonts w:hint="eastAsia" w:asciiTheme="majorEastAsia" w:hAnsiTheme="majorEastAsia" w:eastAsiaTheme="majorEastAsia" w:cstheme="majorEastAsia"/>
          <w:color w:val="auto"/>
          <w:highlight w:val="none"/>
          <w:shd w:val="clear" w:color="auto" w:fill="FFFFFF"/>
          <w:vertAlign w:val="superscript"/>
        </w:rPr>
        <w:t>4</w:t>
      </w:r>
      <w:r>
        <w:rPr>
          <w:rFonts w:hint="eastAsia" w:asciiTheme="majorEastAsia" w:hAnsiTheme="majorEastAsia" w:eastAsiaTheme="majorEastAsia" w:cstheme="majorEastAsia"/>
          <w:color w:val="auto"/>
          <w:highlight w:val="none"/>
          <w:shd w:val="clear" w:color="auto" w:fill="FFFFFF"/>
        </w:rPr>
        <w:t>在中国境内生产。</w:t>
      </w:r>
      <w:r>
        <w:rPr>
          <w:rStyle w:val="39"/>
          <w:rFonts w:hint="eastAsia" w:asciiTheme="majorEastAsia" w:hAnsiTheme="majorEastAsia" w:eastAsiaTheme="majorEastAsia" w:cstheme="majorEastAsia"/>
          <w:color w:val="auto"/>
          <w:highlight w:val="none"/>
          <w:u w:val="single"/>
          <w:shd w:val="clear" w:color="auto" w:fill="FFFFFF"/>
        </w:rPr>
        <w:t>（产品名称1）</w:t>
      </w:r>
      <w:r>
        <w:rPr>
          <w:rFonts w:hint="eastAsia" w:asciiTheme="majorEastAsia" w:hAnsiTheme="majorEastAsia" w:eastAsiaTheme="majorEastAsia" w:cstheme="majorEastAsia"/>
          <w:color w:val="auto"/>
          <w:highlight w:val="none"/>
          <w:shd w:val="clear" w:color="auto" w:fill="FFFFFF"/>
        </w:rPr>
        <w:t>的</w:t>
      </w:r>
      <w:r>
        <w:rPr>
          <w:rStyle w:val="39"/>
          <w:rFonts w:hint="eastAsia" w:asciiTheme="majorEastAsia" w:hAnsiTheme="majorEastAsia" w:eastAsiaTheme="majorEastAsia" w:cstheme="majorEastAsia"/>
          <w:color w:val="auto"/>
          <w:highlight w:val="none"/>
          <w:u w:val="single"/>
          <w:shd w:val="clear" w:color="auto" w:fill="FFFFFF"/>
        </w:rPr>
        <w:t>（关键工序）</w:t>
      </w:r>
      <w:r>
        <w:rPr>
          <w:rStyle w:val="39"/>
          <w:rFonts w:hint="eastAsia" w:asciiTheme="majorEastAsia" w:hAnsiTheme="majorEastAsia" w:eastAsiaTheme="majorEastAsia" w:cstheme="majorEastAsia"/>
          <w:color w:val="auto"/>
          <w:highlight w:val="none"/>
          <w:shd w:val="clear" w:color="auto" w:fill="FFFFFF"/>
          <w:vertAlign w:val="superscript"/>
        </w:rPr>
        <w:t>5</w:t>
      </w:r>
      <w:r>
        <w:rPr>
          <w:rFonts w:hint="eastAsia" w:asciiTheme="majorEastAsia" w:hAnsiTheme="majorEastAsia" w:eastAsiaTheme="majorEastAsia" w:cstheme="majorEastAsia"/>
          <w:color w:val="auto"/>
          <w:highlight w:val="none"/>
          <w:shd w:val="clear" w:color="auto" w:fill="FFFFFF"/>
        </w:rPr>
        <w:t>在中国境内完成。</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2.</w:t>
      </w:r>
      <w:r>
        <w:rPr>
          <w:rStyle w:val="39"/>
          <w:rFonts w:hint="eastAsia" w:asciiTheme="majorEastAsia" w:hAnsiTheme="majorEastAsia" w:eastAsiaTheme="majorEastAsia" w:cstheme="majorEastAsia"/>
          <w:color w:val="auto"/>
          <w:highlight w:val="none"/>
          <w:u w:val="single"/>
          <w:shd w:val="clear" w:color="auto" w:fill="FFFFFF"/>
        </w:rPr>
        <w:t>（产品名称2）</w:t>
      </w:r>
      <w:r>
        <w:rPr>
          <w:rFonts w:hint="eastAsia" w:asciiTheme="majorEastAsia" w:hAnsiTheme="majorEastAsia" w:eastAsiaTheme="majorEastAsia" w:cstheme="majorEastAsia"/>
          <w:color w:val="auto"/>
          <w:highlight w:val="none"/>
          <w:shd w:val="clear" w:color="auto" w:fill="FFFFFF"/>
        </w:rPr>
        <w:t>，生产厂为</w:t>
      </w:r>
      <w:r>
        <w:rPr>
          <w:rStyle w:val="39"/>
          <w:rFonts w:hint="eastAsia" w:asciiTheme="majorEastAsia" w:hAnsiTheme="majorEastAsia" w:eastAsiaTheme="majorEastAsia" w:cstheme="majorEastAsia"/>
          <w:color w:val="auto"/>
          <w:highlight w:val="none"/>
          <w:u w:val="single"/>
          <w:shd w:val="clear" w:color="auto" w:fill="FFFFFF"/>
        </w:rPr>
        <w:t>（厂名）</w:t>
      </w:r>
      <w:r>
        <w:rPr>
          <w:rFonts w:hint="eastAsia" w:asciiTheme="majorEastAsia" w:hAnsiTheme="majorEastAsia" w:eastAsiaTheme="majorEastAsia" w:cstheme="majorEastAsia"/>
          <w:color w:val="auto"/>
          <w:highlight w:val="none"/>
          <w:shd w:val="clear" w:color="auto" w:fill="FFFFFF"/>
        </w:rPr>
        <w:t>，厂址为</w:t>
      </w:r>
      <w:r>
        <w:rPr>
          <w:rStyle w:val="39"/>
          <w:rFonts w:hint="eastAsia" w:asciiTheme="majorEastAsia" w:hAnsiTheme="majorEastAsia" w:eastAsiaTheme="majorEastAsia" w:cstheme="majorEastAsia"/>
          <w:color w:val="auto"/>
          <w:highlight w:val="none"/>
          <w:u w:val="single"/>
          <w:shd w:val="clear" w:color="auto" w:fill="FFFFFF"/>
        </w:rPr>
        <w:t>（生产厂址）</w:t>
      </w:r>
      <w:r>
        <w:rPr>
          <w:rFonts w:hint="eastAsia" w:asciiTheme="majorEastAsia" w:hAnsiTheme="majorEastAsia" w:eastAsiaTheme="majorEastAsia" w:cstheme="majorEastAsia"/>
          <w:color w:val="auto"/>
          <w:highlight w:val="none"/>
          <w:shd w:val="clear" w:color="auto" w:fill="FFFFFF"/>
        </w:rPr>
        <w:t>。</w:t>
      </w:r>
      <w:r>
        <w:rPr>
          <w:rStyle w:val="39"/>
          <w:rFonts w:hint="eastAsia" w:asciiTheme="majorEastAsia" w:hAnsiTheme="majorEastAsia" w:eastAsiaTheme="majorEastAsia" w:cstheme="majorEastAsia"/>
          <w:color w:val="auto"/>
          <w:highlight w:val="none"/>
          <w:u w:val="single"/>
          <w:shd w:val="clear" w:color="auto" w:fill="FFFFFF"/>
        </w:rPr>
        <w:t>（产品名称2）</w:t>
      </w:r>
      <w:r>
        <w:rPr>
          <w:rFonts w:hint="eastAsia" w:asciiTheme="majorEastAsia" w:hAnsiTheme="majorEastAsia" w:eastAsiaTheme="majorEastAsia" w:cstheme="majorEastAsia"/>
          <w:color w:val="auto"/>
          <w:highlight w:val="none"/>
          <w:shd w:val="clear" w:color="auto" w:fill="FFFFFF"/>
        </w:rPr>
        <w:t>的中国境内生产的组件成本占比≥</w:t>
      </w:r>
      <w:r>
        <w:rPr>
          <w:rStyle w:val="39"/>
          <w:rFonts w:hint="eastAsia" w:asciiTheme="majorEastAsia" w:hAnsiTheme="majorEastAsia" w:eastAsiaTheme="majorEastAsia" w:cstheme="majorEastAsia"/>
          <w:color w:val="auto"/>
          <w:highlight w:val="none"/>
          <w:u w:val="single"/>
          <w:shd w:val="clear" w:color="auto" w:fill="FFFFFF"/>
        </w:rPr>
        <w:t>（规定比例）</w:t>
      </w:r>
      <w:r>
        <w:rPr>
          <w:rFonts w:hint="eastAsia" w:asciiTheme="majorEastAsia" w:hAnsiTheme="majorEastAsia" w:eastAsiaTheme="majorEastAsia" w:cstheme="majorEastAsia"/>
          <w:color w:val="auto"/>
          <w:highlight w:val="none"/>
          <w:shd w:val="clear" w:color="auto" w:fill="FFFFFF"/>
        </w:rPr>
        <w:t>。</w:t>
      </w:r>
      <w:r>
        <w:rPr>
          <w:rStyle w:val="39"/>
          <w:rFonts w:hint="eastAsia" w:asciiTheme="majorEastAsia" w:hAnsiTheme="majorEastAsia" w:eastAsiaTheme="majorEastAsia" w:cstheme="majorEastAsia"/>
          <w:color w:val="auto"/>
          <w:highlight w:val="none"/>
          <w:u w:val="single"/>
          <w:shd w:val="clear" w:color="auto" w:fill="FFFFFF"/>
        </w:rPr>
        <w:t>（产品名称2）</w:t>
      </w:r>
      <w:r>
        <w:rPr>
          <w:rFonts w:hint="eastAsia" w:asciiTheme="majorEastAsia" w:hAnsiTheme="majorEastAsia" w:eastAsiaTheme="majorEastAsia" w:cstheme="majorEastAsia"/>
          <w:color w:val="auto"/>
          <w:highlight w:val="none"/>
          <w:shd w:val="clear" w:color="auto" w:fill="FFFFFF"/>
        </w:rPr>
        <w:t>的</w:t>
      </w:r>
      <w:r>
        <w:rPr>
          <w:rStyle w:val="39"/>
          <w:rFonts w:hint="eastAsia" w:asciiTheme="majorEastAsia" w:hAnsiTheme="majorEastAsia" w:eastAsiaTheme="majorEastAsia" w:cstheme="majorEastAsia"/>
          <w:color w:val="auto"/>
          <w:highlight w:val="none"/>
          <w:u w:val="single"/>
          <w:shd w:val="clear" w:color="auto" w:fill="FFFFFF"/>
        </w:rPr>
        <w:t>（关键组件）</w:t>
      </w:r>
      <w:r>
        <w:rPr>
          <w:rFonts w:hint="eastAsia" w:asciiTheme="majorEastAsia" w:hAnsiTheme="majorEastAsia" w:eastAsiaTheme="majorEastAsia" w:cstheme="majorEastAsia"/>
          <w:color w:val="auto"/>
          <w:highlight w:val="none"/>
          <w:shd w:val="clear" w:color="auto" w:fill="FFFFFF"/>
        </w:rPr>
        <w:t>在中国境内生产。</w:t>
      </w:r>
      <w:r>
        <w:rPr>
          <w:rStyle w:val="39"/>
          <w:rFonts w:hint="eastAsia" w:asciiTheme="majorEastAsia" w:hAnsiTheme="majorEastAsia" w:eastAsiaTheme="majorEastAsia" w:cstheme="majorEastAsia"/>
          <w:color w:val="auto"/>
          <w:highlight w:val="none"/>
          <w:u w:val="single"/>
          <w:shd w:val="clear" w:color="auto" w:fill="FFFFFF"/>
        </w:rPr>
        <w:t>（产品名称2）</w:t>
      </w:r>
      <w:r>
        <w:rPr>
          <w:rFonts w:hint="eastAsia" w:asciiTheme="majorEastAsia" w:hAnsiTheme="majorEastAsia" w:eastAsiaTheme="majorEastAsia" w:cstheme="majorEastAsia"/>
          <w:color w:val="auto"/>
          <w:highlight w:val="none"/>
          <w:shd w:val="clear" w:color="auto" w:fill="FFFFFF"/>
        </w:rPr>
        <w:t>的</w:t>
      </w:r>
      <w:r>
        <w:rPr>
          <w:rStyle w:val="39"/>
          <w:rFonts w:hint="eastAsia" w:asciiTheme="majorEastAsia" w:hAnsiTheme="majorEastAsia" w:eastAsiaTheme="majorEastAsia" w:cstheme="majorEastAsia"/>
          <w:color w:val="auto"/>
          <w:highlight w:val="none"/>
          <w:u w:val="single"/>
          <w:shd w:val="clear" w:color="auto" w:fill="FFFFFF"/>
        </w:rPr>
        <w:t>（关键工序）</w:t>
      </w:r>
      <w:r>
        <w:rPr>
          <w:rFonts w:hint="eastAsia" w:asciiTheme="majorEastAsia" w:hAnsiTheme="majorEastAsia" w:eastAsiaTheme="majorEastAsia" w:cstheme="majorEastAsia"/>
          <w:color w:val="auto"/>
          <w:highlight w:val="none"/>
          <w:shd w:val="clear" w:color="auto" w:fill="FFFFFF"/>
        </w:rPr>
        <w:t>在中国境内完成。</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本公司（单位）对上述声明内容的真实性负责。如有虚假，愿承担相应法律责任。</w:t>
      </w:r>
    </w:p>
    <w:p>
      <w:pPr>
        <w:pStyle w:val="28"/>
        <w:widowControl/>
        <w:shd w:val="clear" w:color="auto" w:fill="FFFFFF"/>
        <w:spacing w:before="30" w:beforeAutospacing="0" w:after="30" w:afterAutospacing="0" w:line="360" w:lineRule="auto"/>
        <w:rPr>
          <w:rFonts w:hint="eastAsia" w:asciiTheme="majorEastAsia" w:hAnsiTheme="majorEastAsia" w:eastAsiaTheme="majorEastAsia" w:cstheme="majorEastAsia"/>
          <w:color w:val="auto"/>
          <w:kern w:val="2"/>
          <w:highlight w:val="none"/>
        </w:rPr>
      </w:pPr>
    </w:p>
    <w:p>
      <w:pPr>
        <w:pStyle w:val="28"/>
        <w:widowControl/>
        <w:shd w:val="clear" w:color="auto" w:fill="FFFFFF"/>
        <w:spacing w:before="30" w:beforeAutospacing="0" w:after="30" w:afterAutospacing="0" w:line="360" w:lineRule="auto"/>
        <w:jc w:val="right"/>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公司（单位）名称（盖章）：　        </w:t>
      </w:r>
    </w:p>
    <w:p>
      <w:pPr>
        <w:pStyle w:val="28"/>
        <w:widowControl/>
        <w:shd w:val="clear" w:color="auto" w:fill="FFFFFF"/>
        <w:spacing w:before="30" w:beforeAutospacing="0" w:after="30" w:afterAutospacing="0" w:line="360" w:lineRule="auto"/>
        <w:jc w:val="right"/>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日期：　     年　  月　  日         </w:t>
      </w:r>
    </w:p>
    <w:p>
      <w:pPr>
        <w:pStyle w:val="28"/>
        <w:widowControl/>
        <w:shd w:val="clear" w:color="auto" w:fill="FFFFFF"/>
        <w:spacing w:before="30" w:beforeAutospacing="0" w:after="30" w:afterAutospacing="0" w:line="360" w:lineRule="auto"/>
        <w:rPr>
          <w:rFonts w:hint="eastAsia" w:asciiTheme="majorEastAsia" w:hAnsiTheme="majorEastAsia" w:eastAsiaTheme="majorEastAsia" w:cstheme="majorEastAsia"/>
          <w:color w:val="auto"/>
          <w:kern w:val="2"/>
          <w:highlight w:val="none"/>
        </w:rPr>
      </w:pPr>
      <w:r>
        <w:rPr>
          <w:rFonts w:hint="eastAsia" w:asciiTheme="majorEastAsia" w:hAnsiTheme="majorEastAsia" w:eastAsiaTheme="majorEastAsia" w:cstheme="majorEastAsia"/>
          <w:color w:val="auto"/>
          <w:kern w:val="2"/>
          <w:highlight w:val="none"/>
        </w:rPr>
        <w:t>__________________</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sz w:val="21"/>
          <w:szCs w:val="21"/>
          <w:highlight w:val="none"/>
        </w:rPr>
      </w:pPr>
      <w:r>
        <w:rPr>
          <w:rFonts w:hint="eastAsia" w:asciiTheme="majorEastAsia" w:hAnsiTheme="majorEastAsia" w:eastAsiaTheme="majorEastAsia" w:cstheme="majorEastAsia"/>
          <w:color w:val="auto"/>
          <w:kern w:val="2"/>
          <w:sz w:val="21"/>
          <w:szCs w:val="21"/>
          <w:highlight w:val="none"/>
        </w:rPr>
        <w:t>1.产品如有型号，请在“产品名称”栏一并填写。</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sz w:val="21"/>
          <w:szCs w:val="21"/>
          <w:highlight w:val="none"/>
        </w:rPr>
      </w:pPr>
      <w:r>
        <w:rPr>
          <w:rFonts w:hint="eastAsia" w:asciiTheme="majorEastAsia" w:hAnsiTheme="majorEastAsia" w:eastAsiaTheme="majorEastAsia" w:cstheme="majorEastAsia"/>
          <w:color w:val="auto"/>
          <w:kern w:val="2"/>
          <w:sz w:val="21"/>
          <w:szCs w:val="21"/>
          <w:highlight w:val="none"/>
        </w:rPr>
        <w:t>2.生产厂名与厂址应与生产厂营业执照载明的相关信息保持一致。</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sz w:val="21"/>
          <w:szCs w:val="21"/>
          <w:highlight w:val="none"/>
        </w:rPr>
      </w:pPr>
      <w:r>
        <w:rPr>
          <w:rFonts w:hint="eastAsia" w:asciiTheme="majorEastAsia" w:hAnsiTheme="majorEastAsia" w:eastAsiaTheme="majorEastAsia" w:cstheme="majorEastAsia"/>
          <w:color w:val="auto"/>
          <w:kern w:val="2"/>
          <w:sz w:val="21"/>
          <w:szCs w:val="21"/>
          <w:highlight w:val="none"/>
        </w:rPr>
        <w:t>3.该产品的中国境内生产的组件成本占比相关要求实施前，“规定比例”栏可不填，下同。</w:t>
      </w:r>
    </w:p>
    <w:p>
      <w:pPr>
        <w:pStyle w:val="28"/>
        <w:widowControl/>
        <w:shd w:val="clear" w:color="auto" w:fill="FFFFFF"/>
        <w:spacing w:before="30" w:beforeAutospacing="0" w:after="30" w:afterAutospacing="0" w:line="360" w:lineRule="auto"/>
        <w:ind w:firstLine="420"/>
        <w:rPr>
          <w:rFonts w:hint="eastAsia" w:asciiTheme="majorEastAsia" w:hAnsiTheme="majorEastAsia" w:eastAsiaTheme="majorEastAsia" w:cstheme="majorEastAsia"/>
          <w:color w:val="auto"/>
          <w:kern w:val="2"/>
          <w:sz w:val="21"/>
          <w:szCs w:val="21"/>
          <w:highlight w:val="none"/>
        </w:rPr>
      </w:pPr>
      <w:r>
        <w:rPr>
          <w:rFonts w:hint="eastAsia" w:asciiTheme="majorEastAsia" w:hAnsiTheme="majorEastAsia" w:eastAsiaTheme="majorEastAsia" w:cstheme="majorEastAsia"/>
          <w:color w:val="auto"/>
          <w:kern w:val="2"/>
          <w:sz w:val="21"/>
          <w:szCs w:val="21"/>
          <w:highlight w:val="none"/>
        </w:rPr>
        <w:t>4.该产品的关键组件要求实施前，“关键组件”栏可不填，下同。</w:t>
      </w:r>
    </w:p>
    <w:p>
      <w:pPr>
        <w:spacing w:line="360" w:lineRule="auto"/>
        <w:ind w:right="420" w:firstLine="420" w:firstLineChars="200"/>
        <w:rPr>
          <w:rFonts w:hint="eastAsia"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5.该产品的关键工序要求实施前，“关键工序”栏可不填，下同。</w:t>
      </w:r>
    </w:p>
    <w:p>
      <w:pPr>
        <w:pStyle w:val="28"/>
        <w:widowControl/>
        <w:shd w:val="clear" w:color="auto" w:fill="FFFFFF"/>
        <w:spacing w:before="30" w:beforeAutospacing="0" w:after="30" w:afterAutospacing="0"/>
        <w:jc w:val="center"/>
        <w:rPr>
          <w:rFonts w:hint="eastAsia" w:asciiTheme="majorEastAsia" w:hAnsiTheme="majorEastAsia" w:eastAsiaTheme="majorEastAsia" w:cstheme="majorEastAsia"/>
          <w:color w:val="auto"/>
          <w:highlight w:val="none"/>
          <w:shd w:val="clear" w:color="auto" w:fill="FFFFFF"/>
        </w:rPr>
      </w:pPr>
    </w:p>
    <w:p>
      <w:pPr>
        <w:pStyle w:val="21"/>
        <w:rPr>
          <w:rFonts w:hint="eastAsia" w:asciiTheme="majorEastAsia" w:hAnsiTheme="majorEastAsia" w:eastAsiaTheme="majorEastAsia" w:cstheme="majorEastAsia"/>
          <w:color w:val="auto"/>
          <w:sz w:val="24"/>
          <w:szCs w:val="24"/>
          <w:highlight w:val="none"/>
          <w:shd w:val="clear" w:color="auto" w:fill="FFFFFF"/>
        </w:rPr>
      </w:pPr>
      <w:r>
        <w:rPr>
          <w:rFonts w:hint="eastAsia" w:asciiTheme="majorEastAsia" w:hAnsiTheme="majorEastAsia" w:eastAsiaTheme="majorEastAsia" w:cstheme="majorEastAsia"/>
          <w:color w:val="auto"/>
          <w:sz w:val="24"/>
          <w:szCs w:val="24"/>
          <w:highlight w:val="none"/>
          <w:shd w:val="clear" w:color="auto" w:fill="FFFFFF"/>
        </w:rPr>
        <w:t>注：成交供应商提供的《声明函》或有关证明文件随成交结果同时公告。</w:t>
      </w:r>
    </w:p>
    <w:p>
      <w:pPr>
        <w:pStyle w:val="21"/>
        <w:rPr>
          <w:rFonts w:hint="eastAsia" w:ascii="仿宋" w:hAnsi="仿宋" w:eastAsia="仿宋" w:cs="仿宋"/>
          <w:color w:val="auto"/>
          <w:sz w:val="24"/>
          <w:szCs w:val="24"/>
          <w:highlight w:val="none"/>
        </w:rPr>
      </w:pPr>
    </w:p>
    <w:p>
      <w:pPr>
        <w:pStyle w:val="21"/>
        <w:rPr>
          <w:rFonts w:hint="eastAsia" w:ascii="仿宋" w:hAnsi="仿宋" w:eastAsia="仿宋" w:cs="仿宋"/>
          <w:color w:val="auto"/>
          <w:sz w:val="24"/>
          <w:szCs w:val="24"/>
          <w:highlight w:val="none"/>
        </w:rPr>
      </w:pPr>
    </w:p>
    <w:p>
      <w:pPr>
        <w:pStyle w:val="21"/>
        <w:rPr>
          <w:rFonts w:hint="eastAsia" w:ascii="仿宋" w:hAnsi="仿宋" w:eastAsia="仿宋" w:cs="仿宋"/>
          <w:color w:val="auto"/>
          <w:sz w:val="24"/>
          <w:szCs w:val="24"/>
          <w:highlight w:val="none"/>
        </w:rPr>
      </w:pPr>
    </w:p>
    <w:p>
      <w:pPr>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br w:type="page"/>
      </w:r>
    </w:p>
    <w:p>
      <w:pPr>
        <w:jc w:val="both"/>
        <w:rPr>
          <w:rFonts w:hint="eastAsia" w:ascii="宋体" w:hAnsi="宋体" w:cs="宋体"/>
          <w:b/>
          <w:bCs/>
          <w:color w:val="auto"/>
          <w:sz w:val="32"/>
          <w:szCs w:val="32"/>
          <w:highlight w:val="none"/>
        </w:rPr>
      </w:pPr>
      <w:r>
        <w:rPr>
          <w:rFonts w:hint="eastAsia" w:ascii="宋体" w:hAnsi="宋体" w:cs="宋体"/>
          <w:b/>
          <w:bCs/>
          <w:color w:val="auto"/>
          <w:spacing w:val="-3"/>
          <w:sz w:val="28"/>
          <w:szCs w:val="28"/>
          <w:highlight w:val="none"/>
          <w:lang w:val="en-US" w:eastAsia="zh-CN"/>
        </w:rPr>
        <w:t>（5）知识产权合规性声明</w:t>
      </w:r>
    </w:p>
    <w:p>
      <w:pPr>
        <w:jc w:val="center"/>
        <w:rPr>
          <w:rFonts w:hint="eastAsia" w:ascii="宋体" w:hAnsi="宋体" w:cs="宋体"/>
          <w:b/>
          <w:bCs/>
          <w:color w:val="auto"/>
          <w:sz w:val="32"/>
          <w:szCs w:val="32"/>
          <w:highlight w:val="none"/>
        </w:rPr>
      </w:pPr>
    </w:p>
    <w:p>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知识产权合规性声明</w:t>
      </w:r>
    </w:p>
    <w:p>
      <w:pPr>
        <w:ind w:firstLine="600" w:firstLineChars="200"/>
        <w:rPr>
          <w:rFonts w:hint="eastAsia" w:ascii="宋体" w:hAnsi="宋体" w:cs="宋体"/>
          <w:color w:val="auto"/>
          <w:sz w:val="30"/>
          <w:szCs w:val="30"/>
          <w:highlight w:val="none"/>
        </w:rPr>
      </w:pP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本企业（单位）自愿参与政府投资政府采购的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项目，在此郑重承诺：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pPr>
        <w:snapToGrid w:val="0"/>
        <w:spacing w:line="360" w:lineRule="auto"/>
        <w:ind w:left="5385" w:leftChars="1736" w:hanging="1739" w:hangingChars="825"/>
        <w:rPr>
          <w:rFonts w:hint="eastAsia" w:ascii="宋体" w:hAnsi="宋体" w:cs="宋体"/>
          <w:b/>
          <w:color w:val="auto"/>
          <w:szCs w:val="21"/>
          <w:highlight w:val="none"/>
        </w:rPr>
      </w:pPr>
    </w:p>
    <w:p>
      <w:pPr>
        <w:snapToGrid w:val="0"/>
        <w:spacing w:line="360" w:lineRule="auto"/>
        <w:ind w:left="5385" w:leftChars="1736" w:hanging="1739" w:hangingChars="825"/>
        <w:rPr>
          <w:rFonts w:hint="eastAsia" w:ascii="宋体" w:hAnsi="宋体" w:cs="宋体"/>
          <w:b/>
          <w:color w:val="auto"/>
          <w:szCs w:val="21"/>
          <w:highlight w:val="none"/>
        </w:rPr>
      </w:pPr>
    </w:p>
    <w:p>
      <w:pPr>
        <w:snapToGrid w:val="0"/>
        <w:spacing w:line="360" w:lineRule="auto"/>
        <w:ind w:left="5385" w:leftChars="1736" w:hanging="1739" w:hangingChars="825"/>
        <w:rPr>
          <w:rFonts w:hint="eastAsia" w:ascii="宋体" w:hAnsi="宋体" w:cs="宋体"/>
          <w:b/>
          <w:color w:val="auto"/>
          <w:szCs w:val="21"/>
          <w:highlight w:val="none"/>
        </w:rPr>
      </w:pPr>
    </w:p>
    <w:p>
      <w:pPr>
        <w:snapToGrid w:val="0"/>
        <w:spacing w:line="360" w:lineRule="auto"/>
        <w:ind w:left="5385" w:leftChars="1736" w:hanging="1739" w:hangingChars="825"/>
        <w:rPr>
          <w:rFonts w:hint="eastAsia" w:ascii="宋体" w:hAnsi="宋体" w:cs="宋体"/>
          <w:b/>
          <w:color w:val="auto"/>
          <w:szCs w:val="21"/>
          <w:highlight w:val="none"/>
        </w:rPr>
      </w:pPr>
    </w:p>
    <w:p>
      <w:pPr>
        <w:snapToGrid w:val="0"/>
        <w:spacing w:line="360" w:lineRule="auto"/>
        <w:ind w:left="5378" w:leftChars="1736" w:hanging="1732" w:hangingChars="825"/>
        <w:rPr>
          <w:rFonts w:hint="eastAsia" w:ascii="宋体" w:hAnsi="宋体" w:cs="宋体"/>
          <w:color w:val="auto"/>
          <w:kern w:val="0"/>
          <w:szCs w:val="21"/>
          <w:highlight w:val="none"/>
        </w:rPr>
      </w:pPr>
      <w:r>
        <w:rPr>
          <w:rFonts w:hint="eastAsia" w:ascii="宋体" w:hAnsi="宋体" w:cs="宋体"/>
          <w:color w:val="auto"/>
          <w:kern w:val="0"/>
          <w:szCs w:val="21"/>
          <w:highlight w:val="none"/>
          <w:lang w:val="zh-CN"/>
        </w:rPr>
        <w:t>供应商名称(电子签章)：</w:t>
      </w:r>
    </w:p>
    <w:p>
      <w:pPr>
        <w:pStyle w:val="13"/>
        <w:ind w:left="1" w:firstLine="3780" w:firstLineChars="1800"/>
        <w:rPr>
          <w:rFonts w:hint="eastAsia" w:ascii="仿宋" w:hAnsi="仿宋" w:eastAsia="仿宋" w:cs="仿宋"/>
          <w:b/>
          <w:bCs/>
          <w:color w:val="auto"/>
          <w:sz w:val="18"/>
          <w:szCs w:val="18"/>
          <w:highlight w:val="none"/>
        </w:rPr>
      </w:pPr>
      <w:r>
        <w:rPr>
          <w:rFonts w:hint="eastAsia" w:ascii="宋体" w:hAnsi="宋体" w:cs="宋体"/>
          <w:color w:val="auto"/>
          <w:kern w:val="0"/>
          <w:szCs w:val="21"/>
          <w:highlight w:val="none"/>
          <w:lang w:val="zh-CN"/>
        </w:rPr>
        <w:t>日期</w:t>
      </w:r>
      <w:r>
        <w:rPr>
          <w:rFonts w:hint="eastAsia" w:ascii="宋体" w:hAnsi="宋体" w:cs="宋体"/>
          <w:color w:val="auto"/>
          <w:kern w:val="0"/>
          <w:szCs w:val="21"/>
          <w:highlight w:val="none"/>
        </w:rPr>
        <w:t xml:space="preserve">：  年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val="zh-CN"/>
        </w:rPr>
        <w:t>日</w:t>
      </w:r>
      <w:r>
        <w:rPr>
          <w:rFonts w:hint="eastAsia" w:ascii="仿宋" w:hAnsi="仿宋" w:eastAsia="仿宋" w:cs="仿宋"/>
          <w:b/>
          <w:bCs/>
          <w:color w:val="auto"/>
          <w:sz w:val="28"/>
          <w:szCs w:val="28"/>
          <w:highlight w:val="none"/>
          <w:lang w:val="en-US" w:eastAsia="zh-CN"/>
        </w:rPr>
        <w:br w:type="page"/>
      </w:r>
    </w:p>
    <w:p>
      <w:pPr>
        <w:tabs>
          <w:tab w:val="left" w:pos="2155"/>
        </w:tabs>
        <w:rPr>
          <w:rFonts w:hint="eastAsia" w:ascii="仿宋" w:hAnsi="仿宋" w:eastAsia="仿宋" w:cs="仿宋"/>
          <w:color w:val="auto"/>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spacing w:line="520" w:lineRule="exact"/>
        <w:jc w:val="center"/>
        <w:rPr>
          <w:rFonts w:hint="eastAsia" w:ascii="宋体" w:hAnsi="宋体"/>
          <w:color w:val="auto"/>
          <w:sz w:val="24"/>
          <w:highlight w:val="none"/>
        </w:rPr>
      </w:pPr>
    </w:p>
    <w:p>
      <w:pPr>
        <w:pStyle w:val="2"/>
        <w:numPr>
          <w:ilvl w:val="0"/>
          <w:numId w:val="0"/>
        </w:numPr>
        <w:jc w:val="center"/>
        <w:rPr>
          <w:rFonts w:hint="eastAsia" w:ascii="宋体" w:hAnsi="宋体"/>
          <w:b w:val="0"/>
          <w:bCs w:val="0"/>
          <w:color w:val="auto"/>
          <w:highlight w:val="none"/>
        </w:rPr>
      </w:pPr>
      <w:bookmarkStart w:id="176" w:name="_Toc32618"/>
      <w:bookmarkStart w:id="177" w:name="_Toc2795"/>
      <w:bookmarkStart w:id="178" w:name="_Toc80886947"/>
      <w:r>
        <w:rPr>
          <w:rFonts w:hint="eastAsia" w:ascii="宋体" w:hAnsi="宋体" w:eastAsia="宋体" w:cs="Times New Roman"/>
          <w:b w:val="0"/>
          <w:bCs w:val="0"/>
          <w:color w:val="auto"/>
          <w:kern w:val="44"/>
          <w:sz w:val="44"/>
          <w:szCs w:val="44"/>
          <w:highlight w:val="none"/>
          <w:lang w:val="en-US" w:eastAsia="zh-CN" w:bidi="ar-SA"/>
        </w:rPr>
        <w:t>第六章</w:t>
      </w:r>
      <w:r>
        <w:rPr>
          <w:rFonts w:ascii="宋体" w:hAnsi="宋体"/>
          <w:b w:val="0"/>
          <w:bCs w:val="0"/>
          <w:color w:val="auto"/>
          <w:highlight w:val="none"/>
        </w:rPr>
        <w:t xml:space="preserve"> </w:t>
      </w:r>
      <w:bookmarkStart w:id="179" w:name="_Toc1609"/>
      <w:bookmarkStart w:id="180" w:name="_Toc24508"/>
      <w:r>
        <w:rPr>
          <w:rFonts w:hint="eastAsia" w:ascii="宋体" w:hAnsi="宋体"/>
          <w:b w:val="0"/>
          <w:bCs w:val="0"/>
          <w:color w:val="auto"/>
          <w:highlight w:val="none"/>
        </w:rPr>
        <w:t>合同文本</w:t>
      </w:r>
      <w:bookmarkEnd w:id="176"/>
      <w:bookmarkEnd w:id="177"/>
      <w:bookmarkEnd w:id="178"/>
      <w:bookmarkEnd w:id="179"/>
      <w:bookmarkEnd w:id="180"/>
    </w:p>
    <w:p>
      <w:pPr>
        <w:rPr>
          <w:rFonts w:ascii="宋体" w:hAnsi="宋体"/>
          <w:b/>
          <w:bCs/>
          <w:color w:val="auto"/>
          <w:highlight w:val="none"/>
        </w:rPr>
      </w:pPr>
      <w:r>
        <w:rPr>
          <w:rFonts w:ascii="宋体" w:hAnsi="宋体"/>
          <w:b/>
          <w:bCs/>
          <w:color w:val="auto"/>
          <w:highlight w:val="none"/>
        </w:rPr>
        <w:br w:type="page"/>
      </w:r>
    </w:p>
    <w:p>
      <w:pPr>
        <w:rPr>
          <w:rFonts w:ascii="宋体" w:hAnsi="宋体"/>
          <w:b/>
          <w:bCs/>
          <w:color w:val="auto"/>
          <w:highlight w:val="none"/>
        </w:rPr>
      </w:pPr>
    </w:p>
    <w:p>
      <w:pPr>
        <w:rPr>
          <w:rFonts w:hint="eastAsia" w:ascii="宋体" w:hAnsi="宋体"/>
          <w:b/>
          <w:bCs/>
          <w:color w:val="auto"/>
          <w:highlight w:val="none"/>
        </w:rPr>
      </w:pPr>
      <w:r>
        <w:rPr>
          <w:rFonts w:hint="eastAsia" w:ascii="仿宋_GB2312" w:hAnsi="楷体" w:eastAsia="仿宋_GB2312"/>
          <w:color w:val="auto"/>
          <w:sz w:val="24"/>
          <w:highlight w:val="none"/>
        </w:rPr>
        <w:t>“广西政府采购云平台”平台合同编号：</w:t>
      </w:r>
    </w:p>
    <w:p>
      <w:pPr>
        <w:rPr>
          <w:rFonts w:hint="eastAsia" w:ascii="仿宋_GB2312" w:hAnsi="楷体" w:eastAsia="仿宋_GB2312"/>
          <w:color w:val="auto"/>
          <w:sz w:val="24"/>
          <w:highlight w:val="none"/>
        </w:rPr>
      </w:pPr>
    </w:p>
    <w:p>
      <w:pPr>
        <w:rPr>
          <w:rFonts w:hint="eastAsia" w:ascii="仿宋_GB2312" w:hAnsi="楷体" w:eastAsia="仿宋_GB2312"/>
          <w:color w:val="auto"/>
          <w:sz w:val="24"/>
          <w:highlight w:val="none"/>
        </w:rPr>
      </w:pPr>
    </w:p>
    <w:p>
      <w:pPr>
        <w:rPr>
          <w:rFonts w:hint="eastAsia" w:ascii="仿宋_GB2312" w:hAnsi="楷体" w:eastAsia="仿宋_GB2312"/>
          <w:color w:val="auto"/>
          <w:sz w:val="24"/>
          <w:highlight w:val="none"/>
        </w:rPr>
      </w:pPr>
    </w:p>
    <w:p>
      <w:pPr>
        <w:spacing w:line="360" w:lineRule="auto"/>
        <w:ind w:firstLine="420" w:firstLineChars="200"/>
        <w:rPr>
          <w:rFonts w:ascii="宋体" w:cs="宋体"/>
          <w:color w:val="auto"/>
          <w:highlight w:val="none"/>
        </w:rPr>
      </w:pPr>
    </w:p>
    <w:p>
      <w:pPr>
        <w:spacing w:line="360" w:lineRule="auto"/>
        <w:ind w:firstLine="420" w:firstLineChars="200"/>
        <w:rPr>
          <w:rFonts w:ascii="宋体" w:cs="宋体"/>
          <w:color w:val="auto"/>
          <w:highlight w:val="none"/>
        </w:rPr>
      </w:pPr>
      <w:r>
        <w:rPr>
          <w:rFonts w:hint="eastAsia" w:ascii="宋体" w:cs="宋体"/>
          <w:color w:val="auto"/>
          <w:highlight w:val="none"/>
          <w:lang w:bidi="ar"/>
        </w:rPr>
        <w:t xml:space="preserve">                                                 </w:t>
      </w:r>
    </w:p>
    <w:p>
      <w:pPr>
        <w:spacing w:before="169" w:line="220" w:lineRule="auto"/>
        <w:jc w:val="center"/>
        <w:rPr>
          <w:rFonts w:ascii="宋体" w:hAnsi="宋体" w:eastAsia="宋体" w:cs="宋体"/>
          <w:b/>
          <w:bCs/>
          <w:color w:val="auto"/>
          <w:sz w:val="52"/>
          <w:szCs w:val="52"/>
          <w:highlight w:val="none"/>
        </w:rPr>
      </w:pPr>
      <w:r>
        <w:rPr>
          <w:rFonts w:ascii="宋体" w:hAnsi="宋体" w:eastAsia="宋体" w:cs="宋体"/>
          <w:b/>
          <w:bCs/>
          <w:color w:val="auto"/>
          <w:spacing w:val="2"/>
          <w:sz w:val="52"/>
          <w:szCs w:val="52"/>
          <w:highlight w:val="none"/>
        </w:rPr>
        <w:t>政府采购合同</w:t>
      </w:r>
    </w:p>
    <w:p>
      <w:pPr>
        <w:pStyle w:val="13"/>
        <w:spacing w:line="254" w:lineRule="auto"/>
        <w:rPr>
          <w:color w:val="auto"/>
          <w:highlight w:val="none"/>
        </w:rPr>
      </w:pPr>
    </w:p>
    <w:p>
      <w:pPr>
        <w:pStyle w:val="13"/>
        <w:spacing w:line="254" w:lineRule="auto"/>
        <w:rPr>
          <w:color w:val="auto"/>
          <w:highlight w:val="none"/>
        </w:rPr>
      </w:pPr>
    </w:p>
    <w:p>
      <w:pPr>
        <w:spacing w:before="91" w:line="223" w:lineRule="auto"/>
        <w:ind w:left="1634"/>
        <w:rPr>
          <w:rFonts w:ascii="宋体" w:hAnsi="宋体" w:eastAsia="宋体" w:cs="宋体"/>
          <w:color w:val="auto"/>
          <w:spacing w:val="-5"/>
          <w:sz w:val="28"/>
          <w:szCs w:val="28"/>
          <w:highlight w:val="none"/>
        </w:rPr>
      </w:pPr>
      <w:r>
        <w:rPr>
          <w:rFonts w:ascii="宋体" w:hAnsi="宋体" w:eastAsia="宋体" w:cs="宋体"/>
          <w:color w:val="auto"/>
          <w:spacing w:val="-5"/>
          <w:sz w:val="28"/>
          <w:szCs w:val="28"/>
          <w:highlight w:val="none"/>
        </w:rPr>
        <w:br w:type="textWrapping"/>
      </w:r>
    </w:p>
    <w:p>
      <w:pPr>
        <w:spacing w:before="91" w:line="223" w:lineRule="auto"/>
        <w:ind w:left="1634"/>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合同名称：</w:t>
      </w:r>
    </w:p>
    <w:p>
      <w:pPr>
        <w:pStyle w:val="13"/>
        <w:spacing w:line="355" w:lineRule="auto"/>
        <w:rPr>
          <w:color w:val="auto"/>
          <w:highlight w:val="none"/>
        </w:rPr>
      </w:pPr>
    </w:p>
    <w:p>
      <w:pPr>
        <w:spacing w:before="91" w:line="221" w:lineRule="auto"/>
        <w:ind w:left="1634"/>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合同编号：</w:t>
      </w:r>
    </w:p>
    <w:p>
      <w:pPr>
        <w:pStyle w:val="13"/>
        <w:spacing w:line="344" w:lineRule="auto"/>
        <w:rPr>
          <w:color w:val="auto"/>
          <w:highlight w:val="none"/>
        </w:rPr>
      </w:pPr>
    </w:p>
    <w:p>
      <w:pPr>
        <w:spacing w:before="91" w:line="220" w:lineRule="auto"/>
        <w:ind w:left="1631"/>
        <w:rPr>
          <w:rFonts w:ascii="宋体" w:hAnsi="宋体" w:eastAsia="宋体" w:cs="宋体"/>
          <w:color w:val="auto"/>
          <w:sz w:val="28"/>
          <w:szCs w:val="28"/>
          <w:highlight w:val="none"/>
        </w:rPr>
      </w:pPr>
      <w:r>
        <w:rPr>
          <w:rFonts w:ascii="宋体" w:hAnsi="宋体" w:eastAsia="宋体" w:cs="宋体"/>
          <w:color w:val="auto"/>
          <w:spacing w:val="-4"/>
          <w:sz w:val="28"/>
          <w:szCs w:val="28"/>
          <w:highlight w:val="none"/>
        </w:rPr>
        <w:t>采购人（甲方）</w:t>
      </w:r>
    </w:p>
    <w:p>
      <w:pPr>
        <w:pStyle w:val="13"/>
        <w:spacing w:line="248" w:lineRule="auto"/>
        <w:rPr>
          <w:color w:val="auto"/>
          <w:highlight w:val="none"/>
        </w:rPr>
      </w:pPr>
    </w:p>
    <w:p>
      <w:pPr>
        <w:spacing w:before="91" w:line="220" w:lineRule="auto"/>
        <w:ind w:left="163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供应商（乙方）</w:t>
      </w:r>
    </w:p>
    <w:p>
      <w:pPr>
        <w:pStyle w:val="13"/>
        <w:spacing w:line="326" w:lineRule="auto"/>
        <w:rPr>
          <w:color w:val="auto"/>
          <w:highlight w:val="none"/>
        </w:rPr>
      </w:pPr>
    </w:p>
    <w:p>
      <w:pPr>
        <w:spacing w:before="92" w:line="223" w:lineRule="auto"/>
        <w:ind w:left="163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签订合同地点：</w:t>
      </w:r>
    </w:p>
    <w:p>
      <w:pPr>
        <w:pStyle w:val="13"/>
        <w:spacing w:line="384" w:lineRule="auto"/>
        <w:rPr>
          <w:color w:val="auto"/>
          <w:highlight w:val="none"/>
        </w:rPr>
      </w:pPr>
    </w:p>
    <w:p>
      <w:pPr>
        <w:spacing w:before="91" w:line="223" w:lineRule="auto"/>
        <w:ind w:left="1630"/>
        <w:rPr>
          <w:rFonts w:hint="eastAsia" w:ascii="宋体" w:hAnsi="宋体" w:eastAsia="宋体" w:cs="宋体"/>
          <w:color w:val="auto"/>
          <w:sz w:val="28"/>
          <w:szCs w:val="28"/>
          <w:highlight w:val="none"/>
          <w:u w:val="single" w:color="auto"/>
          <w:lang w:eastAsia="zh-CN"/>
        </w:rPr>
      </w:pPr>
      <w:r>
        <w:rPr>
          <w:rFonts w:ascii="宋体" w:hAnsi="宋体" w:eastAsia="宋体" w:cs="宋体"/>
          <w:color w:val="auto"/>
          <w:spacing w:val="-4"/>
          <w:sz w:val="28"/>
          <w:szCs w:val="28"/>
          <w:highlight w:val="none"/>
        </w:rPr>
        <w:t>签订合同时间：</w:t>
      </w: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ind w:left="1630"/>
        <w:rPr>
          <w:rFonts w:ascii="宋体" w:hAnsi="宋体" w:eastAsia="宋体" w:cs="宋体"/>
          <w:color w:val="auto"/>
          <w:sz w:val="28"/>
          <w:szCs w:val="28"/>
          <w:highlight w:val="none"/>
          <w:u w:val="single" w:color="auto"/>
        </w:rPr>
      </w:pPr>
    </w:p>
    <w:p>
      <w:pPr>
        <w:spacing w:before="91" w:line="223" w:lineRule="auto"/>
        <w:rPr>
          <w:rFonts w:ascii="宋体" w:hAnsi="宋体" w:eastAsia="宋体" w:cs="宋体"/>
          <w:color w:val="auto"/>
          <w:sz w:val="28"/>
          <w:szCs w:val="28"/>
          <w:highlight w:val="none"/>
          <w:u w:val="single" w:color="auto"/>
        </w:rPr>
      </w:pPr>
    </w:p>
    <w:p>
      <w:pPr>
        <w:snapToGrid w:val="0"/>
        <w:spacing w:line="360" w:lineRule="auto"/>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《政府采购合同》</w:t>
      </w:r>
    </w:p>
    <w:p>
      <w:pPr>
        <w:snapToGrid w:val="0"/>
        <w:spacing w:line="360" w:lineRule="auto"/>
        <w:jc w:val="center"/>
        <w:rPr>
          <w:rFonts w:hint="eastAsia" w:ascii="宋体" w:hAnsi="宋体" w:cs="宋体"/>
          <w:b/>
          <w:bCs/>
          <w:color w:val="auto"/>
          <w:sz w:val="32"/>
          <w:szCs w:val="32"/>
          <w:highlight w:val="none"/>
        </w:rPr>
      </w:pPr>
    </w:p>
    <w:p>
      <w:pPr>
        <w:snapToGrid w:val="0"/>
        <w:spacing w:line="360" w:lineRule="auto"/>
        <w:ind w:right="480" w:firstLine="5250" w:firstLineChars="2500"/>
        <w:rPr>
          <w:rFonts w:hint="eastAsia" w:ascii="宋体" w:hAnsi="宋体" w:cs="宋体"/>
          <w:bCs/>
          <w:color w:val="auto"/>
          <w:szCs w:val="21"/>
          <w:highlight w:val="none"/>
          <w:u w:val="single"/>
        </w:rPr>
      </w:pPr>
      <w:r>
        <w:rPr>
          <w:rFonts w:hint="eastAsia" w:ascii="宋体" w:hAnsi="宋体" w:cs="宋体"/>
          <w:bCs/>
          <w:color w:val="auto"/>
          <w:szCs w:val="21"/>
          <w:highlight w:val="none"/>
        </w:rPr>
        <w:t>合同编号：</w:t>
      </w:r>
    </w:p>
    <w:p>
      <w:pPr>
        <w:snapToGrid w:val="0"/>
        <w:spacing w:line="360" w:lineRule="auto"/>
        <w:rPr>
          <w:rFonts w:hint="eastAsia" w:ascii="宋体" w:hAnsi="宋体" w:cs="宋体"/>
          <w:color w:val="auto"/>
          <w:szCs w:val="21"/>
          <w:highlight w:val="none"/>
        </w:rPr>
      </w:pPr>
    </w:p>
    <w:p>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采购人（甲方）：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供应商（乙方）：</w:t>
      </w:r>
      <w:r>
        <w:rPr>
          <w:rFonts w:hint="eastAsia" w:ascii="宋体" w:hAnsi="宋体" w:cs="宋体"/>
          <w:color w:val="auto"/>
          <w:szCs w:val="21"/>
          <w:highlight w:val="none"/>
          <w:u w:val="single"/>
        </w:rPr>
        <w:t xml:space="preserve">                          </w:t>
      </w:r>
    </w:p>
    <w:p>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p>
      <w:pPr>
        <w:snapToGrid w:val="0"/>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合同类型：</w:t>
      </w:r>
      <w:r>
        <w:rPr>
          <w:rFonts w:hint="eastAsia" w:ascii="宋体" w:hAnsi="宋体" w:cs="宋体"/>
          <w:color w:val="auto"/>
          <w:szCs w:val="21"/>
          <w:highlight w:val="none"/>
          <w:u w:val="single"/>
        </w:rPr>
        <w:t xml:space="preserve">                              </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本合同是否为中小企业预留合同：</w:t>
      </w:r>
      <w:r>
        <w:rPr>
          <w:rFonts w:hint="eastAsia" w:ascii="宋体" w:hAnsi="宋体" w:cs="宋体"/>
          <w:iCs/>
          <w:color w:val="auto"/>
          <w:szCs w:val="21"/>
          <w:highlight w:val="none"/>
          <w:u w:val="single"/>
        </w:rPr>
        <w:t xml:space="preserve">          </w:t>
      </w:r>
    </w:p>
    <w:p>
      <w:pPr>
        <w:pStyle w:val="13"/>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根据《中华人民共和国政府采购法》《中华人民共和国民法典》等法律、法规规定，按照采购文件规定条款和乙方竞标承诺，甲乙双方签订本合同。</w:t>
      </w:r>
    </w:p>
    <w:p>
      <w:pPr>
        <w:widowControl/>
        <w:adjustRightInd w:val="0"/>
        <w:snapToGrid w:val="0"/>
        <w:spacing w:line="400" w:lineRule="exact"/>
        <w:ind w:firstLine="422" w:firstLineChars="200"/>
        <w:jc w:val="left"/>
        <w:rPr>
          <w:rFonts w:ascii="宋体"/>
          <w:b/>
          <w:bCs/>
          <w:color w:val="auto"/>
          <w:kern w:val="0"/>
          <w:szCs w:val="21"/>
          <w:highlight w:val="none"/>
        </w:rPr>
      </w:pPr>
      <w:r>
        <w:rPr>
          <w:rFonts w:hint="eastAsia" w:ascii="宋体" w:hAnsi="宋体"/>
          <w:b/>
          <w:bCs/>
          <w:color w:val="auto"/>
          <w:kern w:val="0"/>
          <w:szCs w:val="21"/>
          <w:highlight w:val="none"/>
        </w:rPr>
        <w:t>第一条合同标的</w:t>
      </w:r>
    </w:p>
    <w:p>
      <w:pPr>
        <w:numPr>
          <w:ilvl w:val="0"/>
          <w:numId w:val="16"/>
        </w:numPr>
        <w:snapToGrid w:val="0"/>
        <w:spacing w:line="360" w:lineRule="exact"/>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供货一览表</w:t>
      </w:r>
    </w:p>
    <w:tbl>
      <w:tblPr>
        <w:tblStyle w:val="107"/>
        <w:tblW w:w="90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1259"/>
        <w:gridCol w:w="1250"/>
        <w:gridCol w:w="1209"/>
        <w:gridCol w:w="1110"/>
        <w:gridCol w:w="1230"/>
        <w:gridCol w:w="1590"/>
        <w:gridCol w:w="7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723" w:type="dxa"/>
            <w:vAlign w:val="top"/>
          </w:tcPr>
          <w:p>
            <w:pPr>
              <w:spacing w:line="241" w:lineRule="auto"/>
              <w:rPr>
                <w:rFonts w:ascii="Arial"/>
                <w:color w:val="auto"/>
                <w:sz w:val="21"/>
                <w:highlight w:val="none"/>
              </w:rPr>
            </w:pPr>
          </w:p>
          <w:p>
            <w:pPr>
              <w:pStyle w:val="108"/>
              <w:spacing w:before="65" w:line="229" w:lineRule="auto"/>
              <w:ind w:left="113"/>
              <w:rPr>
                <w:color w:val="auto"/>
                <w:highlight w:val="none"/>
              </w:rPr>
            </w:pPr>
            <w:r>
              <w:rPr>
                <w:color w:val="auto"/>
                <w:spacing w:val="5"/>
                <w:highlight w:val="none"/>
              </w:rPr>
              <w:t>序号</w:t>
            </w:r>
          </w:p>
        </w:tc>
        <w:tc>
          <w:tcPr>
            <w:tcW w:w="1259" w:type="dxa"/>
            <w:vAlign w:val="top"/>
          </w:tcPr>
          <w:p>
            <w:pPr>
              <w:spacing w:line="241" w:lineRule="auto"/>
              <w:rPr>
                <w:rFonts w:ascii="Arial"/>
                <w:color w:val="auto"/>
                <w:sz w:val="21"/>
                <w:highlight w:val="none"/>
              </w:rPr>
            </w:pPr>
          </w:p>
          <w:p>
            <w:pPr>
              <w:pStyle w:val="108"/>
              <w:spacing w:before="65" w:line="228" w:lineRule="auto"/>
              <w:ind w:left="112"/>
              <w:rPr>
                <w:color w:val="auto"/>
                <w:highlight w:val="none"/>
              </w:rPr>
            </w:pPr>
            <w:r>
              <w:rPr>
                <w:rFonts w:hint="eastAsia"/>
                <w:color w:val="auto"/>
                <w:spacing w:val="7"/>
                <w:highlight w:val="none"/>
                <w:lang w:val="en-US" w:eastAsia="zh-CN"/>
              </w:rPr>
              <w:t>货物</w:t>
            </w:r>
            <w:r>
              <w:rPr>
                <w:color w:val="auto"/>
                <w:spacing w:val="7"/>
                <w:highlight w:val="none"/>
              </w:rPr>
              <w:t>名称</w:t>
            </w:r>
          </w:p>
        </w:tc>
        <w:tc>
          <w:tcPr>
            <w:tcW w:w="1250" w:type="dxa"/>
            <w:vAlign w:val="top"/>
          </w:tcPr>
          <w:p>
            <w:pPr>
              <w:rPr>
                <w:rFonts w:ascii="Arial"/>
                <w:color w:val="auto"/>
                <w:sz w:val="21"/>
                <w:highlight w:val="none"/>
              </w:rPr>
            </w:pPr>
          </w:p>
          <w:p>
            <w:pPr>
              <w:pStyle w:val="108"/>
              <w:spacing w:before="65" w:line="228" w:lineRule="auto"/>
              <w:ind w:left="209"/>
              <w:rPr>
                <w:color w:val="auto"/>
                <w:highlight w:val="none"/>
              </w:rPr>
            </w:pPr>
            <w:r>
              <w:rPr>
                <w:color w:val="auto"/>
                <w:spacing w:val="7"/>
                <w:highlight w:val="none"/>
              </w:rPr>
              <w:t>规格型号</w:t>
            </w:r>
          </w:p>
        </w:tc>
        <w:tc>
          <w:tcPr>
            <w:tcW w:w="1209" w:type="dxa"/>
            <w:vAlign w:val="top"/>
          </w:tcPr>
          <w:p>
            <w:pPr>
              <w:pStyle w:val="108"/>
              <w:spacing w:before="171" w:line="254" w:lineRule="auto"/>
              <w:ind w:left="178" w:right="171" w:firstLine="16"/>
              <w:rPr>
                <w:color w:val="auto"/>
                <w:highlight w:val="none"/>
              </w:rPr>
            </w:pPr>
            <w:r>
              <w:rPr>
                <w:color w:val="auto"/>
                <w:spacing w:val="1"/>
                <w:highlight w:val="none"/>
              </w:rPr>
              <w:t>品牌及</w:t>
            </w:r>
            <w:r>
              <w:rPr>
                <w:color w:val="auto"/>
                <w:spacing w:val="6"/>
                <w:highlight w:val="none"/>
              </w:rPr>
              <w:t>制造商</w:t>
            </w:r>
          </w:p>
        </w:tc>
        <w:tc>
          <w:tcPr>
            <w:tcW w:w="1110" w:type="dxa"/>
            <w:vAlign w:val="top"/>
          </w:tcPr>
          <w:p>
            <w:pPr>
              <w:pStyle w:val="108"/>
              <w:spacing w:before="36" w:line="226" w:lineRule="auto"/>
              <w:ind w:left="152"/>
              <w:jc w:val="center"/>
              <w:rPr>
                <w:color w:val="auto"/>
                <w:highlight w:val="none"/>
              </w:rPr>
            </w:pPr>
            <w:r>
              <w:rPr>
                <w:color w:val="auto"/>
                <w:spacing w:val="6"/>
                <w:highlight w:val="none"/>
              </w:rPr>
              <w:t>数量及单位①</w:t>
            </w:r>
          </w:p>
        </w:tc>
        <w:tc>
          <w:tcPr>
            <w:tcW w:w="1230" w:type="dxa"/>
            <w:vAlign w:val="top"/>
          </w:tcPr>
          <w:p>
            <w:pPr>
              <w:pStyle w:val="108"/>
              <w:tabs>
                <w:tab w:val="left" w:pos="840"/>
              </w:tabs>
              <w:spacing w:before="170" w:line="253" w:lineRule="auto"/>
              <w:ind w:right="242"/>
              <w:jc w:val="center"/>
              <w:rPr>
                <w:color w:val="auto"/>
                <w:highlight w:val="none"/>
              </w:rPr>
            </w:pPr>
            <w:r>
              <w:rPr>
                <w:color w:val="auto"/>
                <w:spacing w:val="5"/>
                <w:highlight w:val="none"/>
              </w:rPr>
              <w:t>单价(元)</w:t>
            </w:r>
            <w:r>
              <w:rPr>
                <w:color w:val="auto"/>
                <w:spacing w:val="3"/>
                <w:highlight w:val="none"/>
              </w:rPr>
              <w:t xml:space="preserve"> </w:t>
            </w:r>
            <w:r>
              <w:rPr>
                <w:color w:val="auto"/>
                <w:spacing w:val="2"/>
                <w:highlight w:val="none"/>
              </w:rPr>
              <w:t>②</w:t>
            </w:r>
          </w:p>
        </w:tc>
        <w:tc>
          <w:tcPr>
            <w:tcW w:w="1590" w:type="dxa"/>
            <w:vAlign w:val="top"/>
          </w:tcPr>
          <w:p>
            <w:pPr>
              <w:pStyle w:val="108"/>
              <w:spacing w:before="171" w:line="228" w:lineRule="auto"/>
              <w:jc w:val="center"/>
              <w:rPr>
                <w:color w:val="auto"/>
                <w:highlight w:val="none"/>
              </w:rPr>
            </w:pPr>
            <w:r>
              <w:rPr>
                <w:color w:val="auto"/>
                <w:spacing w:val="6"/>
                <w:highlight w:val="none"/>
              </w:rPr>
              <w:t>单项合计（元）</w:t>
            </w:r>
            <w:r>
              <w:rPr>
                <w:color w:val="auto"/>
                <w:spacing w:val="15"/>
                <w:highlight w:val="none"/>
              </w:rPr>
              <w:t>③</w:t>
            </w:r>
            <w:r>
              <w:rPr>
                <w:color w:val="auto"/>
                <w:spacing w:val="-70"/>
                <w:highlight w:val="none"/>
              </w:rPr>
              <w:t xml:space="preserve"> </w:t>
            </w:r>
            <w:r>
              <w:rPr>
                <w:color w:val="auto"/>
                <w:spacing w:val="15"/>
                <w:highlight w:val="none"/>
              </w:rPr>
              <w:t>=</w:t>
            </w:r>
            <w:r>
              <w:rPr>
                <w:color w:val="auto"/>
                <w:spacing w:val="-64"/>
                <w:highlight w:val="none"/>
              </w:rPr>
              <w:t xml:space="preserve"> </w:t>
            </w:r>
            <w:r>
              <w:rPr>
                <w:color w:val="auto"/>
                <w:spacing w:val="15"/>
                <w:highlight w:val="none"/>
              </w:rPr>
              <w:t>①×②</w:t>
            </w:r>
          </w:p>
        </w:tc>
        <w:tc>
          <w:tcPr>
            <w:tcW w:w="720" w:type="dxa"/>
            <w:vAlign w:val="top"/>
          </w:tcPr>
          <w:p>
            <w:pPr>
              <w:spacing w:line="241" w:lineRule="auto"/>
              <w:rPr>
                <w:rFonts w:ascii="Arial"/>
                <w:color w:val="auto"/>
                <w:sz w:val="21"/>
                <w:highlight w:val="none"/>
              </w:rPr>
            </w:pPr>
          </w:p>
          <w:p>
            <w:pPr>
              <w:pStyle w:val="108"/>
              <w:spacing w:before="65" w:line="229" w:lineRule="auto"/>
              <w:jc w:val="center"/>
              <w:rPr>
                <w:color w:val="auto"/>
                <w:highlight w:val="none"/>
              </w:rPr>
            </w:pPr>
            <w:r>
              <w:rPr>
                <w:color w:val="auto"/>
                <w:spacing w:val="3"/>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23" w:type="dxa"/>
            <w:vAlign w:val="top"/>
          </w:tcPr>
          <w:p>
            <w:pPr>
              <w:pStyle w:val="108"/>
              <w:spacing w:before="122" w:line="270" w:lineRule="exact"/>
              <w:ind w:left="329"/>
              <w:rPr>
                <w:color w:val="auto"/>
                <w:highlight w:val="none"/>
              </w:rPr>
            </w:pPr>
            <w:r>
              <w:rPr>
                <w:color w:val="auto"/>
                <w:position w:val="1"/>
                <w:highlight w:val="none"/>
              </w:rPr>
              <w:t>1</w:t>
            </w:r>
          </w:p>
        </w:tc>
        <w:tc>
          <w:tcPr>
            <w:tcW w:w="1259" w:type="dxa"/>
            <w:vAlign w:val="top"/>
          </w:tcPr>
          <w:p>
            <w:pPr>
              <w:rPr>
                <w:rFonts w:ascii="Arial"/>
                <w:color w:val="auto"/>
                <w:sz w:val="21"/>
                <w:highlight w:val="none"/>
              </w:rPr>
            </w:pPr>
          </w:p>
        </w:tc>
        <w:tc>
          <w:tcPr>
            <w:tcW w:w="1250" w:type="dxa"/>
            <w:vAlign w:val="top"/>
          </w:tcPr>
          <w:p>
            <w:pPr>
              <w:rPr>
                <w:rFonts w:ascii="Arial"/>
                <w:color w:val="auto"/>
                <w:sz w:val="21"/>
                <w:highlight w:val="none"/>
              </w:rPr>
            </w:pPr>
          </w:p>
        </w:tc>
        <w:tc>
          <w:tcPr>
            <w:tcW w:w="1209" w:type="dxa"/>
            <w:vAlign w:val="top"/>
          </w:tcPr>
          <w:p>
            <w:pPr>
              <w:rPr>
                <w:rFonts w:ascii="Arial"/>
                <w:color w:val="auto"/>
                <w:sz w:val="21"/>
                <w:highlight w:val="none"/>
              </w:rPr>
            </w:pPr>
          </w:p>
        </w:tc>
        <w:tc>
          <w:tcPr>
            <w:tcW w:w="1110" w:type="dxa"/>
            <w:vAlign w:val="top"/>
          </w:tcPr>
          <w:p>
            <w:pPr>
              <w:rPr>
                <w:rFonts w:ascii="Arial"/>
                <w:color w:val="auto"/>
                <w:sz w:val="21"/>
                <w:highlight w:val="none"/>
              </w:rPr>
            </w:pPr>
          </w:p>
        </w:tc>
        <w:tc>
          <w:tcPr>
            <w:tcW w:w="1230" w:type="dxa"/>
            <w:vAlign w:val="top"/>
          </w:tcPr>
          <w:p>
            <w:pPr>
              <w:rPr>
                <w:rFonts w:ascii="Arial"/>
                <w:color w:val="auto"/>
                <w:sz w:val="21"/>
                <w:highlight w:val="none"/>
              </w:rPr>
            </w:pPr>
          </w:p>
        </w:tc>
        <w:tc>
          <w:tcPr>
            <w:tcW w:w="1590" w:type="dxa"/>
            <w:vAlign w:val="top"/>
          </w:tcPr>
          <w:p>
            <w:pPr>
              <w:rPr>
                <w:rFonts w:ascii="Arial"/>
                <w:color w:val="auto"/>
                <w:sz w:val="21"/>
                <w:highlight w:val="none"/>
              </w:rPr>
            </w:pPr>
          </w:p>
        </w:tc>
        <w:tc>
          <w:tcPr>
            <w:tcW w:w="7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3" w:type="dxa"/>
            <w:vAlign w:val="top"/>
          </w:tcPr>
          <w:p>
            <w:pPr>
              <w:pStyle w:val="108"/>
              <w:spacing w:before="126" w:line="270" w:lineRule="exact"/>
              <w:ind w:left="316"/>
              <w:rPr>
                <w:color w:val="auto"/>
                <w:highlight w:val="none"/>
              </w:rPr>
            </w:pPr>
            <w:r>
              <w:rPr>
                <w:color w:val="auto"/>
                <w:position w:val="1"/>
                <w:highlight w:val="none"/>
              </w:rPr>
              <w:t>2</w:t>
            </w:r>
          </w:p>
        </w:tc>
        <w:tc>
          <w:tcPr>
            <w:tcW w:w="1259" w:type="dxa"/>
            <w:vAlign w:val="top"/>
          </w:tcPr>
          <w:p>
            <w:pPr>
              <w:rPr>
                <w:rFonts w:ascii="Arial"/>
                <w:color w:val="auto"/>
                <w:sz w:val="21"/>
                <w:highlight w:val="none"/>
              </w:rPr>
            </w:pPr>
          </w:p>
        </w:tc>
        <w:tc>
          <w:tcPr>
            <w:tcW w:w="1250" w:type="dxa"/>
            <w:vAlign w:val="top"/>
          </w:tcPr>
          <w:p>
            <w:pPr>
              <w:rPr>
                <w:rFonts w:ascii="Arial"/>
                <w:color w:val="auto"/>
                <w:sz w:val="21"/>
                <w:highlight w:val="none"/>
              </w:rPr>
            </w:pPr>
          </w:p>
        </w:tc>
        <w:tc>
          <w:tcPr>
            <w:tcW w:w="1209" w:type="dxa"/>
            <w:vAlign w:val="top"/>
          </w:tcPr>
          <w:p>
            <w:pPr>
              <w:rPr>
                <w:rFonts w:ascii="Arial"/>
                <w:color w:val="auto"/>
                <w:sz w:val="21"/>
                <w:highlight w:val="none"/>
              </w:rPr>
            </w:pPr>
          </w:p>
        </w:tc>
        <w:tc>
          <w:tcPr>
            <w:tcW w:w="1110" w:type="dxa"/>
            <w:vAlign w:val="top"/>
          </w:tcPr>
          <w:p>
            <w:pPr>
              <w:rPr>
                <w:rFonts w:ascii="Arial"/>
                <w:color w:val="auto"/>
                <w:sz w:val="21"/>
                <w:highlight w:val="none"/>
              </w:rPr>
            </w:pPr>
          </w:p>
        </w:tc>
        <w:tc>
          <w:tcPr>
            <w:tcW w:w="1230" w:type="dxa"/>
            <w:vAlign w:val="top"/>
          </w:tcPr>
          <w:p>
            <w:pPr>
              <w:rPr>
                <w:rFonts w:ascii="Arial"/>
                <w:color w:val="auto"/>
                <w:sz w:val="21"/>
                <w:highlight w:val="none"/>
              </w:rPr>
            </w:pPr>
          </w:p>
        </w:tc>
        <w:tc>
          <w:tcPr>
            <w:tcW w:w="1590" w:type="dxa"/>
            <w:vAlign w:val="top"/>
          </w:tcPr>
          <w:p>
            <w:pPr>
              <w:rPr>
                <w:rFonts w:ascii="Arial"/>
                <w:color w:val="auto"/>
                <w:sz w:val="21"/>
                <w:highlight w:val="none"/>
              </w:rPr>
            </w:pPr>
          </w:p>
        </w:tc>
        <w:tc>
          <w:tcPr>
            <w:tcW w:w="7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723" w:type="dxa"/>
            <w:vAlign w:val="top"/>
          </w:tcPr>
          <w:p>
            <w:pPr>
              <w:pStyle w:val="108"/>
              <w:spacing w:before="304" w:line="84" w:lineRule="exact"/>
              <w:ind w:left="216"/>
              <w:rPr>
                <w:color w:val="auto"/>
                <w:highlight w:val="none"/>
              </w:rPr>
            </w:pPr>
            <w:r>
              <w:rPr>
                <w:color w:val="auto"/>
                <w:spacing w:val="3"/>
                <w:position w:val="1"/>
                <w:highlight w:val="none"/>
              </w:rPr>
              <w:t>...</w:t>
            </w:r>
          </w:p>
        </w:tc>
        <w:tc>
          <w:tcPr>
            <w:tcW w:w="1259" w:type="dxa"/>
            <w:vAlign w:val="top"/>
          </w:tcPr>
          <w:p>
            <w:pPr>
              <w:rPr>
                <w:rFonts w:ascii="Arial"/>
                <w:color w:val="auto"/>
                <w:sz w:val="21"/>
                <w:highlight w:val="none"/>
              </w:rPr>
            </w:pPr>
          </w:p>
        </w:tc>
        <w:tc>
          <w:tcPr>
            <w:tcW w:w="1250" w:type="dxa"/>
            <w:vAlign w:val="top"/>
          </w:tcPr>
          <w:p>
            <w:pPr>
              <w:rPr>
                <w:rFonts w:ascii="Arial"/>
                <w:color w:val="auto"/>
                <w:sz w:val="21"/>
                <w:highlight w:val="none"/>
              </w:rPr>
            </w:pPr>
          </w:p>
        </w:tc>
        <w:tc>
          <w:tcPr>
            <w:tcW w:w="1209" w:type="dxa"/>
            <w:vAlign w:val="top"/>
          </w:tcPr>
          <w:p>
            <w:pPr>
              <w:rPr>
                <w:rFonts w:ascii="Arial"/>
                <w:color w:val="auto"/>
                <w:sz w:val="21"/>
                <w:highlight w:val="none"/>
              </w:rPr>
            </w:pPr>
          </w:p>
        </w:tc>
        <w:tc>
          <w:tcPr>
            <w:tcW w:w="1110" w:type="dxa"/>
            <w:vAlign w:val="top"/>
          </w:tcPr>
          <w:p>
            <w:pPr>
              <w:rPr>
                <w:rFonts w:ascii="Arial"/>
                <w:color w:val="auto"/>
                <w:sz w:val="21"/>
                <w:highlight w:val="none"/>
              </w:rPr>
            </w:pPr>
          </w:p>
        </w:tc>
        <w:tc>
          <w:tcPr>
            <w:tcW w:w="1230" w:type="dxa"/>
            <w:vAlign w:val="top"/>
          </w:tcPr>
          <w:p>
            <w:pPr>
              <w:rPr>
                <w:rFonts w:ascii="Arial"/>
                <w:color w:val="auto"/>
                <w:sz w:val="21"/>
                <w:highlight w:val="none"/>
              </w:rPr>
            </w:pPr>
          </w:p>
        </w:tc>
        <w:tc>
          <w:tcPr>
            <w:tcW w:w="1590" w:type="dxa"/>
            <w:vAlign w:val="top"/>
          </w:tcPr>
          <w:p>
            <w:pPr>
              <w:rPr>
                <w:rFonts w:ascii="Arial"/>
                <w:color w:val="auto"/>
                <w:sz w:val="21"/>
                <w:highlight w:val="none"/>
              </w:rPr>
            </w:pPr>
          </w:p>
        </w:tc>
        <w:tc>
          <w:tcPr>
            <w:tcW w:w="720" w:type="dxa"/>
            <w:vAlign w:val="top"/>
          </w:tcPr>
          <w:p>
            <w:pPr>
              <w:rPr>
                <w:rFonts w:ascii="Arial"/>
                <w:color w:val="auto"/>
                <w:sz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091" w:type="dxa"/>
            <w:gridSpan w:val="8"/>
            <w:vAlign w:val="top"/>
          </w:tcPr>
          <w:p>
            <w:pPr>
              <w:pStyle w:val="108"/>
              <w:spacing w:before="73" w:line="213" w:lineRule="auto"/>
              <w:ind w:left="120" w:right="110" w:hanging="3"/>
              <w:rPr>
                <w:color w:val="auto"/>
                <w:highlight w:val="none"/>
              </w:rPr>
            </w:pPr>
            <w:r>
              <w:rPr>
                <w:rFonts w:hint="eastAsia" w:ascii="宋体" w:hAnsi="宋体" w:cs="宋体"/>
                <w:color w:val="auto"/>
                <w:szCs w:val="21"/>
                <w:highlight w:val="none"/>
              </w:rPr>
              <w:t>合计金额</w:t>
            </w:r>
            <w:r>
              <w:rPr>
                <w:color w:val="auto"/>
                <w:spacing w:val="-25"/>
                <w:highlight w:val="none"/>
              </w:rPr>
              <w:t>（</w:t>
            </w:r>
            <w:r>
              <w:rPr>
                <w:color w:val="auto"/>
                <w:spacing w:val="9"/>
                <w:highlight w:val="none"/>
              </w:rPr>
              <w:t>包含税费等所有费用</w:t>
            </w:r>
            <w:r>
              <w:rPr>
                <w:color w:val="auto"/>
                <w:spacing w:val="-25"/>
                <w:highlight w:val="none"/>
              </w:rPr>
              <w:t>）：</w:t>
            </w:r>
            <w:r>
              <w:rPr>
                <w:color w:val="auto"/>
                <w:spacing w:val="-25"/>
                <w:highlight w:val="none"/>
                <w:u w:val="single" w:color="auto"/>
              </w:rPr>
              <w:t>（</w:t>
            </w:r>
            <w:r>
              <w:rPr>
                <w:color w:val="auto"/>
                <w:spacing w:val="9"/>
                <w:highlight w:val="none"/>
                <w:u w:val="single" w:color="auto"/>
              </w:rPr>
              <w:t>大写）</w:t>
            </w:r>
            <w:r>
              <w:rPr>
                <w:color w:val="auto"/>
                <w:spacing w:val="7"/>
                <w:highlight w:val="none"/>
              </w:rPr>
              <w:t>人民币</w:t>
            </w:r>
            <w:r>
              <w:rPr>
                <w:color w:val="auto"/>
                <w:spacing w:val="7"/>
                <w:highlight w:val="none"/>
                <w:u w:val="single" w:color="auto"/>
              </w:rPr>
              <w:t xml:space="preserve">            (</w:t>
            </w:r>
            <w:r>
              <w:rPr>
                <w:color w:val="auto"/>
                <w:spacing w:val="-18"/>
                <w:highlight w:val="none"/>
                <w:u w:val="single" w:color="auto"/>
              </w:rPr>
              <w:t xml:space="preserve"> </w:t>
            </w:r>
            <w:r>
              <w:rPr>
                <w:rFonts w:ascii="Arial" w:hAnsi="Arial" w:eastAsia="Arial" w:cs="Arial"/>
                <w:color w:val="auto"/>
                <w:spacing w:val="7"/>
                <w:highlight w:val="none"/>
                <w:u w:val="single" w:color="auto"/>
              </w:rPr>
              <w:t xml:space="preserve">¥        </w:t>
            </w:r>
            <w:r>
              <w:rPr>
                <w:rFonts w:ascii="Arial" w:hAnsi="Arial" w:eastAsia="Arial" w:cs="Arial"/>
                <w:color w:val="auto"/>
                <w:spacing w:val="6"/>
                <w:highlight w:val="none"/>
                <w:u w:val="single" w:color="auto"/>
              </w:rPr>
              <w:t xml:space="preserve">  </w:t>
            </w:r>
            <w:r>
              <w:rPr>
                <w:rFonts w:ascii="Arial" w:hAnsi="Arial" w:eastAsia="Arial" w:cs="Arial"/>
                <w:color w:val="auto"/>
                <w:spacing w:val="-46"/>
                <w:highlight w:val="none"/>
              </w:rPr>
              <w:t xml:space="preserve"> </w:t>
            </w:r>
            <w:r>
              <w:rPr>
                <w:color w:val="auto"/>
                <w:spacing w:val="6"/>
                <w:highlight w:val="none"/>
              </w:rPr>
              <w:t>元）。</w:t>
            </w:r>
          </w:p>
        </w:tc>
      </w:tr>
    </w:tbl>
    <w:p>
      <w:pPr>
        <w:numPr>
          <w:ilvl w:val="0"/>
          <w:numId w:val="0"/>
        </w:numPr>
        <w:snapToGrid w:val="0"/>
        <w:spacing w:line="360" w:lineRule="exact"/>
        <w:rPr>
          <w:rFonts w:hint="eastAsia" w:ascii="宋体" w:hAnsi="宋体" w:cs="Arial"/>
          <w:color w:val="auto"/>
          <w:szCs w:val="21"/>
          <w:highlight w:val="none"/>
        </w:rPr>
      </w:pP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2</w:t>
      </w:r>
      <w:r>
        <w:rPr>
          <w:rFonts w:ascii="宋体" w:cs="宋体"/>
          <w:color w:val="auto"/>
          <w:szCs w:val="21"/>
          <w:highlight w:val="none"/>
        </w:rPr>
        <w:t>.</w:t>
      </w:r>
      <w:r>
        <w:rPr>
          <w:rFonts w:hint="eastAsia" w:ascii="宋体" w:hAnsi="宋体" w:cs="宋体"/>
          <w:color w:val="auto"/>
          <w:szCs w:val="21"/>
          <w:highlight w:val="none"/>
        </w:rPr>
        <w:t>合同合计金额包括但不限于：货物的价格、货物的标准附件、备品备件、专用工具的价格；运输、装卸、安装、调试、验收、培训、技术支持、售后服务、更新升级、必要的保险费、税费等所有为完成本项目相关的费用。如谈判文件、响应文件对其另有规定的，从其规定。</w:t>
      </w:r>
    </w:p>
    <w:p>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第二条　质量保证</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ascii="宋体" w:cs="宋体"/>
          <w:color w:val="auto"/>
          <w:szCs w:val="21"/>
          <w:highlight w:val="none"/>
        </w:rPr>
        <w:t>.</w:t>
      </w:r>
      <w:r>
        <w:rPr>
          <w:rFonts w:hint="eastAsia" w:ascii="宋体" w:hAnsi="宋体" w:cs="宋体"/>
          <w:color w:val="auto"/>
          <w:szCs w:val="21"/>
          <w:highlight w:val="none"/>
        </w:rPr>
        <w:t>乙方所提供的货物型号、技术规格、技术参数等质量必须与谈判文件、响应文件和承诺相一致。</w:t>
      </w:r>
    </w:p>
    <w:p>
      <w:pPr>
        <w:snapToGrid w:val="0"/>
        <w:spacing w:line="400" w:lineRule="exact"/>
        <w:ind w:firstLine="420" w:firstLineChars="200"/>
        <w:rPr>
          <w:rFonts w:ascii="宋体" w:cs="宋体"/>
          <w:color w:val="auto"/>
          <w:szCs w:val="21"/>
          <w:highlight w:val="none"/>
        </w:rPr>
      </w:pPr>
      <w:r>
        <w:rPr>
          <w:rFonts w:ascii="宋体" w:hAnsi="宋体" w:cs="宋体"/>
          <w:color w:val="auto"/>
          <w:szCs w:val="21"/>
          <w:highlight w:val="none"/>
        </w:rPr>
        <w:t>2</w:t>
      </w:r>
      <w:r>
        <w:rPr>
          <w:rFonts w:ascii="宋体" w:cs="宋体"/>
          <w:color w:val="auto"/>
          <w:szCs w:val="21"/>
          <w:highlight w:val="none"/>
        </w:rPr>
        <w:t>.</w:t>
      </w:r>
      <w:r>
        <w:rPr>
          <w:rFonts w:hint="eastAsia" w:ascii="宋体" w:hAnsi="宋体" w:cs="宋体"/>
          <w:color w:val="auto"/>
          <w:szCs w:val="21"/>
          <w:highlight w:val="none"/>
        </w:rPr>
        <w:t>乙方所提供的货物必须是全新、未经使用的原装产品，且在正常安装、使用和保养条件下，其使用寿命期内各项指标均达到质量要求。</w:t>
      </w:r>
    </w:p>
    <w:p>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第三条　权利保证</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乙方应保证所提供货物在使用时不会侵犯任何第三方的专利权、商标权、工业设计权或其他权利。</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乙方应按谈判文件规定的时间或响应文件承诺的时间向甲方提供使用货物的有关技术资料。</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乙方保证所交付的货物的所有权完全属于乙方且无任何抵押、质押、查封等产权瑕疵。</w:t>
      </w:r>
    </w:p>
    <w:p>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第四条　包装和运输</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乙方提供的货物均应按谈判文件、响应文件要求的包装材料、包装标准、包装方式进行包装，每一包装单元内应附详细的装箱单清单、质量合格证、</w:t>
      </w:r>
      <w:r>
        <w:rPr>
          <w:rFonts w:hint="eastAsia" w:ascii="宋体" w:hAnsi="宋体"/>
          <w:color w:val="auto"/>
          <w:szCs w:val="20"/>
          <w:highlight w:val="none"/>
        </w:rPr>
        <w:t>使用说明书、质量检验证明书、随配附件和工具</w:t>
      </w:r>
      <w:r>
        <w:rPr>
          <w:rFonts w:hint="eastAsia" w:ascii="宋体" w:hAnsi="宋体" w:cs="宋体"/>
          <w:color w:val="auto"/>
          <w:szCs w:val="21"/>
          <w:highlight w:val="none"/>
        </w:rPr>
        <w:t>。</w:t>
      </w:r>
    </w:p>
    <w:p>
      <w:pPr>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乙方负责货物运输，货物的运输方式：</w:t>
      </w:r>
      <w:r>
        <w:rPr>
          <w:rFonts w:hint="eastAsia" w:ascii="宋体" w:hAnsi="宋体" w:cs="宋体"/>
          <w:color w:val="auto"/>
          <w:szCs w:val="21"/>
          <w:highlight w:val="none"/>
          <w:u w:val="single"/>
        </w:rPr>
        <w:t>乙方自定</w:t>
      </w:r>
      <w:r>
        <w:rPr>
          <w:rFonts w:hint="eastAsia" w:ascii="宋体" w:hAnsi="宋体" w:cs="宋体"/>
          <w:color w:val="auto"/>
          <w:szCs w:val="21"/>
          <w:highlight w:val="none"/>
        </w:rPr>
        <w:t>，货物运输合理损耗及计算方法：</w:t>
      </w:r>
      <w:r>
        <w:rPr>
          <w:rFonts w:hint="eastAsia" w:ascii="宋体" w:hAnsi="宋体" w:cs="宋体"/>
          <w:color w:val="auto"/>
          <w:szCs w:val="21"/>
          <w:highlight w:val="none"/>
          <w:u w:val="single"/>
        </w:rPr>
        <w:t>本项目合同不接受损耗。</w:t>
      </w:r>
    </w:p>
    <w:p>
      <w:pPr>
        <w:snapToGrid w:val="0"/>
        <w:spacing w:line="420" w:lineRule="exact"/>
        <w:ind w:firstLine="420" w:firstLineChars="200"/>
        <w:rPr>
          <w:rFonts w:ascii="宋体"/>
          <w:color w:val="auto"/>
          <w:szCs w:val="20"/>
          <w:highlight w:val="none"/>
        </w:rPr>
      </w:pPr>
      <w:r>
        <w:rPr>
          <w:rFonts w:hint="eastAsia" w:ascii="宋体" w:hAnsi="宋体"/>
          <w:color w:val="auto"/>
          <w:szCs w:val="20"/>
          <w:highlight w:val="none"/>
        </w:rPr>
        <w:t>3</w:t>
      </w:r>
      <w:r>
        <w:rPr>
          <w:rFonts w:ascii="宋体" w:hAnsi="宋体"/>
          <w:color w:val="auto"/>
          <w:szCs w:val="20"/>
          <w:highlight w:val="none"/>
        </w:rPr>
        <w:t>.</w:t>
      </w:r>
      <w:r>
        <w:rPr>
          <w:rFonts w:hint="eastAsia" w:ascii="宋体" w:hAnsi="宋体"/>
          <w:color w:val="auto"/>
          <w:szCs w:val="20"/>
          <w:highlight w:val="none"/>
        </w:rPr>
        <w:t>乙方应在货物发运前对其进行满足运输距离、防潮、防震、防锈和防破损装卸等要求包装，以保证货物安全运达甲方指定地点。</w:t>
      </w:r>
    </w:p>
    <w:p>
      <w:pPr>
        <w:snapToGrid w:val="0"/>
        <w:spacing w:line="420" w:lineRule="exact"/>
        <w:ind w:firstLine="420" w:firstLineChars="200"/>
        <w:rPr>
          <w:rFonts w:ascii="宋体"/>
          <w:color w:val="auto"/>
          <w:szCs w:val="20"/>
          <w:highlight w:val="none"/>
        </w:rPr>
      </w:pPr>
      <w:r>
        <w:rPr>
          <w:rFonts w:hint="eastAsia" w:ascii="宋体" w:hAnsi="宋体"/>
          <w:color w:val="auto"/>
          <w:szCs w:val="20"/>
          <w:highlight w:val="none"/>
        </w:rPr>
        <w:t>4</w:t>
      </w:r>
      <w:r>
        <w:rPr>
          <w:rFonts w:ascii="宋体" w:hAnsi="宋体"/>
          <w:color w:val="auto"/>
          <w:szCs w:val="20"/>
          <w:highlight w:val="none"/>
        </w:rPr>
        <w:t>.</w:t>
      </w:r>
      <w:r>
        <w:rPr>
          <w:rFonts w:hint="eastAsia" w:ascii="宋体" w:hAnsi="宋体"/>
          <w:color w:val="auto"/>
          <w:szCs w:val="20"/>
          <w:highlight w:val="none"/>
        </w:rPr>
        <w:t>乙方在货物发运手续办理完毕后二十四小时内或货到甲方四十八小时前通知甲方，以准备接货。</w:t>
      </w:r>
    </w:p>
    <w:p>
      <w:pPr>
        <w:snapToGrid w:val="0"/>
        <w:spacing w:line="420" w:lineRule="exact"/>
        <w:ind w:firstLine="420" w:firstLineChars="200"/>
        <w:rPr>
          <w:rFonts w:hint="eastAsia" w:ascii="宋体" w:hAnsi="宋体"/>
          <w:color w:val="auto"/>
          <w:szCs w:val="20"/>
          <w:highlight w:val="none"/>
        </w:rPr>
      </w:pPr>
      <w:r>
        <w:rPr>
          <w:rFonts w:hint="eastAsia" w:ascii="宋体" w:hAnsi="宋体"/>
          <w:color w:val="auto"/>
          <w:szCs w:val="20"/>
          <w:highlight w:val="none"/>
        </w:rPr>
        <w:t>5.货物在交付甲方前发生的风险均由乙方负责。</w:t>
      </w:r>
    </w:p>
    <w:p>
      <w:pPr>
        <w:snapToGrid w:val="0"/>
        <w:spacing w:line="420" w:lineRule="exact"/>
        <w:ind w:firstLine="420" w:firstLineChars="200"/>
        <w:rPr>
          <w:rFonts w:ascii="宋体"/>
          <w:color w:val="auto"/>
          <w:spacing w:val="-8"/>
          <w:szCs w:val="20"/>
          <w:highlight w:val="none"/>
        </w:rPr>
      </w:pPr>
      <w:r>
        <w:rPr>
          <w:rFonts w:hint="eastAsia" w:ascii="宋体" w:hAnsi="宋体"/>
          <w:color w:val="auto"/>
          <w:szCs w:val="20"/>
          <w:highlight w:val="none"/>
        </w:rPr>
        <w:t>6.货物在规定的交付期限内由乙方送达甲方指定的地点视为交付，乙方同时需通知甲方货物已送达。</w:t>
      </w:r>
    </w:p>
    <w:p>
      <w:pPr>
        <w:snapToGrid w:val="0"/>
        <w:spacing w:line="400" w:lineRule="exact"/>
        <w:ind w:firstLine="422" w:firstLineChars="200"/>
        <w:rPr>
          <w:rFonts w:ascii="宋体"/>
          <w:color w:val="auto"/>
          <w:szCs w:val="21"/>
          <w:highlight w:val="none"/>
        </w:rPr>
      </w:pPr>
      <w:r>
        <w:rPr>
          <w:rFonts w:hint="eastAsia" w:ascii="宋体" w:hAnsi="宋体" w:cs="宋体"/>
          <w:b/>
          <w:bCs/>
          <w:color w:val="auto"/>
          <w:szCs w:val="21"/>
          <w:highlight w:val="none"/>
        </w:rPr>
        <w:t>第五条　交付和验收</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交付使用时间：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olor w:val="auto"/>
          <w:szCs w:val="20"/>
          <w:highlight w:val="none"/>
        </w:rPr>
        <w:t>2</w:t>
      </w:r>
      <w:r>
        <w:rPr>
          <w:rFonts w:ascii="宋体" w:hAnsi="宋体"/>
          <w:color w:val="auto"/>
          <w:szCs w:val="20"/>
          <w:highlight w:val="none"/>
        </w:rPr>
        <w:t>.</w:t>
      </w:r>
      <w:r>
        <w:rPr>
          <w:rFonts w:hint="eastAsia" w:ascii="宋体" w:hAnsi="宋体"/>
          <w:color w:val="auto"/>
          <w:szCs w:val="20"/>
          <w:highlight w:val="none"/>
        </w:rPr>
        <w:t>甲方对乙方提交的货物依据谈判文件上的技术规格要求和国家有关质量标准进行现场初步验收，外观、说明书符合谈判文件技术要求的，给予签收，初步验收不合格的不予签收。</w:t>
      </w:r>
    </w:p>
    <w:p>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乙方提供不符合谈判文件、响应文件和本合同规定的货物，甲方有权拒绝接受。</w:t>
      </w:r>
    </w:p>
    <w:p>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乙方应将所提供货物的装箱清单、用户手册、原厂保修卡、随机资料、工具和备品、备件等交付给甲方，</w:t>
      </w:r>
      <w:r>
        <w:rPr>
          <w:rFonts w:hint="eastAsia" w:ascii="宋体" w:hAnsi="宋体"/>
          <w:color w:val="auto"/>
          <w:szCs w:val="20"/>
          <w:highlight w:val="none"/>
        </w:rPr>
        <w:t>作为甲方收货验收和使用的技术条件依据，检验的结果应随货物交甲方。</w:t>
      </w:r>
      <w:r>
        <w:rPr>
          <w:rFonts w:hint="eastAsia" w:ascii="宋体" w:hAnsi="宋体" w:cs="宋体"/>
          <w:color w:val="auto"/>
          <w:szCs w:val="21"/>
          <w:highlight w:val="none"/>
        </w:rPr>
        <w:t>如有缺失应及时补齐，否则视为逾期交货。</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乙方应当在到货（安装、调试完）后，以书面形式向甲方提出验收，甲方应在七个工作日内进行验收，逾期不验收的，乙方可视同验收合格。验收合格后由甲乙双方签署货物验收单并加盖甲方公章，甲乙双方各执一份。</w:t>
      </w:r>
    </w:p>
    <w:p>
      <w:pPr>
        <w:snapToGrid w:val="0"/>
        <w:spacing w:line="420" w:lineRule="exact"/>
        <w:ind w:firstLine="420" w:firstLineChars="200"/>
        <w:rPr>
          <w:rFonts w:ascii="宋体"/>
          <w:color w:val="auto"/>
          <w:szCs w:val="20"/>
          <w:highlight w:val="none"/>
          <w:u w:val="single"/>
        </w:rPr>
      </w:pPr>
      <w:r>
        <w:rPr>
          <w:rFonts w:hint="eastAsia" w:ascii="宋体" w:hAnsi="宋体"/>
          <w:color w:val="auto"/>
          <w:szCs w:val="20"/>
          <w:highlight w:val="none"/>
        </w:rPr>
        <w:t>6</w:t>
      </w:r>
      <w:r>
        <w:rPr>
          <w:rFonts w:ascii="宋体" w:hAnsi="宋体"/>
          <w:color w:val="auto"/>
          <w:szCs w:val="20"/>
          <w:highlight w:val="none"/>
        </w:rPr>
        <w:t>.</w:t>
      </w:r>
      <w:r>
        <w:rPr>
          <w:rFonts w:hint="eastAsia" w:ascii="宋体" w:hAnsi="宋体"/>
          <w:color w:val="auto"/>
          <w:szCs w:val="20"/>
          <w:highlight w:val="none"/>
        </w:rPr>
        <w:t>甲方对乙方提供的货物在使用前进行调试时，乙方需负责安装并培训甲方的使用操作人员，并协助甲方一起调试，直到符合技术要求，甲方才做最终验收。</w:t>
      </w:r>
    </w:p>
    <w:p>
      <w:pPr>
        <w:snapToGrid w:val="0"/>
        <w:spacing w:line="400" w:lineRule="exact"/>
        <w:ind w:firstLine="420" w:firstLineChars="200"/>
        <w:rPr>
          <w:rFonts w:hint="eastAsia" w:ascii="宋体" w:hAnsi="宋体"/>
          <w:color w:val="auto"/>
          <w:szCs w:val="20"/>
          <w:highlight w:val="none"/>
        </w:rPr>
      </w:pPr>
      <w:r>
        <w:rPr>
          <w:rFonts w:hint="eastAsia" w:ascii="宋体" w:hAnsi="宋体"/>
          <w:color w:val="auto"/>
          <w:szCs w:val="20"/>
          <w:highlight w:val="none"/>
        </w:rPr>
        <w:t>7</w:t>
      </w:r>
      <w:r>
        <w:rPr>
          <w:rFonts w:ascii="宋体" w:hAnsi="宋体"/>
          <w:color w:val="auto"/>
          <w:szCs w:val="20"/>
          <w:highlight w:val="none"/>
        </w:rPr>
        <w:t>.</w:t>
      </w:r>
      <w:r>
        <w:rPr>
          <w:rFonts w:hint="eastAsia" w:ascii="宋体" w:hAnsi="宋体"/>
          <w:color w:val="auto"/>
          <w:szCs w:val="20"/>
          <w:highlight w:val="none"/>
        </w:rPr>
        <w:t>对技术复杂的货物，甲方应请国家认可的专业检测机构参与初步验收及最终验收，并由其出具质量检测报告。</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olor w:val="auto"/>
          <w:szCs w:val="20"/>
          <w:highlight w:val="none"/>
        </w:rPr>
        <w:t>8</w:t>
      </w:r>
      <w:r>
        <w:rPr>
          <w:rFonts w:ascii="宋体" w:hAnsi="宋体"/>
          <w:color w:val="auto"/>
          <w:szCs w:val="20"/>
          <w:highlight w:val="none"/>
        </w:rPr>
        <w:t>.</w:t>
      </w:r>
      <w:r>
        <w:rPr>
          <w:rFonts w:hint="eastAsia" w:ascii="宋体" w:hAnsi="宋体"/>
          <w:color w:val="auto"/>
          <w:szCs w:val="20"/>
          <w:highlight w:val="none"/>
        </w:rPr>
        <w:t>验收时乙方必须在现场，验收完毕后作出验收结果报告；验收费用由乙方负责。</w:t>
      </w:r>
    </w:p>
    <w:p>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9</w:t>
      </w:r>
      <w:r>
        <w:rPr>
          <w:rFonts w:ascii="宋体" w:hAnsi="宋体" w:cs="宋体"/>
          <w:color w:val="auto"/>
          <w:szCs w:val="21"/>
          <w:highlight w:val="none"/>
        </w:rPr>
        <w:t>.</w:t>
      </w:r>
      <w:r>
        <w:rPr>
          <w:rFonts w:hint="eastAsia" w:ascii="宋体" w:hAnsi="宋体" w:cs="宋体"/>
          <w:color w:val="auto"/>
          <w:szCs w:val="21"/>
          <w:highlight w:val="none"/>
        </w:rPr>
        <w:t>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w:t>
      </w:r>
      <w:r>
        <w:rPr>
          <w:rFonts w:ascii="宋体" w:hAnsi="宋体" w:cs="宋体"/>
          <w:color w:val="auto"/>
          <w:szCs w:val="21"/>
          <w:highlight w:val="none"/>
        </w:rPr>
        <w:t>.</w:t>
      </w:r>
      <w:r>
        <w:rPr>
          <w:rFonts w:hint="eastAsia" w:ascii="宋体" w:hAnsi="宋体" w:cs="宋体"/>
          <w:color w:val="auto"/>
          <w:szCs w:val="21"/>
          <w:highlight w:val="none"/>
        </w:rPr>
        <w:t>甲方对验收有异议的，在验收后五个工作日内以书面形式向乙方提出，乙方应自收到甲方书面异议后</w:t>
      </w:r>
      <w:r>
        <w:rPr>
          <w:rFonts w:ascii="宋体" w:hAnsi="宋体" w:cs="宋体"/>
          <w:color w:val="auto"/>
          <w:szCs w:val="21"/>
          <w:highlight w:val="none"/>
        </w:rPr>
        <w:t>7</w:t>
      </w:r>
      <w:r>
        <w:rPr>
          <w:rFonts w:hint="eastAsia" w:ascii="宋体" w:hAnsi="宋体" w:cs="宋体"/>
          <w:color w:val="auto"/>
          <w:szCs w:val="21"/>
          <w:highlight w:val="none"/>
        </w:rPr>
        <w:t>日内及时予以解决。</w:t>
      </w:r>
    </w:p>
    <w:p>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第六条　安装和培训</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甲方应提供必要安装条件（如场地、电源、水源等）。</w:t>
      </w:r>
    </w:p>
    <w:p>
      <w:pPr>
        <w:snapToGrid w:val="0"/>
        <w:spacing w:line="400" w:lineRule="exact"/>
        <w:ind w:firstLine="420" w:firstLineChars="200"/>
        <w:rPr>
          <w:rFonts w:ascii="宋体"/>
          <w:color w:val="auto"/>
          <w:szCs w:val="21"/>
          <w:highlight w:val="none"/>
          <w:u w:val="single"/>
        </w:rPr>
      </w:pPr>
      <w:r>
        <w:rPr>
          <w:rFonts w:ascii="宋体" w:hAnsi="宋体" w:cs="宋体"/>
          <w:color w:val="auto"/>
          <w:szCs w:val="21"/>
          <w:highlight w:val="none"/>
        </w:rPr>
        <w:t>2.</w:t>
      </w:r>
      <w:r>
        <w:rPr>
          <w:rFonts w:hint="eastAsia" w:ascii="宋体" w:hAnsi="宋体" w:cs="宋体"/>
          <w:color w:val="auto"/>
          <w:szCs w:val="21"/>
          <w:highlight w:val="none"/>
        </w:rPr>
        <w:t>乙方负责甲方有关人员的培训。培训时间、地点：</w:t>
      </w:r>
      <w:r>
        <w:rPr>
          <w:rFonts w:hint="eastAsia" w:ascii="宋体" w:hAnsi="宋体" w:cs="宋体"/>
          <w:color w:val="auto"/>
          <w:szCs w:val="21"/>
          <w:highlight w:val="none"/>
          <w:u w:val="single"/>
        </w:rPr>
        <w:t>按乙方响应文件承诺。</w:t>
      </w:r>
    </w:p>
    <w:p>
      <w:pPr>
        <w:snapToGrid w:val="0"/>
        <w:spacing w:line="40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第七条 售后服务、保修期</w:t>
      </w:r>
    </w:p>
    <w:p>
      <w:pPr>
        <w:snapToGrid w:val="0"/>
        <w:spacing w:line="40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乙方应按照国家有关法律法规和“三包”规定以及谈判文件、响应文件和本合同所附的《服务承诺》，为甲方提供售后服务。</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2.质保期及售后要求：乙方应按谈判文件规定及响应文件承诺的货物性能、技术要求、质量标准向甲方提供未经使用的全新产品。除采购项目需求一览表的“技术需求”中另有约定外，其余货物按国家有关产品“三包”规定执行“三包”，质保期自货物验收合格之日起计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年（若产品生产厂家质保期超过此年限的，合同履行过程中按厂家质保执行；若乙方质保期承诺优于产品生产厂家质保年限的，以乙方承诺执行）。</w:t>
      </w:r>
      <w:r>
        <w:rPr>
          <w:rFonts w:hint="eastAsia" w:ascii="宋体" w:hAnsi="宋体" w:cs="宋体"/>
          <w:color w:val="auto"/>
          <w:kern w:val="0"/>
          <w:szCs w:val="21"/>
          <w:highlight w:val="none"/>
        </w:rPr>
        <w:t>质保期到期前提供一次全部设备维护。</w:t>
      </w:r>
      <w:r>
        <w:rPr>
          <w:rFonts w:hint="eastAsia" w:ascii="宋体" w:hAnsi="宋体" w:cs="宋体"/>
          <w:color w:val="auto"/>
          <w:szCs w:val="21"/>
          <w:highlight w:val="none"/>
        </w:rPr>
        <w:t>设备须提供终身维护服务，质保期内非甲方人为损坏的维修所产生费用由乙方承担。</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3.在质量保证期内，在正常的操作下，出现的任何故障及损失，乙方负责维修。如因自然灾害或人为原因造成故障或损失的，乙方有偿维修，维修及更换配件，乙方承诺收费均按同期市场最优惠价格供应。</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4.提供安装调试、送货上门、为甲方培训2名以上使用及维护人员，培训目标应达到基本掌握全套设备的操作，培训地点：甲方所在地；</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5.故障响应时间：售后服务时间为7*24小时，提供服务热线电话。乙方接到甲方通知</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小时内做出响应，</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小时内到场。一般问题应在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小时内解决，重大问题或其它无法迅速解决的问题应在一周内解决。质量保证期内因设备性能故障检修三次仍不能正常使用的，乙方须负责更换新设备。</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6.质保期间负责维修更换配件、软件更新升级、系统维护、提供备用备件，遇到问题提供技术援助电话和解答。质保期满后，软件不升级不影响使用。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7.质保期满后仍需维护的，系统维护费用由乙方承担，提供终身维护服务和技术咨询服务，且以不高于提供上述售后服务时市场同类服务的最优惠价格提供维修和备件更换。</w:t>
      </w:r>
    </w:p>
    <w:p>
      <w:pPr>
        <w:snapToGrid w:val="0"/>
        <w:spacing w:line="400" w:lineRule="exact"/>
        <w:ind w:firstLine="422" w:firstLineChars="200"/>
        <w:rPr>
          <w:rFonts w:ascii="宋体"/>
          <w:color w:val="auto"/>
          <w:szCs w:val="21"/>
          <w:highlight w:val="none"/>
        </w:rPr>
      </w:pPr>
      <w:r>
        <w:rPr>
          <w:rFonts w:hint="eastAsia" w:ascii="宋体" w:hAnsi="宋体"/>
          <w:b/>
          <w:color w:val="auto"/>
          <w:szCs w:val="21"/>
          <w:highlight w:val="none"/>
        </w:rPr>
        <w:t>第八条　付款方式</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（1）设备到货后，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向</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发出请款函并开具相应价款的发票，</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收到合格发票后30个工作日内，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应向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支付合同总金额的50%；</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（2）全部设备完成安装、调试、使用培训，经最终验收合格后，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向</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发出请款函并开具合同总金额30%发票，</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收到合格发票后30个工作日内，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应向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支付合同总金额的30%；</w:t>
      </w:r>
    </w:p>
    <w:p>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（3）全部设备自最终验收合格之日起，正常使用满60天后，</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向</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发出请款函并开具合同总金额20%发票，</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收到合格发票后30个工作日内，</w:t>
      </w:r>
      <w:r>
        <w:rPr>
          <w:rFonts w:hint="eastAsia" w:ascii="宋体" w:hAnsi="宋体" w:cs="宋体"/>
          <w:color w:val="auto"/>
          <w:szCs w:val="21"/>
          <w:highlight w:val="none"/>
          <w:lang w:eastAsia="zh-CN"/>
        </w:rPr>
        <w:t>甲方</w:t>
      </w:r>
      <w:r>
        <w:rPr>
          <w:rFonts w:hint="eastAsia" w:ascii="宋体" w:hAnsi="宋体" w:cs="宋体"/>
          <w:color w:val="auto"/>
          <w:szCs w:val="21"/>
          <w:highlight w:val="none"/>
        </w:rPr>
        <w:t>向</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支付合同总金额的20%。</w:t>
      </w:r>
    </w:p>
    <w:p>
      <w:pPr>
        <w:snapToGrid w:val="0"/>
        <w:spacing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第九条　履约保证金</w:t>
      </w:r>
    </w:p>
    <w:p>
      <w:pPr>
        <w:snapToGrid w:val="0"/>
        <w:spacing w:line="400" w:lineRule="exact"/>
        <w:ind w:firstLine="420" w:firstLineChars="200"/>
        <w:rPr>
          <w:rFonts w:ascii="宋体"/>
          <w:color w:val="auto"/>
          <w:szCs w:val="21"/>
          <w:highlight w:val="none"/>
        </w:rPr>
      </w:pPr>
      <w:r>
        <w:rPr>
          <w:rFonts w:hint="eastAsia" w:ascii="宋体" w:hAnsi="宋体" w:cs="宋体"/>
          <w:color w:val="auto"/>
          <w:szCs w:val="21"/>
          <w:highlight w:val="none"/>
        </w:rPr>
        <w:t>本项目不收取履约保证金。</w:t>
      </w:r>
    </w:p>
    <w:p>
      <w:pPr>
        <w:snapToGrid w:val="0"/>
        <w:spacing w:line="42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第十条  税费</w:t>
      </w:r>
    </w:p>
    <w:p>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pPr>
        <w:snapToGrid w:val="0"/>
        <w:spacing w:line="42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第十一条　违约责任</w:t>
      </w:r>
    </w:p>
    <w:p>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．乙方所提供的货物规格、技术标准、材料等质量不合格的，应及时更换，更换不及时的按逾期交货处罚；因质量问题甲方不同意接收的或特殊情况甲方同意接收的，乙方应向甲方支付违约货款额</w:t>
      </w:r>
      <w:r>
        <w:rPr>
          <w:rFonts w:ascii="宋体" w:hAnsi="宋体" w:cs="宋体"/>
          <w:color w:val="auto"/>
          <w:szCs w:val="21"/>
          <w:highlight w:val="none"/>
          <w:u w:val="single"/>
        </w:rPr>
        <w:t>5%</w:t>
      </w:r>
      <w:r>
        <w:rPr>
          <w:rFonts w:hint="eastAsia" w:ascii="宋体" w:hAnsi="宋体" w:cs="宋体"/>
          <w:color w:val="auto"/>
          <w:szCs w:val="21"/>
          <w:highlight w:val="none"/>
        </w:rPr>
        <w:t>违约金并赔偿甲方经济损失。</w:t>
      </w:r>
    </w:p>
    <w:p>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．乙方提供的货物如侵犯了第三方合法权益而引发的任何纠纷或诉讼，均由乙方负责交涉并承担全部责任。</w:t>
      </w:r>
    </w:p>
    <w:p>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．因包装、运输引起的货物损坏，按质量不合格处罚。</w:t>
      </w:r>
    </w:p>
    <w:p>
      <w:pPr>
        <w:snapToGrid w:val="0"/>
        <w:spacing w:line="420" w:lineRule="exact"/>
        <w:ind w:firstLine="420" w:firstLineChars="200"/>
        <w:rPr>
          <w:rFonts w:ascii="宋体" w:hAnsi="Calibri"/>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．甲方无故延期接收货物、乙方逾期交货的，每天向对方偿付违约货款额</w:t>
      </w:r>
      <w:r>
        <w:rPr>
          <w:rFonts w:ascii="宋体" w:hAnsi="宋体"/>
          <w:color w:val="auto"/>
          <w:szCs w:val="21"/>
          <w:highlight w:val="none"/>
          <w:u w:val="single"/>
        </w:rPr>
        <w:t>3</w:t>
      </w:r>
      <w:r>
        <w:rPr>
          <w:rFonts w:hint="eastAsia" w:ascii="宋体" w:hAnsi="宋体"/>
          <w:color w:val="auto"/>
          <w:szCs w:val="21"/>
          <w:highlight w:val="none"/>
          <w:u w:val="single"/>
        </w:rPr>
        <w:t>‰</w:t>
      </w:r>
      <w:r>
        <w:rPr>
          <w:rFonts w:hint="eastAsia" w:ascii="宋体" w:hAnsi="宋体" w:cs="宋体"/>
          <w:color w:val="auto"/>
          <w:szCs w:val="21"/>
          <w:highlight w:val="none"/>
        </w:rPr>
        <w:t>违约金，但违约金累计不得超过违约货款额</w:t>
      </w:r>
      <w:r>
        <w:rPr>
          <w:rFonts w:ascii="宋体" w:hAnsi="宋体"/>
          <w:color w:val="auto"/>
          <w:szCs w:val="21"/>
          <w:highlight w:val="none"/>
          <w:u w:val="single"/>
        </w:rPr>
        <w:t>5%</w:t>
      </w:r>
      <w:r>
        <w:rPr>
          <w:rFonts w:hint="eastAsia" w:ascii="宋体" w:hAnsi="宋体" w:cs="宋体"/>
          <w:color w:val="auto"/>
          <w:szCs w:val="21"/>
          <w:highlight w:val="none"/>
        </w:rPr>
        <w:t>，超过</w:t>
      </w:r>
      <w:r>
        <w:rPr>
          <w:rFonts w:ascii="宋体" w:hAnsi="宋体"/>
          <w:color w:val="auto"/>
          <w:szCs w:val="21"/>
          <w:highlight w:val="none"/>
          <w:u w:val="single"/>
        </w:rPr>
        <w:t>15</w:t>
      </w:r>
      <w:r>
        <w:rPr>
          <w:rFonts w:hint="eastAsia" w:ascii="宋体" w:hAnsi="宋体" w:cs="宋体"/>
          <w:color w:val="auto"/>
          <w:szCs w:val="21"/>
          <w:highlight w:val="none"/>
        </w:rPr>
        <w:t>天对方有权解除合同，违约方承担因此给对方造成经济损失；甲方延期付货款的，每天向乙方偿付延期货款额</w:t>
      </w:r>
      <w:r>
        <w:rPr>
          <w:rFonts w:ascii="宋体" w:hAnsi="宋体"/>
          <w:color w:val="auto"/>
          <w:szCs w:val="21"/>
          <w:highlight w:val="none"/>
          <w:u w:val="single"/>
        </w:rPr>
        <w:t>3</w:t>
      </w:r>
      <w:r>
        <w:rPr>
          <w:rFonts w:hint="eastAsia" w:ascii="宋体" w:hAnsi="宋体"/>
          <w:color w:val="auto"/>
          <w:szCs w:val="21"/>
          <w:highlight w:val="none"/>
          <w:u w:val="single"/>
        </w:rPr>
        <w:t>‰</w:t>
      </w:r>
      <w:r>
        <w:rPr>
          <w:rFonts w:hint="eastAsia" w:ascii="宋体" w:hAnsi="宋体" w:cs="宋体"/>
          <w:color w:val="auto"/>
          <w:szCs w:val="21"/>
          <w:highlight w:val="none"/>
        </w:rPr>
        <w:t>滞纳金，但滞纳金累计不得超过延期货款额</w:t>
      </w:r>
      <w:r>
        <w:rPr>
          <w:rFonts w:ascii="宋体" w:hAnsi="宋体"/>
          <w:color w:val="auto"/>
          <w:szCs w:val="21"/>
          <w:highlight w:val="none"/>
          <w:u w:val="single"/>
        </w:rPr>
        <w:t>5%</w:t>
      </w:r>
      <w:r>
        <w:rPr>
          <w:rFonts w:hint="eastAsia" w:ascii="宋体" w:hAnsi="宋体" w:cs="宋体"/>
          <w:color w:val="auto"/>
          <w:szCs w:val="21"/>
          <w:highlight w:val="none"/>
        </w:rPr>
        <w:t>。若为甲方解除合同的，乙方应在合同解除之日起五日内全额无息退还甲方已付款项；若为乙方解除合同的，乙方有权收回已交付的货物，运费由乙方承担，应在合同解除之日起五日内全额无息退还甲方已付款项。</w:t>
      </w:r>
    </w:p>
    <w:p>
      <w:pPr>
        <w:snapToGrid w:val="0"/>
        <w:spacing w:line="420" w:lineRule="exact"/>
        <w:ind w:firstLine="420" w:firstLineChars="200"/>
        <w:rPr>
          <w:rFonts w:asci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．乙方未按本合同和响应文件中规定的服务承诺提供售后服务的，乙方应按本合同合计金额</w:t>
      </w:r>
      <w:r>
        <w:rPr>
          <w:rFonts w:ascii="宋体" w:hAnsi="宋体"/>
          <w:color w:val="auto"/>
          <w:szCs w:val="21"/>
          <w:highlight w:val="none"/>
          <w:u w:val="single"/>
        </w:rPr>
        <w:t xml:space="preserve"> 5%</w:t>
      </w:r>
      <w:r>
        <w:rPr>
          <w:rFonts w:hint="eastAsia" w:ascii="宋体" w:hAnsi="宋体" w:cs="宋体"/>
          <w:color w:val="auto"/>
          <w:szCs w:val="21"/>
          <w:highlight w:val="none"/>
        </w:rPr>
        <w:t>向甲方支付违约金。</w:t>
      </w:r>
    </w:p>
    <w:p>
      <w:pPr>
        <w:snapToGrid w:val="0"/>
        <w:spacing w:line="420" w:lineRule="exact"/>
        <w:ind w:firstLine="420" w:firstLineChars="200"/>
        <w:rPr>
          <w:rFonts w:asci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．乙方提供的货物在质量保证期内，因设计、工艺或材料的缺陷和其它质量原因造成的问题，由乙方负责。</w:t>
      </w:r>
    </w:p>
    <w:p>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．其它违约行为按违约货款额</w:t>
      </w:r>
      <w:r>
        <w:rPr>
          <w:rFonts w:ascii="宋体" w:hAnsi="宋体"/>
          <w:color w:val="auto"/>
          <w:szCs w:val="21"/>
          <w:highlight w:val="none"/>
          <w:u w:val="single"/>
        </w:rPr>
        <w:t>5%</w:t>
      </w:r>
      <w:r>
        <w:rPr>
          <w:rFonts w:hint="eastAsia" w:ascii="宋体" w:hAnsi="宋体" w:cs="宋体"/>
          <w:color w:val="auto"/>
          <w:szCs w:val="21"/>
          <w:highlight w:val="none"/>
        </w:rPr>
        <w:t>收取违约金并赔偿经济损失。</w:t>
      </w:r>
    </w:p>
    <w:p>
      <w:pPr>
        <w:snapToGrid w:val="0"/>
        <w:spacing w:line="420" w:lineRule="exact"/>
        <w:ind w:firstLine="422" w:firstLineChars="200"/>
        <w:rPr>
          <w:rFonts w:ascii="宋体"/>
          <w:b/>
          <w:bCs/>
          <w:color w:val="auto"/>
          <w:szCs w:val="20"/>
          <w:highlight w:val="none"/>
        </w:rPr>
      </w:pPr>
      <w:r>
        <w:rPr>
          <w:rFonts w:hint="eastAsia" w:ascii="宋体" w:hAnsi="宋体"/>
          <w:b/>
          <w:bCs/>
          <w:color w:val="auto"/>
          <w:szCs w:val="20"/>
          <w:highlight w:val="none"/>
        </w:rPr>
        <w:t>第十二条</w:t>
      </w:r>
      <w:r>
        <w:rPr>
          <w:rFonts w:hint="eastAsia" w:ascii="宋体" w:hAnsi="宋体"/>
          <w:b/>
          <w:color w:val="auto"/>
          <w:szCs w:val="20"/>
          <w:highlight w:val="none"/>
        </w:rPr>
        <w:t>　</w:t>
      </w:r>
      <w:r>
        <w:rPr>
          <w:rFonts w:hint="eastAsia" w:ascii="宋体" w:hAnsi="宋体"/>
          <w:b/>
          <w:bCs/>
          <w:color w:val="auto"/>
          <w:szCs w:val="20"/>
          <w:highlight w:val="none"/>
        </w:rPr>
        <w:t>不可抗力事件处理</w:t>
      </w:r>
    </w:p>
    <w:p>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1. </w:t>
      </w:r>
      <w:r>
        <w:rPr>
          <w:rFonts w:hint="eastAsia" w:ascii="宋体" w:hAnsi="宋体"/>
          <w:color w:val="auto"/>
          <w:szCs w:val="20"/>
          <w:highlight w:val="none"/>
        </w:rPr>
        <w:t>在合同有效期内，任何一方因不可抗力事件导致不能履行合同，则合同履行期可延长，其延长期与不可抗力影响期相同。</w:t>
      </w:r>
    </w:p>
    <w:p>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2. </w:t>
      </w:r>
      <w:r>
        <w:rPr>
          <w:rFonts w:hint="eastAsia" w:ascii="宋体" w:hAnsi="宋体"/>
          <w:color w:val="auto"/>
          <w:szCs w:val="20"/>
          <w:highlight w:val="none"/>
        </w:rPr>
        <w:t>不可抗力事件发生后，应立即通知对方，并寄送有关权威机构出具的证明。</w:t>
      </w:r>
    </w:p>
    <w:p>
      <w:pPr>
        <w:snapToGrid w:val="0"/>
        <w:spacing w:line="420" w:lineRule="exact"/>
        <w:ind w:firstLine="420" w:firstLineChars="200"/>
        <w:rPr>
          <w:rFonts w:ascii="宋体"/>
          <w:color w:val="auto"/>
          <w:szCs w:val="20"/>
          <w:highlight w:val="none"/>
        </w:rPr>
      </w:pPr>
      <w:r>
        <w:rPr>
          <w:rFonts w:ascii="宋体" w:hAnsi="宋体"/>
          <w:color w:val="auto"/>
          <w:szCs w:val="20"/>
          <w:highlight w:val="none"/>
        </w:rPr>
        <w:t xml:space="preserve">3. </w:t>
      </w:r>
      <w:r>
        <w:rPr>
          <w:rFonts w:hint="eastAsia" w:ascii="宋体" w:hAnsi="宋体"/>
          <w:color w:val="auto"/>
          <w:szCs w:val="20"/>
          <w:highlight w:val="none"/>
        </w:rPr>
        <w:t>不可抗力事件延续一百二十天以上，双方应通过友好协商，确定是否继续履行合同。</w:t>
      </w:r>
    </w:p>
    <w:p>
      <w:pPr>
        <w:snapToGrid w:val="0"/>
        <w:spacing w:line="420" w:lineRule="exact"/>
        <w:ind w:firstLine="422" w:firstLineChars="200"/>
        <w:rPr>
          <w:rFonts w:ascii="宋体"/>
          <w:color w:val="auto"/>
          <w:szCs w:val="21"/>
          <w:highlight w:val="none"/>
        </w:rPr>
      </w:pPr>
      <w:r>
        <w:rPr>
          <w:rFonts w:hint="eastAsia" w:ascii="宋体" w:hAnsi="宋体" w:cs="宋体"/>
          <w:b/>
          <w:bCs/>
          <w:color w:val="auto"/>
          <w:szCs w:val="21"/>
          <w:highlight w:val="none"/>
        </w:rPr>
        <w:t>第十三条</w:t>
      </w:r>
      <w:r>
        <w:rPr>
          <w:rFonts w:hint="eastAsia" w:ascii="宋体" w:hAnsi="宋体"/>
          <w:b/>
          <w:color w:val="auto"/>
          <w:szCs w:val="21"/>
          <w:highlight w:val="none"/>
        </w:rPr>
        <w:t>　</w:t>
      </w:r>
      <w:r>
        <w:rPr>
          <w:rFonts w:hint="eastAsia" w:ascii="宋体" w:hAnsi="宋体" w:cs="宋体"/>
          <w:b/>
          <w:bCs/>
          <w:color w:val="auto"/>
          <w:szCs w:val="21"/>
          <w:highlight w:val="none"/>
        </w:rPr>
        <w:t>合同争议解决</w:t>
      </w:r>
    </w:p>
    <w:p>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因货物质量问题发生争议的，应邀请国家认可的质量检测机构对货物质量进行鉴定。货物符合标准的，鉴定费由甲方承担；货物不符合标准的，鉴定费由乙方承担。</w:t>
      </w:r>
    </w:p>
    <w:p>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因履行本合同引起的或与本合同有关的争议，甲乙双方应首先通过友好协商解决，如果协商不能解决，可向（仲裁委员会申请仲裁或向人民法院提起诉讼）。</w:t>
      </w:r>
    </w:p>
    <w:p>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（仲裁或诉讼）期间，本合同继续履行。</w:t>
      </w:r>
    </w:p>
    <w:p>
      <w:pPr>
        <w:snapToGrid w:val="0"/>
        <w:spacing w:line="420" w:lineRule="exact"/>
        <w:ind w:firstLine="422" w:firstLineChars="200"/>
        <w:rPr>
          <w:rFonts w:ascii="宋体"/>
          <w:b/>
          <w:bCs/>
          <w:color w:val="auto"/>
          <w:szCs w:val="20"/>
          <w:highlight w:val="none"/>
        </w:rPr>
      </w:pPr>
      <w:r>
        <w:rPr>
          <w:rFonts w:hint="eastAsia" w:ascii="宋体" w:hAnsi="宋体"/>
          <w:b/>
          <w:bCs/>
          <w:color w:val="auto"/>
          <w:szCs w:val="20"/>
          <w:highlight w:val="none"/>
        </w:rPr>
        <w:t>第十四条</w:t>
      </w:r>
      <w:r>
        <w:rPr>
          <w:rFonts w:hint="eastAsia" w:ascii="宋体" w:hAnsi="宋体"/>
          <w:b/>
          <w:color w:val="auto"/>
          <w:szCs w:val="20"/>
          <w:highlight w:val="none"/>
        </w:rPr>
        <w:t>　</w:t>
      </w:r>
      <w:r>
        <w:rPr>
          <w:rFonts w:hint="eastAsia" w:ascii="宋体" w:hAnsi="宋体"/>
          <w:b/>
          <w:bCs/>
          <w:color w:val="auto"/>
          <w:szCs w:val="20"/>
          <w:highlight w:val="none"/>
        </w:rPr>
        <w:t>合同生效及其它</w:t>
      </w:r>
    </w:p>
    <w:p>
      <w:pPr>
        <w:snapToGrid w:val="0"/>
        <w:spacing w:line="420" w:lineRule="exact"/>
        <w:ind w:firstLine="420" w:firstLineChars="200"/>
        <w:rPr>
          <w:rFonts w:ascii="宋体"/>
          <w:bCs/>
          <w:color w:val="auto"/>
          <w:szCs w:val="20"/>
          <w:highlight w:val="none"/>
        </w:rPr>
      </w:pPr>
      <w:r>
        <w:rPr>
          <w:rFonts w:ascii="宋体" w:hAnsi="宋体"/>
          <w:bCs/>
          <w:color w:val="auto"/>
          <w:szCs w:val="20"/>
          <w:highlight w:val="none"/>
        </w:rPr>
        <w:t>1</w:t>
      </w:r>
      <w:r>
        <w:rPr>
          <w:rFonts w:hint="eastAsia" w:ascii="宋体" w:hAnsi="宋体"/>
          <w:bCs/>
          <w:color w:val="auto"/>
          <w:szCs w:val="20"/>
          <w:highlight w:val="none"/>
        </w:rPr>
        <w:t>．合同经双方法定代表人</w:t>
      </w:r>
      <w:r>
        <w:rPr>
          <w:rFonts w:ascii="宋体" w:hAnsi="宋体"/>
          <w:bCs/>
          <w:color w:val="auto"/>
          <w:szCs w:val="20"/>
          <w:highlight w:val="none"/>
        </w:rPr>
        <w:t>(</w:t>
      </w:r>
      <w:r>
        <w:rPr>
          <w:rFonts w:hint="eastAsia" w:ascii="宋体" w:hAnsi="宋体"/>
          <w:bCs/>
          <w:color w:val="auto"/>
          <w:szCs w:val="20"/>
          <w:highlight w:val="none"/>
        </w:rPr>
        <w:t>负责人</w:t>
      </w:r>
      <w:r>
        <w:rPr>
          <w:rFonts w:ascii="宋体" w:hAnsi="宋体"/>
          <w:bCs/>
          <w:color w:val="auto"/>
          <w:szCs w:val="20"/>
          <w:highlight w:val="none"/>
        </w:rPr>
        <w:t>)</w:t>
      </w:r>
      <w:r>
        <w:rPr>
          <w:rFonts w:hint="eastAsia" w:ascii="宋体" w:hAnsi="宋体"/>
          <w:bCs/>
          <w:color w:val="auto"/>
          <w:szCs w:val="20"/>
          <w:highlight w:val="none"/>
        </w:rPr>
        <w:t>或授权代表（委托代理人）签字并加盖单位公章后生效。</w:t>
      </w:r>
    </w:p>
    <w:p>
      <w:pPr>
        <w:snapToGrid w:val="0"/>
        <w:spacing w:line="420" w:lineRule="exact"/>
        <w:ind w:firstLine="420" w:firstLineChars="200"/>
        <w:rPr>
          <w:rFonts w:ascii="宋体"/>
          <w:bCs/>
          <w:color w:val="auto"/>
          <w:szCs w:val="20"/>
          <w:highlight w:val="none"/>
        </w:rPr>
      </w:pPr>
      <w:r>
        <w:rPr>
          <w:rFonts w:ascii="宋体" w:hAnsi="宋体"/>
          <w:bCs/>
          <w:color w:val="auto"/>
          <w:szCs w:val="20"/>
          <w:highlight w:val="none"/>
        </w:rPr>
        <w:t>2</w:t>
      </w:r>
      <w:r>
        <w:rPr>
          <w:rFonts w:hint="eastAsia" w:ascii="宋体" w:hAnsi="宋体"/>
          <w:bCs/>
          <w:color w:val="auto"/>
          <w:szCs w:val="20"/>
          <w:highlight w:val="none"/>
        </w:rPr>
        <w:t>．本合同未尽事宜，遵照</w:t>
      </w:r>
      <w:r>
        <w:rPr>
          <w:rFonts w:hint="eastAsia" w:ascii="宋体" w:hAnsi="宋体"/>
          <w:color w:val="auto"/>
          <w:szCs w:val="20"/>
          <w:highlight w:val="none"/>
        </w:rPr>
        <w:t>《中华人民共和国民法典》</w:t>
      </w:r>
      <w:r>
        <w:rPr>
          <w:rFonts w:hint="eastAsia" w:ascii="宋体" w:hAnsi="宋体"/>
          <w:bCs/>
          <w:color w:val="auto"/>
          <w:szCs w:val="20"/>
          <w:highlight w:val="none"/>
        </w:rPr>
        <w:t>有关条文执行。</w:t>
      </w:r>
    </w:p>
    <w:p>
      <w:pPr>
        <w:snapToGrid w:val="0"/>
        <w:spacing w:line="420" w:lineRule="exact"/>
        <w:ind w:firstLine="422" w:firstLineChars="200"/>
        <w:rPr>
          <w:rFonts w:ascii="宋体"/>
          <w:b/>
          <w:bCs/>
          <w:color w:val="auto"/>
          <w:szCs w:val="21"/>
          <w:highlight w:val="none"/>
        </w:rPr>
      </w:pPr>
      <w:r>
        <w:rPr>
          <w:rFonts w:hint="eastAsia" w:ascii="宋体" w:hAnsi="宋体" w:cs="宋体"/>
          <w:b/>
          <w:bCs/>
          <w:color w:val="auto"/>
          <w:szCs w:val="21"/>
          <w:highlight w:val="none"/>
        </w:rPr>
        <w:t>第十五条　合同的变更、终止与转让</w:t>
      </w:r>
    </w:p>
    <w:p>
      <w:pPr>
        <w:snapToGrid w:val="0"/>
        <w:spacing w:line="420" w:lineRule="exact"/>
        <w:ind w:firstLine="420" w:firstLineChars="200"/>
        <w:rPr>
          <w:rFonts w:asci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．除《中华人民共和国政府采购法》第五十条规定的情形外，本合同一经签订，甲乙双方不得擅自变更、中止或终止。</w:t>
      </w:r>
    </w:p>
    <w:p>
      <w:pPr>
        <w:snapToGrid w:val="0"/>
        <w:spacing w:line="420" w:lineRule="exact"/>
        <w:ind w:firstLine="420" w:firstLineChars="200"/>
        <w:rPr>
          <w:rFonts w:ascii="宋体"/>
          <w:b/>
          <w:bCs/>
          <w:color w:val="auto"/>
          <w:szCs w:val="20"/>
          <w:highlight w:val="none"/>
        </w:rPr>
      </w:pPr>
      <w:r>
        <w:rPr>
          <w:rFonts w:ascii="宋体" w:hAnsi="宋体"/>
          <w:color w:val="auto"/>
          <w:szCs w:val="20"/>
          <w:highlight w:val="none"/>
        </w:rPr>
        <w:t>2</w:t>
      </w:r>
      <w:r>
        <w:rPr>
          <w:rFonts w:hint="eastAsia" w:ascii="宋体" w:hAnsi="宋体"/>
          <w:color w:val="auto"/>
          <w:szCs w:val="20"/>
          <w:highlight w:val="none"/>
        </w:rPr>
        <w:t>．乙方不得擅自转让（无进口资格的供应商委托进口货物除外）其应履行的合同义务。</w:t>
      </w:r>
    </w:p>
    <w:p>
      <w:pPr>
        <w:snapToGrid w:val="0"/>
        <w:spacing w:line="360" w:lineRule="exact"/>
        <w:ind w:firstLine="438" w:firstLineChars="200"/>
        <w:rPr>
          <w:rFonts w:ascii="宋体"/>
          <w:b/>
          <w:color w:val="auto"/>
          <w:spacing w:val="4"/>
          <w:szCs w:val="21"/>
          <w:highlight w:val="none"/>
        </w:rPr>
      </w:pPr>
      <w:r>
        <w:rPr>
          <w:rFonts w:hint="eastAsia" w:ascii="宋体" w:hAnsi="宋体"/>
          <w:b/>
          <w:color w:val="auto"/>
          <w:spacing w:val="4"/>
          <w:szCs w:val="21"/>
          <w:highlight w:val="none"/>
        </w:rPr>
        <w:t>第十六条签订本合同依据</w:t>
      </w:r>
    </w:p>
    <w:p>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1.采购文件</w:t>
      </w:r>
    </w:p>
    <w:p>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2.乙方响应文件</w:t>
      </w:r>
    </w:p>
    <w:p>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3.成交通知书</w:t>
      </w:r>
    </w:p>
    <w:p>
      <w:pPr>
        <w:snapToGrid w:val="0"/>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4.其他约定附件</w:t>
      </w:r>
    </w:p>
    <w:p>
      <w:pPr>
        <w:snapToGrid w:val="0"/>
        <w:spacing w:line="360" w:lineRule="auto"/>
        <w:ind w:firstLine="422" w:firstLineChars="200"/>
        <w:rPr>
          <w:rFonts w:hint="eastAsia" w:ascii="宋体" w:hAnsi="宋体" w:cs="宋体"/>
          <w:color w:val="auto"/>
          <w:szCs w:val="21"/>
          <w:highlight w:val="none"/>
        </w:rPr>
      </w:pPr>
      <w:r>
        <w:rPr>
          <w:rFonts w:hint="eastAsia" w:ascii="宋体" w:hAnsi="宋体" w:cs="宋体"/>
          <w:b/>
          <w:bCs/>
          <w:color w:val="auto"/>
          <w:szCs w:val="21"/>
          <w:highlight w:val="none"/>
        </w:rPr>
        <w:t>第十七条　</w:t>
      </w:r>
      <w:r>
        <w:rPr>
          <w:rFonts w:hint="eastAsia" w:ascii="宋体" w:hAnsi="宋体" w:cs="宋体"/>
          <w:color w:val="auto"/>
          <w:szCs w:val="21"/>
          <w:highlight w:val="none"/>
        </w:rPr>
        <w:t>本合同一式七份，具有同等法律效力，采购代理机构存档一份，甲方执四份，乙方执二份。（可根据需要另增加）。</w:t>
      </w:r>
    </w:p>
    <w:tbl>
      <w:tblPr>
        <w:tblStyle w:val="32"/>
        <w:tblpPr w:leftFromText="180" w:rightFromText="180" w:vertAnchor="text" w:horzAnchor="margin" w:tblpY="214"/>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9"/>
        <w:gridCol w:w="4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甲方：（章）</w:t>
            </w:r>
          </w:p>
          <w:p>
            <w:pPr>
              <w:snapToGrid w:val="0"/>
              <w:spacing w:line="360" w:lineRule="auto"/>
              <w:ind w:firstLine="945" w:firstLineChars="450"/>
              <w:jc w:val="right"/>
              <w:rPr>
                <w:rFonts w:hint="eastAsia" w:ascii="宋体" w:hAnsi="宋体" w:cs="宋体"/>
                <w:color w:val="auto"/>
                <w:szCs w:val="21"/>
                <w:highlight w:val="none"/>
              </w:rPr>
            </w:pPr>
          </w:p>
          <w:p>
            <w:pPr>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单位地址：</w:t>
            </w:r>
            <w:r>
              <w:rPr>
                <w:rFonts w:ascii="宋体" w:hAnsi="宋体" w:cs="宋体"/>
                <w:color w:val="auto"/>
                <w:szCs w:val="21"/>
                <w:highlight w:val="none"/>
              </w:rPr>
              <w:t xml:space="preserve"> </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开户银行：</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454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45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邮政编码：</w:t>
            </w:r>
          </w:p>
        </w:tc>
      </w:tr>
    </w:tbl>
    <w:p>
      <w:pPr>
        <w:bidi w:val="0"/>
        <w:rPr>
          <w:rFonts w:hint="eastAsia"/>
          <w:color w:val="auto"/>
          <w:highlight w:val="none"/>
        </w:rPr>
      </w:pPr>
    </w:p>
    <w:p>
      <w:pPr>
        <w:rPr>
          <w:color w:val="auto"/>
          <w:highlight w:val="none"/>
        </w:rPr>
      </w:pPr>
      <w:r>
        <w:rPr>
          <w:rFonts w:hint="eastAsia" w:ascii="宋体" w:hAnsi="宋体" w:cs="宋体"/>
          <w:bCs/>
          <w:color w:val="auto"/>
          <w:kern w:val="44"/>
          <w:sz w:val="44"/>
          <w:szCs w:val="44"/>
          <w:highlight w:val="none"/>
        </w:rPr>
        <w:br w:type="page"/>
      </w:r>
    </w:p>
    <w:p>
      <w:pPr>
        <w:spacing w:line="480" w:lineRule="exact"/>
        <w:rPr>
          <w:color w:val="auto"/>
          <w:highlight w:val="none"/>
        </w:rPr>
        <w:sectPr>
          <w:headerReference r:id="rId14" w:type="default"/>
          <w:footerReference r:id="rId15" w:type="default"/>
          <w:pgSz w:w="11907" w:h="16839"/>
          <w:pgMar w:top="1134" w:right="1134" w:bottom="1134" w:left="1134" w:header="877" w:footer="680" w:gutter="0"/>
          <w:cols w:space="720" w:num="1"/>
        </w:sectPr>
      </w:pPr>
    </w:p>
    <w:p>
      <w:pPr>
        <w:tabs>
          <w:tab w:val="left" w:pos="3261"/>
        </w:tabs>
        <w:spacing w:line="360" w:lineRule="auto"/>
        <w:contextualSpacing/>
        <w:rPr>
          <w:rFonts w:hint="eastAsia" w:ascii="宋体" w:hAnsi="宋体" w:cs="仿宋_GB2312"/>
          <w:b/>
          <w:color w:val="auto"/>
          <w:sz w:val="44"/>
          <w:szCs w:val="44"/>
          <w:highlight w:val="none"/>
        </w:rPr>
      </w:pPr>
    </w:p>
    <w:p>
      <w:pPr>
        <w:tabs>
          <w:tab w:val="left" w:pos="3261"/>
        </w:tabs>
        <w:spacing w:line="360" w:lineRule="auto"/>
        <w:contextualSpacing/>
        <w:jc w:val="center"/>
        <w:rPr>
          <w:rFonts w:hint="eastAsia" w:ascii="宋体" w:hAnsi="宋体" w:cs="仿宋_GB2312"/>
          <w:b/>
          <w:color w:val="auto"/>
          <w:sz w:val="44"/>
          <w:szCs w:val="44"/>
          <w:highlight w:val="none"/>
        </w:rPr>
      </w:pPr>
    </w:p>
    <w:p>
      <w:pPr>
        <w:tabs>
          <w:tab w:val="left" w:pos="3261"/>
        </w:tabs>
        <w:spacing w:line="360" w:lineRule="auto"/>
        <w:contextualSpacing/>
        <w:jc w:val="center"/>
        <w:rPr>
          <w:rFonts w:hint="eastAsia" w:ascii="宋体" w:hAnsi="宋体" w:cs="仿宋_GB2312"/>
          <w:b/>
          <w:color w:val="auto"/>
          <w:sz w:val="44"/>
          <w:szCs w:val="44"/>
          <w:highlight w:val="none"/>
        </w:rPr>
      </w:pPr>
    </w:p>
    <w:p>
      <w:pPr>
        <w:tabs>
          <w:tab w:val="left" w:pos="3261"/>
        </w:tabs>
        <w:spacing w:line="360" w:lineRule="auto"/>
        <w:contextualSpacing/>
        <w:jc w:val="center"/>
        <w:rPr>
          <w:rFonts w:hint="eastAsia" w:ascii="宋体" w:hAnsi="宋体" w:cs="仿宋_GB2312"/>
          <w:b/>
          <w:color w:val="auto"/>
          <w:sz w:val="44"/>
          <w:szCs w:val="44"/>
          <w:highlight w:val="none"/>
        </w:rPr>
      </w:pPr>
    </w:p>
    <w:p>
      <w:pPr>
        <w:tabs>
          <w:tab w:val="left" w:pos="3261"/>
        </w:tabs>
        <w:spacing w:line="360" w:lineRule="auto"/>
        <w:contextualSpacing/>
        <w:jc w:val="center"/>
        <w:rPr>
          <w:rFonts w:hint="eastAsia" w:ascii="宋体" w:hAnsi="宋体" w:cs="仿宋_GB2312"/>
          <w:b/>
          <w:color w:val="auto"/>
          <w:sz w:val="44"/>
          <w:szCs w:val="44"/>
          <w:highlight w:val="none"/>
        </w:rPr>
      </w:pPr>
    </w:p>
    <w:p>
      <w:pPr>
        <w:pStyle w:val="2"/>
        <w:numPr>
          <w:ilvl w:val="0"/>
          <w:numId w:val="0"/>
        </w:numPr>
        <w:spacing w:before="0" w:after="0" w:line="240" w:lineRule="auto"/>
        <w:ind w:left="0" w:leftChars="0" w:firstLine="0" w:firstLineChars="0"/>
        <w:jc w:val="center"/>
        <w:outlineLvl w:val="0"/>
        <w:rPr>
          <w:rFonts w:hint="eastAsia" w:ascii="宋体" w:hAnsi="宋体" w:cs="仿宋_GB2312"/>
          <w:b w:val="0"/>
          <w:color w:val="auto"/>
          <w:highlight w:val="none"/>
        </w:rPr>
      </w:pPr>
      <w:bookmarkStart w:id="181" w:name="_Toc32744"/>
      <w:bookmarkStart w:id="182" w:name="_Toc80886951"/>
      <w:bookmarkStart w:id="183" w:name="_Toc3828"/>
      <w:bookmarkStart w:id="184" w:name="_Toc23061"/>
      <w:bookmarkStart w:id="185" w:name="_Toc19415"/>
      <w:r>
        <w:rPr>
          <w:rFonts w:hint="eastAsia" w:ascii="宋体" w:hAnsi="宋体" w:eastAsia="宋体" w:cs="仿宋_GB2312"/>
          <w:b w:val="0"/>
          <w:bCs/>
          <w:color w:val="auto"/>
          <w:kern w:val="44"/>
          <w:sz w:val="44"/>
          <w:szCs w:val="44"/>
          <w:highlight w:val="none"/>
          <w:lang w:val="en-US" w:eastAsia="zh-CN" w:bidi="ar-SA"/>
        </w:rPr>
        <w:t>第七章</w:t>
      </w:r>
      <w:r>
        <w:rPr>
          <w:rFonts w:hint="eastAsia" w:ascii="宋体" w:hAnsi="宋体" w:cs="仿宋_GB2312"/>
          <w:b w:val="0"/>
          <w:bCs/>
          <w:color w:val="auto"/>
          <w:kern w:val="44"/>
          <w:sz w:val="44"/>
          <w:szCs w:val="44"/>
          <w:highlight w:val="none"/>
          <w:lang w:val="en-US" w:eastAsia="zh-CN" w:bidi="ar-SA"/>
        </w:rPr>
        <w:t xml:space="preserve"> </w:t>
      </w:r>
      <w:r>
        <w:rPr>
          <w:rFonts w:hint="eastAsia" w:ascii="宋体" w:hAnsi="宋体" w:cs="仿宋_GB2312"/>
          <w:b w:val="0"/>
          <w:color w:val="auto"/>
          <w:highlight w:val="none"/>
        </w:rPr>
        <w:t>质疑、投诉材料格式</w:t>
      </w:r>
      <w:bookmarkEnd w:id="181"/>
      <w:bookmarkEnd w:id="182"/>
      <w:bookmarkEnd w:id="183"/>
      <w:bookmarkEnd w:id="184"/>
      <w:bookmarkEnd w:id="185"/>
    </w:p>
    <w:p>
      <w:pPr>
        <w:numPr>
          <w:ilvl w:val="0"/>
          <w:numId w:val="17"/>
        </w:numPr>
        <w:ind w:left="0" w:leftChars="0" w:firstLine="0" w:firstLineChars="0"/>
        <w:rPr>
          <w:rFonts w:hint="eastAsia"/>
          <w:color w:val="auto"/>
          <w:highlight w:val="none"/>
        </w:rPr>
        <w:sectPr>
          <w:footerReference r:id="rId16" w:type="default"/>
          <w:pgSz w:w="11910" w:h="16840"/>
          <w:pgMar w:top="1020" w:right="1417" w:bottom="1020" w:left="1134" w:header="720" w:footer="720" w:gutter="0"/>
          <w:cols w:space="720" w:num="1"/>
        </w:sectPr>
      </w:pPr>
    </w:p>
    <w:p>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pPr>
        <w:pStyle w:val="17"/>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pPr>
        <w:pStyle w:val="17"/>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7"/>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pPr>
        <w:pStyle w:val="17"/>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17"/>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pPr>
        <w:spacing w:before="261" w:line="360" w:lineRule="auto"/>
        <w:ind w:left="3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质疑项目的名称：</w:t>
      </w:r>
      <w:r>
        <w:rPr>
          <w:rFonts w:ascii="宋体" w:hAnsi="宋体" w:eastAsia="宋体" w:cs="宋体"/>
          <w:color w:val="auto"/>
          <w:sz w:val="24"/>
          <w:szCs w:val="24"/>
          <w:highlight w:val="none"/>
          <w:u w:val="single" w:color="auto"/>
        </w:rPr>
        <w:t xml:space="preserve">                                     </w:t>
      </w:r>
    </w:p>
    <w:p>
      <w:pPr>
        <w:spacing w:before="182" w:line="360" w:lineRule="auto"/>
        <w:ind w:left="3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质疑项目的编号：</w:t>
      </w:r>
      <w:r>
        <w:rPr>
          <w:rFonts w:ascii="宋体" w:hAnsi="宋体" w:eastAsia="宋体" w:cs="宋体"/>
          <w:color w:val="auto"/>
          <w:sz w:val="24"/>
          <w:szCs w:val="24"/>
          <w:highlight w:val="none"/>
          <w:u w:val="single" w:color="auto"/>
        </w:rPr>
        <w:t xml:space="preserve">                                     </w:t>
      </w:r>
    </w:p>
    <w:p>
      <w:pPr>
        <w:pStyle w:val="17"/>
        <w:spacing w:line="360" w:lineRule="auto"/>
        <w:ind w:firstLine="236" w:firstLineChars="100"/>
        <w:contextualSpacing/>
        <w:rPr>
          <w:rFonts w:ascii="宋体" w:hAnsi="宋体" w:eastAsia="宋体" w:cs="宋体"/>
          <w:color w:val="auto"/>
          <w:sz w:val="24"/>
          <w:szCs w:val="24"/>
          <w:highlight w:val="none"/>
          <w:u w:val="single" w:color="auto"/>
        </w:rPr>
      </w:pPr>
      <w:r>
        <w:rPr>
          <w:rFonts w:ascii="宋体" w:hAnsi="宋体" w:eastAsia="宋体" w:cs="宋体"/>
          <w:color w:val="auto"/>
          <w:spacing w:val="-2"/>
          <w:sz w:val="24"/>
          <w:szCs w:val="24"/>
          <w:highlight w:val="none"/>
        </w:rPr>
        <w:t>采购人名称：</w:t>
      </w:r>
      <w:r>
        <w:rPr>
          <w:rFonts w:ascii="宋体" w:hAnsi="宋体" w:eastAsia="宋体" w:cs="宋体"/>
          <w:color w:val="auto"/>
          <w:sz w:val="24"/>
          <w:szCs w:val="24"/>
          <w:highlight w:val="none"/>
          <w:u w:val="single" w:color="auto"/>
        </w:rPr>
        <w:t xml:space="preserve">                                         </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pPr>
        <w:pStyle w:val="17"/>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pPr>
        <w:pStyle w:val="17"/>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pPr>
        <w:pStyle w:val="17"/>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pPr>
        <w:pStyle w:val="17"/>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pPr>
        <w:pStyle w:val="17"/>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17"/>
        <w:spacing w:line="360" w:lineRule="auto"/>
        <w:ind w:left="25" w:leftChars="12" w:firstLine="352" w:firstLineChars="147"/>
        <w:contextualSpacing/>
        <w:rPr>
          <w:rFonts w:hint="eastAsia" w:hAnsi="宋体"/>
          <w:color w:val="auto"/>
          <w:sz w:val="24"/>
          <w:szCs w:val="24"/>
          <w:highlight w:val="none"/>
        </w:rPr>
      </w:pP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pPr>
        <w:pStyle w:val="17"/>
        <w:spacing w:line="360" w:lineRule="auto"/>
        <w:ind w:left="25" w:leftChars="12" w:firstLine="352" w:firstLineChars="147"/>
        <w:contextualSpacing/>
        <w:rPr>
          <w:rFonts w:hint="eastAsia" w:hAnsi="宋体"/>
          <w:color w:val="auto"/>
          <w:sz w:val="24"/>
          <w:szCs w:val="24"/>
          <w:highlight w:val="none"/>
        </w:rPr>
      </w:pPr>
    </w:p>
    <w:p>
      <w:pPr>
        <w:pStyle w:val="17"/>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pPr>
        <w:pStyle w:val="17"/>
        <w:spacing w:line="360" w:lineRule="auto"/>
        <w:contextualSpacing/>
        <w:rPr>
          <w:rFonts w:hint="eastAsia" w:hAnsi="宋体"/>
          <w:b/>
          <w:color w:val="auto"/>
          <w:sz w:val="24"/>
          <w:szCs w:val="24"/>
          <w:highlight w:val="none"/>
        </w:rPr>
      </w:pPr>
    </w:p>
    <w:p>
      <w:pPr>
        <w:pStyle w:val="17"/>
        <w:spacing w:line="360" w:lineRule="auto"/>
        <w:contextualSpacing/>
        <w:rPr>
          <w:rFonts w:hint="eastAsia" w:hAnsi="宋体"/>
          <w:b/>
          <w:color w:val="auto"/>
          <w:sz w:val="24"/>
          <w:szCs w:val="24"/>
          <w:highlight w:val="none"/>
        </w:rPr>
      </w:pPr>
    </w:p>
    <w:p>
      <w:pPr>
        <w:pStyle w:val="17"/>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pPr>
        <w:pStyle w:val="17"/>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pPr>
        <w:pStyle w:val="17"/>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7"/>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pPr>
        <w:pStyle w:val="17"/>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pPr>
        <w:pStyle w:val="17"/>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pPr>
        <w:pStyle w:val="17"/>
        <w:snapToGrid w:val="0"/>
        <w:rPr>
          <w:b/>
          <w:color w:val="auto"/>
          <w:sz w:val="24"/>
          <w:szCs w:val="24"/>
          <w:highlight w:val="none"/>
        </w:rPr>
      </w:pPr>
    </w:p>
    <w:p>
      <w:pPr>
        <w:spacing w:line="460" w:lineRule="exact"/>
        <w:jc w:val="center"/>
        <w:rPr>
          <w:rFonts w:eastAsia="隶书"/>
          <w:color w:val="auto"/>
          <w:sz w:val="44"/>
          <w:highlight w:val="none"/>
        </w:rPr>
      </w:pPr>
      <w:r>
        <w:rPr>
          <w:rFonts w:eastAsia="隶书"/>
          <w:color w:val="auto"/>
          <w:sz w:val="44"/>
          <w:highlight w:val="none"/>
        </w:rPr>
        <w:br w:type="page"/>
      </w:r>
    </w:p>
    <w:p>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pPr>
        <w:pStyle w:val="17"/>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pPr>
        <w:pStyle w:val="1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pPr>
        <w:pStyle w:val="1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pPr>
        <w:pStyle w:val="17"/>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pPr>
        <w:pStyle w:val="17"/>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pPr>
        <w:pStyle w:val="17"/>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7"/>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pPr>
        <w:pStyle w:val="17"/>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w:t>
      </w:r>
      <w:r>
        <w:rPr>
          <w:rFonts w:hint="eastAsia" w:hAnsi="宋体"/>
          <w:color w:val="auto"/>
          <w:sz w:val="24"/>
          <w:szCs w:val="24"/>
          <w:highlight w:val="none"/>
        </w:rPr>
        <w:t>项目的名称：</w:t>
      </w:r>
    </w:p>
    <w:p>
      <w:pPr>
        <w:pStyle w:val="17"/>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p>
    <w:p>
      <w:pPr>
        <w:pStyle w:val="17"/>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eastAsia="zh-CN"/>
        </w:rPr>
        <w:t xml:space="preserve"> </w:t>
      </w:r>
      <w:r>
        <w:rPr>
          <w:rFonts w:hint="eastAsia" w:hAnsi="宋体"/>
          <w:bCs/>
          <w:color w:val="auto"/>
          <w:sz w:val="24"/>
          <w:szCs w:val="24"/>
          <w:highlight w:val="none"/>
          <w:u w:val="single"/>
          <w:lang w:val="en-US" w:eastAsia="zh-CN"/>
        </w:rPr>
        <w:t xml:space="preserve"> </w:t>
      </w:r>
      <w:r>
        <w:rPr>
          <w:rFonts w:hint="eastAsia" w:hAnsi="宋体"/>
          <w:bCs/>
          <w:color w:val="auto"/>
          <w:sz w:val="24"/>
          <w:szCs w:val="24"/>
          <w:highlight w:val="none"/>
          <w:u w:val="single"/>
        </w:rPr>
        <w:t xml:space="preserve">                </w:t>
      </w:r>
    </w:p>
    <w:p>
      <w:pPr>
        <w:pStyle w:val="17"/>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r>
        <w:rPr>
          <w:rFonts w:hint="eastAsia" w:hAnsi="宋体"/>
          <w:bCs/>
          <w:color w:val="auto"/>
          <w:sz w:val="24"/>
          <w:szCs w:val="24"/>
          <w:highlight w:val="none"/>
          <w:u w:val="single"/>
          <w:lang w:val="en-US" w:eastAsia="zh-CN"/>
        </w:rPr>
        <w:t xml:space="preserve"> </w:t>
      </w:r>
      <w:r>
        <w:rPr>
          <w:rFonts w:hint="eastAsia" w:hAnsi="宋体"/>
          <w:bCs/>
          <w:color w:val="auto"/>
          <w:sz w:val="24"/>
          <w:szCs w:val="24"/>
          <w:highlight w:val="none"/>
          <w:u w:val="single"/>
        </w:rPr>
        <w:t xml:space="preserve">                     </w:t>
      </w:r>
    </w:p>
    <w:p>
      <w:pPr>
        <w:pStyle w:val="17"/>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17"/>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17"/>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pPr>
        <w:pStyle w:val="17"/>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pPr>
        <w:pStyle w:val="17"/>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7"/>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17"/>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pPr>
        <w:pStyle w:val="17"/>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pPr>
        <w:pStyle w:val="17"/>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pPr>
        <w:pStyle w:val="17"/>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7"/>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pPr>
        <w:pStyle w:val="17"/>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7"/>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17"/>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pPr>
        <w:pStyle w:val="17"/>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pPr>
        <w:pStyle w:val="17"/>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pPr>
        <w:pStyle w:val="17"/>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17"/>
        <w:spacing w:line="360" w:lineRule="auto"/>
        <w:ind w:left="25" w:leftChars="12" w:firstLine="352" w:firstLineChars="147"/>
        <w:rPr>
          <w:rFonts w:hint="eastAsia" w:hAnsi="宋体"/>
          <w:color w:val="auto"/>
          <w:sz w:val="24"/>
          <w:szCs w:val="24"/>
          <w:highlight w:val="none"/>
        </w:rPr>
      </w:pPr>
    </w:p>
    <w:p>
      <w:pPr>
        <w:pStyle w:val="17"/>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pPr>
        <w:pStyle w:val="17"/>
        <w:spacing w:line="360" w:lineRule="auto"/>
        <w:ind w:left="25" w:leftChars="12" w:firstLine="352" w:firstLineChars="147"/>
        <w:rPr>
          <w:rFonts w:hint="eastAsia" w:hAnsi="宋体"/>
          <w:color w:val="auto"/>
          <w:sz w:val="24"/>
          <w:szCs w:val="24"/>
          <w:highlight w:val="none"/>
        </w:rPr>
      </w:pPr>
    </w:p>
    <w:p>
      <w:pPr>
        <w:pStyle w:val="17"/>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r>
        <w:rPr>
          <w:rFonts w:hint="eastAsia" w:hAnsi="宋体"/>
          <w:bCs/>
          <w:color w:val="auto"/>
          <w:sz w:val="24"/>
          <w:szCs w:val="24"/>
          <w:highlight w:val="none"/>
        </w:rPr>
        <w:t xml:space="preserve">                                                                                </w:t>
      </w:r>
    </w:p>
    <w:p>
      <w:pPr>
        <w:pStyle w:val="17"/>
        <w:snapToGrid w:val="0"/>
        <w:spacing w:line="360" w:lineRule="auto"/>
        <w:rPr>
          <w:rFonts w:hint="eastAsia" w:hAnsi="宋体"/>
          <w:b/>
          <w:color w:val="auto"/>
          <w:sz w:val="24"/>
          <w:szCs w:val="24"/>
          <w:highlight w:val="none"/>
        </w:rPr>
      </w:pPr>
    </w:p>
    <w:p>
      <w:pPr>
        <w:pStyle w:val="17"/>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pPr>
        <w:pStyle w:val="17"/>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pPr>
        <w:pStyle w:val="1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pPr>
        <w:pStyle w:val="1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pPr>
        <w:pStyle w:val="17"/>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pPr>
        <w:pStyle w:val="17"/>
        <w:spacing w:line="360" w:lineRule="auto"/>
        <w:ind w:left="25" w:leftChars="12" w:firstLine="354" w:firstLineChars="147"/>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8" w:type="first"/>
      <w:footerReference r:id="rId17"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B7308AD-242C-48B7-B6D1-E0B21A73FCA6}"/>
  </w:font>
  <w:font w:name="黑体">
    <w:panose1 w:val="02010609060101010101"/>
    <w:charset w:val="86"/>
    <w:family w:val="auto"/>
    <w:pitch w:val="default"/>
    <w:sig w:usb0="800002BF" w:usb1="38CF7CFA" w:usb2="00000016" w:usb3="00000000" w:csb0="00040001" w:csb1="00000000"/>
    <w:embedRegular r:id="rId2" w:fontKey="{F3157496-5BEB-4DC0-8ACC-2C624C5C7C1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EF9F8E7-7419-4D53-8998-44EE9E3D1958}"/>
  </w:font>
  <w:font w:name="Cambria">
    <w:panose1 w:val="02040503050406030204"/>
    <w:charset w:val="00"/>
    <w:family w:val="roman"/>
    <w:pitch w:val="default"/>
    <w:sig w:usb0="E00002FF" w:usb1="400004FF" w:usb2="00000000" w:usb3="00000000" w:csb0="2000019F" w:csb1="00000000"/>
    <w:embedRegular r:id="rId4" w:fontKey="{B521E56C-98AE-454F-9EC4-AA76C887A184}"/>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5" w:fontKey="{4A820384-3164-4FA5-835D-C89A396A7AFF}"/>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A9932A33-112C-4FF0-A711-40352E065C3F}"/>
  </w:font>
  <w:font w:name="楷体_GB2312">
    <w:panose1 w:val="02010609030101010101"/>
    <w:charset w:val="86"/>
    <w:family w:val="modern"/>
    <w:pitch w:val="default"/>
    <w:sig w:usb0="00000001" w:usb1="080E0000" w:usb2="00000000" w:usb3="00000000" w:csb0="00040000" w:csb1="00000000"/>
    <w:embedRegular r:id="rId7" w:fontKey="{E9BFFC3E-9ECA-4F66-BF3C-8F55262F531C}"/>
  </w:font>
  <w:font w:name="华文新魏">
    <w:panose1 w:val="02010800040101010101"/>
    <w:charset w:val="86"/>
    <w:family w:val="auto"/>
    <w:pitch w:val="default"/>
    <w:sig w:usb0="00000001" w:usb1="080F0000" w:usb2="00000000" w:usb3="00000000" w:csb0="00040000" w:csb1="00000000"/>
    <w:embedRegular r:id="rId8" w:fontKey="{9D234933-C8B6-488B-B6DB-554CE74485FD}"/>
  </w:font>
  <w:font w:name="微软雅黑">
    <w:panose1 w:val="020B0503020204020204"/>
    <w:charset w:val="86"/>
    <w:family w:val="auto"/>
    <w:pitch w:val="default"/>
    <w:sig w:usb0="80000287" w:usb1="280F3C52" w:usb2="00000016" w:usb3="00000000" w:csb0="0004001F" w:csb1="00000000"/>
    <w:embedRegular r:id="rId9" w:fontKey="{65879BA4-93DD-488A-B22F-ECE7156024C4}"/>
  </w:font>
  <w:font w:name="Arial Unicode MS">
    <w:panose1 w:val="020B0604020202020204"/>
    <w:charset w:val="86"/>
    <w:family w:val="roman"/>
    <w:pitch w:val="default"/>
    <w:sig w:usb0="FFFFFFFF" w:usb1="E9FFFFFF" w:usb2="0000003F" w:usb3="00000000" w:csb0="603F01FF" w:csb1="FFFF0000"/>
    <w:embedRegular r:id="rId10" w:fontKey="{1C517844-735D-40FF-B9B5-DE73D29C60A8}"/>
  </w:font>
  <w:font w:name="楷体">
    <w:panose1 w:val="02010609060101010101"/>
    <w:charset w:val="86"/>
    <w:family w:val="modern"/>
    <w:pitch w:val="default"/>
    <w:sig w:usb0="800002BF" w:usb1="38CF7CFA" w:usb2="00000016" w:usb3="00000000" w:csb0="00040001" w:csb1="00000000"/>
    <w:embedRegular r:id="rId11" w:fontKey="{9BE0B036-F246-472A-BCDC-01EB6FB118B5}"/>
  </w:font>
  <w:font w:name="隶书">
    <w:altName w:val="微软雅黑"/>
    <w:panose1 w:val="02010509060101010101"/>
    <w:charset w:val="86"/>
    <w:family w:val="modern"/>
    <w:pitch w:val="default"/>
    <w:sig w:usb0="00000000" w:usb1="00000000" w:usb2="00000000" w:usb3="00000000" w:csb0="00040000" w:csb1="00000000"/>
    <w:embedRegular r:id="rId12" w:fontKey="{66D0F203-273B-412F-B73A-F8BAAB742E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68910" cy="1828800"/>
              <wp:effectExtent l="0" t="0" r="0" b="0"/>
              <wp:wrapNone/>
              <wp:docPr id="4" name="文本框 5121"/>
              <wp:cNvGraphicFramePr/>
              <a:graphic xmlns:a="http://schemas.openxmlformats.org/drawingml/2006/main">
                <a:graphicData uri="http://schemas.microsoft.com/office/word/2010/wordprocessingShape">
                  <wps:wsp>
                    <wps:cNvSpPr txBox="1"/>
                    <wps:spPr>
                      <a:xfrm>
                        <a:off x="0" y="0"/>
                        <a:ext cx="168910" cy="1828800"/>
                      </a:xfrm>
                      <a:prstGeom prst="rect">
                        <a:avLst/>
                      </a:prstGeom>
                      <a:noFill/>
                      <a:ln>
                        <a:noFill/>
                      </a:ln>
                    </wps:spPr>
                    <wps:txbx>
                      <w:txbxContent>
                        <w:p>
                          <w:pPr>
                            <w:pStyle w:val="21"/>
                            <w:jc w:val="center"/>
                          </w:pPr>
                          <w:r>
                            <w:fldChar w:fldCharType="begin"/>
                          </w:r>
                          <w:r>
                            <w:instrText xml:space="preserve"> PAGE  \* MERGEFORMAT </w:instrText>
                          </w:r>
                          <w:r>
                            <w:fldChar w:fldCharType="separate"/>
                          </w:r>
                          <w:r>
                            <w:t>75</w:t>
                          </w:r>
                          <w:r>
                            <w:fldChar w:fldCharType="end"/>
                          </w:r>
                        </w:p>
                      </w:txbxContent>
                    </wps:txbx>
                    <wps:bodyPr wrap="square" lIns="0" tIns="0" rIns="0" bIns="0">
                      <a:spAutoFit/>
                    </wps:bodyPr>
                  </wps:wsp>
                </a:graphicData>
              </a:graphic>
            </wp:anchor>
          </w:drawing>
        </mc:Choice>
        <mc:Fallback>
          <w:pict>
            <v:shape id="文本框 5121" o:spid="_x0000_s1026" o:spt="202" type="#_x0000_t202" style="position:absolute;left:0pt;margin-top:0pt;height:144pt;width:13.3pt;mso-position-horizontal:center;mso-position-horizontal-relative:margin;z-index:251659264;mso-width-relative:page;mso-height-relative:page;" filled="f" stroked="f" coordsize="21600,21600" o:gfxdata="UEsDBAoAAAAAAIdO4kAAAAAAAAAAAAAAAAAEAAAAZHJzL1BLAwQUAAAACACHTuJAzSrzkNEAAAAE&#10;AQAADwAAAGRycy9kb3ducmV2LnhtbE2PMU/EMAyFdyT+Q2QkFsQl6VCV0vQGBAsbBwtbrjFtReJU&#10;Ta4t9+sxLLD4yXrWe5+b/Ra8WHBOYyQDeqdAIHXRjdQbeHt9uq1ApGzJWR8JDXxhgn17edHY2sWV&#10;XnA55F5wCKXaGhhynmopUzdgsGkXJyT2PuIcbOZ17qWb7crhwctCqVIGOxI3DHbChwG7z8MpGCi3&#10;x+nm+Q6L9dz5hd7PWmfUxlxfaXUPIuOW/47hB5/RoWWmYzyRS8Ib4Efy72SvKEsQR9aqUiDbRv6H&#10;b78BUEsDBBQAAAAIAIdO4kAacDf8ywEAAJEDAAAOAAAAZHJzL2Uyb0RvYy54bWytU82O0zAQviPx&#10;Dpbv1EkFqxA1XYGqRUgIkBYewHWcxpL/8LhN+gLwBpy4cOe5+hyMnbTL7l72wMUZz4y/me+byep6&#10;NJocZADlbEPLRUGJtMK1yu4a+vXLzYuKEojctlw7Kxt6lECv18+frQZfy6XrnW5lIAhioR58Q/sY&#10;fc0YiF4aDgvnpcVg54LhEa9hx9rAB0Q3mi2L4ooNLrQ+OCEB0LuZgnRGDE8BdF2nhNw4sTfSxgk1&#10;SM0jUoJeeaDr3G3XSRE/dR3ISHRDkWnMJxZBe5tOtl7xehe475WYW+BPaeEBJ8OVxaIXqA2PnOyD&#10;egRllAgOXBcXwhk2EcmKIIuyeKDNbc+9zFxQavAX0eH/wYqPh8+BqLahLymx3ODATz9/nH79Of3+&#10;Tl6VyzIpNHioMfHWY2oc37oR9+bsB3Qm4mMXTPoiJYJx1Pd40VeOkYj06Kp6XWJEYKisllVV5AGw&#10;u9c+QHwnnSHJaGjA+WVZ+eEDROwEU88pqZh1N0rrPENt7zkwMXlYan1qMVlx3I4zn61rj0hnwNE3&#10;FL7teZCU6PcWtU17cjbC2djORqoC/s0+YuncUcKdwOZyOKnc6LxVaRX+veesuz9p/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NKvOQ0QAAAAQBAAAPAAAAAAAAAAEAIAAAACIAAABkcnMvZG93bnJl&#10;di54bWxQSwECFAAUAAAACACHTuJAGnA3/MsBAACRAwAADgAAAAAAAAABACAAAAAgAQAAZHJzL2Uy&#10;b0RvYy54bWxQSwUGAAAAAAYABgBZAQAAXQUAAAAA&#10;">
              <v:fill on="f" focussize="0,0"/>
              <v:stroke on="f"/>
              <v:imagedata o:title=""/>
              <o:lock v:ext="edit" aspectratio="f"/>
              <v:textbox inset="0mm,0mm,0mm,0mm" style="mso-fit-shape-to-text:t;">
                <w:txbxContent>
                  <w:p>
                    <w:pPr>
                      <w:pStyle w:val="21"/>
                      <w:jc w:val="center"/>
                    </w:pPr>
                    <w:r>
                      <w:fldChar w:fldCharType="begin"/>
                    </w:r>
                    <w:r>
                      <w:instrText xml:space="preserve"> PAGE  \* MERGEFORMAT </w:instrText>
                    </w:r>
                    <w:r>
                      <w:fldChar w:fldCharType="separate"/>
                    </w:r>
                    <w:r>
                      <w:t>75</w:t>
                    </w:r>
                    <w:r>
                      <w:fldChar w:fldCharType="end"/>
                    </w:r>
                  </w:p>
                </w:txbxContent>
              </v:textbox>
            </v:shape>
          </w:pict>
        </mc:Fallback>
      </mc:AlternateContent>
    </w:r>
  </w:p>
  <w:p>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4MQjsUBAACQAwAADgAAAGRycy9lMm9Eb2MueG1srVNLbtswEN0XyB0I&#10;7mPKAlIYguWghZEiQNAWSHsAmqIsAvyBQ1vyBdobdNVN9z2Xz9EhJTlpusmiG2o4M3wz781ofTsY&#10;TY4ygHK2pstFQYm0wjXK7mv69cvd9YoSiNw2XDsra3qSQG83V2/Wva9k6TqnGxkIglioel/TLkZf&#10;MQaik4bDwnlpMdi6YHjEa9izJvAe0Y1mZVG8Zb0LjQ9OSAD0bscgnRDDawBd2yoht04cjLRxRA1S&#10;84iUoFMe6CZ327ZSxE9tCzISXVNkGvOJRdDepZNt1rzaB+47JaYW+GtaeMHJcGWx6AVqyyMnh6D+&#10;gTJKBAeujQvhDBuJZEWQxbJ4oc1jx73MXFBq8BfR4f/Bio/Hz4GopqY3lFhucODnH9/PP3+ff30j&#10;N8uyTAr1HipMfPSYGof3bsC9mf2AzkR8aINJX6REMI76ni76yiESkR6tytWqwJDA2HxBfPb03AeI&#10;H6QzJBk1DTjArCs/PkAcU+eUVM26O6V1HqK2fzkQM3lY6n3sMVlx2A0ToZ1rTsinx9nX1OKqU6Lv&#10;LUqb1mQ2wmzsJiPVAP/uELFw7iehjlBTMRxUZjQtVdqE5/ec9fQjb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DEI7FAQAAkAMAAA4AAAAAAAAAAQAgAAAAHgEAAGRycy9lMm9Eb2MueG1s&#10;UEsFBgAAAAAGAAYAWQEAAFUFAAAAAA==&#10;">
              <v:fill on="f" focussize="0,0"/>
              <v:stroke on="f"/>
              <v:imagedata o:title=""/>
              <o:lock v:ext="edit" aspectratio="f"/>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7"/>
        <w:sz w:val="21"/>
      </w:rPr>
    </w:pPr>
    <w:r>
      <w:rPr>
        <w:sz w:val="21"/>
      </w:rPr>
      <w:fldChar w:fldCharType="begin"/>
    </w:r>
    <w:r>
      <w:rPr>
        <w:rStyle w:val="37"/>
        <w:sz w:val="21"/>
      </w:rPr>
      <w:instrText xml:space="preserve">PAGE  </w:instrText>
    </w:r>
    <w:r>
      <w:rPr>
        <w:sz w:val="21"/>
      </w:rPr>
      <w:fldChar w:fldCharType="separate"/>
    </w:r>
    <w:r>
      <w:rPr>
        <w:rStyle w:val="37"/>
        <w:sz w:val="21"/>
      </w:rPr>
      <w:t>0</w:t>
    </w:r>
    <w:r>
      <w:rPr>
        <w:sz w:val="21"/>
      </w:rPr>
      <w:fldChar w:fldCharType="end"/>
    </w:r>
  </w:p>
  <w:p>
    <w:pPr>
      <w:pStyle w:val="21"/>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dSScQBAACQ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4tgdtzjwy/dvlx+/Lj+/klfL&#10;1cusUB+gxsS7gKlpeOsH3JvZD+jMxAcVbf4iJYJx1Pd81VcOiYj8aL1arysMCYzNF8RnD89DhPRO&#10;ekuy0dCIAyy68tMHSGPqnJKrOX+rjSlDNO4vB2JmD8u9jz1mKw37YSK09+0Z+fQ4+4Y6XHVKzHuH&#10;0uY1mY04G/vJyDUgvDkmLFz6yagj1FQMB1UYTUuVN+HPe8l6+JG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CudSScQBAACQAwAADgAAAAAAAAABACAAAAAeAQAAZHJzL2Uyb0RvYy54bWxQ&#10;SwUGAAAAAAYABgBZAQAAVA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10</w:t>
                    </w:r>
                    <w:r>
                      <w:fldChar w:fldCharType="end"/>
                    </w:r>
                  </w:p>
                </w:txbxContent>
              </v:textbox>
            </v:shape>
          </w:pict>
        </mc:Fallback>
      </mc:AlternateContent>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q+0IcQBAACQ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ryhx3OLAL9+/XX78uvz8Sl4s&#10;V8+zQn2AGhPvAqam4Y0fcG9mP6AzEx9UtPmLlAjGUd/zVV85JCLyo/Vqva4wJDA2XxCf3T8PEdJb&#10;6S3JRkMjDrDoyk/vIY2pc0qu5vytNqYM0bi/HIiZPSz3PvaYrTTsh4nQ3rdn5NPj7BvqcNUpMe8c&#10;SpvXZDbibOwnI9eA8PqYsHDpJ6OOUFMxHFRhNC1V3oQ/7yXr/kfa/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2q+0IcQBAACQAwAADgAAAAAAAAABACAAAAAeAQAAZHJzL2Uyb0RvYy54bWxQ&#10;SwUGAAAAAAYABgBZAQAAVAUAAAAA&#10;">
              <v:fill on="f" focussize="0,0"/>
              <v:stroke on="f"/>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olj8QBAACR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lvchBeUOG5x4pfv3y4/fl1+fiUv&#10;l6vnWaI+QI2ZdwFz0/DGD5g++wGdmfmgos1f5EQwjgKfrwLLIRGRH61X63WFIYGx+YL47P55iJDe&#10;Sm9JNhoacYJFWH56D2lMnVNyNedvtTFlisb95UDM7GG597HHbKVhP0yE9r49I58eh99Qh7tOiXnn&#10;UNu8J7MRZ2M/GbkGhNfHhIVLPxl1hJqK4aQKo2mr8ir8eS9Z93/S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8wolj8QBAACRAwAADgAAAAAAAAABACAAAAAeAQAAZHJzL2Uyb0RvYy54bWxQ&#10;SwUGAAAAAAYABgBZAQAAVAU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10</w:t>
                    </w:r>
                    <w:r>
                      <w:fldChar w:fldCharType="end"/>
                    </w:r>
                  </w:p>
                </w:txbxContent>
              </v:textbox>
            </v:shape>
          </w:pict>
        </mc:Fallback>
      </mc:AlternateContent>
    </w:r>
  </w:p>
  <w:p>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posOffset>2734310</wp:posOffset>
              </wp:positionH>
              <wp:positionV relativeFrom="page">
                <wp:posOffset>10034270</wp:posOffset>
              </wp:positionV>
              <wp:extent cx="157480" cy="131445"/>
              <wp:effectExtent l="0" t="0" r="0" b="0"/>
              <wp:wrapNone/>
              <wp:docPr id="6" name="文本框 5121"/>
              <wp:cNvGraphicFramePr/>
              <a:graphic xmlns:a="http://schemas.openxmlformats.org/drawingml/2006/main">
                <a:graphicData uri="http://schemas.microsoft.com/office/word/2010/wordprocessingShape">
                  <wps:wsp>
                    <wps:cNvSpPr txBox="1"/>
                    <wps:spPr>
                      <a:xfrm>
                        <a:off x="0" y="0"/>
                        <a:ext cx="157480" cy="131445"/>
                      </a:xfrm>
                      <a:prstGeom prst="rect">
                        <a:avLst/>
                      </a:prstGeom>
                      <a:noFill/>
                      <a:ln>
                        <a:noFill/>
                      </a:ln>
                    </wps:spPr>
                    <wps:txbx>
                      <w:txbxContent>
                        <w:p>
                          <w:pPr>
                            <w:pStyle w:val="21"/>
                            <w:jc w:val="center"/>
                          </w:pPr>
                          <w:r>
                            <w:rPr>
                              <w:b/>
                              <w:bCs/>
                            </w:rPr>
                            <w:fldChar w:fldCharType="begin"/>
                          </w:r>
                          <w:r>
                            <w:rPr>
                              <w:b/>
                              <w:bCs/>
                            </w:rPr>
                            <w:instrText xml:space="preserve"> PAGE  \* MERGEFORMAT </w:instrText>
                          </w:r>
                          <w:r>
                            <w:rPr>
                              <w:b/>
                              <w:bCs/>
                            </w:rPr>
                            <w:fldChar w:fldCharType="separate"/>
                          </w:r>
                          <w:r>
                            <w:rPr>
                              <w:b/>
                              <w:bCs/>
                            </w:rPr>
                            <w:t>12</w:t>
                          </w:r>
                          <w:r>
                            <w:rPr>
                              <w:b/>
                              <w:bCs/>
                            </w:rPr>
                            <w:fldChar w:fldCharType="end"/>
                          </w:r>
                        </w:p>
                      </w:txbxContent>
                    </wps:txbx>
                    <wps:bodyPr wrap="square" lIns="0" tIns="0" rIns="0" bIns="0">
                      <a:noAutofit/>
                    </wps:bodyPr>
                  </wps:wsp>
                </a:graphicData>
              </a:graphic>
            </wp:anchor>
          </w:drawing>
        </mc:Choice>
        <mc:Fallback>
          <w:pict>
            <v:shape id="文本框 5121" o:spid="_x0000_s1026" o:spt="202" type="#_x0000_t202" style="position:absolute;left:0pt;margin-left:215.3pt;margin-top:790.1pt;height:10.35pt;width:12.4pt;mso-position-horizontal-relative:margin;mso-position-vertical-relative:page;z-index:251661312;mso-width-relative:page;mso-height-relative:page;" filled="f" stroked="f" coordsize="21600,21600" o:gfxdata="UEsDBAoAAAAAAIdO4kAAAAAAAAAAAAAAAAAEAAAAZHJzL1BLAwQUAAAACACHTuJAz0AfbdoAAAAN&#10;AQAADwAAAGRycy9kb3ducmV2LnhtbE2PTU/DMAyG70j8h8hI3Fiy0VZbaTohBCckRFcOHNPGa6s1&#10;TmmyD/495gRH+330+nGxvbhRnHAOgycNy4UCgdR6O1Cn4aN+uVuDCNGQNaMn1PCNAbbl9VVhcuvP&#10;VOFpFzvBJRRyo6GPccqlDG2PzoSFn5A42/vZmcjj3Ek7mzOXu1GulMqkMwPxhd5M+NRje9gdnYbH&#10;T6qeh6+35r3aV0NdbxS9Zgetb2+W6gFExEv8g+FXn9WhZKfGH8kGMWpI7lXGKAfpWq1AMJKkaQKi&#10;4VWm1AZkWcj/X5Q/UEsDBBQAAAAIAIdO4kCZjOQmyQEAAJADAAAOAAAAZHJzL2Uyb0RvYy54bWyt&#10;U8GO0zAQvSPxD5bvNE1pl1XVdAWqFiEhQFr4ANexG0u2x3jcJv0B+ANOXLjzXf2OHSdpF5bLHrg4&#10;45nxm3lvJqubzll2UBEN+IqXkylnykuojd9V/Mvn2xfXnGESvhYWvKr4USG/WT9/tmrDUs2gAVur&#10;yAjE47INFW9SCsuiQNkoJ3ACQXkKaohOJLrGXVFH0RK6s8VsOr0qWoh1iCAVInk3Q5CPiPEpgKC1&#10;kWoDcu+UTwNqVFYkooSNCcjXfbdaK5k+ao0qMVtxYpr6k4qQvc1nsV6J5S6K0Bg5tiCe0sIjTk4Y&#10;T0UvUBuRBNtH8w+UMzICgk4TCa4YiPSKEIty+kibu0YE1XMhqTFcRMf/Bys/HD5FZuqKX3HmhaOB&#10;n358P/38ffr1jS3KWZkVagMuKfEuUGrq3kBHe3P2Izkz8U5Hl79EiVGc9D1e9FVdYjI/WryaX1NE&#10;Uqh8Wc7ni4xSPDwOEdNbBY5lo+KRxterKg7vMQ2p55Rcy8OtsbYfofV/OQgze4rc+dBhtlK37UY6&#10;W6iPxKalyVccv+5FVJzZd56kzWtyNuLZ2I7GUOX1PoE2fUcZdwAby9Ggek7jUuVN+PPeZz38SO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0AfbdoAAAANAQAADwAAAAAAAAABACAAAAAiAAAAZHJz&#10;L2Rvd25yZXYueG1sUEsBAhQAFAAAAAgAh07iQJmM5CbJAQAAkAMAAA4AAAAAAAAAAQAgAAAAKQEA&#10;AGRycy9lMm9Eb2MueG1sUEsFBgAAAAAGAAYAWQEAAGQFAAAAAA==&#10;">
              <v:fill on="f" focussize="0,0"/>
              <v:stroke on="f"/>
              <v:imagedata o:title=""/>
              <o:lock v:ext="edit" aspectratio="f"/>
              <v:textbox inset="0mm,0mm,0mm,0mm">
                <w:txbxContent>
                  <w:p>
                    <w:pPr>
                      <w:pStyle w:val="21"/>
                      <w:jc w:val="center"/>
                    </w:pPr>
                    <w:r>
                      <w:rPr>
                        <w:b/>
                        <w:bCs/>
                      </w:rPr>
                      <w:fldChar w:fldCharType="begin"/>
                    </w:r>
                    <w:r>
                      <w:rPr>
                        <w:b/>
                        <w:bCs/>
                      </w:rPr>
                      <w:instrText xml:space="preserve"> PAGE  \* MERGEFORMAT </w:instrText>
                    </w:r>
                    <w:r>
                      <w:rPr>
                        <w:b/>
                        <w:bCs/>
                      </w:rPr>
                      <w:fldChar w:fldCharType="separate"/>
                    </w:r>
                    <w:r>
                      <w:rPr>
                        <w:b/>
                        <w:bCs/>
                      </w:rPr>
                      <w:t>12</w:t>
                    </w:r>
                    <w:r>
                      <w:rPr>
                        <w:b/>
                        <w:bCs/>
                      </w:rPr>
                      <w:fldChar w:fldCharType="end"/>
                    </w:r>
                  </w:p>
                </w:txbxContent>
              </v:textbox>
            </v:shape>
          </w:pict>
        </mc:Fallback>
      </mc:AlternateContent>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KcP3sUBAACQ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ekbSiw3OPDz92/nH7/OP7+S&#10;m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CnD97FAQAAkAMAAA4AAAAAAAAAAQAgAAAAHgEAAGRycy9lMm9Eb2MueG1s&#10;UEsFBgAAAAAGAAYAWQEAAFUFAAAAAA==&#10;">
              <v:fill on="f" focussize="0,0"/>
              <v:stroke on="f"/>
              <v:imagedata o:title=""/>
              <o:lock v:ext="edit" aspectratio="f"/>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ind w:firstLine="360"/>
      <w:rPr>
        <w:rStyle w:val="37"/>
      </w:rPr>
    </w:pPr>
    <w:r>
      <w:fldChar w:fldCharType="begin"/>
    </w:r>
    <w:r>
      <w:rPr>
        <w:rStyle w:val="37"/>
      </w:rPr>
      <w:instrText xml:space="preserve">PAGE  </w:instrText>
    </w:r>
    <w:r>
      <w:fldChar w:fldCharType="separate"/>
    </w:r>
    <w:r>
      <w:rPr>
        <w:rStyle w:val="37"/>
      </w:rPr>
      <w:t>69</w:t>
    </w:r>
    <w:r>
      <w:fldChar w:fldCharType="end"/>
    </w:r>
  </w:p>
  <w:p>
    <w:pPr>
      <w:pStyle w:val="21"/>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jc w:val="center"/>
      <w:rPr>
        <w:rStyle w:val="37"/>
      </w:rPr>
    </w:pPr>
    <w:r>
      <w:fldChar w:fldCharType="begin"/>
    </w:r>
    <w:r>
      <w:rPr>
        <w:rStyle w:val="37"/>
      </w:rPr>
      <w:instrText xml:space="preserve">PAGE  </w:instrText>
    </w:r>
    <w:r>
      <w:fldChar w:fldCharType="separate"/>
    </w:r>
    <w:r>
      <w:rPr>
        <w:rStyle w:val="37"/>
      </w:rPr>
      <w:t>68</w:t>
    </w:r>
    <w:r>
      <w:fldChar w:fldCharType="end"/>
    </w:r>
  </w:p>
  <w:p>
    <w:pPr>
      <w:pStyle w:val="2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tabs>
        <w:tab w:val="center" w:pos="0"/>
        <w:tab w:val="clear" w:pos="4153"/>
      </w:tabs>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tabs>
        <w:tab w:val="center" w:pos="0"/>
        <w:tab w:val="clear" w:pos="4153"/>
      </w:tabs>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F1E4A"/>
    <w:multiLevelType w:val="singleLevel"/>
    <w:tmpl w:val="816F1E4A"/>
    <w:lvl w:ilvl="0" w:tentative="0">
      <w:start w:val="6"/>
      <w:numFmt w:val="chineseCounting"/>
      <w:suff w:val="space"/>
      <w:lvlText w:val="第%1章"/>
      <w:lvlJc w:val="left"/>
      <w:rPr>
        <w:rFonts w:hint="eastAsia"/>
      </w:rPr>
    </w:lvl>
  </w:abstractNum>
  <w:abstractNum w:abstractNumId="1">
    <w:nsid w:val="96BEB913"/>
    <w:multiLevelType w:val="singleLevel"/>
    <w:tmpl w:val="96BEB913"/>
    <w:lvl w:ilvl="0" w:tentative="0">
      <w:start w:val="1"/>
      <w:numFmt w:val="decimal"/>
      <w:lvlText w:val="%1."/>
      <w:lvlJc w:val="left"/>
      <w:pPr>
        <w:tabs>
          <w:tab w:val="left" w:pos="312"/>
        </w:tabs>
      </w:pPr>
    </w:lvl>
  </w:abstractNum>
  <w:abstractNum w:abstractNumId="2">
    <w:nsid w:val="A5031153"/>
    <w:multiLevelType w:val="singleLevel"/>
    <w:tmpl w:val="A5031153"/>
    <w:lvl w:ilvl="0" w:tentative="0">
      <w:start w:val="6"/>
      <w:numFmt w:val="chineseCounting"/>
      <w:suff w:val="nothing"/>
      <w:lvlText w:val="%1、"/>
      <w:lvlJc w:val="left"/>
      <w:rPr>
        <w:rFonts w:hint="eastAsia"/>
      </w:rPr>
    </w:lvl>
  </w:abstractNum>
  <w:abstractNum w:abstractNumId="3">
    <w:nsid w:val="C12129B6"/>
    <w:multiLevelType w:val="singleLevel"/>
    <w:tmpl w:val="C12129B6"/>
    <w:lvl w:ilvl="0" w:tentative="0">
      <w:start w:val="34"/>
      <w:numFmt w:val="decimal"/>
      <w:suff w:val="space"/>
      <w:lvlText w:val="%1."/>
      <w:lvlJc w:val="left"/>
    </w:lvl>
  </w:abstractNum>
  <w:abstractNum w:abstractNumId="4">
    <w:nsid w:val="C35BF514"/>
    <w:multiLevelType w:val="singleLevel"/>
    <w:tmpl w:val="C35BF514"/>
    <w:lvl w:ilvl="0" w:tentative="0">
      <w:start w:val="1"/>
      <w:numFmt w:val="decimal"/>
      <w:lvlText w:val="%1."/>
      <w:lvlJc w:val="left"/>
      <w:pPr>
        <w:tabs>
          <w:tab w:val="left" w:pos="312"/>
        </w:tabs>
      </w:pPr>
    </w:lvl>
  </w:abstractNum>
  <w:abstractNum w:abstractNumId="5">
    <w:nsid w:val="DCF51BA2"/>
    <w:multiLevelType w:val="singleLevel"/>
    <w:tmpl w:val="DCF51BA2"/>
    <w:lvl w:ilvl="0" w:tentative="0">
      <w:start w:val="5"/>
      <w:numFmt w:val="chineseCounting"/>
      <w:suff w:val="space"/>
      <w:lvlText w:val="第%1章"/>
      <w:lvlJc w:val="left"/>
      <w:rPr>
        <w:rFonts w:hint="eastAsia"/>
      </w:rPr>
    </w:lvl>
  </w:abstractNum>
  <w:abstractNum w:abstractNumId="6">
    <w:nsid w:val="DDC631A6"/>
    <w:multiLevelType w:val="singleLevel"/>
    <w:tmpl w:val="DDC631A6"/>
    <w:lvl w:ilvl="0" w:tentative="0">
      <w:start w:val="1"/>
      <w:numFmt w:val="decimal"/>
      <w:lvlText w:val="%1."/>
      <w:lvlJc w:val="left"/>
      <w:pPr>
        <w:tabs>
          <w:tab w:val="left" w:pos="312"/>
        </w:tabs>
      </w:pPr>
    </w:lvl>
  </w:abstractNum>
  <w:abstractNum w:abstractNumId="7">
    <w:nsid w:val="DE957E9A"/>
    <w:multiLevelType w:val="singleLevel"/>
    <w:tmpl w:val="DE957E9A"/>
    <w:lvl w:ilvl="0" w:tentative="0">
      <w:start w:val="1"/>
      <w:numFmt w:val="decimal"/>
      <w:lvlText w:val="%1."/>
      <w:lvlJc w:val="left"/>
      <w:pPr>
        <w:tabs>
          <w:tab w:val="left" w:pos="312"/>
        </w:tabs>
      </w:pPr>
    </w:lvl>
  </w:abstractNum>
  <w:abstractNum w:abstractNumId="8">
    <w:nsid w:val="ED95C74F"/>
    <w:multiLevelType w:val="singleLevel"/>
    <w:tmpl w:val="ED95C74F"/>
    <w:lvl w:ilvl="0" w:tentative="0">
      <w:start w:val="1"/>
      <w:numFmt w:val="decimal"/>
      <w:lvlText w:val="%1."/>
      <w:lvlJc w:val="left"/>
      <w:pPr>
        <w:tabs>
          <w:tab w:val="left" w:pos="312"/>
        </w:tabs>
      </w:pPr>
    </w:lvl>
  </w:abstractNum>
  <w:abstractNum w:abstractNumId="9">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01A2467F"/>
    <w:multiLevelType w:val="singleLevel"/>
    <w:tmpl w:val="01A2467F"/>
    <w:lvl w:ilvl="0" w:tentative="0">
      <w:start w:val="4"/>
      <w:numFmt w:val="decimal"/>
      <w:lvlText w:val="%1."/>
      <w:lvlJc w:val="left"/>
      <w:pPr>
        <w:tabs>
          <w:tab w:val="left" w:pos="312"/>
        </w:tabs>
      </w:pPr>
    </w:lvl>
  </w:abstractNum>
  <w:abstractNum w:abstractNumId="11">
    <w:nsid w:val="0315620E"/>
    <w:multiLevelType w:val="multilevel"/>
    <w:tmpl w:val="0315620E"/>
    <w:lvl w:ilvl="0" w:tentative="0">
      <w:start w:val="1"/>
      <w:numFmt w:val="decimal"/>
      <w:lvlText w:val="%1"/>
      <w:lvlJc w:val="left"/>
      <w:pPr>
        <w:tabs>
          <w:tab w:val="left" w:pos="360"/>
        </w:tabs>
        <w:ind w:left="284" w:hanging="284"/>
      </w:pPr>
      <w:rPr>
        <w:rFonts w:hint="default" w:ascii="Times New Roman" w:hAnsi="Times New Roman" w:cs="Times New Roman"/>
        <w:b/>
        <w:i w:val="0"/>
        <w:sz w:val="28"/>
      </w:rPr>
    </w:lvl>
    <w:lvl w:ilvl="1" w:tentative="0">
      <w:start w:val="1"/>
      <w:numFmt w:val="decimal"/>
      <w:lvlText w:val="%1.%2"/>
      <w:lvlJc w:val="left"/>
      <w:pPr>
        <w:tabs>
          <w:tab w:val="left" w:pos="1021"/>
        </w:tabs>
        <w:ind w:left="1021" w:hanging="596"/>
      </w:pPr>
      <w:rPr>
        <w:rFonts w:hint="default" w:ascii="Times New Roman" w:hAnsi="Times New Roman" w:cs="Times New Roman"/>
        <w:b/>
        <w:i w:val="0"/>
        <w:sz w:val="28"/>
      </w:rPr>
    </w:lvl>
    <w:lvl w:ilvl="2" w:tentative="0">
      <w:start w:val="1"/>
      <w:numFmt w:val="decimal"/>
      <w:lvlText w:val="%1.%2.%3"/>
      <w:lvlJc w:val="left"/>
      <w:pPr>
        <w:tabs>
          <w:tab w:val="left" w:pos="1588"/>
        </w:tabs>
        <w:ind w:left="1588" w:hanging="737"/>
      </w:pPr>
      <w:rPr>
        <w:rFonts w:hint="default" w:ascii="Times New Roman" w:hAnsi="Times New Roman" w:cs="Times New Roman"/>
        <w:b/>
        <w:i w:val="0"/>
        <w:sz w:val="24"/>
      </w:rPr>
    </w:lvl>
    <w:lvl w:ilvl="3" w:tentative="0">
      <w:start w:val="1"/>
      <w:numFmt w:val="decimal"/>
      <w:pStyle w:val="5"/>
      <w:lvlText w:val="%1.%2.%3.%4"/>
      <w:lvlJc w:val="left"/>
      <w:pPr>
        <w:tabs>
          <w:tab w:val="left" w:pos="3063"/>
        </w:tabs>
        <w:ind w:left="3063" w:hanging="1078"/>
      </w:pPr>
      <w:rPr>
        <w:rFonts w:hint="default" w:ascii="Arial" w:hAnsi="Arial" w:cs="Times New Roman"/>
        <w:b w:val="0"/>
        <w:i w:val="0"/>
        <w:sz w:val="24"/>
      </w:rPr>
    </w:lvl>
    <w:lvl w:ilvl="4" w:tentative="0">
      <w:start w:val="1"/>
      <w:numFmt w:val="decimal"/>
      <w:lvlText w:val="%1.%2.%3.%4.%5"/>
      <w:lvlJc w:val="left"/>
      <w:pPr>
        <w:tabs>
          <w:tab w:val="left" w:pos="3141"/>
        </w:tabs>
        <w:ind w:left="2551" w:hanging="850"/>
      </w:pPr>
    </w:lvl>
    <w:lvl w:ilvl="5" w:tentative="0">
      <w:start w:val="1"/>
      <w:numFmt w:val="decimal"/>
      <w:lvlText w:val="%1.%2.%3.%4.%5.%6"/>
      <w:lvlJc w:val="left"/>
      <w:pPr>
        <w:tabs>
          <w:tab w:val="left" w:pos="3566"/>
        </w:tabs>
        <w:ind w:left="3260" w:hanging="1134"/>
      </w:pPr>
    </w:lvl>
    <w:lvl w:ilvl="6" w:tentative="0">
      <w:start w:val="1"/>
      <w:numFmt w:val="decimal"/>
      <w:lvlText w:val="%1.%2.%3.%4.%5.%6.%7"/>
      <w:lvlJc w:val="left"/>
      <w:pPr>
        <w:tabs>
          <w:tab w:val="left" w:pos="4351"/>
        </w:tabs>
        <w:ind w:left="3827" w:hanging="1276"/>
      </w:pPr>
    </w:lvl>
    <w:lvl w:ilvl="7" w:tentative="0">
      <w:start w:val="1"/>
      <w:numFmt w:val="decimal"/>
      <w:lvlText w:val="%1.%2.%3.%4.%5.%6.%7.%8"/>
      <w:lvlJc w:val="left"/>
      <w:pPr>
        <w:tabs>
          <w:tab w:val="left" w:pos="5136"/>
        </w:tabs>
        <w:ind w:left="4394" w:hanging="1418"/>
      </w:pPr>
    </w:lvl>
    <w:lvl w:ilvl="8" w:tentative="0">
      <w:start w:val="1"/>
      <w:numFmt w:val="decimal"/>
      <w:lvlText w:val="%1.%2.%3.%4.%5.%6.%7.%8.%9"/>
      <w:lvlJc w:val="left"/>
      <w:pPr>
        <w:tabs>
          <w:tab w:val="left" w:pos="5562"/>
        </w:tabs>
        <w:ind w:left="5102" w:hanging="1700"/>
      </w:pPr>
    </w:lvl>
  </w:abstractNum>
  <w:abstractNum w:abstractNumId="12">
    <w:nsid w:val="10DF2EEF"/>
    <w:multiLevelType w:val="singleLevel"/>
    <w:tmpl w:val="10DF2EEF"/>
    <w:lvl w:ilvl="0" w:tentative="0">
      <w:start w:val="7"/>
      <w:numFmt w:val="decimal"/>
      <w:lvlText w:val="%1."/>
      <w:lvlJc w:val="left"/>
      <w:pPr>
        <w:tabs>
          <w:tab w:val="left" w:pos="312"/>
        </w:tabs>
      </w:pPr>
    </w:lvl>
  </w:abstractNum>
  <w:abstractNum w:abstractNumId="13">
    <w:nsid w:val="14F72976"/>
    <w:multiLevelType w:val="singleLevel"/>
    <w:tmpl w:val="14F72976"/>
    <w:lvl w:ilvl="0" w:tentative="0">
      <w:start w:val="1"/>
      <w:numFmt w:val="decimal"/>
      <w:lvlText w:val="%1."/>
      <w:lvlJc w:val="left"/>
      <w:pPr>
        <w:tabs>
          <w:tab w:val="left" w:pos="312"/>
        </w:tabs>
      </w:pPr>
    </w:lvl>
  </w:abstractNum>
  <w:abstractNum w:abstractNumId="14">
    <w:nsid w:val="24FE6D96"/>
    <w:multiLevelType w:val="singleLevel"/>
    <w:tmpl w:val="24FE6D96"/>
    <w:lvl w:ilvl="0" w:tentative="0">
      <w:start w:val="3"/>
      <w:numFmt w:val="decimal"/>
      <w:lvlText w:val="%1."/>
      <w:lvlJc w:val="left"/>
      <w:pPr>
        <w:tabs>
          <w:tab w:val="left" w:pos="312"/>
        </w:tabs>
      </w:pPr>
    </w:lvl>
  </w:abstractNum>
  <w:abstractNum w:abstractNumId="15">
    <w:nsid w:val="61FEB2EF"/>
    <w:multiLevelType w:val="singleLevel"/>
    <w:tmpl w:val="61FEB2EF"/>
    <w:lvl w:ilvl="0" w:tentative="0">
      <w:start w:val="2"/>
      <w:numFmt w:val="chineseCounting"/>
      <w:suff w:val="nothing"/>
      <w:lvlText w:val="%1、"/>
      <w:lvlJc w:val="left"/>
      <w:rPr>
        <w:rFonts w:hint="eastAsia"/>
      </w:rPr>
    </w:lvl>
  </w:abstractNum>
  <w:abstractNum w:abstractNumId="16">
    <w:nsid w:val="73C99E47"/>
    <w:multiLevelType w:val="multilevel"/>
    <w:tmpl w:val="73C99E47"/>
    <w:lvl w:ilvl="0" w:tentative="0">
      <w:start w:val="1"/>
      <w:numFmt w:val="decimal"/>
      <w:lvlText w:val="%1."/>
      <w:lvlJc w:val="left"/>
      <w:pPr>
        <w:tabs>
          <w:tab w:val="left" w:pos="312"/>
        </w:tabs>
      </w:pPr>
    </w:lvl>
    <w:lvl w:ilvl="1" w:tentative="0">
      <w:start w:val="1"/>
      <w:numFmt w:val="decimal"/>
      <w:suff w:val="space"/>
      <w:lvlText w:val="%1.%2"/>
      <w:lvlJc w:val="left"/>
      <w:pPr>
        <w:ind w:left="315" w:leftChars="0" w:firstLine="0" w:firstLineChars="0"/>
      </w:pPr>
      <w:rPr>
        <w:rFonts w:hint="default"/>
      </w:rPr>
    </w:lvl>
    <w:lvl w:ilvl="2" w:tentative="0">
      <w:start w:val="1"/>
      <w:numFmt w:val="decimal"/>
      <w:suff w:val="space"/>
      <w:lvlText w:val="%1.%2.%3"/>
      <w:lvlJc w:val="left"/>
      <w:pPr>
        <w:ind w:left="315" w:leftChars="0" w:firstLine="0" w:firstLineChars="0"/>
      </w:pPr>
      <w:rPr>
        <w:rFonts w:hint="default"/>
      </w:rPr>
    </w:lvl>
    <w:lvl w:ilvl="3" w:tentative="0">
      <w:start w:val="1"/>
      <w:numFmt w:val="decimal"/>
      <w:suff w:val="space"/>
      <w:lvlText w:val="%1.%2.%3.%4"/>
      <w:lvlJc w:val="left"/>
      <w:pPr>
        <w:ind w:left="315" w:leftChars="0" w:firstLine="0" w:firstLineChars="0"/>
      </w:pPr>
      <w:rPr>
        <w:rFonts w:hint="default"/>
      </w:rPr>
    </w:lvl>
    <w:lvl w:ilvl="4" w:tentative="0">
      <w:start w:val="1"/>
      <w:numFmt w:val="decimal"/>
      <w:suff w:val="space"/>
      <w:lvlText w:val="%1.%2.%3.%4.%5"/>
      <w:lvlJc w:val="left"/>
      <w:pPr>
        <w:ind w:left="315" w:leftChars="0" w:firstLine="0" w:firstLineChars="0"/>
      </w:pPr>
      <w:rPr>
        <w:rFonts w:hint="default"/>
      </w:rPr>
    </w:lvl>
    <w:lvl w:ilvl="5" w:tentative="0">
      <w:start w:val="1"/>
      <w:numFmt w:val="decimal"/>
      <w:suff w:val="space"/>
      <w:lvlText w:val="%1.%2.%3.%4.%5.%6"/>
      <w:lvlJc w:val="left"/>
      <w:pPr>
        <w:ind w:left="315" w:leftChars="0" w:firstLine="0" w:firstLineChars="0"/>
      </w:pPr>
      <w:rPr>
        <w:rFonts w:hint="default"/>
      </w:rPr>
    </w:lvl>
    <w:lvl w:ilvl="6" w:tentative="0">
      <w:start w:val="1"/>
      <w:numFmt w:val="decimal"/>
      <w:suff w:val="space"/>
      <w:lvlText w:val="%1.%2.%3.%4.%5.%6.%7"/>
      <w:lvlJc w:val="left"/>
      <w:pPr>
        <w:ind w:left="315" w:leftChars="0" w:firstLine="0" w:firstLineChars="0"/>
      </w:pPr>
      <w:rPr>
        <w:rFonts w:hint="default"/>
      </w:rPr>
    </w:lvl>
    <w:lvl w:ilvl="7" w:tentative="0">
      <w:start w:val="1"/>
      <w:numFmt w:val="decimal"/>
      <w:suff w:val="space"/>
      <w:lvlText w:val="%1.%2.%3.%4.%5.%6.%7.%8"/>
      <w:lvlJc w:val="left"/>
      <w:pPr>
        <w:ind w:left="315" w:leftChars="0" w:firstLine="0" w:firstLineChars="0"/>
      </w:pPr>
      <w:rPr>
        <w:rFonts w:hint="default"/>
      </w:rPr>
    </w:lvl>
    <w:lvl w:ilvl="8" w:tentative="0">
      <w:start w:val="1"/>
      <w:numFmt w:val="decimal"/>
      <w:suff w:val="space"/>
      <w:lvlText w:val="%1.%2.%3.%4.%5.%6.%7.%8.%9"/>
      <w:lvlJc w:val="left"/>
      <w:pPr>
        <w:ind w:left="315" w:leftChars="0" w:firstLine="0" w:firstLineChars="0"/>
      </w:pPr>
      <w:rPr>
        <w:rFonts w:hint="default"/>
      </w:rPr>
    </w:lvl>
  </w:abstractNum>
  <w:num w:numId="1">
    <w:abstractNumId w:val="11"/>
  </w:num>
  <w:num w:numId="2">
    <w:abstractNumId w:val="14"/>
  </w:num>
  <w:num w:numId="3">
    <w:abstractNumId w:val="10"/>
  </w:num>
  <w:num w:numId="4">
    <w:abstractNumId w:val="12"/>
  </w:num>
  <w:num w:numId="5">
    <w:abstractNumId w:val="1"/>
  </w:num>
  <w:num w:numId="6">
    <w:abstractNumId w:val="4"/>
  </w:num>
  <w:num w:numId="7">
    <w:abstractNumId w:val="13"/>
  </w:num>
  <w:num w:numId="8">
    <w:abstractNumId w:val="7"/>
  </w:num>
  <w:num w:numId="9">
    <w:abstractNumId w:val="16"/>
  </w:num>
  <w:num w:numId="10">
    <w:abstractNumId w:val="6"/>
  </w:num>
  <w:num w:numId="11">
    <w:abstractNumId w:val="3"/>
  </w:num>
  <w:num w:numId="12">
    <w:abstractNumId w:val="5"/>
  </w:num>
  <w:num w:numId="13">
    <w:abstractNumId w:val="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NzBmYmQ3NjhhNjU3Y2UyZGY4NTI2ZGNlN2JmZWU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41EA"/>
    <w:rsid w:val="00015094"/>
    <w:rsid w:val="00016ABC"/>
    <w:rsid w:val="000177DB"/>
    <w:rsid w:val="000179C9"/>
    <w:rsid w:val="00017CCC"/>
    <w:rsid w:val="00020227"/>
    <w:rsid w:val="00020263"/>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5D41"/>
    <w:rsid w:val="00057CD6"/>
    <w:rsid w:val="00060DCE"/>
    <w:rsid w:val="000610E3"/>
    <w:rsid w:val="000614F3"/>
    <w:rsid w:val="000623B4"/>
    <w:rsid w:val="00062405"/>
    <w:rsid w:val="000633B2"/>
    <w:rsid w:val="000634A7"/>
    <w:rsid w:val="00063B0B"/>
    <w:rsid w:val="00063F81"/>
    <w:rsid w:val="00064847"/>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0D8E"/>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4F8"/>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52CB"/>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460"/>
    <w:rsid w:val="001F7113"/>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0E"/>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7F3A"/>
    <w:rsid w:val="00250122"/>
    <w:rsid w:val="00250755"/>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67EBC"/>
    <w:rsid w:val="0027125E"/>
    <w:rsid w:val="00271767"/>
    <w:rsid w:val="0027223B"/>
    <w:rsid w:val="00272293"/>
    <w:rsid w:val="002723C8"/>
    <w:rsid w:val="00273C2A"/>
    <w:rsid w:val="00273CBE"/>
    <w:rsid w:val="002746B1"/>
    <w:rsid w:val="00274BAD"/>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5042"/>
    <w:rsid w:val="002B69CC"/>
    <w:rsid w:val="002B6D71"/>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4AB7"/>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5D9"/>
    <w:rsid w:val="00486D60"/>
    <w:rsid w:val="00491FA1"/>
    <w:rsid w:val="00492A25"/>
    <w:rsid w:val="004938A3"/>
    <w:rsid w:val="00494FFB"/>
    <w:rsid w:val="0049558B"/>
    <w:rsid w:val="00496350"/>
    <w:rsid w:val="0049797C"/>
    <w:rsid w:val="004A00E1"/>
    <w:rsid w:val="004A0943"/>
    <w:rsid w:val="004A1405"/>
    <w:rsid w:val="004A1FC6"/>
    <w:rsid w:val="004A2E5F"/>
    <w:rsid w:val="004A38C2"/>
    <w:rsid w:val="004A3C03"/>
    <w:rsid w:val="004A3DB7"/>
    <w:rsid w:val="004A3EAC"/>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0DBA"/>
    <w:rsid w:val="004C114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879"/>
    <w:rsid w:val="00523BB1"/>
    <w:rsid w:val="0052570E"/>
    <w:rsid w:val="005260CD"/>
    <w:rsid w:val="00526265"/>
    <w:rsid w:val="0052655D"/>
    <w:rsid w:val="005265E0"/>
    <w:rsid w:val="00526BC3"/>
    <w:rsid w:val="00531761"/>
    <w:rsid w:val="005323C8"/>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205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1AED"/>
    <w:rsid w:val="005C30F5"/>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41B0"/>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1F77"/>
    <w:rsid w:val="00602A3C"/>
    <w:rsid w:val="00602F92"/>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810"/>
    <w:rsid w:val="006D6E12"/>
    <w:rsid w:val="006D70CB"/>
    <w:rsid w:val="006D715C"/>
    <w:rsid w:val="006D7363"/>
    <w:rsid w:val="006D774E"/>
    <w:rsid w:val="006D7EA2"/>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284"/>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986"/>
    <w:rsid w:val="00772A90"/>
    <w:rsid w:val="00772F8D"/>
    <w:rsid w:val="0077408D"/>
    <w:rsid w:val="00774270"/>
    <w:rsid w:val="007743F6"/>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1E6D"/>
    <w:rsid w:val="00791EB5"/>
    <w:rsid w:val="00791FF2"/>
    <w:rsid w:val="00793696"/>
    <w:rsid w:val="007955DA"/>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F6E"/>
    <w:rsid w:val="00815363"/>
    <w:rsid w:val="00815B84"/>
    <w:rsid w:val="00816BE9"/>
    <w:rsid w:val="0082027C"/>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526"/>
    <w:rsid w:val="00837F20"/>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07B8"/>
    <w:rsid w:val="008B17E8"/>
    <w:rsid w:val="008B2E7C"/>
    <w:rsid w:val="008B321A"/>
    <w:rsid w:val="008B399A"/>
    <w:rsid w:val="008B45F0"/>
    <w:rsid w:val="008B4A70"/>
    <w:rsid w:val="008B502F"/>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2C76"/>
    <w:rsid w:val="008D3B2D"/>
    <w:rsid w:val="008D58D9"/>
    <w:rsid w:val="008D5AD4"/>
    <w:rsid w:val="008D695E"/>
    <w:rsid w:val="008D6DD5"/>
    <w:rsid w:val="008D6E59"/>
    <w:rsid w:val="008D7155"/>
    <w:rsid w:val="008D76E0"/>
    <w:rsid w:val="008E0B29"/>
    <w:rsid w:val="008E141A"/>
    <w:rsid w:val="008E1A44"/>
    <w:rsid w:val="008E1E55"/>
    <w:rsid w:val="008E28E6"/>
    <w:rsid w:val="008E3232"/>
    <w:rsid w:val="008E3674"/>
    <w:rsid w:val="008E3B6C"/>
    <w:rsid w:val="008E3DE7"/>
    <w:rsid w:val="008E562C"/>
    <w:rsid w:val="008E6540"/>
    <w:rsid w:val="008E77D4"/>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4A46"/>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3808"/>
    <w:rsid w:val="009539A6"/>
    <w:rsid w:val="00954032"/>
    <w:rsid w:val="00954537"/>
    <w:rsid w:val="0095472D"/>
    <w:rsid w:val="00955FBB"/>
    <w:rsid w:val="0095694B"/>
    <w:rsid w:val="00956BD5"/>
    <w:rsid w:val="00956D84"/>
    <w:rsid w:val="009577B5"/>
    <w:rsid w:val="009608E6"/>
    <w:rsid w:val="00960B96"/>
    <w:rsid w:val="00960F57"/>
    <w:rsid w:val="00961C90"/>
    <w:rsid w:val="00965443"/>
    <w:rsid w:val="00965954"/>
    <w:rsid w:val="00965A21"/>
    <w:rsid w:val="00965E55"/>
    <w:rsid w:val="0096608E"/>
    <w:rsid w:val="00966522"/>
    <w:rsid w:val="00966C33"/>
    <w:rsid w:val="00966FCB"/>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598"/>
    <w:rsid w:val="00987812"/>
    <w:rsid w:val="00990225"/>
    <w:rsid w:val="00992A13"/>
    <w:rsid w:val="00994AAD"/>
    <w:rsid w:val="00994DE1"/>
    <w:rsid w:val="00995150"/>
    <w:rsid w:val="00995D67"/>
    <w:rsid w:val="009978F1"/>
    <w:rsid w:val="009A013B"/>
    <w:rsid w:val="009A01A8"/>
    <w:rsid w:val="009A02F4"/>
    <w:rsid w:val="009A06BF"/>
    <w:rsid w:val="009A0D17"/>
    <w:rsid w:val="009A2494"/>
    <w:rsid w:val="009A295D"/>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1AF6"/>
    <w:rsid w:val="009C2913"/>
    <w:rsid w:val="009C2BD4"/>
    <w:rsid w:val="009C5AFE"/>
    <w:rsid w:val="009C6606"/>
    <w:rsid w:val="009C6CE5"/>
    <w:rsid w:val="009C6D50"/>
    <w:rsid w:val="009C7547"/>
    <w:rsid w:val="009D05EC"/>
    <w:rsid w:val="009D18D4"/>
    <w:rsid w:val="009D22DB"/>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3812"/>
    <w:rsid w:val="00A15655"/>
    <w:rsid w:val="00A160B0"/>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3D51"/>
    <w:rsid w:val="00A54572"/>
    <w:rsid w:val="00A575B8"/>
    <w:rsid w:val="00A61C60"/>
    <w:rsid w:val="00A61ECB"/>
    <w:rsid w:val="00A6410C"/>
    <w:rsid w:val="00A647B1"/>
    <w:rsid w:val="00A64DEF"/>
    <w:rsid w:val="00A654D2"/>
    <w:rsid w:val="00A665DF"/>
    <w:rsid w:val="00A67928"/>
    <w:rsid w:val="00A67FCC"/>
    <w:rsid w:val="00A70AA5"/>
    <w:rsid w:val="00A70C03"/>
    <w:rsid w:val="00A71256"/>
    <w:rsid w:val="00A7217B"/>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5721"/>
    <w:rsid w:val="00AD5C4D"/>
    <w:rsid w:val="00AD69F0"/>
    <w:rsid w:val="00AD7127"/>
    <w:rsid w:val="00AD730C"/>
    <w:rsid w:val="00AD7D62"/>
    <w:rsid w:val="00AE123A"/>
    <w:rsid w:val="00AE1539"/>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B0098A"/>
    <w:rsid w:val="00B00A5F"/>
    <w:rsid w:val="00B00F89"/>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8D4"/>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FC7"/>
    <w:rsid w:val="00BA4238"/>
    <w:rsid w:val="00BA478B"/>
    <w:rsid w:val="00BA5224"/>
    <w:rsid w:val="00BA575E"/>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D7AB4"/>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24C1"/>
    <w:rsid w:val="00C128AE"/>
    <w:rsid w:val="00C12BA8"/>
    <w:rsid w:val="00C136D6"/>
    <w:rsid w:val="00C13902"/>
    <w:rsid w:val="00C13D5B"/>
    <w:rsid w:val="00C141D7"/>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0B0"/>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1282"/>
    <w:rsid w:val="00C827B4"/>
    <w:rsid w:val="00C83214"/>
    <w:rsid w:val="00C8329F"/>
    <w:rsid w:val="00C83BC4"/>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DC7"/>
    <w:rsid w:val="00CE5EC0"/>
    <w:rsid w:val="00CE6A0B"/>
    <w:rsid w:val="00CE6F9F"/>
    <w:rsid w:val="00CE781A"/>
    <w:rsid w:val="00CE7B08"/>
    <w:rsid w:val="00CE7D52"/>
    <w:rsid w:val="00CF1D74"/>
    <w:rsid w:val="00CF2BE2"/>
    <w:rsid w:val="00CF3DEB"/>
    <w:rsid w:val="00CF55F9"/>
    <w:rsid w:val="00CF7074"/>
    <w:rsid w:val="00CF7390"/>
    <w:rsid w:val="00CF7495"/>
    <w:rsid w:val="00D01CF9"/>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7EB6"/>
    <w:rsid w:val="00D57F8C"/>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A7B7D"/>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009D"/>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4C0F"/>
    <w:rsid w:val="00E04C26"/>
    <w:rsid w:val="00E0570B"/>
    <w:rsid w:val="00E10343"/>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517A5"/>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A14C8"/>
    <w:rsid w:val="00EA2110"/>
    <w:rsid w:val="00EA283A"/>
    <w:rsid w:val="00EA2C90"/>
    <w:rsid w:val="00EA2E07"/>
    <w:rsid w:val="00EA383B"/>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CB0"/>
    <w:rsid w:val="00EF08A8"/>
    <w:rsid w:val="00EF167B"/>
    <w:rsid w:val="00EF30BF"/>
    <w:rsid w:val="00EF3659"/>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2C"/>
    <w:rsid w:val="00F069EA"/>
    <w:rsid w:val="00F070E5"/>
    <w:rsid w:val="00F07DDE"/>
    <w:rsid w:val="00F11675"/>
    <w:rsid w:val="00F12557"/>
    <w:rsid w:val="00F13599"/>
    <w:rsid w:val="00F13B28"/>
    <w:rsid w:val="00F14E01"/>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58C"/>
    <w:rsid w:val="00F97A7F"/>
    <w:rsid w:val="00FA0889"/>
    <w:rsid w:val="00FA16E7"/>
    <w:rsid w:val="00FA31C7"/>
    <w:rsid w:val="00FA472D"/>
    <w:rsid w:val="00FA66F4"/>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4138C2"/>
    <w:rsid w:val="014834A0"/>
    <w:rsid w:val="015B4FE6"/>
    <w:rsid w:val="016A5229"/>
    <w:rsid w:val="01910A08"/>
    <w:rsid w:val="01AF3D99"/>
    <w:rsid w:val="01C24674"/>
    <w:rsid w:val="022434AA"/>
    <w:rsid w:val="02511F9D"/>
    <w:rsid w:val="02706D25"/>
    <w:rsid w:val="02717251"/>
    <w:rsid w:val="02731E9A"/>
    <w:rsid w:val="028811FA"/>
    <w:rsid w:val="02BB452B"/>
    <w:rsid w:val="02C06C91"/>
    <w:rsid w:val="02DF4779"/>
    <w:rsid w:val="031D1E92"/>
    <w:rsid w:val="03A314B8"/>
    <w:rsid w:val="03BB5ECE"/>
    <w:rsid w:val="03D82B98"/>
    <w:rsid w:val="03EF5EB9"/>
    <w:rsid w:val="03F83E8B"/>
    <w:rsid w:val="04114EA7"/>
    <w:rsid w:val="041E284B"/>
    <w:rsid w:val="04762EB4"/>
    <w:rsid w:val="048C3056"/>
    <w:rsid w:val="04DE120A"/>
    <w:rsid w:val="04ED064B"/>
    <w:rsid w:val="05245627"/>
    <w:rsid w:val="05265544"/>
    <w:rsid w:val="05483AD3"/>
    <w:rsid w:val="055406CA"/>
    <w:rsid w:val="05746676"/>
    <w:rsid w:val="05793C8D"/>
    <w:rsid w:val="059D461C"/>
    <w:rsid w:val="05A02C7F"/>
    <w:rsid w:val="05AB5E10"/>
    <w:rsid w:val="05C56868"/>
    <w:rsid w:val="05C72C4A"/>
    <w:rsid w:val="05DB04A3"/>
    <w:rsid w:val="05E3743D"/>
    <w:rsid w:val="060E087B"/>
    <w:rsid w:val="066D0B7A"/>
    <w:rsid w:val="06733E3D"/>
    <w:rsid w:val="068E5AD8"/>
    <w:rsid w:val="06A0349B"/>
    <w:rsid w:val="06B9589C"/>
    <w:rsid w:val="06D3561E"/>
    <w:rsid w:val="06FF5041"/>
    <w:rsid w:val="0735266F"/>
    <w:rsid w:val="07462294"/>
    <w:rsid w:val="075631C5"/>
    <w:rsid w:val="07B216D8"/>
    <w:rsid w:val="07B72767"/>
    <w:rsid w:val="07C9201D"/>
    <w:rsid w:val="07DE071F"/>
    <w:rsid w:val="07EA27B0"/>
    <w:rsid w:val="08077E72"/>
    <w:rsid w:val="08882DD0"/>
    <w:rsid w:val="088A5DF8"/>
    <w:rsid w:val="08B35707"/>
    <w:rsid w:val="08E27D9B"/>
    <w:rsid w:val="08E6788B"/>
    <w:rsid w:val="094320D9"/>
    <w:rsid w:val="094D4C1F"/>
    <w:rsid w:val="09CC2AAC"/>
    <w:rsid w:val="09D26E76"/>
    <w:rsid w:val="0A6172BC"/>
    <w:rsid w:val="0A652D3E"/>
    <w:rsid w:val="0AED1704"/>
    <w:rsid w:val="0AF3304C"/>
    <w:rsid w:val="0B052F04"/>
    <w:rsid w:val="0B326F2A"/>
    <w:rsid w:val="0B393319"/>
    <w:rsid w:val="0BE82909"/>
    <w:rsid w:val="0C126242"/>
    <w:rsid w:val="0C1E2888"/>
    <w:rsid w:val="0C673206"/>
    <w:rsid w:val="0C760F26"/>
    <w:rsid w:val="0C8B0F57"/>
    <w:rsid w:val="0C8D626F"/>
    <w:rsid w:val="0C92213C"/>
    <w:rsid w:val="0C9327B6"/>
    <w:rsid w:val="0CCC323C"/>
    <w:rsid w:val="0CEA79C2"/>
    <w:rsid w:val="0CEC7E16"/>
    <w:rsid w:val="0D1E3490"/>
    <w:rsid w:val="0D35170A"/>
    <w:rsid w:val="0D397A5A"/>
    <w:rsid w:val="0D660F9A"/>
    <w:rsid w:val="0D84032B"/>
    <w:rsid w:val="0D906097"/>
    <w:rsid w:val="0D957AD2"/>
    <w:rsid w:val="0D994565"/>
    <w:rsid w:val="0DAA4FD3"/>
    <w:rsid w:val="0DAB21BC"/>
    <w:rsid w:val="0E2315FC"/>
    <w:rsid w:val="0E792F4F"/>
    <w:rsid w:val="0E8B67DF"/>
    <w:rsid w:val="0EA4216B"/>
    <w:rsid w:val="0EC876BD"/>
    <w:rsid w:val="0EDE1004"/>
    <w:rsid w:val="0EE9593E"/>
    <w:rsid w:val="0EFA5B42"/>
    <w:rsid w:val="0F2A74C4"/>
    <w:rsid w:val="0F3A20D3"/>
    <w:rsid w:val="0F4B48EC"/>
    <w:rsid w:val="0F657062"/>
    <w:rsid w:val="0F957915"/>
    <w:rsid w:val="0F9C287E"/>
    <w:rsid w:val="0FB17966"/>
    <w:rsid w:val="0FBC6371"/>
    <w:rsid w:val="0FFB7E45"/>
    <w:rsid w:val="102456E3"/>
    <w:rsid w:val="105B6F8A"/>
    <w:rsid w:val="107240FA"/>
    <w:rsid w:val="10997B3A"/>
    <w:rsid w:val="10A27F31"/>
    <w:rsid w:val="10B4265B"/>
    <w:rsid w:val="10CA7A92"/>
    <w:rsid w:val="10D547D4"/>
    <w:rsid w:val="10E2645E"/>
    <w:rsid w:val="11280AC4"/>
    <w:rsid w:val="11717F0E"/>
    <w:rsid w:val="11927058"/>
    <w:rsid w:val="11B07D37"/>
    <w:rsid w:val="11C449B6"/>
    <w:rsid w:val="11DC43AF"/>
    <w:rsid w:val="12160A34"/>
    <w:rsid w:val="122921EC"/>
    <w:rsid w:val="123553DF"/>
    <w:rsid w:val="12385D22"/>
    <w:rsid w:val="127952CC"/>
    <w:rsid w:val="12B02ED5"/>
    <w:rsid w:val="12B204D6"/>
    <w:rsid w:val="12BC165D"/>
    <w:rsid w:val="12BF3A5C"/>
    <w:rsid w:val="12EB52B2"/>
    <w:rsid w:val="13196AAF"/>
    <w:rsid w:val="134F26C3"/>
    <w:rsid w:val="13AC510D"/>
    <w:rsid w:val="13AF4F03"/>
    <w:rsid w:val="13F76DF0"/>
    <w:rsid w:val="142257E9"/>
    <w:rsid w:val="14310739"/>
    <w:rsid w:val="144A465D"/>
    <w:rsid w:val="144E7D17"/>
    <w:rsid w:val="14736E66"/>
    <w:rsid w:val="147F458F"/>
    <w:rsid w:val="14835BD5"/>
    <w:rsid w:val="14D40EDF"/>
    <w:rsid w:val="14D958EC"/>
    <w:rsid w:val="14DF215A"/>
    <w:rsid w:val="1504098E"/>
    <w:rsid w:val="1534169A"/>
    <w:rsid w:val="157E4EF0"/>
    <w:rsid w:val="15A90642"/>
    <w:rsid w:val="15B10014"/>
    <w:rsid w:val="15C03E03"/>
    <w:rsid w:val="15CC1CD3"/>
    <w:rsid w:val="15F93A4F"/>
    <w:rsid w:val="15FF3D3A"/>
    <w:rsid w:val="160F4043"/>
    <w:rsid w:val="16135BD5"/>
    <w:rsid w:val="162A25EB"/>
    <w:rsid w:val="165E4489"/>
    <w:rsid w:val="16A336C7"/>
    <w:rsid w:val="16AD5166"/>
    <w:rsid w:val="16CA243A"/>
    <w:rsid w:val="16FC6A7F"/>
    <w:rsid w:val="16FD2A55"/>
    <w:rsid w:val="1706559C"/>
    <w:rsid w:val="17067C1A"/>
    <w:rsid w:val="17366761"/>
    <w:rsid w:val="173E73C8"/>
    <w:rsid w:val="1770047F"/>
    <w:rsid w:val="177C01F0"/>
    <w:rsid w:val="17A2399D"/>
    <w:rsid w:val="17CE6630"/>
    <w:rsid w:val="17F13B56"/>
    <w:rsid w:val="17F83137"/>
    <w:rsid w:val="1814338C"/>
    <w:rsid w:val="18147845"/>
    <w:rsid w:val="18185587"/>
    <w:rsid w:val="1844637C"/>
    <w:rsid w:val="18605A0F"/>
    <w:rsid w:val="1897327F"/>
    <w:rsid w:val="18C46036"/>
    <w:rsid w:val="18D55226"/>
    <w:rsid w:val="18E83EAA"/>
    <w:rsid w:val="18F90F15"/>
    <w:rsid w:val="18FF4051"/>
    <w:rsid w:val="190F4DAF"/>
    <w:rsid w:val="19A8293B"/>
    <w:rsid w:val="19EA4D01"/>
    <w:rsid w:val="1A644AB4"/>
    <w:rsid w:val="1A6A7BF0"/>
    <w:rsid w:val="1A756CC1"/>
    <w:rsid w:val="1A815666"/>
    <w:rsid w:val="1ACA4B0A"/>
    <w:rsid w:val="1AFF0AFE"/>
    <w:rsid w:val="1B244886"/>
    <w:rsid w:val="1B4F19F8"/>
    <w:rsid w:val="1BEE218B"/>
    <w:rsid w:val="1C040B04"/>
    <w:rsid w:val="1C105994"/>
    <w:rsid w:val="1C142549"/>
    <w:rsid w:val="1C226F03"/>
    <w:rsid w:val="1C427076"/>
    <w:rsid w:val="1C8E406A"/>
    <w:rsid w:val="1CA23E06"/>
    <w:rsid w:val="1CA56F4F"/>
    <w:rsid w:val="1CAB7512"/>
    <w:rsid w:val="1CBB4733"/>
    <w:rsid w:val="1CD557F5"/>
    <w:rsid w:val="1D50131F"/>
    <w:rsid w:val="1D692122"/>
    <w:rsid w:val="1D864D41"/>
    <w:rsid w:val="1DD51824"/>
    <w:rsid w:val="1E0A0EB6"/>
    <w:rsid w:val="1EBC419B"/>
    <w:rsid w:val="1ECC44FA"/>
    <w:rsid w:val="1F063325"/>
    <w:rsid w:val="1F3F4D8C"/>
    <w:rsid w:val="1F403551"/>
    <w:rsid w:val="1F8D685B"/>
    <w:rsid w:val="1F9F5BE1"/>
    <w:rsid w:val="1FBC5DF5"/>
    <w:rsid w:val="1FD707C9"/>
    <w:rsid w:val="1FDB296A"/>
    <w:rsid w:val="1FEB1FA4"/>
    <w:rsid w:val="1FF76F79"/>
    <w:rsid w:val="1FF90588"/>
    <w:rsid w:val="204E1583"/>
    <w:rsid w:val="208E0AFB"/>
    <w:rsid w:val="20C3623F"/>
    <w:rsid w:val="20EB4E0E"/>
    <w:rsid w:val="210E0BD3"/>
    <w:rsid w:val="2116462E"/>
    <w:rsid w:val="216C51F8"/>
    <w:rsid w:val="21781212"/>
    <w:rsid w:val="21AA0945"/>
    <w:rsid w:val="21B83F86"/>
    <w:rsid w:val="21BD185F"/>
    <w:rsid w:val="22001566"/>
    <w:rsid w:val="221178A8"/>
    <w:rsid w:val="221213CF"/>
    <w:rsid w:val="221768AF"/>
    <w:rsid w:val="22327A92"/>
    <w:rsid w:val="22680EB9"/>
    <w:rsid w:val="228F4698"/>
    <w:rsid w:val="22AB297C"/>
    <w:rsid w:val="22C803A3"/>
    <w:rsid w:val="22DE0AC1"/>
    <w:rsid w:val="22F87379"/>
    <w:rsid w:val="231D53A2"/>
    <w:rsid w:val="233F7344"/>
    <w:rsid w:val="234F2156"/>
    <w:rsid w:val="23514560"/>
    <w:rsid w:val="236D5383"/>
    <w:rsid w:val="23700582"/>
    <w:rsid w:val="23957A8C"/>
    <w:rsid w:val="23A34CC3"/>
    <w:rsid w:val="23B7504C"/>
    <w:rsid w:val="242478CA"/>
    <w:rsid w:val="242D5F16"/>
    <w:rsid w:val="24571307"/>
    <w:rsid w:val="246B64FD"/>
    <w:rsid w:val="249266C1"/>
    <w:rsid w:val="24A932B1"/>
    <w:rsid w:val="24B2466D"/>
    <w:rsid w:val="24C20D54"/>
    <w:rsid w:val="2507454D"/>
    <w:rsid w:val="25110A2A"/>
    <w:rsid w:val="254A27F3"/>
    <w:rsid w:val="25661D6A"/>
    <w:rsid w:val="256C0944"/>
    <w:rsid w:val="25D12810"/>
    <w:rsid w:val="25D80E5B"/>
    <w:rsid w:val="25F74556"/>
    <w:rsid w:val="25FE400E"/>
    <w:rsid w:val="26330312"/>
    <w:rsid w:val="26332E9A"/>
    <w:rsid w:val="26336079"/>
    <w:rsid w:val="26446DE3"/>
    <w:rsid w:val="269669E7"/>
    <w:rsid w:val="26B11081"/>
    <w:rsid w:val="26D7699F"/>
    <w:rsid w:val="26E2748C"/>
    <w:rsid w:val="27B506FD"/>
    <w:rsid w:val="27C73BF6"/>
    <w:rsid w:val="27FA0805"/>
    <w:rsid w:val="27FF406E"/>
    <w:rsid w:val="28281AC6"/>
    <w:rsid w:val="28832FA1"/>
    <w:rsid w:val="28A075FF"/>
    <w:rsid w:val="28A524FA"/>
    <w:rsid w:val="28DC1278"/>
    <w:rsid w:val="28F47402"/>
    <w:rsid w:val="29543F45"/>
    <w:rsid w:val="296E14AB"/>
    <w:rsid w:val="296E3DA5"/>
    <w:rsid w:val="29802F8C"/>
    <w:rsid w:val="29846628"/>
    <w:rsid w:val="298B2F16"/>
    <w:rsid w:val="298E3AB4"/>
    <w:rsid w:val="29A529F3"/>
    <w:rsid w:val="29EA6657"/>
    <w:rsid w:val="2A6603D4"/>
    <w:rsid w:val="2AF31ACA"/>
    <w:rsid w:val="2AF44D0C"/>
    <w:rsid w:val="2B522706"/>
    <w:rsid w:val="2B597F39"/>
    <w:rsid w:val="2B774624"/>
    <w:rsid w:val="2B7F127E"/>
    <w:rsid w:val="2B982BF9"/>
    <w:rsid w:val="2BBA09D7"/>
    <w:rsid w:val="2C453760"/>
    <w:rsid w:val="2C5F16FD"/>
    <w:rsid w:val="2C68703F"/>
    <w:rsid w:val="2C7A72BE"/>
    <w:rsid w:val="2C8C4DEC"/>
    <w:rsid w:val="2C9A7D75"/>
    <w:rsid w:val="2CBD0633"/>
    <w:rsid w:val="2CC17412"/>
    <w:rsid w:val="2CFC5020"/>
    <w:rsid w:val="2D223497"/>
    <w:rsid w:val="2D40651F"/>
    <w:rsid w:val="2D6075F1"/>
    <w:rsid w:val="2E1B7727"/>
    <w:rsid w:val="2E7A773E"/>
    <w:rsid w:val="2E907C83"/>
    <w:rsid w:val="2E9976CE"/>
    <w:rsid w:val="2ED33B5E"/>
    <w:rsid w:val="2EF266DA"/>
    <w:rsid w:val="2F2443BA"/>
    <w:rsid w:val="2F401D3C"/>
    <w:rsid w:val="2F5B24E1"/>
    <w:rsid w:val="2F5C7FF7"/>
    <w:rsid w:val="2F8246C8"/>
    <w:rsid w:val="2F99107F"/>
    <w:rsid w:val="2FA45856"/>
    <w:rsid w:val="2FA95C88"/>
    <w:rsid w:val="2FAE26EF"/>
    <w:rsid w:val="301E4E37"/>
    <w:rsid w:val="301E5278"/>
    <w:rsid w:val="30334E11"/>
    <w:rsid w:val="3041370F"/>
    <w:rsid w:val="30806E11"/>
    <w:rsid w:val="309D61D2"/>
    <w:rsid w:val="30A14CB5"/>
    <w:rsid w:val="30C61BCC"/>
    <w:rsid w:val="30CE0A81"/>
    <w:rsid w:val="30F235D8"/>
    <w:rsid w:val="30F625CD"/>
    <w:rsid w:val="311D7312"/>
    <w:rsid w:val="312B50A3"/>
    <w:rsid w:val="313A64FF"/>
    <w:rsid w:val="31A35A6A"/>
    <w:rsid w:val="31AA6151"/>
    <w:rsid w:val="31F35F1A"/>
    <w:rsid w:val="32453A27"/>
    <w:rsid w:val="3263064A"/>
    <w:rsid w:val="32693339"/>
    <w:rsid w:val="32917FB8"/>
    <w:rsid w:val="32953135"/>
    <w:rsid w:val="32A218E4"/>
    <w:rsid w:val="32A43132"/>
    <w:rsid w:val="32A553B6"/>
    <w:rsid w:val="32AC0C06"/>
    <w:rsid w:val="32F41C3F"/>
    <w:rsid w:val="32FA3DAF"/>
    <w:rsid w:val="331374DC"/>
    <w:rsid w:val="331C3D26"/>
    <w:rsid w:val="33233306"/>
    <w:rsid w:val="332E3A59"/>
    <w:rsid w:val="33310A59"/>
    <w:rsid w:val="33344EF5"/>
    <w:rsid w:val="337C782C"/>
    <w:rsid w:val="33A77FCA"/>
    <w:rsid w:val="33DF2D17"/>
    <w:rsid w:val="341964B7"/>
    <w:rsid w:val="3428271E"/>
    <w:rsid w:val="345531C5"/>
    <w:rsid w:val="34B44240"/>
    <w:rsid w:val="34DF72FE"/>
    <w:rsid w:val="34EE6052"/>
    <w:rsid w:val="3529097C"/>
    <w:rsid w:val="3537750C"/>
    <w:rsid w:val="3537798C"/>
    <w:rsid w:val="3546508A"/>
    <w:rsid w:val="35535D37"/>
    <w:rsid w:val="35A20CB7"/>
    <w:rsid w:val="35AE50D1"/>
    <w:rsid w:val="35C13FC9"/>
    <w:rsid w:val="35DE42A8"/>
    <w:rsid w:val="36005457"/>
    <w:rsid w:val="36376FE6"/>
    <w:rsid w:val="364257B6"/>
    <w:rsid w:val="36704443"/>
    <w:rsid w:val="369F2539"/>
    <w:rsid w:val="36C94871"/>
    <w:rsid w:val="36CA3A99"/>
    <w:rsid w:val="36D13020"/>
    <w:rsid w:val="36D2451A"/>
    <w:rsid w:val="375810A4"/>
    <w:rsid w:val="37BA58BB"/>
    <w:rsid w:val="37EA5922"/>
    <w:rsid w:val="382676CE"/>
    <w:rsid w:val="38276B93"/>
    <w:rsid w:val="38325AE7"/>
    <w:rsid w:val="387757E2"/>
    <w:rsid w:val="38AC3431"/>
    <w:rsid w:val="38E057F5"/>
    <w:rsid w:val="39054D93"/>
    <w:rsid w:val="390B0F31"/>
    <w:rsid w:val="39167469"/>
    <w:rsid w:val="392F2E16"/>
    <w:rsid w:val="39693A3D"/>
    <w:rsid w:val="39853BF7"/>
    <w:rsid w:val="399B354B"/>
    <w:rsid w:val="39D63D84"/>
    <w:rsid w:val="39E00529"/>
    <w:rsid w:val="3A053EE7"/>
    <w:rsid w:val="3A0B64A7"/>
    <w:rsid w:val="3A0D17E0"/>
    <w:rsid w:val="3A2819C8"/>
    <w:rsid w:val="3A2C67AA"/>
    <w:rsid w:val="3A4F758D"/>
    <w:rsid w:val="3A574DDA"/>
    <w:rsid w:val="3A6D52A4"/>
    <w:rsid w:val="3A7E52C6"/>
    <w:rsid w:val="3A836438"/>
    <w:rsid w:val="3AAD6579"/>
    <w:rsid w:val="3AC56A51"/>
    <w:rsid w:val="3AD15DD8"/>
    <w:rsid w:val="3AD3075A"/>
    <w:rsid w:val="3ADB2718"/>
    <w:rsid w:val="3AF44FF3"/>
    <w:rsid w:val="3AF74C02"/>
    <w:rsid w:val="3B0D105F"/>
    <w:rsid w:val="3B762441"/>
    <w:rsid w:val="3B7E6E5D"/>
    <w:rsid w:val="3B934DA1"/>
    <w:rsid w:val="3BDB3141"/>
    <w:rsid w:val="3BDC6748"/>
    <w:rsid w:val="3C0059A5"/>
    <w:rsid w:val="3C134E78"/>
    <w:rsid w:val="3C292757"/>
    <w:rsid w:val="3C487939"/>
    <w:rsid w:val="3C522AD0"/>
    <w:rsid w:val="3CF02DD0"/>
    <w:rsid w:val="3D6D2309"/>
    <w:rsid w:val="3D9F7F26"/>
    <w:rsid w:val="3DEC7285"/>
    <w:rsid w:val="3DF6345D"/>
    <w:rsid w:val="3E016501"/>
    <w:rsid w:val="3E2B23AB"/>
    <w:rsid w:val="3E2B5515"/>
    <w:rsid w:val="3E4D4F28"/>
    <w:rsid w:val="3E6D7B2B"/>
    <w:rsid w:val="3EE13701"/>
    <w:rsid w:val="3EE51129"/>
    <w:rsid w:val="3EF27113"/>
    <w:rsid w:val="3F03502F"/>
    <w:rsid w:val="3F1A4BB3"/>
    <w:rsid w:val="3F1B1335"/>
    <w:rsid w:val="3F214FC4"/>
    <w:rsid w:val="3F3F4A00"/>
    <w:rsid w:val="3F584337"/>
    <w:rsid w:val="3F984734"/>
    <w:rsid w:val="400A3D6D"/>
    <w:rsid w:val="40192BA6"/>
    <w:rsid w:val="40511FB2"/>
    <w:rsid w:val="405513E3"/>
    <w:rsid w:val="406B084A"/>
    <w:rsid w:val="4099578D"/>
    <w:rsid w:val="40B509ED"/>
    <w:rsid w:val="411221C2"/>
    <w:rsid w:val="41470756"/>
    <w:rsid w:val="41732330"/>
    <w:rsid w:val="41766EA9"/>
    <w:rsid w:val="418C540B"/>
    <w:rsid w:val="41914247"/>
    <w:rsid w:val="41AE6491"/>
    <w:rsid w:val="42044303"/>
    <w:rsid w:val="42521381"/>
    <w:rsid w:val="42550A18"/>
    <w:rsid w:val="42632846"/>
    <w:rsid w:val="42901043"/>
    <w:rsid w:val="42975177"/>
    <w:rsid w:val="429D496A"/>
    <w:rsid w:val="42DE1CAE"/>
    <w:rsid w:val="42EE32F9"/>
    <w:rsid w:val="42F473A1"/>
    <w:rsid w:val="43224E15"/>
    <w:rsid w:val="433F07AE"/>
    <w:rsid w:val="43471933"/>
    <w:rsid w:val="4387569A"/>
    <w:rsid w:val="43D2745D"/>
    <w:rsid w:val="43D84C69"/>
    <w:rsid w:val="43DE2931"/>
    <w:rsid w:val="43EB4717"/>
    <w:rsid w:val="43F646D3"/>
    <w:rsid w:val="44095C00"/>
    <w:rsid w:val="441E62C0"/>
    <w:rsid w:val="44254A04"/>
    <w:rsid w:val="44422F2A"/>
    <w:rsid w:val="44676DCB"/>
    <w:rsid w:val="44B244EA"/>
    <w:rsid w:val="44B55D88"/>
    <w:rsid w:val="450B1E4C"/>
    <w:rsid w:val="450E5498"/>
    <w:rsid w:val="452A22D2"/>
    <w:rsid w:val="45325D14"/>
    <w:rsid w:val="45811C7C"/>
    <w:rsid w:val="45906116"/>
    <w:rsid w:val="460D7F5B"/>
    <w:rsid w:val="461424FE"/>
    <w:rsid w:val="4645313C"/>
    <w:rsid w:val="468B3EFB"/>
    <w:rsid w:val="46AE0B19"/>
    <w:rsid w:val="46B81B60"/>
    <w:rsid w:val="46BB09F6"/>
    <w:rsid w:val="46BB5827"/>
    <w:rsid w:val="470A6193"/>
    <w:rsid w:val="470F1ABE"/>
    <w:rsid w:val="47385210"/>
    <w:rsid w:val="47411B55"/>
    <w:rsid w:val="474C7EAA"/>
    <w:rsid w:val="47680E90"/>
    <w:rsid w:val="47754553"/>
    <w:rsid w:val="47AA14A8"/>
    <w:rsid w:val="47D12ED9"/>
    <w:rsid w:val="47DC4F5C"/>
    <w:rsid w:val="47F12E1E"/>
    <w:rsid w:val="480706A9"/>
    <w:rsid w:val="482254E2"/>
    <w:rsid w:val="484C07B1"/>
    <w:rsid w:val="486263BD"/>
    <w:rsid w:val="489D1EFA"/>
    <w:rsid w:val="48B40671"/>
    <w:rsid w:val="48D252F4"/>
    <w:rsid w:val="48D31EFA"/>
    <w:rsid w:val="48FB5B7B"/>
    <w:rsid w:val="492E6109"/>
    <w:rsid w:val="49392DE3"/>
    <w:rsid w:val="497266D3"/>
    <w:rsid w:val="499B5738"/>
    <w:rsid w:val="499E503D"/>
    <w:rsid w:val="499F244D"/>
    <w:rsid w:val="49C24655"/>
    <w:rsid w:val="49D15412"/>
    <w:rsid w:val="49D7069C"/>
    <w:rsid w:val="4A0059F7"/>
    <w:rsid w:val="4A050CA2"/>
    <w:rsid w:val="4A1479DC"/>
    <w:rsid w:val="4A325785"/>
    <w:rsid w:val="4A655B5A"/>
    <w:rsid w:val="4A973F3F"/>
    <w:rsid w:val="4AF96BC7"/>
    <w:rsid w:val="4B090BDC"/>
    <w:rsid w:val="4B0E1A4D"/>
    <w:rsid w:val="4B3A3E4D"/>
    <w:rsid w:val="4B564E29"/>
    <w:rsid w:val="4B5A416B"/>
    <w:rsid w:val="4B862A85"/>
    <w:rsid w:val="4B8D35BB"/>
    <w:rsid w:val="4B95421D"/>
    <w:rsid w:val="4BC418CB"/>
    <w:rsid w:val="4C1E2465"/>
    <w:rsid w:val="4CB00B2A"/>
    <w:rsid w:val="4CD86AB8"/>
    <w:rsid w:val="4CE865CF"/>
    <w:rsid w:val="4CEF36E2"/>
    <w:rsid w:val="4CEF4DC5"/>
    <w:rsid w:val="4D4128AF"/>
    <w:rsid w:val="4D897DB2"/>
    <w:rsid w:val="4DA12787"/>
    <w:rsid w:val="4DBE18E8"/>
    <w:rsid w:val="4DC96400"/>
    <w:rsid w:val="4DE45D28"/>
    <w:rsid w:val="4E257655"/>
    <w:rsid w:val="4E2F4371"/>
    <w:rsid w:val="4E3E5115"/>
    <w:rsid w:val="4E8E7871"/>
    <w:rsid w:val="4E947749"/>
    <w:rsid w:val="4EAD2E32"/>
    <w:rsid w:val="4EAE3DF2"/>
    <w:rsid w:val="4ECF5C98"/>
    <w:rsid w:val="4F372380"/>
    <w:rsid w:val="4F372FFB"/>
    <w:rsid w:val="4F674123"/>
    <w:rsid w:val="4FA21E6F"/>
    <w:rsid w:val="4FE6773D"/>
    <w:rsid w:val="4FE96CA2"/>
    <w:rsid w:val="5025116D"/>
    <w:rsid w:val="502670C0"/>
    <w:rsid w:val="506832EC"/>
    <w:rsid w:val="50A93D8C"/>
    <w:rsid w:val="50DD197E"/>
    <w:rsid w:val="50DD1D25"/>
    <w:rsid w:val="50DE0415"/>
    <w:rsid w:val="50FC52C6"/>
    <w:rsid w:val="51335C2B"/>
    <w:rsid w:val="51B0599A"/>
    <w:rsid w:val="51FE0DF9"/>
    <w:rsid w:val="51FF0AD3"/>
    <w:rsid w:val="522602C5"/>
    <w:rsid w:val="522B7EBA"/>
    <w:rsid w:val="52395ECD"/>
    <w:rsid w:val="526112FD"/>
    <w:rsid w:val="526169F4"/>
    <w:rsid w:val="529E18CC"/>
    <w:rsid w:val="52AB07CA"/>
    <w:rsid w:val="52C10D75"/>
    <w:rsid w:val="52D65847"/>
    <w:rsid w:val="535F3A8F"/>
    <w:rsid w:val="53966742"/>
    <w:rsid w:val="53AA4158"/>
    <w:rsid w:val="53C27FF8"/>
    <w:rsid w:val="53C438F2"/>
    <w:rsid w:val="53CE4770"/>
    <w:rsid w:val="54176117"/>
    <w:rsid w:val="54425BCD"/>
    <w:rsid w:val="545C1D7C"/>
    <w:rsid w:val="549E1A80"/>
    <w:rsid w:val="54C658F4"/>
    <w:rsid w:val="54F5623F"/>
    <w:rsid w:val="55004530"/>
    <w:rsid w:val="550C4BD7"/>
    <w:rsid w:val="554C1D56"/>
    <w:rsid w:val="55553E28"/>
    <w:rsid w:val="555667CB"/>
    <w:rsid w:val="55572986"/>
    <w:rsid w:val="559B2D78"/>
    <w:rsid w:val="55C062DD"/>
    <w:rsid w:val="55F3226C"/>
    <w:rsid w:val="565340FA"/>
    <w:rsid w:val="56646A8F"/>
    <w:rsid w:val="566C7FB0"/>
    <w:rsid w:val="56824C41"/>
    <w:rsid w:val="569D090E"/>
    <w:rsid w:val="56D760A9"/>
    <w:rsid w:val="56FB1D20"/>
    <w:rsid w:val="570D1A54"/>
    <w:rsid w:val="57123DCC"/>
    <w:rsid w:val="5723343E"/>
    <w:rsid w:val="573819CD"/>
    <w:rsid w:val="573D7EAB"/>
    <w:rsid w:val="57AC4DC9"/>
    <w:rsid w:val="57AF0BC7"/>
    <w:rsid w:val="57AF7F74"/>
    <w:rsid w:val="580D6DE0"/>
    <w:rsid w:val="581E4E66"/>
    <w:rsid w:val="584E7C2E"/>
    <w:rsid w:val="58721B1C"/>
    <w:rsid w:val="590B222D"/>
    <w:rsid w:val="591E0A43"/>
    <w:rsid w:val="597E4543"/>
    <w:rsid w:val="599678C9"/>
    <w:rsid w:val="5A13643F"/>
    <w:rsid w:val="5A2518AE"/>
    <w:rsid w:val="5A2F2CC8"/>
    <w:rsid w:val="5A403EEE"/>
    <w:rsid w:val="5A7D1380"/>
    <w:rsid w:val="5AEA612F"/>
    <w:rsid w:val="5B3B6561"/>
    <w:rsid w:val="5B915813"/>
    <w:rsid w:val="5BA26962"/>
    <w:rsid w:val="5BF925A6"/>
    <w:rsid w:val="5C0A2D82"/>
    <w:rsid w:val="5C10702D"/>
    <w:rsid w:val="5C152601"/>
    <w:rsid w:val="5C1F0707"/>
    <w:rsid w:val="5C3830CF"/>
    <w:rsid w:val="5C591F03"/>
    <w:rsid w:val="5C8A1B2F"/>
    <w:rsid w:val="5D267FD9"/>
    <w:rsid w:val="5D5C1BAA"/>
    <w:rsid w:val="5D914004"/>
    <w:rsid w:val="5DBE7604"/>
    <w:rsid w:val="5DE456A4"/>
    <w:rsid w:val="5E0A2849"/>
    <w:rsid w:val="5E7423B8"/>
    <w:rsid w:val="5ED34AC9"/>
    <w:rsid w:val="5F16521D"/>
    <w:rsid w:val="5F561B72"/>
    <w:rsid w:val="5F5D0D5A"/>
    <w:rsid w:val="5F6A4AFE"/>
    <w:rsid w:val="5FE01A64"/>
    <w:rsid w:val="60323068"/>
    <w:rsid w:val="605835BF"/>
    <w:rsid w:val="606007BB"/>
    <w:rsid w:val="60AC7F66"/>
    <w:rsid w:val="60BB23FA"/>
    <w:rsid w:val="60D04572"/>
    <w:rsid w:val="60F65306"/>
    <w:rsid w:val="611C00A7"/>
    <w:rsid w:val="61462981"/>
    <w:rsid w:val="61717747"/>
    <w:rsid w:val="61BF10D9"/>
    <w:rsid w:val="61DA3D4C"/>
    <w:rsid w:val="620B4DF9"/>
    <w:rsid w:val="622C06DD"/>
    <w:rsid w:val="622D55F9"/>
    <w:rsid w:val="623E6F65"/>
    <w:rsid w:val="62683FE2"/>
    <w:rsid w:val="627A29FA"/>
    <w:rsid w:val="629775C4"/>
    <w:rsid w:val="62AA32D5"/>
    <w:rsid w:val="62AC22DC"/>
    <w:rsid w:val="62B2796E"/>
    <w:rsid w:val="62C92CD3"/>
    <w:rsid w:val="63014DEF"/>
    <w:rsid w:val="63017765"/>
    <w:rsid w:val="63021D41"/>
    <w:rsid w:val="637833E8"/>
    <w:rsid w:val="63A96660"/>
    <w:rsid w:val="63B93041"/>
    <w:rsid w:val="63C35974"/>
    <w:rsid w:val="63DE6710"/>
    <w:rsid w:val="64002A47"/>
    <w:rsid w:val="640D4AAC"/>
    <w:rsid w:val="64103A36"/>
    <w:rsid w:val="64A4523A"/>
    <w:rsid w:val="64AF7805"/>
    <w:rsid w:val="64E45EF7"/>
    <w:rsid w:val="64EA6F30"/>
    <w:rsid w:val="64EE6A20"/>
    <w:rsid w:val="64FB2EEB"/>
    <w:rsid w:val="650A3161"/>
    <w:rsid w:val="652F5BBD"/>
    <w:rsid w:val="653B33E5"/>
    <w:rsid w:val="653E62F3"/>
    <w:rsid w:val="654B416D"/>
    <w:rsid w:val="65841133"/>
    <w:rsid w:val="65C37EAD"/>
    <w:rsid w:val="65E22B67"/>
    <w:rsid w:val="662D17CA"/>
    <w:rsid w:val="666A0329"/>
    <w:rsid w:val="66766701"/>
    <w:rsid w:val="6691014E"/>
    <w:rsid w:val="66B45A48"/>
    <w:rsid w:val="66C87CCE"/>
    <w:rsid w:val="66EF4CD2"/>
    <w:rsid w:val="67424E02"/>
    <w:rsid w:val="67550FD9"/>
    <w:rsid w:val="675552DB"/>
    <w:rsid w:val="676B7B0C"/>
    <w:rsid w:val="677435B2"/>
    <w:rsid w:val="67EF75F1"/>
    <w:rsid w:val="67F3434E"/>
    <w:rsid w:val="68154C79"/>
    <w:rsid w:val="681C2B17"/>
    <w:rsid w:val="68A8338A"/>
    <w:rsid w:val="68BE495C"/>
    <w:rsid w:val="69124F16"/>
    <w:rsid w:val="693F0756"/>
    <w:rsid w:val="694A5205"/>
    <w:rsid w:val="69544E59"/>
    <w:rsid w:val="695A51C7"/>
    <w:rsid w:val="69864F2E"/>
    <w:rsid w:val="699740CB"/>
    <w:rsid w:val="699E02E9"/>
    <w:rsid w:val="69CD5C14"/>
    <w:rsid w:val="69CF0D33"/>
    <w:rsid w:val="69E14DA6"/>
    <w:rsid w:val="6A3F0E88"/>
    <w:rsid w:val="6A450503"/>
    <w:rsid w:val="6A505A87"/>
    <w:rsid w:val="6A9E4A45"/>
    <w:rsid w:val="6B42012D"/>
    <w:rsid w:val="6B4C44A1"/>
    <w:rsid w:val="6B89548C"/>
    <w:rsid w:val="6B9946B3"/>
    <w:rsid w:val="6BFD1C3F"/>
    <w:rsid w:val="6C027255"/>
    <w:rsid w:val="6C145645"/>
    <w:rsid w:val="6C662189"/>
    <w:rsid w:val="6C666244"/>
    <w:rsid w:val="6C7007C7"/>
    <w:rsid w:val="6C783074"/>
    <w:rsid w:val="6CB849E9"/>
    <w:rsid w:val="6D413DAD"/>
    <w:rsid w:val="6D6F091A"/>
    <w:rsid w:val="6DB359B4"/>
    <w:rsid w:val="6DE76850"/>
    <w:rsid w:val="6E081BF2"/>
    <w:rsid w:val="6E1E1FF7"/>
    <w:rsid w:val="6E305223"/>
    <w:rsid w:val="6E6C5941"/>
    <w:rsid w:val="6E786ABC"/>
    <w:rsid w:val="6E7F3A9C"/>
    <w:rsid w:val="6EBF3A88"/>
    <w:rsid w:val="6ECC5709"/>
    <w:rsid w:val="6F1C062E"/>
    <w:rsid w:val="6F372441"/>
    <w:rsid w:val="6F4436E1"/>
    <w:rsid w:val="6F590BF0"/>
    <w:rsid w:val="6F993A2D"/>
    <w:rsid w:val="6FB20BD4"/>
    <w:rsid w:val="6FB650F7"/>
    <w:rsid w:val="6FBA59BE"/>
    <w:rsid w:val="701313F7"/>
    <w:rsid w:val="70296B3E"/>
    <w:rsid w:val="70317F9E"/>
    <w:rsid w:val="70611204"/>
    <w:rsid w:val="706E7DD8"/>
    <w:rsid w:val="70A26911"/>
    <w:rsid w:val="70D72A9F"/>
    <w:rsid w:val="71191CD8"/>
    <w:rsid w:val="71245A38"/>
    <w:rsid w:val="713A4D9B"/>
    <w:rsid w:val="713E488C"/>
    <w:rsid w:val="71CC4590"/>
    <w:rsid w:val="71EB75A6"/>
    <w:rsid w:val="720350C8"/>
    <w:rsid w:val="72087D79"/>
    <w:rsid w:val="721728AC"/>
    <w:rsid w:val="722241AD"/>
    <w:rsid w:val="72587635"/>
    <w:rsid w:val="7291486E"/>
    <w:rsid w:val="72A26D39"/>
    <w:rsid w:val="72FB43FF"/>
    <w:rsid w:val="73445350"/>
    <w:rsid w:val="739C5CBB"/>
    <w:rsid w:val="73A0093B"/>
    <w:rsid w:val="73A806E2"/>
    <w:rsid w:val="73BC2445"/>
    <w:rsid w:val="74082F2F"/>
    <w:rsid w:val="74085625"/>
    <w:rsid w:val="74FA2C30"/>
    <w:rsid w:val="750F431D"/>
    <w:rsid w:val="754D5C4B"/>
    <w:rsid w:val="75577D71"/>
    <w:rsid w:val="7574339D"/>
    <w:rsid w:val="75750A98"/>
    <w:rsid w:val="7575746E"/>
    <w:rsid w:val="75A373B3"/>
    <w:rsid w:val="763B41A3"/>
    <w:rsid w:val="76481D09"/>
    <w:rsid w:val="76C240A7"/>
    <w:rsid w:val="76C43A85"/>
    <w:rsid w:val="76CF41D8"/>
    <w:rsid w:val="77220E2C"/>
    <w:rsid w:val="773432D5"/>
    <w:rsid w:val="77422BFC"/>
    <w:rsid w:val="775246B7"/>
    <w:rsid w:val="77625CAB"/>
    <w:rsid w:val="77925863"/>
    <w:rsid w:val="77931781"/>
    <w:rsid w:val="77950F7E"/>
    <w:rsid w:val="78011EBA"/>
    <w:rsid w:val="78014865"/>
    <w:rsid w:val="781E69D1"/>
    <w:rsid w:val="78290849"/>
    <w:rsid w:val="78303C3B"/>
    <w:rsid w:val="78340796"/>
    <w:rsid w:val="785B3F75"/>
    <w:rsid w:val="78812093"/>
    <w:rsid w:val="78D83818"/>
    <w:rsid w:val="78DD498A"/>
    <w:rsid w:val="791610B3"/>
    <w:rsid w:val="7A140808"/>
    <w:rsid w:val="7A263B6B"/>
    <w:rsid w:val="7A9266E4"/>
    <w:rsid w:val="7AA634A2"/>
    <w:rsid w:val="7AF46346"/>
    <w:rsid w:val="7B0F5EBF"/>
    <w:rsid w:val="7B130FB9"/>
    <w:rsid w:val="7B145A11"/>
    <w:rsid w:val="7B5C29A9"/>
    <w:rsid w:val="7B6E2211"/>
    <w:rsid w:val="7BB53EEE"/>
    <w:rsid w:val="7BEF7C11"/>
    <w:rsid w:val="7BF64EDE"/>
    <w:rsid w:val="7BF70459"/>
    <w:rsid w:val="7C2D5C29"/>
    <w:rsid w:val="7C3A20F4"/>
    <w:rsid w:val="7C400C1E"/>
    <w:rsid w:val="7C484FCC"/>
    <w:rsid w:val="7C5F5C65"/>
    <w:rsid w:val="7C7C014C"/>
    <w:rsid w:val="7CA67789"/>
    <w:rsid w:val="7CCC2BAC"/>
    <w:rsid w:val="7CE24094"/>
    <w:rsid w:val="7CED3023"/>
    <w:rsid w:val="7D2C3CF5"/>
    <w:rsid w:val="7D5D078F"/>
    <w:rsid w:val="7DA37BA4"/>
    <w:rsid w:val="7DD11708"/>
    <w:rsid w:val="7DE44A0D"/>
    <w:rsid w:val="7DF729C1"/>
    <w:rsid w:val="7DF976DB"/>
    <w:rsid w:val="7E492AC2"/>
    <w:rsid w:val="7EB77A2B"/>
    <w:rsid w:val="7EBD579E"/>
    <w:rsid w:val="7EBE32F3"/>
    <w:rsid w:val="7EC167BD"/>
    <w:rsid w:val="7EC64112"/>
    <w:rsid w:val="7ECB4B8B"/>
    <w:rsid w:val="7EE527EB"/>
    <w:rsid w:val="7F0C55F2"/>
    <w:rsid w:val="7F272D9E"/>
    <w:rsid w:val="7F345F0C"/>
    <w:rsid w:val="7F5434CC"/>
    <w:rsid w:val="7FCD4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nhideWhenUsed="0" w:uiPriority="9"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6"/>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0"/>
    <w:pPr>
      <w:numPr>
        <w:ilvl w:val="3"/>
        <w:numId w:val="1"/>
      </w:numPr>
      <w:tabs>
        <w:tab w:val="left" w:pos="2155"/>
      </w:tabs>
      <w:adjustRightInd w:val="0"/>
      <w:spacing w:before="120" w:line="360" w:lineRule="auto"/>
      <w:outlineLvl w:val="3"/>
    </w:pPr>
    <w:rPr>
      <w:rFonts w:ascii="Arial" w:eastAsia="黑体"/>
      <w:kern w:val="0"/>
      <w:sz w:val="28"/>
      <w:szCs w:val="20"/>
    </w:rPr>
  </w:style>
  <w:style w:type="paragraph" w:styleId="6">
    <w:name w:val="heading 5"/>
    <w:basedOn w:val="1"/>
    <w:next w:val="7"/>
    <w:link w:val="47"/>
    <w:qFormat/>
    <w:uiPriority w:val="9"/>
    <w:pPr>
      <w:keepNext/>
      <w:keepLines/>
      <w:spacing w:before="280" w:after="290" w:line="376" w:lineRule="auto"/>
      <w:outlineLvl w:val="4"/>
    </w:pPr>
    <w:rPr>
      <w:b/>
      <w:bCs/>
      <w:sz w:val="28"/>
      <w:szCs w:val="28"/>
    </w:rPr>
  </w:style>
  <w:style w:type="paragraph" w:styleId="8">
    <w:name w:val="heading 8"/>
    <w:basedOn w:val="1"/>
    <w:next w:val="1"/>
    <w:link w:val="48"/>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9">
    <w:name w:val="index 8"/>
    <w:basedOn w:val="1"/>
    <w:next w:val="1"/>
    <w:qFormat/>
    <w:uiPriority w:val="0"/>
    <w:pPr>
      <w:ind w:left="2940"/>
    </w:pPr>
  </w:style>
  <w:style w:type="paragraph" w:styleId="10">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1">
    <w:name w:val="annotation text"/>
    <w:basedOn w:val="1"/>
    <w:link w:val="49"/>
    <w:qFormat/>
    <w:uiPriority w:val="0"/>
    <w:pPr>
      <w:jc w:val="left"/>
    </w:pPr>
  </w:style>
  <w:style w:type="paragraph" w:styleId="12">
    <w:name w:val="Body Text 3"/>
    <w:basedOn w:val="1"/>
    <w:link w:val="50"/>
    <w:qFormat/>
    <w:uiPriority w:val="99"/>
    <w:pPr>
      <w:spacing w:after="120"/>
    </w:pPr>
    <w:rPr>
      <w:sz w:val="16"/>
      <w:szCs w:val="16"/>
    </w:rPr>
  </w:style>
  <w:style w:type="paragraph" w:styleId="13">
    <w:name w:val="Body Text"/>
    <w:basedOn w:val="1"/>
    <w:link w:val="51"/>
    <w:qFormat/>
    <w:uiPriority w:val="0"/>
    <w:pPr>
      <w:spacing w:after="120"/>
    </w:pPr>
  </w:style>
  <w:style w:type="paragraph" w:styleId="14">
    <w:name w:val="Body Text Indent"/>
    <w:basedOn w:val="1"/>
    <w:link w:val="52"/>
    <w:qFormat/>
    <w:uiPriority w:val="0"/>
    <w:pPr>
      <w:ind w:firstLine="830" w:firstLineChars="352"/>
    </w:pPr>
    <w:rPr>
      <w:rFonts w:ascii="仿宋_GB2312" w:eastAsia="仿宋_GB2312"/>
      <w:kern w:val="0"/>
      <w:sz w:val="32"/>
      <w:szCs w:val="20"/>
    </w:rPr>
  </w:style>
  <w:style w:type="paragraph" w:styleId="15">
    <w:name w:val="List 2"/>
    <w:basedOn w:val="1"/>
    <w:qFormat/>
    <w:uiPriority w:val="0"/>
    <w:pPr>
      <w:ind w:left="100" w:leftChars="200" w:hanging="200" w:hangingChars="200"/>
      <w:contextualSpacing/>
    </w:pPr>
  </w:style>
  <w:style w:type="paragraph" w:styleId="16">
    <w:name w:val="toc 3"/>
    <w:basedOn w:val="1"/>
    <w:next w:val="1"/>
    <w:qFormat/>
    <w:uiPriority w:val="0"/>
    <w:pPr>
      <w:ind w:left="840" w:leftChars="400"/>
    </w:pPr>
  </w:style>
  <w:style w:type="paragraph" w:styleId="17">
    <w:name w:val="Plain Text"/>
    <w:basedOn w:val="1"/>
    <w:next w:val="2"/>
    <w:link w:val="53"/>
    <w:qFormat/>
    <w:uiPriority w:val="0"/>
    <w:rPr>
      <w:rFonts w:ascii="宋体" w:hAnsi="Courier New"/>
      <w:kern w:val="0"/>
      <w:sz w:val="20"/>
      <w:szCs w:val="21"/>
    </w:rPr>
  </w:style>
  <w:style w:type="paragraph" w:styleId="18">
    <w:name w:val="Date"/>
    <w:basedOn w:val="1"/>
    <w:next w:val="1"/>
    <w:link w:val="54"/>
    <w:qFormat/>
    <w:uiPriority w:val="99"/>
    <w:pPr>
      <w:ind w:left="100" w:leftChars="2500"/>
    </w:pPr>
  </w:style>
  <w:style w:type="paragraph" w:styleId="19">
    <w:name w:val="Body Text Indent 2"/>
    <w:basedOn w:val="1"/>
    <w:qFormat/>
    <w:uiPriority w:val="0"/>
    <w:pPr>
      <w:spacing w:line="420" w:lineRule="exact"/>
      <w:ind w:firstLine="409" w:firstLineChars="195"/>
    </w:pPr>
  </w:style>
  <w:style w:type="paragraph" w:styleId="20">
    <w:name w:val="Balloon Text"/>
    <w:basedOn w:val="1"/>
    <w:link w:val="55"/>
    <w:qFormat/>
    <w:uiPriority w:val="0"/>
    <w:rPr>
      <w:sz w:val="18"/>
      <w:szCs w:val="18"/>
    </w:rPr>
  </w:style>
  <w:style w:type="paragraph" w:styleId="21">
    <w:name w:val="footer"/>
    <w:basedOn w:val="1"/>
    <w:next w:val="1"/>
    <w:link w:val="56"/>
    <w:unhideWhenUsed/>
    <w:qFormat/>
    <w:uiPriority w:val="99"/>
    <w:pPr>
      <w:tabs>
        <w:tab w:val="center" w:pos="4153"/>
        <w:tab w:val="right" w:pos="8306"/>
      </w:tabs>
      <w:snapToGrid w:val="0"/>
      <w:jc w:val="left"/>
    </w:pPr>
    <w:rPr>
      <w:kern w:val="0"/>
      <w:sz w:val="18"/>
      <w:szCs w:val="18"/>
    </w:rPr>
  </w:style>
  <w:style w:type="paragraph" w:styleId="22">
    <w:name w:val="envelope return"/>
    <w:basedOn w:val="1"/>
    <w:qFormat/>
    <w:uiPriority w:val="0"/>
    <w:pPr>
      <w:snapToGrid w:val="0"/>
    </w:pPr>
    <w:rPr>
      <w:rFonts w:ascii="Arial" w:hAnsi="Arial"/>
    </w:rPr>
  </w:style>
  <w:style w:type="paragraph" w:styleId="23">
    <w:name w:val="header"/>
    <w:basedOn w:val="2"/>
    <w:next w:val="1"/>
    <w:link w:val="57"/>
    <w:unhideWhenUsed/>
    <w:qFormat/>
    <w:uiPriority w:val="99"/>
    <w:pPr>
      <w:pBdr>
        <w:bottom w:val="single" w:color="auto" w:sz="6" w:space="1"/>
      </w:pBdr>
      <w:tabs>
        <w:tab w:val="center" w:pos="4153"/>
        <w:tab w:val="right" w:pos="8306"/>
      </w:tabs>
      <w:snapToGrid w:val="0"/>
      <w:jc w:val="center"/>
    </w:pPr>
    <w:rPr>
      <w:b w:val="0"/>
      <w:bCs w:val="0"/>
      <w:kern w:val="0"/>
      <w:sz w:val="18"/>
      <w:szCs w:val="18"/>
    </w:rPr>
  </w:style>
  <w:style w:type="paragraph" w:styleId="24">
    <w:name w:val="toc 1"/>
    <w:basedOn w:val="1"/>
    <w:next w:val="1"/>
    <w:qFormat/>
    <w:uiPriority w:val="0"/>
  </w:style>
  <w:style w:type="paragraph" w:styleId="25">
    <w:name w:val="List"/>
    <w:basedOn w:val="1"/>
    <w:qFormat/>
    <w:uiPriority w:val="0"/>
    <w:pPr>
      <w:ind w:left="200" w:hanging="200" w:hangingChars="200"/>
      <w:contextualSpacing/>
    </w:pPr>
  </w:style>
  <w:style w:type="paragraph" w:styleId="26">
    <w:name w:val="footnote text"/>
    <w:basedOn w:val="1"/>
    <w:unhideWhenUsed/>
    <w:qFormat/>
    <w:uiPriority w:val="99"/>
    <w:pPr>
      <w:snapToGrid w:val="0"/>
      <w:jc w:val="left"/>
    </w:pPr>
    <w:rPr>
      <w:sz w:val="18"/>
    </w:rPr>
  </w:style>
  <w:style w:type="paragraph" w:styleId="27">
    <w:name w:val="toc 2"/>
    <w:basedOn w:val="1"/>
    <w:next w:val="1"/>
    <w:qFormat/>
    <w:uiPriority w:val="0"/>
    <w:pPr>
      <w:tabs>
        <w:tab w:val="right" w:leader="dot" w:pos="8296"/>
      </w:tabs>
      <w:ind w:left="420" w:leftChars="200"/>
    </w:pPr>
  </w:style>
  <w:style w:type="paragraph" w:styleId="28">
    <w:name w:val="Normal (Web)"/>
    <w:basedOn w:val="1"/>
    <w:qFormat/>
    <w:uiPriority w:val="0"/>
    <w:rPr>
      <w:rFonts w:ascii="Calibri" w:hAnsi="Calibri"/>
      <w:kern w:val="0"/>
      <w:sz w:val="24"/>
    </w:rPr>
  </w:style>
  <w:style w:type="paragraph" w:styleId="29">
    <w:name w:val="annotation subject"/>
    <w:basedOn w:val="11"/>
    <w:next w:val="11"/>
    <w:link w:val="58"/>
    <w:qFormat/>
    <w:uiPriority w:val="99"/>
    <w:rPr>
      <w:b/>
      <w:bCs/>
    </w:rPr>
  </w:style>
  <w:style w:type="paragraph" w:styleId="30">
    <w:name w:val="Body Text First Indent"/>
    <w:basedOn w:val="13"/>
    <w:qFormat/>
    <w:uiPriority w:val="0"/>
    <w:pPr>
      <w:spacing w:after="120" w:afterLines="0" w:line="240" w:lineRule="auto"/>
      <w:ind w:firstLine="420" w:firstLineChars="100"/>
    </w:pPr>
    <w:rPr>
      <w:rFonts w:ascii="Times New Roman" w:hAnsi="Times New Roman" w:eastAsia="宋体" w:cs="Times New Roman"/>
      <w:sz w:val="21"/>
    </w:rPr>
  </w:style>
  <w:style w:type="paragraph" w:styleId="31">
    <w:name w:val="Body Text First Indent 2"/>
    <w:basedOn w:val="1"/>
    <w:qFormat/>
    <w:uiPriority w:val="0"/>
    <w:pPr>
      <w:ind w:firstLine="420" w:firstLineChars="200"/>
    </w:pPr>
    <w:rPr>
      <w:rFonts w:hAnsi="Calibri"/>
    </w:rPr>
  </w:style>
  <w:style w:type="table" w:styleId="33">
    <w:name w:val="Table Grid"/>
    <w:basedOn w:val="3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qFormat/>
    <w:uiPriority w:val="0"/>
    <w:rPr>
      <w:b/>
    </w:rPr>
  </w:style>
  <w:style w:type="character" w:styleId="36">
    <w:name w:val="endnote reference"/>
    <w:qFormat/>
    <w:uiPriority w:val="0"/>
    <w:rPr>
      <w:vertAlign w:val="superscript"/>
    </w:rPr>
  </w:style>
  <w:style w:type="character" w:styleId="37">
    <w:name w:val="page number"/>
    <w:basedOn w:val="34"/>
    <w:qFormat/>
    <w:uiPriority w:val="0"/>
  </w:style>
  <w:style w:type="character" w:styleId="38">
    <w:name w:val="FollowedHyperlink"/>
    <w:qFormat/>
    <w:uiPriority w:val="0"/>
    <w:rPr>
      <w:color w:val="800080"/>
      <w:u w:val="single"/>
    </w:rPr>
  </w:style>
  <w:style w:type="character" w:styleId="39">
    <w:name w:val="Emphasis"/>
    <w:basedOn w:val="34"/>
    <w:qFormat/>
    <w:uiPriority w:val="0"/>
    <w:rPr>
      <w:b/>
      <w:bCs/>
    </w:rPr>
  </w:style>
  <w:style w:type="character" w:styleId="40">
    <w:name w:val="Hyperlink"/>
    <w:qFormat/>
    <w:uiPriority w:val="0"/>
    <w:rPr>
      <w:color w:val="0000FF"/>
      <w:u w:val="single"/>
    </w:rPr>
  </w:style>
  <w:style w:type="character" w:styleId="41">
    <w:name w:val="annotation reference"/>
    <w:qFormat/>
    <w:uiPriority w:val="0"/>
    <w:rPr>
      <w:sz w:val="21"/>
      <w:szCs w:val="21"/>
    </w:rPr>
  </w:style>
  <w:style w:type="character" w:styleId="42">
    <w:name w:val="footnote reference"/>
    <w:unhideWhenUsed/>
    <w:qFormat/>
    <w:uiPriority w:val="99"/>
    <w:rPr>
      <w:vertAlign w:val="superscript"/>
    </w:rPr>
  </w:style>
  <w:style w:type="character" w:customStyle="1" w:styleId="43">
    <w:name w:val="标题 2 Char"/>
    <w:qFormat/>
    <w:uiPriority w:val="9"/>
    <w:rPr>
      <w:rFonts w:ascii="Cambria" w:hAnsi="Cambria" w:eastAsia="宋体" w:cs="Times New Roman"/>
      <w:b/>
      <w:bCs/>
      <w:kern w:val="2"/>
      <w:sz w:val="32"/>
      <w:szCs w:val="32"/>
    </w:rPr>
  </w:style>
  <w:style w:type="character" w:customStyle="1" w:styleId="44">
    <w:name w:val="标题 1 字符2"/>
    <w:link w:val="2"/>
    <w:qFormat/>
    <w:uiPriority w:val="9"/>
    <w:rPr>
      <w:b/>
      <w:bCs/>
      <w:kern w:val="44"/>
      <w:sz w:val="44"/>
      <w:szCs w:val="44"/>
    </w:rPr>
  </w:style>
  <w:style w:type="character" w:customStyle="1" w:styleId="45">
    <w:name w:val="标题 2 字符1"/>
    <w:link w:val="3"/>
    <w:qFormat/>
    <w:uiPriority w:val="9"/>
    <w:rPr>
      <w:rFonts w:ascii="Cambria" w:hAnsi="Cambria" w:eastAsia="宋体" w:cs="Times New Roman"/>
      <w:b/>
      <w:bCs/>
      <w:kern w:val="2"/>
      <w:sz w:val="32"/>
      <w:szCs w:val="32"/>
    </w:rPr>
  </w:style>
  <w:style w:type="character" w:customStyle="1" w:styleId="46">
    <w:name w:val="标题 3 字符1"/>
    <w:link w:val="4"/>
    <w:qFormat/>
    <w:uiPriority w:val="9"/>
    <w:rPr>
      <w:b/>
      <w:bCs/>
      <w:kern w:val="2"/>
      <w:sz w:val="32"/>
      <w:szCs w:val="32"/>
    </w:rPr>
  </w:style>
  <w:style w:type="character" w:customStyle="1" w:styleId="47">
    <w:name w:val="标题 5 字符1"/>
    <w:link w:val="6"/>
    <w:qFormat/>
    <w:uiPriority w:val="9"/>
    <w:rPr>
      <w:rFonts w:ascii="Times New Roman" w:hAnsi="Times New Roman"/>
      <w:b/>
      <w:bCs/>
      <w:kern w:val="2"/>
      <w:sz w:val="28"/>
      <w:szCs w:val="28"/>
    </w:rPr>
  </w:style>
  <w:style w:type="character" w:customStyle="1" w:styleId="48">
    <w:name w:val="标题 8 字符1"/>
    <w:link w:val="8"/>
    <w:qFormat/>
    <w:uiPriority w:val="9"/>
    <w:rPr>
      <w:rFonts w:ascii="等线 Light" w:hAnsi="等线 Light" w:eastAsia="等线 Light" w:cs="Times New Roman"/>
      <w:kern w:val="2"/>
      <w:sz w:val="24"/>
      <w:szCs w:val="24"/>
    </w:rPr>
  </w:style>
  <w:style w:type="character" w:customStyle="1" w:styleId="49">
    <w:name w:val="批注文字 字符3"/>
    <w:link w:val="11"/>
    <w:qFormat/>
    <w:uiPriority w:val="0"/>
    <w:rPr>
      <w:rFonts w:ascii="Times New Roman" w:hAnsi="Times New Roman"/>
      <w:kern w:val="2"/>
      <w:sz w:val="21"/>
      <w:szCs w:val="24"/>
    </w:rPr>
  </w:style>
  <w:style w:type="character" w:customStyle="1" w:styleId="50">
    <w:name w:val="正文文本 3 字符1"/>
    <w:link w:val="12"/>
    <w:qFormat/>
    <w:uiPriority w:val="99"/>
    <w:rPr>
      <w:kern w:val="2"/>
      <w:sz w:val="16"/>
      <w:szCs w:val="16"/>
    </w:rPr>
  </w:style>
  <w:style w:type="character" w:customStyle="1" w:styleId="51">
    <w:name w:val="正文文本 字符2"/>
    <w:link w:val="13"/>
    <w:qFormat/>
    <w:uiPriority w:val="0"/>
    <w:rPr>
      <w:rFonts w:ascii="Times New Roman" w:hAnsi="Times New Roman"/>
      <w:kern w:val="2"/>
      <w:sz w:val="21"/>
      <w:szCs w:val="24"/>
    </w:rPr>
  </w:style>
  <w:style w:type="character" w:customStyle="1" w:styleId="52">
    <w:name w:val="正文文本缩进 字符1"/>
    <w:link w:val="14"/>
    <w:qFormat/>
    <w:uiPriority w:val="0"/>
    <w:rPr>
      <w:rFonts w:ascii="仿宋_GB2312" w:hAnsi="Times New Roman" w:eastAsia="仿宋_GB2312" w:cs="Times New Roman"/>
      <w:sz w:val="32"/>
      <w:szCs w:val="20"/>
    </w:rPr>
  </w:style>
  <w:style w:type="character" w:customStyle="1" w:styleId="53">
    <w:name w:val="纯文本 字符4"/>
    <w:link w:val="17"/>
    <w:qFormat/>
    <w:uiPriority w:val="0"/>
    <w:rPr>
      <w:rFonts w:ascii="宋体" w:hAnsi="Courier New" w:eastAsia="宋体" w:cs="Courier New"/>
      <w:szCs w:val="21"/>
    </w:rPr>
  </w:style>
  <w:style w:type="character" w:customStyle="1" w:styleId="54">
    <w:name w:val="日期 字符1"/>
    <w:link w:val="18"/>
    <w:qFormat/>
    <w:uiPriority w:val="99"/>
    <w:rPr>
      <w:rFonts w:ascii="Times New Roman" w:hAnsi="Times New Roman"/>
      <w:kern w:val="2"/>
      <w:sz w:val="21"/>
      <w:szCs w:val="24"/>
    </w:rPr>
  </w:style>
  <w:style w:type="character" w:customStyle="1" w:styleId="55">
    <w:name w:val="批注框文本 字符"/>
    <w:link w:val="20"/>
    <w:semiHidden/>
    <w:qFormat/>
    <w:uiPriority w:val="0"/>
    <w:rPr>
      <w:kern w:val="2"/>
      <w:sz w:val="18"/>
      <w:szCs w:val="18"/>
    </w:rPr>
  </w:style>
  <w:style w:type="character" w:customStyle="1" w:styleId="56">
    <w:name w:val="页脚 字符1"/>
    <w:link w:val="21"/>
    <w:qFormat/>
    <w:uiPriority w:val="99"/>
    <w:rPr>
      <w:sz w:val="18"/>
      <w:szCs w:val="18"/>
    </w:rPr>
  </w:style>
  <w:style w:type="character" w:customStyle="1" w:styleId="57">
    <w:name w:val="页眉 字符1"/>
    <w:link w:val="23"/>
    <w:qFormat/>
    <w:uiPriority w:val="99"/>
    <w:rPr>
      <w:sz w:val="18"/>
      <w:szCs w:val="18"/>
    </w:rPr>
  </w:style>
  <w:style w:type="character" w:customStyle="1" w:styleId="58">
    <w:name w:val="批注主题 字符1"/>
    <w:link w:val="29"/>
    <w:qFormat/>
    <w:uiPriority w:val="99"/>
    <w:rPr>
      <w:rFonts w:ascii="Times New Roman" w:hAnsi="Times New Roman"/>
      <w:b/>
      <w:bCs/>
      <w:kern w:val="2"/>
      <w:sz w:val="21"/>
      <w:szCs w:val="24"/>
    </w:rPr>
  </w:style>
  <w:style w:type="paragraph" w:customStyle="1" w:styleId="59">
    <w:name w:val="正文首行缩进 21"/>
    <w:basedOn w:val="60"/>
    <w:qFormat/>
    <w:uiPriority w:val="0"/>
    <w:pPr>
      <w:ind w:firstLine="420" w:firstLineChars="200"/>
    </w:pPr>
  </w:style>
  <w:style w:type="paragraph" w:customStyle="1" w:styleId="60">
    <w:name w:val="正文文本缩进1"/>
    <w:basedOn w:val="1"/>
    <w:next w:val="14"/>
    <w:qFormat/>
    <w:uiPriority w:val="0"/>
    <w:pPr>
      <w:spacing w:after="120"/>
      <w:ind w:left="420" w:leftChars="200"/>
    </w:pPr>
  </w:style>
  <w:style w:type="character" w:customStyle="1" w:styleId="61">
    <w:name w:val="纯文本 字符2"/>
    <w:qFormat/>
    <w:uiPriority w:val="0"/>
    <w:rPr>
      <w:rFonts w:ascii="宋体" w:hAnsi="Courier New" w:eastAsia="宋体" w:cs="Courier New"/>
      <w:szCs w:val="21"/>
    </w:rPr>
  </w:style>
  <w:style w:type="character" w:customStyle="1" w:styleId="62">
    <w:name w:val="apple-style-span"/>
    <w:qFormat/>
    <w:uiPriority w:val="0"/>
  </w:style>
  <w:style w:type="character" w:customStyle="1" w:styleId="63">
    <w:name w:val="纯文本 字符"/>
    <w:qFormat/>
    <w:uiPriority w:val="0"/>
    <w:rPr>
      <w:rFonts w:ascii="宋体" w:hAnsi="Courier New" w:eastAsia="宋体" w:cs="Courier New"/>
      <w:szCs w:val="21"/>
    </w:rPr>
  </w:style>
  <w:style w:type="character" w:customStyle="1" w:styleId="64">
    <w:name w:val="纯文本 字符1"/>
    <w:qFormat/>
    <w:uiPriority w:val="0"/>
    <w:rPr>
      <w:rFonts w:ascii="宋体" w:hAnsi="Courier New"/>
    </w:rPr>
  </w:style>
  <w:style w:type="character" w:customStyle="1" w:styleId="65">
    <w:name w:val="标题 8 Char"/>
    <w:qFormat/>
    <w:uiPriority w:val="0"/>
    <w:rPr>
      <w:rFonts w:ascii="Arial" w:hAnsi="Arial" w:eastAsia="黑体"/>
      <w:kern w:val="2"/>
      <w:sz w:val="24"/>
      <w:szCs w:val="24"/>
    </w:rPr>
  </w:style>
  <w:style w:type="character" w:customStyle="1" w:styleId="66">
    <w:name w:val="纯文本 Char"/>
    <w:qFormat/>
    <w:uiPriority w:val="0"/>
    <w:rPr>
      <w:rFonts w:ascii="宋体" w:hAnsi="Courier New" w:eastAsia="宋体" w:cs="Courier New"/>
      <w:szCs w:val="21"/>
    </w:rPr>
  </w:style>
  <w:style w:type="character" w:customStyle="1" w:styleId="67">
    <w:name w:val="正文文本 Char"/>
    <w:qFormat/>
    <w:uiPriority w:val="0"/>
    <w:rPr>
      <w:rFonts w:ascii="Times New Roman" w:hAnsi="Times New Roman"/>
      <w:kern w:val="2"/>
      <w:sz w:val="21"/>
      <w:szCs w:val="24"/>
    </w:rPr>
  </w:style>
  <w:style w:type="character" w:customStyle="1" w:styleId="68">
    <w:name w:val="批注文字 字符1"/>
    <w:qFormat/>
    <w:uiPriority w:val="0"/>
    <w:rPr>
      <w:rFonts w:ascii="Times New Roman" w:hAnsi="Times New Roman"/>
      <w:kern w:val="2"/>
      <w:sz w:val="21"/>
      <w:szCs w:val="24"/>
    </w:rPr>
  </w:style>
  <w:style w:type="character" w:customStyle="1" w:styleId="69">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0">
    <w:name w:val="标题 1 字符1"/>
    <w:qFormat/>
    <w:uiPriority w:val="0"/>
    <w:rPr>
      <w:b/>
      <w:bCs/>
      <w:kern w:val="44"/>
      <w:sz w:val="44"/>
      <w:szCs w:val="44"/>
    </w:rPr>
  </w:style>
  <w:style w:type="character" w:customStyle="1" w:styleId="71">
    <w:name w:val="正文文本 字符"/>
    <w:qFormat/>
    <w:uiPriority w:val="0"/>
    <w:rPr>
      <w:rFonts w:ascii="Times New Roman" w:hAnsi="Times New Roman"/>
      <w:kern w:val="2"/>
      <w:sz w:val="21"/>
      <w:szCs w:val="24"/>
    </w:rPr>
  </w:style>
  <w:style w:type="character" w:customStyle="1" w:styleId="72">
    <w:name w:val="批注文字 字符"/>
    <w:qFormat/>
    <w:uiPriority w:val="0"/>
    <w:rPr>
      <w:rFonts w:ascii="Times New Roman" w:hAnsi="Times New Roman"/>
      <w:kern w:val="2"/>
      <w:sz w:val="21"/>
      <w:szCs w:val="24"/>
    </w:rPr>
  </w:style>
  <w:style w:type="character" w:customStyle="1" w:styleId="73">
    <w:name w:val="textcontents"/>
    <w:qFormat/>
    <w:uiPriority w:val="0"/>
  </w:style>
  <w:style w:type="character" w:customStyle="1" w:styleId="74">
    <w:name w:val="批注文字 Char"/>
    <w:qFormat/>
    <w:uiPriority w:val="0"/>
    <w:rPr>
      <w:rFonts w:ascii="Times New Roman" w:hAnsi="Times New Roman"/>
      <w:kern w:val="2"/>
      <w:sz w:val="21"/>
      <w:szCs w:val="24"/>
    </w:rPr>
  </w:style>
  <w:style w:type="paragraph" w:customStyle="1" w:styleId="7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76">
    <w:name w:val="List Paragraph"/>
    <w:basedOn w:val="1"/>
    <w:qFormat/>
    <w:uiPriority w:val="34"/>
    <w:pPr>
      <w:ind w:firstLine="420" w:firstLineChars="200"/>
    </w:pPr>
  </w:style>
  <w:style w:type="paragraph" w:customStyle="1" w:styleId="77">
    <w:name w:val="默认段落字体 Para Char Char Char Char Char Char Char Char Char1 Char Char Char Char"/>
    <w:basedOn w:val="1"/>
    <w:qFormat/>
    <w:uiPriority w:val="0"/>
    <w:rPr>
      <w:rFonts w:ascii="Tahoma" w:hAnsi="Tahoma"/>
      <w:sz w:val="24"/>
      <w:szCs w:val="20"/>
    </w:rPr>
  </w:style>
  <w:style w:type="paragraph" w:customStyle="1" w:styleId="78">
    <w:name w:val="Table Paragraph"/>
    <w:basedOn w:val="1"/>
    <w:qFormat/>
    <w:uiPriority w:val="1"/>
    <w:pPr>
      <w:jc w:val="left"/>
    </w:pPr>
    <w:rPr>
      <w:rFonts w:ascii="Calibri" w:hAnsi="Calibri"/>
      <w:kern w:val="0"/>
      <w:sz w:val="22"/>
      <w:szCs w:val="22"/>
      <w:lang w:eastAsia="en-US"/>
    </w:rPr>
  </w:style>
  <w:style w:type="paragraph" w:customStyle="1" w:styleId="79">
    <w:name w:val="Char Char Char Char"/>
    <w:basedOn w:val="1"/>
    <w:qFormat/>
    <w:uiPriority w:val="0"/>
    <w:pPr>
      <w:widowControl/>
      <w:spacing w:after="160" w:line="240" w:lineRule="exact"/>
      <w:jc w:val="left"/>
    </w:pPr>
  </w:style>
  <w:style w:type="character" w:customStyle="1" w:styleId="80">
    <w:name w:val="未处理的提及1"/>
    <w:unhideWhenUsed/>
    <w:qFormat/>
    <w:uiPriority w:val="99"/>
    <w:rPr>
      <w:color w:val="605E5C"/>
      <w:shd w:val="clear" w:color="auto" w:fill="E1DFDD"/>
    </w:rPr>
  </w:style>
  <w:style w:type="paragraph" w:customStyle="1" w:styleId="81">
    <w:name w:val="_Style 76"/>
    <w:basedOn w:val="2"/>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82">
    <w:name w:val="正文2 Char Char"/>
    <w:link w:val="83"/>
    <w:qFormat/>
    <w:uiPriority w:val="0"/>
    <w:rPr>
      <w:sz w:val="24"/>
    </w:rPr>
  </w:style>
  <w:style w:type="paragraph" w:customStyle="1" w:styleId="83">
    <w:name w:val="正文2"/>
    <w:basedOn w:val="1"/>
    <w:next w:val="1"/>
    <w:link w:val="82"/>
    <w:qFormat/>
    <w:uiPriority w:val="0"/>
    <w:pPr>
      <w:adjustRightInd w:val="0"/>
      <w:spacing w:before="156" w:line="360" w:lineRule="auto"/>
      <w:ind w:firstLine="510" w:firstLineChars="200"/>
    </w:pPr>
    <w:rPr>
      <w:kern w:val="0"/>
      <w:sz w:val="24"/>
      <w:szCs w:val="20"/>
    </w:rPr>
  </w:style>
  <w:style w:type="paragraph" w:customStyle="1" w:styleId="8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5">
    <w:name w:val="正文缩进1"/>
    <w:basedOn w:val="1"/>
    <w:next w:val="14"/>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86">
    <w:name w:val="标题 1 字符"/>
    <w:qFormat/>
    <w:uiPriority w:val="9"/>
    <w:rPr>
      <w:b/>
      <w:bCs/>
      <w:kern w:val="44"/>
      <w:sz w:val="44"/>
      <w:szCs w:val="44"/>
    </w:rPr>
  </w:style>
  <w:style w:type="character" w:customStyle="1" w:styleId="87">
    <w:name w:val="标题 2 字符"/>
    <w:qFormat/>
    <w:uiPriority w:val="9"/>
    <w:rPr>
      <w:rFonts w:ascii="Cambria" w:hAnsi="Cambria"/>
      <w:b/>
      <w:bCs/>
      <w:kern w:val="2"/>
      <w:sz w:val="32"/>
      <w:szCs w:val="32"/>
    </w:rPr>
  </w:style>
  <w:style w:type="character" w:customStyle="1" w:styleId="88">
    <w:name w:val="标题 3 字符"/>
    <w:qFormat/>
    <w:uiPriority w:val="9"/>
    <w:rPr>
      <w:b/>
      <w:bCs/>
      <w:kern w:val="2"/>
      <w:sz w:val="32"/>
      <w:szCs w:val="32"/>
    </w:rPr>
  </w:style>
  <w:style w:type="character" w:customStyle="1" w:styleId="89">
    <w:name w:val="标题 5 字符"/>
    <w:qFormat/>
    <w:uiPriority w:val="9"/>
    <w:rPr>
      <w:b/>
      <w:bCs/>
      <w:kern w:val="2"/>
      <w:sz w:val="28"/>
      <w:szCs w:val="28"/>
    </w:rPr>
  </w:style>
  <w:style w:type="character" w:customStyle="1" w:styleId="90">
    <w:name w:val="标题 8 字符"/>
    <w:qFormat/>
    <w:uiPriority w:val="9"/>
    <w:rPr>
      <w:rFonts w:ascii="等线 Light" w:hAnsi="等线 Light" w:eastAsia="等线 Light"/>
      <w:kern w:val="2"/>
      <w:sz w:val="24"/>
      <w:szCs w:val="24"/>
    </w:rPr>
  </w:style>
  <w:style w:type="character" w:customStyle="1" w:styleId="91">
    <w:name w:val="批注文字 字符2"/>
    <w:qFormat/>
    <w:uiPriority w:val="0"/>
    <w:rPr>
      <w:kern w:val="2"/>
      <w:sz w:val="21"/>
      <w:szCs w:val="24"/>
    </w:rPr>
  </w:style>
  <w:style w:type="character" w:customStyle="1" w:styleId="92">
    <w:name w:val="正文文本 3 字符"/>
    <w:qFormat/>
    <w:uiPriority w:val="99"/>
    <w:rPr>
      <w:kern w:val="2"/>
      <w:sz w:val="16"/>
      <w:szCs w:val="16"/>
    </w:rPr>
  </w:style>
  <w:style w:type="character" w:customStyle="1" w:styleId="93">
    <w:name w:val="正文文本 字符1"/>
    <w:qFormat/>
    <w:uiPriority w:val="0"/>
    <w:rPr>
      <w:kern w:val="2"/>
      <w:sz w:val="21"/>
      <w:szCs w:val="24"/>
    </w:rPr>
  </w:style>
  <w:style w:type="character" w:customStyle="1" w:styleId="94">
    <w:name w:val="正文文本缩进 字符"/>
    <w:qFormat/>
    <w:uiPriority w:val="0"/>
    <w:rPr>
      <w:rFonts w:ascii="仿宋_GB2312" w:eastAsia="仿宋_GB2312"/>
      <w:sz w:val="32"/>
    </w:rPr>
  </w:style>
  <w:style w:type="character" w:customStyle="1" w:styleId="95">
    <w:name w:val="纯文本 字符3"/>
    <w:qFormat/>
    <w:uiPriority w:val="0"/>
    <w:rPr>
      <w:rFonts w:ascii="宋体" w:hAnsi="Courier New"/>
      <w:szCs w:val="21"/>
    </w:rPr>
  </w:style>
  <w:style w:type="character" w:customStyle="1" w:styleId="96">
    <w:name w:val="日期 字符"/>
    <w:qFormat/>
    <w:uiPriority w:val="99"/>
    <w:rPr>
      <w:kern w:val="2"/>
      <w:sz w:val="21"/>
      <w:szCs w:val="24"/>
    </w:rPr>
  </w:style>
  <w:style w:type="character" w:customStyle="1" w:styleId="97">
    <w:name w:val="页脚 字符"/>
    <w:qFormat/>
    <w:uiPriority w:val="99"/>
    <w:rPr>
      <w:sz w:val="18"/>
      <w:szCs w:val="18"/>
    </w:rPr>
  </w:style>
  <w:style w:type="character" w:customStyle="1" w:styleId="98">
    <w:name w:val="页眉 字符"/>
    <w:qFormat/>
    <w:uiPriority w:val="99"/>
    <w:rPr>
      <w:sz w:val="18"/>
      <w:szCs w:val="18"/>
    </w:rPr>
  </w:style>
  <w:style w:type="character" w:customStyle="1" w:styleId="99">
    <w:name w:val="批注主题 字符"/>
    <w:qFormat/>
    <w:uiPriority w:val="99"/>
    <w:rPr>
      <w:rFonts w:ascii="Times New Roman" w:hAnsi="Times New Roman"/>
      <w:b/>
      <w:bCs/>
      <w:kern w:val="2"/>
      <w:sz w:val="21"/>
      <w:szCs w:val="24"/>
    </w:rPr>
  </w:style>
  <w:style w:type="paragraph" w:customStyle="1" w:styleId="100">
    <w:name w:val="_Style 94"/>
    <w:basedOn w:val="1"/>
    <w:unhideWhenUsed/>
    <w:qFormat/>
    <w:uiPriority w:val="99"/>
  </w:style>
  <w:style w:type="paragraph" w:customStyle="1" w:styleId="101">
    <w:name w:val="_Style 95"/>
    <w:basedOn w:val="1"/>
    <w:unhideWhenUsed/>
    <w:qFormat/>
    <w:uiPriority w:val="99"/>
  </w:style>
  <w:style w:type="paragraph" w:customStyle="1" w:styleId="102">
    <w:name w:val="正文1"/>
    <w:basedOn w:val="1"/>
    <w:qFormat/>
    <w:uiPriority w:val="0"/>
    <w:pPr>
      <w:widowControl/>
    </w:pPr>
    <w:rPr>
      <w:szCs w:val="21"/>
    </w:rPr>
  </w:style>
  <w:style w:type="paragraph" w:customStyle="1" w:styleId="103">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04">
    <w:name w:val="fontstyle01"/>
    <w:qFormat/>
    <w:uiPriority w:val="0"/>
    <w:rPr>
      <w:rFonts w:hint="eastAsia" w:ascii="宋体" w:hAnsi="宋体" w:eastAsia="宋体"/>
      <w:color w:val="000000"/>
      <w:sz w:val="22"/>
      <w:szCs w:val="22"/>
    </w:rPr>
  </w:style>
  <w:style w:type="paragraph" w:customStyle="1" w:styleId="105">
    <w:name w:val="WPSOffice手动目录 1"/>
    <w:qFormat/>
    <w:uiPriority w:val="0"/>
    <w:rPr>
      <w:rFonts w:ascii="Times New Roman" w:hAnsi="Times New Roman" w:eastAsia="宋体" w:cs="Times New Roman"/>
      <w:lang w:val="en-US" w:eastAsia="zh-CN" w:bidi="ar-SA"/>
    </w:rPr>
  </w:style>
  <w:style w:type="paragraph" w:customStyle="1" w:styleId="106">
    <w:name w:val="Body text|2"/>
    <w:basedOn w:val="1"/>
    <w:qFormat/>
    <w:uiPriority w:val="0"/>
    <w:pPr>
      <w:spacing w:after="300"/>
      <w:ind w:firstLine="220"/>
      <w:jc w:val="left"/>
    </w:pPr>
    <w:rPr>
      <w:rFonts w:hint="eastAsia" w:ascii="宋体" w:hAnsi="宋体"/>
      <w:kern w:val="0"/>
      <w:sz w:val="22"/>
      <w:szCs w:val="22"/>
    </w:rPr>
  </w:style>
  <w:style w:type="table" w:customStyle="1" w:styleId="107">
    <w:name w:val="Table Normal"/>
    <w:unhideWhenUsed/>
    <w:qFormat/>
    <w:uiPriority w:val="0"/>
    <w:tblPr>
      <w:tblCellMar>
        <w:top w:w="0" w:type="dxa"/>
        <w:left w:w="0" w:type="dxa"/>
        <w:bottom w:w="0" w:type="dxa"/>
        <w:right w:w="0" w:type="dxa"/>
      </w:tblCellMar>
    </w:tblPr>
  </w:style>
  <w:style w:type="paragraph" w:customStyle="1" w:styleId="108">
    <w:name w:val="Table Text"/>
    <w:basedOn w:val="1"/>
    <w:semiHidden/>
    <w:qFormat/>
    <w:uiPriority w:val="0"/>
    <w:rPr>
      <w:rFonts w:ascii="Arial" w:hAnsi="Arial" w:eastAsia="Arial" w:cs="Arial"/>
      <w:szCs w:val="21"/>
      <w:lang w:eastAsia="en-US"/>
    </w:rPr>
  </w:style>
  <w:style w:type="character" w:customStyle="1" w:styleId="109">
    <w:name w:val="NormalCharacter"/>
    <w:qFormat/>
    <w:uiPriority w:val="0"/>
    <w:rPr>
      <w:rFonts w:ascii="Times New Roman" w:hAnsi="Times New Roman" w:eastAsia="宋体" w:cs="Times New Roman"/>
      <w:kern w:val="2"/>
      <w:sz w:val="21"/>
      <w:szCs w:val="24"/>
      <w:lang w:val="en-US" w:eastAsia="zh-CN" w:bidi="ar-SA"/>
    </w:rPr>
  </w:style>
  <w:style w:type="paragraph" w:customStyle="1" w:styleId="110">
    <w:name w:val="正文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
    <w:name w:val="表格文字"/>
    <w:basedOn w:val="1"/>
    <w:qFormat/>
    <w:uiPriority w:val="99"/>
    <w:pPr>
      <w:spacing w:before="25" w:after="25"/>
      <w:jc w:val="left"/>
    </w:pPr>
    <w:rPr>
      <w:bCs/>
      <w:spacing w:val="10"/>
      <w:kern w:val="0"/>
      <w:sz w:val="24"/>
    </w:rPr>
  </w:style>
  <w:style w:type="paragraph" w:customStyle="1" w:styleId="112">
    <w:name w:val="纯文本1"/>
    <w:basedOn w:val="1"/>
    <w:next w:val="1"/>
    <w:qFormat/>
    <w:uiPriority w:val="1650"/>
    <w:rPr>
      <w:rFonts w:ascii="宋体" w:hAnsi="宋体" w:cs="Courier New"/>
      <w:kern w:val="0"/>
      <w:sz w:val="20"/>
      <w:szCs w:val="21"/>
    </w:rPr>
  </w:style>
  <w:style w:type="character" w:customStyle="1" w:styleId="113">
    <w:name w:val="font11"/>
    <w:basedOn w:val="3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https://www.gov.cn/zhengce/content/202509/W020250930645245947614.png" TargetMode="External"/><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479</Words>
  <Characters>570</Characters>
  <Lines>1832</Lines>
  <Paragraphs>1850</Paragraphs>
  <TotalTime>2</TotalTime>
  <ScaleCrop>false</ScaleCrop>
  <LinksUpToDate>false</LinksUpToDate>
  <CharactersWithSpaces>661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2022-03-04T08:54:00Z</dcterms:created>
  <dc:creator>Administrator</dc:creator>
  <cp:lastModifiedBy>...</cp:lastModifiedBy>
  <cp:lastPrinted>2025-06-23T09:12:00Z</cp:lastPrinted>
  <dcterms:modified xsi:type="dcterms:W3CDTF">2026-05-18T04:04:25Z</dcterms:modified>
  <dc:title>竞争性谈判文件规范</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89489BD8DC0E40B29D1D7F64316FE239_13</vt:lpwstr>
  </property>
  <property fmtid="{D5CDD505-2E9C-101B-9397-08002B2CF9AE}" pid="4" name="KSOTemplateDocerSaveRecord">
    <vt:lpwstr>eyJoZGlkIjoiYTcyMmZlZWQ3NTY4NDZhMTUxMjBiNTVmMGQyOGM4ZTMiLCJ1c2VySWQiOiI0NDA0MDUwNTgifQ==</vt:lpwstr>
  </property>
</Properties>
</file>