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63483C9">
      <w:pPr>
        <w:jc w:val="center"/>
        <w:rPr>
          <w:rFonts w:hint="eastAsia" w:ascii="宋体" w:hAnsi="宋体"/>
          <w:color w:val="auto"/>
          <w:sz w:val="52"/>
          <w:szCs w:val="52"/>
          <w:highlight w:val="none"/>
        </w:rPr>
      </w:pPr>
      <w:r>
        <w:rPr>
          <w:rFonts w:hint="eastAsia" w:ascii="宋体" w:hAnsi="宋体"/>
          <w:color w:val="auto"/>
          <w:sz w:val="52"/>
          <w:szCs w:val="52"/>
          <w:highlight w:val="none"/>
        </w:rPr>
        <w:drawing>
          <wp:inline distT="0" distB="0" distL="114300" distR="114300">
            <wp:extent cx="6106795" cy="8637270"/>
            <wp:effectExtent l="0" t="0" r="8255" b="11430"/>
            <wp:docPr id="2" name="图片 2"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封面"/>
                    <pic:cNvPicPr>
                      <a:picLocks noChangeAspect="1"/>
                    </pic:cNvPicPr>
                  </pic:nvPicPr>
                  <pic:blipFill>
                    <a:blip r:embed="rId10"/>
                    <a:stretch>
                      <a:fillRect/>
                    </a:stretch>
                  </pic:blipFill>
                  <pic:spPr>
                    <a:xfrm>
                      <a:off x="0" y="0"/>
                      <a:ext cx="6106795" cy="8637270"/>
                    </a:xfrm>
                    <a:prstGeom prst="rect">
                      <a:avLst/>
                    </a:prstGeom>
                  </pic:spPr>
                </pic:pic>
              </a:graphicData>
            </a:graphic>
          </wp:inline>
        </w:drawing>
      </w:r>
    </w:p>
    <w:p w14:paraId="72E964E2">
      <w:pPr>
        <w:jc w:val="center"/>
        <w:rPr>
          <w:rFonts w:hint="eastAsia"/>
          <w:b/>
          <w:color w:val="auto"/>
          <w:sz w:val="48"/>
          <w:szCs w:val="48"/>
          <w:highlight w:val="none"/>
        </w:rPr>
      </w:pPr>
    </w:p>
    <w:p w14:paraId="1BF6E4CD">
      <w:pPr>
        <w:jc w:val="center"/>
        <w:rPr>
          <w:b/>
          <w:color w:val="auto"/>
          <w:sz w:val="48"/>
          <w:szCs w:val="48"/>
          <w:highlight w:val="none"/>
        </w:rPr>
      </w:pPr>
      <w:r>
        <w:rPr>
          <w:rFonts w:hint="eastAsia"/>
          <w:b/>
          <w:color w:val="auto"/>
          <w:sz w:val="48"/>
          <w:szCs w:val="48"/>
          <w:highlight w:val="none"/>
        </w:rPr>
        <w:t>目</w:t>
      </w:r>
      <w:r>
        <w:rPr>
          <w:b/>
          <w:color w:val="auto"/>
          <w:sz w:val="48"/>
          <w:szCs w:val="48"/>
          <w:highlight w:val="none"/>
        </w:rPr>
        <w:t xml:space="preserve">     </w:t>
      </w:r>
      <w:r>
        <w:rPr>
          <w:rFonts w:hint="eastAsia"/>
          <w:b/>
          <w:color w:val="auto"/>
          <w:sz w:val="48"/>
          <w:szCs w:val="48"/>
          <w:highlight w:val="none"/>
        </w:rPr>
        <w:t>录</w:t>
      </w:r>
    </w:p>
    <w:p w14:paraId="155198AF">
      <w:pPr>
        <w:pStyle w:val="24"/>
        <w:tabs>
          <w:tab w:val="right" w:leader="dot" w:pos="9638"/>
        </w:tabs>
        <w:rPr>
          <w:color w:val="auto"/>
          <w:highlight w:val="none"/>
        </w:rPr>
      </w:pPr>
      <w:r>
        <w:rPr>
          <w:rFonts w:hAnsi="宋体"/>
          <w:b w:val="0"/>
          <w:bCs w:val="0"/>
          <w:caps w:val="0"/>
          <w:color w:val="auto"/>
          <w:sz w:val="28"/>
          <w:szCs w:val="28"/>
          <w:highlight w:val="none"/>
        </w:rPr>
        <w:fldChar w:fldCharType="begin"/>
      </w:r>
      <w:r>
        <w:rPr>
          <w:rFonts w:hAnsi="宋体"/>
          <w:b w:val="0"/>
          <w:bCs w:val="0"/>
          <w:caps w:val="0"/>
          <w:color w:val="auto"/>
          <w:sz w:val="28"/>
          <w:szCs w:val="28"/>
          <w:highlight w:val="none"/>
        </w:rPr>
        <w:instrText xml:space="preserve"> TOC \o "1-3" \h \z \u </w:instrText>
      </w:r>
      <w:r>
        <w:rPr>
          <w:rFonts w:hAnsi="宋体"/>
          <w:b w:val="0"/>
          <w:bCs w:val="0"/>
          <w:caps w:val="0"/>
          <w:color w:val="auto"/>
          <w:sz w:val="28"/>
          <w:szCs w:val="28"/>
          <w:highlight w:val="none"/>
        </w:rPr>
        <w:fldChar w:fldCharType="separate"/>
      </w:r>
      <w:r>
        <w:rPr>
          <w:rFonts w:hAnsi="宋体"/>
          <w:bCs w:val="0"/>
          <w:caps w:val="0"/>
          <w:color w:val="auto"/>
          <w:szCs w:val="28"/>
          <w:highlight w:val="none"/>
        </w:rPr>
        <w:fldChar w:fldCharType="begin"/>
      </w:r>
      <w:r>
        <w:rPr>
          <w:rFonts w:hAnsi="宋体"/>
          <w:bCs w:val="0"/>
          <w:caps w:val="0"/>
          <w:color w:val="auto"/>
          <w:szCs w:val="28"/>
          <w:highlight w:val="none"/>
        </w:rPr>
        <w:instrText xml:space="preserve"> HYPERLINK \l _Toc25587 </w:instrText>
      </w:r>
      <w:r>
        <w:rPr>
          <w:rFonts w:hAnsi="宋体"/>
          <w:bCs w:val="0"/>
          <w:caps w:val="0"/>
          <w:color w:val="auto"/>
          <w:szCs w:val="28"/>
          <w:highlight w:val="none"/>
        </w:rPr>
        <w:fldChar w:fldCharType="separate"/>
      </w:r>
      <w:r>
        <w:rPr>
          <w:rFonts w:hint="eastAsia"/>
          <w:color w:val="auto"/>
          <w:szCs w:val="20"/>
          <w:highlight w:val="none"/>
        </w:rPr>
        <w:t>第一章</w:t>
      </w:r>
      <w:r>
        <w:rPr>
          <w:color w:val="auto"/>
          <w:szCs w:val="20"/>
          <w:highlight w:val="none"/>
        </w:rPr>
        <w:t xml:space="preserve">  </w:t>
      </w:r>
      <w:r>
        <w:rPr>
          <w:rFonts w:hint="eastAsia"/>
          <w:color w:val="auto"/>
          <w:szCs w:val="20"/>
          <w:highlight w:val="none"/>
        </w:rPr>
        <w:t>招标公告</w:t>
      </w:r>
      <w:r>
        <w:rPr>
          <w:color w:val="auto"/>
          <w:highlight w:val="none"/>
        </w:rPr>
        <w:tab/>
      </w:r>
      <w:r>
        <w:rPr>
          <w:color w:val="auto"/>
          <w:highlight w:val="none"/>
        </w:rPr>
        <w:fldChar w:fldCharType="begin"/>
      </w:r>
      <w:r>
        <w:rPr>
          <w:color w:val="auto"/>
          <w:highlight w:val="none"/>
        </w:rPr>
        <w:instrText xml:space="preserve"> PAGEREF _Toc25587 \h </w:instrText>
      </w:r>
      <w:r>
        <w:rPr>
          <w:color w:val="auto"/>
          <w:highlight w:val="none"/>
        </w:rPr>
        <w:fldChar w:fldCharType="separate"/>
      </w:r>
      <w:r>
        <w:rPr>
          <w:color w:val="auto"/>
          <w:highlight w:val="none"/>
        </w:rPr>
        <w:t>3</w:t>
      </w:r>
      <w:r>
        <w:rPr>
          <w:color w:val="auto"/>
          <w:highlight w:val="none"/>
        </w:rPr>
        <w:fldChar w:fldCharType="end"/>
      </w:r>
      <w:r>
        <w:rPr>
          <w:rFonts w:hAnsi="宋体"/>
          <w:bCs w:val="0"/>
          <w:caps w:val="0"/>
          <w:color w:val="auto"/>
          <w:szCs w:val="28"/>
          <w:highlight w:val="none"/>
        </w:rPr>
        <w:fldChar w:fldCharType="end"/>
      </w:r>
    </w:p>
    <w:p w14:paraId="5BBD5024">
      <w:pPr>
        <w:pStyle w:val="24"/>
        <w:tabs>
          <w:tab w:val="right" w:leader="dot" w:pos="9638"/>
        </w:tabs>
        <w:rPr>
          <w:color w:val="auto"/>
          <w:highlight w:val="none"/>
        </w:rPr>
      </w:pPr>
      <w:r>
        <w:rPr>
          <w:rFonts w:hAnsi="宋体"/>
          <w:bCs w:val="0"/>
          <w:caps w:val="0"/>
          <w:color w:val="auto"/>
          <w:szCs w:val="28"/>
          <w:highlight w:val="none"/>
        </w:rPr>
        <w:fldChar w:fldCharType="begin"/>
      </w:r>
      <w:r>
        <w:rPr>
          <w:rFonts w:hAnsi="宋体"/>
          <w:bCs w:val="0"/>
          <w:caps w:val="0"/>
          <w:color w:val="auto"/>
          <w:szCs w:val="28"/>
          <w:highlight w:val="none"/>
        </w:rPr>
        <w:instrText xml:space="preserve"> HYPERLINK \l _Toc16636 </w:instrText>
      </w:r>
      <w:r>
        <w:rPr>
          <w:rFonts w:hAnsi="宋体"/>
          <w:bCs w:val="0"/>
          <w:caps w:val="0"/>
          <w:color w:val="auto"/>
          <w:szCs w:val="28"/>
          <w:highlight w:val="none"/>
        </w:rPr>
        <w:fldChar w:fldCharType="separate"/>
      </w:r>
      <w:r>
        <w:rPr>
          <w:rFonts w:hint="eastAsia"/>
          <w:color w:val="auto"/>
          <w:szCs w:val="20"/>
          <w:highlight w:val="none"/>
        </w:rPr>
        <w:t>第二章</w:t>
      </w:r>
      <w:r>
        <w:rPr>
          <w:color w:val="auto"/>
          <w:szCs w:val="20"/>
          <w:highlight w:val="none"/>
        </w:rPr>
        <w:t xml:space="preserve">  </w:t>
      </w:r>
      <w:r>
        <w:rPr>
          <w:rFonts w:hint="eastAsia"/>
          <w:color w:val="auto"/>
          <w:szCs w:val="20"/>
          <w:highlight w:val="none"/>
        </w:rPr>
        <w:t>采购需求</w:t>
      </w:r>
      <w:r>
        <w:rPr>
          <w:color w:val="auto"/>
          <w:highlight w:val="none"/>
        </w:rPr>
        <w:tab/>
      </w:r>
      <w:r>
        <w:rPr>
          <w:color w:val="auto"/>
          <w:highlight w:val="none"/>
        </w:rPr>
        <w:fldChar w:fldCharType="begin"/>
      </w:r>
      <w:r>
        <w:rPr>
          <w:color w:val="auto"/>
          <w:highlight w:val="none"/>
        </w:rPr>
        <w:instrText xml:space="preserve"> PAGEREF _Toc16636 \h </w:instrText>
      </w:r>
      <w:r>
        <w:rPr>
          <w:color w:val="auto"/>
          <w:highlight w:val="none"/>
        </w:rPr>
        <w:fldChar w:fldCharType="separate"/>
      </w:r>
      <w:r>
        <w:rPr>
          <w:color w:val="auto"/>
          <w:highlight w:val="none"/>
        </w:rPr>
        <w:t>7</w:t>
      </w:r>
      <w:r>
        <w:rPr>
          <w:color w:val="auto"/>
          <w:highlight w:val="none"/>
        </w:rPr>
        <w:fldChar w:fldCharType="end"/>
      </w:r>
      <w:r>
        <w:rPr>
          <w:rFonts w:hAnsi="宋体"/>
          <w:bCs w:val="0"/>
          <w:caps w:val="0"/>
          <w:color w:val="auto"/>
          <w:szCs w:val="28"/>
          <w:highlight w:val="none"/>
        </w:rPr>
        <w:fldChar w:fldCharType="end"/>
      </w:r>
    </w:p>
    <w:p w14:paraId="7E59F685">
      <w:pPr>
        <w:pStyle w:val="24"/>
        <w:tabs>
          <w:tab w:val="right" w:leader="dot" w:pos="9638"/>
        </w:tabs>
        <w:rPr>
          <w:color w:val="auto"/>
          <w:highlight w:val="none"/>
        </w:rPr>
      </w:pPr>
      <w:r>
        <w:rPr>
          <w:rFonts w:hAnsi="宋体"/>
          <w:bCs w:val="0"/>
          <w:caps w:val="0"/>
          <w:color w:val="auto"/>
          <w:szCs w:val="28"/>
          <w:highlight w:val="none"/>
        </w:rPr>
        <w:fldChar w:fldCharType="begin"/>
      </w:r>
      <w:r>
        <w:rPr>
          <w:rFonts w:hAnsi="宋体"/>
          <w:bCs w:val="0"/>
          <w:caps w:val="0"/>
          <w:color w:val="auto"/>
          <w:szCs w:val="28"/>
          <w:highlight w:val="none"/>
        </w:rPr>
        <w:instrText xml:space="preserve"> HYPERLINK \l _Toc29955 </w:instrText>
      </w:r>
      <w:r>
        <w:rPr>
          <w:rFonts w:hAnsi="宋体"/>
          <w:bCs w:val="0"/>
          <w:caps w:val="0"/>
          <w:color w:val="auto"/>
          <w:szCs w:val="28"/>
          <w:highlight w:val="none"/>
        </w:rPr>
        <w:fldChar w:fldCharType="separate"/>
      </w:r>
      <w:r>
        <w:rPr>
          <w:rFonts w:hint="eastAsia"/>
          <w:color w:val="auto"/>
          <w:szCs w:val="20"/>
          <w:highlight w:val="none"/>
        </w:rPr>
        <w:t>第三章</w:t>
      </w:r>
      <w:r>
        <w:rPr>
          <w:color w:val="auto"/>
          <w:szCs w:val="20"/>
          <w:highlight w:val="none"/>
        </w:rPr>
        <w:t xml:space="preserve">  </w:t>
      </w:r>
      <w:r>
        <w:rPr>
          <w:rFonts w:hint="eastAsia"/>
          <w:color w:val="auto"/>
          <w:szCs w:val="20"/>
          <w:highlight w:val="none"/>
        </w:rPr>
        <w:t>投标人须知</w:t>
      </w:r>
      <w:r>
        <w:rPr>
          <w:color w:val="auto"/>
          <w:highlight w:val="none"/>
        </w:rPr>
        <w:tab/>
      </w:r>
      <w:r>
        <w:rPr>
          <w:color w:val="auto"/>
          <w:highlight w:val="none"/>
        </w:rPr>
        <w:fldChar w:fldCharType="begin"/>
      </w:r>
      <w:r>
        <w:rPr>
          <w:color w:val="auto"/>
          <w:highlight w:val="none"/>
        </w:rPr>
        <w:instrText xml:space="preserve"> PAGEREF _Toc29955 \h </w:instrText>
      </w:r>
      <w:r>
        <w:rPr>
          <w:color w:val="auto"/>
          <w:highlight w:val="none"/>
        </w:rPr>
        <w:fldChar w:fldCharType="separate"/>
      </w:r>
      <w:r>
        <w:rPr>
          <w:color w:val="auto"/>
          <w:highlight w:val="none"/>
        </w:rPr>
        <w:t>74</w:t>
      </w:r>
      <w:r>
        <w:rPr>
          <w:color w:val="auto"/>
          <w:highlight w:val="none"/>
        </w:rPr>
        <w:fldChar w:fldCharType="end"/>
      </w:r>
      <w:r>
        <w:rPr>
          <w:rFonts w:hAnsi="宋体"/>
          <w:bCs w:val="0"/>
          <w:caps w:val="0"/>
          <w:color w:val="auto"/>
          <w:szCs w:val="28"/>
          <w:highlight w:val="none"/>
        </w:rPr>
        <w:fldChar w:fldCharType="end"/>
      </w:r>
    </w:p>
    <w:p w14:paraId="24357A6E">
      <w:pPr>
        <w:pStyle w:val="29"/>
        <w:tabs>
          <w:tab w:val="right" w:leader="dot" w:pos="9638"/>
        </w:tabs>
        <w:rPr>
          <w:color w:val="auto"/>
          <w:highlight w:val="none"/>
        </w:rPr>
      </w:pPr>
      <w:r>
        <w:rPr>
          <w:rFonts w:hAnsi="宋体"/>
          <w:bCs w:val="0"/>
          <w:caps/>
          <w:color w:val="auto"/>
          <w:szCs w:val="28"/>
          <w:highlight w:val="none"/>
          <w:u w:val="single"/>
        </w:rPr>
        <w:fldChar w:fldCharType="begin"/>
      </w:r>
      <w:r>
        <w:rPr>
          <w:rFonts w:hAnsi="宋体"/>
          <w:bCs w:val="0"/>
          <w:caps/>
          <w:color w:val="auto"/>
          <w:szCs w:val="28"/>
          <w:highlight w:val="none"/>
        </w:rPr>
        <w:instrText xml:space="preserve"> HYPERLINK \l _Toc9211 </w:instrText>
      </w:r>
      <w:r>
        <w:rPr>
          <w:rFonts w:hAnsi="宋体"/>
          <w:bCs w:val="0"/>
          <w:caps/>
          <w:color w:val="auto"/>
          <w:szCs w:val="28"/>
          <w:highlight w:val="none"/>
        </w:rPr>
        <w:fldChar w:fldCharType="separate"/>
      </w:r>
      <w:r>
        <w:rPr>
          <w:rFonts w:hint="eastAsia"/>
          <w:color w:val="auto"/>
          <w:szCs w:val="30"/>
          <w:highlight w:val="none"/>
        </w:rPr>
        <w:t>第一节</w:t>
      </w:r>
      <w:r>
        <w:rPr>
          <w:color w:val="auto"/>
          <w:szCs w:val="30"/>
          <w:highlight w:val="none"/>
        </w:rPr>
        <w:t xml:space="preserve"> </w:t>
      </w:r>
      <w:r>
        <w:rPr>
          <w:rFonts w:hint="eastAsia"/>
          <w:color w:val="auto"/>
          <w:szCs w:val="30"/>
          <w:highlight w:val="none"/>
        </w:rPr>
        <w:t>投标人须知前附表</w:t>
      </w:r>
      <w:r>
        <w:rPr>
          <w:color w:val="auto"/>
          <w:highlight w:val="none"/>
        </w:rPr>
        <w:tab/>
      </w:r>
      <w:r>
        <w:rPr>
          <w:color w:val="auto"/>
          <w:highlight w:val="none"/>
        </w:rPr>
        <w:fldChar w:fldCharType="begin"/>
      </w:r>
      <w:r>
        <w:rPr>
          <w:color w:val="auto"/>
          <w:highlight w:val="none"/>
        </w:rPr>
        <w:instrText xml:space="preserve"> PAGEREF _Toc9211 \h </w:instrText>
      </w:r>
      <w:r>
        <w:rPr>
          <w:color w:val="auto"/>
          <w:highlight w:val="none"/>
        </w:rPr>
        <w:fldChar w:fldCharType="separate"/>
      </w:r>
      <w:r>
        <w:rPr>
          <w:color w:val="auto"/>
          <w:highlight w:val="none"/>
        </w:rPr>
        <w:t>74</w:t>
      </w:r>
      <w:r>
        <w:rPr>
          <w:color w:val="auto"/>
          <w:highlight w:val="none"/>
        </w:rPr>
        <w:fldChar w:fldCharType="end"/>
      </w:r>
      <w:r>
        <w:rPr>
          <w:rFonts w:hAnsi="宋体"/>
          <w:bCs w:val="0"/>
          <w:caps/>
          <w:color w:val="auto"/>
          <w:szCs w:val="28"/>
          <w:highlight w:val="none"/>
          <w:u w:val="single"/>
        </w:rPr>
        <w:fldChar w:fldCharType="end"/>
      </w:r>
    </w:p>
    <w:p w14:paraId="055604BF">
      <w:pPr>
        <w:pStyle w:val="29"/>
        <w:tabs>
          <w:tab w:val="right" w:leader="dot" w:pos="9638"/>
        </w:tabs>
        <w:rPr>
          <w:color w:val="auto"/>
          <w:highlight w:val="none"/>
        </w:rPr>
      </w:pPr>
      <w:r>
        <w:rPr>
          <w:rFonts w:hAnsi="宋体"/>
          <w:bCs w:val="0"/>
          <w:caps/>
          <w:color w:val="auto"/>
          <w:szCs w:val="28"/>
          <w:highlight w:val="none"/>
          <w:u w:val="single"/>
        </w:rPr>
        <w:fldChar w:fldCharType="begin"/>
      </w:r>
      <w:r>
        <w:rPr>
          <w:rFonts w:hAnsi="宋体"/>
          <w:bCs w:val="0"/>
          <w:caps/>
          <w:color w:val="auto"/>
          <w:szCs w:val="28"/>
          <w:highlight w:val="none"/>
        </w:rPr>
        <w:instrText xml:space="preserve"> HYPERLINK \l _Toc28823 </w:instrText>
      </w:r>
      <w:r>
        <w:rPr>
          <w:rFonts w:hAnsi="宋体"/>
          <w:bCs w:val="0"/>
          <w:caps/>
          <w:color w:val="auto"/>
          <w:szCs w:val="28"/>
          <w:highlight w:val="none"/>
        </w:rPr>
        <w:fldChar w:fldCharType="separate"/>
      </w:r>
      <w:r>
        <w:rPr>
          <w:rFonts w:hint="eastAsia" w:ascii="Arial" w:hAnsi="Arial" w:eastAsia="黑体"/>
          <w:color w:val="auto"/>
          <w:szCs w:val="32"/>
          <w:highlight w:val="none"/>
        </w:rPr>
        <w:t>第二节</w:t>
      </w:r>
      <w:r>
        <w:rPr>
          <w:rFonts w:ascii="Arial" w:hAnsi="Arial" w:eastAsia="黑体"/>
          <w:color w:val="auto"/>
          <w:szCs w:val="32"/>
          <w:highlight w:val="none"/>
        </w:rPr>
        <w:t xml:space="preserve"> </w:t>
      </w:r>
      <w:r>
        <w:rPr>
          <w:rFonts w:hint="eastAsia" w:ascii="Arial" w:hAnsi="Arial" w:eastAsia="黑体"/>
          <w:color w:val="auto"/>
          <w:szCs w:val="32"/>
          <w:highlight w:val="none"/>
        </w:rPr>
        <w:t>投标人须知正文</w:t>
      </w:r>
      <w:r>
        <w:rPr>
          <w:color w:val="auto"/>
          <w:highlight w:val="none"/>
        </w:rPr>
        <w:tab/>
      </w:r>
      <w:r>
        <w:rPr>
          <w:color w:val="auto"/>
          <w:highlight w:val="none"/>
        </w:rPr>
        <w:fldChar w:fldCharType="begin"/>
      </w:r>
      <w:r>
        <w:rPr>
          <w:color w:val="auto"/>
          <w:highlight w:val="none"/>
        </w:rPr>
        <w:instrText xml:space="preserve"> PAGEREF _Toc28823 \h </w:instrText>
      </w:r>
      <w:r>
        <w:rPr>
          <w:color w:val="auto"/>
          <w:highlight w:val="none"/>
        </w:rPr>
        <w:fldChar w:fldCharType="separate"/>
      </w:r>
      <w:r>
        <w:rPr>
          <w:color w:val="auto"/>
          <w:highlight w:val="none"/>
        </w:rPr>
        <w:t>81</w:t>
      </w:r>
      <w:r>
        <w:rPr>
          <w:color w:val="auto"/>
          <w:highlight w:val="none"/>
        </w:rPr>
        <w:fldChar w:fldCharType="end"/>
      </w:r>
      <w:r>
        <w:rPr>
          <w:rFonts w:hAnsi="宋体"/>
          <w:bCs w:val="0"/>
          <w:caps/>
          <w:color w:val="auto"/>
          <w:szCs w:val="28"/>
          <w:highlight w:val="none"/>
          <w:u w:val="single"/>
        </w:rPr>
        <w:fldChar w:fldCharType="end"/>
      </w:r>
    </w:p>
    <w:p w14:paraId="7D22B563">
      <w:pPr>
        <w:pStyle w:val="16"/>
        <w:tabs>
          <w:tab w:val="right" w:leader="dot" w:pos="9638"/>
        </w:tabs>
        <w:rPr>
          <w:color w:val="auto"/>
          <w:highlight w:val="none"/>
        </w:rPr>
      </w:pPr>
      <w:r>
        <w:rPr>
          <w:rFonts w:hAnsi="宋体"/>
          <w:bCs/>
          <w:caps/>
          <w:color w:val="auto"/>
          <w:szCs w:val="28"/>
          <w:highlight w:val="none"/>
          <w:u w:val="single"/>
        </w:rPr>
        <w:fldChar w:fldCharType="begin"/>
      </w:r>
      <w:r>
        <w:rPr>
          <w:rFonts w:hAnsi="宋体"/>
          <w:bCs/>
          <w:caps/>
          <w:color w:val="auto"/>
          <w:szCs w:val="28"/>
          <w:highlight w:val="none"/>
        </w:rPr>
        <w:instrText xml:space="preserve"> HYPERLINK \l _Toc3625 </w:instrText>
      </w:r>
      <w:r>
        <w:rPr>
          <w:rFonts w:hAnsi="宋体"/>
          <w:bCs/>
          <w:caps/>
          <w:color w:val="auto"/>
          <w:szCs w:val="28"/>
          <w:highlight w:val="none"/>
        </w:rPr>
        <w:fldChar w:fldCharType="separate"/>
      </w:r>
      <w:r>
        <w:rPr>
          <w:rFonts w:hint="eastAsia"/>
          <w:color w:val="auto"/>
          <w:highlight w:val="none"/>
        </w:rPr>
        <w:t>一、总</w:t>
      </w:r>
      <w:r>
        <w:rPr>
          <w:color w:val="auto"/>
          <w:highlight w:val="none"/>
        </w:rPr>
        <w:t xml:space="preserve">  </w:t>
      </w:r>
      <w:r>
        <w:rPr>
          <w:rFonts w:hint="eastAsia"/>
          <w:color w:val="auto"/>
          <w:highlight w:val="none"/>
        </w:rPr>
        <w:t>则</w:t>
      </w:r>
      <w:r>
        <w:rPr>
          <w:color w:val="auto"/>
          <w:highlight w:val="none"/>
        </w:rPr>
        <w:tab/>
      </w:r>
      <w:r>
        <w:rPr>
          <w:color w:val="auto"/>
          <w:highlight w:val="none"/>
        </w:rPr>
        <w:fldChar w:fldCharType="begin"/>
      </w:r>
      <w:r>
        <w:rPr>
          <w:color w:val="auto"/>
          <w:highlight w:val="none"/>
        </w:rPr>
        <w:instrText xml:space="preserve"> PAGEREF _Toc3625 \h </w:instrText>
      </w:r>
      <w:r>
        <w:rPr>
          <w:color w:val="auto"/>
          <w:highlight w:val="none"/>
        </w:rPr>
        <w:fldChar w:fldCharType="separate"/>
      </w:r>
      <w:r>
        <w:rPr>
          <w:color w:val="auto"/>
          <w:highlight w:val="none"/>
        </w:rPr>
        <w:t>81</w:t>
      </w:r>
      <w:r>
        <w:rPr>
          <w:color w:val="auto"/>
          <w:highlight w:val="none"/>
        </w:rPr>
        <w:fldChar w:fldCharType="end"/>
      </w:r>
      <w:r>
        <w:rPr>
          <w:rFonts w:hAnsi="宋体"/>
          <w:bCs/>
          <w:caps/>
          <w:color w:val="auto"/>
          <w:szCs w:val="28"/>
          <w:highlight w:val="none"/>
          <w:u w:val="single"/>
        </w:rPr>
        <w:fldChar w:fldCharType="end"/>
      </w:r>
    </w:p>
    <w:p w14:paraId="74B0179C">
      <w:pPr>
        <w:pStyle w:val="16"/>
        <w:tabs>
          <w:tab w:val="right" w:leader="dot" w:pos="9638"/>
        </w:tabs>
        <w:rPr>
          <w:color w:val="auto"/>
          <w:highlight w:val="none"/>
        </w:rPr>
      </w:pPr>
      <w:r>
        <w:rPr>
          <w:rFonts w:hAnsi="宋体"/>
          <w:bCs/>
          <w:caps/>
          <w:color w:val="auto"/>
          <w:szCs w:val="28"/>
          <w:highlight w:val="none"/>
          <w:u w:val="single"/>
        </w:rPr>
        <w:fldChar w:fldCharType="begin"/>
      </w:r>
      <w:r>
        <w:rPr>
          <w:rFonts w:hAnsi="宋体"/>
          <w:bCs/>
          <w:caps/>
          <w:color w:val="auto"/>
          <w:szCs w:val="28"/>
          <w:highlight w:val="none"/>
        </w:rPr>
        <w:instrText xml:space="preserve"> HYPERLINK \l _Toc15217 </w:instrText>
      </w:r>
      <w:r>
        <w:rPr>
          <w:rFonts w:hAnsi="宋体"/>
          <w:bCs/>
          <w:caps/>
          <w:color w:val="auto"/>
          <w:szCs w:val="28"/>
          <w:highlight w:val="none"/>
        </w:rPr>
        <w:fldChar w:fldCharType="separate"/>
      </w:r>
      <w:r>
        <w:rPr>
          <w:rFonts w:hint="eastAsia"/>
          <w:color w:val="auto"/>
          <w:highlight w:val="none"/>
        </w:rPr>
        <w:t>二、招标文件</w:t>
      </w:r>
      <w:r>
        <w:rPr>
          <w:color w:val="auto"/>
          <w:highlight w:val="none"/>
        </w:rPr>
        <w:tab/>
      </w:r>
      <w:r>
        <w:rPr>
          <w:color w:val="auto"/>
          <w:highlight w:val="none"/>
        </w:rPr>
        <w:fldChar w:fldCharType="begin"/>
      </w:r>
      <w:r>
        <w:rPr>
          <w:color w:val="auto"/>
          <w:highlight w:val="none"/>
        </w:rPr>
        <w:instrText xml:space="preserve"> PAGEREF _Toc15217 \h </w:instrText>
      </w:r>
      <w:r>
        <w:rPr>
          <w:color w:val="auto"/>
          <w:highlight w:val="none"/>
        </w:rPr>
        <w:fldChar w:fldCharType="separate"/>
      </w:r>
      <w:r>
        <w:rPr>
          <w:color w:val="auto"/>
          <w:highlight w:val="none"/>
        </w:rPr>
        <w:t>84</w:t>
      </w:r>
      <w:r>
        <w:rPr>
          <w:color w:val="auto"/>
          <w:highlight w:val="none"/>
        </w:rPr>
        <w:fldChar w:fldCharType="end"/>
      </w:r>
      <w:r>
        <w:rPr>
          <w:rFonts w:hAnsi="宋体"/>
          <w:bCs/>
          <w:caps/>
          <w:color w:val="auto"/>
          <w:szCs w:val="28"/>
          <w:highlight w:val="none"/>
          <w:u w:val="single"/>
        </w:rPr>
        <w:fldChar w:fldCharType="end"/>
      </w:r>
    </w:p>
    <w:p w14:paraId="6948B5A9">
      <w:pPr>
        <w:pStyle w:val="16"/>
        <w:tabs>
          <w:tab w:val="right" w:leader="dot" w:pos="9638"/>
        </w:tabs>
        <w:rPr>
          <w:color w:val="auto"/>
          <w:highlight w:val="none"/>
        </w:rPr>
      </w:pPr>
      <w:r>
        <w:rPr>
          <w:rFonts w:hAnsi="宋体"/>
          <w:bCs/>
          <w:caps/>
          <w:color w:val="auto"/>
          <w:szCs w:val="28"/>
          <w:highlight w:val="none"/>
          <w:u w:val="single"/>
        </w:rPr>
        <w:fldChar w:fldCharType="begin"/>
      </w:r>
      <w:r>
        <w:rPr>
          <w:rFonts w:hAnsi="宋体"/>
          <w:bCs/>
          <w:caps/>
          <w:color w:val="auto"/>
          <w:szCs w:val="28"/>
          <w:highlight w:val="none"/>
        </w:rPr>
        <w:instrText xml:space="preserve"> HYPERLINK \l _Toc12562 </w:instrText>
      </w:r>
      <w:r>
        <w:rPr>
          <w:rFonts w:hAnsi="宋体"/>
          <w:bCs/>
          <w:caps/>
          <w:color w:val="auto"/>
          <w:szCs w:val="28"/>
          <w:highlight w:val="none"/>
        </w:rPr>
        <w:fldChar w:fldCharType="separate"/>
      </w:r>
      <w:r>
        <w:rPr>
          <w:rFonts w:hint="eastAsia"/>
          <w:color w:val="auto"/>
          <w:highlight w:val="none"/>
        </w:rPr>
        <w:t>三、投标文件的编制</w:t>
      </w:r>
      <w:r>
        <w:rPr>
          <w:color w:val="auto"/>
          <w:highlight w:val="none"/>
        </w:rPr>
        <w:tab/>
      </w:r>
      <w:r>
        <w:rPr>
          <w:color w:val="auto"/>
          <w:highlight w:val="none"/>
        </w:rPr>
        <w:fldChar w:fldCharType="begin"/>
      </w:r>
      <w:r>
        <w:rPr>
          <w:color w:val="auto"/>
          <w:highlight w:val="none"/>
        </w:rPr>
        <w:instrText xml:space="preserve"> PAGEREF _Toc12562 \h </w:instrText>
      </w:r>
      <w:r>
        <w:rPr>
          <w:color w:val="auto"/>
          <w:highlight w:val="none"/>
        </w:rPr>
        <w:fldChar w:fldCharType="separate"/>
      </w:r>
      <w:r>
        <w:rPr>
          <w:color w:val="auto"/>
          <w:highlight w:val="none"/>
        </w:rPr>
        <w:t>84</w:t>
      </w:r>
      <w:r>
        <w:rPr>
          <w:color w:val="auto"/>
          <w:highlight w:val="none"/>
        </w:rPr>
        <w:fldChar w:fldCharType="end"/>
      </w:r>
      <w:r>
        <w:rPr>
          <w:rFonts w:hAnsi="宋体"/>
          <w:bCs/>
          <w:caps/>
          <w:color w:val="auto"/>
          <w:szCs w:val="28"/>
          <w:highlight w:val="none"/>
          <w:u w:val="single"/>
        </w:rPr>
        <w:fldChar w:fldCharType="end"/>
      </w:r>
    </w:p>
    <w:p w14:paraId="3EFA8384">
      <w:pPr>
        <w:pStyle w:val="16"/>
        <w:tabs>
          <w:tab w:val="right" w:leader="dot" w:pos="9638"/>
        </w:tabs>
        <w:rPr>
          <w:color w:val="auto"/>
          <w:highlight w:val="none"/>
        </w:rPr>
      </w:pPr>
      <w:r>
        <w:rPr>
          <w:rFonts w:hAnsi="宋体"/>
          <w:bCs/>
          <w:caps/>
          <w:color w:val="auto"/>
          <w:szCs w:val="28"/>
          <w:highlight w:val="none"/>
          <w:u w:val="single"/>
        </w:rPr>
        <w:fldChar w:fldCharType="begin"/>
      </w:r>
      <w:r>
        <w:rPr>
          <w:rFonts w:hAnsi="宋体"/>
          <w:bCs/>
          <w:caps/>
          <w:color w:val="auto"/>
          <w:szCs w:val="28"/>
          <w:highlight w:val="none"/>
        </w:rPr>
        <w:instrText xml:space="preserve"> HYPERLINK \l _Toc26996 </w:instrText>
      </w:r>
      <w:r>
        <w:rPr>
          <w:rFonts w:hAnsi="宋体"/>
          <w:bCs/>
          <w:caps/>
          <w:color w:val="auto"/>
          <w:szCs w:val="28"/>
          <w:highlight w:val="none"/>
        </w:rPr>
        <w:fldChar w:fldCharType="separate"/>
      </w:r>
      <w:r>
        <w:rPr>
          <w:rFonts w:hint="eastAsia"/>
          <w:color w:val="auto"/>
          <w:highlight w:val="none"/>
        </w:rPr>
        <w:t>四、开</w:t>
      </w:r>
      <w:r>
        <w:rPr>
          <w:color w:val="auto"/>
          <w:highlight w:val="none"/>
        </w:rPr>
        <w:t xml:space="preserve">    </w:t>
      </w:r>
      <w:r>
        <w:rPr>
          <w:rFonts w:hint="eastAsia"/>
          <w:color w:val="auto"/>
          <w:highlight w:val="none"/>
        </w:rPr>
        <w:t>标</w:t>
      </w:r>
      <w:r>
        <w:rPr>
          <w:color w:val="auto"/>
          <w:highlight w:val="none"/>
        </w:rPr>
        <w:tab/>
      </w:r>
      <w:r>
        <w:rPr>
          <w:color w:val="auto"/>
          <w:highlight w:val="none"/>
        </w:rPr>
        <w:fldChar w:fldCharType="begin"/>
      </w:r>
      <w:r>
        <w:rPr>
          <w:color w:val="auto"/>
          <w:highlight w:val="none"/>
        </w:rPr>
        <w:instrText xml:space="preserve"> PAGEREF _Toc26996 \h </w:instrText>
      </w:r>
      <w:r>
        <w:rPr>
          <w:color w:val="auto"/>
          <w:highlight w:val="none"/>
        </w:rPr>
        <w:fldChar w:fldCharType="separate"/>
      </w:r>
      <w:r>
        <w:rPr>
          <w:color w:val="auto"/>
          <w:highlight w:val="none"/>
        </w:rPr>
        <w:t>87</w:t>
      </w:r>
      <w:r>
        <w:rPr>
          <w:color w:val="auto"/>
          <w:highlight w:val="none"/>
        </w:rPr>
        <w:fldChar w:fldCharType="end"/>
      </w:r>
      <w:r>
        <w:rPr>
          <w:rFonts w:hAnsi="宋体"/>
          <w:bCs/>
          <w:caps/>
          <w:color w:val="auto"/>
          <w:szCs w:val="28"/>
          <w:highlight w:val="none"/>
          <w:u w:val="single"/>
        </w:rPr>
        <w:fldChar w:fldCharType="end"/>
      </w:r>
    </w:p>
    <w:p w14:paraId="4072D244">
      <w:pPr>
        <w:pStyle w:val="16"/>
        <w:tabs>
          <w:tab w:val="right" w:leader="dot" w:pos="9638"/>
        </w:tabs>
        <w:rPr>
          <w:color w:val="auto"/>
          <w:highlight w:val="none"/>
        </w:rPr>
      </w:pPr>
      <w:r>
        <w:rPr>
          <w:rFonts w:hAnsi="宋体"/>
          <w:bCs/>
          <w:caps/>
          <w:color w:val="auto"/>
          <w:szCs w:val="28"/>
          <w:highlight w:val="none"/>
          <w:u w:val="single"/>
        </w:rPr>
        <w:fldChar w:fldCharType="begin"/>
      </w:r>
      <w:r>
        <w:rPr>
          <w:rFonts w:hAnsi="宋体"/>
          <w:bCs/>
          <w:caps/>
          <w:color w:val="auto"/>
          <w:szCs w:val="28"/>
          <w:highlight w:val="none"/>
        </w:rPr>
        <w:instrText xml:space="preserve"> HYPERLINK \l _Toc32620 </w:instrText>
      </w:r>
      <w:r>
        <w:rPr>
          <w:rFonts w:hAnsi="宋体"/>
          <w:bCs/>
          <w:caps/>
          <w:color w:val="auto"/>
          <w:szCs w:val="28"/>
          <w:highlight w:val="none"/>
        </w:rPr>
        <w:fldChar w:fldCharType="separate"/>
      </w:r>
      <w:r>
        <w:rPr>
          <w:rFonts w:hint="eastAsia"/>
          <w:color w:val="auto"/>
          <w:highlight w:val="none"/>
        </w:rPr>
        <w:t>五、资格审查</w:t>
      </w:r>
      <w:r>
        <w:rPr>
          <w:color w:val="auto"/>
          <w:highlight w:val="none"/>
        </w:rPr>
        <w:tab/>
      </w:r>
      <w:r>
        <w:rPr>
          <w:color w:val="auto"/>
          <w:highlight w:val="none"/>
        </w:rPr>
        <w:fldChar w:fldCharType="begin"/>
      </w:r>
      <w:r>
        <w:rPr>
          <w:color w:val="auto"/>
          <w:highlight w:val="none"/>
        </w:rPr>
        <w:instrText xml:space="preserve"> PAGEREF _Toc32620 \h </w:instrText>
      </w:r>
      <w:r>
        <w:rPr>
          <w:color w:val="auto"/>
          <w:highlight w:val="none"/>
        </w:rPr>
        <w:fldChar w:fldCharType="separate"/>
      </w:r>
      <w:r>
        <w:rPr>
          <w:color w:val="auto"/>
          <w:highlight w:val="none"/>
        </w:rPr>
        <w:t>88</w:t>
      </w:r>
      <w:r>
        <w:rPr>
          <w:color w:val="auto"/>
          <w:highlight w:val="none"/>
        </w:rPr>
        <w:fldChar w:fldCharType="end"/>
      </w:r>
      <w:r>
        <w:rPr>
          <w:rFonts w:hAnsi="宋体"/>
          <w:bCs/>
          <w:caps/>
          <w:color w:val="auto"/>
          <w:szCs w:val="28"/>
          <w:highlight w:val="none"/>
          <w:u w:val="single"/>
        </w:rPr>
        <w:fldChar w:fldCharType="end"/>
      </w:r>
    </w:p>
    <w:p w14:paraId="759D4E37">
      <w:pPr>
        <w:pStyle w:val="16"/>
        <w:tabs>
          <w:tab w:val="right" w:leader="dot" w:pos="9638"/>
        </w:tabs>
        <w:rPr>
          <w:color w:val="auto"/>
          <w:highlight w:val="none"/>
        </w:rPr>
      </w:pPr>
      <w:r>
        <w:rPr>
          <w:rFonts w:hAnsi="宋体"/>
          <w:bCs/>
          <w:caps/>
          <w:color w:val="auto"/>
          <w:szCs w:val="28"/>
          <w:highlight w:val="none"/>
          <w:u w:val="single"/>
        </w:rPr>
        <w:fldChar w:fldCharType="begin"/>
      </w:r>
      <w:r>
        <w:rPr>
          <w:rFonts w:hAnsi="宋体"/>
          <w:bCs/>
          <w:caps/>
          <w:color w:val="auto"/>
          <w:szCs w:val="28"/>
          <w:highlight w:val="none"/>
        </w:rPr>
        <w:instrText xml:space="preserve"> HYPERLINK \l _Toc8027 </w:instrText>
      </w:r>
      <w:r>
        <w:rPr>
          <w:rFonts w:hAnsi="宋体"/>
          <w:bCs/>
          <w:caps/>
          <w:color w:val="auto"/>
          <w:szCs w:val="28"/>
          <w:highlight w:val="none"/>
        </w:rPr>
        <w:fldChar w:fldCharType="separate"/>
      </w:r>
      <w:r>
        <w:rPr>
          <w:rFonts w:hint="eastAsia"/>
          <w:color w:val="auto"/>
          <w:highlight w:val="none"/>
        </w:rPr>
        <w:t>六、评</w:t>
      </w:r>
      <w:r>
        <w:rPr>
          <w:color w:val="auto"/>
          <w:highlight w:val="none"/>
        </w:rPr>
        <w:t xml:space="preserve">   </w:t>
      </w:r>
      <w:r>
        <w:rPr>
          <w:rFonts w:hint="eastAsia"/>
          <w:color w:val="auto"/>
          <w:highlight w:val="none"/>
        </w:rPr>
        <w:t>标</w:t>
      </w:r>
      <w:r>
        <w:rPr>
          <w:color w:val="auto"/>
          <w:highlight w:val="none"/>
        </w:rPr>
        <w:tab/>
      </w:r>
      <w:r>
        <w:rPr>
          <w:color w:val="auto"/>
          <w:highlight w:val="none"/>
        </w:rPr>
        <w:fldChar w:fldCharType="begin"/>
      </w:r>
      <w:r>
        <w:rPr>
          <w:color w:val="auto"/>
          <w:highlight w:val="none"/>
        </w:rPr>
        <w:instrText xml:space="preserve"> PAGEREF _Toc8027 \h </w:instrText>
      </w:r>
      <w:r>
        <w:rPr>
          <w:color w:val="auto"/>
          <w:highlight w:val="none"/>
        </w:rPr>
        <w:fldChar w:fldCharType="separate"/>
      </w:r>
      <w:r>
        <w:rPr>
          <w:color w:val="auto"/>
          <w:highlight w:val="none"/>
        </w:rPr>
        <w:t>88</w:t>
      </w:r>
      <w:r>
        <w:rPr>
          <w:color w:val="auto"/>
          <w:highlight w:val="none"/>
        </w:rPr>
        <w:fldChar w:fldCharType="end"/>
      </w:r>
      <w:r>
        <w:rPr>
          <w:rFonts w:hAnsi="宋体"/>
          <w:bCs/>
          <w:caps/>
          <w:color w:val="auto"/>
          <w:szCs w:val="28"/>
          <w:highlight w:val="none"/>
          <w:u w:val="single"/>
        </w:rPr>
        <w:fldChar w:fldCharType="end"/>
      </w:r>
    </w:p>
    <w:p w14:paraId="6B9A82B2">
      <w:pPr>
        <w:pStyle w:val="16"/>
        <w:tabs>
          <w:tab w:val="right" w:leader="dot" w:pos="9638"/>
        </w:tabs>
        <w:rPr>
          <w:color w:val="auto"/>
          <w:highlight w:val="none"/>
        </w:rPr>
      </w:pPr>
      <w:r>
        <w:rPr>
          <w:rFonts w:hAnsi="宋体"/>
          <w:bCs/>
          <w:caps/>
          <w:color w:val="auto"/>
          <w:szCs w:val="28"/>
          <w:highlight w:val="none"/>
          <w:u w:val="single"/>
        </w:rPr>
        <w:fldChar w:fldCharType="begin"/>
      </w:r>
      <w:r>
        <w:rPr>
          <w:rFonts w:hAnsi="宋体"/>
          <w:bCs/>
          <w:caps/>
          <w:color w:val="auto"/>
          <w:szCs w:val="28"/>
          <w:highlight w:val="none"/>
        </w:rPr>
        <w:instrText xml:space="preserve"> HYPERLINK \l _Toc31867 </w:instrText>
      </w:r>
      <w:r>
        <w:rPr>
          <w:rFonts w:hAnsi="宋体"/>
          <w:bCs/>
          <w:caps/>
          <w:color w:val="auto"/>
          <w:szCs w:val="28"/>
          <w:highlight w:val="none"/>
        </w:rPr>
        <w:fldChar w:fldCharType="separate"/>
      </w:r>
      <w:r>
        <w:rPr>
          <w:rFonts w:hint="eastAsia"/>
          <w:color w:val="auto"/>
          <w:highlight w:val="none"/>
        </w:rPr>
        <w:t>七、中标和合同</w:t>
      </w:r>
      <w:r>
        <w:rPr>
          <w:color w:val="auto"/>
          <w:highlight w:val="none"/>
        </w:rPr>
        <w:tab/>
      </w:r>
      <w:r>
        <w:rPr>
          <w:color w:val="auto"/>
          <w:highlight w:val="none"/>
        </w:rPr>
        <w:fldChar w:fldCharType="begin"/>
      </w:r>
      <w:r>
        <w:rPr>
          <w:color w:val="auto"/>
          <w:highlight w:val="none"/>
        </w:rPr>
        <w:instrText xml:space="preserve"> PAGEREF _Toc31867 \h </w:instrText>
      </w:r>
      <w:r>
        <w:rPr>
          <w:color w:val="auto"/>
          <w:highlight w:val="none"/>
        </w:rPr>
        <w:fldChar w:fldCharType="separate"/>
      </w:r>
      <w:r>
        <w:rPr>
          <w:color w:val="auto"/>
          <w:highlight w:val="none"/>
        </w:rPr>
        <w:t>90</w:t>
      </w:r>
      <w:r>
        <w:rPr>
          <w:color w:val="auto"/>
          <w:highlight w:val="none"/>
        </w:rPr>
        <w:fldChar w:fldCharType="end"/>
      </w:r>
      <w:r>
        <w:rPr>
          <w:rFonts w:hAnsi="宋体"/>
          <w:bCs/>
          <w:caps/>
          <w:color w:val="auto"/>
          <w:szCs w:val="28"/>
          <w:highlight w:val="none"/>
          <w:u w:val="single"/>
        </w:rPr>
        <w:fldChar w:fldCharType="end"/>
      </w:r>
    </w:p>
    <w:p w14:paraId="3BA40DE6">
      <w:pPr>
        <w:pStyle w:val="16"/>
        <w:tabs>
          <w:tab w:val="right" w:leader="dot" w:pos="9638"/>
        </w:tabs>
        <w:rPr>
          <w:color w:val="auto"/>
          <w:highlight w:val="none"/>
        </w:rPr>
      </w:pPr>
      <w:r>
        <w:rPr>
          <w:rFonts w:hAnsi="宋体"/>
          <w:bCs/>
          <w:caps/>
          <w:color w:val="auto"/>
          <w:szCs w:val="28"/>
          <w:highlight w:val="none"/>
          <w:u w:val="single"/>
        </w:rPr>
        <w:fldChar w:fldCharType="begin"/>
      </w:r>
      <w:r>
        <w:rPr>
          <w:rFonts w:hAnsi="宋体"/>
          <w:bCs/>
          <w:caps/>
          <w:color w:val="auto"/>
          <w:szCs w:val="28"/>
          <w:highlight w:val="none"/>
        </w:rPr>
        <w:instrText xml:space="preserve"> HYPERLINK \l _Toc18177 </w:instrText>
      </w:r>
      <w:r>
        <w:rPr>
          <w:rFonts w:hAnsi="宋体"/>
          <w:bCs/>
          <w:caps/>
          <w:color w:val="auto"/>
          <w:szCs w:val="28"/>
          <w:highlight w:val="none"/>
        </w:rPr>
        <w:fldChar w:fldCharType="separate"/>
      </w:r>
      <w:r>
        <w:rPr>
          <w:rFonts w:hint="eastAsia"/>
          <w:color w:val="auto"/>
          <w:highlight w:val="none"/>
        </w:rPr>
        <w:t>九、其他事项</w:t>
      </w:r>
      <w:r>
        <w:rPr>
          <w:color w:val="auto"/>
          <w:highlight w:val="none"/>
        </w:rPr>
        <w:tab/>
      </w:r>
      <w:r>
        <w:rPr>
          <w:color w:val="auto"/>
          <w:highlight w:val="none"/>
        </w:rPr>
        <w:fldChar w:fldCharType="begin"/>
      </w:r>
      <w:r>
        <w:rPr>
          <w:color w:val="auto"/>
          <w:highlight w:val="none"/>
        </w:rPr>
        <w:instrText xml:space="preserve"> PAGEREF _Toc18177 \h </w:instrText>
      </w:r>
      <w:r>
        <w:rPr>
          <w:color w:val="auto"/>
          <w:highlight w:val="none"/>
        </w:rPr>
        <w:fldChar w:fldCharType="separate"/>
      </w:r>
      <w:r>
        <w:rPr>
          <w:color w:val="auto"/>
          <w:highlight w:val="none"/>
        </w:rPr>
        <w:t>96</w:t>
      </w:r>
      <w:r>
        <w:rPr>
          <w:color w:val="auto"/>
          <w:highlight w:val="none"/>
        </w:rPr>
        <w:fldChar w:fldCharType="end"/>
      </w:r>
      <w:r>
        <w:rPr>
          <w:rFonts w:hAnsi="宋体"/>
          <w:bCs/>
          <w:caps/>
          <w:color w:val="auto"/>
          <w:szCs w:val="28"/>
          <w:highlight w:val="none"/>
          <w:u w:val="single"/>
        </w:rPr>
        <w:fldChar w:fldCharType="end"/>
      </w:r>
    </w:p>
    <w:p w14:paraId="4C027E0A">
      <w:pPr>
        <w:pStyle w:val="24"/>
        <w:tabs>
          <w:tab w:val="right" w:leader="dot" w:pos="9638"/>
        </w:tabs>
        <w:rPr>
          <w:color w:val="auto"/>
          <w:highlight w:val="none"/>
        </w:rPr>
      </w:pPr>
      <w:r>
        <w:rPr>
          <w:rFonts w:hAnsi="宋体"/>
          <w:bCs w:val="0"/>
          <w:caps w:val="0"/>
          <w:color w:val="auto"/>
          <w:szCs w:val="28"/>
          <w:highlight w:val="none"/>
        </w:rPr>
        <w:fldChar w:fldCharType="begin"/>
      </w:r>
      <w:r>
        <w:rPr>
          <w:rFonts w:hAnsi="宋体"/>
          <w:bCs w:val="0"/>
          <w:caps w:val="0"/>
          <w:color w:val="auto"/>
          <w:szCs w:val="28"/>
          <w:highlight w:val="none"/>
        </w:rPr>
        <w:instrText xml:space="preserve"> HYPERLINK \l _Toc14255 </w:instrText>
      </w:r>
      <w:r>
        <w:rPr>
          <w:rFonts w:hAnsi="宋体"/>
          <w:bCs w:val="0"/>
          <w:caps w:val="0"/>
          <w:color w:val="auto"/>
          <w:szCs w:val="28"/>
          <w:highlight w:val="none"/>
        </w:rPr>
        <w:fldChar w:fldCharType="separate"/>
      </w:r>
      <w:r>
        <w:rPr>
          <w:rFonts w:hint="eastAsia"/>
          <w:color w:val="auto"/>
          <w:szCs w:val="20"/>
          <w:highlight w:val="none"/>
        </w:rPr>
        <w:t>第四章</w:t>
      </w:r>
      <w:r>
        <w:rPr>
          <w:color w:val="auto"/>
          <w:szCs w:val="20"/>
          <w:highlight w:val="none"/>
        </w:rPr>
        <w:t xml:space="preserve">  </w:t>
      </w:r>
      <w:r>
        <w:rPr>
          <w:rFonts w:hint="eastAsia"/>
          <w:color w:val="auto"/>
          <w:szCs w:val="20"/>
          <w:highlight w:val="none"/>
        </w:rPr>
        <w:t>评标方法及评分标准</w:t>
      </w:r>
      <w:r>
        <w:rPr>
          <w:color w:val="auto"/>
          <w:highlight w:val="none"/>
        </w:rPr>
        <w:tab/>
      </w:r>
      <w:r>
        <w:rPr>
          <w:color w:val="auto"/>
          <w:highlight w:val="none"/>
        </w:rPr>
        <w:fldChar w:fldCharType="begin"/>
      </w:r>
      <w:r>
        <w:rPr>
          <w:color w:val="auto"/>
          <w:highlight w:val="none"/>
        </w:rPr>
        <w:instrText xml:space="preserve"> PAGEREF _Toc14255 \h </w:instrText>
      </w:r>
      <w:r>
        <w:rPr>
          <w:color w:val="auto"/>
          <w:highlight w:val="none"/>
        </w:rPr>
        <w:fldChar w:fldCharType="separate"/>
      </w:r>
      <w:r>
        <w:rPr>
          <w:color w:val="auto"/>
          <w:highlight w:val="none"/>
        </w:rPr>
        <w:t>98</w:t>
      </w:r>
      <w:r>
        <w:rPr>
          <w:color w:val="auto"/>
          <w:highlight w:val="none"/>
        </w:rPr>
        <w:fldChar w:fldCharType="end"/>
      </w:r>
      <w:r>
        <w:rPr>
          <w:rFonts w:hAnsi="宋体"/>
          <w:bCs w:val="0"/>
          <w:caps w:val="0"/>
          <w:color w:val="auto"/>
          <w:szCs w:val="28"/>
          <w:highlight w:val="none"/>
        </w:rPr>
        <w:fldChar w:fldCharType="end"/>
      </w:r>
    </w:p>
    <w:p w14:paraId="1945A551">
      <w:pPr>
        <w:pStyle w:val="29"/>
        <w:tabs>
          <w:tab w:val="right" w:leader="dot" w:pos="9638"/>
        </w:tabs>
        <w:rPr>
          <w:color w:val="auto"/>
          <w:highlight w:val="none"/>
        </w:rPr>
      </w:pPr>
      <w:r>
        <w:rPr>
          <w:rFonts w:hAnsi="宋体"/>
          <w:bCs w:val="0"/>
          <w:caps/>
          <w:color w:val="auto"/>
          <w:szCs w:val="28"/>
          <w:highlight w:val="none"/>
          <w:u w:val="single"/>
        </w:rPr>
        <w:fldChar w:fldCharType="begin"/>
      </w:r>
      <w:r>
        <w:rPr>
          <w:rFonts w:hAnsi="宋体"/>
          <w:bCs w:val="0"/>
          <w:caps/>
          <w:color w:val="auto"/>
          <w:szCs w:val="28"/>
          <w:highlight w:val="none"/>
        </w:rPr>
        <w:instrText xml:space="preserve"> HYPERLINK \l _Toc21264 </w:instrText>
      </w:r>
      <w:r>
        <w:rPr>
          <w:rFonts w:hAnsi="宋体"/>
          <w:bCs w:val="0"/>
          <w:caps/>
          <w:color w:val="auto"/>
          <w:szCs w:val="28"/>
          <w:highlight w:val="none"/>
        </w:rPr>
        <w:fldChar w:fldCharType="separate"/>
      </w:r>
      <w:r>
        <w:rPr>
          <w:rFonts w:hint="eastAsia"/>
          <w:color w:val="auto"/>
          <w:szCs w:val="32"/>
          <w:highlight w:val="none"/>
        </w:rPr>
        <w:t>第一节</w:t>
      </w:r>
      <w:r>
        <w:rPr>
          <w:color w:val="auto"/>
          <w:szCs w:val="32"/>
          <w:highlight w:val="none"/>
        </w:rPr>
        <w:t xml:space="preserve"> </w:t>
      </w:r>
      <w:r>
        <w:rPr>
          <w:rFonts w:hint="eastAsia"/>
          <w:color w:val="auto"/>
          <w:szCs w:val="32"/>
          <w:highlight w:val="none"/>
        </w:rPr>
        <w:t>评标方法</w:t>
      </w:r>
      <w:r>
        <w:rPr>
          <w:color w:val="auto"/>
          <w:highlight w:val="none"/>
        </w:rPr>
        <w:tab/>
      </w:r>
      <w:r>
        <w:rPr>
          <w:color w:val="auto"/>
          <w:highlight w:val="none"/>
        </w:rPr>
        <w:fldChar w:fldCharType="begin"/>
      </w:r>
      <w:r>
        <w:rPr>
          <w:color w:val="auto"/>
          <w:highlight w:val="none"/>
        </w:rPr>
        <w:instrText xml:space="preserve"> PAGEREF _Toc21264 \h </w:instrText>
      </w:r>
      <w:r>
        <w:rPr>
          <w:color w:val="auto"/>
          <w:highlight w:val="none"/>
        </w:rPr>
        <w:fldChar w:fldCharType="separate"/>
      </w:r>
      <w:r>
        <w:rPr>
          <w:color w:val="auto"/>
          <w:highlight w:val="none"/>
        </w:rPr>
        <w:t>98</w:t>
      </w:r>
      <w:r>
        <w:rPr>
          <w:color w:val="auto"/>
          <w:highlight w:val="none"/>
        </w:rPr>
        <w:fldChar w:fldCharType="end"/>
      </w:r>
      <w:r>
        <w:rPr>
          <w:rFonts w:hAnsi="宋体"/>
          <w:bCs w:val="0"/>
          <w:caps/>
          <w:color w:val="auto"/>
          <w:szCs w:val="28"/>
          <w:highlight w:val="none"/>
          <w:u w:val="single"/>
        </w:rPr>
        <w:fldChar w:fldCharType="end"/>
      </w:r>
    </w:p>
    <w:p w14:paraId="6C69E4D5">
      <w:pPr>
        <w:pStyle w:val="29"/>
        <w:tabs>
          <w:tab w:val="right" w:leader="dot" w:pos="9638"/>
        </w:tabs>
        <w:rPr>
          <w:color w:val="auto"/>
          <w:highlight w:val="none"/>
        </w:rPr>
      </w:pPr>
      <w:r>
        <w:rPr>
          <w:rFonts w:hAnsi="宋体"/>
          <w:bCs w:val="0"/>
          <w:caps/>
          <w:color w:val="auto"/>
          <w:szCs w:val="28"/>
          <w:highlight w:val="none"/>
          <w:u w:val="single"/>
        </w:rPr>
        <w:fldChar w:fldCharType="begin"/>
      </w:r>
      <w:r>
        <w:rPr>
          <w:rFonts w:hAnsi="宋体"/>
          <w:bCs w:val="0"/>
          <w:caps/>
          <w:color w:val="auto"/>
          <w:szCs w:val="28"/>
          <w:highlight w:val="none"/>
        </w:rPr>
        <w:instrText xml:space="preserve"> HYPERLINK \l _Toc24093 </w:instrText>
      </w:r>
      <w:r>
        <w:rPr>
          <w:rFonts w:hAnsi="宋体"/>
          <w:bCs w:val="0"/>
          <w:caps/>
          <w:color w:val="auto"/>
          <w:szCs w:val="28"/>
          <w:highlight w:val="none"/>
        </w:rPr>
        <w:fldChar w:fldCharType="separate"/>
      </w:r>
      <w:r>
        <w:rPr>
          <w:rFonts w:hint="eastAsia"/>
          <w:color w:val="auto"/>
          <w:szCs w:val="32"/>
          <w:highlight w:val="none"/>
        </w:rPr>
        <w:t>第二节</w:t>
      </w:r>
      <w:r>
        <w:rPr>
          <w:color w:val="auto"/>
          <w:szCs w:val="32"/>
          <w:highlight w:val="none"/>
        </w:rPr>
        <w:t xml:space="preserve"> </w:t>
      </w:r>
      <w:r>
        <w:rPr>
          <w:rFonts w:hint="eastAsia"/>
          <w:color w:val="auto"/>
          <w:szCs w:val="32"/>
          <w:highlight w:val="none"/>
        </w:rPr>
        <w:t>评标程序</w:t>
      </w:r>
      <w:r>
        <w:rPr>
          <w:color w:val="auto"/>
          <w:highlight w:val="none"/>
        </w:rPr>
        <w:tab/>
      </w:r>
      <w:r>
        <w:rPr>
          <w:color w:val="auto"/>
          <w:highlight w:val="none"/>
        </w:rPr>
        <w:fldChar w:fldCharType="begin"/>
      </w:r>
      <w:r>
        <w:rPr>
          <w:color w:val="auto"/>
          <w:highlight w:val="none"/>
        </w:rPr>
        <w:instrText xml:space="preserve"> PAGEREF _Toc24093 \h </w:instrText>
      </w:r>
      <w:r>
        <w:rPr>
          <w:color w:val="auto"/>
          <w:highlight w:val="none"/>
        </w:rPr>
        <w:fldChar w:fldCharType="separate"/>
      </w:r>
      <w:r>
        <w:rPr>
          <w:color w:val="auto"/>
          <w:highlight w:val="none"/>
        </w:rPr>
        <w:t>98</w:t>
      </w:r>
      <w:r>
        <w:rPr>
          <w:color w:val="auto"/>
          <w:highlight w:val="none"/>
        </w:rPr>
        <w:fldChar w:fldCharType="end"/>
      </w:r>
      <w:r>
        <w:rPr>
          <w:rFonts w:hAnsi="宋体"/>
          <w:bCs w:val="0"/>
          <w:caps/>
          <w:color w:val="auto"/>
          <w:szCs w:val="28"/>
          <w:highlight w:val="none"/>
          <w:u w:val="single"/>
        </w:rPr>
        <w:fldChar w:fldCharType="end"/>
      </w:r>
    </w:p>
    <w:p w14:paraId="2BA27F59">
      <w:pPr>
        <w:pStyle w:val="29"/>
        <w:tabs>
          <w:tab w:val="right" w:leader="dot" w:pos="9638"/>
        </w:tabs>
        <w:rPr>
          <w:color w:val="auto"/>
          <w:highlight w:val="none"/>
        </w:rPr>
      </w:pPr>
      <w:r>
        <w:rPr>
          <w:rFonts w:hAnsi="宋体"/>
          <w:bCs w:val="0"/>
          <w:caps/>
          <w:color w:val="auto"/>
          <w:szCs w:val="28"/>
          <w:highlight w:val="none"/>
          <w:u w:val="single"/>
        </w:rPr>
        <w:fldChar w:fldCharType="begin"/>
      </w:r>
      <w:r>
        <w:rPr>
          <w:rFonts w:hAnsi="宋体"/>
          <w:bCs w:val="0"/>
          <w:caps/>
          <w:color w:val="auto"/>
          <w:szCs w:val="28"/>
          <w:highlight w:val="none"/>
        </w:rPr>
        <w:instrText xml:space="preserve"> HYPERLINK \l _Toc29976 </w:instrText>
      </w:r>
      <w:r>
        <w:rPr>
          <w:rFonts w:hAnsi="宋体"/>
          <w:bCs w:val="0"/>
          <w:caps/>
          <w:color w:val="auto"/>
          <w:szCs w:val="28"/>
          <w:highlight w:val="none"/>
        </w:rPr>
        <w:fldChar w:fldCharType="separate"/>
      </w:r>
      <w:r>
        <w:rPr>
          <w:rFonts w:hint="eastAsia" w:ascii="Arial" w:hAnsi="Arial" w:eastAsia="黑体"/>
          <w:color w:val="auto"/>
          <w:szCs w:val="30"/>
          <w:highlight w:val="none"/>
        </w:rPr>
        <w:t>第三节</w:t>
      </w:r>
      <w:r>
        <w:rPr>
          <w:rFonts w:ascii="Arial" w:hAnsi="Arial" w:eastAsia="黑体"/>
          <w:color w:val="auto"/>
          <w:szCs w:val="30"/>
          <w:highlight w:val="none"/>
        </w:rPr>
        <w:t xml:space="preserve"> </w:t>
      </w:r>
      <w:r>
        <w:rPr>
          <w:rFonts w:hint="eastAsia" w:ascii="Arial" w:hAnsi="Arial" w:eastAsia="黑体"/>
          <w:color w:val="auto"/>
          <w:szCs w:val="30"/>
          <w:highlight w:val="none"/>
        </w:rPr>
        <w:t>评分标准</w:t>
      </w:r>
      <w:r>
        <w:rPr>
          <w:color w:val="auto"/>
          <w:highlight w:val="none"/>
        </w:rPr>
        <w:tab/>
      </w:r>
      <w:r>
        <w:rPr>
          <w:color w:val="auto"/>
          <w:highlight w:val="none"/>
        </w:rPr>
        <w:fldChar w:fldCharType="begin"/>
      </w:r>
      <w:r>
        <w:rPr>
          <w:color w:val="auto"/>
          <w:highlight w:val="none"/>
        </w:rPr>
        <w:instrText xml:space="preserve"> PAGEREF _Toc29976 \h </w:instrText>
      </w:r>
      <w:r>
        <w:rPr>
          <w:color w:val="auto"/>
          <w:highlight w:val="none"/>
        </w:rPr>
        <w:fldChar w:fldCharType="separate"/>
      </w:r>
      <w:r>
        <w:rPr>
          <w:color w:val="auto"/>
          <w:highlight w:val="none"/>
        </w:rPr>
        <w:t>101</w:t>
      </w:r>
      <w:r>
        <w:rPr>
          <w:color w:val="auto"/>
          <w:highlight w:val="none"/>
        </w:rPr>
        <w:fldChar w:fldCharType="end"/>
      </w:r>
      <w:r>
        <w:rPr>
          <w:rFonts w:hAnsi="宋体"/>
          <w:bCs w:val="0"/>
          <w:caps/>
          <w:color w:val="auto"/>
          <w:szCs w:val="28"/>
          <w:highlight w:val="none"/>
          <w:u w:val="single"/>
        </w:rPr>
        <w:fldChar w:fldCharType="end"/>
      </w:r>
    </w:p>
    <w:p w14:paraId="79BC6E8F">
      <w:pPr>
        <w:pStyle w:val="29"/>
        <w:tabs>
          <w:tab w:val="right" w:leader="dot" w:pos="9638"/>
        </w:tabs>
        <w:rPr>
          <w:color w:val="auto"/>
          <w:highlight w:val="none"/>
        </w:rPr>
      </w:pPr>
      <w:r>
        <w:rPr>
          <w:rFonts w:hAnsi="宋体"/>
          <w:bCs w:val="0"/>
          <w:caps/>
          <w:color w:val="auto"/>
          <w:szCs w:val="28"/>
          <w:highlight w:val="none"/>
          <w:u w:val="single"/>
        </w:rPr>
        <w:fldChar w:fldCharType="begin"/>
      </w:r>
      <w:r>
        <w:rPr>
          <w:rFonts w:hAnsi="宋体"/>
          <w:bCs w:val="0"/>
          <w:caps/>
          <w:color w:val="auto"/>
          <w:szCs w:val="28"/>
          <w:highlight w:val="none"/>
        </w:rPr>
        <w:instrText xml:space="preserve"> HYPERLINK \l _Toc22712 </w:instrText>
      </w:r>
      <w:r>
        <w:rPr>
          <w:rFonts w:hAnsi="宋体"/>
          <w:bCs w:val="0"/>
          <w:caps/>
          <w:color w:val="auto"/>
          <w:szCs w:val="28"/>
          <w:highlight w:val="none"/>
        </w:rPr>
        <w:fldChar w:fldCharType="separate"/>
      </w:r>
      <w:r>
        <w:rPr>
          <w:rFonts w:hint="eastAsia" w:ascii="Arial" w:hAnsi="Arial" w:eastAsia="黑体"/>
          <w:color w:val="auto"/>
          <w:szCs w:val="30"/>
          <w:highlight w:val="none"/>
        </w:rPr>
        <w:t>第四节</w:t>
      </w:r>
      <w:r>
        <w:rPr>
          <w:rFonts w:ascii="Arial" w:hAnsi="Arial" w:eastAsia="黑体"/>
          <w:color w:val="auto"/>
          <w:szCs w:val="30"/>
          <w:highlight w:val="none"/>
        </w:rPr>
        <w:t xml:space="preserve"> </w:t>
      </w:r>
      <w:r>
        <w:rPr>
          <w:rFonts w:hint="eastAsia" w:ascii="Arial" w:hAnsi="Arial" w:eastAsia="黑体"/>
          <w:color w:val="auto"/>
          <w:szCs w:val="30"/>
          <w:highlight w:val="none"/>
        </w:rPr>
        <w:t>中标候选人推荐原则</w:t>
      </w:r>
      <w:r>
        <w:rPr>
          <w:color w:val="auto"/>
          <w:highlight w:val="none"/>
        </w:rPr>
        <w:tab/>
      </w:r>
      <w:r>
        <w:rPr>
          <w:color w:val="auto"/>
          <w:highlight w:val="none"/>
        </w:rPr>
        <w:fldChar w:fldCharType="begin"/>
      </w:r>
      <w:r>
        <w:rPr>
          <w:color w:val="auto"/>
          <w:highlight w:val="none"/>
        </w:rPr>
        <w:instrText xml:space="preserve"> PAGEREF _Toc22712 \h </w:instrText>
      </w:r>
      <w:r>
        <w:rPr>
          <w:color w:val="auto"/>
          <w:highlight w:val="none"/>
        </w:rPr>
        <w:fldChar w:fldCharType="separate"/>
      </w:r>
      <w:r>
        <w:rPr>
          <w:color w:val="auto"/>
          <w:highlight w:val="none"/>
        </w:rPr>
        <w:t>107</w:t>
      </w:r>
      <w:r>
        <w:rPr>
          <w:color w:val="auto"/>
          <w:highlight w:val="none"/>
        </w:rPr>
        <w:fldChar w:fldCharType="end"/>
      </w:r>
      <w:r>
        <w:rPr>
          <w:rFonts w:hAnsi="宋体"/>
          <w:bCs w:val="0"/>
          <w:caps/>
          <w:color w:val="auto"/>
          <w:szCs w:val="28"/>
          <w:highlight w:val="none"/>
          <w:u w:val="single"/>
        </w:rPr>
        <w:fldChar w:fldCharType="end"/>
      </w:r>
    </w:p>
    <w:p w14:paraId="2D3B3445">
      <w:pPr>
        <w:pStyle w:val="29"/>
        <w:tabs>
          <w:tab w:val="right" w:leader="dot" w:pos="9638"/>
        </w:tabs>
        <w:rPr>
          <w:color w:val="auto"/>
          <w:highlight w:val="none"/>
        </w:rPr>
      </w:pPr>
      <w:r>
        <w:rPr>
          <w:rFonts w:hAnsi="宋体"/>
          <w:bCs w:val="0"/>
          <w:caps/>
          <w:color w:val="auto"/>
          <w:szCs w:val="28"/>
          <w:highlight w:val="none"/>
          <w:u w:val="single"/>
        </w:rPr>
        <w:fldChar w:fldCharType="begin"/>
      </w:r>
      <w:r>
        <w:rPr>
          <w:rFonts w:hAnsi="宋体"/>
          <w:bCs w:val="0"/>
          <w:caps/>
          <w:color w:val="auto"/>
          <w:szCs w:val="28"/>
          <w:highlight w:val="none"/>
        </w:rPr>
        <w:instrText xml:space="preserve"> HYPERLINK \l _Toc338 </w:instrText>
      </w:r>
      <w:r>
        <w:rPr>
          <w:rFonts w:hAnsi="宋体"/>
          <w:bCs w:val="0"/>
          <w:caps/>
          <w:color w:val="auto"/>
          <w:szCs w:val="28"/>
          <w:highlight w:val="none"/>
        </w:rPr>
        <w:fldChar w:fldCharType="separate"/>
      </w:r>
      <w:r>
        <w:rPr>
          <w:rFonts w:hint="eastAsia" w:ascii="Arial" w:hAnsi="Arial" w:eastAsia="黑体"/>
          <w:color w:val="auto"/>
          <w:szCs w:val="30"/>
          <w:highlight w:val="none"/>
        </w:rPr>
        <w:t>第五节</w:t>
      </w:r>
      <w:r>
        <w:rPr>
          <w:rFonts w:ascii="Arial" w:hAnsi="Arial" w:eastAsia="黑体"/>
          <w:color w:val="auto"/>
          <w:szCs w:val="30"/>
          <w:highlight w:val="none"/>
        </w:rPr>
        <w:t xml:space="preserve"> </w:t>
      </w:r>
      <w:r>
        <w:rPr>
          <w:rFonts w:hint="eastAsia" w:ascii="Arial" w:hAnsi="Arial" w:eastAsia="黑体"/>
          <w:color w:val="auto"/>
          <w:szCs w:val="30"/>
          <w:highlight w:val="none"/>
        </w:rPr>
        <w:t>评标报告</w:t>
      </w:r>
      <w:r>
        <w:rPr>
          <w:color w:val="auto"/>
          <w:highlight w:val="none"/>
        </w:rPr>
        <w:tab/>
      </w:r>
      <w:r>
        <w:rPr>
          <w:color w:val="auto"/>
          <w:highlight w:val="none"/>
        </w:rPr>
        <w:fldChar w:fldCharType="begin"/>
      </w:r>
      <w:r>
        <w:rPr>
          <w:color w:val="auto"/>
          <w:highlight w:val="none"/>
        </w:rPr>
        <w:instrText xml:space="preserve"> PAGEREF _Toc338 \h </w:instrText>
      </w:r>
      <w:r>
        <w:rPr>
          <w:color w:val="auto"/>
          <w:highlight w:val="none"/>
        </w:rPr>
        <w:fldChar w:fldCharType="separate"/>
      </w:r>
      <w:r>
        <w:rPr>
          <w:color w:val="auto"/>
          <w:highlight w:val="none"/>
        </w:rPr>
        <w:t>107</w:t>
      </w:r>
      <w:r>
        <w:rPr>
          <w:color w:val="auto"/>
          <w:highlight w:val="none"/>
        </w:rPr>
        <w:fldChar w:fldCharType="end"/>
      </w:r>
      <w:r>
        <w:rPr>
          <w:rFonts w:hAnsi="宋体"/>
          <w:bCs w:val="0"/>
          <w:caps/>
          <w:color w:val="auto"/>
          <w:szCs w:val="28"/>
          <w:highlight w:val="none"/>
          <w:u w:val="single"/>
        </w:rPr>
        <w:fldChar w:fldCharType="end"/>
      </w:r>
    </w:p>
    <w:p w14:paraId="51379F52">
      <w:pPr>
        <w:pStyle w:val="24"/>
        <w:tabs>
          <w:tab w:val="right" w:leader="dot" w:pos="9638"/>
        </w:tabs>
        <w:rPr>
          <w:color w:val="auto"/>
          <w:highlight w:val="none"/>
        </w:rPr>
      </w:pPr>
      <w:r>
        <w:rPr>
          <w:rFonts w:hAnsi="宋体"/>
          <w:bCs w:val="0"/>
          <w:caps w:val="0"/>
          <w:color w:val="auto"/>
          <w:szCs w:val="28"/>
          <w:highlight w:val="none"/>
        </w:rPr>
        <w:fldChar w:fldCharType="begin"/>
      </w:r>
      <w:r>
        <w:rPr>
          <w:rFonts w:hAnsi="宋体"/>
          <w:bCs w:val="0"/>
          <w:caps w:val="0"/>
          <w:color w:val="auto"/>
          <w:szCs w:val="28"/>
          <w:highlight w:val="none"/>
        </w:rPr>
        <w:instrText xml:space="preserve"> HYPERLINK \l _Toc25987 </w:instrText>
      </w:r>
      <w:r>
        <w:rPr>
          <w:rFonts w:hAnsi="宋体"/>
          <w:bCs w:val="0"/>
          <w:caps w:val="0"/>
          <w:color w:val="auto"/>
          <w:szCs w:val="28"/>
          <w:highlight w:val="none"/>
        </w:rPr>
        <w:fldChar w:fldCharType="separate"/>
      </w:r>
      <w:r>
        <w:rPr>
          <w:rFonts w:hint="eastAsia"/>
          <w:color w:val="auto"/>
          <w:szCs w:val="20"/>
          <w:highlight w:val="none"/>
        </w:rPr>
        <w:t>第五章</w:t>
      </w:r>
      <w:r>
        <w:rPr>
          <w:color w:val="auto"/>
          <w:szCs w:val="20"/>
          <w:highlight w:val="none"/>
        </w:rPr>
        <w:t xml:space="preserve"> </w:t>
      </w:r>
      <w:r>
        <w:rPr>
          <w:rFonts w:hint="eastAsia"/>
          <w:color w:val="auto"/>
          <w:szCs w:val="20"/>
          <w:highlight w:val="none"/>
        </w:rPr>
        <w:t>拟签订的合同文本</w:t>
      </w:r>
      <w:r>
        <w:rPr>
          <w:color w:val="auto"/>
          <w:highlight w:val="none"/>
        </w:rPr>
        <w:tab/>
      </w:r>
      <w:r>
        <w:rPr>
          <w:color w:val="auto"/>
          <w:highlight w:val="none"/>
        </w:rPr>
        <w:fldChar w:fldCharType="begin"/>
      </w:r>
      <w:r>
        <w:rPr>
          <w:color w:val="auto"/>
          <w:highlight w:val="none"/>
        </w:rPr>
        <w:instrText xml:space="preserve"> PAGEREF _Toc25987 \h </w:instrText>
      </w:r>
      <w:r>
        <w:rPr>
          <w:color w:val="auto"/>
          <w:highlight w:val="none"/>
        </w:rPr>
        <w:fldChar w:fldCharType="separate"/>
      </w:r>
      <w:r>
        <w:rPr>
          <w:color w:val="auto"/>
          <w:highlight w:val="none"/>
        </w:rPr>
        <w:t>108</w:t>
      </w:r>
      <w:r>
        <w:rPr>
          <w:color w:val="auto"/>
          <w:highlight w:val="none"/>
        </w:rPr>
        <w:fldChar w:fldCharType="end"/>
      </w:r>
      <w:r>
        <w:rPr>
          <w:rFonts w:hAnsi="宋体"/>
          <w:bCs w:val="0"/>
          <w:caps w:val="0"/>
          <w:color w:val="auto"/>
          <w:szCs w:val="28"/>
          <w:highlight w:val="none"/>
        </w:rPr>
        <w:fldChar w:fldCharType="end"/>
      </w:r>
    </w:p>
    <w:p w14:paraId="78DD8F7B">
      <w:pPr>
        <w:pStyle w:val="24"/>
        <w:tabs>
          <w:tab w:val="right" w:leader="dot" w:pos="9638"/>
        </w:tabs>
        <w:rPr>
          <w:color w:val="auto"/>
          <w:highlight w:val="none"/>
        </w:rPr>
      </w:pPr>
      <w:r>
        <w:rPr>
          <w:rFonts w:hAnsi="宋体"/>
          <w:bCs w:val="0"/>
          <w:caps w:val="0"/>
          <w:color w:val="auto"/>
          <w:szCs w:val="28"/>
          <w:highlight w:val="none"/>
        </w:rPr>
        <w:fldChar w:fldCharType="begin"/>
      </w:r>
      <w:r>
        <w:rPr>
          <w:rFonts w:hAnsi="宋体"/>
          <w:bCs w:val="0"/>
          <w:caps w:val="0"/>
          <w:color w:val="auto"/>
          <w:szCs w:val="28"/>
          <w:highlight w:val="none"/>
        </w:rPr>
        <w:instrText xml:space="preserve"> HYPERLINK \l _Toc1021 </w:instrText>
      </w:r>
      <w:r>
        <w:rPr>
          <w:rFonts w:hAnsi="宋体"/>
          <w:bCs w:val="0"/>
          <w:caps w:val="0"/>
          <w:color w:val="auto"/>
          <w:szCs w:val="28"/>
          <w:highlight w:val="none"/>
        </w:rPr>
        <w:fldChar w:fldCharType="separate"/>
      </w:r>
      <w:r>
        <w:rPr>
          <w:rFonts w:hint="eastAsia"/>
          <w:color w:val="auto"/>
          <w:szCs w:val="20"/>
          <w:highlight w:val="none"/>
        </w:rPr>
        <w:t>第六章</w:t>
      </w:r>
      <w:r>
        <w:rPr>
          <w:color w:val="auto"/>
          <w:szCs w:val="20"/>
          <w:highlight w:val="none"/>
        </w:rPr>
        <w:t xml:space="preserve"> </w:t>
      </w:r>
      <w:r>
        <w:rPr>
          <w:rFonts w:hint="eastAsia"/>
          <w:color w:val="auto"/>
          <w:szCs w:val="20"/>
          <w:highlight w:val="none"/>
        </w:rPr>
        <w:t>投标文件格式</w:t>
      </w:r>
      <w:r>
        <w:rPr>
          <w:color w:val="auto"/>
          <w:highlight w:val="none"/>
        </w:rPr>
        <w:tab/>
      </w:r>
      <w:r>
        <w:rPr>
          <w:color w:val="auto"/>
          <w:highlight w:val="none"/>
        </w:rPr>
        <w:fldChar w:fldCharType="begin"/>
      </w:r>
      <w:r>
        <w:rPr>
          <w:color w:val="auto"/>
          <w:highlight w:val="none"/>
        </w:rPr>
        <w:instrText xml:space="preserve"> PAGEREF _Toc1021 \h </w:instrText>
      </w:r>
      <w:r>
        <w:rPr>
          <w:color w:val="auto"/>
          <w:highlight w:val="none"/>
        </w:rPr>
        <w:fldChar w:fldCharType="separate"/>
      </w:r>
      <w:r>
        <w:rPr>
          <w:color w:val="auto"/>
          <w:highlight w:val="none"/>
        </w:rPr>
        <w:t>124</w:t>
      </w:r>
      <w:r>
        <w:rPr>
          <w:color w:val="auto"/>
          <w:highlight w:val="none"/>
        </w:rPr>
        <w:fldChar w:fldCharType="end"/>
      </w:r>
      <w:r>
        <w:rPr>
          <w:rFonts w:hAnsi="宋体"/>
          <w:bCs w:val="0"/>
          <w:caps w:val="0"/>
          <w:color w:val="auto"/>
          <w:szCs w:val="28"/>
          <w:highlight w:val="none"/>
        </w:rPr>
        <w:fldChar w:fldCharType="end"/>
      </w:r>
    </w:p>
    <w:p w14:paraId="3FB8D22F">
      <w:pPr>
        <w:pStyle w:val="29"/>
        <w:tabs>
          <w:tab w:val="right" w:leader="dot" w:pos="9638"/>
        </w:tabs>
        <w:rPr>
          <w:color w:val="auto"/>
          <w:highlight w:val="none"/>
        </w:rPr>
      </w:pPr>
      <w:r>
        <w:rPr>
          <w:rFonts w:hAnsi="宋体"/>
          <w:bCs w:val="0"/>
          <w:caps/>
          <w:color w:val="auto"/>
          <w:szCs w:val="28"/>
          <w:highlight w:val="none"/>
          <w:u w:val="single"/>
        </w:rPr>
        <w:fldChar w:fldCharType="begin"/>
      </w:r>
      <w:r>
        <w:rPr>
          <w:rFonts w:hAnsi="宋体"/>
          <w:bCs w:val="0"/>
          <w:caps/>
          <w:color w:val="auto"/>
          <w:szCs w:val="28"/>
          <w:highlight w:val="none"/>
        </w:rPr>
        <w:instrText xml:space="preserve"> HYPERLINK \l _Toc10196 </w:instrText>
      </w:r>
      <w:r>
        <w:rPr>
          <w:rFonts w:hAnsi="宋体"/>
          <w:bCs w:val="0"/>
          <w:caps/>
          <w:color w:val="auto"/>
          <w:szCs w:val="28"/>
          <w:highlight w:val="none"/>
        </w:rPr>
        <w:fldChar w:fldCharType="separate"/>
      </w:r>
      <w:r>
        <w:rPr>
          <w:rFonts w:hint="eastAsia" w:ascii="宋体" w:hAnsi="宋体"/>
          <w:color w:val="auto"/>
          <w:szCs w:val="28"/>
          <w:highlight w:val="none"/>
        </w:rPr>
        <w:t>第一节 投标文件外层包装封面</w:t>
      </w:r>
      <w:r>
        <w:rPr>
          <w:color w:val="auto"/>
          <w:highlight w:val="none"/>
        </w:rPr>
        <w:tab/>
      </w:r>
      <w:r>
        <w:rPr>
          <w:color w:val="auto"/>
          <w:highlight w:val="none"/>
        </w:rPr>
        <w:fldChar w:fldCharType="begin"/>
      </w:r>
      <w:r>
        <w:rPr>
          <w:color w:val="auto"/>
          <w:highlight w:val="none"/>
        </w:rPr>
        <w:instrText xml:space="preserve"> PAGEREF _Toc10196 \h </w:instrText>
      </w:r>
      <w:r>
        <w:rPr>
          <w:color w:val="auto"/>
          <w:highlight w:val="none"/>
        </w:rPr>
        <w:fldChar w:fldCharType="separate"/>
      </w:r>
      <w:r>
        <w:rPr>
          <w:color w:val="auto"/>
          <w:highlight w:val="none"/>
        </w:rPr>
        <w:t>125</w:t>
      </w:r>
      <w:r>
        <w:rPr>
          <w:color w:val="auto"/>
          <w:highlight w:val="none"/>
        </w:rPr>
        <w:fldChar w:fldCharType="end"/>
      </w:r>
      <w:r>
        <w:rPr>
          <w:rFonts w:hAnsi="宋体"/>
          <w:bCs w:val="0"/>
          <w:caps/>
          <w:color w:val="auto"/>
          <w:szCs w:val="28"/>
          <w:highlight w:val="none"/>
          <w:u w:val="single"/>
        </w:rPr>
        <w:fldChar w:fldCharType="end"/>
      </w:r>
    </w:p>
    <w:p w14:paraId="1FCCE1C6">
      <w:pPr>
        <w:pStyle w:val="29"/>
        <w:tabs>
          <w:tab w:val="right" w:leader="dot" w:pos="9638"/>
        </w:tabs>
        <w:rPr>
          <w:color w:val="auto"/>
          <w:highlight w:val="none"/>
        </w:rPr>
      </w:pPr>
      <w:r>
        <w:rPr>
          <w:rFonts w:hAnsi="宋体"/>
          <w:bCs w:val="0"/>
          <w:caps/>
          <w:color w:val="auto"/>
          <w:szCs w:val="28"/>
          <w:highlight w:val="none"/>
          <w:u w:val="single"/>
        </w:rPr>
        <w:fldChar w:fldCharType="begin"/>
      </w:r>
      <w:r>
        <w:rPr>
          <w:rFonts w:hAnsi="宋体"/>
          <w:bCs w:val="0"/>
          <w:caps/>
          <w:color w:val="auto"/>
          <w:szCs w:val="28"/>
          <w:highlight w:val="none"/>
        </w:rPr>
        <w:instrText xml:space="preserve"> HYPERLINK \l _Toc2598 </w:instrText>
      </w:r>
      <w:r>
        <w:rPr>
          <w:rFonts w:hAnsi="宋体"/>
          <w:bCs w:val="0"/>
          <w:caps/>
          <w:color w:val="auto"/>
          <w:szCs w:val="28"/>
          <w:highlight w:val="none"/>
        </w:rPr>
        <w:fldChar w:fldCharType="separate"/>
      </w:r>
      <w:r>
        <w:rPr>
          <w:rFonts w:hint="eastAsia" w:ascii="宋体" w:hAnsi="宋体"/>
          <w:color w:val="auto"/>
          <w:szCs w:val="28"/>
          <w:highlight w:val="none"/>
        </w:rPr>
        <w:t>第二节 资格证明文件格式</w:t>
      </w:r>
      <w:r>
        <w:rPr>
          <w:color w:val="auto"/>
          <w:highlight w:val="none"/>
        </w:rPr>
        <w:tab/>
      </w:r>
      <w:r>
        <w:rPr>
          <w:color w:val="auto"/>
          <w:highlight w:val="none"/>
        </w:rPr>
        <w:fldChar w:fldCharType="begin"/>
      </w:r>
      <w:r>
        <w:rPr>
          <w:color w:val="auto"/>
          <w:highlight w:val="none"/>
        </w:rPr>
        <w:instrText xml:space="preserve"> PAGEREF _Toc2598 \h </w:instrText>
      </w:r>
      <w:r>
        <w:rPr>
          <w:color w:val="auto"/>
          <w:highlight w:val="none"/>
        </w:rPr>
        <w:fldChar w:fldCharType="separate"/>
      </w:r>
      <w:r>
        <w:rPr>
          <w:color w:val="auto"/>
          <w:highlight w:val="none"/>
        </w:rPr>
        <w:t>126</w:t>
      </w:r>
      <w:r>
        <w:rPr>
          <w:color w:val="auto"/>
          <w:highlight w:val="none"/>
        </w:rPr>
        <w:fldChar w:fldCharType="end"/>
      </w:r>
      <w:r>
        <w:rPr>
          <w:rFonts w:hAnsi="宋体"/>
          <w:bCs w:val="0"/>
          <w:caps/>
          <w:color w:val="auto"/>
          <w:szCs w:val="28"/>
          <w:highlight w:val="none"/>
          <w:u w:val="single"/>
        </w:rPr>
        <w:fldChar w:fldCharType="end"/>
      </w:r>
    </w:p>
    <w:p w14:paraId="032B6208">
      <w:pPr>
        <w:pStyle w:val="29"/>
        <w:tabs>
          <w:tab w:val="right" w:leader="dot" w:pos="9638"/>
        </w:tabs>
        <w:rPr>
          <w:color w:val="auto"/>
          <w:highlight w:val="none"/>
        </w:rPr>
      </w:pPr>
      <w:r>
        <w:rPr>
          <w:rFonts w:hAnsi="宋体"/>
          <w:bCs w:val="0"/>
          <w:caps/>
          <w:color w:val="auto"/>
          <w:szCs w:val="28"/>
          <w:highlight w:val="none"/>
          <w:u w:val="single"/>
        </w:rPr>
        <w:fldChar w:fldCharType="begin"/>
      </w:r>
      <w:r>
        <w:rPr>
          <w:rFonts w:hAnsi="宋体"/>
          <w:bCs w:val="0"/>
          <w:caps/>
          <w:color w:val="auto"/>
          <w:szCs w:val="28"/>
          <w:highlight w:val="none"/>
        </w:rPr>
        <w:instrText xml:space="preserve"> HYPERLINK \l _Toc27613 </w:instrText>
      </w:r>
      <w:r>
        <w:rPr>
          <w:rFonts w:hAnsi="宋体"/>
          <w:bCs w:val="0"/>
          <w:caps/>
          <w:color w:val="auto"/>
          <w:szCs w:val="28"/>
          <w:highlight w:val="none"/>
        </w:rPr>
        <w:fldChar w:fldCharType="separate"/>
      </w:r>
      <w:r>
        <w:rPr>
          <w:rFonts w:hint="eastAsia" w:ascii="宋体" w:hAnsi="宋体"/>
          <w:color w:val="auto"/>
          <w:szCs w:val="28"/>
          <w:highlight w:val="none"/>
        </w:rPr>
        <w:t>第三节 商务文件格式</w:t>
      </w:r>
      <w:r>
        <w:rPr>
          <w:color w:val="auto"/>
          <w:highlight w:val="none"/>
        </w:rPr>
        <w:tab/>
      </w:r>
      <w:r>
        <w:rPr>
          <w:color w:val="auto"/>
          <w:highlight w:val="none"/>
        </w:rPr>
        <w:fldChar w:fldCharType="begin"/>
      </w:r>
      <w:r>
        <w:rPr>
          <w:color w:val="auto"/>
          <w:highlight w:val="none"/>
        </w:rPr>
        <w:instrText xml:space="preserve"> PAGEREF _Toc27613 \h </w:instrText>
      </w:r>
      <w:r>
        <w:rPr>
          <w:color w:val="auto"/>
          <w:highlight w:val="none"/>
        </w:rPr>
        <w:fldChar w:fldCharType="separate"/>
      </w:r>
      <w:r>
        <w:rPr>
          <w:color w:val="auto"/>
          <w:highlight w:val="none"/>
        </w:rPr>
        <w:t>134</w:t>
      </w:r>
      <w:r>
        <w:rPr>
          <w:color w:val="auto"/>
          <w:highlight w:val="none"/>
        </w:rPr>
        <w:fldChar w:fldCharType="end"/>
      </w:r>
      <w:r>
        <w:rPr>
          <w:rFonts w:hAnsi="宋体"/>
          <w:bCs w:val="0"/>
          <w:caps/>
          <w:color w:val="auto"/>
          <w:szCs w:val="28"/>
          <w:highlight w:val="none"/>
          <w:u w:val="single"/>
        </w:rPr>
        <w:fldChar w:fldCharType="end"/>
      </w:r>
    </w:p>
    <w:p w14:paraId="14A85852">
      <w:pPr>
        <w:pStyle w:val="29"/>
        <w:tabs>
          <w:tab w:val="right" w:leader="dot" w:pos="9638"/>
        </w:tabs>
        <w:rPr>
          <w:color w:val="auto"/>
          <w:highlight w:val="none"/>
        </w:rPr>
      </w:pPr>
      <w:r>
        <w:rPr>
          <w:rFonts w:hAnsi="宋体"/>
          <w:bCs w:val="0"/>
          <w:caps/>
          <w:color w:val="auto"/>
          <w:szCs w:val="28"/>
          <w:highlight w:val="none"/>
          <w:u w:val="single"/>
        </w:rPr>
        <w:fldChar w:fldCharType="begin"/>
      </w:r>
      <w:r>
        <w:rPr>
          <w:rFonts w:hAnsi="宋体"/>
          <w:bCs w:val="0"/>
          <w:caps/>
          <w:color w:val="auto"/>
          <w:szCs w:val="28"/>
          <w:highlight w:val="none"/>
        </w:rPr>
        <w:instrText xml:space="preserve"> HYPERLINK \l _Toc5670 </w:instrText>
      </w:r>
      <w:r>
        <w:rPr>
          <w:rFonts w:hAnsi="宋体"/>
          <w:bCs w:val="0"/>
          <w:caps/>
          <w:color w:val="auto"/>
          <w:szCs w:val="28"/>
          <w:highlight w:val="none"/>
        </w:rPr>
        <w:fldChar w:fldCharType="separate"/>
      </w:r>
      <w:r>
        <w:rPr>
          <w:rFonts w:hint="eastAsia" w:ascii="宋体" w:hAnsi="宋体"/>
          <w:color w:val="auto"/>
          <w:szCs w:val="28"/>
          <w:highlight w:val="none"/>
        </w:rPr>
        <w:t>第四节 技术文件格式</w:t>
      </w:r>
      <w:r>
        <w:rPr>
          <w:color w:val="auto"/>
          <w:highlight w:val="none"/>
        </w:rPr>
        <w:tab/>
      </w:r>
      <w:r>
        <w:rPr>
          <w:color w:val="auto"/>
          <w:highlight w:val="none"/>
        </w:rPr>
        <w:fldChar w:fldCharType="begin"/>
      </w:r>
      <w:r>
        <w:rPr>
          <w:color w:val="auto"/>
          <w:highlight w:val="none"/>
        </w:rPr>
        <w:instrText xml:space="preserve"> PAGEREF _Toc5670 \h </w:instrText>
      </w:r>
      <w:r>
        <w:rPr>
          <w:color w:val="auto"/>
          <w:highlight w:val="none"/>
        </w:rPr>
        <w:fldChar w:fldCharType="separate"/>
      </w:r>
      <w:r>
        <w:rPr>
          <w:color w:val="auto"/>
          <w:highlight w:val="none"/>
        </w:rPr>
        <w:t>144</w:t>
      </w:r>
      <w:r>
        <w:rPr>
          <w:color w:val="auto"/>
          <w:highlight w:val="none"/>
        </w:rPr>
        <w:fldChar w:fldCharType="end"/>
      </w:r>
      <w:r>
        <w:rPr>
          <w:rFonts w:hAnsi="宋体"/>
          <w:bCs w:val="0"/>
          <w:caps/>
          <w:color w:val="auto"/>
          <w:szCs w:val="28"/>
          <w:highlight w:val="none"/>
          <w:u w:val="single"/>
        </w:rPr>
        <w:fldChar w:fldCharType="end"/>
      </w:r>
    </w:p>
    <w:p w14:paraId="70430A51">
      <w:pPr>
        <w:pStyle w:val="29"/>
        <w:tabs>
          <w:tab w:val="right" w:leader="dot" w:pos="9638"/>
        </w:tabs>
        <w:rPr>
          <w:color w:val="auto"/>
          <w:highlight w:val="none"/>
        </w:rPr>
      </w:pPr>
      <w:r>
        <w:rPr>
          <w:rFonts w:hAnsi="宋体"/>
          <w:bCs w:val="0"/>
          <w:caps/>
          <w:color w:val="auto"/>
          <w:szCs w:val="28"/>
          <w:highlight w:val="none"/>
          <w:u w:val="single"/>
        </w:rPr>
        <w:fldChar w:fldCharType="begin"/>
      </w:r>
      <w:r>
        <w:rPr>
          <w:rFonts w:hAnsi="宋体"/>
          <w:bCs w:val="0"/>
          <w:caps/>
          <w:color w:val="auto"/>
          <w:szCs w:val="28"/>
          <w:highlight w:val="none"/>
        </w:rPr>
        <w:instrText xml:space="preserve"> HYPERLINK \l _Toc11443 </w:instrText>
      </w:r>
      <w:r>
        <w:rPr>
          <w:rFonts w:hAnsi="宋体"/>
          <w:bCs w:val="0"/>
          <w:caps/>
          <w:color w:val="auto"/>
          <w:szCs w:val="28"/>
          <w:highlight w:val="none"/>
        </w:rPr>
        <w:fldChar w:fldCharType="separate"/>
      </w:r>
      <w:r>
        <w:rPr>
          <w:rFonts w:hint="eastAsia" w:ascii="宋体" w:hAnsi="宋体"/>
          <w:color w:val="auto"/>
          <w:szCs w:val="28"/>
          <w:highlight w:val="none"/>
        </w:rPr>
        <w:t>第五节 报价文件格式</w:t>
      </w:r>
      <w:r>
        <w:rPr>
          <w:color w:val="auto"/>
          <w:highlight w:val="none"/>
        </w:rPr>
        <w:tab/>
      </w:r>
      <w:r>
        <w:rPr>
          <w:color w:val="auto"/>
          <w:highlight w:val="none"/>
        </w:rPr>
        <w:fldChar w:fldCharType="begin"/>
      </w:r>
      <w:r>
        <w:rPr>
          <w:color w:val="auto"/>
          <w:highlight w:val="none"/>
        </w:rPr>
        <w:instrText xml:space="preserve"> PAGEREF _Toc11443 \h </w:instrText>
      </w:r>
      <w:r>
        <w:rPr>
          <w:color w:val="auto"/>
          <w:highlight w:val="none"/>
        </w:rPr>
        <w:fldChar w:fldCharType="separate"/>
      </w:r>
      <w:r>
        <w:rPr>
          <w:color w:val="auto"/>
          <w:highlight w:val="none"/>
        </w:rPr>
        <w:t>152</w:t>
      </w:r>
      <w:r>
        <w:rPr>
          <w:color w:val="auto"/>
          <w:highlight w:val="none"/>
        </w:rPr>
        <w:fldChar w:fldCharType="end"/>
      </w:r>
      <w:r>
        <w:rPr>
          <w:rFonts w:hAnsi="宋体"/>
          <w:bCs w:val="0"/>
          <w:caps/>
          <w:color w:val="auto"/>
          <w:szCs w:val="28"/>
          <w:highlight w:val="none"/>
          <w:u w:val="single"/>
        </w:rPr>
        <w:fldChar w:fldCharType="end"/>
      </w:r>
    </w:p>
    <w:p w14:paraId="6DB3FA95">
      <w:pPr>
        <w:pStyle w:val="29"/>
        <w:tabs>
          <w:tab w:val="right" w:leader="dot" w:pos="9638"/>
        </w:tabs>
        <w:rPr>
          <w:color w:val="auto"/>
          <w:highlight w:val="none"/>
        </w:rPr>
      </w:pPr>
      <w:r>
        <w:rPr>
          <w:rFonts w:hAnsi="宋体"/>
          <w:bCs w:val="0"/>
          <w:caps/>
          <w:color w:val="auto"/>
          <w:szCs w:val="28"/>
          <w:highlight w:val="none"/>
          <w:u w:val="single"/>
        </w:rPr>
        <w:fldChar w:fldCharType="begin"/>
      </w:r>
      <w:r>
        <w:rPr>
          <w:rFonts w:hAnsi="宋体"/>
          <w:bCs w:val="0"/>
          <w:caps/>
          <w:color w:val="auto"/>
          <w:szCs w:val="28"/>
          <w:highlight w:val="none"/>
        </w:rPr>
        <w:instrText xml:space="preserve"> HYPERLINK \l _Toc24001 </w:instrText>
      </w:r>
      <w:r>
        <w:rPr>
          <w:rFonts w:hAnsi="宋体"/>
          <w:bCs w:val="0"/>
          <w:caps/>
          <w:color w:val="auto"/>
          <w:szCs w:val="28"/>
          <w:highlight w:val="none"/>
        </w:rPr>
        <w:fldChar w:fldCharType="separate"/>
      </w:r>
      <w:r>
        <w:rPr>
          <w:rFonts w:hint="eastAsia" w:ascii="宋体" w:hAnsi="宋体"/>
          <w:color w:val="auto"/>
          <w:szCs w:val="28"/>
          <w:highlight w:val="none"/>
        </w:rPr>
        <w:t>第六节 其他文书、文件格式</w:t>
      </w:r>
      <w:r>
        <w:rPr>
          <w:color w:val="auto"/>
          <w:highlight w:val="none"/>
        </w:rPr>
        <w:tab/>
      </w:r>
      <w:r>
        <w:rPr>
          <w:color w:val="auto"/>
          <w:highlight w:val="none"/>
        </w:rPr>
        <w:fldChar w:fldCharType="begin"/>
      </w:r>
      <w:r>
        <w:rPr>
          <w:color w:val="auto"/>
          <w:highlight w:val="none"/>
        </w:rPr>
        <w:instrText xml:space="preserve"> PAGEREF _Toc24001 \h </w:instrText>
      </w:r>
      <w:r>
        <w:rPr>
          <w:color w:val="auto"/>
          <w:highlight w:val="none"/>
        </w:rPr>
        <w:fldChar w:fldCharType="separate"/>
      </w:r>
      <w:r>
        <w:rPr>
          <w:color w:val="auto"/>
          <w:highlight w:val="none"/>
        </w:rPr>
        <w:t>158</w:t>
      </w:r>
      <w:r>
        <w:rPr>
          <w:color w:val="auto"/>
          <w:highlight w:val="none"/>
        </w:rPr>
        <w:fldChar w:fldCharType="end"/>
      </w:r>
      <w:r>
        <w:rPr>
          <w:rFonts w:hAnsi="宋体"/>
          <w:bCs w:val="0"/>
          <w:caps/>
          <w:color w:val="auto"/>
          <w:szCs w:val="28"/>
          <w:highlight w:val="none"/>
          <w:u w:val="single"/>
        </w:rPr>
        <w:fldChar w:fldCharType="end"/>
      </w:r>
    </w:p>
    <w:p w14:paraId="0A6C768B">
      <w:pPr>
        <w:pStyle w:val="24"/>
        <w:tabs>
          <w:tab w:val="right" w:leader="dot" w:pos="9638"/>
        </w:tabs>
        <w:rPr>
          <w:color w:val="auto"/>
          <w:highlight w:val="none"/>
        </w:rPr>
      </w:pPr>
      <w:r>
        <w:rPr>
          <w:rFonts w:hAnsi="宋体"/>
          <w:bCs w:val="0"/>
          <w:caps w:val="0"/>
          <w:color w:val="auto"/>
          <w:szCs w:val="28"/>
          <w:highlight w:val="none"/>
        </w:rPr>
        <w:fldChar w:fldCharType="begin"/>
      </w:r>
      <w:r>
        <w:rPr>
          <w:rFonts w:hAnsi="宋体"/>
          <w:bCs w:val="0"/>
          <w:caps w:val="0"/>
          <w:color w:val="auto"/>
          <w:szCs w:val="28"/>
          <w:highlight w:val="none"/>
        </w:rPr>
        <w:instrText xml:space="preserve"> HYPERLINK \l _Toc3493 </w:instrText>
      </w:r>
      <w:r>
        <w:rPr>
          <w:rFonts w:hAnsi="宋体"/>
          <w:bCs w:val="0"/>
          <w:caps w:val="0"/>
          <w:color w:val="auto"/>
          <w:szCs w:val="28"/>
          <w:highlight w:val="none"/>
        </w:rPr>
        <w:fldChar w:fldCharType="separate"/>
      </w:r>
      <w:r>
        <w:rPr>
          <w:rFonts w:hint="eastAsia"/>
          <w:color w:val="auto"/>
          <w:szCs w:val="20"/>
          <w:highlight w:val="none"/>
        </w:rPr>
        <w:t>第七章</w:t>
      </w:r>
      <w:r>
        <w:rPr>
          <w:color w:val="auto"/>
          <w:szCs w:val="20"/>
          <w:highlight w:val="none"/>
        </w:rPr>
        <w:t xml:space="preserve"> </w:t>
      </w:r>
      <w:r>
        <w:rPr>
          <w:rFonts w:hint="eastAsia"/>
          <w:color w:val="auto"/>
          <w:szCs w:val="20"/>
          <w:highlight w:val="none"/>
        </w:rPr>
        <w:t>质疑、投诉证明材料格式</w:t>
      </w:r>
      <w:r>
        <w:rPr>
          <w:color w:val="auto"/>
          <w:highlight w:val="none"/>
        </w:rPr>
        <w:tab/>
      </w:r>
      <w:r>
        <w:rPr>
          <w:color w:val="auto"/>
          <w:highlight w:val="none"/>
        </w:rPr>
        <w:fldChar w:fldCharType="begin"/>
      </w:r>
      <w:r>
        <w:rPr>
          <w:color w:val="auto"/>
          <w:highlight w:val="none"/>
        </w:rPr>
        <w:instrText xml:space="preserve"> PAGEREF _Toc3493 \h </w:instrText>
      </w:r>
      <w:r>
        <w:rPr>
          <w:color w:val="auto"/>
          <w:highlight w:val="none"/>
        </w:rPr>
        <w:fldChar w:fldCharType="separate"/>
      </w:r>
      <w:r>
        <w:rPr>
          <w:color w:val="auto"/>
          <w:highlight w:val="none"/>
        </w:rPr>
        <w:t>161</w:t>
      </w:r>
      <w:r>
        <w:rPr>
          <w:color w:val="auto"/>
          <w:highlight w:val="none"/>
        </w:rPr>
        <w:fldChar w:fldCharType="end"/>
      </w:r>
      <w:r>
        <w:rPr>
          <w:rFonts w:hAnsi="宋体"/>
          <w:bCs w:val="0"/>
          <w:caps w:val="0"/>
          <w:color w:val="auto"/>
          <w:szCs w:val="28"/>
          <w:highlight w:val="none"/>
        </w:rPr>
        <w:fldChar w:fldCharType="end"/>
      </w:r>
    </w:p>
    <w:p w14:paraId="1AFD660C">
      <w:pPr>
        <w:pStyle w:val="29"/>
        <w:tabs>
          <w:tab w:val="right" w:leader="dot" w:pos="9638"/>
        </w:tabs>
        <w:rPr>
          <w:color w:val="auto"/>
          <w:highlight w:val="none"/>
        </w:rPr>
      </w:pPr>
      <w:r>
        <w:rPr>
          <w:rFonts w:hAnsi="宋体"/>
          <w:bCs w:val="0"/>
          <w:caps/>
          <w:color w:val="auto"/>
          <w:szCs w:val="28"/>
          <w:highlight w:val="none"/>
          <w:u w:val="single"/>
        </w:rPr>
        <w:fldChar w:fldCharType="begin"/>
      </w:r>
      <w:r>
        <w:rPr>
          <w:rFonts w:hAnsi="宋体"/>
          <w:bCs w:val="0"/>
          <w:caps/>
          <w:color w:val="auto"/>
          <w:szCs w:val="28"/>
          <w:highlight w:val="none"/>
        </w:rPr>
        <w:instrText xml:space="preserve"> HYPERLINK \l _Toc4418 </w:instrText>
      </w:r>
      <w:r>
        <w:rPr>
          <w:rFonts w:hAnsi="宋体"/>
          <w:bCs w:val="0"/>
          <w:caps/>
          <w:color w:val="auto"/>
          <w:szCs w:val="28"/>
          <w:highlight w:val="none"/>
        </w:rPr>
        <w:fldChar w:fldCharType="separate"/>
      </w:r>
      <w:r>
        <w:rPr>
          <w:rFonts w:hint="eastAsia" w:ascii="宋体" w:hAnsi="宋体" w:eastAsia="黑体"/>
          <w:color w:val="auto"/>
          <w:szCs w:val="32"/>
          <w:highlight w:val="none"/>
        </w:rPr>
        <w:t>第一节 质疑函（格式）</w:t>
      </w:r>
      <w:r>
        <w:rPr>
          <w:color w:val="auto"/>
          <w:highlight w:val="none"/>
        </w:rPr>
        <w:tab/>
      </w:r>
      <w:r>
        <w:rPr>
          <w:color w:val="auto"/>
          <w:highlight w:val="none"/>
        </w:rPr>
        <w:fldChar w:fldCharType="begin"/>
      </w:r>
      <w:r>
        <w:rPr>
          <w:color w:val="auto"/>
          <w:highlight w:val="none"/>
        </w:rPr>
        <w:instrText xml:space="preserve"> PAGEREF _Toc4418 \h </w:instrText>
      </w:r>
      <w:r>
        <w:rPr>
          <w:color w:val="auto"/>
          <w:highlight w:val="none"/>
        </w:rPr>
        <w:fldChar w:fldCharType="separate"/>
      </w:r>
      <w:r>
        <w:rPr>
          <w:color w:val="auto"/>
          <w:highlight w:val="none"/>
        </w:rPr>
        <w:t>162</w:t>
      </w:r>
      <w:r>
        <w:rPr>
          <w:color w:val="auto"/>
          <w:highlight w:val="none"/>
        </w:rPr>
        <w:fldChar w:fldCharType="end"/>
      </w:r>
      <w:r>
        <w:rPr>
          <w:rFonts w:hAnsi="宋体"/>
          <w:bCs w:val="0"/>
          <w:caps/>
          <w:color w:val="auto"/>
          <w:szCs w:val="28"/>
          <w:highlight w:val="none"/>
          <w:u w:val="single"/>
        </w:rPr>
        <w:fldChar w:fldCharType="end"/>
      </w:r>
    </w:p>
    <w:p w14:paraId="2D06A40E">
      <w:pPr>
        <w:pStyle w:val="29"/>
        <w:tabs>
          <w:tab w:val="right" w:leader="dot" w:pos="9638"/>
        </w:tabs>
        <w:rPr>
          <w:color w:val="auto"/>
          <w:highlight w:val="none"/>
        </w:rPr>
      </w:pPr>
      <w:r>
        <w:rPr>
          <w:rFonts w:hAnsi="宋体"/>
          <w:bCs w:val="0"/>
          <w:caps/>
          <w:color w:val="auto"/>
          <w:szCs w:val="28"/>
          <w:highlight w:val="none"/>
          <w:u w:val="single"/>
        </w:rPr>
        <w:fldChar w:fldCharType="begin"/>
      </w:r>
      <w:r>
        <w:rPr>
          <w:rFonts w:hAnsi="宋体"/>
          <w:bCs w:val="0"/>
          <w:caps/>
          <w:color w:val="auto"/>
          <w:szCs w:val="28"/>
          <w:highlight w:val="none"/>
        </w:rPr>
        <w:instrText xml:space="preserve"> HYPERLINK \l _Toc30522 </w:instrText>
      </w:r>
      <w:r>
        <w:rPr>
          <w:rFonts w:hAnsi="宋体"/>
          <w:bCs w:val="0"/>
          <w:caps/>
          <w:color w:val="auto"/>
          <w:szCs w:val="28"/>
          <w:highlight w:val="none"/>
        </w:rPr>
        <w:fldChar w:fldCharType="separate"/>
      </w:r>
      <w:r>
        <w:rPr>
          <w:rFonts w:hint="eastAsia" w:ascii="宋体" w:hAnsi="宋体" w:eastAsia="黑体"/>
          <w:color w:val="auto"/>
          <w:szCs w:val="32"/>
          <w:highlight w:val="none"/>
        </w:rPr>
        <w:t>第二节 投诉书（格式）</w:t>
      </w:r>
      <w:r>
        <w:rPr>
          <w:color w:val="auto"/>
          <w:highlight w:val="none"/>
        </w:rPr>
        <w:tab/>
      </w:r>
      <w:r>
        <w:rPr>
          <w:color w:val="auto"/>
          <w:highlight w:val="none"/>
        </w:rPr>
        <w:fldChar w:fldCharType="begin"/>
      </w:r>
      <w:r>
        <w:rPr>
          <w:color w:val="auto"/>
          <w:highlight w:val="none"/>
        </w:rPr>
        <w:instrText xml:space="preserve"> PAGEREF _Toc30522 \h </w:instrText>
      </w:r>
      <w:r>
        <w:rPr>
          <w:color w:val="auto"/>
          <w:highlight w:val="none"/>
        </w:rPr>
        <w:fldChar w:fldCharType="separate"/>
      </w:r>
      <w:r>
        <w:rPr>
          <w:color w:val="auto"/>
          <w:highlight w:val="none"/>
        </w:rPr>
        <w:t>165</w:t>
      </w:r>
      <w:r>
        <w:rPr>
          <w:color w:val="auto"/>
          <w:highlight w:val="none"/>
        </w:rPr>
        <w:fldChar w:fldCharType="end"/>
      </w:r>
      <w:r>
        <w:rPr>
          <w:rFonts w:hAnsi="宋体"/>
          <w:bCs w:val="0"/>
          <w:caps/>
          <w:color w:val="auto"/>
          <w:szCs w:val="28"/>
          <w:highlight w:val="none"/>
          <w:u w:val="single"/>
        </w:rPr>
        <w:fldChar w:fldCharType="end"/>
      </w:r>
    </w:p>
    <w:p w14:paraId="2035DC00">
      <w:pPr>
        <w:rPr>
          <w:rFonts w:hint="eastAsia" w:ascii="宋体" w:hAnsi="Courier New"/>
          <w:color w:val="auto"/>
          <w:szCs w:val="20"/>
          <w:highlight w:val="none"/>
        </w:rPr>
      </w:pPr>
      <w:r>
        <w:rPr>
          <w:rFonts w:ascii="Calibri" w:hAnsi="宋体"/>
          <w:bCs/>
          <w:caps/>
          <w:color w:val="auto"/>
          <w:szCs w:val="28"/>
          <w:highlight w:val="none"/>
          <w:u w:val="single"/>
        </w:rPr>
        <w:fldChar w:fldCharType="end"/>
      </w:r>
      <w:r>
        <w:rPr>
          <w:rFonts w:hint="eastAsia" w:ascii="宋体" w:hAnsi="Courier New"/>
          <w:color w:val="auto"/>
          <w:szCs w:val="20"/>
          <w:highlight w:val="none"/>
        </w:rPr>
        <w:tab/>
      </w:r>
      <w:bookmarkStart w:id="0" w:name="_Toc532545041"/>
    </w:p>
    <w:p w14:paraId="53C30A2C">
      <w:pPr>
        <w:jc w:val="center"/>
        <w:outlineLvl w:val="0"/>
        <w:rPr>
          <w:rFonts w:hint="eastAsia" w:ascii="宋体" w:hAnsi="宋体"/>
          <w:b/>
          <w:color w:val="auto"/>
          <w:sz w:val="36"/>
          <w:szCs w:val="36"/>
          <w:highlight w:val="none"/>
        </w:rPr>
      </w:pPr>
      <w:bookmarkStart w:id="1" w:name="_Toc25587"/>
      <w:r>
        <w:rPr>
          <w:rFonts w:hint="eastAsia"/>
          <w:b/>
          <w:color w:val="auto"/>
          <w:sz w:val="36"/>
          <w:szCs w:val="20"/>
          <w:highlight w:val="none"/>
        </w:rPr>
        <w:t>第一章</w:t>
      </w:r>
      <w:r>
        <w:rPr>
          <w:b/>
          <w:color w:val="auto"/>
          <w:sz w:val="36"/>
          <w:szCs w:val="20"/>
          <w:highlight w:val="none"/>
        </w:rPr>
        <w:t xml:space="preserve">  </w:t>
      </w:r>
      <w:r>
        <w:rPr>
          <w:rFonts w:hint="eastAsia"/>
          <w:b/>
          <w:color w:val="auto"/>
          <w:sz w:val="36"/>
          <w:szCs w:val="20"/>
          <w:highlight w:val="none"/>
        </w:rPr>
        <w:t>招标公告</w:t>
      </w:r>
      <w:bookmarkEnd w:id="0"/>
      <w:bookmarkEnd w:id="1"/>
    </w:p>
    <w:p w14:paraId="44A2BEA1">
      <w:pPr>
        <w:jc w:val="center"/>
        <w:rPr>
          <w:rFonts w:hint="eastAsia"/>
          <w:b/>
          <w:color w:val="auto"/>
          <w:sz w:val="30"/>
          <w:szCs w:val="30"/>
          <w:highlight w:val="none"/>
        </w:rPr>
      </w:pPr>
      <w:r>
        <w:rPr>
          <w:rFonts w:hint="eastAsia"/>
          <w:b/>
          <w:color w:val="auto"/>
          <w:sz w:val="30"/>
          <w:szCs w:val="30"/>
          <w:highlight w:val="none"/>
        </w:rPr>
        <w:t>公开招标公告</w:t>
      </w:r>
    </w:p>
    <w:p w14:paraId="66BE4D21">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宋体" w:hAnsi="宋体"/>
          <w:color w:val="auto"/>
          <w:szCs w:val="21"/>
          <w:highlight w:val="none"/>
          <w:u w:val="single"/>
        </w:rPr>
      </w:pPr>
      <w:r>
        <w:rPr>
          <w:rFonts w:hint="eastAsia" w:ascii="宋体" w:hAnsi="宋体"/>
          <w:color w:val="auto"/>
          <w:szCs w:val="21"/>
          <w:highlight w:val="none"/>
          <w:u w:val="single"/>
        </w:rPr>
        <w:t>项目概况</w:t>
      </w:r>
    </w:p>
    <w:p w14:paraId="130E87CB">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仿宋_GB2312" w:hAnsi="仿宋" w:eastAsia="仿宋_GB2312"/>
          <w:color w:val="auto"/>
          <w:sz w:val="24"/>
          <w:highlight w:val="none"/>
          <w:u w:val="single"/>
        </w:rPr>
      </w:pPr>
      <w:r>
        <w:rPr>
          <w:rFonts w:hint="eastAsia" w:ascii="宋体" w:hAnsi="宋体"/>
          <w:color w:val="auto"/>
          <w:szCs w:val="21"/>
          <w:highlight w:val="none"/>
          <w:u w:val="single"/>
          <w:lang w:eastAsia="zh-CN"/>
        </w:rPr>
        <w:t>南宁市城市规划展示馆布展内容升级改造</w:t>
      </w:r>
      <w:r>
        <w:rPr>
          <w:rFonts w:hint="eastAsia" w:ascii="宋体" w:hAnsi="宋体"/>
          <w:color w:val="auto"/>
          <w:szCs w:val="21"/>
          <w:highlight w:val="none"/>
          <w:u w:val="single"/>
        </w:rPr>
        <w:t xml:space="preserve">  招标项目的潜在投标人应在广西政府采购云平台（https://www.gcy.zfcg.gxzf.gov.cn）获取（下载）招标文件，并于</w:t>
      </w:r>
      <w:r>
        <w:rPr>
          <w:rFonts w:hint="eastAsia" w:ascii="宋体" w:hAnsi="宋体"/>
          <w:color w:val="0000FF"/>
          <w:szCs w:val="21"/>
          <w:highlight w:val="none"/>
          <w:u w:val="single"/>
        </w:rPr>
        <w:t xml:space="preserve">2026年 </w:t>
      </w:r>
      <w:r>
        <w:rPr>
          <w:rFonts w:hint="eastAsia" w:ascii="宋体" w:hAnsi="宋体"/>
          <w:color w:val="0000FF"/>
          <w:szCs w:val="21"/>
          <w:highlight w:val="none"/>
          <w:u w:val="single"/>
          <w:lang w:val="en-US" w:eastAsia="zh-CN"/>
        </w:rPr>
        <w:t xml:space="preserve"> 7</w:t>
      </w:r>
      <w:r>
        <w:rPr>
          <w:rFonts w:hint="eastAsia" w:ascii="宋体" w:hAnsi="宋体"/>
          <w:color w:val="0000FF"/>
          <w:szCs w:val="21"/>
          <w:highlight w:val="none"/>
          <w:u w:val="single"/>
        </w:rPr>
        <w:t xml:space="preserve"> 月</w:t>
      </w:r>
      <w:r>
        <w:rPr>
          <w:rFonts w:ascii="宋体" w:hAnsi="宋体"/>
          <w:color w:val="0000FF"/>
          <w:szCs w:val="21"/>
          <w:highlight w:val="none"/>
          <w:u w:val="single"/>
        </w:rPr>
        <w:t xml:space="preserve"> </w:t>
      </w:r>
      <w:r>
        <w:rPr>
          <w:rFonts w:hint="eastAsia" w:ascii="宋体" w:hAnsi="宋体"/>
          <w:color w:val="0000FF"/>
          <w:szCs w:val="21"/>
          <w:highlight w:val="none"/>
          <w:u w:val="single"/>
          <w:lang w:val="en-US" w:eastAsia="zh-CN"/>
        </w:rPr>
        <w:t>7</w:t>
      </w:r>
      <w:r>
        <w:rPr>
          <w:rFonts w:hint="eastAsia" w:ascii="宋体" w:hAnsi="宋体"/>
          <w:color w:val="0000FF"/>
          <w:szCs w:val="21"/>
          <w:highlight w:val="none"/>
          <w:u w:val="single"/>
        </w:rPr>
        <w:t>日09时30分</w:t>
      </w:r>
      <w:r>
        <w:rPr>
          <w:rFonts w:hint="eastAsia" w:ascii="宋体" w:hAnsi="宋体"/>
          <w:color w:val="auto"/>
          <w:szCs w:val="21"/>
          <w:highlight w:val="none"/>
          <w:u w:val="single"/>
        </w:rPr>
        <w:t xml:space="preserve"> （北京时间）前递交（上传）投标文件。</w:t>
      </w:r>
    </w:p>
    <w:p w14:paraId="30114CA0">
      <w:pPr>
        <w:spacing w:line="360" w:lineRule="auto"/>
        <w:rPr>
          <w:rFonts w:hint="eastAsia" w:ascii="黑体" w:hAnsi="黑体" w:eastAsia="黑体"/>
          <w:b/>
          <w:bCs/>
          <w:color w:val="auto"/>
          <w:sz w:val="24"/>
          <w:highlight w:val="none"/>
        </w:rPr>
      </w:pPr>
      <w:bookmarkStart w:id="2" w:name="_Toc28359079"/>
      <w:bookmarkStart w:id="3" w:name="_Toc28359002"/>
      <w:bookmarkStart w:id="4" w:name="_Toc35393621"/>
      <w:bookmarkStart w:id="5" w:name="_Toc35393790"/>
      <w:bookmarkStart w:id="6" w:name="_Hlk24379207"/>
      <w:r>
        <w:rPr>
          <w:rFonts w:hint="eastAsia" w:ascii="黑体" w:hAnsi="黑体" w:eastAsia="黑体"/>
          <w:b/>
          <w:bCs/>
          <w:color w:val="auto"/>
          <w:sz w:val="24"/>
          <w:highlight w:val="none"/>
        </w:rPr>
        <w:t>一、项目基本情况</w:t>
      </w:r>
      <w:bookmarkEnd w:id="2"/>
      <w:bookmarkEnd w:id="3"/>
      <w:bookmarkEnd w:id="4"/>
      <w:bookmarkEnd w:id="5"/>
    </w:p>
    <w:p w14:paraId="66A04A5D">
      <w:pPr>
        <w:spacing w:line="360" w:lineRule="auto"/>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rPr>
        <w:t>项目编号：</w:t>
      </w:r>
      <w:r>
        <w:rPr>
          <w:rFonts w:hint="eastAsia" w:ascii="宋体" w:hAnsi="宋体"/>
          <w:color w:val="auto"/>
          <w:szCs w:val="21"/>
          <w:highlight w:val="none"/>
          <w:lang w:val="en-US" w:eastAsia="zh-CN"/>
        </w:rPr>
        <w:t xml:space="preserve"> NNZC2026-G3-990433-GXJD</w:t>
      </w:r>
    </w:p>
    <w:p w14:paraId="64EC680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项目名称：</w:t>
      </w:r>
      <w:bookmarkEnd w:id="6"/>
      <w:r>
        <w:rPr>
          <w:rFonts w:hint="eastAsia" w:ascii="宋体" w:hAnsi="宋体"/>
          <w:color w:val="auto"/>
          <w:szCs w:val="21"/>
          <w:highlight w:val="none"/>
        </w:rPr>
        <w:t>南宁市城市规划展示馆布展内容升级改造</w:t>
      </w:r>
    </w:p>
    <w:p w14:paraId="153C2C90">
      <w:pPr>
        <w:spacing w:line="360" w:lineRule="auto"/>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rPr>
        <w:t>预算金额（元）：</w:t>
      </w:r>
      <w:r>
        <w:rPr>
          <w:rFonts w:hint="eastAsia" w:ascii="宋体" w:hAnsi="宋体"/>
          <w:color w:val="auto"/>
          <w:szCs w:val="21"/>
          <w:highlight w:val="none"/>
          <w:lang w:val="en-US" w:eastAsia="zh-CN"/>
        </w:rPr>
        <w:t>18184561.54</w:t>
      </w:r>
    </w:p>
    <w:p w14:paraId="2D6A469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采购需求：</w:t>
      </w:r>
      <w:bookmarkStart w:id="7" w:name="PO_3000001866_PM004"/>
      <w:r>
        <w:rPr>
          <w:rFonts w:hint="eastAsia" w:ascii="宋体" w:hAnsi="宋体"/>
          <w:color w:val="auto"/>
          <w:szCs w:val="21"/>
          <w:highlight w:val="none"/>
        </w:rPr>
        <w:t>具体详见招标文件。</w:t>
      </w:r>
    </w:p>
    <w:p w14:paraId="0BBCE300">
      <w:pPr>
        <w:spacing w:line="360" w:lineRule="auto"/>
        <w:ind w:left="420" w:leftChars="200"/>
        <w:rPr>
          <w:rFonts w:hint="eastAsia" w:ascii="宋体" w:hAnsi="宋体"/>
          <w:color w:val="auto"/>
          <w:szCs w:val="21"/>
          <w:highlight w:val="none"/>
        </w:rPr>
      </w:pPr>
      <w:r>
        <w:rPr>
          <w:rFonts w:hint="eastAsia" w:ascii="宋体" w:hAnsi="宋体"/>
          <w:color w:val="auto"/>
          <w:szCs w:val="21"/>
          <w:highlight w:val="none"/>
        </w:rPr>
        <w:t>标项名称</w:t>
      </w:r>
      <w:r>
        <w:rPr>
          <w:rFonts w:hint="eastAsia" w:ascii="宋体" w:hAnsi="宋体"/>
          <w:color w:val="auto"/>
          <w:szCs w:val="21"/>
          <w:highlight w:val="none"/>
          <w:lang w:eastAsia="zh-CN"/>
        </w:rPr>
        <w:t>：</w:t>
      </w:r>
      <w:r>
        <w:rPr>
          <w:rFonts w:hint="eastAsia" w:ascii="宋体" w:hAnsi="宋体"/>
          <w:color w:val="auto"/>
          <w:szCs w:val="21"/>
          <w:highlight w:val="none"/>
        </w:rPr>
        <w:t>南宁市城市规划展示馆布展内容升级改造</w:t>
      </w:r>
    </w:p>
    <w:p w14:paraId="21AB5583">
      <w:pPr>
        <w:spacing w:line="360" w:lineRule="auto"/>
        <w:ind w:left="420" w:leftChars="200"/>
        <w:rPr>
          <w:rFonts w:hint="eastAsia" w:ascii="宋体" w:hAnsi="宋体"/>
          <w:color w:val="auto"/>
          <w:szCs w:val="21"/>
          <w:highlight w:val="none"/>
        </w:rPr>
      </w:pPr>
      <w:r>
        <w:rPr>
          <w:rFonts w:hint="eastAsia" w:ascii="宋体" w:hAnsi="宋体"/>
          <w:color w:val="auto"/>
          <w:szCs w:val="21"/>
          <w:highlight w:val="none"/>
        </w:rPr>
        <w:t>数量</w:t>
      </w:r>
      <w:r>
        <w:rPr>
          <w:rFonts w:hint="eastAsia" w:ascii="宋体" w:hAnsi="宋体"/>
          <w:color w:val="auto"/>
          <w:szCs w:val="21"/>
          <w:highlight w:val="none"/>
          <w:lang w:eastAsia="zh-CN"/>
        </w:rPr>
        <w:t>：</w:t>
      </w:r>
      <w:r>
        <w:rPr>
          <w:rFonts w:hint="eastAsia" w:ascii="宋体" w:hAnsi="宋体"/>
          <w:color w:val="auto"/>
          <w:szCs w:val="21"/>
          <w:highlight w:val="none"/>
        </w:rPr>
        <w:t>1</w:t>
      </w:r>
      <w:r>
        <w:rPr>
          <w:rFonts w:hint="eastAsia" w:ascii="宋体" w:hAnsi="宋体"/>
          <w:color w:val="auto"/>
          <w:szCs w:val="21"/>
          <w:highlight w:val="none"/>
        </w:rPr>
        <w:br w:type="textWrapping"/>
      </w:r>
      <w:r>
        <w:rPr>
          <w:rFonts w:hint="eastAsia" w:ascii="宋体" w:hAnsi="宋体"/>
          <w:color w:val="auto"/>
          <w:szCs w:val="21"/>
          <w:highlight w:val="none"/>
        </w:rPr>
        <w:t xml:space="preserve">预算金额（元）: </w:t>
      </w:r>
      <w:r>
        <w:rPr>
          <w:rFonts w:hint="eastAsia" w:ascii="宋体" w:hAnsi="宋体"/>
          <w:color w:val="auto"/>
          <w:szCs w:val="21"/>
          <w:highlight w:val="none"/>
          <w:lang w:val="en-US" w:eastAsia="zh-CN"/>
        </w:rPr>
        <w:t>18184561.54</w:t>
      </w:r>
    </w:p>
    <w:p w14:paraId="4B1C4C64">
      <w:pPr>
        <w:spacing w:line="360" w:lineRule="auto"/>
        <w:ind w:left="420" w:leftChars="200"/>
        <w:rPr>
          <w:rFonts w:hint="eastAsia" w:ascii="宋体" w:hAnsi="宋体"/>
          <w:color w:val="auto"/>
          <w:szCs w:val="21"/>
          <w:highlight w:val="none"/>
        </w:rPr>
      </w:pPr>
      <w:r>
        <w:rPr>
          <w:rFonts w:hint="eastAsia" w:ascii="宋体" w:hAnsi="宋体"/>
          <w:color w:val="auto"/>
          <w:szCs w:val="21"/>
          <w:highlight w:val="none"/>
        </w:rPr>
        <w:t>简要规格描述或项目基本概况介绍、用途：南宁市城市规划展示馆布展内容升级改造1项，具体详见招标文件。</w:t>
      </w:r>
    </w:p>
    <w:p w14:paraId="78751BC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最高限价（如有）：</w:t>
      </w:r>
      <w:bookmarkEnd w:id="7"/>
      <w:r>
        <w:rPr>
          <w:rFonts w:hint="eastAsia" w:ascii="宋体" w:hAnsi="宋体"/>
          <w:color w:val="auto"/>
          <w:szCs w:val="21"/>
          <w:highlight w:val="none"/>
        </w:rPr>
        <w:t xml:space="preserve"> </w:t>
      </w:r>
      <w:r>
        <w:rPr>
          <w:rFonts w:hint="eastAsia" w:ascii="宋体" w:hAnsi="宋体"/>
          <w:color w:val="auto"/>
          <w:szCs w:val="21"/>
          <w:highlight w:val="none"/>
          <w:lang w:val="en-US" w:eastAsia="zh-CN"/>
        </w:rPr>
        <w:t>18184561.54</w:t>
      </w:r>
    </w:p>
    <w:p w14:paraId="6E01ABE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提交服务成果时间：（一）布展策划：从签订合同之日起 </w:t>
      </w:r>
      <w:r>
        <w:rPr>
          <w:rFonts w:hint="eastAsia" w:ascii="宋体" w:hAnsi="宋体"/>
          <w:color w:val="auto"/>
          <w:szCs w:val="21"/>
          <w:highlight w:val="none"/>
          <w:lang w:val="en-US" w:eastAsia="zh-CN"/>
        </w:rPr>
        <w:t>5</w:t>
      </w:r>
      <w:r>
        <w:rPr>
          <w:rFonts w:hint="eastAsia" w:ascii="宋体" w:hAnsi="宋体"/>
          <w:color w:val="auto"/>
          <w:szCs w:val="21"/>
          <w:highlight w:val="none"/>
        </w:rPr>
        <w:t>个日历日 内完成</w:t>
      </w:r>
      <w:r>
        <w:rPr>
          <w:rFonts w:hint="eastAsia" w:ascii="宋体" w:hAnsi="宋体"/>
          <w:color w:val="auto"/>
          <w:szCs w:val="21"/>
          <w:highlight w:val="none"/>
          <w:lang w:eastAsia="zh-CN"/>
        </w:rPr>
        <w:t>总体</w:t>
      </w:r>
      <w:r>
        <w:rPr>
          <w:rFonts w:hint="eastAsia" w:ascii="宋体" w:hAnsi="宋体"/>
          <w:color w:val="auto"/>
          <w:szCs w:val="21"/>
          <w:highlight w:val="none"/>
        </w:rPr>
        <w:t xml:space="preserve">布展策划方案并提交；（二）布展设计：布展策划方案经招标人确认后 </w:t>
      </w:r>
      <w:r>
        <w:rPr>
          <w:rFonts w:hint="eastAsia" w:ascii="宋体" w:hAnsi="宋体"/>
          <w:color w:val="auto"/>
          <w:szCs w:val="21"/>
          <w:highlight w:val="none"/>
          <w:lang w:val="en-US" w:eastAsia="zh-CN"/>
        </w:rPr>
        <w:t>10</w:t>
      </w:r>
      <w:r>
        <w:rPr>
          <w:rFonts w:hint="eastAsia" w:ascii="宋体" w:hAnsi="宋体"/>
          <w:color w:val="auto"/>
          <w:szCs w:val="21"/>
          <w:highlight w:val="none"/>
        </w:rPr>
        <w:t>个日历日 内提交布展设计方案、概算编制报告；</w:t>
      </w:r>
    </w:p>
    <w:p w14:paraId="4E686165">
      <w:pPr>
        <w:spacing w:line="360" w:lineRule="auto"/>
        <w:rPr>
          <w:rFonts w:hint="eastAsia" w:ascii="宋体" w:hAnsi="宋体"/>
          <w:color w:val="auto"/>
          <w:szCs w:val="21"/>
          <w:highlight w:val="none"/>
        </w:rPr>
      </w:pPr>
      <w:r>
        <w:rPr>
          <w:rFonts w:hint="eastAsia" w:ascii="宋体" w:hAnsi="宋体"/>
          <w:color w:val="auto"/>
          <w:szCs w:val="21"/>
          <w:highlight w:val="none"/>
        </w:rPr>
        <w:t xml:space="preserve">（三）施工图绘制：布展设计方案经招标人确认后 </w:t>
      </w:r>
      <w:r>
        <w:rPr>
          <w:rFonts w:hint="eastAsia" w:ascii="宋体" w:hAnsi="宋体"/>
          <w:color w:val="auto"/>
          <w:szCs w:val="21"/>
          <w:highlight w:val="none"/>
          <w:lang w:val="en-US" w:eastAsia="zh-CN"/>
        </w:rPr>
        <w:t>15</w:t>
      </w:r>
      <w:r>
        <w:rPr>
          <w:rFonts w:hint="eastAsia" w:ascii="宋体" w:hAnsi="宋体"/>
          <w:color w:val="auto"/>
          <w:szCs w:val="21"/>
          <w:highlight w:val="none"/>
        </w:rPr>
        <w:t>个日历日 内提交施工图绘制文件；（四）项目总工期：控制在</w:t>
      </w:r>
      <w:r>
        <w:rPr>
          <w:rFonts w:hint="eastAsia" w:ascii="宋体" w:hAnsi="宋体"/>
          <w:color w:val="auto"/>
          <w:szCs w:val="21"/>
          <w:highlight w:val="none"/>
          <w:lang w:val="en-US" w:eastAsia="zh-CN"/>
        </w:rPr>
        <w:t xml:space="preserve"> 65</w:t>
      </w:r>
      <w:r>
        <w:rPr>
          <w:rFonts w:hint="eastAsia" w:ascii="宋体" w:hAnsi="宋体"/>
          <w:color w:val="auto"/>
          <w:szCs w:val="21"/>
          <w:highlight w:val="none"/>
        </w:rPr>
        <w:t>个日历日 。</w:t>
      </w:r>
    </w:p>
    <w:p w14:paraId="6C95A89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本项目是否接受联合体投标：</w:t>
      </w:r>
      <w:r>
        <w:rPr>
          <w:rFonts w:hint="eastAsia" w:ascii="宋体" w:hAnsi="宋体"/>
          <w:color w:val="auto"/>
          <w:szCs w:val="21"/>
          <w:highlight w:val="none"/>
          <w:lang w:eastAsia="zh-CN"/>
        </w:rPr>
        <w:t>☑</w:t>
      </w:r>
      <w:r>
        <w:rPr>
          <w:rFonts w:hint="eastAsia" w:ascii="宋体" w:hAnsi="宋体"/>
          <w:color w:val="auto"/>
          <w:szCs w:val="21"/>
          <w:highlight w:val="none"/>
        </w:rPr>
        <w:t>是/</w:t>
      </w:r>
      <w:r>
        <w:rPr>
          <w:rFonts w:hint="eastAsia" w:ascii="宋体" w:hAnsi="宋体"/>
          <w:color w:val="auto"/>
          <w:szCs w:val="21"/>
          <w:highlight w:val="none"/>
          <w:lang w:eastAsia="zh-CN"/>
        </w:rPr>
        <w:t>□</w:t>
      </w:r>
      <w:r>
        <w:rPr>
          <w:rFonts w:hint="eastAsia" w:ascii="宋体" w:hAnsi="宋体"/>
          <w:color w:val="auto"/>
          <w:szCs w:val="21"/>
          <w:highlight w:val="none"/>
        </w:rPr>
        <w:t>否。</w:t>
      </w:r>
    </w:p>
    <w:p w14:paraId="6459E479">
      <w:pPr>
        <w:spacing w:line="360" w:lineRule="auto"/>
        <w:rPr>
          <w:rFonts w:hint="eastAsia" w:ascii="黑体" w:hAnsi="黑体" w:eastAsia="黑体"/>
          <w:b/>
          <w:bCs/>
          <w:color w:val="auto"/>
          <w:sz w:val="24"/>
          <w:highlight w:val="none"/>
        </w:rPr>
      </w:pPr>
      <w:bookmarkStart w:id="8" w:name="_Toc28359080"/>
      <w:bookmarkStart w:id="9" w:name="_Toc35393791"/>
      <w:bookmarkStart w:id="10" w:name="_Toc28359003"/>
      <w:bookmarkStart w:id="11" w:name="_Toc35393622"/>
      <w:r>
        <w:rPr>
          <w:rFonts w:hint="eastAsia" w:ascii="黑体" w:hAnsi="黑体" w:eastAsia="黑体"/>
          <w:b/>
          <w:bCs/>
          <w:color w:val="auto"/>
          <w:sz w:val="24"/>
          <w:highlight w:val="none"/>
        </w:rPr>
        <w:t>二、投标人的资格要求：</w:t>
      </w:r>
      <w:bookmarkEnd w:id="8"/>
      <w:bookmarkEnd w:id="9"/>
      <w:bookmarkEnd w:id="10"/>
      <w:bookmarkEnd w:id="11"/>
    </w:p>
    <w:p w14:paraId="3BC83DED">
      <w:pPr>
        <w:spacing w:line="360" w:lineRule="auto"/>
        <w:ind w:firstLine="420" w:firstLineChars="200"/>
        <w:rPr>
          <w:rFonts w:hint="eastAsia" w:ascii="宋体" w:hAnsi="宋体"/>
          <w:color w:val="auto"/>
          <w:szCs w:val="21"/>
          <w:highlight w:val="none"/>
        </w:rPr>
      </w:pPr>
      <w:bookmarkStart w:id="12" w:name="_Toc35393792"/>
      <w:bookmarkStart w:id="13" w:name="_Toc28359081"/>
      <w:bookmarkStart w:id="14" w:name="_Toc35393623"/>
      <w:bookmarkStart w:id="15" w:name="_Toc28359004"/>
      <w:r>
        <w:rPr>
          <w:rFonts w:hint="eastAsia" w:ascii="宋体" w:hAnsi="宋体"/>
          <w:color w:val="auto"/>
          <w:szCs w:val="21"/>
          <w:highlight w:val="none"/>
        </w:rPr>
        <w:t>1.满足《中华人民共和国政府采购法》第二十二条规定；</w:t>
      </w:r>
    </w:p>
    <w:p w14:paraId="7B40BB1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2.落实政府采购政策需满足的资格要求：</w:t>
      </w:r>
    </w:p>
    <w:p w14:paraId="00D0E2B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□专门面向中小企业采购的项目（供应商应为中小微企业、监狱企业、残疾人福利性单位)</w:t>
      </w:r>
    </w:p>
    <w:p w14:paraId="1818E2E9">
      <w:pPr>
        <w:spacing w:line="360" w:lineRule="auto"/>
        <w:ind w:firstLine="420" w:firstLineChars="200"/>
        <w:rPr>
          <w:rFonts w:hint="eastAsia" w:ascii="宋体" w:hAnsi="宋体"/>
          <w:color w:val="auto"/>
          <w:szCs w:val="21"/>
          <w:highlight w:val="none"/>
        </w:rPr>
      </w:pPr>
      <w:r>
        <w:rPr>
          <w:rFonts w:hint="eastAsia" w:ascii="MS Gothic" w:hAnsi="MS Gothic" w:eastAsia="MS Gothic" w:cs="MS Gothic"/>
          <w:color w:val="auto"/>
          <w:szCs w:val="21"/>
          <w:highlight w:val="none"/>
        </w:rPr>
        <w:t>☑</w:t>
      </w:r>
      <w:r>
        <w:rPr>
          <w:rFonts w:hint="eastAsia" w:ascii="宋体" w:hAnsi="宋体"/>
          <w:color w:val="auto"/>
          <w:szCs w:val="21"/>
          <w:highlight w:val="none"/>
        </w:rPr>
        <w:t>非专门面向中小企业采购的项目</w:t>
      </w:r>
    </w:p>
    <w:p w14:paraId="588EC46C">
      <w:pPr>
        <w:keepNext w:val="0"/>
        <w:keepLines w:val="0"/>
        <w:pageBreakBefore w:val="0"/>
        <w:widowControl w:val="0"/>
        <w:tabs>
          <w:tab w:val="left" w:pos="1440"/>
        </w:tabs>
        <w:kinsoku/>
        <w:wordWrap/>
        <w:overflowPunct/>
        <w:topLinePunct w:val="0"/>
        <w:autoSpaceDE/>
        <w:autoSpaceDN/>
        <w:bidi w:val="0"/>
        <w:snapToGrid/>
        <w:spacing w:line="520" w:lineRule="exact"/>
        <w:ind w:firstLine="420" w:firstLineChars="200"/>
        <w:jc w:val="left"/>
        <w:textAlignment w:val="auto"/>
        <w:rPr>
          <w:rFonts w:ascii="宋体" w:hAnsi="宋体" w:cs="Arial"/>
          <w:bCs/>
          <w:color w:val="auto"/>
          <w:kern w:val="0"/>
          <w:szCs w:val="21"/>
          <w:highlight w:val="none"/>
          <w:u w:val="single"/>
        </w:rPr>
      </w:pPr>
      <w:r>
        <w:rPr>
          <w:rFonts w:hint="eastAsia" w:ascii="宋体" w:hAnsi="宋体"/>
          <w:color w:val="auto"/>
          <w:szCs w:val="21"/>
          <w:highlight w:val="none"/>
        </w:rPr>
        <w:t>3.本项目的特定资格要求：</w:t>
      </w:r>
      <w:r>
        <w:rPr>
          <w:rFonts w:hint="eastAsia" w:ascii="宋体" w:hAnsi="宋体"/>
          <w:color w:val="auto"/>
          <w:szCs w:val="21"/>
          <w:highlight w:val="none"/>
          <w:u w:val="single"/>
        </w:rPr>
        <w:t>投标单位应具备：</w:t>
      </w:r>
      <w:r>
        <w:rPr>
          <w:rFonts w:hint="eastAsia" w:ascii="Arial" w:hAnsi="Arial" w:cs="Arial"/>
          <w:bCs/>
          <w:color w:val="auto"/>
          <w:kern w:val="0"/>
          <w:szCs w:val="21"/>
          <w:highlight w:val="none"/>
          <w:u w:val="single"/>
        </w:rPr>
        <w:t>（1）住房城乡建设主管部门颁发的工程设计综合</w:t>
      </w:r>
      <w:r>
        <w:rPr>
          <w:rFonts w:hint="eastAsia" w:ascii="Arial" w:hAnsi="Arial" w:cs="Arial"/>
          <w:bCs/>
          <w:color w:val="auto"/>
          <w:kern w:val="0"/>
          <w:szCs w:val="21"/>
          <w:highlight w:val="none"/>
          <w:u w:val="single"/>
          <w:lang w:val="en-US" w:eastAsia="zh-CN"/>
        </w:rPr>
        <w:t>甲</w:t>
      </w:r>
      <w:r>
        <w:rPr>
          <w:rFonts w:hint="eastAsia" w:ascii="Arial" w:hAnsi="Arial" w:cs="Arial"/>
          <w:bCs/>
          <w:color w:val="auto"/>
          <w:kern w:val="0"/>
          <w:szCs w:val="21"/>
          <w:highlight w:val="none"/>
          <w:u w:val="single"/>
        </w:rPr>
        <w:t>级资质或工程设计建筑行业乙级及以上资质或工程设计建筑行业（建筑工程专业）乙级及以上资质或建筑装饰工程设计专项乙级及以上资质；</w:t>
      </w:r>
      <w:r>
        <w:rPr>
          <w:rFonts w:hint="eastAsia" w:ascii="Arial" w:hAnsi="Arial" w:cs="Arial"/>
          <w:bCs/>
          <w:color w:val="auto"/>
          <w:kern w:val="0"/>
          <w:szCs w:val="21"/>
          <w:highlight w:val="none"/>
          <w:u w:val="single"/>
          <w:lang w:val="en-US" w:eastAsia="zh-CN"/>
        </w:rPr>
        <w:t>同时具备</w:t>
      </w:r>
      <w:r>
        <w:rPr>
          <w:rFonts w:hint="eastAsia" w:ascii="Arial" w:hAnsi="Arial" w:cs="Arial"/>
          <w:bCs/>
          <w:color w:val="auto"/>
          <w:kern w:val="0"/>
          <w:szCs w:val="21"/>
          <w:highlight w:val="none"/>
          <w:u w:val="single"/>
        </w:rPr>
        <w:t>（2）住房城乡建设主管部门颁发的建筑装修装饰工程专业承包二级及以上资质。</w:t>
      </w:r>
    </w:p>
    <w:p w14:paraId="6024290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 本项目的特定条件：无</w:t>
      </w:r>
    </w:p>
    <w:p w14:paraId="5565C991">
      <w:pPr>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5. 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72F7A49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6</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 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167E7FFB">
      <w:pPr>
        <w:spacing w:line="360" w:lineRule="auto"/>
        <w:rPr>
          <w:rFonts w:hint="eastAsia" w:ascii="黑体" w:hAnsi="黑体" w:eastAsia="黑体"/>
          <w:b/>
          <w:bCs/>
          <w:color w:val="auto"/>
          <w:sz w:val="24"/>
          <w:highlight w:val="none"/>
        </w:rPr>
      </w:pPr>
      <w:r>
        <w:rPr>
          <w:rFonts w:hint="eastAsia" w:ascii="黑体" w:hAnsi="黑体" w:eastAsia="黑体"/>
          <w:b/>
          <w:bCs/>
          <w:color w:val="auto"/>
          <w:sz w:val="24"/>
          <w:highlight w:val="none"/>
        </w:rPr>
        <w:t>三、获取招标文件</w:t>
      </w:r>
      <w:bookmarkEnd w:id="12"/>
      <w:bookmarkEnd w:id="13"/>
      <w:bookmarkEnd w:id="14"/>
      <w:bookmarkEnd w:id="15"/>
    </w:p>
    <w:p w14:paraId="3EA1EFB7">
      <w:pPr>
        <w:snapToGrid w:val="0"/>
        <w:spacing w:line="360" w:lineRule="auto"/>
        <w:ind w:firstLine="472" w:firstLineChars="225"/>
        <w:rPr>
          <w:rFonts w:hint="eastAsia" w:ascii="宋体" w:hAnsi="宋体"/>
          <w:color w:val="auto"/>
          <w:szCs w:val="21"/>
          <w:highlight w:val="none"/>
        </w:rPr>
      </w:pPr>
      <w:bookmarkStart w:id="16" w:name="_Toc28359082"/>
      <w:bookmarkStart w:id="17" w:name="_Toc28359005"/>
      <w:bookmarkStart w:id="18" w:name="_Toc35393624"/>
      <w:bookmarkStart w:id="19" w:name="_Toc35393793"/>
      <w:r>
        <w:rPr>
          <w:rFonts w:hint="eastAsia" w:ascii="宋体" w:hAnsi="宋体"/>
          <w:color w:val="auto"/>
          <w:szCs w:val="21"/>
          <w:highlight w:val="none"/>
        </w:rPr>
        <w:t>时间：/至</w:t>
      </w:r>
      <w:r>
        <w:rPr>
          <w:rFonts w:hint="eastAsia" w:ascii="宋体" w:hAnsi="宋体"/>
          <w:color w:val="0000FF"/>
          <w:szCs w:val="21"/>
          <w:highlight w:val="none"/>
        </w:rPr>
        <w:t xml:space="preserve">2026年 </w:t>
      </w:r>
      <w:r>
        <w:rPr>
          <w:rFonts w:hint="eastAsia" w:ascii="宋体" w:hAnsi="宋体"/>
          <w:color w:val="0000FF"/>
          <w:szCs w:val="21"/>
          <w:highlight w:val="none"/>
          <w:lang w:val="en-US" w:eastAsia="zh-CN"/>
        </w:rPr>
        <w:t>7</w:t>
      </w:r>
      <w:r>
        <w:rPr>
          <w:rFonts w:hint="eastAsia" w:ascii="宋体" w:hAnsi="宋体"/>
          <w:color w:val="0000FF"/>
          <w:szCs w:val="21"/>
          <w:highlight w:val="none"/>
        </w:rPr>
        <w:t xml:space="preserve"> 月</w:t>
      </w:r>
      <w:r>
        <w:rPr>
          <w:rFonts w:hint="eastAsia" w:ascii="宋体" w:hAnsi="宋体"/>
          <w:color w:val="0000FF"/>
          <w:szCs w:val="21"/>
          <w:highlight w:val="none"/>
          <w:lang w:val="en-US" w:eastAsia="zh-CN"/>
        </w:rPr>
        <w:t>7</w:t>
      </w:r>
      <w:r>
        <w:rPr>
          <w:rFonts w:hint="eastAsia" w:ascii="宋体" w:hAnsi="宋体"/>
          <w:color w:val="0000FF"/>
          <w:szCs w:val="21"/>
          <w:highlight w:val="none"/>
        </w:rPr>
        <w:t>日 </w:t>
      </w:r>
      <w:r>
        <w:rPr>
          <w:rFonts w:hint="eastAsia" w:ascii="宋体" w:hAnsi="宋体"/>
          <w:color w:val="auto"/>
          <w:szCs w:val="21"/>
          <w:highlight w:val="none"/>
        </w:rPr>
        <w:t>，每天上午00:00至12:00 ，下午12:00至23:59（北京时间，法定节假日除外）</w:t>
      </w:r>
    </w:p>
    <w:p w14:paraId="7AE62035">
      <w:pPr>
        <w:snapToGrid w:val="0"/>
        <w:spacing w:line="360" w:lineRule="auto"/>
        <w:ind w:firstLine="472" w:firstLineChars="225"/>
        <w:rPr>
          <w:rFonts w:hint="eastAsia" w:ascii="宋体" w:hAnsi="宋体"/>
          <w:color w:val="auto"/>
          <w:szCs w:val="21"/>
          <w:highlight w:val="none"/>
        </w:rPr>
      </w:pPr>
      <w:r>
        <w:rPr>
          <w:rFonts w:hint="eastAsia" w:ascii="宋体" w:hAnsi="宋体"/>
          <w:color w:val="auto"/>
          <w:szCs w:val="21"/>
          <w:highlight w:val="none"/>
        </w:rPr>
        <w:t>地点（网址）：广西政府采购云平台线上获取 </w:t>
      </w:r>
    </w:p>
    <w:p w14:paraId="5502130F">
      <w:pPr>
        <w:snapToGrid w:val="0"/>
        <w:spacing w:line="360" w:lineRule="auto"/>
        <w:ind w:firstLine="472" w:firstLineChars="225"/>
        <w:rPr>
          <w:rFonts w:hint="eastAsia" w:ascii="宋体" w:hAnsi="宋体"/>
          <w:color w:val="auto"/>
          <w:szCs w:val="21"/>
          <w:highlight w:val="none"/>
        </w:rPr>
      </w:pPr>
      <w:r>
        <w:rPr>
          <w:rFonts w:hint="eastAsia" w:ascii="宋体" w:hAnsi="宋体"/>
          <w:color w:val="auto"/>
          <w:szCs w:val="21"/>
          <w:highlight w:val="none"/>
        </w:rPr>
        <w:t>方式：供应商登录广西政府采购云平台https://www.gcy.zfcg.gxzf.gov.cn/在线申请获取采购文件（进入“项目采购”应用，在获取采购文件菜单中选择项目，申请获取采购文件） </w:t>
      </w:r>
    </w:p>
    <w:p w14:paraId="05B65CF0">
      <w:pPr>
        <w:snapToGrid w:val="0"/>
        <w:spacing w:line="360" w:lineRule="auto"/>
        <w:ind w:firstLine="472" w:firstLineChars="225"/>
        <w:rPr>
          <w:rFonts w:hint="eastAsia" w:ascii="宋体" w:hAnsi="宋体"/>
          <w:color w:val="auto"/>
          <w:szCs w:val="21"/>
          <w:highlight w:val="none"/>
        </w:rPr>
      </w:pPr>
      <w:r>
        <w:rPr>
          <w:rFonts w:hint="eastAsia" w:ascii="宋体" w:hAnsi="宋体"/>
          <w:color w:val="auto"/>
          <w:szCs w:val="21"/>
          <w:highlight w:val="none"/>
        </w:rPr>
        <w:t>售价（元）：0</w:t>
      </w:r>
    </w:p>
    <w:p w14:paraId="0BA50A03">
      <w:pPr>
        <w:spacing w:line="360" w:lineRule="auto"/>
        <w:rPr>
          <w:rFonts w:hint="eastAsia" w:ascii="宋体" w:hAnsi="宋体"/>
          <w:bCs/>
          <w:color w:val="auto"/>
          <w:szCs w:val="21"/>
          <w:highlight w:val="none"/>
        </w:rPr>
      </w:pPr>
      <w:r>
        <w:rPr>
          <w:rFonts w:hint="eastAsia" w:ascii="黑体" w:hAnsi="黑体" w:eastAsia="黑体"/>
          <w:b/>
          <w:bCs/>
          <w:color w:val="auto"/>
          <w:sz w:val="24"/>
          <w:highlight w:val="none"/>
        </w:rPr>
        <w:t>四、提交投标文件</w:t>
      </w:r>
      <w:bookmarkEnd w:id="16"/>
      <w:bookmarkEnd w:id="17"/>
      <w:r>
        <w:rPr>
          <w:rFonts w:hint="eastAsia" w:ascii="黑体" w:hAnsi="黑体" w:eastAsia="黑体"/>
          <w:b/>
          <w:bCs/>
          <w:color w:val="auto"/>
          <w:sz w:val="24"/>
          <w:highlight w:val="none"/>
        </w:rPr>
        <w:t>截止时间、开标时间和地点</w:t>
      </w:r>
      <w:bookmarkEnd w:id="18"/>
      <w:bookmarkEnd w:id="19"/>
    </w:p>
    <w:p w14:paraId="4D38C58E">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提交投标文件截止时间</w:t>
      </w:r>
      <w:r>
        <w:rPr>
          <w:rFonts w:hint="eastAsia" w:ascii="宋体" w:hAnsi="宋体"/>
          <w:bCs/>
          <w:color w:val="0000FF"/>
          <w:szCs w:val="21"/>
          <w:highlight w:val="none"/>
        </w:rPr>
        <w:t xml:space="preserve">：2026年 </w:t>
      </w:r>
      <w:r>
        <w:rPr>
          <w:rFonts w:hint="eastAsia" w:ascii="宋体" w:hAnsi="宋体"/>
          <w:bCs/>
          <w:color w:val="0000FF"/>
          <w:szCs w:val="21"/>
          <w:highlight w:val="none"/>
          <w:lang w:val="en-US" w:eastAsia="zh-CN"/>
        </w:rPr>
        <w:t xml:space="preserve"> 7</w:t>
      </w:r>
      <w:r>
        <w:rPr>
          <w:rFonts w:hint="eastAsia" w:ascii="宋体" w:hAnsi="宋体"/>
          <w:bCs/>
          <w:color w:val="0000FF"/>
          <w:szCs w:val="21"/>
          <w:highlight w:val="none"/>
        </w:rPr>
        <w:t xml:space="preserve"> 月</w:t>
      </w:r>
      <w:r>
        <w:rPr>
          <w:rFonts w:hint="eastAsia" w:ascii="宋体" w:hAnsi="宋体"/>
          <w:bCs/>
          <w:color w:val="0000FF"/>
          <w:szCs w:val="21"/>
          <w:highlight w:val="none"/>
          <w:lang w:val="en-US" w:eastAsia="zh-CN"/>
        </w:rPr>
        <w:t xml:space="preserve"> 7 </w:t>
      </w:r>
      <w:r>
        <w:rPr>
          <w:rFonts w:hint="eastAsia" w:ascii="宋体" w:hAnsi="宋体"/>
          <w:bCs/>
          <w:color w:val="0000FF"/>
          <w:szCs w:val="21"/>
          <w:highlight w:val="none"/>
        </w:rPr>
        <w:t>日</w:t>
      </w:r>
      <w:r>
        <w:rPr>
          <w:rFonts w:hint="eastAsia" w:ascii="宋体" w:hAnsi="宋体"/>
          <w:bCs/>
          <w:color w:val="auto"/>
          <w:szCs w:val="21"/>
          <w:highlight w:val="none"/>
        </w:rPr>
        <w:t xml:space="preserve"> 09:30（北京时间）</w:t>
      </w:r>
    </w:p>
    <w:p w14:paraId="5C0D6664">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投标地点（网址）：请登录广西政府采购云平台投标客户端投标 </w:t>
      </w:r>
    </w:p>
    <w:p w14:paraId="216D92D7">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开标时间：</w:t>
      </w:r>
      <w:r>
        <w:rPr>
          <w:rFonts w:hint="eastAsia" w:ascii="宋体" w:hAnsi="宋体"/>
          <w:bCs/>
          <w:color w:val="0000FF"/>
          <w:szCs w:val="21"/>
          <w:highlight w:val="none"/>
        </w:rPr>
        <w:t xml:space="preserve">2026年 </w:t>
      </w:r>
      <w:r>
        <w:rPr>
          <w:rFonts w:hint="eastAsia" w:ascii="宋体" w:hAnsi="宋体"/>
          <w:bCs/>
          <w:color w:val="0000FF"/>
          <w:szCs w:val="21"/>
          <w:highlight w:val="none"/>
          <w:lang w:val="en-US" w:eastAsia="zh-CN"/>
        </w:rPr>
        <w:t xml:space="preserve"> 7  </w:t>
      </w:r>
      <w:r>
        <w:rPr>
          <w:rFonts w:hint="eastAsia" w:ascii="宋体" w:hAnsi="宋体"/>
          <w:bCs/>
          <w:color w:val="0000FF"/>
          <w:szCs w:val="21"/>
          <w:highlight w:val="none"/>
        </w:rPr>
        <w:t>月</w:t>
      </w:r>
      <w:r>
        <w:rPr>
          <w:rFonts w:hint="eastAsia" w:ascii="宋体" w:hAnsi="宋体"/>
          <w:bCs/>
          <w:color w:val="0000FF"/>
          <w:szCs w:val="21"/>
          <w:highlight w:val="none"/>
          <w:lang w:val="en-US" w:eastAsia="zh-CN"/>
        </w:rPr>
        <w:t xml:space="preserve"> 7</w:t>
      </w:r>
      <w:r>
        <w:rPr>
          <w:rFonts w:hint="eastAsia" w:ascii="宋体" w:hAnsi="宋体"/>
          <w:bCs/>
          <w:color w:val="0000FF"/>
          <w:szCs w:val="21"/>
          <w:highlight w:val="none"/>
        </w:rPr>
        <w:t xml:space="preserve"> 日</w:t>
      </w:r>
      <w:r>
        <w:rPr>
          <w:rFonts w:hint="eastAsia" w:ascii="宋体" w:hAnsi="宋体"/>
          <w:bCs/>
          <w:color w:val="auto"/>
          <w:szCs w:val="21"/>
          <w:highlight w:val="none"/>
        </w:rPr>
        <w:t xml:space="preserve"> 09:30 </w:t>
      </w:r>
    </w:p>
    <w:p w14:paraId="34A4C16F">
      <w:pPr>
        <w:spacing w:line="360" w:lineRule="auto"/>
        <w:ind w:firstLine="420" w:firstLineChars="200"/>
        <w:rPr>
          <w:rFonts w:hint="eastAsia" w:ascii="宋体" w:hAnsi="宋体" w:cs="宋体"/>
          <w:color w:val="auto"/>
          <w:kern w:val="0"/>
          <w:szCs w:val="21"/>
          <w:highlight w:val="none"/>
        </w:rPr>
      </w:pPr>
      <w:r>
        <w:rPr>
          <w:rFonts w:hint="eastAsia" w:ascii="宋体" w:hAnsi="宋体"/>
          <w:bCs/>
          <w:color w:val="auto"/>
          <w:szCs w:val="21"/>
          <w:highlight w:val="none"/>
        </w:rPr>
        <w:t>开标地点：本次招标将在广西政府采购云平台电子开标大厅开标。</w:t>
      </w:r>
    </w:p>
    <w:p w14:paraId="00208844">
      <w:pPr>
        <w:spacing w:line="360" w:lineRule="auto"/>
        <w:rPr>
          <w:rFonts w:hint="eastAsia" w:ascii="黑体" w:hAnsi="黑体" w:eastAsia="黑体"/>
          <w:b/>
          <w:bCs/>
          <w:color w:val="auto"/>
          <w:sz w:val="24"/>
          <w:highlight w:val="none"/>
        </w:rPr>
      </w:pPr>
      <w:bookmarkStart w:id="20" w:name="_Toc28359084"/>
      <w:bookmarkStart w:id="21" w:name="_Toc35393794"/>
      <w:bookmarkStart w:id="22" w:name="_Toc35393625"/>
      <w:bookmarkStart w:id="23" w:name="_Toc28359007"/>
      <w:r>
        <w:rPr>
          <w:rFonts w:hint="eastAsia" w:ascii="黑体" w:hAnsi="黑体" w:eastAsia="黑体"/>
          <w:b/>
          <w:bCs/>
          <w:color w:val="auto"/>
          <w:sz w:val="24"/>
          <w:highlight w:val="none"/>
        </w:rPr>
        <w:t>五、公告期限</w:t>
      </w:r>
      <w:bookmarkEnd w:id="20"/>
      <w:bookmarkEnd w:id="21"/>
      <w:bookmarkEnd w:id="22"/>
      <w:bookmarkEnd w:id="23"/>
    </w:p>
    <w:p w14:paraId="36101115">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自本公告发布之日起5个工作日。</w:t>
      </w:r>
    </w:p>
    <w:p w14:paraId="40277C8F">
      <w:pPr>
        <w:spacing w:line="360" w:lineRule="auto"/>
        <w:rPr>
          <w:rFonts w:hint="eastAsia" w:ascii="黑体" w:hAnsi="黑体" w:eastAsia="黑体"/>
          <w:b/>
          <w:bCs/>
          <w:color w:val="auto"/>
          <w:sz w:val="24"/>
          <w:highlight w:val="none"/>
        </w:rPr>
      </w:pPr>
      <w:bookmarkStart w:id="24" w:name="_Toc35393795"/>
      <w:bookmarkStart w:id="25" w:name="_Toc35393626"/>
      <w:r>
        <w:rPr>
          <w:rFonts w:hint="eastAsia" w:ascii="黑体" w:hAnsi="黑体" w:eastAsia="黑体"/>
          <w:b/>
          <w:bCs/>
          <w:color w:val="auto"/>
          <w:sz w:val="24"/>
          <w:highlight w:val="none"/>
        </w:rPr>
        <w:t>六、其他补充事宜</w:t>
      </w:r>
      <w:bookmarkEnd w:id="24"/>
      <w:bookmarkEnd w:id="25"/>
    </w:p>
    <w:p w14:paraId="0A22349C">
      <w:pPr>
        <w:spacing w:line="360" w:lineRule="auto"/>
        <w:ind w:firstLine="315" w:firstLineChars="150"/>
        <w:rPr>
          <w:rFonts w:hint="eastAsia" w:ascii="宋体" w:hAnsi="宋体" w:cs="宋体"/>
          <w:color w:val="auto"/>
          <w:kern w:val="0"/>
          <w:szCs w:val="21"/>
          <w:highlight w:val="none"/>
        </w:rPr>
      </w:pPr>
      <w:r>
        <w:rPr>
          <w:rFonts w:hint="eastAsia" w:ascii="宋体" w:hAnsi="宋体" w:cs="宋体"/>
          <w:color w:val="auto"/>
          <w:kern w:val="0"/>
          <w:szCs w:val="21"/>
          <w:highlight w:val="none"/>
        </w:rPr>
        <w:t>1.投标保证金：本项目不收取投标保证金</w:t>
      </w:r>
    </w:p>
    <w:p w14:paraId="2ADC07E6">
      <w:pPr>
        <w:spacing w:line="360" w:lineRule="auto"/>
        <w:ind w:firstLine="315" w:firstLineChars="150"/>
        <w:rPr>
          <w:rFonts w:hint="eastAsia" w:ascii="宋体" w:hAnsi="宋体" w:cs="宋体"/>
          <w:color w:val="auto"/>
          <w:kern w:val="0"/>
          <w:szCs w:val="21"/>
          <w:highlight w:val="none"/>
          <w:u w:val="single"/>
        </w:rPr>
      </w:pPr>
      <w:r>
        <w:rPr>
          <w:rFonts w:hint="eastAsia" w:ascii="宋体" w:hAnsi="宋体" w:cs="宋体"/>
          <w:color w:val="auto"/>
          <w:kern w:val="0"/>
          <w:szCs w:val="21"/>
          <w:highlight w:val="none"/>
        </w:rPr>
        <w:t>2.采购意向公开链接：</w:t>
      </w:r>
      <w:bookmarkStart w:id="26" w:name="PO_3000001866_PM100"/>
    </w:p>
    <w:tbl>
      <w:tblPr>
        <w:tblStyle w:val="33"/>
        <w:tblW w:w="5000" w:type="pct"/>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14:paraId="6F49C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top"/>
          </w:tcPr>
          <w:p w14:paraId="06F4C2A5">
            <w:pPr>
              <w:keepNext w:val="0"/>
              <w:keepLines w:val="0"/>
              <w:suppressLineNumbers w:val="0"/>
              <w:spacing w:before="0" w:beforeAutospacing="0" w:after="0" w:afterAutospacing="0" w:line="360" w:lineRule="auto"/>
              <w:ind w:left="0" w:right="0"/>
              <w:rPr>
                <w:rFonts w:hint="default" w:ascii="宋体" w:hAnsi="宋体" w:cs="宋体"/>
                <w:color w:val="auto"/>
                <w:kern w:val="0"/>
                <w:szCs w:val="21"/>
                <w:highlight w:val="none"/>
                <w:u w:val="single"/>
              </w:rPr>
            </w:pPr>
            <w:r>
              <w:rPr>
                <w:rFonts w:hint="eastAsia" w:ascii="宋体" w:hAnsi="宋体" w:cs="宋体"/>
                <w:color w:val="auto"/>
                <w:kern w:val="0"/>
                <w:szCs w:val="21"/>
                <w:highlight w:val="none"/>
                <w:u w:val="single"/>
              </w:rPr>
              <w:t>采购意向公示链接</w:t>
            </w:r>
          </w:p>
        </w:tc>
      </w:tr>
      <w:tr w14:paraId="43456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top"/>
          </w:tcPr>
          <w:p w14:paraId="03CE358A">
            <w:pPr>
              <w:keepNext w:val="0"/>
              <w:keepLines w:val="0"/>
              <w:suppressLineNumbers w:val="0"/>
              <w:spacing w:before="0" w:beforeAutospacing="0" w:after="0" w:afterAutospacing="0" w:line="360" w:lineRule="auto"/>
              <w:ind w:left="0" w:right="0"/>
              <w:rPr>
                <w:rFonts w:hint="default" w:ascii="宋体" w:hAnsi="宋体" w:cs="宋体"/>
                <w:color w:val="auto"/>
                <w:kern w:val="0"/>
                <w:szCs w:val="21"/>
                <w:highlight w:val="none"/>
                <w:u w:val="single"/>
              </w:rPr>
            </w:pPr>
            <w:r>
              <w:rPr>
                <w:rFonts w:hint="eastAsia" w:ascii="宋体" w:hAnsi="宋体" w:cs="宋体"/>
                <w:color w:val="auto"/>
                <w:kern w:val="0"/>
                <w:szCs w:val="21"/>
                <w:highlight w:val="none"/>
                <w:u w:val="single"/>
              </w:rPr>
              <w:t>https://zfcg.gxzf.gov.cn/site/detail?categoryCode=ZcyAnnouncement&amp;parentId=66485&amp;articleId=H7Rgl319C7Xxnxlml51QtQ==</w:t>
            </w:r>
          </w:p>
        </w:tc>
      </w:tr>
      <w:bookmarkEnd w:id="26"/>
    </w:tbl>
    <w:p w14:paraId="014FBB4A">
      <w:pPr>
        <w:spacing w:line="360" w:lineRule="auto"/>
        <w:ind w:firstLine="315" w:firstLineChars="150"/>
        <w:rPr>
          <w:rFonts w:hint="eastAsia" w:ascii="宋体" w:hAnsi="宋体" w:cs="宋体"/>
          <w:color w:val="auto"/>
          <w:kern w:val="0"/>
          <w:szCs w:val="21"/>
          <w:highlight w:val="none"/>
        </w:rPr>
      </w:pPr>
      <w:bookmarkStart w:id="27" w:name="_Hlk37429585"/>
      <w:r>
        <w:rPr>
          <w:rFonts w:hint="eastAsia" w:ascii="宋体" w:hAnsi="宋体" w:cs="宋体"/>
          <w:color w:val="auto"/>
          <w:kern w:val="0"/>
          <w:szCs w:val="21"/>
          <w:highlight w:val="none"/>
        </w:rPr>
        <w:t>3.</w:t>
      </w:r>
      <w:bookmarkStart w:id="28" w:name="_Hlk37429595"/>
      <w:r>
        <w:rPr>
          <w:rFonts w:hint="eastAsia" w:ascii="宋体" w:hAnsi="宋体" w:cs="宋体"/>
          <w:color w:val="auto"/>
          <w:kern w:val="0"/>
          <w:szCs w:val="21"/>
          <w:highlight w:val="none"/>
        </w:rPr>
        <w:t>网上查询地址</w:t>
      </w:r>
    </w:p>
    <w:bookmarkEnd w:id="27"/>
    <w:bookmarkEnd w:id="28"/>
    <w:p w14:paraId="2BDF1470">
      <w:pPr>
        <w:spacing w:line="360" w:lineRule="auto"/>
        <w:ind w:firstLine="420" w:firstLineChars="200"/>
        <w:rPr>
          <w:rFonts w:hint="eastAsia" w:ascii="宋体" w:hAnsi="宋体" w:cs="宋体"/>
          <w:color w:val="auto"/>
          <w:kern w:val="0"/>
          <w:szCs w:val="21"/>
          <w:highlight w:val="none"/>
        </w:rPr>
      </w:pPr>
      <w:bookmarkStart w:id="29" w:name="_Hlk37429674"/>
      <w:r>
        <w:rPr>
          <w:rFonts w:hint="eastAsia" w:ascii="宋体" w:hAnsi="宋体" w:cs="宋体"/>
          <w:color w:val="auto"/>
          <w:kern w:val="0"/>
          <w:szCs w:val="21"/>
          <w:highlight w:val="none"/>
        </w:rPr>
        <w:t>http://www.ccgp.gov.cn （中国政府采购网）,http://zfcg.gxzf.gov.cn （广西政府采购网）  http://ggzy.jgswj.gxzf.gov.cn/nnggzy【全国公共资源交易平台（广西.南宁）】。</w:t>
      </w:r>
    </w:p>
    <w:p w14:paraId="614AA714">
      <w:pPr>
        <w:spacing w:line="360" w:lineRule="auto"/>
        <w:ind w:firstLine="315" w:firstLineChars="150"/>
        <w:rPr>
          <w:rFonts w:hint="eastAsia" w:ascii="宋体" w:hAnsi="宋体" w:cs="宋体"/>
          <w:color w:val="auto"/>
          <w:kern w:val="0"/>
          <w:szCs w:val="21"/>
          <w:highlight w:val="none"/>
        </w:rPr>
      </w:pPr>
      <w:r>
        <w:rPr>
          <w:rFonts w:hint="eastAsia" w:ascii="宋体" w:hAnsi="宋体"/>
          <w:color w:val="auto"/>
          <w:szCs w:val="21"/>
          <w:highlight w:val="none"/>
        </w:rPr>
        <w:t>4.</w:t>
      </w:r>
      <w:r>
        <w:rPr>
          <w:rFonts w:hint="eastAsia" w:ascii="宋体" w:hAnsi="宋体" w:cs="宋体"/>
          <w:color w:val="auto"/>
          <w:kern w:val="0"/>
          <w:szCs w:val="21"/>
          <w:highlight w:val="none"/>
        </w:rPr>
        <w:t>本项目需要落实的政府采购政策：</w:t>
      </w:r>
    </w:p>
    <w:p w14:paraId="2823E476">
      <w:pPr>
        <w:spacing w:line="360" w:lineRule="auto"/>
        <w:ind w:firstLine="315" w:firstLineChars="150"/>
        <w:rPr>
          <w:rFonts w:hint="eastAsia" w:ascii="宋体" w:hAnsi="宋体" w:cs="宋体"/>
          <w:color w:val="auto"/>
          <w:kern w:val="0"/>
          <w:szCs w:val="21"/>
          <w:highlight w:val="none"/>
        </w:rPr>
      </w:pPr>
      <w:r>
        <w:rPr>
          <w:rFonts w:hint="eastAsia" w:ascii="宋体" w:hAnsi="宋体" w:cs="宋体"/>
          <w:color w:val="auto"/>
          <w:kern w:val="0"/>
          <w:szCs w:val="21"/>
          <w:highlight w:val="none"/>
        </w:rPr>
        <w:t>（1）政府采购促进中小企业发展。</w:t>
      </w:r>
    </w:p>
    <w:p w14:paraId="49B8F137">
      <w:pPr>
        <w:spacing w:line="360" w:lineRule="auto"/>
        <w:ind w:firstLine="315" w:firstLineChars="150"/>
        <w:rPr>
          <w:rFonts w:hint="eastAsia" w:ascii="宋体" w:hAnsi="宋体" w:cs="宋体"/>
          <w:color w:val="auto"/>
          <w:kern w:val="0"/>
          <w:szCs w:val="21"/>
          <w:highlight w:val="none"/>
        </w:rPr>
      </w:pPr>
      <w:r>
        <w:rPr>
          <w:rFonts w:hint="eastAsia" w:ascii="宋体" w:hAnsi="宋体" w:cs="宋体"/>
          <w:color w:val="auto"/>
          <w:kern w:val="0"/>
          <w:szCs w:val="21"/>
          <w:highlight w:val="none"/>
        </w:rPr>
        <w:t>（2）政府采购支持采用本国产品的政策。</w:t>
      </w:r>
    </w:p>
    <w:p w14:paraId="1E607292">
      <w:pPr>
        <w:spacing w:line="360" w:lineRule="auto"/>
        <w:ind w:firstLine="315" w:firstLineChars="150"/>
        <w:rPr>
          <w:rFonts w:hint="eastAsia" w:ascii="宋体" w:hAnsi="宋体" w:cs="宋体"/>
          <w:color w:val="auto"/>
          <w:kern w:val="0"/>
          <w:szCs w:val="21"/>
          <w:highlight w:val="none"/>
        </w:rPr>
      </w:pPr>
      <w:r>
        <w:rPr>
          <w:rFonts w:hint="eastAsia" w:ascii="宋体" w:hAnsi="宋体" w:cs="宋体"/>
          <w:color w:val="auto"/>
          <w:kern w:val="0"/>
          <w:szCs w:val="21"/>
          <w:highlight w:val="none"/>
        </w:rPr>
        <w:t>（3）强制采购节能产品；优先采购节能产品、环境标志产品。</w:t>
      </w:r>
    </w:p>
    <w:p w14:paraId="04652D23">
      <w:pPr>
        <w:spacing w:line="360" w:lineRule="auto"/>
        <w:ind w:firstLine="315" w:firstLineChars="150"/>
        <w:rPr>
          <w:rFonts w:hint="eastAsia" w:ascii="宋体" w:hAnsi="宋体" w:cs="宋体"/>
          <w:color w:val="auto"/>
          <w:kern w:val="0"/>
          <w:szCs w:val="21"/>
          <w:highlight w:val="none"/>
        </w:rPr>
      </w:pPr>
      <w:r>
        <w:rPr>
          <w:rFonts w:hint="eastAsia" w:ascii="宋体" w:hAnsi="宋体" w:cs="宋体"/>
          <w:color w:val="auto"/>
          <w:kern w:val="0"/>
          <w:szCs w:val="21"/>
          <w:highlight w:val="none"/>
        </w:rPr>
        <w:t>（4）政府采购促进残疾人就业政策。</w:t>
      </w:r>
    </w:p>
    <w:p w14:paraId="61C93C00">
      <w:pPr>
        <w:spacing w:line="360" w:lineRule="auto"/>
        <w:ind w:firstLine="315" w:firstLineChars="150"/>
        <w:rPr>
          <w:rFonts w:hint="eastAsia" w:ascii="宋体" w:hAnsi="宋体" w:cs="宋体"/>
          <w:color w:val="auto"/>
          <w:kern w:val="0"/>
          <w:szCs w:val="21"/>
          <w:highlight w:val="none"/>
        </w:rPr>
      </w:pPr>
      <w:r>
        <w:rPr>
          <w:rFonts w:hint="eastAsia" w:ascii="宋体" w:hAnsi="宋体" w:cs="宋体"/>
          <w:color w:val="auto"/>
          <w:kern w:val="0"/>
          <w:szCs w:val="21"/>
          <w:highlight w:val="none"/>
        </w:rPr>
        <w:t>（5）政府采购支持监狱企业发展。</w:t>
      </w:r>
    </w:p>
    <w:bookmarkEnd w:id="29"/>
    <w:p w14:paraId="4B4BC06B">
      <w:pPr>
        <w:spacing w:line="360" w:lineRule="auto"/>
        <w:ind w:firstLine="315" w:firstLineChars="150"/>
        <w:rPr>
          <w:rFonts w:hint="eastAsia" w:ascii="宋体" w:hAnsi="宋体" w:cs="宋体"/>
          <w:color w:val="auto"/>
          <w:kern w:val="0"/>
          <w:szCs w:val="21"/>
          <w:highlight w:val="none"/>
        </w:rPr>
      </w:pPr>
      <w:r>
        <w:rPr>
          <w:rFonts w:hint="eastAsia" w:ascii="宋体" w:hAnsi="宋体" w:cs="宋体"/>
          <w:color w:val="auto"/>
          <w:kern w:val="0"/>
          <w:szCs w:val="21"/>
          <w:highlight w:val="none"/>
        </w:rPr>
        <w:t>5.供应商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14:paraId="5B616356">
      <w:pPr>
        <w:spacing w:line="360" w:lineRule="auto"/>
        <w:ind w:firstLine="315" w:firstLineChars="150"/>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6. </w:t>
      </w:r>
      <w:bookmarkStart w:id="30" w:name="_Toc28359085"/>
      <w:bookmarkStart w:id="31" w:name="_Toc35393627"/>
      <w:bookmarkStart w:id="32" w:name="_Toc28359008"/>
      <w:bookmarkStart w:id="33" w:name="_Toc35393796"/>
      <w:r>
        <w:rPr>
          <w:rFonts w:hint="eastAsia" w:ascii="宋体" w:hAnsi="宋体" w:cs="宋体"/>
          <w:color w:val="auto"/>
          <w:kern w:val="0"/>
          <w:szCs w:val="21"/>
          <w:highlight w:val="none"/>
        </w:rPr>
        <w:t>若对项目采购电子交易系统操作有疑问，可登录广西政府采购云平台（https://www.gcy.zfcg.gxzf.gov.cn），点击右侧咨询小采，获取采小蜜智能服务管家帮助，或拨打政采云服务热线95763获取热线服务帮助。</w:t>
      </w:r>
    </w:p>
    <w:p w14:paraId="773585FC">
      <w:pPr>
        <w:spacing w:line="360" w:lineRule="auto"/>
        <w:rPr>
          <w:rFonts w:hint="eastAsia" w:ascii="黑体" w:hAnsi="黑体" w:eastAsia="黑体"/>
          <w:b/>
          <w:bCs/>
          <w:color w:val="auto"/>
          <w:sz w:val="24"/>
          <w:highlight w:val="none"/>
        </w:rPr>
      </w:pPr>
      <w:r>
        <w:rPr>
          <w:rFonts w:hint="eastAsia" w:ascii="黑体" w:hAnsi="黑体" w:eastAsia="黑体"/>
          <w:b/>
          <w:bCs/>
          <w:color w:val="auto"/>
          <w:sz w:val="24"/>
          <w:highlight w:val="none"/>
        </w:rPr>
        <w:t>七、对本次招标提出询问，请按以下方式联系。</w:t>
      </w:r>
      <w:bookmarkEnd w:id="30"/>
      <w:bookmarkEnd w:id="31"/>
      <w:bookmarkEnd w:id="32"/>
      <w:bookmarkEnd w:id="33"/>
    </w:p>
    <w:p w14:paraId="61E1C0ED">
      <w:pPr>
        <w:spacing w:line="360" w:lineRule="auto"/>
        <w:jc w:val="left"/>
        <w:rPr>
          <w:rFonts w:hint="eastAsia" w:ascii="宋体" w:hAnsi="宋体"/>
          <w:color w:val="auto"/>
          <w:szCs w:val="21"/>
          <w:highlight w:val="none"/>
        </w:rPr>
      </w:pPr>
      <w:r>
        <w:rPr>
          <w:rFonts w:hint="eastAsia" w:ascii="宋体" w:hAnsi="宋体" w:cs="宋体"/>
          <w:color w:val="auto"/>
          <w:szCs w:val="21"/>
          <w:highlight w:val="none"/>
        </w:rPr>
        <w:t>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1.采购人信息</w:t>
      </w:r>
    </w:p>
    <w:p w14:paraId="3C6C749A">
      <w:pPr>
        <w:spacing w:line="360" w:lineRule="auto"/>
        <w:ind w:firstLine="735" w:firstLineChars="35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名称：南宁市城市规划展示馆  </w:t>
      </w:r>
    </w:p>
    <w:p w14:paraId="33817CEE">
      <w:pPr>
        <w:spacing w:line="360" w:lineRule="auto"/>
        <w:ind w:firstLine="735" w:firstLineChars="350"/>
        <w:rPr>
          <w:rFonts w:hint="eastAsia" w:ascii="宋体" w:hAnsi="宋体"/>
          <w:color w:val="auto"/>
          <w:szCs w:val="21"/>
          <w:highlight w:val="none"/>
          <w:lang w:val="en-US" w:eastAsia="zh-CN"/>
        </w:rPr>
      </w:pPr>
      <w:r>
        <w:rPr>
          <w:rFonts w:hint="eastAsia" w:ascii="宋体" w:hAnsi="宋体"/>
          <w:color w:val="auto"/>
          <w:szCs w:val="21"/>
          <w:highlight w:val="none"/>
        </w:rPr>
        <w:t>地址：</w:t>
      </w:r>
      <w:r>
        <w:rPr>
          <w:rFonts w:hint="eastAsia" w:ascii="宋体" w:hAnsi="宋体"/>
          <w:color w:val="auto"/>
          <w:szCs w:val="21"/>
          <w:highlight w:val="none"/>
          <w:u w:val="single"/>
          <w:lang w:eastAsia="zh-CN"/>
        </w:rPr>
        <w:t>南宁市青秀区凤岭南路</w:t>
      </w:r>
      <w:r>
        <w:rPr>
          <w:rFonts w:hint="eastAsia" w:ascii="宋体" w:hAnsi="宋体"/>
          <w:color w:val="auto"/>
          <w:szCs w:val="21"/>
          <w:highlight w:val="none"/>
          <w:u w:val="single"/>
          <w:lang w:val="en-US" w:eastAsia="zh-CN"/>
        </w:rPr>
        <w:t>3号</w:t>
      </w:r>
    </w:p>
    <w:p w14:paraId="29AAA981">
      <w:pPr>
        <w:spacing w:line="360" w:lineRule="auto"/>
        <w:ind w:firstLine="735" w:firstLineChars="350"/>
        <w:rPr>
          <w:rFonts w:ascii="宋体" w:hAnsi="宋体"/>
          <w:color w:val="auto"/>
          <w:szCs w:val="20"/>
          <w:highlight w:val="none"/>
        </w:rPr>
      </w:pPr>
      <w:r>
        <w:rPr>
          <w:rFonts w:hint="eastAsia" w:ascii="宋体" w:hAnsi="宋体"/>
          <w:color w:val="auto"/>
          <w:szCs w:val="20"/>
          <w:highlight w:val="none"/>
        </w:rPr>
        <w:t>项目联系人：</w:t>
      </w:r>
      <w:r>
        <w:rPr>
          <w:rFonts w:hint="eastAsia" w:ascii="宋体" w:hAnsi="宋体" w:cs="Arial"/>
          <w:bCs/>
          <w:color w:val="auto"/>
          <w:kern w:val="0"/>
          <w:szCs w:val="21"/>
          <w:highlight w:val="none"/>
          <w:u w:val="single"/>
        </w:rPr>
        <w:t xml:space="preserve">   </w:t>
      </w:r>
      <w:r>
        <w:rPr>
          <w:rFonts w:hint="eastAsia" w:ascii="宋体" w:hAnsi="宋体" w:cs="Arial"/>
          <w:bCs/>
          <w:color w:val="auto"/>
          <w:kern w:val="0"/>
          <w:szCs w:val="21"/>
          <w:highlight w:val="none"/>
          <w:u w:val="single"/>
          <w:lang w:eastAsia="zh-CN"/>
        </w:rPr>
        <w:t>郭女士</w:t>
      </w:r>
      <w:r>
        <w:rPr>
          <w:rFonts w:hint="eastAsia" w:ascii="宋体" w:hAnsi="宋体" w:cs="Arial"/>
          <w:bCs/>
          <w:color w:val="auto"/>
          <w:kern w:val="0"/>
          <w:szCs w:val="21"/>
          <w:highlight w:val="none"/>
          <w:u w:val="single"/>
          <w:lang w:val="en-US" w:eastAsia="zh-CN"/>
        </w:rPr>
        <w:t xml:space="preserve">   </w:t>
      </w:r>
      <w:r>
        <w:rPr>
          <w:rFonts w:hint="eastAsia" w:ascii="宋体" w:hAnsi="宋体" w:cs="Arial"/>
          <w:bCs/>
          <w:color w:val="auto"/>
          <w:kern w:val="0"/>
          <w:szCs w:val="21"/>
          <w:highlight w:val="none"/>
          <w:u w:val="single"/>
        </w:rPr>
        <w:t xml:space="preserve"> </w:t>
      </w:r>
    </w:p>
    <w:p w14:paraId="16145761">
      <w:pPr>
        <w:spacing w:line="360" w:lineRule="auto"/>
        <w:ind w:left="1041" w:leftChars="371" w:hanging="262" w:hangingChars="125"/>
        <w:jc w:val="left"/>
        <w:rPr>
          <w:rFonts w:hint="eastAsia" w:ascii="宋体" w:hAnsi="宋体" w:eastAsia="宋体" w:cs="Times New Roman"/>
          <w:color w:val="auto"/>
          <w:szCs w:val="21"/>
          <w:highlight w:val="none"/>
          <w:u w:val="single"/>
        </w:rPr>
      </w:pPr>
      <w:r>
        <w:rPr>
          <w:rFonts w:hint="eastAsia" w:ascii="宋体" w:hAnsi="宋体"/>
          <w:color w:val="auto"/>
          <w:szCs w:val="21"/>
          <w:highlight w:val="none"/>
        </w:rPr>
        <w:t>联系电话：</w:t>
      </w:r>
      <w:r>
        <w:rPr>
          <w:rFonts w:hint="eastAsia" w:ascii="宋体" w:hAnsi="宋体" w:eastAsia="宋体" w:cs="Times New Roman"/>
          <w:color w:val="auto"/>
          <w:szCs w:val="21"/>
          <w:highlight w:val="none"/>
          <w:u w:val="single"/>
        </w:rPr>
        <w:t> </w:t>
      </w:r>
      <w:r>
        <w:rPr>
          <w:rFonts w:hint="eastAsia" w:ascii="宋体" w:hAnsi="宋体" w:eastAsia="宋体" w:cs="Times New Roman"/>
          <w:color w:val="auto"/>
          <w:szCs w:val="21"/>
          <w:highlight w:val="none"/>
          <w:u w:val="single"/>
          <w:lang w:val="en-US" w:eastAsia="zh-CN"/>
        </w:rPr>
        <w:t>0771-2529592</w:t>
      </w:r>
      <w:r>
        <w:rPr>
          <w:rFonts w:hint="eastAsia" w:ascii="宋体" w:hAnsi="宋体" w:eastAsia="宋体" w:cs="Times New Roman"/>
          <w:color w:val="auto"/>
          <w:szCs w:val="21"/>
          <w:highlight w:val="none"/>
          <w:u w:val="single"/>
        </w:rPr>
        <w:t xml:space="preserve">  </w:t>
      </w:r>
    </w:p>
    <w:p w14:paraId="63097B9E">
      <w:pPr>
        <w:spacing w:line="360" w:lineRule="auto"/>
        <w:ind w:left="1041" w:leftChars="371" w:hanging="262" w:hangingChars="125"/>
        <w:jc w:val="left"/>
        <w:rPr>
          <w:rFonts w:hint="eastAsia" w:ascii="宋体" w:hAnsi="宋体"/>
          <w:color w:val="auto"/>
          <w:szCs w:val="21"/>
          <w:highlight w:val="none"/>
        </w:rPr>
      </w:pPr>
      <w:r>
        <w:rPr>
          <w:rFonts w:hint="eastAsia" w:ascii="宋体" w:hAnsi="宋体" w:cs="宋体"/>
          <w:color w:val="auto"/>
          <w:szCs w:val="21"/>
          <w:highlight w:val="none"/>
        </w:rPr>
        <w:t>2.采购代理机构信息</w:t>
      </w:r>
    </w:p>
    <w:p w14:paraId="35590009">
      <w:pPr>
        <w:spacing w:line="360" w:lineRule="auto"/>
        <w:ind w:firstLine="735" w:firstLineChars="350"/>
        <w:rPr>
          <w:rFonts w:hint="eastAsia" w:ascii="宋体" w:hAnsi="宋体"/>
          <w:color w:val="auto"/>
          <w:szCs w:val="21"/>
          <w:highlight w:val="none"/>
          <w:u w:val="single"/>
        </w:rPr>
      </w:pPr>
      <w:r>
        <w:rPr>
          <w:rFonts w:hint="eastAsia" w:ascii="宋体" w:hAnsi="宋体"/>
          <w:color w:val="auto"/>
          <w:szCs w:val="21"/>
          <w:highlight w:val="none"/>
        </w:rPr>
        <w:t>名称：</w:t>
      </w:r>
      <w:r>
        <w:rPr>
          <w:rFonts w:hint="eastAsia" w:ascii="宋体" w:hAnsi="宋体"/>
          <w:color w:val="auto"/>
          <w:szCs w:val="21"/>
          <w:highlight w:val="none"/>
          <w:u w:val="single"/>
        </w:rPr>
        <w:t>广西嘉达工程咨询管理有限公司</w:t>
      </w:r>
    </w:p>
    <w:p w14:paraId="682899A3">
      <w:pPr>
        <w:spacing w:line="360" w:lineRule="auto"/>
        <w:ind w:firstLine="735" w:firstLineChars="350"/>
        <w:rPr>
          <w:rFonts w:hint="default" w:ascii="宋体" w:hAnsi="宋体" w:eastAsia="宋体"/>
          <w:color w:val="auto"/>
          <w:szCs w:val="21"/>
          <w:highlight w:val="none"/>
          <w:u w:val="single"/>
          <w:lang w:val="en-US" w:eastAsia="zh-CN"/>
        </w:rPr>
      </w:pPr>
      <w:r>
        <w:rPr>
          <w:rFonts w:hint="eastAsia" w:ascii="宋体" w:hAnsi="宋体"/>
          <w:color w:val="auto"/>
          <w:szCs w:val="21"/>
          <w:highlight w:val="none"/>
        </w:rPr>
        <w:t>地址：</w:t>
      </w:r>
      <w:r>
        <w:rPr>
          <w:rFonts w:hint="eastAsia" w:ascii="宋体" w:hAnsi="宋体"/>
          <w:color w:val="auto"/>
          <w:szCs w:val="21"/>
          <w:highlight w:val="none"/>
          <w:u w:val="single"/>
          <w:lang w:val="en-US" w:eastAsia="zh-CN"/>
        </w:rPr>
        <w:t>南宁市民族大道159号凤岭新新家园A区2栋8楼</w:t>
      </w:r>
    </w:p>
    <w:p w14:paraId="58CE3E6D">
      <w:pPr>
        <w:spacing w:line="360" w:lineRule="auto"/>
        <w:ind w:firstLine="735" w:firstLineChars="350"/>
        <w:rPr>
          <w:rFonts w:hint="eastAsia" w:ascii="宋体" w:hAnsi="宋体"/>
          <w:color w:val="auto"/>
          <w:szCs w:val="21"/>
          <w:highlight w:val="none"/>
        </w:rPr>
      </w:pPr>
      <w:r>
        <w:rPr>
          <w:rFonts w:hint="eastAsia" w:ascii="宋体" w:hAnsi="宋体"/>
          <w:color w:val="auto"/>
          <w:szCs w:val="21"/>
          <w:highlight w:val="none"/>
        </w:rPr>
        <w:t>联系电话：</w:t>
      </w:r>
      <w:r>
        <w:rPr>
          <w:rFonts w:hint="eastAsia" w:ascii="宋体" w:hAnsi="宋体"/>
          <w:color w:val="auto"/>
          <w:szCs w:val="21"/>
          <w:highlight w:val="none"/>
          <w:u w:val="single"/>
        </w:rPr>
        <w:t>0771-5389203</w:t>
      </w:r>
    </w:p>
    <w:p w14:paraId="454313EB">
      <w:pPr>
        <w:spacing w:line="360" w:lineRule="auto"/>
        <w:ind w:firstLine="735" w:firstLineChars="350"/>
        <w:rPr>
          <w:rFonts w:hint="eastAsia" w:ascii="宋体" w:hAnsi="宋体"/>
          <w:color w:val="auto"/>
          <w:szCs w:val="21"/>
          <w:highlight w:val="none"/>
        </w:rPr>
      </w:pPr>
      <w:r>
        <w:rPr>
          <w:rFonts w:hint="eastAsia" w:ascii="宋体" w:hAnsi="宋体"/>
          <w:color w:val="auto"/>
          <w:szCs w:val="21"/>
          <w:highlight w:val="none"/>
        </w:rPr>
        <w:t>3.项目联系方式</w:t>
      </w:r>
    </w:p>
    <w:p w14:paraId="38CA5AD4">
      <w:pPr>
        <w:spacing w:line="360" w:lineRule="auto"/>
        <w:ind w:firstLine="735" w:firstLineChars="350"/>
        <w:rPr>
          <w:rFonts w:hint="eastAsia" w:ascii="宋体" w:hAnsi="宋体"/>
          <w:color w:val="auto"/>
          <w:szCs w:val="21"/>
          <w:highlight w:val="none"/>
        </w:rPr>
      </w:pPr>
      <w:r>
        <w:rPr>
          <w:rFonts w:hint="eastAsia" w:ascii="宋体" w:hAnsi="宋体"/>
          <w:color w:val="auto"/>
          <w:szCs w:val="21"/>
          <w:highlight w:val="none"/>
        </w:rPr>
        <w:t>项目联系人：</w:t>
      </w:r>
      <w:r>
        <w:rPr>
          <w:rFonts w:hint="eastAsia" w:ascii="宋体" w:hAnsi="宋体"/>
          <w:color w:val="auto"/>
          <w:szCs w:val="21"/>
          <w:highlight w:val="none"/>
          <w:u w:val="single"/>
        </w:rPr>
        <w:t xml:space="preserve">　卢国豪、唐荣斌、范栩瑞、农玉兰 </w:t>
      </w:r>
    </w:p>
    <w:p w14:paraId="52576A2D">
      <w:pPr>
        <w:spacing w:line="360" w:lineRule="auto"/>
        <w:ind w:firstLine="735" w:firstLineChars="350"/>
        <w:rPr>
          <w:rFonts w:hint="eastAsia" w:ascii="宋体" w:hAnsi="宋体"/>
          <w:color w:val="auto"/>
          <w:szCs w:val="21"/>
          <w:highlight w:val="none"/>
        </w:rPr>
      </w:pPr>
      <w:r>
        <w:rPr>
          <w:rFonts w:hint="eastAsia" w:ascii="宋体" w:hAnsi="宋体"/>
          <w:color w:val="auto"/>
          <w:szCs w:val="21"/>
          <w:highlight w:val="none"/>
        </w:rPr>
        <w:t>联系电话：</w:t>
      </w:r>
      <w:r>
        <w:rPr>
          <w:rFonts w:hint="eastAsia" w:ascii="宋体" w:hAnsi="宋体"/>
          <w:color w:val="auto"/>
          <w:szCs w:val="21"/>
          <w:highlight w:val="none"/>
          <w:u w:val="single"/>
        </w:rPr>
        <w:t xml:space="preserve">   0771-5389203     </w:t>
      </w:r>
    </w:p>
    <w:p w14:paraId="6318FDCA">
      <w:pPr>
        <w:rPr>
          <w:rFonts w:hint="eastAsia" w:ascii="宋体" w:hAnsi="宋体"/>
          <w:color w:val="auto"/>
          <w:szCs w:val="21"/>
          <w:highlight w:val="none"/>
        </w:rPr>
      </w:pPr>
    </w:p>
    <w:p w14:paraId="511C1D00">
      <w:pPr>
        <w:spacing w:line="360" w:lineRule="auto"/>
        <w:rPr>
          <w:rFonts w:hint="eastAsia" w:ascii="宋体" w:hAnsi="宋体"/>
          <w:color w:val="auto"/>
          <w:szCs w:val="21"/>
          <w:highlight w:val="none"/>
        </w:rPr>
      </w:pPr>
    </w:p>
    <w:p w14:paraId="5F9BA806">
      <w:pPr>
        <w:spacing w:line="360" w:lineRule="auto"/>
        <w:jc w:val="right"/>
        <w:rPr>
          <w:rFonts w:hint="eastAsia" w:ascii="宋体" w:hAnsi="宋体"/>
          <w:color w:val="auto"/>
          <w:szCs w:val="21"/>
          <w:highlight w:val="none"/>
        </w:rPr>
      </w:pPr>
      <w:r>
        <w:rPr>
          <w:rFonts w:hint="eastAsia" w:ascii="宋体" w:hAnsi="宋体"/>
          <w:color w:val="auto"/>
          <w:szCs w:val="21"/>
          <w:highlight w:val="none"/>
          <w:u w:val="single"/>
        </w:rPr>
        <w:t>广西嘉达工程咨询管理有限公司</w:t>
      </w:r>
    </w:p>
    <w:p w14:paraId="2A568E51">
      <w:pPr>
        <w:spacing w:line="360" w:lineRule="auto"/>
        <w:ind w:firstLine="210" w:firstLineChars="100"/>
        <w:jc w:val="right"/>
        <w:rPr>
          <w:rFonts w:hint="eastAsia" w:ascii="宋体" w:hAnsi="宋体"/>
          <w:color w:val="0000FF"/>
          <w:highlight w:val="none"/>
        </w:rPr>
      </w:pPr>
      <w:r>
        <w:rPr>
          <w:rFonts w:hint="eastAsia" w:ascii="宋体" w:hAnsi="宋体"/>
          <w:color w:val="0000FF"/>
          <w:szCs w:val="21"/>
          <w:highlight w:val="none"/>
          <w:u w:val="single"/>
        </w:rPr>
        <w:t>2026年</w:t>
      </w:r>
      <w:r>
        <w:rPr>
          <w:rFonts w:hint="eastAsia" w:ascii="宋体" w:hAnsi="宋体"/>
          <w:color w:val="0000FF"/>
          <w:szCs w:val="21"/>
          <w:highlight w:val="none"/>
          <w:u w:val="single"/>
          <w:lang w:val="en-US" w:eastAsia="zh-CN"/>
        </w:rPr>
        <w:t xml:space="preserve"> 6 </w:t>
      </w:r>
      <w:r>
        <w:rPr>
          <w:rFonts w:hint="eastAsia" w:ascii="宋体" w:hAnsi="宋体"/>
          <w:color w:val="0000FF"/>
          <w:szCs w:val="21"/>
          <w:highlight w:val="none"/>
          <w:u w:val="single"/>
        </w:rPr>
        <w:t xml:space="preserve"> </w:t>
      </w:r>
      <w:r>
        <w:rPr>
          <w:rFonts w:hint="eastAsia" w:ascii="宋体" w:hAnsi="宋体"/>
          <w:color w:val="0000FF"/>
          <w:szCs w:val="21"/>
          <w:highlight w:val="none"/>
        </w:rPr>
        <w:t>月</w:t>
      </w:r>
      <w:r>
        <w:rPr>
          <w:rFonts w:hint="eastAsia" w:ascii="宋体" w:hAnsi="宋体"/>
          <w:color w:val="0000FF"/>
          <w:szCs w:val="21"/>
          <w:highlight w:val="none"/>
          <w:u w:val="single"/>
        </w:rPr>
        <w:t xml:space="preserve"> </w:t>
      </w:r>
      <w:r>
        <w:rPr>
          <w:rFonts w:hint="eastAsia" w:ascii="宋体" w:hAnsi="宋体"/>
          <w:color w:val="0000FF"/>
          <w:szCs w:val="21"/>
          <w:highlight w:val="none"/>
          <w:u w:val="single"/>
          <w:lang w:val="en-US" w:eastAsia="zh-CN"/>
        </w:rPr>
        <w:t xml:space="preserve"> 16 </w:t>
      </w:r>
      <w:r>
        <w:rPr>
          <w:rFonts w:hint="eastAsia" w:ascii="宋体" w:hAnsi="宋体"/>
          <w:color w:val="0000FF"/>
          <w:szCs w:val="21"/>
          <w:highlight w:val="none"/>
          <w:u w:val="single"/>
        </w:rPr>
        <w:t xml:space="preserve">  </w:t>
      </w:r>
      <w:r>
        <w:rPr>
          <w:rFonts w:hint="eastAsia" w:ascii="宋体" w:hAnsi="宋体"/>
          <w:color w:val="0000FF"/>
          <w:szCs w:val="21"/>
          <w:highlight w:val="none"/>
        </w:rPr>
        <w:t>日</w:t>
      </w:r>
    </w:p>
    <w:p w14:paraId="112AE5E5">
      <w:pPr>
        <w:widowControl/>
        <w:spacing w:line="360" w:lineRule="auto"/>
        <w:jc w:val="left"/>
        <w:rPr>
          <w:rFonts w:ascii="宋体" w:hAnsi="宋体" w:cs="宋体"/>
          <w:color w:val="0000FF"/>
          <w:sz w:val="24"/>
          <w:highlight w:val="none"/>
          <w:lang w:val="zh-CN"/>
        </w:rPr>
        <w:sectPr>
          <w:headerReference r:id="rId3" w:type="default"/>
          <w:footerReference r:id="rId4" w:type="default"/>
          <w:pgSz w:w="11906" w:h="16838"/>
          <w:pgMar w:top="1134" w:right="1134" w:bottom="1134" w:left="1134" w:header="720" w:footer="720" w:gutter="0"/>
          <w:pgNumType w:start="1"/>
          <w:cols w:space="720" w:num="1"/>
          <w:docGrid w:type="lines" w:linePitch="331" w:charSpace="0"/>
        </w:sectPr>
      </w:pPr>
    </w:p>
    <w:p w14:paraId="3A9E4038">
      <w:pPr>
        <w:jc w:val="center"/>
        <w:outlineLvl w:val="0"/>
        <w:rPr>
          <w:rFonts w:hint="eastAsia"/>
          <w:b/>
          <w:color w:val="auto"/>
          <w:sz w:val="36"/>
          <w:szCs w:val="20"/>
          <w:highlight w:val="none"/>
        </w:rPr>
      </w:pPr>
      <w:bookmarkStart w:id="34" w:name="_Toc532545042"/>
      <w:bookmarkStart w:id="35" w:name="_Toc16636"/>
      <w:r>
        <w:rPr>
          <w:rFonts w:hint="eastAsia"/>
          <w:b/>
          <w:color w:val="auto"/>
          <w:sz w:val="36"/>
          <w:szCs w:val="20"/>
          <w:highlight w:val="none"/>
        </w:rPr>
        <w:t>第二章</w:t>
      </w:r>
      <w:r>
        <w:rPr>
          <w:b/>
          <w:color w:val="auto"/>
          <w:sz w:val="36"/>
          <w:szCs w:val="20"/>
          <w:highlight w:val="none"/>
        </w:rPr>
        <w:t xml:space="preserve">  </w:t>
      </w:r>
      <w:bookmarkEnd w:id="34"/>
      <w:r>
        <w:rPr>
          <w:rFonts w:hint="eastAsia"/>
          <w:b/>
          <w:color w:val="auto"/>
          <w:sz w:val="36"/>
          <w:szCs w:val="20"/>
          <w:highlight w:val="none"/>
        </w:rPr>
        <w:t>采购需求</w:t>
      </w:r>
      <w:bookmarkEnd w:id="35"/>
    </w:p>
    <w:p w14:paraId="39457094">
      <w:pPr>
        <w:adjustRightInd w:val="0"/>
        <w:spacing w:line="340" w:lineRule="exact"/>
        <w:rPr>
          <w:rFonts w:hAnsi="宋体"/>
          <w:b/>
          <w:color w:val="auto"/>
          <w:szCs w:val="21"/>
          <w:highlight w:val="none"/>
        </w:rPr>
      </w:pPr>
      <w:bookmarkStart w:id="36" w:name="PO_TDCUS_ITEM_PB_REQ_FILE_1_1"/>
    </w:p>
    <w:p w14:paraId="52471846">
      <w:pPr>
        <w:adjustRightInd w:val="0"/>
        <w:spacing w:line="340" w:lineRule="exact"/>
        <w:rPr>
          <w:rFonts w:hint="eastAsia" w:hAnsi="宋体"/>
          <w:b/>
          <w:color w:val="auto"/>
          <w:szCs w:val="21"/>
          <w:highlight w:val="none"/>
        </w:rPr>
      </w:pPr>
      <w:r>
        <w:rPr>
          <w:rFonts w:hint="eastAsia" w:hAnsi="宋体"/>
          <w:b/>
          <w:color w:val="auto"/>
          <w:szCs w:val="21"/>
          <w:highlight w:val="none"/>
        </w:rPr>
        <w:t>说明：</w:t>
      </w:r>
    </w:p>
    <w:p w14:paraId="298117F4">
      <w:pPr>
        <w:spacing w:line="360" w:lineRule="auto"/>
        <w:ind w:firstLine="420" w:firstLineChars="200"/>
        <w:jc w:val="left"/>
        <w:rPr>
          <w:rFonts w:hint="eastAsia"/>
          <w:color w:val="auto"/>
          <w:highlight w:val="none"/>
        </w:rPr>
      </w:pPr>
      <w:r>
        <w:rPr>
          <w:rFonts w:hint="eastAsia"/>
          <w:color w:val="auto"/>
          <w:highlight w:val="none"/>
        </w:rPr>
        <w:t>1. 为落实政府采购政策需满足的要求（根据项目实际情况填写内容）</w:t>
      </w:r>
    </w:p>
    <w:p w14:paraId="190150D3">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（1）本招标文件所称中小企业必须符合《政府采购促进中小企业发展管理办法》（财库〔2020〕46号）的规定。</w:t>
      </w:r>
    </w:p>
    <w:p w14:paraId="4407C819">
      <w:pPr>
        <w:spacing w:line="360" w:lineRule="auto"/>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rPr>
        <w:t>（2）服务项目中伴随货物的，根据《财政部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附件1），投标人的投标货物必须使用政府强制采购的节能产品，投标人必须在投标文件中提供所投标产品的节能产品认证证书复印件（加盖投标人电子公章），否则投标文件作无效处理。如本项目包含的货物属于品目清单内非标注“★”的产品时，应优先采购，具体详见“第四章 评标方法和评标标准”。</w:t>
      </w:r>
    </w:p>
    <w:p w14:paraId="4EE8A13F">
      <w:pPr>
        <w:spacing w:line="360" w:lineRule="auto"/>
        <w:ind w:firstLine="424" w:firstLineChars="202"/>
        <w:jc w:val="left"/>
        <w:rPr>
          <w:rFonts w:ascii="宋体" w:hAnsi="宋体" w:cs="宋体"/>
          <w:b/>
          <w:color w:val="auto"/>
          <w:szCs w:val="21"/>
          <w:highlight w:val="none"/>
        </w:rPr>
      </w:pPr>
      <w:r>
        <w:rPr>
          <w:rFonts w:hint="eastAsia" w:ascii="宋体" w:hAnsi="宋体" w:cs="宋体"/>
          <w:color w:val="auto"/>
          <w:szCs w:val="21"/>
          <w:highlight w:val="none"/>
        </w:rPr>
        <w:t>（3）</w:t>
      </w:r>
      <w:r>
        <w:rPr>
          <w:rFonts w:hint="eastAsia" w:ascii="宋体" w:hAnsi="宋体" w:cs="宋体"/>
          <w:b/>
          <w:color w:val="auto"/>
          <w:szCs w:val="21"/>
          <w:highlight w:val="none"/>
        </w:rPr>
        <w:t>服务项目中伴随的货物包含信息安全产品的（信息安全产品包括：防火墙、网络安全隔离卡与线路选择器、安全隔离与信息交换产品、安全路由器、智能卡COS、数据备份与恢复产品、安全操作系统、安全数据库系统、反垃圾邮件产品、入侵检测系统（IDS）、网络脆弱扫描产品、安全审计产品、网站恢复产品），根据《关于信息安全产品实施政府采购的通知》（财库〔2010〕48号）的规定，投标人必须在投标文件中提供中国网络安全审查技术与认证中心（原中国信息安全认证中心）颁发的有效的信息安全产品认证证书（加盖投标人公章），否则投标文件作无效处理。</w:t>
      </w:r>
    </w:p>
    <w:p w14:paraId="296C7FBB">
      <w:pPr>
        <w:spacing w:line="360" w:lineRule="auto"/>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rPr>
        <w:t>2.“实质性要求”是指招标文件中已经指明不满足则投标无效的条款，或者不能负偏离的条款，或者采购需求中带“▲”的条款。</w:t>
      </w:r>
    </w:p>
    <w:p w14:paraId="6005F7BA">
      <w:pPr>
        <w:spacing w:line="360" w:lineRule="auto"/>
        <w:ind w:firstLine="424" w:firstLineChars="202"/>
        <w:jc w:val="left"/>
        <w:rPr>
          <w:rFonts w:hint="eastAsia"/>
          <w:color w:val="auto"/>
          <w:highlight w:val="none"/>
        </w:rPr>
      </w:pPr>
      <w:r>
        <w:rPr>
          <w:rFonts w:hint="eastAsia" w:ascii="宋体" w:hAnsi="宋体" w:cs="宋体"/>
          <w:color w:val="auto"/>
          <w:szCs w:val="21"/>
          <w:highlight w:val="none"/>
        </w:rPr>
        <w:t>3.</w:t>
      </w:r>
      <w:r>
        <w:rPr>
          <w:rFonts w:hint="eastAsia"/>
          <w:color w:val="auto"/>
          <w:highlight w:val="none"/>
        </w:rPr>
        <w:t>如投标人投标</w:t>
      </w:r>
      <w:r>
        <w:rPr>
          <w:color w:val="auto"/>
          <w:highlight w:val="none"/>
        </w:rPr>
        <w:t>产品</w:t>
      </w:r>
      <w:r>
        <w:rPr>
          <w:rFonts w:hint="eastAsia"/>
          <w:color w:val="auto"/>
          <w:highlight w:val="none"/>
        </w:rPr>
        <w:t>存在</w:t>
      </w:r>
      <w:r>
        <w:rPr>
          <w:color w:val="auto"/>
          <w:highlight w:val="none"/>
        </w:rPr>
        <w:t>侵犯</w:t>
      </w:r>
      <w:r>
        <w:rPr>
          <w:rFonts w:hint="eastAsia"/>
          <w:color w:val="auto"/>
          <w:highlight w:val="none"/>
        </w:rPr>
        <w:t>他人的知识产权或者专利成果行为的，应</w:t>
      </w:r>
      <w:r>
        <w:rPr>
          <w:color w:val="auto"/>
          <w:highlight w:val="none"/>
        </w:rPr>
        <w:t>承担相应法律责任</w:t>
      </w:r>
      <w:r>
        <w:rPr>
          <w:rFonts w:hint="eastAsia"/>
          <w:color w:val="auto"/>
          <w:highlight w:val="none"/>
        </w:rPr>
        <w:t>。</w:t>
      </w:r>
    </w:p>
    <w:p w14:paraId="57610B13">
      <w:pPr>
        <w:spacing w:line="360" w:lineRule="auto"/>
        <w:ind w:firstLine="424" w:firstLineChars="202"/>
        <w:jc w:val="left"/>
        <w:rPr>
          <w:rFonts w:hint="eastAsia"/>
          <w:color w:val="auto"/>
          <w:highlight w:val="none"/>
        </w:rPr>
      </w:pPr>
      <w:r>
        <w:rPr>
          <w:rFonts w:hint="eastAsia"/>
          <w:color w:val="auto"/>
          <w:highlight w:val="none"/>
        </w:rPr>
        <w:t>4. 不需要投标人对采购需求响应为具体数值的，此采购需求的数值后将以◆号标注。</w:t>
      </w:r>
    </w:p>
    <w:p w14:paraId="06760459">
      <w:pPr>
        <w:spacing w:line="360" w:lineRule="auto"/>
        <w:jc w:val="left"/>
        <w:rPr>
          <w:color w:val="auto"/>
          <w:highlight w:val="none"/>
        </w:rPr>
      </w:pPr>
    </w:p>
    <w:p w14:paraId="69527131">
      <w:pPr>
        <w:spacing w:line="360" w:lineRule="auto"/>
        <w:jc w:val="left"/>
        <w:rPr>
          <w:rFonts w:hint="eastAsia"/>
          <w:color w:val="auto"/>
          <w:highlight w:val="none"/>
        </w:rPr>
      </w:pPr>
      <w:r>
        <w:rPr>
          <w:color w:val="auto"/>
          <w:highlight w:val="none"/>
        </w:rPr>
        <w:br w:type="page"/>
      </w:r>
    </w:p>
    <w:tbl>
      <w:tblPr>
        <w:tblStyle w:val="33"/>
        <w:tblW w:w="1012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341"/>
        <w:gridCol w:w="701"/>
        <w:gridCol w:w="400"/>
        <w:gridCol w:w="413"/>
        <w:gridCol w:w="5600"/>
        <w:gridCol w:w="1000"/>
        <w:gridCol w:w="1121"/>
      </w:tblGrid>
      <w:tr w14:paraId="7CFB01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0121" w:type="dxa"/>
            <w:gridSpan w:val="8"/>
            <w:tcBorders>
              <w:top w:val="single" w:color="auto" w:sz="4" w:space="0"/>
              <w:left w:val="single" w:color="auto" w:sz="4" w:space="0"/>
              <w:bottom w:val="nil"/>
              <w:right w:val="single" w:color="auto" w:sz="4" w:space="0"/>
            </w:tcBorders>
            <w:noWrap w:val="0"/>
            <w:vAlign w:val="center"/>
          </w:tcPr>
          <w:p w14:paraId="1E2CEA92">
            <w:pPr>
              <w:keepNext w:val="0"/>
              <w:keepLines w:val="0"/>
              <w:suppressLineNumbers w:val="0"/>
              <w:spacing w:before="0" w:beforeAutospacing="0" w:after="0" w:afterAutospacing="0" w:line="320" w:lineRule="exact"/>
              <w:ind w:left="0" w:right="0"/>
              <w:jc w:val="center"/>
              <w:rPr>
                <w:rFonts w:hint="default" w:ascii="宋体" w:hAnsi="宋体" w:cs="Times New Roman"/>
                <w:b/>
                <w:color w:val="auto"/>
                <w:sz w:val="24"/>
                <w:highlight w:val="none"/>
              </w:rPr>
            </w:pPr>
            <w:r>
              <w:rPr>
                <w:rFonts w:hint="eastAsia" w:ascii="仿宋_GB2312" w:hAnsi="宋体" w:eastAsia="仿宋_GB2312" w:cs="Arial"/>
                <w:b/>
                <w:color w:val="auto"/>
                <w:sz w:val="32"/>
                <w:szCs w:val="32"/>
                <w:highlight w:val="none"/>
              </w:rPr>
              <w:t>服务需求一览表</w:t>
            </w:r>
          </w:p>
        </w:tc>
      </w:tr>
      <w:tr w14:paraId="6A803E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restart"/>
            <w:tcBorders>
              <w:top w:val="single" w:color="auto" w:sz="4" w:space="0"/>
              <w:left w:val="single" w:color="auto" w:sz="4" w:space="0"/>
              <w:bottom w:val="nil"/>
              <w:right w:val="single" w:color="auto" w:sz="4" w:space="0"/>
            </w:tcBorders>
            <w:noWrap w:val="0"/>
            <w:vAlign w:val="top"/>
          </w:tcPr>
          <w:p w14:paraId="7F21926A">
            <w:pPr>
              <w:keepNext w:val="0"/>
              <w:keepLines w:val="0"/>
              <w:suppressLineNumbers w:val="0"/>
              <w:spacing w:before="0" w:beforeAutospacing="0" w:after="0" w:afterAutospacing="0"/>
              <w:ind w:left="0" w:right="0"/>
              <w:jc w:val="center"/>
              <w:rPr>
                <w:rFonts w:hint="default" w:ascii="宋体" w:hAnsi="宋体" w:cs="Times New Roman"/>
                <w:color w:val="auto"/>
                <w:sz w:val="24"/>
                <w:highlight w:val="none"/>
              </w:rPr>
            </w:pPr>
            <w:r>
              <w:rPr>
                <w:rFonts w:hint="eastAsia" w:ascii="宋体" w:hAnsi="宋体" w:cs="Times New Roman"/>
                <w:color w:val="auto"/>
                <w:highlight w:val="none"/>
              </w:rPr>
              <w:t>采购清单及服务参数</w:t>
            </w:r>
          </w:p>
        </w:tc>
        <w:tc>
          <w:tcPr>
            <w:tcW w:w="341" w:type="dxa"/>
            <w:tcBorders>
              <w:top w:val="single" w:color="auto" w:sz="4" w:space="0"/>
              <w:left w:val="nil"/>
              <w:bottom w:val="single" w:color="auto" w:sz="4" w:space="0"/>
              <w:right w:val="single" w:color="auto" w:sz="4" w:space="0"/>
            </w:tcBorders>
            <w:noWrap w:val="0"/>
            <w:tcMar>
              <w:top w:w="0" w:type="dxa"/>
              <w:left w:w="0" w:type="dxa"/>
              <w:bottom w:w="0" w:type="dxa"/>
              <w:right w:w="0" w:type="dxa"/>
            </w:tcMar>
            <w:vAlign w:val="center"/>
          </w:tcPr>
          <w:p w14:paraId="2552077D">
            <w:pPr>
              <w:keepNext w:val="0"/>
              <w:keepLines w:val="0"/>
              <w:suppressLineNumbers w:val="0"/>
              <w:spacing w:before="0" w:beforeAutospacing="0" w:after="0" w:afterAutospacing="0" w:line="400" w:lineRule="exact"/>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序号</w:t>
            </w:r>
          </w:p>
        </w:tc>
        <w:tc>
          <w:tcPr>
            <w:tcW w:w="701" w:type="dxa"/>
            <w:tcBorders>
              <w:top w:val="single" w:color="auto" w:sz="4" w:space="0"/>
              <w:left w:val="nil"/>
              <w:bottom w:val="single" w:color="auto" w:sz="4" w:space="0"/>
              <w:right w:val="single" w:color="auto" w:sz="4" w:space="0"/>
            </w:tcBorders>
            <w:noWrap w:val="0"/>
            <w:vAlign w:val="center"/>
          </w:tcPr>
          <w:p w14:paraId="6852AFF8">
            <w:pPr>
              <w:keepNext w:val="0"/>
              <w:keepLines w:val="0"/>
              <w:suppressLineNumbers w:val="0"/>
              <w:spacing w:before="0" w:beforeAutospacing="0" w:after="0" w:afterAutospacing="0" w:line="400" w:lineRule="exact"/>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采购服务名称</w:t>
            </w:r>
          </w:p>
        </w:tc>
        <w:tc>
          <w:tcPr>
            <w:tcW w:w="400" w:type="dxa"/>
            <w:tcBorders>
              <w:top w:val="single" w:color="auto" w:sz="4" w:space="0"/>
              <w:left w:val="nil"/>
              <w:bottom w:val="single" w:color="auto" w:sz="4" w:space="0"/>
              <w:right w:val="single" w:color="auto" w:sz="4" w:space="0"/>
            </w:tcBorders>
            <w:noWrap w:val="0"/>
            <w:vAlign w:val="center"/>
          </w:tcPr>
          <w:p w14:paraId="0BB52988">
            <w:pPr>
              <w:keepNext w:val="0"/>
              <w:keepLines w:val="0"/>
              <w:suppressLineNumbers w:val="0"/>
              <w:spacing w:before="0" w:beforeAutospacing="0" w:after="0" w:afterAutospacing="0" w:line="400" w:lineRule="exact"/>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单位</w:t>
            </w:r>
          </w:p>
        </w:tc>
        <w:tc>
          <w:tcPr>
            <w:tcW w:w="413" w:type="dxa"/>
            <w:tcBorders>
              <w:top w:val="single" w:color="auto" w:sz="4" w:space="0"/>
              <w:left w:val="nil"/>
              <w:bottom w:val="single" w:color="auto" w:sz="4" w:space="0"/>
              <w:right w:val="single" w:color="auto" w:sz="4" w:space="0"/>
            </w:tcBorders>
            <w:noWrap w:val="0"/>
            <w:vAlign w:val="center"/>
          </w:tcPr>
          <w:p w14:paraId="7504BD88">
            <w:pPr>
              <w:keepNext w:val="0"/>
              <w:keepLines w:val="0"/>
              <w:suppressLineNumbers w:val="0"/>
              <w:spacing w:before="0" w:beforeAutospacing="0" w:after="0" w:afterAutospacing="0" w:line="400" w:lineRule="exact"/>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数量</w:t>
            </w:r>
          </w:p>
        </w:tc>
        <w:tc>
          <w:tcPr>
            <w:tcW w:w="5600" w:type="dxa"/>
            <w:tcBorders>
              <w:top w:val="single" w:color="auto" w:sz="4" w:space="0"/>
              <w:left w:val="nil"/>
              <w:bottom w:val="single" w:color="auto" w:sz="4" w:space="0"/>
              <w:right w:val="single" w:color="auto" w:sz="4" w:space="0"/>
            </w:tcBorders>
            <w:noWrap w:val="0"/>
            <w:vAlign w:val="center"/>
          </w:tcPr>
          <w:p w14:paraId="7973EE53">
            <w:pPr>
              <w:keepNext w:val="0"/>
              <w:keepLines w:val="0"/>
              <w:suppressLineNumbers w:val="0"/>
              <w:spacing w:before="0" w:beforeAutospacing="0" w:after="0" w:afterAutospacing="0" w:line="400" w:lineRule="exact"/>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服务参数</w:t>
            </w:r>
          </w:p>
        </w:tc>
        <w:tc>
          <w:tcPr>
            <w:tcW w:w="1000" w:type="dxa"/>
            <w:tcBorders>
              <w:top w:val="single" w:color="auto" w:sz="4" w:space="0"/>
              <w:left w:val="nil"/>
              <w:bottom w:val="single" w:color="auto" w:sz="4" w:space="0"/>
              <w:right w:val="single" w:color="auto" w:sz="4" w:space="0"/>
            </w:tcBorders>
            <w:noWrap w:val="0"/>
            <w:vAlign w:val="center"/>
          </w:tcPr>
          <w:p w14:paraId="39359F87">
            <w:pPr>
              <w:keepNext w:val="0"/>
              <w:keepLines w:val="0"/>
              <w:suppressLineNumbers w:val="0"/>
              <w:spacing w:before="0" w:beforeAutospacing="0" w:after="0" w:afterAutospacing="0" w:line="400" w:lineRule="exact"/>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分项预算合计（元）</w:t>
            </w:r>
          </w:p>
        </w:tc>
        <w:tc>
          <w:tcPr>
            <w:tcW w:w="1121" w:type="dxa"/>
            <w:tcBorders>
              <w:top w:val="single" w:color="auto" w:sz="4" w:space="0"/>
              <w:left w:val="nil"/>
              <w:bottom w:val="single" w:color="auto" w:sz="4" w:space="0"/>
              <w:right w:val="single" w:color="auto" w:sz="4" w:space="0"/>
            </w:tcBorders>
            <w:noWrap w:val="0"/>
            <w:vAlign w:val="center"/>
          </w:tcPr>
          <w:p w14:paraId="30E4B66F">
            <w:pPr>
              <w:keepNext w:val="0"/>
              <w:keepLines w:val="0"/>
              <w:suppressLineNumbers w:val="0"/>
              <w:spacing w:before="0" w:beforeAutospacing="0" w:after="0" w:afterAutospacing="0" w:line="400" w:lineRule="exact"/>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中小企业划分标准所属行业名称（行业名称及划分见本章附件</w:t>
            </w:r>
            <w:r>
              <w:rPr>
                <w:rFonts w:hint="default" w:ascii="宋体" w:hAnsi="宋体" w:cs="Times New Roman"/>
                <w:color w:val="auto"/>
                <w:szCs w:val="21"/>
                <w:highlight w:val="none"/>
              </w:rPr>
              <w:t>2</w:t>
            </w:r>
            <w:r>
              <w:rPr>
                <w:rFonts w:hint="eastAsia" w:ascii="宋体" w:hAnsi="宋体" w:cs="Times New Roman"/>
                <w:color w:val="auto"/>
                <w:szCs w:val="21"/>
                <w:highlight w:val="none"/>
              </w:rPr>
              <w:t>）</w:t>
            </w:r>
          </w:p>
        </w:tc>
      </w:tr>
      <w:tr w14:paraId="7BC0F3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left w:val="single" w:color="auto" w:sz="4" w:space="0"/>
              <w:right w:val="single" w:color="auto" w:sz="4" w:space="0"/>
            </w:tcBorders>
            <w:noWrap w:val="0"/>
            <w:vAlign w:val="top"/>
          </w:tcPr>
          <w:p w14:paraId="58A88B5A">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9576" w:type="dxa"/>
            <w:gridSpan w:val="7"/>
            <w:tcBorders>
              <w:top w:val="single" w:color="auto" w:sz="4" w:space="0"/>
              <w:left w:val="nil"/>
              <w:bottom w:val="single" w:color="auto" w:sz="4" w:space="0"/>
              <w:right w:val="single" w:color="auto" w:sz="4" w:space="0"/>
            </w:tcBorders>
            <w:noWrap w:val="0"/>
            <w:tcMar>
              <w:top w:w="0" w:type="dxa"/>
              <w:left w:w="0" w:type="dxa"/>
              <w:bottom w:w="0" w:type="dxa"/>
              <w:right w:w="0" w:type="dxa"/>
            </w:tcMar>
            <w:vAlign w:val="center"/>
          </w:tcPr>
          <w:p w14:paraId="57D8619F">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一、技术条款</w:t>
            </w:r>
          </w:p>
        </w:tc>
      </w:tr>
      <w:tr w14:paraId="1A0E43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545" w:type="dxa"/>
            <w:vMerge w:val="continue"/>
            <w:tcBorders>
              <w:top w:val="single" w:color="auto" w:sz="4" w:space="0"/>
              <w:left w:val="single" w:color="auto" w:sz="4" w:space="0"/>
              <w:bottom w:val="nil"/>
              <w:right w:val="single" w:color="auto" w:sz="4" w:space="0"/>
            </w:tcBorders>
            <w:noWrap w:val="0"/>
            <w:vAlign w:val="center"/>
          </w:tcPr>
          <w:p w14:paraId="2F70596F">
            <w:pPr>
              <w:keepNext w:val="0"/>
              <w:keepLines w:val="0"/>
              <w:widowControl/>
              <w:suppressLineNumbers w:val="0"/>
              <w:spacing w:before="0" w:beforeAutospacing="0" w:after="0" w:afterAutospacing="0"/>
              <w:ind w:left="0" w:right="0"/>
              <w:jc w:val="left"/>
              <w:rPr>
                <w:rFonts w:hint="default" w:ascii="宋体" w:hAnsi="宋体" w:cs="Times New Roman"/>
                <w:color w:val="auto"/>
                <w:sz w:val="24"/>
                <w:highlight w:val="none"/>
              </w:rPr>
            </w:pPr>
          </w:p>
        </w:tc>
        <w:tc>
          <w:tcPr>
            <w:tcW w:w="341" w:type="dxa"/>
            <w:tcBorders>
              <w:top w:val="single" w:color="auto" w:sz="4" w:space="0"/>
              <w:left w:val="nil"/>
              <w:bottom w:val="single" w:color="auto" w:sz="4" w:space="0"/>
              <w:right w:val="single" w:color="auto" w:sz="4" w:space="0"/>
            </w:tcBorders>
            <w:noWrap w:val="0"/>
            <w:vAlign w:val="center"/>
          </w:tcPr>
          <w:p w14:paraId="7C53D423">
            <w:pPr>
              <w:keepNext w:val="0"/>
              <w:keepLines w:val="0"/>
              <w:suppressLineNumbers w:val="0"/>
              <w:spacing w:before="0" w:beforeAutospacing="0" w:after="0" w:afterAutospacing="0" w:line="400" w:lineRule="exact"/>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1</w:t>
            </w:r>
          </w:p>
        </w:tc>
        <w:tc>
          <w:tcPr>
            <w:tcW w:w="701" w:type="dxa"/>
            <w:tcBorders>
              <w:top w:val="single" w:color="auto" w:sz="4" w:space="0"/>
              <w:left w:val="nil"/>
              <w:bottom w:val="single" w:color="auto" w:sz="4" w:space="0"/>
              <w:right w:val="single" w:color="auto" w:sz="4" w:space="0"/>
            </w:tcBorders>
            <w:noWrap w:val="0"/>
            <w:vAlign w:val="center"/>
          </w:tcPr>
          <w:p w14:paraId="4447B522">
            <w:pPr>
              <w:keepNext w:val="0"/>
              <w:keepLines w:val="0"/>
              <w:suppressLineNumbers w:val="0"/>
              <w:spacing w:before="0" w:beforeAutospacing="0" w:after="0" w:afterAutospacing="0"/>
              <w:ind w:left="0" w:right="0"/>
              <w:jc w:val="center"/>
              <w:rPr>
                <w:rFonts w:hint="eastAsia" w:ascii="宋体" w:hAnsi="宋体" w:cs="Times New Roman"/>
                <w:color w:val="auto"/>
                <w:szCs w:val="21"/>
                <w:highlight w:val="none"/>
              </w:rPr>
            </w:pPr>
            <w:r>
              <w:rPr>
                <w:rFonts w:hint="eastAsia" w:ascii="宋体" w:hAnsi="宋体" w:cs="Times New Roman"/>
                <w:color w:val="auto"/>
                <w:szCs w:val="21"/>
                <w:highlight w:val="none"/>
              </w:rPr>
              <w:t>南宁市城市规划展示馆布展内容升级改造</w:t>
            </w:r>
          </w:p>
          <w:p w14:paraId="24D4C615">
            <w:pPr>
              <w:keepNext w:val="0"/>
              <w:keepLines w:val="0"/>
              <w:suppressLineNumbers w:val="0"/>
              <w:spacing w:before="0" w:beforeAutospacing="0" w:after="0" w:afterAutospacing="0"/>
              <w:ind w:left="0" w:right="0"/>
              <w:jc w:val="center"/>
              <w:rPr>
                <w:rFonts w:hint="default" w:ascii="宋体" w:hAnsi="宋体" w:cs="Times New Roman"/>
                <w:color w:val="auto"/>
                <w:szCs w:val="21"/>
                <w:highlight w:val="none"/>
              </w:rPr>
            </w:pPr>
          </w:p>
        </w:tc>
        <w:tc>
          <w:tcPr>
            <w:tcW w:w="400" w:type="dxa"/>
            <w:tcBorders>
              <w:top w:val="single" w:color="auto" w:sz="4" w:space="0"/>
              <w:left w:val="nil"/>
              <w:bottom w:val="single" w:color="auto" w:sz="4" w:space="0"/>
              <w:right w:val="single" w:color="auto" w:sz="4" w:space="0"/>
            </w:tcBorders>
            <w:noWrap w:val="0"/>
            <w:vAlign w:val="center"/>
          </w:tcPr>
          <w:p w14:paraId="6A1A4872">
            <w:pPr>
              <w:keepNext w:val="0"/>
              <w:keepLines w:val="0"/>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Times New Roman" w:hAnsi="Times New Roman" w:cs="Times New Roman"/>
                <w:color w:val="auto"/>
                <w:highlight w:val="none"/>
                <w:lang w:eastAsia="zh-CN"/>
              </w:rPr>
              <w:t>项</w:t>
            </w:r>
          </w:p>
        </w:tc>
        <w:tc>
          <w:tcPr>
            <w:tcW w:w="413" w:type="dxa"/>
            <w:tcBorders>
              <w:top w:val="single" w:color="auto" w:sz="4" w:space="0"/>
              <w:left w:val="nil"/>
              <w:bottom w:val="single" w:color="auto" w:sz="4" w:space="0"/>
              <w:right w:val="single" w:color="auto" w:sz="4" w:space="0"/>
            </w:tcBorders>
            <w:noWrap w:val="0"/>
            <w:vAlign w:val="center"/>
          </w:tcPr>
          <w:p w14:paraId="289AE0A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1</w:t>
            </w:r>
          </w:p>
          <w:p w14:paraId="3647A9FE">
            <w:pPr>
              <w:keepNext w:val="0"/>
              <w:keepLines w:val="0"/>
              <w:suppressLineNumbers w:val="0"/>
              <w:spacing w:before="0" w:beforeAutospacing="0" w:after="0" w:afterAutospacing="0"/>
              <w:ind w:left="0" w:right="0"/>
              <w:jc w:val="center"/>
              <w:rPr>
                <w:rFonts w:hint="default" w:ascii="宋体" w:hAnsi="宋体" w:cs="Times New Roman"/>
                <w:color w:val="auto"/>
                <w:szCs w:val="21"/>
                <w:highlight w:val="none"/>
              </w:rPr>
            </w:pPr>
          </w:p>
        </w:tc>
        <w:tc>
          <w:tcPr>
            <w:tcW w:w="5600" w:type="dxa"/>
            <w:tcBorders>
              <w:top w:val="single" w:color="auto" w:sz="4" w:space="0"/>
              <w:left w:val="nil"/>
              <w:bottom w:val="single" w:color="auto" w:sz="4" w:space="0"/>
              <w:right w:val="single" w:color="auto" w:sz="4" w:space="0"/>
            </w:tcBorders>
            <w:noWrap w:val="0"/>
            <w:vAlign w:val="top"/>
          </w:tcPr>
          <w:p w14:paraId="42A9D6C0">
            <w:pPr>
              <w:pStyle w:val="133"/>
              <w:keepNext w:val="0"/>
              <w:keepLines w:val="0"/>
              <w:suppressLineNumbers w:val="0"/>
              <w:spacing w:before="0" w:beforeAutospacing="0" w:after="0" w:afterAutospacing="0"/>
              <w:ind w:left="0" w:right="0" w:firstLine="413" w:firstLineChars="196"/>
              <w:rPr>
                <w:rFonts w:hint="default"/>
                <w:b/>
                <w:color w:val="auto"/>
                <w:highlight w:val="none"/>
              </w:rPr>
            </w:pPr>
            <w:r>
              <w:rPr>
                <w:rFonts w:hint="eastAsia"/>
                <w:b/>
                <w:color w:val="auto"/>
                <w:highlight w:val="none"/>
              </w:rPr>
              <w:t>一、展馆概况</w:t>
            </w:r>
          </w:p>
          <w:p w14:paraId="2A0C46DE">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广西南宁市城市规划展示馆位于南宁市青秀区中国</w:t>
            </w:r>
            <w:r>
              <w:rPr>
                <w:rFonts w:hint="default" w:ascii="宋体" w:hAnsi="宋体" w:cs="Times New Roman"/>
                <w:color w:val="auto"/>
                <w:szCs w:val="21"/>
                <w:highlight w:val="none"/>
              </w:rPr>
              <w:t>-</w:t>
            </w:r>
            <w:r>
              <w:rPr>
                <w:rFonts w:hint="eastAsia" w:ascii="宋体" w:hAnsi="宋体" w:cs="Times New Roman"/>
                <w:color w:val="auto"/>
                <w:szCs w:val="21"/>
                <w:highlight w:val="none"/>
              </w:rPr>
              <w:t>东盟国际商务区东南面，桂花路东面、凤岭南路北侧</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rPr>
              <w:t>自2014年3月30日正式向公众开放。展馆总建筑面积21238平方米、总布展面积11539平方米，展厅分为三层：一层布展面积</w:t>
            </w:r>
            <w:r>
              <w:rPr>
                <w:rFonts w:hint="default" w:ascii="宋体" w:hAnsi="宋体" w:cs="Times New Roman"/>
                <w:color w:val="auto"/>
                <w:szCs w:val="21"/>
                <w:highlight w:val="none"/>
              </w:rPr>
              <w:t>3322</w:t>
            </w:r>
            <w:r>
              <w:rPr>
                <w:rFonts w:hint="eastAsia" w:ascii="宋体" w:hAnsi="宋体" w:cs="Times New Roman"/>
                <w:color w:val="auto"/>
                <w:szCs w:val="21"/>
                <w:highlight w:val="none"/>
              </w:rPr>
              <w:t>平方米，现状主要展示南宁城建历史和当前建设成就；二层布展面积</w:t>
            </w:r>
            <w:r>
              <w:rPr>
                <w:rFonts w:hint="default" w:ascii="宋体" w:hAnsi="宋体" w:cs="Times New Roman"/>
                <w:color w:val="auto"/>
                <w:szCs w:val="21"/>
                <w:highlight w:val="none"/>
              </w:rPr>
              <w:t>5389</w:t>
            </w:r>
            <w:r>
              <w:rPr>
                <w:rFonts w:hint="eastAsia" w:ascii="宋体" w:hAnsi="宋体" w:cs="Times New Roman"/>
                <w:color w:val="auto"/>
                <w:szCs w:val="21"/>
                <w:highlight w:val="none"/>
              </w:rPr>
              <w:t>平方米，现状主要展示专项规划和自然资源；三层布展面积</w:t>
            </w:r>
            <w:r>
              <w:rPr>
                <w:rFonts w:hint="default" w:ascii="宋体" w:hAnsi="宋体" w:cs="Times New Roman"/>
                <w:color w:val="auto"/>
                <w:szCs w:val="21"/>
                <w:highlight w:val="none"/>
              </w:rPr>
              <w:t>2828</w:t>
            </w:r>
            <w:r>
              <w:rPr>
                <w:rFonts w:hint="eastAsia" w:ascii="宋体" w:hAnsi="宋体" w:cs="Times New Roman"/>
                <w:color w:val="auto"/>
                <w:szCs w:val="21"/>
                <w:highlight w:val="none"/>
              </w:rPr>
              <w:t>平方米，现状为“美丽中国 规划先行”全国国土空间规划改革成就展。展馆核心区域为位于展厅二层的原中心城区沙盘，面积1112平方米。当前布展的展示形式包括展板、模型、显示屏、触控屏、互动游戏场景及艺术造景等。</w:t>
            </w:r>
          </w:p>
          <w:p w14:paraId="00A6EDE5">
            <w:pPr>
              <w:keepNext w:val="0"/>
              <w:keepLines w:val="0"/>
              <w:suppressLineNumbers w:val="0"/>
              <w:spacing w:before="0" w:beforeAutospacing="0" w:after="0" w:afterAutospacing="0"/>
              <w:ind w:left="0" w:right="0" w:firstLine="413" w:firstLineChars="196"/>
              <w:rPr>
                <w:rFonts w:hint="eastAsia" w:ascii="宋体" w:hAnsi="宋体" w:cs="Times New Roman"/>
                <w:color w:val="auto"/>
                <w:szCs w:val="21"/>
                <w:highlight w:val="none"/>
              </w:rPr>
            </w:pPr>
            <w:r>
              <w:rPr>
                <w:rFonts w:hint="eastAsia" w:ascii="宋体" w:hAnsi="宋体" w:cs="Times New Roman"/>
                <w:b/>
                <w:bCs/>
                <w:color w:val="auto"/>
                <w:szCs w:val="21"/>
                <w:highlight w:val="none"/>
              </w:rPr>
              <w:t>二、项目概况</w:t>
            </w:r>
          </w:p>
          <w:p w14:paraId="67E6D50F">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本项目主要包括以下内容：</w:t>
            </w:r>
          </w:p>
          <w:p w14:paraId="4E0DF6D0">
            <w:pPr>
              <w:keepNext w:val="0"/>
              <w:keepLines w:val="0"/>
              <w:suppressLineNumbers w:val="0"/>
              <w:spacing w:before="0" w:beforeAutospacing="0" w:after="0" w:afterAutospacing="0"/>
              <w:ind w:left="0" w:right="0" w:firstLine="413" w:firstLineChars="196"/>
              <w:rPr>
                <w:rFonts w:hint="eastAsia" w:ascii="宋体" w:hAnsi="宋体" w:eastAsia="宋体" w:cs="Times New Roman"/>
                <w:color w:val="auto"/>
                <w:szCs w:val="21"/>
                <w:highlight w:val="none"/>
                <w:lang w:eastAsia="zh-CN"/>
              </w:rPr>
            </w:pPr>
            <w:r>
              <w:rPr>
                <w:rFonts w:hint="eastAsia" w:ascii="宋体" w:hAnsi="宋体" w:cs="Times New Roman"/>
                <w:b/>
                <w:bCs/>
                <w:color w:val="auto"/>
                <w:szCs w:val="21"/>
                <w:highlight w:val="none"/>
              </w:rPr>
              <w:t>（一）布展策划</w:t>
            </w:r>
          </w:p>
          <w:p w14:paraId="3579EE3C">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对全馆三层展厅共计11539平方米展示区域的布展空间进行系统设计，策划布展主题、大纲和系统布局，基于已编制的相关规划，梳理布展内容，编制布展文案和展陈脉络，编排各展厅内容，重新梳理展示流线等，提出总体</w:t>
            </w:r>
            <w:r>
              <w:rPr>
                <w:rFonts w:hint="eastAsia" w:ascii="宋体" w:hAnsi="宋体" w:cs="Times New Roman"/>
                <w:color w:val="auto"/>
                <w:szCs w:val="21"/>
                <w:highlight w:val="none"/>
                <w:lang w:eastAsia="zh-CN"/>
              </w:rPr>
              <w:t>布展</w:t>
            </w:r>
            <w:r>
              <w:rPr>
                <w:rFonts w:hint="eastAsia" w:ascii="宋体" w:hAnsi="宋体" w:cs="Times New Roman"/>
                <w:color w:val="auto"/>
                <w:szCs w:val="21"/>
                <w:highlight w:val="none"/>
              </w:rPr>
              <w:t>策展方案。</w:t>
            </w:r>
          </w:p>
          <w:p w14:paraId="790FA531">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方案还包括对布展现状进行评估，针对现状不足以及可优化提升的空间和展项进行分析；以新颖、创新手法对现状不足以及可优化提升的空间和项目进行方案设计；结合场馆实际情况提供国内其他场馆的优秀布展案例进行借鉴性说明等。</w:t>
            </w:r>
          </w:p>
          <w:p w14:paraId="73F8AA08">
            <w:pPr>
              <w:keepNext w:val="0"/>
              <w:keepLines w:val="0"/>
              <w:suppressLineNumbers w:val="0"/>
              <w:spacing w:before="0" w:beforeAutospacing="0" w:after="0" w:afterAutospacing="0"/>
              <w:ind w:left="0" w:right="0" w:firstLine="413" w:firstLineChars="196"/>
              <w:rPr>
                <w:rFonts w:hint="eastAsia" w:ascii="宋体" w:hAnsi="宋体" w:cs="Times New Roman"/>
                <w:b/>
                <w:bCs/>
                <w:color w:val="auto"/>
                <w:szCs w:val="21"/>
                <w:highlight w:val="none"/>
              </w:rPr>
            </w:pPr>
            <w:r>
              <w:rPr>
                <w:rFonts w:hint="eastAsia" w:ascii="宋体" w:hAnsi="宋体" w:cs="Times New Roman"/>
                <w:b/>
                <w:bCs/>
                <w:color w:val="auto"/>
                <w:szCs w:val="21"/>
                <w:highlight w:val="none"/>
              </w:rPr>
              <w:t>（二）布展设计和改造施工</w:t>
            </w:r>
          </w:p>
          <w:p w14:paraId="5C558E30">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根据布展策划方案，对展馆</w:t>
            </w:r>
            <w:r>
              <w:rPr>
                <w:rFonts w:hint="eastAsia" w:ascii="宋体" w:hAnsi="宋体" w:eastAsia="宋体" w:cs="Times New Roman"/>
                <w:color w:val="auto"/>
                <w:sz w:val="21"/>
                <w:szCs w:val="21"/>
                <w:highlight w:val="none"/>
              </w:rPr>
              <w:t>一层</w:t>
            </w:r>
            <w:r>
              <w:rPr>
                <w:rFonts w:hint="eastAsia" w:ascii="宋体" w:hAnsi="宋体" w:eastAsia="宋体" w:cs="Times New Roman"/>
                <w:color w:val="auto"/>
                <w:sz w:val="21"/>
                <w:szCs w:val="21"/>
                <w:highlight w:val="none"/>
                <w:lang w:eastAsia="zh-CN"/>
              </w:rPr>
              <w:t>和</w:t>
            </w:r>
            <w:r>
              <w:rPr>
                <w:rFonts w:hint="eastAsia" w:ascii="宋体" w:hAnsi="宋体" w:eastAsia="宋体" w:cs="Times New Roman"/>
                <w:color w:val="auto"/>
                <w:sz w:val="21"/>
                <w:szCs w:val="21"/>
                <w:highlight w:val="none"/>
              </w:rPr>
              <w:t>二层</w:t>
            </w:r>
            <w:r>
              <w:rPr>
                <w:rFonts w:hint="eastAsia" w:ascii="宋体" w:hAnsi="宋体" w:eastAsia="宋体" w:cs="Times New Roman"/>
                <w:color w:val="auto"/>
                <w:sz w:val="21"/>
                <w:szCs w:val="21"/>
                <w:highlight w:val="none"/>
                <w:lang w:eastAsia="zh-CN"/>
              </w:rPr>
              <w:t>的</w:t>
            </w:r>
            <w:r>
              <w:rPr>
                <w:rFonts w:hint="eastAsia" w:ascii="宋体" w:hAnsi="宋体" w:eastAsia="宋体" w:cs="Times New Roman"/>
                <w:color w:val="auto"/>
                <w:sz w:val="21"/>
                <w:szCs w:val="21"/>
                <w:highlight w:val="none"/>
              </w:rPr>
              <w:t>部分展区</w:t>
            </w:r>
            <w:r>
              <w:rPr>
                <w:rFonts w:hint="eastAsia" w:ascii="宋体" w:hAnsi="宋体" w:eastAsia="宋体" w:cs="Times New Roman"/>
                <w:color w:val="auto"/>
                <w:sz w:val="21"/>
                <w:szCs w:val="21"/>
                <w:highlight w:val="none"/>
                <w:lang w:eastAsia="zh-CN"/>
              </w:rPr>
              <w:t>（</w:t>
            </w:r>
            <w:r>
              <w:rPr>
                <w:rFonts w:hint="eastAsia" w:ascii="宋体" w:hAnsi="宋体" w:eastAsia="宋体" w:cs="Times New Roman"/>
                <w:color w:val="auto"/>
                <w:sz w:val="21"/>
                <w:szCs w:val="21"/>
                <w:highlight w:val="none"/>
              </w:rPr>
              <w:t>含沙盘</w:t>
            </w:r>
            <w:r>
              <w:rPr>
                <w:rFonts w:hint="eastAsia" w:ascii="宋体" w:hAnsi="宋体" w:eastAsia="宋体" w:cs="Times New Roman"/>
                <w:color w:val="auto"/>
                <w:sz w:val="21"/>
                <w:szCs w:val="21"/>
                <w:highlight w:val="none"/>
                <w:lang w:eastAsia="zh-CN"/>
              </w:rPr>
              <w:t>以及沙盘配</w:t>
            </w:r>
            <w:r>
              <w:rPr>
                <w:rFonts w:hint="eastAsia" w:ascii="宋体" w:hAnsi="宋体" w:eastAsia="宋体" w:cs="Times New Roman"/>
                <w:color w:val="auto"/>
                <w:sz w:val="21"/>
                <w:szCs w:val="21"/>
                <w:highlight w:val="none"/>
              </w:rPr>
              <w:t>套影片）、三层全部展区</w:t>
            </w:r>
            <w:r>
              <w:rPr>
                <w:rFonts w:hint="eastAsia" w:ascii="宋体" w:hAnsi="宋体" w:eastAsia="宋体" w:cs="Times New Roman"/>
                <w:color w:val="auto"/>
                <w:szCs w:val="21"/>
                <w:highlight w:val="none"/>
              </w:rPr>
              <w:t>进</w:t>
            </w:r>
            <w:r>
              <w:rPr>
                <w:rFonts w:hint="eastAsia" w:ascii="宋体" w:hAnsi="宋体" w:cs="Times New Roman"/>
                <w:color w:val="auto"/>
                <w:szCs w:val="21"/>
                <w:highlight w:val="none"/>
              </w:rPr>
              <w:t>行布展设计和更新改造</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rPr>
              <w:t>包括对布展空间和具体展陈设计、设计方案报审；施工图绘制、设备采购、现场施工、安装调试等。</w:t>
            </w:r>
          </w:p>
          <w:p w14:paraId="7467C31B">
            <w:pPr>
              <w:keepNext w:val="0"/>
              <w:keepLines w:val="0"/>
              <w:suppressLineNumbers w:val="0"/>
              <w:spacing w:before="0" w:beforeAutospacing="0" w:after="0" w:afterAutospacing="0"/>
              <w:ind w:left="0" w:right="0" w:firstLine="413" w:firstLineChars="196"/>
              <w:rPr>
                <w:rFonts w:hint="eastAsia" w:ascii="宋体" w:hAnsi="宋体" w:cs="Times New Roman"/>
                <w:b/>
                <w:bCs/>
                <w:color w:val="auto"/>
                <w:szCs w:val="21"/>
                <w:highlight w:val="none"/>
              </w:rPr>
            </w:pPr>
            <w:r>
              <w:rPr>
                <w:rFonts w:hint="eastAsia" w:ascii="宋体" w:hAnsi="宋体" w:cs="Times New Roman"/>
                <w:b/>
                <w:bCs/>
                <w:color w:val="auto"/>
                <w:szCs w:val="21"/>
                <w:highlight w:val="none"/>
              </w:rPr>
              <w:t>1.改造区域和主题</w:t>
            </w:r>
          </w:p>
          <w:p w14:paraId="5ED8BD78">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textAlignment w:val="auto"/>
              <w:rPr>
                <w:rFonts w:hint="default" w:ascii="宋体" w:hAnsi="宋体" w:eastAsia="宋体" w:cs="Times New Roman"/>
                <w:color w:val="auto"/>
                <w:szCs w:val="21"/>
                <w:highlight w:val="none"/>
                <w:lang w:val="en-US"/>
              </w:rPr>
            </w:pP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1</w:t>
            </w:r>
            <w:r>
              <w:rPr>
                <w:rFonts w:hint="eastAsia" w:ascii="宋体" w:hAnsi="宋体" w:cs="Times New Roman"/>
                <w:color w:val="auto"/>
                <w:szCs w:val="21"/>
                <w:highlight w:val="none"/>
                <w:lang w:eastAsia="zh-CN"/>
              </w:rPr>
              <w:t>）一层</w:t>
            </w:r>
            <w:r>
              <w:rPr>
                <w:rFonts w:hint="eastAsia" w:ascii="宋体" w:hAnsi="宋体" w:eastAsia="宋体" w:cs="Times New Roman"/>
                <w:color w:val="auto"/>
                <w:szCs w:val="21"/>
                <w:highlight w:val="none"/>
                <w:lang w:eastAsia="zh-CN"/>
              </w:rPr>
              <w:t>：①序厅</w:t>
            </w:r>
            <w:r>
              <w:rPr>
                <w:rFonts w:hint="eastAsia" w:ascii="宋体" w:hAnsi="宋体" w:cs="Times New Roman"/>
                <w:color w:val="auto"/>
                <w:szCs w:val="21"/>
                <w:highlight w:val="none"/>
              </w:rPr>
              <w:t>营造城市“第一印象”会客厅，展现“中国绿城”“壮乡首府”等特色，满足序厅的迎宾功能、集散功能、服务功能</w:t>
            </w:r>
            <w:r>
              <w:rPr>
                <w:rFonts w:hint="eastAsia" w:ascii="宋体" w:hAnsi="宋体" w:cs="Times New Roman"/>
                <w:color w:val="auto"/>
                <w:szCs w:val="21"/>
                <w:highlight w:val="none"/>
                <w:lang w:eastAsia="zh-CN"/>
              </w:rPr>
              <w:t>；</w:t>
            </w:r>
            <w:r>
              <w:rPr>
                <w:rFonts w:hint="eastAsia" w:ascii="宋体" w:hAnsi="宋体" w:eastAsia="宋体" w:cs="Times New Roman"/>
                <w:color w:val="auto"/>
                <w:szCs w:val="21"/>
                <w:highlight w:val="none"/>
              </w:rPr>
              <w:t>②</w:t>
            </w:r>
            <w:r>
              <w:rPr>
                <w:rFonts w:hint="eastAsia" w:ascii="宋体" w:hAnsi="宋体" w:eastAsia="宋体" w:cs="Times New Roman"/>
                <w:color w:val="auto"/>
                <w:szCs w:val="21"/>
                <w:highlight w:val="none"/>
                <w:lang w:eastAsia="zh-CN"/>
              </w:rPr>
              <w:t>将现状“南宁文化”“南宁旅游”主题展区改造为“当代发展”“绘筑邕城”主题展区；</w:t>
            </w:r>
            <w:r>
              <w:rPr>
                <w:rFonts w:hint="eastAsia" w:ascii="宋体" w:hAnsi="宋体" w:eastAsia="宋体" w:cs="Times New Roman"/>
                <w:color w:val="auto"/>
                <w:kern w:val="2"/>
                <w:sz w:val="21"/>
                <w:szCs w:val="21"/>
                <w:highlight w:val="none"/>
                <w:lang w:val="en-US" w:eastAsia="zh-CN" w:bidi="ar-SA"/>
              </w:rPr>
              <w:t>③将原信息查询展项改造为"人工智能+自然资源"主题展区；</w:t>
            </w:r>
            <w:r>
              <w:rPr>
                <w:rFonts w:hint="eastAsia" w:ascii="宋体" w:hAnsi="宋体" w:eastAsia="宋体" w:cs="Times New Roman"/>
                <w:color w:val="auto"/>
                <w:szCs w:val="21"/>
                <w:highlight w:val="none"/>
                <w:lang w:eastAsia="zh-CN"/>
              </w:rPr>
              <w:t>改造面积约</w:t>
            </w:r>
            <w:r>
              <w:rPr>
                <w:rFonts w:hint="eastAsia" w:ascii="宋体" w:hAnsi="宋体" w:eastAsia="宋体" w:cs="Times New Roman"/>
                <w:color w:val="auto"/>
                <w:szCs w:val="21"/>
                <w:highlight w:val="none"/>
                <w:lang w:val="en-US" w:eastAsia="zh-CN"/>
              </w:rPr>
              <w:t>800平方米。</w:t>
            </w:r>
          </w:p>
          <w:p w14:paraId="6DA6B6E0">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2</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rPr>
              <w:t>二层：主要制作核心数字沙盘（含配套</w:t>
            </w:r>
            <w:r>
              <w:rPr>
                <w:rFonts w:hint="eastAsia" w:ascii="宋体" w:hAnsi="宋体" w:cs="Times New Roman"/>
                <w:color w:val="auto"/>
                <w:szCs w:val="21"/>
                <w:highlight w:val="none"/>
                <w:lang w:eastAsia="zh-CN"/>
              </w:rPr>
              <w:t>电子显示屏设备</w:t>
            </w:r>
            <w:r>
              <w:rPr>
                <w:rFonts w:hint="eastAsia" w:ascii="宋体" w:hAnsi="宋体" w:cs="Times New Roman"/>
                <w:color w:val="auto"/>
                <w:szCs w:val="21"/>
                <w:highlight w:val="none"/>
              </w:rPr>
              <w:t>）</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rPr>
              <w:t>布置产业发展、道路交通、公共服务设施、公园绿地系统等专项展区内容</w:t>
            </w:r>
            <w:r>
              <w:rPr>
                <w:rFonts w:hint="eastAsia" w:ascii="宋体" w:hAnsi="宋体" w:cs="Times New Roman"/>
                <w:color w:val="auto"/>
                <w:szCs w:val="21"/>
                <w:highlight w:val="none"/>
                <w:lang w:eastAsia="zh-CN"/>
              </w:rPr>
              <w:t>；改造面积约</w:t>
            </w:r>
            <w:r>
              <w:rPr>
                <w:rFonts w:hint="eastAsia" w:ascii="宋体" w:hAnsi="宋体" w:cs="Times New Roman"/>
                <w:color w:val="auto"/>
                <w:szCs w:val="21"/>
                <w:highlight w:val="none"/>
                <w:lang w:val="en-US" w:eastAsia="zh-CN"/>
              </w:rPr>
              <w:t>3400平方米</w:t>
            </w:r>
            <w:r>
              <w:rPr>
                <w:rFonts w:hint="eastAsia" w:ascii="宋体" w:hAnsi="宋体" w:cs="Times New Roman"/>
                <w:color w:val="auto"/>
                <w:szCs w:val="21"/>
                <w:highlight w:val="none"/>
              </w:rPr>
              <w:t>。</w:t>
            </w:r>
          </w:p>
          <w:p w14:paraId="7EEBF518">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3</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rPr>
              <w:t>三层：主要布置南宁国土空间总体规划以及相关内容（如城市落实高质量发展任务的重要区域和重点项目——</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rPr>
              <w:t>东部新城</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rPr>
              <w:t>五象新区</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rPr>
              <w:t>两港一区</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rPr>
              <w:t>等</w:t>
            </w:r>
            <w:r>
              <w:rPr>
                <w:rFonts w:hint="eastAsia" w:ascii="宋体" w:hAnsi="宋体" w:cs="Times New Roman"/>
                <w:color w:val="auto"/>
                <w:szCs w:val="21"/>
                <w:highlight w:val="none"/>
                <w:lang w:eastAsia="zh-CN"/>
              </w:rPr>
              <w:t>），改造面积约</w:t>
            </w:r>
            <w:r>
              <w:rPr>
                <w:rFonts w:hint="eastAsia" w:ascii="宋体" w:hAnsi="宋体" w:cs="Times New Roman"/>
                <w:color w:val="auto"/>
                <w:szCs w:val="21"/>
                <w:highlight w:val="none"/>
                <w:lang w:val="en-US" w:eastAsia="zh-CN"/>
              </w:rPr>
              <w:t>1600平方米</w:t>
            </w:r>
            <w:r>
              <w:rPr>
                <w:rFonts w:hint="eastAsia" w:ascii="宋体" w:hAnsi="宋体" w:cs="Times New Roman"/>
                <w:color w:val="auto"/>
                <w:szCs w:val="21"/>
                <w:highlight w:val="none"/>
              </w:rPr>
              <w:t>。</w:t>
            </w:r>
          </w:p>
          <w:p w14:paraId="65ED76CC">
            <w:pPr>
              <w:keepNext w:val="0"/>
              <w:keepLines w:val="0"/>
              <w:suppressLineNumbers w:val="0"/>
              <w:spacing w:before="0" w:beforeAutospacing="0" w:after="0" w:afterAutospacing="0"/>
              <w:ind w:left="0" w:right="0" w:firstLine="413" w:firstLineChars="196"/>
              <w:rPr>
                <w:rFonts w:hint="eastAsia" w:ascii="宋体" w:hAnsi="宋体" w:cs="Times New Roman"/>
                <w:b/>
                <w:bCs/>
                <w:color w:val="auto"/>
                <w:szCs w:val="21"/>
                <w:highlight w:val="none"/>
              </w:rPr>
            </w:pPr>
            <w:r>
              <w:rPr>
                <w:rFonts w:hint="eastAsia" w:ascii="宋体" w:hAnsi="宋体" w:cs="Times New Roman"/>
                <w:b/>
                <w:bCs/>
                <w:color w:val="auto"/>
                <w:szCs w:val="21"/>
                <w:highlight w:val="none"/>
              </w:rPr>
              <w:t>2.主要改造内容</w:t>
            </w:r>
          </w:p>
          <w:p w14:paraId="0D0E6D57">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lang w:eastAsia="zh-CN"/>
              </w:rPr>
            </w:pPr>
            <w:r>
              <w:rPr>
                <w:rFonts w:hint="eastAsia" w:ascii="宋体" w:hAnsi="宋体" w:cs="Times New Roman"/>
                <w:color w:val="auto"/>
                <w:szCs w:val="21"/>
                <w:highlight w:val="none"/>
              </w:rPr>
              <w:t>（1）</w:t>
            </w:r>
            <w:r>
              <w:rPr>
                <w:rFonts w:hint="eastAsia" w:ascii="宋体" w:hAnsi="宋体" w:cs="Times New Roman"/>
                <w:color w:val="auto"/>
                <w:szCs w:val="21"/>
                <w:highlight w:val="none"/>
                <w:lang w:eastAsia="zh-CN"/>
              </w:rPr>
              <w:t>一层重点展区</w:t>
            </w:r>
            <w:r>
              <w:rPr>
                <w:rFonts w:hint="eastAsia" w:ascii="宋体" w:hAnsi="宋体" w:cs="Times New Roman"/>
                <w:color w:val="auto"/>
                <w:szCs w:val="21"/>
                <w:highlight w:val="none"/>
                <w:lang w:val="en-US" w:eastAsia="zh-CN"/>
              </w:rPr>
              <w:t>/</w:t>
            </w:r>
            <w:r>
              <w:rPr>
                <w:rFonts w:hint="eastAsia" w:ascii="宋体" w:hAnsi="宋体" w:cs="Times New Roman"/>
                <w:color w:val="auto"/>
                <w:szCs w:val="21"/>
                <w:highlight w:val="none"/>
                <w:lang w:eastAsia="zh-CN"/>
              </w:rPr>
              <w:t>展项</w:t>
            </w:r>
          </w:p>
          <w:p w14:paraId="029EE3A3">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eastAsia="zh-CN"/>
              </w:rPr>
              <w:t>①</w:t>
            </w:r>
            <w:r>
              <w:rPr>
                <w:rFonts w:hint="eastAsia" w:ascii="宋体" w:hAnsi="宋体" w:cs="Times New Roman"/>
                <w:color w:val="auto"/>
                <w:szCs w:val="21"/>
                <w:highlight w:val="none"/>
                <w:lang w:eastAsia="zh-CN"/>
              </w:rPr>
              <w:t>序厅：</w:t>
            </w:r>
            <w:r>
              <w:rPr>
                <w:rFonts w:hint="eastAsia" w:ascii="宋体" w:hAnsi="宋体" w:cs="Times New Roman"/>
                <w:color w:val="auto"/>
                <w:szCs w:val="21"/>
                <w:highlight w:val="none"/>
              </w:rPr>
              <w:t>重新打造序厅，增加屏幕设施并制作暖场片、宣传片等，并营造良好的</w:t>
            </w:r>
            <w:r>
              <w:rPr>
                <w:rFonts w:hint="eastAsia" w:ascii="宋体" w:hAnsi="宋体" w:eastAsia="宋体" w:cs="Times New Roman"/>
                <w:color w:val="auto"/>
                <w:szCs w:val="21"/>
                <w:highlight w:val="none"/>
              </w:rPr>
              <w:t>到达感，加强观众对南宁城市特征的第一印象</w:t>
            </w:r>
            <w:r>
              <w:rPr>
                <w:rFonts w:hint="eastAsia" w:ascii="宋体" w:hAnsi="宋体" w:eastAsia="宋体" w:cs="Times New Roman"/>
                <w:color w:val="auto"/>
                <w:szCs w:val="21"/>
                <w:highlight w:val="none"/>
                <w:lang w:val="en-US" w:eastAsia="zh-CN"/>
              </w:rPr>
              <w:t>；</w:t>
            </w:r>
          </w:p>
          <w:p w14:paraId="0223F8AB">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textAlignment w:val="auto"/>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lang w:eastAsia="zh-CN"/>
              </w:rPr>
              <w:t>②主题展区：更新展墙展板和视频内容，“当代发展”展区以展示城市规划变迁为主题内容；“绘筑邕城”陈列南宁市代表性建筑和重点片区城市设计的精细模型和设计图；</w:t>
            </w:r>
            <w:r>
              <w:rPr>
                <w:rFonts w:hint="eastAsia" w:ascii="宋体" w:hAnsi="宋体" w:eastAsia="宋体" w:cs="Times New Roman"/>
                <w:color w:val="auto"/>
                <w:kern w:val="2"/>
                <w:sz w:val="21"/>
                <w:szCs w:val="21"/>
                <w:highlight w:val="none"/>
                <w:lang w:val="en-US" w:eastAsia="zh-CN" w:bidi="ar-SA"/>
              </w:rPr>
              <w:t>"人工智能+自然资源"展区主要展示运用人工智能在自然资源领域内实现产业赋能的案例；</w:t>
            </w:r>
            <w:r>
              <w:rPr>
                <w:rFonts w:hint="eastAsia" w:ascii="宋体" w:hAnsi="宋体" w:eastAsia="宋体" w:cs="Times New Roman"/>
                <w:color w:val="auto"/>
                <w:szCs w:val="21"/>
                <w:highlight w:val="none"/>
                <w:lang w:eastAsia="zh-CN"/>
              </w:rPr>
              <w:t>使更新后的展区与保留的原展区内容合理衔接，保持叙事脉络顺畅。</w:t>
            </w:r>
          </w:p>
          <w:p w14:paraId="2A871A52">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lang w:eastAsia="zh-CN"/>
              </w:rPr>
            </w:pPr>
            <w:r>
              <w:rPr>
                <w:rFonts w:hint="eastAsia" w:ascii="宋体" w:hAnsi="宋体" w:cs="Times New Roman"/>
                <w:color w:val="auto"/>
                <w:szCs w:val="21"/>
                <w:highlight w:val="none"/>
              </w:rPr>
              <w:t>（</w:t>
            </w:r>
            <w:r>
              <w:rPr>
                <w:rFonts w:hint="eastAsia" w:ascii="宋体" w:hAnsi="宋体" w:cs="Times New Roman"/>
                <w:color w:val="auto"/>
                <w:szCs w:val="21"/>
                <w:highlight w:val="none"/>
                <w:lang w:val="en-US" w:eastAsia="zh-CN"/>
              </w:rPr>
              <w:t>2</w:t>
            </w:r>
            <w:r>
              <w:rPr>
                <w:rFonts w:hint="eastAsia" w:ascii="宋体" w:hAnsi="宋体" w:cs="Times New Roman"/>
                <w:color w:val="auto"/>
                <w:szCs w:val="21"/>
                <w:highlight w:val="none"/>
              </w:rPr>
              <w:t>）</w:t>
            </w:r>
            <w:r>
              <w:rPr>
                <w:rFonts w:hint="eastAsia" w:ascii="宋体" w:hAnsi="宋体" w:cs="Times New Roman"/>
                <w:color w:val="auto"/>
                <w:szCs w:val="21"/>
                <w:highlight w:val="none"/>
                <w:lang w:eastAsia="zh-CN"/>
              </w:rPr>
              <w:t>二层重点展区</w:t>
            </w:r>
            <w:r>
              <w:rPr>
                <w:rFonts w:hint="eastAsia" w:ascii="宋体" w:hAnsi="宋体" w:cs="Times New Roman"/>
                <w:color w:val="auto"/>
                <w:szCs w:val="21"/>
                <w:highlight w:val="none"/>
                <w:lang w:val="en-US" w:eastAsia="zh-CN"/>
              </w:rPr>
              <w:t>/</w:t>
            </w:r>
            <w:r>
              <w:rPr>
                <w:rFonts w:hint="eastAsia" w:ascii="宋体" w:hAnsi="宋体" w:cs="Times New Roman"/>
                <w:color w:val="auto"/>
                <w:szCs w:val="21"/>
                <w:highlight w:val="none"/>
                <w:lang w:eastAsia="zh-CN"/>
              </w:rPr>
              <w:t>展项</w:t>
            </w:r>
          </w:p>
          <w:p w14:paraId="301F9741">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lang w:eastAsia="zh-CN"/>
              </w:rPr>
            </w:pPr>
            <w:r>
              <w:rPr>
                <w:rFonts w:hint="eastAsia" w:ascii="宋体" w:hAnsi="宋体" w:eastAsia="宋体" w:cs="Times New Roman"/>
                <w:color w:val="auto"/>
                <w:szCs w:val="21"/>
                <w:highlight w:val="none"/>
                <w:lang w:eastAsia="zh-CN"/>
              </w:rPr>
              <w:t>①</w:t>
            </w:r>
            <w:r>
              <w:rPr>
                <w:rFonts w:hint="eastAsia" w:ascii="宋体" w:hAnsi="宋体" w:cs="Times New Roman"/>
                <w:color w:val="auto"/>
                <w:szCs w:val="21"/>
                <w:highlight w:val="none"/>
                <w:lang w:eastAsia="zh-CN"/>
              </w:rPr>
              <w:t>核心沙盘和影片</w:t>
            </w:r>
          </w:p>
          <w:p w14:paraId="0350B4FC">
            <w:pPr>
              <w:keepNext w:val="0"/>
              <w:keepLines w:val="0"/>
              <w:suppressLineNumbers w:val="0"/>
              <w:spacing w:before="0" w:beforeAutospacing="0" w:after="0" w:afterAutospacing="0"/>
              <w:ind w:left="0" w:right="0" w:firstLine="411" w:firstLineChars="196"/>
              <w:rPr>
                <w:rFonts w:hint="default" w:ascii="宋体" w:hAnsi="宋体" w:cs="Times New Roman"/>
                <w:color w:val="auto"/>
                <w:szCs w:val="21"/>
                <w:highlight w:val="none"/>
                <w:lang w:eastAsia="zh-CN"/>
              </w:rPr>
            </w:pPr>
            <w:r>
              <w:rPr>
                <w:rFonts w:hint="eastAsia" w:ascii="宋体" w:hAnsi="宋体" w:cs="Times New Roman"/>
                <w:color w:val="auto"/>
                <w:szCs w:val="21"/>
                <w:highlight w:val="none"/>
              </w:rPr>
              <w:t>拆除</w:t>
            </w:r>
            <w:r>
              <w:rPr>
                <w:rFonts w:hint="eastAsia" w:ascii="宋体" w:hAnsi="宋体" w:cs="Times New Roman"/>
                <w:color w:val="auto"/>
                <w:szCs w:val="21"/>
                <w:highlight w:val="none"/>
                <w:lang w:eastAsia="zh-CN"/>
              </w:rPr>
              <w:t>原</w:t>
            </w:r>
            <w:r>
              <w:rPr>
                <w:rFonts w:hint="eastAsia" w:ascii="宋体" w:hAnsi="宋体" w:cs="Times New Roman"/>
                <w:color w:val="auto"/>
                <w:szCs w:val="21"/>
                <w:highlight w:val="none"/>
              </w:rPr>
              <w:t>1112平方米</w:t>
            </w:r>
            <w:r>
              <w:rPr>
                <w:rFonts w:hint="eastAsia" w:ascii="宋体" w:hAnsi="宋体" w:cs="Times New Roman"/>
                <w:color w:val="auto"/>
                <w:szCs w:val="21"/>
                <w:highlight w:val="none"/>
                <w:lang w:eastAsia="zh-CN"/>
              </w:rPr>
              <w:t>物理沙盘、原沙盘配套</w:t>
            </w:r>
            <w:r>
              <w:rPr>
                <w:rFonts w:hint="eastAsia" w:ascii="宋体" w:hAnsi="宋体" w:cs="Times New Roman"/>
                <w:color w:val="auto"/>
                <w:szCs w:val="21"/>
                <w:highlight w:val="none"/>
              </w:rPr>
              <w:t>LED</w:t>
            </w:r>
            <w:r>
              <w:rPr>
                <w:rFonts w:hint="eastAsia" w:ascii="宋体" w:hAnsi="宋体" w:cs="Times New Roman"/>
                <w:color w:val="auto"/>
                <w:szCs w:val="21"/>
                <w:highlight w:val="none"/>
                <w:lang w:eastAsia="zh-CN"/>
              </w:rPr>
              <w:t>大屏和</w:t>
            </w:r>
            <w:r>
              <w:rPr>
                <w:rFonts w:hint="eastAsia" w:ascii="宋体" w:hAnsi="宋体" w:cs="Times New Roman"/>
                <w:color w:val="auto"/>
                <w:szCs w:val="21"/>
                <w:highlight w:val="none"/>
              </w:rPr>
              <w:t>屏幕两翼的壁挂模型</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rPr>
              <w:t>重新制作数字沙盘，面积不</w:t>
            </w:r>
            <w:r>
              <w:rPr>
                <w:rFonts w:hint="eastAsia" w:ascii="宋体" w:hAnsi="宋体" w:cs="Times New Roman"/>
                <w:color w:val="auto"/>
                <w:szCs w:val="21"/>
                <w:highlight w:val="none"/>
                <w:lang w:eastAsia="zh-CN"/>
              </w:rPr>
              <w:t>少</w:t>
            </w:r>
            <w:r>
              <w:rPr>
                <w:rFonts w:hint="eastAsia" w:ascii="宋体" w:hAnsi="宋体" w:cs="Times New Roman"/>
                <w:color w:val="auto"/>
                <w:szCs w:val="21"/>
                <w:highlight w:val="none"/>
              </w:rPr>
              <w:t>于</w:t>
            </w:r>
            <w:r>
              <w:rPr>
                <w:rFonts w:hint="eastAsia" w:ascii="宋体" w:hAnsi="宋体" w:cs="Times New Roman"/>
                <w:color w:val="auto"/>
                <w:szCs w:val="21"/>
                <w:highlight w:val="none"/>
                <w:lang w:val="en-US" w:eastAsia="zh-CN"/>
              </w:rPr>
              <w:t>800</w:t>
            </w:r>
            <w:r>
              <w:rPr>
                <w:rFonts w:hint="eastAsia" w:ascii="宋体" w:hAnsi="宋体" w:cs="Times New Roman"/>
                <w:color w:val="auto"/>
                <w:szCs w:val="21"/>
                <w:highlight w:val="none"/>
              </w:rPr>
              <w:t>平方米</w:t>
            </w:r>
            <w:r>
              <w:rPr>
                <w:rFonts w:hint="eastAsia" w:ascii="宋体" w:hAnsi="宋体" w:cs="Times New Roman"/>
                <w:color w:val="auto"/>
                <w:szCs w:val="21"/>
                <w:highlight w:val="none"/>
                <w:lang w:eastAsia="zh-CN"/>
              </w:rPr>
              <w:t>，应用裸眼三维立体显示技术重新制作数字沙盘配套的大屏影片</w:t>
            </w:r>
            <w:r>
              <w:rPr>
                <w:rFonts w:hint="eastAsia" w:ascii="宋体" w:hAnsi="宋体" w:cs="Times New Roman"/>
                <w:color w:val="auto"/>
                <w:szCs w:val="21"/>
                <w:highlight w:val="none"/>
              </w:rPr>
              <w:t>（主要宣传南宁的城市发展和规划）</w:t>
            </w:r>
            <w:r>
              <w:rPr>
                <w:rFonts w:hint="eastAsia" w:ascii="宋体" w:hAnsi="宋体" w:cs="Times New Roman"/>
                <w:color w:val="auto"/>
                <w:szCs w:val="21"/>
                <w:highlight w:val="none"/>
                <w:lang w:val="en-US" w:eastAsia="zh-CN"/>
              </w:rPr>
              <w:t>，同时在空余处适当增补局部区域小型物理沙盘。</w:t>
            </w:r>
          </w:p>
          <w:p w14:paraId="0220D286">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lang w:eastAsia="zh-CN"/>
              </w:rPr>
            </w:pPr>
            <w:r>
              <w:rPr>
                <w:rFonts w:hint="eastAsia" w:ascii="宋体" w:hAnsi="宋体" w:cs="Times New Roman"/>
                <w:color w:val="auto"/>
                <w:szCs w:val="21"/>
                <w:highlight w:val="none"/>
                <w:lang w:eastAsia="zh-CN"/>
              </w:rPr>
              <w:t>对原</w:t>
            </w:r>
            <w:r>
              <w:rPr>
                <w:rFonts w:hint="eastAsia" w:ascii="宋体" w:hAnsi="宋体" w:cs="Times New Roman"/>
                <w:color w:val="auto"/>
                <w:szCs w:val="21"/>
                <w:highlight w:val="none"/>
              </w:rPr>
              <w:t>沙盘配套LED大屏（面积约168平方米）</w:t>
            </w:r>
            <w:r>
              <w:rPr>
                <w:rFonts w:hint="eastAsia" w:ascii="宋体" w:hAnsi="宋体" w:cs="Times New Roman"/>
                <w:color w:val="auto"/>
                <w:szCs w:val="21"/>
                <w:highlight w:val="none"/>
                <w:lang w:eastAsia="zh-CN"/>
              </w:rPr>
              <w:t>的拆除为保护性拆除，</w:t>
            </w:r>
            <w:r>
              <w:rPr>
                <w:rFonts w:hint="eastAsia" w:ascii="宋体" w:hAnsi="宋体" w:cs="Times New Roman"/>
                <w:color w:val="auto"/>
                <w:szCs w:val="21"/>
                <w:highlight w:val="none"/>
              </w:rPr>
              <w:t>损耗不超过5%，将显示效果完好、外表无明显磕碰的LED模块，以及相应的箱体、电源系统等，安装至</w:t>
            </w:r>
            <w:r>
              <w:rPr>
                <w:rFonts w:hint="eastAsia" w:ascii="宋体" w:hAnsi="宋体" w:cs="Times New Roman"/>
                <w:color w:val="auto"/>
                <w:szCs w:val="21"/>
                <w:highlight w:val="none"/>
                <w:lang w:eastAsia="zh-CN"/>
              </w:rPr>
              <w:t>南宁市城市规划展示馆</w:t>
            </w:r>
            <w:r>
              <w:rPr>
                <w:rFonts w:hint="eastAsia" w:ascii="宋体" w:hAnsi="宋体" w:cs="Times New Roman"/>
                <w:color w:val="auto"/>
                <w:szCs w:val="21"/>
                <w:highlight w:val="none"/>
              </w:rPr>
              <w:t>办公区二层的学术报告厅，该屏幕铺设框架以及安装面积为38平方米（高3.3米，长11.5米），剩余的LED模块、箱体、电源系统等零配件按功能完好程度分类归类存放</w:t>
            </w:r>
            <w:r>
              <w:rPr>
                <w:rFonts w:hint="eastAsia" w:ascii="宋体" w:hAnsi="宋体" w:cs="Times New Roman"/>
                <w:color w:val="auto"/>
                <w:szCs w:val="21"/>
                <w:highlight w:val="none"/>
                <w:lang w:eastAsia="zh-CN"/>
              </w:rPr>
              <w:t>。</w:t>
            </w:r>
          </w:p>
          <w:p w14:paraId="7CC52735">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lang w:eastAsia="zh-CN"/>
              </w:rPr>
            </w:pPr>
            <w:r>
              <w:rPr>
                <w:rFonts w:hint="eastAsia" w:ascii="宋体" w:hAnsi="宋体" w:cs="Times New Roman"/>
                <w:color w:val="auto"/>
                <w:szCs w:val="21"/>
                <w:highlight w:val="none"/>
              </w:rPr>
              <w:t>拆除原顶部舞台灯光系统并重新布置相应的灯光亮化系统（含预留检修通道），对无法继续使用的部件进行拆解，分离出金属框架、PCB板、线缆、灯条等可回收材</w:t>
            </w:r>
            <w:r>
              <w:rPr>
                <w:rFonts w:hint="eastAsia" w:ascii="宋体" w:hAnsi="宋体" w:eastAsia="宋体" w:cs="Times New Roman"/>
                <w:color w:val="auto"/>
                <w:szCs w:val="21"/>
                <w:highlight w:val="none"/>
              </w:rPr>
              <w:t>料，给甲方保存用于展区其他展项的后期灯光、模型维护</w:t>
            </w:r>
            <w:r>
              <w:rPr>
                <w:rFonts w:hint="eastAsia" w:ascii="宋体" w:hAnsi="宋体" w:eastAsia="宋体" w:cs="Times New Roman"/>
                <w:color w:val="auto"/>
                <w:szCs w:val="21"/>
                <w:highlight w:val="none"/>
                <w:lang w:eastAsia="zh-CN"/>
              </w:rPr>
              <w:t>。</w:t>
            </w:r>
          </w:p>
          <w:p w14:paraId="25B60A6F">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lang w:eastAsia="zh-CN"/>
              </w:rPr>
              <w:t>②以展墙、展板、模型、影片和互动体验为主的配套展示内容，主题展示“壮府山江</w:t>
            </w:r>
            <w:r>
              <w:rPr>
                <w:rFonts w:hint="eastAsia" w:ascii="宋体" w:hAnsi="宋体" w:cs="Times New Roman"/>
                <w:color w:val="auto"/>
                <w:szCs w:val="21"/>
                <w:highlight w:val="none"/>
                <w:lang w:eastAsia="zh-CN"/>
              </w:rPr>
              <w:t>”“八方通衢”“中心城市”“开放门户”“中国绿城”</w:t>
            </w:r>
            <w:r>
              <w:rPr>
                <w:rFonts w:hint="eastAsia" w:ascii="宋体" w:hAnsi="宋体" w:cs="Times New Roman"/>
                <w:color w:val="auto"/>
                <w:szCs w:val="21"/>
                <w:highlight w:val="none"/>
              </w:rPr>
              <w:t>等</w:t>
            </w:r>
            <w:r>
              <w:rPr>
                <w:rFonts w:hint="eastAsia" w:ascii="宋体" w:hAnsi="宋体" w:cs="Times New Roman"/>
                <w:color w:val="auto"/>
                <w:szCs w:val="21"/>
                <w:highlight w:val="none"/>
                <w:lang w:eastAsia="zh-CN"/>
              </w:rPr>
              <w:t>各</w:t>
            </w:r>
            <w:r>
              <w:rPr>
                <w:rFonts w:hint="eastAsia" w:ascii="宋体" w:hAnsi="宋体" w:cs="Times New Roman"/>
                <w:color w:val="auto"/>
                <w:szCs w:val="21"/>
                <w:highlight w:val="none"/>
              </w:rPr>
              <w:t>专项展区内容</w:t>
            </w:r>
            <w:r>
              <w:rPr>
                <w:rFonts w:hint="eastAsia" w:ascii="宋体" w:hAnsi="宋体" w:cs="Times New Roman"/>
                <w:color w:val="auto"/>
                <w:szCs w:val="21"/>
                <w:highlight w:val="none"/>
                <w:lang w:eastAsia="zh-CN"/>
              </w:rPr>
              <w:t>；参观流线结尾处以屏幕互动或视频形式收尾。</w:t>
            </w:r>
          </w:p>
          <w:p w14:paraId="39B16202">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lang w:eastAsia="zh-CN"/>
              </w:rPr>
            </w:pPr>
            <w:r>
              <w:rPr>
                <w:rFonts w:hint="eastAsia" w:ascii="宋体" w:hAnsi="宋体" w:cs="Times New Roman"/>
                <w:color w:val="auto"/>
                <w:szCs w:val="21"/>
                <w:highlight w:val="none"/>
              </w:rPr>
              <w:t>（</w:t>
            </w:r>
            <w:r>
              <w:rPr>
                <w:rFonts w:hint="eastAsia" w:ascii="宋体" w:hAnsi="宋体" w:cs="Times New Roman"/>
                <w:color w:val="auto"/>
                <w:szCs w:val="21"/>
                <w:highlight w:val="none"/>
                <w:lang w:val="en-US" w:eastAsia="zh-CN"/>
              </w:rPr>
              <w:t>3</w:t>
            </w:r>
            <w:r>
              <w:rPr>
                <w:rFonts w:hint="eastAsia" w:ascii="宋体" w:hAnsi="宋体" w:cs="Times New Roman"/>
                <w:color w:val="auto"/>
                <w:szCs w:val="21"/>
                <w:highlight w:val="none"/>
              </w:rPr>
              <w:t>）</w:t>
            </w:r>
            <w:r>
              <w:rPr>
                <w:rFonts w:hint="eastAsia" w:ascii="宋体" w:hAnsi="宋体" w:cs="Times New Roman"/>
                <w:color w:val="auto"/>
                <w:szCs w:val="21"/>
                <w:highlight w:val="none"/>
                <w:lang w:eastAsia="zh-CN"/>
              </w:rPr>
              <w:t>三层重点展区</w:t>
            </w:r>
            <w:r>
              <w:rPr>
                <w:rFonts w:hint="eastAsia" w:ascii="宋体" w:hAnsi="宋体" w:cs="Times New Roman"/>
                <w:color w:val="auto"/>
                <w:szCs w:val="21"/>
                <w:highlight w:val="none"/>
                <w:lang w:val="en-US" w:eastAsia="zh-CN"/>
              </w:rPr>
              <w:t>/</w:t>
            </w:r>
            <w:r>
              <w:rPr>
                <w:rFonts w:hint="eastAsia" w:ascii="宋体" w:hAnsi="宋体" w:cs="Times New Roman"/>
                <w:color w:val="auto"/>
                <w:szCs w:val="21"/>
                <w:highlight w:val="none"/>
                <w:lang w:eastAsia="zh-CN"/>
              </w:rPr>
              <w:t>展项</w:t>
            </w:r>
          </w:p>
          <w:p w14:paraId="70CFAB52">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eastAsia="宋体" w:cs="Times New Roman"/>
                <w:color w:val="auto"/>
                <w:szCs w:val="21"/>
                <w:highlight w:val="none"/>
                <w:lang w:eastAsia="zh-CN"/>
              </w:rPr>
              <w:t>①“图览四方”：</w:t>
            </w:r>
            <w:r>
              <w:rPr>
                <w:rFonts w:hint="eastAsia" w:ascii="宋体" w:hAnsi="宋体" w:cs="Times New Roman"/>
                <w:color w:val="auto"/>
                <w:szCs w:val="21"/>
                <w:highlight w:val="none"/>
              </w:rPr>
              <w:t>入口主题墙制作</w:t>
            </w:r>
            <w:r>
              <w:rPr>
                <w:rFonts w:hint="eastAsia" w:ascii="宋体" w:hAnsi="宋体" w:cs="Times New Roman"/>
                <w:color w:val="auto"/>
                <w:szCs w:val="21"/>
                <w:highlight w:val="none"/>
                <w:lang w:eastAsia="zh-CN"/>
              </w:rPr>
              <w:t>，通过中国-东盟大区域地图展示南宁区位</w:t>
            </w:r>
            <w:r>
              <w:rPr>
                <w:rFonts w:hint="eastAsia" w:ascii="宋体" w:hAnsi="宋体" w:cs="Times New Roman"/>
                <w:color w:val="auto"/>
                <w:szCs w:val="21"/>
                <w:highlight w:val="none"/>
              </w:rPr>
              <w:t>；</w:t>
            </w:r>
          </w:p>
          <w:p w14:paraId="1D71095C">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lang w:eastAsia="zh-CN"/>
              </w:rPr>
              <w:t>②“南宁市国土空间总体规划”：制作展墙展板和电子屏幕内容，系统展示《南宁市国土空间总体规划(2021-2035年)》成果核心内容；</w:t>
            </w:r>
          </w:p>
          <w:p w14:paraId="20336870">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lang w:eastAsia="zh-CN"/>
              </w:rPr>
              <w:t>③“东部新城”：通过</w:t>
            </w:r>
            <w:r>
              <w:rPr>
                <w:rFonts w:hint="eastAsia" w:ascii="宋体" w:hAnsi="宋体" w:cs="Times New Roman"/>
                <w:color w:val="auto"/>
                <w:szCs w:val="21"/>
                <w:highlight w:val="none"/>
                <w:lang w:eastAsia="zh-CN"/>
              </w:rPr>
              <w:t>电子显示屏</w:t>
            </w:r>
            <w:r>
              <w:rPr>
                <w:rFonts w:hint="eastAsia" w:ascii="宋体" w:hAnsi="宋体" w:eastAsia="宋体" w:cs="Times New Roman"/>
                <w:color w:val="auto"/>
                <w:szCs w:val="21"/>
                <w:highlight w:val="none"/>
                <w:lang w:eastAsia="zh-CN"/>
              </w:rPr>
              <w:t>或者投影机的数字载体的展示手段，引入</w:t>
            </w:r>
            <w:r>
              <w:rPr>
                <w:rFonts w:hint="eastAsia" w:ascii="宋体" w:hAnsi="宋体" w:eastAsia="宋体" w:cs="Times New Roman"/>
                <w:color w:val="auto"/>
                <w:szCs w:val="21"/>
                <w:highlight w:val="none"/>
                <w:lang w:val="en-US" w:eastAsia="zh-CN"/>
              </w:rPr>
              <w:t>AI数字人展示形式，</w:t>
            </w:r>
            <w:r>
              <w:rPr>
                <w:rFonts w:hint="eastAsia" w:ascii="宋体" w:hAnsi="宋体" w:eastAsia="宋体" w:cs="Times New Roman"/>
                <w:color w:val="auto"/>
                <w:szCs w:val="21"/>
                <w:highlight w:val="none"/>
                <w:lang w:eastAsia="zh-CN"/>
              </w:rPr>
              <w:t>讲诉整体定位、发展战略等；</w:t>
            </w:r>
          </w:p>
          <w:p w14:paraId="220940FD">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lang w:eastAsia="zh-CN"/>
              </w:rPr>
              <w:t>④“五象新区”：制作较为精细的五象新区核心片区模型，结合平面展板等其他呈现方式，生动描绘五象新区面貌；</w:t>
            </w:r>
          </w:p>
          <w:p w14:paraId="1E4D692C">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lang w:eastAsia="zh-CN"/>
              </w:rPr>
              <w:t>⑤“两港一区”：以平面展板和电子屏幕,系统展示“两港一区”成果核心内容。</w:t>
            </w:r>
          </w:p>
          <w:p w14:paraId="41FE5407">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lang w:eastAsia="zh-CN"/>
              </w:rPr>
            </w:pPr>
            <w:r>
              <w:rPr>
                <w:rFonts w:hint="eastAsia" w:ascii="宋体" w:hAnsi="宋体" w:cs="Times New Roman"/>
                <w:color w:val="auto"/>
                <w:szCs w:val="21"/>
                <w:highlight w:val="none"/>
              </w:rPr>
              <w:t>（</w:t>
            </w:r>
            <w:r>
              <w:rPr>
                <w:rFonts w:hint="eastAsia" w:ascii="宋体" w:hAnsi="宋体" w:cs="Times New Roman"/>
                <w:color w:val="auto"/>
                <w:szCs w:val="21"/>
                <w:highlight w:val="none"/>
                <w:lang w:val="en-US" w:eastAsia="zh-CN"/>
              </w:rPr>
              <w:t>4</w:t>
            </w:r>
            <w:r>
              <w:rPr>
                <w:rFonts w:hint="eastAsia" w:ascii="宋体" w:hAnsi="宋体" w:cs="Times New Roman"/>
                <w:color w:val="auto"/>
                <w:szCs w:val="21"/>
                <w:highlight w:val="none"/>
              </w:rPr>
              <w:t>）</w:t>
            </w:r>
            <w:r>
              <w:rPr>
                <w:rFonts w:hint="eastAsia" w:ascii="宋体" w:hAnsi="宋体" w:cs="Times New Roman"/>
                <w:color w:val="auto"/>
                <w:szCs w:val="21"/>
                <w:highlight w:val="none"/>
                <w:lang w:eastAsia="zh-CN"/>
              </w:rPr>
              <w:t>展墙展板：</w:t>
            </w:r>
            <w:r>
              <w:rPr>
                <w:rFonts w:hint="eastAsia" w:ascii="宋体" w:hAnsi="宋体" w:cs="Times New Roman"/>
                <w:color w:val="auto"/>
                <w:szCs w:val="21"/>
                <w:highlight w:val="none"/>
              </w:rPr>
              <w:t>全盘考虑</w:t>
            </w:r>
            <w:r>
              <w:rPr>
                <w:rFonts w:hint="eastAsia" w:ascii="宋体" w:hAnsi="宋体" w:cs="Times New Roman"/>
                <w:color w:val="auto"/>
                <w:szCs w:val="21"/>
                <w:highlight w:val="none"/>
                <w:lang w:eastAsia="zh-CN"/>
              </w:rPr>
              <w:t>改造区域的</w:t>
            </w:r>
            <w:r>
              <w:rPr>
                <w:rFonts w:hint="eastAsia" w:ascii="宋体" w:hAnsi="宋体" w:cs="Times New Roman"/>
                <w:color w:val="auto"/>
                <w:szCs w:val="21"/>
                <w:highlight w:val="none"/>
              </w:rPr>
              <w:t>展墙展板；对内容进行合理整编、梳理，形成全面或者重点局部的空间分割、扩建展墙等，有效分明各展区，增加墙面曲面、半立面、层叠、不规则面等艺术化装饰；更新展示内容</w:t>
            </w:r>
            <w:r>
              <w:rPr>
                <w:rFonts w:hint="eastAsia" w:ascii="宋体" w:hAnsi="宋体" w:cs="Times New Roman"/>
                <w:color w:val="auto"/>
                <w:szCs w:val="21"/>
                <w:highlight w:val="none"/>
                <w:lang w:eastAsia="zh-CN"/>
              </w:rPr>
              <w:t>。</w:t>
            </w:r>
          </w:p>
          <w:p w14:paraId="7334BA2E">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lang w:eastAsia="zh-CN"/>
              </w:rPr>
            </w:pPr>
            <w:r>
              <w:rPr>
                <w:rFonts w:hint="eastAsia" w:ascii="宋体" w:hAnsi="宋体" w:cs="Times New Roman"/>
                <w:color w:val="auto"/>
                <w:szCs w:val="21"/>
                <w:highlight w:val="none"/>
              </w:rPr>
              <w:t>（5）</w:t>
            </w:r>
            <w:r>
              <w:rPr>
                <w:rFonts w:hint="eastAsia" w:ascii="宋体" w:hAnsi="宋体" w:cs="Times New Roman"/>
                <w:color w:val="auto"/>
                <w:szCs w:val="21"/>
                <w:highlight w:val="none"/>
                <w:lang w:eastAsia="zh-CN"/>
              </w:rPr>
              <w:t>其他多媒体影像内容：</w:t>
            </w:r>
            <w:r>
              <w:rPr>
                <w:rFonts w:hint="eastAsia" w:ascii="宋体" w:hAnsi="宋体" w:cs="Times New Roman"/>
                <w:color w:val="auto"/>
                <w:szCs w:val="21"/>
                <w:highlight w:val="none"/>
              </w:rPr>
              <w:t>展馆宣传片、专项规划内容影片等多媒体影像创作、拍摄、制作</w:t>
            </w:r>
            <w:r>
              <w:rPr>
                <w:rFonts w:hint="eastAsia" w:ascii="宋体" w:hAnsi="宋体" w:cs="Times New Roman"/>
                <w:color w:val="auto"/>
                <w:szCs w:val="21"/>
                <w:highlight w:val="none"/>
                <w:lang w:eastAsia="zh-CN"/>
              </w:rPr>
              <w:t>。</w:t>
            </w:r>
          </w:p>
          <w:p w14:paraId="092E9A47">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lang w:eastAsia="zh-CN"/>
              </w:rPr>
            </w:pPr>
            <w:r>
              <w:rPr>
                <w:rFonts w:hint="eastAsia" w:ascii="宋体" w:hAnsi="宋体" w:cs="Times New Roman"/>
                <w:color w:val="auto"/>
                <w:szCs w:val="21"/>
                <w:highlight w:val="none"/>
              </w:rPr>
              <w:t>（</w:t>
            </w:r>
            <w:r>
              <w:rPr>
                <w:rFonts w:hint="eastAsia" w:ascii="宋体" w:hAnsi="宋体" w:cs="Times New Roman"/>
                <w:color w:val="auto"/>
                <w:szCs w:val="21"/>
                <w:highlight w:val="none"/>
                <w:lang w:val="en-US" w:eastAsia="zh-CN"/>
              </w:rPr>
              <w:t>6</w:t>
            </w:r>
            <w:r>
              <w:rPr>
                <w:rFonts w:hint="eastAsia" w:ascii="宋体" w:hAnsi="宋体" w:cs="Times New Roman"/>
                <w:color w:val="auto"/>
                <w:szCs w:val="21"/>
                <w:highlight w:val="none"/>
              </w:rPr>
              <w:t>）</w:t>
            </w:r>
            <w:r>
              <w:rPr>
                <w:rFonts w:hint="eastAsia" w:ascii="宋体" w:hAnsi="宋体" w:eastAsia="宋体" w:cs="宋体"/>
                <w:b/>
                <w:bCs/>
                <w:color w:val="auto"/>
                <w:sz w:val="21"/>
                <w:szCs w:val="21"/>
                <w:highlight w:val="none"/>
                <w:lang w:val="en-US" w:eastAsia="zh-CN"/>
              </w:rPr>
              <w:t>宣传推广服务</w:t>
            </w:r>
            <w:r>
              <w:rPr>
                <w:rFonts w:hint="eastAsia" w:ascii="宋体" w:hAnsi="宋体" w:cs="Times New Roman"/>
                <w:color w:val="auto"/>
                <w:szCs w:val="21"/>
                <w:highlight w:val="none"/>
                <w:lang w:eastAsia="zh-CN"/>
              </w:rPr>
              <w:t>：制定宣传推广方案（含执行计划、预期宣传目标、过程报告及可量化的效果评估报告等）并实施，提供从创意策划、多渠道推广方案制定到具体落地执行（包括但不限于相关</w:t>
            </w:r>
            <w:r>
              <w:rPr>
                <w:rFonts w:hint="eastAsia" w:ascii="宋体" w:hAnsi="宋体" w:cs="Times New Roman"/>
                <w:color w:val="auto"/>
                <w:highlight w:val="none"/>
                <w:lang w:eastAsia="zh-CN"/>
              </w:rPr>
              <w:t>宣传</w:t>
            </w:r>
            <w:r>
              <w:rPr>
                <w:rFonts w:hint="eastAsia" w:ascii="宋体" w:hAnsi="宋体" w:cs="Times New Roman"/>
                <w:color w:val="auto"/>
                <w:highlight w:val="none"/>
              </w:rPr>
              <w:t>仪式、</w:t>
            </w:r>
            <w:r>
              <w:rPr>
                <w:rFonts w:hint="eastAsia" w:ascii="宋体" w:hAnsi="宋体" w:cs="Times New Roman"/>
                <w:color w:val="auto"/>
                <w:szCs w:val="21"/>
                <w:highlight w:val="none"/>
                <w:lang w:eastAsia="zh-CN"/>
              </w:rPr>
              <w:t>线上线下活动组织，媒体渠道投放、内容营销等）的全流程服务。</w:t>
            </w:r>
          </w:p>
          <w:p w14:paraId="5368380C">
            <w:pPr>
              <w:keepNext w:val="0"/>
              <w:keepLines w:val="0"/>
              <w:suppressLineNumbers w:val="0"/>
              <w:spacing w:before="0" w:beforeAutospacing="0" w:after="0" w:afterAutospacing="0"/>
              <w:ind w:left="0" w:right="0" w:firstLine="420" w:firstLineChars="200"/>
              <w:rPr>
                <w:rFonts w:hint="eastAsia" w:ascii="宋体" w:hAnsi="宋体" w:cs="Times New Roman"/>
                <w:color w:val="auto"/>
                <w:szCs w:val="21"/>
                <w:highlight w:val="none"/>
                <w:lang w:eastAsia="zh-CN"/>
              </w:rPr>
            </w:pPr>
            <w:r>
              <w:rPr>
                <w:rFonts w:hint="eastAsia" w:ascii="宋体" w:hAnsi="宋体" w:cs="Times New Roman"/>
                <w:color w:val="auto"/>
                <w:szCs w:val="21"/>
                <w:highlight w:val="none"/>
              </w:rPr>
              <w:t>（</w:t>
            </w:r>
            <w:r>
              <w:rPr>
                <w:rFonts w:hint="eastAsia" w:ascii="宋体" w:hAnsi="宋体" w:cs="Times New Roman"/>
                <w:color w:val="auto"/>
                <w:szCs w:val="21"/>
                <w:highlight w:val="none"/>
                <w:lang w:eastAsia="zh-CN"/>
              </w:rPr>
              <w:t>7</w:t>
            </w:r>
            <w:r>
              <w:rPr>
                <w:rFonts w:hint="eastAsia" w:ascii="宋体" w:hAnsi="宋体" w:cs="Times New Roman"/>
                <w:color w:val="auto"/>
                <w:szCs w:val="21"/>
                <w:highlight w:val="none"/>
              </w:rPr>
              <w:t>）</w:t>
            </w:r>
            <w:r>
              <w:rPr>
                <w:rFonts w:hint="eastAsia" w:ascii="宋体" w:hAnsi="宋体" w:cs="Times New Roman"/>
                <w:color w:val="auto"/>
                <w:szCs w:val="21"/>
                <w:highlight w:val="none"/>
                <w:lang w:eastAsia="zh-CN"/>
              </w:rPr>
              <w:t>其他配套工程</w:t>
            </w:r>
          </w:p>
          <w:p w14:paraId="577D0AEE">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lang w:eastAsia="zh-CN"/>
              </w:rPr>
            </w:pPr>
            <w:r>
              <w:rPr>
                <w:rFonts w:hint="eastAsia" w:ascii="宋体" w:hAnsi="宋体" w:cs="Times New Roman"/>
                <w:color w:val="auto"/>
                <w:szCs w:val="21"/>
                <w:highlight w:val="none"/>
              </w:rPr>
              <w:t>全面更新展馆</w:t>
            </w:r>
            <w:r>
              <w:rPr>
                <w:rFonts w:hint="eastAsia" w:ascii="宋体" w:hAnsi="宋体" w:cs="Times New Roman"/>
                <w:bCs/>
                <w:snapToGrid w:val="0"/>
                <w:color w:val="auto"/>
                <w:kern w:val="0"/>
                <w:szCs w:val="21"/>
                <w:highlight w:val="none"/>
              </w:rPr>
              <w:t>导视系统</w:t>
            </w:r>
            <w:r>
              <w:rPr>
                <w:rFonts w:hint="eastAsia" w:ascii="宋体" w:hAnsi="宋体" w:cs="Times New Roman"/>
                <w:color w:val="auto"/>
                <w:szCs w:val="21"/>
                <w:highlight w:val="none"/>
              </w:rPr>
              <w:t>，在序厅增加全馆导视图</w:t>
            </w:r>
            <w:r>
              <w:rPr>
                <w:rFonts w:hint="eastAsia" w:ascii="宋体" w:hAnsi="宋体" w:cs="Times New Roman"/>
                <w:color w:val="auto"/>
                <w:szCs w:val="21"/>
                <w:highlight w:val="none"/>
                <w:lang w:eastAsia="zh-CN"/>
              </w:rPr>
              <w:t>。</w:t>
            </w:r>
          </w:p>
          <w:p w14:paraId="704518E7">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上述改造涉及的多媒体设备及其配套设施（其中包含屏幕、主机、配套光端盒等不少于15套）；新增不低于98寸触摸一体机设备不少于1台；适当利用现有旧屏幕，利旧时应对现有设备主机及光端盒等配套设施进行升级改造</w:t>
            </w:r>
            <w:r>
              <w:rPr>
                <w:rFonts w:hint="eastAsia" w:ascii="宋体" w:hAnsi="宋体" w:cs="Times New Roman"/>
                <w:color w:val="auto"/>
                <w:szCs w:val="21"/>
                <w:highlight w:val="none"/>
                <w:lang w:eastAsia="zh-CN"/>
              </w:rPr>
              <w:t>。</w:t>
            </w:r>
          </w:p>
          <w:p w14:paraId="09DD5DB4">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lang w:eastAsia="zh-CN"/>
              </w:rPr>
            </w:pPr>
            <w:r>
              <w:rPr>
                <w:rFonts w:hint="eastAsia" w:ascii="宋体" w:hAnsi="宋体" w:cs="Times New Roman"/>
                <w:color w:val="auto"/>
                <w:szCs w:val="21"/>
                <w:highlight w:val="none"/>
              </w:rPr>
              <w:t>上述改造涉及的照明、音响、景观氛围、艺术造景等</w:t>
            </w:r>
            <w:r>
              <w:rPr>
                <w:rFonts w:hint="eastAsia" w:ascii="宋体" w:hAnsi="宋体" w:cs="Times New Roman"/>
                <w:color w:val="auto"/>
                <w:szCs w:val="21"/>
                <w:highlight w:val="none"/>
                <w:lang w:eastAsia="zh-CN"/>
              </w:rPr>
              <w:t>。</w:t>
            </w:r>
          </w:p>
          <w:p w14:paraId="430859F7">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lang w:eastAsia="zh-CN"/>
              </w:rPr>
            </w:pPr>
            <w:r>
              <w:rPr>
                <w:rFonts w:hint="eastAsia" w:ascii="宋体" w:hAnsi="宋体" w:cs="Times New Roman"/>
                <w:color w:val="auto"/>
                <w:szCs w:val="21"/>
                <w:highlight w:val="none"/>
              </w:rPr>
              <w:t>上述改造涉及的消防、暖通、电气及其他配套</w:t>
            </w:r>
            <w:r>
              <w:rPr>
                <w:rFonts w:hint="eastAsia" w:ascii="宋体" w:hAnsi="宋体" w:cs="Times New Roman"/>
                <w:color w:val="auto"/>
                <w:szCs w:val="21"/>
                <w:highlight w:val="none"/>
                <w:lang w:eastAsia="zh-CN"/>
              </w:rPr>
              <w:t>。</w:t>
            </w:r>
          </w:p>
          <w:p w14:paraId="1E2FA86A">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上述改造涉及的墙体、展项、地面修复。</w:t>
            </w:r>
          </w:p>
          <w:p w14:paraId="6BA00CB4">
            <w:pPr>
              <w:keepNext w:val="0"/>
              <w:keepLines w:val="0"/>
              <w:suppressLineNumbers w:val="0"/>
              <w:spacing w:before="0" w:beforeAutospacing="0" w:after="0" w:afterAutospacing="0"/>
              <w:ind w:left="0" w:right="0" w:firstLine="422" w:firstLineChars="200"/>
              <w:rPr>
                <w:rFonts w:hint="eastAsia" w:ascii="宋体" w:hAnsi="宋体" w:cs="Times New Roman"/>
                <w:color w:val="auto"/>
                <w:szCs w:val="21"/>
                <w:highlight w:val="none"/>
              </w:rPr>
            </w:pPr>
            <w:r>
              <w:rPr>
                <w:rFonts w:hint="eastAsia" w:ascii="宋体" w:hAnsi="宋体" w:cs="Times New Roman"/>
                <w:b/>
                <w:bCs/>
                <w:color w:val="auto"/>
                <w:szCs w:val="21"/>
                <w:highlight w:val="none"/>
              </w:rPr>
              <w:t>备注：上述布展内容和相关数据仅供投标人参考，最终以审定的方案为准，不作为结算依据。</w:t>
            </w:r>
          </w:p>
          <w:p w14:paraId="5ACBC829">
            <w:pPr>
              <w:pStyle w:val="133"/>
              <w:keepNext w:val="0"/>
              <w:keepLines w:val="0"/>
              <w:suppressLineNumbers w:val="0"/>
              <w:spacing w:before="0" w:beforeAutospacing="0" w:after="0" w:afterAutospacing="0"/>
              <w:ind w:left="0" w:right="0" w:firstLine="413" w:firstLineChars="196"/>
              <w:rPr>
                <w:rFonts w:hint="eastAsia"/>
                <w:b/>
                <w:color w:val="auto"/>
                <w:highlight w:val="none"/>
              </w:rPr>
            </w:pPr>
            <w:r>
              <w:rPr>
                <w:rFonts w:hint="eastAsia"/>
                <w:b/>
                <w:color w:val="auto"/>
                <w:highlight w:val="none"/>
              </w:rPr>
              <w:t>三、布展策划、设计和施工要求</w:t>
            </w:r>
          </w:p>
          <w:p w14:paraId="055E50E6">
            <w:pPr>
              <w:keepNext w:val="0"/>
              <w:keepLines w:val="0"/>
              <w:suppressLineNumbers w:val="0"/>
              <w:spacing w:before="0" w:beforeAutospacing="0" w:after="0" w:afterAutospacing="0"/>
              <w:ind w:left="0" w:right="0" w:firstLine="413" w:firstLineChars="196"/>
              <w:rPr>
                <w:rFonts w:hint="eastAsia" w:ascii="Times New Roman" w:hAnsi="Times New Roman" w:cs="Times New Roman"/>
                <w:b/>
                <w:bCs/>
                <w:color w:val="auto"/>
                <w:highlight w:val="none"/>
              </w:rPr>
            </w:pPr>
            <w:r>
              <w:rPr>
                <w:rFonts w:hint="eastAsia" w:ascii="宋体" w:hAnsi="宋体" w:cs="Times New Roman"/>
                <w:b/>
                <w:bCs/>
                <w:color w:val="auto"/>
                <w:szCs w:val="21"/>
                <w:highlight w:val="none"/>
              </w:rPr>
              <w:t>（一）策划要求</w:t>
            </w:r>
          </w:p>
          <w:p w14:paraId="2BE9304B">
            <w:pPr>
              <w:keepNext w:val="0"/>
              <w:keepLines w:val="0"/>
              <w:suppressLineNumbers w:val="0"/>
              <w:spacing w:before="0" w:beforeAutospacing="0" w:after="0" w:afterAutospacing="0"/>
              <w:ind w:left="0" w:right="0" w:firstLine="420" w:firstLineChars="200"/>
              <w:rPr>
                <w:rFonts w:hint="default" w:ascii="宋体" w:hAnsi="宋体" w:cs="Times New Roman"/>
                <w:color w:val="auto"/>
                <w:szCs w:val="21"/>
                <w:highlight w:val="none"/>
              </w:rPr>
            </w:pPr>
            <w:r>
              <w:rPr>
                <w:rFonts w:hint="eastAsia" w:ascii="宋体" w:hAnsi="宋体" w:cs="Times New Roman"/>
                <w:color w:val="auto"/>
                <w:szCs w:val="21"/>
                <w:highlight w:val="none"/>
              </w:rPr>
              <w:t>1.策展</w:t>
            </w:r>
            <w:r>
              <w:rPr>
                <w:rFonts w:hint="default" w:ascii="宋体" w:hAnsi="宋体" w:cs="Times New Roman"/>
                <w:color w:val="auto"/>
                <w:szCs w:val="21"/>
                <w:highlight w:val="none"/>
              </w:rPr>
              <w:t>主题鲜明、设计理念</w:t>
            </w:r>
            <w:r>
              <w:rPr>
                <w:rFonts w:hint="eastAsia" w:ascii="宋体" w:hAnsi="宋体" w:cs="Times New Roman"/>
                <w:color w:val="auto"/>
                <w:szCs w:val="21"/>
                <w:highlight w:val="none"/>
              </w:rPr>
              <w:t>具创新性，设计思路定位准确、合理巧妙，</w:t>
            </w:r>
            <w:r>
              <w:rPr>
                <w:rFonts w:hint="default" w:ascii="宋体" w:hAnsi="宋体" w:cs="Times New Roman"/>
                <w:color w:val="auto"/>
                <w:szCs w:val="21"/>
                <w:highlight w:val="none"/>
              </w:rPr>
              <w:t>展示内容大纲脉络清晰</w:t>
            </w:r>
            <w:r>
              <w:rPr>
                <w:rFonts w:hint="eastAsia" w:ascii="宋体" w:hAnsi="宋体" w:cs="Times New Roman"/>
                <w:color w:val="auto"/>
                <w:szCs w:val="21"/>
                <w:highlight w:val="none"/>
              </w:rPr>
              <w:t>、</w:t>
            </w:r>
            <w:r>
              <w:rPr>
                <w:rFonts w:hint="default" w:ascii="宋体" w:hAnsi="宋体" w:cs="Times New Roman"/>
                <w:color w:val="auto"/>
                <w:szCs w:val="21"/>
                <w:highlight w:val="none"/>
              </w:rPr>
              <w:t>整体统筹</w:t>
            </w:r>
            <w:r>
              <w:rPr>
                <w:rFonts w:hint="eastAsia" w:ascii="宋体" w:hAnsi="宋体" w:cs="Times New Roman"/>
                <w:color w:val="auto"/>
                <w:szCs w:val="21"/>
                <w:highlight w:val="none"/>
              </w:rPr>
              <w:t>又直观分明，</w:t>
            </w:r>
            <w:r>
              <w:rPr>
                <w:rFonts w:hint="default" w:ascii="宋体" w:hAnsi="宋体" w:cs="Times New Roman"/>
                <w:color w:val="auto"/>
                <w:szCs w:val="21"/>
                <w:highlight w:val="none"/>
              </w:rPr>
              <w:t>疏密有致</w:t>
            </w:r>
            <w:r>
              <w:rPr>
                <w:rFonts w:hint="eastAsia" w:ascii="宋体" w:hAnsi="宋体" w:cs="Times New Roman"/>
                <w:color w:val="auto"/>
                <w:szCs w:val="21"/>
                <w:highlight w:val="none"/>
              </w:rPr>
              <w:t>、</w:t>
            </w:r>
            <w:r>
              <w:rPr>
                <w:rFonts w:hint="default" w:ascii="宋体" w:hAnsi="宋体" w:cs="Times New Roman"/>
                <w:color w:val="auto"/>
                <w:szCs w:val="21"/>
                <w:highlight w:val="none"/>
              </w:rPr>
              <w:t>有张有弛。</w:t>
            </w:r>
          </w:p>
          <w:p w14:paraId="436B7BE9">
            <w:pPr>
              <w:keepNext w:val="0"/>
              <w:keepLines w:val="0"/>
              <w:suppressLineNumbers w:val="0"/>
              <w:spacing w:before="0" w:beforeAutospacing="0" w:after="0" w:afterAutospacing="0"/>
              <w:ind w:left="0" w:right="0" w:firstLine="420" w:firstLineChars="200"/>
              <w:rPr>
                <w:rFonts w:hint="eastAsia" w:ascii="宋体" w:hAnsi="宋体" w:cs="Times New Roman"/>
                <w:color w:val="auto"/>
                <w:szCs w:val="21"/>
                <w:highlight w:val="none"/>
              </w:rPr>
            </w:pPr>
            <w:r>
              <w:rPr>
                <w:rFonts w:hint="eastAsia" w:ascii="宋体" w:hAnsi="宋体" w:cs="Times New Roman"/>
                <w:color w:val="auto"/>
                <w:szCs w:val="21"/>
                <w:highlight w:val="none"/>
              </w:rPr>
              <w:t>2</w:t>
            </w:r>
            <w:r>
              <w:rPr>
                <w:rFonts w:hint="default" w:ascii="宋体" w:hAnsi="宋体" w:cs="Times New Roman"/>
                <w:color w:val="auto"/>
                <w:szCs w:val="21"/>
                <w:highlight w:val="none"/>
              </w:rPr>
              <w:t>.功能布局</w:t>
            </w:r>
            <w:r>
              <w:rPr>
                <w:rFonts w:hint="eastAsia" w:ascii="宋体" w:hAnsi="宋体" w:cs="Times New Roman"/>
                <w:color w:val="auto"/>
                <w:szCs w:val="21"/>
                <w:highlight w:val="none"/>
              </w:rPr>
              <w:t>：</w:t>
            </w:r>
            <w:r>
              <w:rPr>
                <w:rFonts w:hint="default" w:ascii="宋体" w:hAnsi="宋体" w:cs="Times New Roman"/>
                <w:color w:val="auto"/>
                <w:szCs w:val="21"/>
                <w:highlight w:val="none"/>
              </w:rPr>
              <w:t>功能分区合理</w:t>
            </w:r>
            <w:r>
              <w:rPr>
                <w:rFonts w:hint="eastAsia" w:ascii="宋体" w:hAnsi="宋体" w:cs="Times New Roman"/>
                <w:color w:val="auto"/>
                <w:szCs w:val="21"/>
                <w:highlight w:val="none"/>
              </w:rPr>
              <w:t>、布局完善，</w:t>
            </w:r>
            <w:r>
              <w:rPr>
                <w:rFonts w:hint="default" w:ascii="宋体" w:hAnsi="宋体" w:cs="Times New Roman"/>
                <w:color w:val="auto"/>
                <w:szCs w:val="21"/>
                <w:highlight w:val="none"/>
              </w:rPr>
              <w:t>各展区之间以及展区与公共</w:t>
            </w:r>
            <w:r>
              <w:rPr>
                <w:rFonts w:hint="eastAsia" w:ascii="宋体" w:hAnsi="宋体" w:cs="Times New Roman"/>
                <w:color w:val="auto"/>
                <w:szCs w:val="21"/>
                <w:highlight w:val="none"/>
              </w:rPr>
              <w:t>空间之间</w:t>
            </w:r>
            <w:r>
              <w:rPr>
                <w:rFonts w:hint="default" w:ascii="宋体" w:hAnsi="宋体" w:cs="Times New Roman"/>
                <w:color w:val="auto"/>
                <w:szCs w:val="21"/>
                <w:highlight w:val="none"/>
              </w:rPr>
              <w:t>的衔接过渡科学</w:t>
            </w:r>
            <w:r>
              <w:rPr>
                <w:rFonts w:hint="eastAsia" w:ascii="宋体" w:hAnsi="宋体" w:cs="Times New Roman"/>
                <w:color w:val="auto"/>
                <w:szCs w:val="21"/>
                <w:highlight w:val="none"/>
              </w:rPr>
              <w:t>，统筹展览空间、公共空间、交通流线等各要素的关系，着力亮点展项设计、将</w:t>
            </w:r>
            <w:r>
              <w:rPr>
                <w:rFonts w:hint="default" w:ascii="Times New Roman" w:hAnsi="Times New Roman" w:cs="Times New Roman"/>
                <w:color w:val="auto"/>
                <w:highlight w:val="none"/>
              </w:rPr>
              <w:t>空间</w:t>
            </w:r>
            <w:r>
              <w:rPr>
                <w:rFonts w:hint="eastAsia" w:ascii="Times New Roman" w:hAnsi="Times New Roman" w:cs="Times New Roman"/>
                <w:color w:val="auto"/>
                <w:highlight w:val="none"/>
              </w:rPr>
              <w:t>面积和</w:t>
            </w:r>
            <w:r>
              <w:rPr>
                <w:rFonts w:hint="default" w:ascii="Times New Roman" w:hAnsi="Times New Roman" w:cs="Times New Roman"/>
                <w:color w:val="auto"/>
                <w:highlight w:val="none"/>
              </w:rPr>
              <w:t>形式再创造</w:t>
            </w:r>
            <w:r>
              <w:rPr>
                <w:rFonts w:hint="eastAsia" w:ascii="宋体" w:hAnsi="宋体" w:cs="Times New Roman"/>
                <w:color w:val="auto"/>
                <w:szCs w:val="21"/>
                <w:highlight w:val="none"/>
              </w:rPr>
              <w:t>，优化灰空间、充分利用空间资源，</w:t>
            </w:r>
            <w:r>
              <w:rPr>
                <w:rFonts w:hint="default" w:ascii="宋体" w:hAnsi="宋体" w:cs="Times New Roman"/>
                <w:color w:val="auto"/>
                <w:szCs w:val="21"/>
                <w:highlight w:val="none"/>
              </w:rPr>
              <w:t>体现先进性、系统性、交互性、集成化和智能化等要素</w:t>
            </w:r>
            <w:r>
              <w:rPr>
                <w:rFonts w:hint="eastAsia" w:ascii="宋体" w:hAnsi="宋体" w:cs="Times New Roman"/>
                <w:color w:val="auto"/>
                <w:szCs w:val="21"/>
                <w:highlight w:val="none"/>
              </w:rPr>
              <w:t>。</w:t>
            </w:r>
          </w:p>
          <w:p w14:paraId="02858C70">
            <w:pPr>
              <w:keepNext w:val="0"/>
              <w:keepLines w:val="0"/>
              <w:suppressLineNumbers w:val="0"/>
              <w:spacing w:before="0" w:beforeAutospacing="0" w:after="0" w:afterAutospacing="0"/>
              <w:ind w:left="0" w:right="0" w:firstLine="420" w:firstLineChars="200"/>
              <w:rPr>
                <w:rFonts w:hint="eastAsia" w:ascii="宋体" w:hAnsi="宋体" w:cs="Times New Roman"/>
                <w:color w:val="auto"/>
                <w:szCs w:val="21"/>
                <w:highlight w:val="none"/>
              </w:rPr>
            </w:pPr>
            <w:r>
              <w:rPr>
                <w:rFonts w:hint="eastAsia" w:ascii="宋体" w:hAnsi="宋体" w:cs="Times New Roman"/>
                <w:color w:val="auto"/>
                <w:szCs w:val="21"/>
                <w:highlight w:val="none"/>
              </w:rPr>
              <w:t>3.参观流线规划合理、满足消防疏散相关规定，动线富有节奏感，人流有条不紊、往来通畅，适合观众参观习惯、可满足政务接待、招商推介、科普研学、市民参观、亲子休闲等不同人群的参观需求，提高参观效率。</w:t>
            </w:r>
          </w:p>
          <w:p w14:paraId="7AAD1786">
            <w:pPr>
              <w:keepNext w:val="0"/>
              <w:keepLines w:val="0"/>
              <w:suppressLineNumbers w:val="0"/>
              <w:spacing w:before="0" w:beforeAutospacing="0" w:after="0" w:afterAutospacing="0"/>
              <w:ind w:left="0" w:right="0" w:firstLine="420" w:firstLineChars="200"/>
              <w:rPr>
                <w:rFonts w:hint="eastAsia" w:ascii="宋体" w:hAnsi="宋体" w:cs="Times New Roman"/>
                <w:color w:val="auto"/>
                <w:szCs w:val="21"/>
                <w:highlight w:val="none"/>
              </w:rPr>
            </w:pPr>
            <w:r>
              <w:rPr>
                <w:rFonts w:hint="eastAsia" w:ascii="宋体" w:hAnsi="宋体" w:cs="Times New Roman"/>
                <w:color w:val="auto"/>
                <w:szCs w:val="21"/>
                <w:highlight w:val="none"/>
              </w:rPr>
              <w:t>4.以现有的建筑体量和空间为基础，结合原有的充沛自然采光的绿色建筑生态优势进行绿环境、光环境设计，因地制宜、独具特色；整体风格凸显本地地域特色，体现时代性和国际化，富含浓厚的文化氛围、升级艺术氛围。</w:t>
            </w:r>
          </w:p>
          <w:p w14:paraId="71D576D8">
            <w:pPr>
              <w:keepNext w:val="0"/>
              <w:keepLines w:val="0"/>
              <w:suppressLineNumbers w:val="0"/>
              <w:spacing w:before="0" w:beforeAutospacing="0" w:after="0" w:afterAutospacing="0"/>
              <w:ind w:left="0" w:right="0" w:firstLine="420" w:firstLineChars="200"/>
              <w:rPr>
                <w:rFonts w:hint="eastAsia" w:ascii="宋体" w:hAnsi="宋体" w:cs="Times New Roman"/>
                <w:color w:val="auto"/>
                <w:szCs w:val="21"/>
                <w:highlight w:val="none"/>
              </w:rPr>
            </w:pPr>
            <w:r>
              <w:rPr>
                <w:rFonts w:hint="eastAsia" w:ascii="宋体" w:hAnsi="宋体" w:cs="Times New Roman"/>
                <w:color w:val="auto"/>
                <w:szCs w:val="21"/>
                <w:highlight w:val="none"/>
              </w:rPr>
              <w:t>5.秉持“以人为本”“一馆多用”原则，增加科普教育、休闲娱乐、放松休憩等服务区域，增强展馆功能的多元化、复合化、完善化。</w:t>
            </w:r>
          </w:p>
          <w:p w14:paraId="6EF88C21">
            <w:pPr>
              <w:keepNext w:val="0"/>
              <w:keepLines w:val="0"/>
              <w:suppressLineNumbers w:val="0"/>
              <w:spacing w:before="0" w:beforeAutospacing="0" w:after="0" w:afterAutospacing="0"/>
              <w:ind w:left="0" w:right="0" w:firstLine="420" w:firstLineChars="200"/>
              <w:rPr>
                <w:rFonts w:hint="eastAsia" w:ascii="宋体" w:hAnsi="宋体" w:cs="Times New Roman"/>
                <w:color w:val="auto"/>
                <w:szCs w:val="21"/>
                <w:highlight w:val="none"/>
              </w:rPr>
            </w:pPr>
            <w:r>
              <w:rPr>
                <w:rFonts w:hint="eastAsia" w:ascii="宋体" w:hAnsi="宋体" w:cs="Times New Roman"/>
                <w:color w:val="auto"/>
                <w:szCs w:val="21"/>
                <w:highlight w:val="none"/>
              </w:rPr>
              <w:t>6.结合展示内容适当安排互动项目、添加公共艺术装置，互动项目应操作便捷、公众参与性强，艺术装置应切合场馆环境、易于维护。</w:t>
            </w:r>
          </w:p>
          <w:p w14:paraId="12604A33">
            <w:pPr>
              <w:keepNext w:val="0"/>
              <w:keepLines w:val="0"/>
              <w:suppressLineNumbers w:val="0"/>
              <w:spacing w:before="0" w:beforeAutospacing="0" w:after="0" w:afterAutospacing="0"/>
              <w:ind w:left="0" w:right="0" w:firstLine="420" w:firstLineChars="200"/>
              <w:rPr>
                <w:rFonts w:hint="eastAsia" w:ascii="宋体" w:hAnsi="宋体" w:cs="Times New Roman"/>
                <w:color w:val="auto"/>
                <w:szCs w:val="21"/>
                <w:highlight w:val="none"/>
              </w:rPr>
            </w:pPr>
            <w:r>
              <w:rPr>
                <w:rFonts w:hint="eastAsia" w:ascii="宋体" w:hAnsi="宋体" w:cs="Times New Roman"/>
                <w:color w:val="auto"/>
                <w:szCs w:val="21"/>
                <w:highlight w:val="none"/>
              </w:rPr>
              <w:t>7.整体策划遵循可操作、可落地的原则，充分考虑绿色、节能、环保以及通风、消防安全要求，整体方案造价合理、经济适用，充分考虑原有设备材料的利用。</w:t>
            </w:r>
          </w:p>
          <w:p w14:paraId="7ABBF305">
            <w:pPr>
              <w:keepNext w:val="0"/>
              <w:keepLines w:val="0"/>
              <w:suppressLineNumbers w:val="0"/>
              <w:spacing w:before="0" w:beforeAutospacing="0" w:after="0" w:afterAutospacing="0"/>
              <w:ind w:left="0" w:right="0"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8.展陈文案和解说词：收集整理展馆文案内容，二次加工进行文字润色和展示性表达；同时撰写运营讲解解说词。</w:t>
            </w:r>
          </w:p>
          <w:p w14:paraId="51BA9400">
            <w:pPr>
              <w:keepNext w:val="0"/>
              <w:keepLines w:val="0"/>
              <w:suppressLineNumbers w:val="0"/>
              <w:spacing w:before="0" w:beforeAutospacing="0" w:after="0" w:afterAutospacing="0"/>
              <w:ind w:left="0" w:right="0" w:firstLine="420" w:firstLineChars="200"/>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9.为展馆下一步更好运营或转变运营模式提供合理、可行性建议。</w:t>
            </w:r>
          </w:p>
          <w:p w14:paraId="39CD127D">
            <w:pPr>
              <w:keepNext w:val="0"/>
              <w:keepLines w:val="0"/>
              <w:suppressLineNumbers w:val="0"/>
              <w:spacing w:before="0" w:beforeAutospacing="0" w:after="0" w:afterAutospacing="0"/>
              <w:ind w:left="0" w:right="0" w:firstLine="422" w:firstLineChars="200"/>
              <w:rPr>
                <w:rFonts w:hint="eastAsia" w:ascii="宋体" w:hAnsi="宋体" w:eastAsia="宋体" w:cs="Times New Roman"/>
                <w:b/>
                <w:bCs/>
                <w:color w:val="auto"/>
                <w:szCs w:val="21"/>
                <w:highlight w:val="none"/>
              </w:rPr>
            </w:pPr>
            <w:r>
              <w:rPr>
                <w:rFonts w:hint="eastAsia" w:ascii="宋体" w:hAnsi="宋体" w:eastAsia="宋体" w:cs="Times New Roman"/>
                <w:b/>
                <w:bCs/>
                <w:color w:val="auto"/>
                <w:szCs w:val="21"/>
                <w:highlight w:val="none"/>
              </w:rPr>
              <w:t>（二）设计要求</w:t>
            </w:r>
          </w:p>
          <w:p w14:paraId="3F5CBCB7">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1.合理利用现有环境和尺度，空间设计切合展区主题、参观流线和功能布局，注重前后展区的区分和衔接、天面和展墙过渡协调，整体求同存异又风格统一。</w:t>
            </w:r>
          </w:p>
          <w:p w14:paraId="77A828EB">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2.突出重点（亮点）展区展项策划和功能配置，各展项分布合理、表达完整、便于实施；</w:t>
            </w:r>
          </w:p>
          <w:p w14:paraId="215EA01D">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3.设计语言现代化、色调色彩大方明快、简洁时尚而层次分明；进行精细化设计，讲究布展版面、图文、标识等平面设计和美工效果，注重结合立体、半立体艺术创意，照明设计柔和，避免杂乱和眩光；展示效果具有艺术美感、富有生动趣味性、效果明确不失真，吸引观众观赏和体验。</w:t>
            </w:r>
          </w:p>
          <w:p w14:paraId="473E0EA9">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4.展示内容与展板展墙、展品展具、艺术造型、氛围灯光、多媒体等载体运用和谐统一，将展览内容的丰富性与展览方式的多样化有机结合、相得益彰，保证内容、实物与场景合理一体化。</w:t>
            </w:r>
          </w:p>
          <w:p w14:paraId="5DC56F18">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5.在展线的长短和展览信息的层次上符合人性化设计，把握展览的节奏和韵律、辅助流畅观展动线，避免参观者在观展过程中产生视觉疲劳或信息过载，增强整体参观体验。</w:t>
            </w:r>
          </w:p>
          <w:p w14:paraId="2ED881EB">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6.充分考虑原有设备材料的利用。</w:t>
            </w:r>
          </w:p>
          <w:p w14:paraId="3A9BC944">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7.充分考虑便于日后内容更新、日常维护和可循环使用。</w:t>
            </w:r>
          </w:p>
          <w:p w14:paraId="3302D8E1">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8.充分结合现场实际，遵循消防和疏散安全各项法律法规。</w:t>
            </w:r>
          </w:p>
          <w:p w14:paraId="4A9E8135">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9.设计成果须满足相关规范深度要求和招标人要求。</w:t>
            </w:r>
          </w:p>
          <w:p w14:paraId="196EDE16">
            <w:pPr>
              <w:pStyle w:val="133"/>
              <w:keepNext w:val="0"/>
              <w:keepLines w:val="0"/>
              <w:suppressLineNumbers w:val="0"/>
              <w:spacing w:before="0" w:beforeAutospacing="0" w:after="0" w:afterAutospacing="0"/>
              <w:ind w:left="0" w:right="0" w:firstLine="413" w:firstLineChars="196"/>
              <w:rPr>
                <w:rFonts w:hint="eastAsia"/>
                <w:b/>
                <w:bCs/>
                <w:color w:val="auto"/>
                <w:highlight w:val="none"/>
              </w:rPr>
            </w:pPr>
            <w:r>
              <w:rPr>
                <w:rFonts w:hint="eastAsia" w:ascii="宋体" w:hAnsi="宋体"/>
                <w:b/>
                <w:bCs/>
                <w:color w:val="auto"/>
                <w:szCs w:val="21"/>
                <w:highlight w:val="none"/>
              </w:rPr>
              <w:t>（三）</w:t>
            </w:r>
            <w:r>
              <w:rPr>
                <w:rFonts w:hint="eastAsia"/>
                <w:b/>
                <w:bCs/>
                <w:color w:val="auto"/>
                <w:highlight w:val="none"/>
              </w:rPr>
              <w:t>施工要求</w:t>
            </w:r>
          </w:p>
          <w:p w14:paraId="3C83FE85">
            <w:pPr>
              <w:keepNext w:val="0"/>
              <w:keepLines w:val="0"/>
              <w:suppressLineNumbers w:val="0"/>
              <w:spacing w:before="0" w:beforeAutospacing="0" w:after="0" w:afterAutospacing="0"/>
              <w:ind w:left="0" w:right="0" w:firstLine="420" w:firstLineChars="200"/>
              <w:rPr>
                <w:rFonts w:hint="eastAsia" w:ascii="宋体" w:hAnsi="宋体" w:cs="Times New Roman"/>
                <w:color w:val="auto"/>
                <w:szCs w:val="21"/>
                <w:highlight w:val="none"/>
              </w:rPr>
            </w:pPr>
            <w:r>
              <w:rPr>
                <w:rFonts w:hint="eastAsia" w:ascii="宋体" w:hAnsi="宋体" w:cs="Times New Roman"/>
                <w:color w:val="auto"/>
                <w:szCs w:val="21"/>
                <w:highlight w:val="none"/>
              </w:rPr>
              <w:t>1.制定详细的施工计划，合理安排工期，提前完成基础工作，为后续安装预留足够的时间，注重施工进度控制，确保项目按时完成。施工计划中应做好项目人员安排，主要参加人员包括建筑专业人员、建筑设计专业人员、结构专业人员、电气专业人员、机电专业人员、给排水专业人员、暖通专业人员、计算机专业人员、信息系统项目管理专业人员等</w:t>
            </w:r>
            <w:r>
              <w:rPr>
                <w:rFonts w:hint="eastAsia" w:ascii="宋体" w:hAnsi="宋体" w:cs="Times New Roman"/>
                <w:color w:val="auto"/>
                <w:szCs w:val="21"/>
                <w:highlight w:val="none"/>
                <w:lang w:eastAsia="zh-CN"/>
              </w:rPr>
              <w:t>，以上人员不少于</w:t>
            </w:r>
            <w:r>
              <w:rPr>
                <w:rFonts w:hint="eastAsia" w:ascii="宋体" w:hAnsi="宋体" w:cs="Times New Roman"/>
                <w:color w:val="auto"/>
                <w:szCs w:val="21"/>
                <w:highlight w:val="none"/>
                <w:lang w:val="en-US" w:eastAsia="zh-CN"/>
              </w:rPr>
              <w:t>9人</w:t>
            </w:r>
            <w:r>
              <w:rPr>
                <w:rFonts w:hint="eastAsia" w:ascii="宋体" w:hAnsi="宋体" w:cs="Times New Roman"/>
                <w:color w:val="auto"/>
                <w:szCs w:val="21"/>
                <w:highlight w:val="none"/>
              </w:rPr>
              <w:t>。</w:t>
            </w:r>
          </w:p>
          <w:p w14:paraId="10903226">
            <w:pPr>
              <w:keepNext w:val="0"/>
              <w:keepLines w:val="0"/>
              <w:suppressLineNumbers w:val="0"/>
              <w:spacing w:before="0" w:beforeAutospacing="0" w:after="0" w:afterAutospacing="0"/>
              <w:ind w:left="0" w:right="0" w:firstLine="420" w:firstLineChars="200"/>
              <w:rPr>
                <w:rFonts w:hint="eastAsia" w:ascii="宋体" w:hAnsi="宋体" w:cs="Times New Roman"/>
                <w:color w:val="auto"/>
                <w:szCs w:val="21"/>
                <w:highlight w:val="none"/>
              </w:rPr>
            </w:pPr>
            <w:r>
              <w:rPr>
                <w:rFonts w:hint="eastAsia" w:ascii="宋体" w:hAnsi="宋体" w:cs="Times New Roman"/>
                <w:color w:val="auto"/>
                <w:szCs w:val="21"/>
                <w:highlight w:val="none"/>
              </w:rPr>
              <w:t>2.施工质量必须</w:t>
            </w:r>
            <w:r>
              <w:rPr>
                <w:rFonts w:hint="default" w:ascii="宋体" w:hAnsi="宋体" w:cs="Times New Roman"/>
                <w:color w:val="auto"/>
                <w:szCs w:val="21"/>
                <w:highlight w:val="none"/>
              </w:rPr>
              <w:t>符合国家</w:t>
            </w:r>
            <w:r>
              <w:rPr>
                <w:rFonts w:hint="eastAsia" w:ascii="宋体" w:hAnsi="宋体" w:cs="Times New Roman"/>
                <w:color w:val="auto"/>
                <w:szCs w:val="21"/>
                <w:highlight w:val="none"/>
              </w:rPr>
              <w:t>、自治区、南宁市</w:t>
            </w:r>
            <w:r>
              <w:rPr>
                <w:rFonts w:hint="default" w:ascii="宋体" w:hAnsi="宋体" w:cs="Times New Roman"/>
                <w:color w:val="auto"/>
                <w:szCs w:val="21"/>
                <w:highlight w:val="none"/>
              </w:rPr>
              <w:t>现行有关施工质量验收规范合格标准</w:t>
            </w:r>
            <w:r>
              <w:rPr>
                <w:rFonts w:hint="eastAsia" w:ascii="宋体" w:hAnsi="宋体" w:cs="Times New Roman"/>
                <w:color w:val="auto"/>
                <w:szCs w:val="21"/>
                <w:highlight w:val="none"/>
              </w:rPr>
              <w:t>，通过相关认证并通过有关单位和部门的审查。</w:t>
            </w:r>
          </w:p>
          <w:p w14:paraId="75CB1DCF">
            <w:pPr>
              <w:keepNext w:val="0"/>
              <w:keepLines w:val="0"/>
              <w:suppressLineNumbers w:val="0"/>
              <w:spacing w:before="0" w:beforeAutospacing="0" w:after="0" w:afterAutospacing="0"/>
              <w:ind w:left="0" w:right="0" w:firstLine="420" w:firstLineChars="200"/>
              <w:rPr>
                <w:rFonts w:hint="eastAsia" w:ascii="宋体" w:hAnsi="宋体" w:cs="Times New Roman"/>
                <w:color w:val="auto"/>
                <w:szCs w:val="21"/>
                <w:highlight w:val="none"/>
              </w:rPr>
            </w:pPr>
            <w:r>
              <w:rPr>
                <w:rFonts w:hint="eastAsia" w:ascii="宋体" w:hAnsi="宋体" w:cs="Times New Roman"/>
                <w:color w:val="auto"/>
                <w:szCs w:val="21"/>
                <w:highlight w:val="none"/>
              </w:rPr>
              <w:t>3.施工过程必须确保建筑物原有安全性、整体性，不得擅自改变原建筑物的承重结构或主要使用功能，严禁超出结构荷载能力进行施工，不得未经批准擅自拆改水、电、气、通讯、消防等配套设施。</w:t>
            </w:r>
          </w:p>
          <w:p w14:paraId="1F042B7B">
            <w:pPr>
              <w:keepNext w:val="0"/>
              <w:keepLines w:val="0"/>
              <w:suppressLineNumbers w:val="0"/>
              <w:spacing w:before="0" w:beforeAutospacing="0" w:after="0" w:afterAutospacing="0"/>
              <w:ind w:left="0" w:right="0" w:firstLine="420" w:firstLineChars="200"/>
              <w:rPr>
                <w:rFonts w:hint="default" w:ascii="宋体" w:hAnsi="宋体" w:cs="Times New Roman"/>
                <w:color w:val="auto"/>
                <w:szCs w:val="21"/>
                <w:highlight w:val="none"/>
              </w:rPr>
            </w:pPr>
            <w:r>
              <w:rPr>
                <w:rFonts w:hint="eastAsia" w:ascii="宋体" w:hAnsi="宋体" w:cs="Times New Roman"/>
                <w:color w:val="auto"/>
                <w:szCs w:val="21"/>
                <w:highlight w:val="none"/>
              </w:rPr>
              <w:t>4.施工所有材料（设备）由中标人负责采购。中标人所采购的材料（设备）必须符合国家有关规范标准及设计文件、招标文件的要求，同时提供相应合格证明资料、质保书</w:t>
            </w:r>
            <w:r>
              <w:rPr>
                <w:rFonts w:hint="eastAsia" w:ascii="宋体" w:hAnsi="宋体" w:cs="Times New Roman"/>
                <w:color w:val="auto"/>
                <w:szCs w:val="21"/>
                <w:highlight w:val="none"/>
                <w:lang w:eastAsia="zh-CN"/>
              </w:rPr>
              <w:t>、设备检测报告</w:t>
            </w:r>
            <w:r>
              <w:rPr>
                <w:rFonts w:hint="eastAsia" w:ascii="宋体" w:hAnsi="宋体" w:cs="Times New Roman"/>
                <w:color w:val="auto"/>
                <w:szCs w:val="21"/>
                <w:highlight w:val="none"/>
              </w:rPr>
              <w:t>等，严禁使用国家明令淘汰的材料（设备）。</w:t>
            </w:r>
          </w:p>
          <w:p w14:paraId="6B2ACC05">
            <w:pPr>
              <w:keepNext w:val="0"/>
              <w:keepLines w:val="0"/>
              <w:suppressLineNumbers w:val="0"/>
              <w:spacing w:before="0" w:beforeAutospacing="0" w:after="0" w:afterAutospacing="0"/>
              <w:ind w:left="0" w:right="0" w:firstLine="420" w:firstLineChars="200"/>
              <w:rPr>
                <w:rFonts w:hint="eastAsia" w:ascii="宋体" w:hAnsi="宋体" w:cs="Times New Roman"/>
                <w:color w:val="auto"/>
                <w:szCs w:val="21"/>
                <w:highlight w:val="none"/>
              </w:rPr>
            </w:pPr>
            <w:r>
              <w:rPr>
                <w:rFonts w:hint="eastAsia" w:ascii="宋体" w:hAnsi="宋体" w:cs="Times New Roman"/>
                <w:color w:val="auto"/>
                <w:szCs w:val="21"/>
                <w:highlight w:val="none"/>
              </w:rPr>
              <w:t>5.施工前，中标方须提供包括但不限于模型、展板、展墙、展柜的材料样品给采购人留存，上述所提供样品将作为竣工后的材料验收标准；质保期结束后，中标方还须提供定量的</w:t>
            </w:r>
            <w:r>
              <w:rPr>
                <w:rFonts w:hint="eastAsia" w:ascii="宋体" w:hAnsi="宋体" w:cs="Times New Roman"/>
                <w:color w:val="auto"/>
                <w:szCs w:val="21"/>
                <w:highlight w:val="none"/>
                <w:lang w:eastAsia="zh-CN"/>
              </w:rPr>
              <w:t>模型和</w:t>
            </w:r>
            <w:r>
              <w:rPr>
                <w:rFonts w:hint="eastAsia" w:ascii="宋体" w:hAnsi="宋体" w:cs="Times New Roman"/>
                <w:color w:val="auto"/>
                <w:szCs w:val="21"/>
                <w:highlight w:val="none"/>
              </w:rPr>
              <w:t>设备配件（易损易耗品类）供采购人日常修复和维护所需。</w:t>
            </w:r>
          </w:p>
          <w:p w14:paraId="0C60C361">
            <w:pPr>
              <w:keepNext w:val="0"/>
              <w:keepLines w:val="0"/>
              <w:suppressLineNumbers w:val="0"/>
              <w:spacing w:before="0" w:beforeAutospacing="0" w:after="0" w:afterAutospacing="0"/>
              <w:ind w:left="0" w:right="0" w:firstLine="420" w:firstLineChars="200"/>
              <w:rPr>
                <w:rFonts w:hint="eastAsia" w:ascii="宋体" w:hAnsi="宋体" w:cs="Times New Roman"/>
                <w:color w:val="auto"/>
                <w:szCs w:val="21"/>
                <w:highlight w:val="none"/>
              </w:rPr>
            </w:pPr>
            <w:r>
              <w:rPr>
                <w:rFonts w:hint="eastAsia" w:ascii="宋体" w:hAnsi="宋体" w:cs="Times New Roman"/>
                <w:color w:val="auto"/>
                <w:szCs w:val="21"/>
                <w:highlight w:val="none"/>
              </w:rPr>
              <w:t>6.布展材料一律选用符合防火要求的阻燃和难燃材料，性能符合现行国家防火标准的规定，其中顶棚需达到A级防火要求，</w:t>
            </w:r>
            <w:r>
              <w:rPr>
                <w:rFonts w:hint="eastAsia" w:ascii="宋体" w:hAnsi="宋体" w:cs="Times New Roman"/>
                <w:color w:val="auto"/>
                <w:szCs w:val="21"/>
                <w:highlight w:val="none"/>
                <w:lang w:eastAsia="zh-CN"/>
              </w:rPr>
              <w:t>墙面、地面及</w:t>
            </w:r>
            <w:r>
              <w:rPr>
                <w:rFonts w:hint="eastAsia" w:ascii="宋体" w:hAnsi="宋体" w:cs="Times New Roman"/>
                <w:color w:val="auto"/>
                <w:szCs w:val="21"/>
                <w:highlight w:val="none"/>
              </w:rPr>
              <w:t>其他主材主材达到 B1级或以上防火要求。</w:t>
            </w:r>
          </w:p>
          <w:p w14:paraId="497986E4">
            <w:pPr>
              <w:keepNext w:val="0"/>
              <w:keepLines w:val="0"/>
              <w:suppressLineNumbers w:val="0"/>
              <w:spacing w:before="0" w:beforeAutospacing="0" w:after="0" w:afterAutospacing="0"/>
              <w:ind w:left="0" w:right="0" w:firstLine="420" w:firstLineChars="200"/>
              <w:rPr>
                <w:rFonts w:hint="eastAsia" w:ascii="宋体" w:hAnsi="宋体" w:cs="Times New Roman"/>
                <w:color w:val="auto"/>
                <w:szCs w:val="21"/>
                <w:highlight w:val="none"/>
              </w:rPr>
            </w:pPr>
            <w:r>
              <w:rPr>
                <w:rFonts w:hint="eastAsia" w:ascii="宋体" w:hAnsi="宋体" w:cs="Times New Roman"/>
                <w:color w:val="auto"/>
                <w:szCs w:val="21"/>
                <w:highlight w:val="none"/>
              </w:rPr>
              <w:t>7.使用环保节能材料和技术，符合国家有关环保节能标准要求，环保要求达到 E1级，符合绿色建筑的标准。中标方需提供由第三方出具的环境污染检测报告。</w:t>
            </w:r>
          </w:p>
          <w:p w14:paraId="38EB343C">
            <w:pPr>
              <w:keepNext w:val="0"/>
              <w:keepLines w:val="0"/>
              <w:suppressLineNumbers w:val="0"/>
              <w:spacing w:before="0" w:beforeAutospacing="0" w:after="0" w:afterAutospacing="0"/>
              <w:ind w:left="0" w:right="0" w:firstLine="420" w:firstLineChars="200"/>
              <w:rPr>
                <w:rFonts w:hint="eastAsia" w:ascii="宋体" w:hAnsi="宋体" w:cs="Times New Roman"/>
                <w:color w:val="auto"/>
                <w:szCs w:val="21"/>
                <w:highlight w:val="none"/>
              </w:rPr>
            </w:pPr>
            <w:r>
              <w:rPr>
                <w:rFonts w:hint="eastAsia" w:ascii="宋体" w:hAnsi="宋体" w:cs="Times New Roman"/>
                <w:color w:val="auto"/>
                <w:szCs w:val="21"/>
                <w:highlight w:val="none"/>
              </w:rPr>
              <w:t>8.使用涂料、地胶、板材等各种材料不得对环境、人员、展品造成污染和伤害，优先选择有机化合物（VOC）含量低的产品，其所含有害物质溢出量不能高于国家或行业规定的标准；采取有效措施控制实施现场的各种粉尘、废弃物、噪声、振动等对展馆建筑、周围环境造成的污染和危害；有放射和电磁辐射的用材要符合国家防护规定。</w:t>
            </w:r>
          </w:p>
          <w:p w14:paraId="41F96258">
            <w:pPr>
              <w:keepNext w:val="0"/>
              <w:keepLines w:val="0"/>
              <w:suppressLineNumbers w:val="0"/>
              <w:spacing w:before="0" w:beforeAutospacing="0" w:after="0" w:afterAutospacing="0"/>
              <w:ind w:left="0" w:right="0" w:firstLine="420" w:firstLineChars="200"/>
              <w:rPr>
                <w:rFonts w:hint="eastAsia" w:ascii="宋体" w:hAnsi="宋体" w:cs="Times New Roman"/>
                <w:color w:val="auto"/>
                <w:szCs w:val="21"/>
                <w:highlight w:val="none"/>
              </w:rPr>
            </w:pPr>
            <w:r>
              <w:rPr>
                <w:rFonts w:hint="eastAsia" w:ascii="宋体" w:hAnsi="宋体" w:cs="Times New Roman"/>
                <w:color w:val="auto"/>
                <w:szCs w:val="21"/>
                <w:highlight w:val="none"/>
              </w:rPr>
              <w:t>9采用耐用且美观的新型材料，确保展墙和展项的承重能力和长期稳定使用，装修完成后，展厅空气中烟雾灰尘和有害气体浓度限值应符合国家标准相关要求；至少2年内，展板、展墙及表面装饰涂覆材料等不得出现变质、变形、断裂以及褪色、变色等现象。</w:t>
            </w:r>
          </w:p>
          <w:p w14:paraId="1B288859">
            <w:pPr>
              <w:keepNext w:val="0"/>
              <w:keepLines w:val="0"/>
              <w:suppressLineNumbers w:val="0"/>
              <w:spacing w:before="0" w:beforeAutospacing="0" w:after="0" w:afterAutospacing="0"/>
              <w:ind w:left="0" w:right="0" w:firstLine="420" w:firstLineChars="200"/>
              <w:rPr>
                <w:rFonts w:hint="eastAsia" w:ascii="宋体" w:hAnsi="宋体" w:cs="Times New Roman"/>
                <w:color w:val="auto"/>
                <w:szCs w:val="21"/>
                <w:highlight w:val="none"/>
              </w:rPr>
            </w:pPr>
            <w:r>
              <w:rPr>
                <w:rFonts w:hint="eastAsia" w:ascii="宋体" w:hAnsi="宋体" w:cs="Times New Roman"/>
                <w:color w:val="auto"/>
                <w:szCs w:val="21"/>
                <w:highlight w:val="none"/>
              </w:rPr>
              <w:t>10.现场施工期间应严格遵守安全操作规程，安装、拆除、清理、搬运、迁移、装卸及高空作业等系列施工过程须安全有序，采取必要的警示标识、围栏等安全防护措施，服从采购方现场人员管理，确保安全文明施工；同时遵守有关安全劳动保护、防火和防毒的法律法规，建立相应的管理制度、配备必要的设备器具、护具和标识，确保施工人员和参观者的安全。</w:t>
            </w:r>
          </w:p>
          <w:p w14:paraId="421962AD">
            <w:pPr>
              <w:keepNext w:val="0"/>
              <w:keepLines w:val="0"/>
              <w:suppressLineNumbers w:val="0"/>
              <w:spacing w:before="0" w:beforeAutospacing="0" w:after="0" w:afterAutospacing="0"/>
              <w:ind w:left="0" w:right="0" w:firstLine="420" w:firstLineChars="200"/>
              <w:rPr>
                <w:rFonts w:hint="eastAsia" w:ascii="宋体" w:hAnsi="宋体" w:cs="Times New Roman"/>
                <w:color w:val="auto"/>
                <w:szCs w:val="21"/>
                <w:highlight w:val="none"/>
              </w:rPr>
            </w:pPr>
            <w:r>
              <w:rPr>
                <w:rFonts w:hint="eastAsia" w:ascii="宋体" w:hAnsi="宋体" w:cs="Times New Roman"/>
                <w:color w:val="auto"/>
                <w:szCs w:val="21"/>
                <w:highlight w:val="none"/>
              </w:rPr>
              <w:t>11.施工过程中的全部材料，在成果交付验收前，所用材料和工具以及产生的建筑垃圾需集中堆放于经采购人同意的区域，由中标方自行妥善保管、收纳处理、围合遮挡，并承担保管过程中的一切责任及风险，施工全程保证环境整洁、不影响采购人场馆正常开馆。</w:t>
            </w:r>
          </w:p>
          <w:p w14:paraId="692D37C8">
            <w:pPr>
              <w:keepNext w:val="0"/>
              <w:keepLines w:val="0"/>
              <w:suppressLineNumbers w:val="0"/>
              <w:spacing w:before="0" w:beforeAutospacing="0" w:after="0" w:afterAutospacing="0"/>
              <w:ind w:left="0" w:right="0" w:firstLine="420" w:firstLineChars="200"/>
              <w:rPr>
                <w:rFonts w:hint="eastAsia" w:ascii="宋体" w:hAnsi="宋体" w:cs="Times New Roman"/>
                <w:color w:val="auto"/>
                <w:szCs w:val="21"/>
                <w:highlight w:val="none"/>
              </w:rPr>
            </w:pPr>
            <w:r>
              <w:rPr>
                <w:rFonts w:hint="eastAsia" w:ascii="宋体" w:hAnsi="宋体" w:cs="Times New Roman"/>
                <w:color w:val="auto"/>
                <w:szCs w:val="21"/>
                <w:highlight w:val="none"/>
              </w:rPr>
              <w:t>12.施工期间应对空间环境做好成品保护措施，如若发现存在涉及场地布局、施工受限等问题，需及时联系采购人确认处理；如在施工过程中因中标方施工人员工作失误导致场馆设备设施、附属配件毁损灭失，或造成周边展项、线路、框架管道、地面砖块、墙体设施、护栏围栏、墙体地面等出现污染或损坏现象，中标方必须无条件清洁修复并承担所有费用；由施工不当引发的一切人身事故或第三方财产损失均由中标方完全负责，与采购人无关。</w:t>
            </w:r>
          </w:p>
          <w:p w14:paraId="44A7D895">
            <w:pPr>
              <w:keepNext w:val="0"/>
              <w:keepLines w:val="0"/>
              <w:suppressLineNumbers w:val="0"/>
              <w:spacing w:before="0" w:beforeAutospacing="0" w:after="0" w:afterAutospacing="0"/>
              <w:ind w:left="0" w:right="0" w:firstLine="420" w:firstLineChars="200"/>
              <w:rPr>
                <w:rFonts w:hint="eastAsia" w:ascii="宋体" w:hAnsi="宋体" w:cs="Times New Roman"/>
                <w:color w:val="auto"/>
                <w:szCs w:val="21"/>
                <w:highlight w:val="none"/>
              </w:rPr>
            </w:pPr>
            <w:r>
              <w:rPr>
                <w:rFonts w:hint="eastAsia" w:ascii="宋体" w:hAnsi="宋体" w:cs="Times New Roman"/>
                <w:color w:val="auto"/>
                <w:szCs w:val="21"/>
                <w:highlight w:val="none"/>
              </w:rPr>
              <w:t>13.施工结束后，中标方负责彻底清理施工现场，并将施工过程中产生的所有建筑垃圾清运出馆，同时废料处理环保化，避免环境污染、减少资源浪费。</w:t>
            </w:r>
          </w:p>
          <w:p w14:paraId="4B52B851">
            <w:pPr>
              <w:keepNext w:val="0"/>
              <w:keepLines w:val="0"/>
              <w:suppressLineNumbers w:val="0"/>
              <w:spacing w:before="0" w:beforeAutospacing="0" w:after="0" w:afterAutospacing="0"/>
              <w:ind w:left="0" w:right="0" w:firstLine="422" w:firstLineChars="200"/>
              <w:rPr>
                <w:rFonts w:hint="eastAsia" w:ascii="Calibri" w:hAnsi="Calibri" w:cs="Times New Roman"/>
                <w:b/>
                <w:color w:val="auto"/>
                <w:szCs w:val="22"/>
                <w:highlight w:val="none"/>
              </w:rPr>
            </w:pPr>
            <w:r>
              <w:rPr>
                <w:rFonts w:hint="eastAsia" w:ascii="Calibri" w:hAnsi="Calibri" w:cs="Times New Roman"/>
                <w:b/>
                <w:color w:val="auto"/>
                <w:szCs w:val="22"/>
                <w:highlight w:val="none"/>
              </w:rPr>
              <w:t>四、设计成果要求</w:t>
            </w:r>
          </w:p>
          <w:p w14:paraId="6E05002B">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设计成果主要包括文本和图纸等两部分，但不限于下列内容：</w:t>
            </w:r>
          </w:p>
          <w:p w14:paraId="789B0DB0">
            <w:pPr>
              <w:keepNext w:val="0"/>
              <w:keepLines w:val="0"/>
              <w:numPr>
                <w:ilvl w:val="0"/>
                <w:numId w:val="1"/>
              </w:numPr>
              <w:suppressLineNumbers w:val="0"/>
              <w:spacing w:before="0" w:beforeAutospacing="0" w:after="0" w:afterAutospacing="0"/>
              <w:ind w:left="0" w:right="0" w:firstLine="413" w:firstLineChars="196"/>
              <w:rPr>
                <w:rFonts w:hint="eastAsia" w:ascii="宋体" w:hAnsi="宋体" w:cs="Times New Roman"/>
                <w:b/>
                <w:bCs/>
                <w:color w:val="auto"/>
                <w:szCs w:val="21"/>
                <w:highlight w:val="none"/>
              </w:rPr>
            </w:pPr>
            <w:r>
              <w:rPr>
                <w:rFonts w:hint="eastAsia" w:ascii="宋体" w:hAnsi="宋体" w:cs="Times New Roman"/>
                <w:b/>
                <w:bCs/>
                <w:color w:val="auto"/>
                <w:szCs w:val="21"/>
                <w:highlight w:val="none"/>
              </w:rPr>
              <w:t>策展方案、设计文本</w:t>
            </w:r>
          </w:p>
          <w:p w14:paraId="7492EAAC">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1.现状分析。对布展现状进行分析，重点对利用不足的空间、陈旧的展项进行论述，针对现状不足提出优化方案（含平面布局优化提升说明，包括现状布展存在问题，改造面积、改造比例等；展项展品优化提升说明，包括展项展品现状不足、优化方案、设计理念等）。</w:t>
            </w:r>
          </w:p>
          <w:p w14:paraId="7ED2A6E7">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2.策划方案的设计理念和说明。</w:t>
            </w:r>
          </w:p>
          <w:p w14:paraId="30C09015">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3.布展主题定位、脉络框架编制及叙事文案策划。</w:t>
            </w:r>
          </w:p>
          <w:p w14:paraId="43B4CEC1">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4.参观交通流线说明（满足不同人群的参观需求，且根据不同级别的公务接待提出应急预案）。</w:t>
            </w:r>
          </w:p>
          <w:p w14:paraId="1EE96FCB">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5.展陈内容设计及重点（亮点）展项设计说明、工艺节点说明。</w:t>
            </w:r>
          </w:p>
          <w:p w14:paraId="085ECACE">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6.其他展具、灯光陈列布置方案及形式说明，相关设施设备的功能说明。</w:t>
            </w:r>
          </w:p>
          <w:p w14:paraId="2C937F66">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7.智能场馆建设、新技术应用等其它专项说明。</w:t>
            </w:r>
          </w:p>
          <w:p w14:paraId="337AC9A3">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8.结合场馆实际情况提供国内其他场馆的优秀布展案例进行借鉴性说明等。</w:t>
            </w:r>
          </w:p>
          <w:p w14:paraId="6211046B">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9.布展实施计划和投资估算。包含分步骤工程量、单价、总价以及主要展品、展项、模型、材料、设备等投资估算。</w:t>
            </w:r>
          </w:p>
          <w:p w14:paraId="10EF6FDE">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10.投标人认为需要提交的其他说明。</w:t>
            </w:r>
          </w:p>
          <w:p w14:paraId="43FBDEAF">
            <w:pPr>
              <w:keepNext w:val="0"/>
              <w:keepLines w:val="0"/>
              <w:suppressLineNumbers w:val="0"/>
              <w:spacing w:before="0" w:beforeAutospacing="0" w:after="0" w:afterAutospacing="0"/>
              <w:ind w:left="0" w:right="0" w:firstLine="411" w:firstLineChars="196"/>
              <w:rPr>
                <w:rFonts w:hint="eastAsia" w:ascii="宋体" w:hAnsi="宋体" w:cs="Times New Roman"/>
                <w:b/>
                <w:bCs/>
                <w:color w:val="auto"/>
                <w:szCs w:val="21"/>
                <w:highlight w:val="none"/>
              </w:rPr>
            </w:pPr>
            <w:r>
              <w:rPr>
                <w:rFonts w:hint="eastAsia" w:ascii="宋体" w:hAnsi="宋体" w:cs="Times New Roman"/>
                <w:color w:val="auto"/>
                <w:szCs w:val="21"/>
                <w:highlight w:val="none"/>
              </w:rPr>
              <w:t>▲</w:t>
            </w:r>
            <w:r>
              <w:rPr>
                <w:rFonts w:hint="eastAsia" w:ascii="宋体" w:hAnsi="宋体" w:cs="Times New Roman"/>
                <w:b/>
                <w:bCs/>
                <w:color w:val="auto"/>
                <w:szCs w:val="21"/>
                <w:highlight w:val="none"/>
              </w:rPr>
              <w:t>（二）设计图纸</w:t>
            </w:r>
          </w:p>
          <w:p w14:paraId="2F225DB4">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设计图纸应充分表达设计理念、明确表示设计意图，标注主要设备的品牌（型号、技术参数）和主要布展材料，重点部位应加以说明。具体应至少包括如下图纸：</w:t>
            </w:r>
          </w:p>
          <w:p w14:paraId="6BF436F1">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1.现状分析图。主要表达现状的布展情况、各展项的分布以及对现状的布展情况进行分析等（包括但不限于功能分区图、布展流线图、室内照明环境分析、色彩分析等）。</w:t>
            </w:r>
          </w:p>
          <w:p w14:paraId="4920829A">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2.布展设计方案图（含展厅空间设计、空间改造前后效果对比及其功能配置的相关设计图等）。</w:t>
            </w:r>
          </w:p>
          <w:p w14:paraId="47B127D2">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3.各层展厅及展区平面图、立面图。标注区域、面积及公共设施的位置等。</w:t>
            </w:r>
          </w:p>
          <w:p w14:paraId="3EF381E5">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 xml:space="preserve">4.功能分区分析图、流线组织分析图及其他专项分析示意图。 </w:t>
            </w:r>
          </w:p>
          <w:p w14:paraId="3AAC59B8">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5.布展设计效果图。</w:t>
            </w:r>
          </w:p>
          <w:p w14:paraId="7799EAB0">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6.重点（亮点）展项设计图、重要工艺节点大样图。</w:t>
            </w:r>
          </w:p>
          <w:p w14:paraId="1179ADE8">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7.展项展品设计相关图纸（包括各展区多角度、多方位设计效果图，以及能反映建筑物内各空间相互关系的空间视觉设计示意图等，系列效果图总数不得少于30张；成套图文展板设计图和源文件，具体数量按实际版面计）。</w:t>
            </w:r>
          </w:p>
          <w:p w14:paraId="25051AB6">
            <w:pPr>
              <w:keepNext w:val="0"/>
              <w:keepLines w:val="0"/>
              <w:suppressLineNumbers w:val="0"/>
              <w:spacing w:before="0" w:beforeAutospacing="0" w:after="0" w:afterAutospacing="0"/>
              <w:ind w:left="0" w:right="0" w:firstLine="411" w:firstLineChars="196"/>
              <w:rPr>
                <w:rFonts w:hint="default" w:ascii="宋体" w:hAnsi="宋体" w:cs="Times New Roman"/>
                <w:color w:val="auto"/>
                <w:szCs w:val="21"/>
                <w:highlight w:val="none"/>
              </w:rPr>
            </w:pPr>
            <w:r>
              <w:rPr>
                <w:rFonts w:hint="eastAsia" w:ascii="宋体" w:hAnsi="宋体" w:cs="Times New Roman"/>
                <w:color w:val="auto"/>
                <w:szCs w:val="21"/>
                <w:highlight w:val="none"/>
              </w:rPr>
              <w:t>8.施工图。提供平面图、剖面图、节点详图等详细的施工图纸，图纸精准绘制、覆盖所有施工环节，还包括涉及的电气、消防、暖通、给排水等专业施工图等，确保施工质量和进度可控。</w:t>
            </w:r>
          </w:p>
          <w:p w14:paraId="1CAFF4A1">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9.主要材料参考图（应真实反映材质、色彩与空间环境的应用关系）。</w:t>
            </w:r>
          </w:p>
          <w:p w14:paraId="01F45869">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10.表达布展设计意图等其他图纸。中标方可根据自身设计特点，增加图纸或其他表现手段，更为有效的表达布展思路和意图。</w:t>
            </w:r>
          </w:p>
          <w:p w14:paraId="588D286A">
            <w:pPr>
              <w:keepNext w:val="0"/>
              <w:keepLines w:val="0"/>
              <w:suppressLineNumbers w:val="0"/>
              <w:spacing w:before="0" w:beforeAutospacing="0" w:after="0" w:afterAutospacing="0"/>
              <w:ind w:left="0" w:right="0" w:firstLine="411" w:firstLineChars="196"/>
              <w:rPr>
                <w:rFonts w:hint="eastAsia" w:ascii="宋体" w:hAnsi="宋体" w:cs="Times New Roman"/>
                <w:b/>
                <w:bCs/>
                <w:color w:val="auto"/>
                <w:szCs w:val="21"/>
                <w:highlight w:val="none"/>
              </w:rPr>
            </w:pPr>
            <w:r>
              <w:rPr>
                <w:rFonts w:hint="eastAsia" w:ascii="宋体" w:hAnsi="宋体" w:cs="宋体"/>
                <w:color w:val="auto"/>
                <w:szCs w:val="21"/>
                <w:highlight w:val="none"/>
              </w:rPr>
              <w:t>▲</w:t>
            </w:r>
            <w:r>
              <w:rPr>
                <w:rFonts w:hint="eastAsia" w:ascii="宋体" w:hAnsi="宋体" w:cs="Times New Roman"/>
                <w:b/>
                <w:bCs/>
                <w:color w:val="auto"/>
                <w:szCs w:val="21"/>
                <w:highlight w:val="none"/>
              </w:rPr>
              <w:t>（三）成果形式</w:t>
            </w:r>
          </w:p>
          <w:p w14:paraId="3CF68BFB">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1.包含上述策展设计文本、设计图纸15套，规格统一为A3</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rPr>
              <w:t>简本15份。</w:t>
            </w:r>
          </w:p>
          <w:p w14:paraId="3A80839D">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 xml:space="preserve">2.包含上述所有文字说明和图件内容的电子光盘2套，文本为DOC格式文件，图纸为DWG格式文件，效果图为PDF格式文件。 </w:t>
            </w:r>
          </w:p>
          <w:p w14:paraId="7A26B8CF">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 xml:space="preserve">3.包含上述所有图件内容及简明必要的文字说明的彩色汇报展示图纸1套，规格统一为A0，比例、内容及深度需符合上述具体要求，并应装裱在相应尺寸的轻质图板上，原则上不得拼板（在A0图板上单独成图）。 </w:t>
            </w:r>
          </w:p>
          <w:p w14:paraId="1A2B101E">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4.汇报展示用多媒体电子文件1份（原则上使用POWERPOINT演示文件），以及用三维虚拟软件进行场景展示，长度不超过30分钟，并配合过程中的方案汇报、组织评审等相关工作。</w:t>
            </w:r>
          </w:p>
          <w:p w14:paraId="5E35526D">
            <w:pPr>
              <w:keepNext w:val="0"/>
              <w:keepLines w:val="0"/>
              <w:suppressLineNumbers w:val="0"/>
              <w:spacing w:before="0" w:beforeAutospacing="0" w:after="0" w:afterAutospacing="0"/>
              <w:ind w:left="0" w:right="0" w:firstLine="413" w:firstLineChars="196"/>
              <w:rPr>
                <w:rFonts w:hint="eastAsia" w:ascii="宋体" w:hAnsi="宋体" w:cs="Times New Roman"/>
                <w:color w:val="auto"/>
                <w:szCs w:val="21"/>
                <w:highlight w:val="none"/>
              </w:rPr>
            </w:pPr>
            <w:r>
              <w:rPr>
                <w:rFonts w:hint="eastAsia" w:ascii="宋体" w:hAnsi="宋体" w:cs="Times New Roman"/>
                <w:b/>
                <w:bCs/>
                <w:color w:val="auto"/>
                <w:szCs w:val="21"/>
                <w:highlight w:val="none"/>
              </w:rPr>
              <w:t>五、布展试运行要求</w:t>
            </w:r>
          </w:p>
          <w:p w14:paraId="499F16F8">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（一）布展试运行是由中标单位完成其布展实施、安装、调试、自检后提出试运行申请， 由采购人组织完成布展项目各项技术指标、展示功能、外观质量、整体效果、安全环保、档案资料等方面的检测和评定的一项工作；通过试运行检测布展的质量及运行效果状态，为项目运行及竣工验收奠定基础。</w:t>
            </w:r>
          </w:p>
          <w:p w14:paraId="7FD420C6">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（二）试运行时间30天，运行效果良好，无因布展责任安全、质量事故发生，中标单位可申请进行竣工验收。</w:t>
            </w:r>
          </w:p>
          <w:p w14:paraId="3FABDA48">
            <w:pPr>
              <w:keepNext w:val="0"/>
              <w:keepLines w:val="0"/>
              <w:suppressLineNumbers w:val="0"/>
              <w:spacing w:before="0" w:beforeAutospacing="0" w:after="0" w:afterAutospacing="0"/>
              <w:ind w:left="0" w:right="0" w:firstLine="422" w:firstLineChars="200"/>
              <w:rPr>
                <w:rFonts w:hint="eastAsia" w:ascii="Calibri" w:hAnsi="Calibri" w:cs="Times New Roman"/>
                <w:b/>
                <w:color w:val="auto"/>
                <w:szCs w:val="22"/>
                <w:highlight w:val="none"/>
              </w:rPr>
            </w:pPr>
            <w:r>
              <w:rPr>
                <w:rFonts w:hint="eastAsia" w:ascii="Calibri" w:hAnsi="Calibri" w:cs="Times New Roman"/>
                <w:b/>
                <w:color w:val="auto"/>
                <w:szCs w:val="22"/>
                <w:highlight w:val="none"/>
              </w:rPr>
              <w:t>六、核心展项及设备最低要求</w:t>
            </w:r>
          </w:p>
          <w:p w14:paraId="1A1B0A2B">
            <w:pPr>
              <w:keepNext w:val="0"/>
              <w:keepLines w:val="0"/>
              <w:suppressLineNumbers w:val="0"/>
              <w:spacing w:before="0" w:beforeAutospacing="0" w:after="0" w:afterAutospacing="0"/>
              <w:ind w:left="0" w:right="0" w:firstLine="413" w:firstLineChars="196"/>
              <w:rPr>
                <w:rFonts w:hint="eastAsia" w:ascii="宋体" w:hAnsi="宋体" w:eastAsia="宋体" w:cs="Times New Roman"/>
                <w:color w:val="auto"/>
                <w:szCs w:val="21"/>
                <w:highlight w:val="none"/>
                <w:lang w:eastAsia="zh-CN"/>
              </w:rPr>
            </w:pPr>
            <w:r>
              <w:rPr>
                <w:rFonts w:hint="eastAsia" w:ascii="宋体" w:hAnsi="宋体" w:eastAsia="宋体" w:cs="Times New Roman"/>
                <w:b/>
                <w:bCs/>
                <w:color w:val="auto"/>
                <w:szCs w:val="21"/>
                <w:highlight w:val="none"/>
                <w:lang w:eastAsia="zh-CN"/>
              </w:rPr>
              <w:t>▲（一）数字沙盘的</w:t>
            </w:r>
            <w:r>
              <w:rPr>
                <w:rFonts w:hint="eastAsia" w:ascii="宋体" w:hAnsi="宋体" w:eastAsia="宋体" w:cs="Times New Roman"/>
                <w:b/>
                <w:bCs/>
                <w:color w:val="auto"/>
                <w:szCs w:val="21"/>
                <w:highlight w:val="none"/>
              </w:rPr>
              <w:t>P2.5</w:t>
            </w:r>
            <w:r>
              <w:rPr>
                <w:rFonts w:hint="eastAsia" w:ascii="宋体" w:hAnsi="宋体" w:cs="Times New Roman"/>
                <w:b/>
                <w:bCs/>
                <w:color w:val="auto"/>
                <w:szCs w:val="21"/>
                <w:highlight w:val="none"/>
                <w:lang w:val="en-US" w:eastAsia="zh-CN"/>
              </w:rPr>
              <w:t>电子显示屏</w:t>
            </w:r>
          </w:p>
          <w:p w14:paraId="533D832C">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1.像素间距：2.5mm</w:t>
            </w:r>
            <w:r>
              <w:rPr>
                <w:rFonts w:hint="eastAsia" w:ascii="宋体" w:hAnsi="宋体" w:eastAsia="宋体" w:cs="Times New Roman"/>
                <w:color w:val="auto"/>
                <w:szCs w:val="21"/>
                <w:highlight w:val="none"/>
                <w:lang w:eastAsia="zh-CN"/>
              </w:rPr>
              <w:t>；</w:t>
            </w:r>
          </w:p>
          <w:p w14:paraId="6341C5AE">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2.LED类型：SMD 表贴三合一 2121 单灯封装(1R1G1B)</w:t>
            </w:r>
            <w:r>
              <w:rPr>
                <w:rFonts w:hint="eastAsia" w:ascii="宋体" w:hAnsi="宋体" w:eastAsia="宋体" w:cs="Times New Roman"/>
                <w:color w:val="auto"/>
                <w:szCs w:val="21"/>
                <w:highlight w:val="none"/>
                <w:lang w:eastAsia="zh-CN"/>
              </w:rPr>
              <w:t>；</w:t>
            </w:r>
          </w:p>
          <w:p w14:paraId="42F34AD1">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3.箱体尺寸：320x480x46.5mm</w:t>
            </w:r>
            <w:r>
              <w:rPr>
                <w:rFonts w:hint="eastAsia" w:ascii="宋体" w:hAnsi="宋体" w:eastAsia="宋体" w:cs="Times New Roman"/>
                <w:color w:val="auto"/>
                <w:szCs w:val="21"/>
                <w:highlight w:val="none"/>
                <w:lang w:eastAsia="zh-CN"/>
              </w:rPr>
              <w:t>；</w:t>
            </w:r>
          </w:p>
          <w:p w14:paraId="53493F21">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4.模组尺寸：320*240mm</w:t>
            </w:r>
            <w:r>
              <w:rPr>
                <w:rFonts w:hint="eastAsia" w:ascii="宋体" w:hAnsi="宋体" w:eastAsia="宋体" w:cs="Times New Roman"/>
                <w:color w:val="auto"/>
                <w:szCs w:val="21"/>
                <w:highlight w:val="none"/>
                <w:lang w:eastAsia="zh-CN"/>
              </w:rPr>
              <w:t>；</w:t>
            </w:r>
          </w:p>
          <w:p w14:paraId="458EEEA5">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5.显示屏重量(kg/㎡)：≤12</w:t>
            </w:r>
            <w:r>
              <w:rPr>
                <w:rFonts w:hint="eastAsia" w:ascii="宋体" w:hAnsi="宋体" w:eastAsia="宋体" w:cs="Times New Roman"/>
                <w:color w:val="auto"/>
                <w:szCs w:val="21"/>
                <w:highlight w:val="none"/>
                <w:lang w:eastAsia="zh-CN"/>
              </w:rPr>
              <w:t>；</w:t>
            </w:r>
          </w:p>
          <w:p w14:paraId="2D6FF64F">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6.箱体分辨率：128x192</w:t>
            </w:r>
            <w:r>
              <w:rPr>
                <w:rFonts w:hint="eastAsia" w:ascii="宋体" w:hAnsi="宋体" w:eastAsia="宋体" w:cs="Times New Roman"/>
                <w:color w:val="auto"/>
                <w:szCs w:val="21"/>
                <w:highlight w:val="none"/>
                <w:lang w:eastAsia="zh-CN"/>
              </w:rPr>
              <w:t>；</w:t>
            </w:r>
          </w:p>
          <w:p w14:paraId="3CFD73DC">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7.色温：9300K</w:t>
            </w:r>
            <w:r>
              <w:rPr>
                <w:rFonts w:hint="eastAsia" w:ascii="宋体" w:hAnsi="宋体" w:eastAsia="宋体" w:cs="Times New Roman"/>
                <w:color w:val="auto"/>
                <w:szCs w:val="21"/>
                <w:highlight w:val="none"/>
                <w:lang w:eastAsia="zh-CN"/>
              </w:rPr>
              <w:t>；</w:t>
            </w:r>
          </w:p>
          <w:p w14:paraId="234B4FCD">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lang w:eastAsia="zh-CN"/>
              </w:rPr>
            </w:pPr>
            <w:r>
              <w:rPr>
                <w:rFonts w:hint="eastAsia" w:ascii="宋体" w:hAnsi="宋体" w:cs="Times New Roman"/>
                <w:color w:val="auto"/>
                <w:szCs w:val="21"/>
                <w:highlight w:val="none"/>
              </w:rPr>
              <w:t>8.对比度：3000:1</w:t>
            </w:r>
            <w:r>
              <w:rPr>
                <w:rFonts w:hint="eastAsia" w:ascii="宋体" w:hAnsi="宋体" w:cs="Times New Roman"/>
                <w:color w:val="auto"/>
                <w:szCs w:val="21"/>
                <w:highlight w:val="none"/>
                <w:lang w:eastAsia="zh-CN"/>
              </w:rPr>
              <w:t>；</w:t>
            </w:r>
          </w:p>
          <w:p w14:paraId="7B025E04">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lang w:eastAsia="zh-CN"/>
              </w:rPr>
            </w:pPr>
            <w:r>
              <w:rPr>
                <w:rFonts w:hint="eastAsia" w:ascii="宋体" w:hAnsi="宋体" w:cs="Times New Roman"/>
                <w:color w:val="auto"/>
                <w:szCs w:val="21"/>
                <w:highlight w:val="none"/>
              </w:rPr>
              <w:t>9.视角：水平视角≥170°，垂直视角≥160°</w:t>
            </w:r>
            <w:r>
              <w:rPr>
                <w:rFonts w:hint="eastAsia" w:ascii="宋体" w:hAnsi="宋体" w:cs="Times New Roman"/>
                <w:color w:val="auto"/>
                <w:szCs w:val="21"/>
                <w:highlight w:val="none"/>
                <w:lang w:eastAsia="zh-CN"/>
              </w:rPr>
              <w:t>；</w:t>
            </w:r>
          </w:p>
          <w:p w14:paraId="0C4B1234">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lang w:eastAsia="zh-CN"/>
              </w:rPr>
            </w:pPr>
            <w:r>
              <w:rPr>
                <w:rFonts w:hint="eastAsia" w:ascii="宋体" w:hAnsi="宋体" w:cs="Times New Roman"/>
                <w:color w:val="auto"/>
                <w:szCs w:val="21"/>
                <w:highlight w:val="none"/>
              </w:rPr>
              <w:t>10.刷新频率：3840HZ</w:t>
            </w:r>
            <w:r>
              <w:rPr>
                <w:rFonts w:hint="eastAsia" w:ascii="宋体" w:hAnsi="宋体" w:cs="Times New Roman"/>
                <w:color w:val="auto"/>
                <w:szCs w:val="21"/>
                <w:highlight w:val="none"/>
                <w:lang w:eastAsia="zh-CN"/>
              </w:rPr>
              <w:t>；</w:t>
            </w:r>
          </w:p>
          <w:p w14:paraId="35BDA8B6">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lang w:eastAsia="zh-CN"/>
              </w:rPr>
            </w:pPr>
            <w:r>
              <w:rPr>
                <w:rFonts w:hint="eastAsia" w:ascii="宋体" w:hAnsi="宋体" w:cs="Times New Roman"/>
                <w:color w:val="auto"/>
                <w:szCs w:val="21"/>
                <w:highlight w:val="none"/>
              </w:rPr>
              <w:t>11.亮度（nit）：600</w:t>
            </w:r>
            <w:r>
              <w:rPr>
                <w:rFonts w:hint="eastAsia" w:ascii="宋体" w:hAnsi="宋体" w:cs="Times New Roman"/>
                <w:color w:val="auto"/>
                <w:szCs w:val="21"/>
                <w:highlight w:val="none"/>
                <w:lang w:eastAsia="zh-CN"/>
              </w:rPr>
              <w:t>；</w:t>
            </w:r>
          </w:p>
          <w:p w14:paraId="4773F9A3">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lang w:eastAsia="zh-CN"/>
              </w:rPr>
            </w:pPr>
            <w:r>
              <w:rPr>
                <w:rFonts w:hint="eastAsia" w:ascii="宋体" w:hAnsi="宋体" w:cs="Times New Roman"/>
                <w:color w:val="auto"/>
                <w:szCs w:val="21"/>
                <w:highlight w:val="none"/>
              </w:rPr>
              <w:t>12.驱动方式：1/64</w:t>
            </w:r>
            <w:r>
              <w:rPr>
                <w:rFonts w:hint="eastAsia" w:ascii="宋体" w:hAnsi="宋体" w:cs="Times New Roman"/>
                <w:color w:val="auto"/>
                <w:szCs w:val="21"/>
                <w:highlight w:val="none"/>
                <w:lang w:eastAsia="zh-CN"/>
              </w:rPr>
              <w:t>；</w:t>
            </w:r>
          </w:p>
          <w:p w14:paraId="45D1D13C">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lang w:eastAsia="zh-CN"/>
              </w:rPr>
            </w:pPr>
            <w:r>
              <w:rPr>
                <w:rFonts w:hint="eastAsia" w:ascii="宋体" w:hAnsi="宋体" w:cs="Times New Roman"/>
                <w:color w:val="auto"/>
                <w:szCs w:val="21"/>
                <w:highlight w:val="none"/>
              </w:rPr>
              <w:t xml:space="preserve">13.AC工作电压（V）：100～240 </w:t>
            </w:r>
            <w:r>
              <w:rPr>
                <w:rFonts w:hint="eastAsia" w:ascii="宋体" w:hAnsi="宋体" w:cs="Times New Roman"/>
                <w:color w:val="auto"/>
                <w:szCs w:val="21"/>
                <w:highlight w:val="none"/>
                <w:lang w:eastAsia="zh-CN"/>
              </w:rPr>
              <w:t>；</w:t>
            </w:r>
          </w:p>
          <w:p w14:paraId="6F50522A">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lang w:eastAsia="zh-CN"/>
              </w:rPr>
            </w:pPr>
            <w:r>
              <w:rPr>
                <w:rFonts w:hint="eastAsia" w:ascii="宋体" w:hAnsi="宋体" w:cs="Times New Roman"/>
                <w:color w:val="auto"/>
                <w:szCs w:val="21"/>
                <w:highlight w:val="none"/>
              </w:rPr>
              <w:t>14.平均功耗（W/㎡）≤107，峰值功耗（W/㎡）≤321，采用节能驱动技术设计支持无信号输入自动熄屏待机，有信号输入自动唤醒功能，单箱黑屏不点亮时，功耗≤5.3W</w:t>
            </w:r>
            <w:r>
              <w:rPr>
                <w:rFonts w:hint="eastAsia" w:ascii="宋体" w:hAnsi="宋体" w:cs="Times New Roman"/>
                <w:color w:val="auto"/>
                <w:szCs w:val="21"/>
                <w:highlight w:val="none"/>
                <w:lang w:eastAsia="zh-CN"/>
              </w:rPr>
              <w:t>；</w:t>
            </w:r>
          </w:p>
          <w:p w14:paraId="14B05BA9">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lang w:eastAsia="zh-CN"/>
              </w:rPr>
            </w:pPr>
            <w:r>
              <w:rPr>
                <w:rFonts w:hint="eastAsia" w:ascii="宋体" w:hAnsi="宋体" w:cs="Times New Roman"/>
                <w:color w:val="auto"/>
                <w:szCs w:val="21"/>
                <w:highlight w:val="none"/>
              </w:rPr>
              <w:t>15.灰度等级（Bit）：14</w:t>
            </w:r>
            <w:r>
              <w:rPr>
                <w:rFonts w:hint="eastAsia" w:ascii="宋体" w:hAnsi="宋体" w:cs="Times New Roman"/>
                <w:color w:val="auto"/>
                <w:szCs w:val="21"/>
                <w:highlight w:val="none"/>
                <w:lang w:eastAsia="zh-CN"/>
              </w:rPr>
              <w:t>；</w:t>
            </w:r>
          </w:p>
          <w:p w14:paraId="11029B55">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lang w:eastAsia="zh-CN"/>
              </w:rPr>
            </w:pPr>
            <w:r>
              <w:rPr>
                <w:rFonts w:hint="eastAsia" w:ascii="宋体" w:hAnsi="宋体" w:cs="Times New Roman"/>
                <w:color w:val="auto"/>
                <w:szCs w:val="21"/>
                <w:highlight w:val="none"/>
              </w:rPr>
              <w:t>16.LED 像素失控率≤1/1500000</w:t>
            </w:r>
            <w:r>
              <w:rPr>
                <w:rFonts w:hint="eastAsia" w:ascii="宋体" w:hAnsi="宋体" w:cs="Times New Roman"/>
                <w:color w:val="auto"/>
                <w:szCs w:val="21"/>
                <w:highlight w:val="none"/>
                <w:lang w:eastAsia="zh-CN"/>
              </w:rPr>
              <w:t>；</w:t>
            </w:r>
          </w:p>
          <w:p w14:paraId="22DEC5BD">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lang w:eastAsia="zh-CN"/>
              </w:rPr>
            </w:pPr>
            <w:r>
              <w:rPr>
                <w:rFonts w:hint="eastAsia" w:ascii="宋体" w:hAnsi="宋体" w:cs="Times New Roman"/>
                <w:color w:val="auto"/>
                <w:szCs w:val="21"/>
                <w:highlight w:val="none"/>
              </w:rPr>
              <w:t>17.亮度均匀性：≥99.30%</w:t>
            </w:r>
            <w:r>
              <w:rPr>
                <w:rFonts w:hint="eastAsia" w:ascii="宋体" w:hAnsi="宋体" w:cs="Times New Roman"/>
                <w:color w:val="auto"/>
                <w:szCs w:val="21"/>
                <w:highlight w:val="none"/>
                <w:lang w:eastAsia="zh-CN"/>
              </w:rPr>
              <w:t>；</w:t>
            </w:r>
          </w:p>
          <w:p w14:paraId="040E904A">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lang w:eastAsia="zh-CN"/>
              </w:rPr>
            </w:pPr>
            <w:r>
              <w:rPr>
                <w:rFonts w:hint="eastAsia" w:ascii="宋体" w:hAnsi="宋体" w:cs="Times New Roman"/>
                <w:color w:val="auto"/>
                <w:szCs w:val="21"/>
                <w:highlight w:val="none"/>
              </w:rPr>
              <w:t>18.色域覆盖率 NTSC≥115%色域重合度(%)：＞95(BT.709)</w:t>
            </w:r>
            <w:r>
              <w:rPr>
                <w:rFonts w:hint="eastAsia" w:ascii="宋体" w:hAnsi="宋体" w:cs="Times New Roman"/>
                <w:color w:val="auto"/>
                <w:szCs w:val="21"/>
                <w:highlight w:val="none"/>
                <w:lang w:eastAsia="zh-CN"/>
              </w:rPr>
              <w:t>；</w:t>
            </w:r>
          </w:p>
          <w:p w14:paraId="7E10855E">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lang w:eastAsia="zh-CN"/>
              </w:rPr>
            </w:pPr>
            <w:r>
              <w:rPr>
                <w:rFonts w:hint="eastAsia" w:ascii="宋体" w:hAnsi="宋体" w:cs="Times New Roman"/>
                <w:color w:val="auto"/>
                <w:szCs w:val="21"/>
                <w:highlight w:val="none"/>
              </w:rPr>
              <w:t>19.平均故障恢复时间(MTTR)≤1分钟</w:t>
            </w:r>
            <w:r>
              <w:rPr>
                <w:rFonts w:hint="eastAsia" w:ascii="宋体" w:hAnsi="宋体" w:cs="Times New Roman"/>
                <w:color w:val="auto"/>
                <w:szCs w:val="21"/>
                <w:highlight w:val="none"/>
                <w:lang w:eastAsia="zh-CN"/>
              </w:rPr>
              <w:t>；</w:t>
            </w:r>
          </w:p>
          <w:p w14:paraId="15C9DE3D">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lang w:eastAsia="zh-CN"/>
              </w:rPr>
            </w:pPr>
            <w:r>
              <w:rPr>
                <w:rFonts w:hint="eastAsia" w:ascii="宋体" w:hAnsi="宋体" w:cs="Times New Roman"/>
                <w:color w:val="auto"/>
                <w:szCs w:val="21"/>
                <w:highlight w:val="none"/>
              </w:rPr>
              <w:t>20.显示单元平整度(mm)：≤0.05显示单元间隙(mm)：≤0.05</w:t>
            </w:r>
            <w:r>
              <w:rPr>
                <w:rFonts w:hint="eastAsia" w:ascii="宋体" w:hAnsi="宋体" w:cs="Times New Roman"/>
                <w:color w:val="auto"/>
                <w:szCs w:val="21"/>
                <w:highlight w:val="none"/>
                <w:lang w:eastAsia="zh-CN"/>
              </w:rPr>
              <w:t>；</w:t>
            </w:r>
          </w:p>
          <w:p w14:paraId="7DA07D02">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lang w:eastAsia="zh-CN"/>
              </w:rPr>
            </w:pPr>
            <w:r>
              <w:rPr>
                <w:rFonts w:hint="eastAsia" w:ascii="宋体" w:hAnsi="宋体" w:cs="Times New Roman"/>
                <w:color w:val="auto"/>
                <w:szCs w:val="21"/>
                <w:highlight w:val="none"/>
              </w:rPr>
              <w:t>21.整机框架压铸铝箱体安装，具有双电源模块和双信号处理模块，能够直接将箱体锁定在框架压铸铝箱体上固定，确保安全</w:t>
            </w:r>
            <w:r>
              <w:rPr>
                <w:rFonts w:hint="eastAsia" w:ascii="宋体" w:hAnsi="宋体" w:cs="Times New Roman"/>
                <w:color w:val="auto"/>
                <w:szCs w:val="21"/>
                <w:highlight w:val="none"/>
                <w:lang w:eastAsia="zh-CN"/>
              </w:rPr>
              <w:t>；</w:t>
            </w:r>
          </w:p>
          <w:p w14:paraId="611E9135">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lang w:eastAsia="zh-CN"/>
              </w:rPr>
            </w:pPr>
            <w:r>
              <w:rPr>
                <w:rFonts w:hint="eastAsia" w:ascii="宋体" w:hAnsi="宋体" w:cs="Times New Roman"/>
                <w:color w:val="auto"/>
                <w:szCs w:val="21"/>
                <w:highlight w:val="none"/>
              </w:rPr>
              <w:t>22，亮度衰减率：≤5%</w:t>
            </w:r>
            <w:r>
              <w:rPr>
                <w:rFonts w:hint="eastAsia" w:ascii="宋体" w:hAnsi="宋体" w:cs="Times New Roman"/>
                <w:color w:val="auto"/>
                <w:szCs w:val="21"/>
                <w:highlight w:val="none"/>
                <w:lang w:eastAsia="zh-CN"/>
              </w:rPr>
              <w:t>；</w:t>
            </w:r>
          </w:p>
          <w:p w14:paraId="2C680870">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lang w:eastAsia="zh-CN"/>
              </w:rPr>
            </w:pPr>
            <w:r>
              <w:rPr>
                <w:rFonts w:hint="eastAsia" w:ascii="宋体" w:hAnsi="宋体" w:cs="Times New Roman"/>
                <w:color w:val="auto"/>
                <w:szCs w:val="21"/>
                <w:highlight w:val="none"/>
              </w:rPr>
              <w:t>23.工作噪声声压dB（A）(距离 1 米)：前方≤3.2，后方≤2.7，左方≤3.2，右方≤3.1</w:t>
            </w:r>
            <w:r>
              <w:rPr>
                <w:rFonts w:hint="eastAsia" w:ascii="宋体" w:hAnsi="宋体" w:cs="Times New Roman"/>
                <w:color w:val="auto"/>
                <w:szCs w:val="21"/>
                <w:highlight w:val="none"/>
                <w:lang w:eastAsia="zh-CN"/>
              </w:rPr>
              <w:t>；</w:t>
            </w:r>
          </w:p>
          <w:p w14:paraId="6011FD9A">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lang w:eastAsia="zh-CN"/>
              </w:rPr>
            </w:pPr>
            <w:r>
              <w:rPr>
                <w:rFonts w:hint="eastAsia" w:ascii="宋体" w:hAnsi="宋体" w:cs="Times New Roman"/>
                <w:color w:val="auto"/>
                <w:szCs w:val="21"/>
                <w:highlight w:val="none"/>
              </w:rPr>
              <w:t>24.</w:t>
            </w:r>
            <w:r>
              <w:rPr>
                <w:rFonts w:hint="eastAsia" w:ascii="宋体" w:hAnsi="宋体" w:cs="Times New Roman"/>
                <w:color w:val="auto"/>
                <w:szCs w:val="21"/>
                <w:highlight w:val="none"/>
                <w:lang w:eastAsia="zh-CN"/>
              </w:rPr>
              <w:t>电子</w:t>
            </w:r>
            <w:r>
              <w:rPr>
                <w:rFonts w:hint="eastAsia" w:ascii="宋体" w:hAnsi="宋体" w:cs="Times New Roman"/>
                <w:color w:val="auto"/>
                <w:szCs w:val="21"/>
                <w:highlight w:val="none"/>
              </w:rPr>
              <w:t>显示屏符合防护等级IP4X符合IK10防冲击测试符合盐雾 10 级要求符合防电力远程窃密技术PCB 阻燃.塑胶件阻燃.内部线材阻燃均符合 V-0 要求</w:t>
            </w:r>
            <w:r>
              <w:rPr>
                <w:rFonts w:hint="eastAsia" w:ascii="宋体" w:hAnsi="宋体" w:cs="Times New Roman"/>
                <w:color w:val="auto"/>
                <w:szCs w:val="21"/>
                <w:highlight w:val="none"/>
                <w:lang w:eastAsia="zh-CN"/>
              </w:rPr>
              <w:t>；</w:t>
            </w:r>
          </w:p>
          <w:p w14:paraId="0A96008B">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lang w:eastAsia="zh-CN"/>
              </w:rPr>
            </w:pPr>
            <w:r>
              <w:rPr>
                <w:rFonts w:hint="eastAsia" w:ascii="宋体" w:hAnsi="宋体" w:cs="Times New Roman"/>
                <w:color w:val="auto"/>
                <w:szCs w:val="21"/>
                <w:highlight w:val="none"/>
              </w:rPr>
              <w:t>25.分布式供电，具有电源过压.过流.断电保护以及温度控制系统</w:t>
            </w:r>
            <w:r>
              <w:rPr>
                <w:rFonts w:hint="eastAsia" w:ascii="宋体" w:hAnsi="宋体" w:cs="Times New Roman"/>
                <w:color w:val="auto"/>
                <w:szCs w:val="21"/>
                <w:highlight w:val="none"/>
                <w:lang w:eastAsia="zh-CN"/>
              </w:rPr>
              <w:t>；</w:t>
            </w:r>
          </w:p>
          <w:p w14:paraId="3979ED48">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lang w:eastAsia="zh-CN"/>
              </w:rPr>
            </w:pPr>
            <w:r>
              <w:rPr>
                <w:rFonts w:hint="eastAsia" w:ascii="宋体" w:hAnsi="宋体" w:cs="Times New Roman"/>
                <w:color w:val="auto"/>
                <w:szCs w:val="21"/>
                <w:highlight w:val="none"/>
              </w:rPr>
              <w:t>26.蓝光危害测试：蓝光危害辐亮度≤5.7W/㎡/sr，对人眼无伤害</w:t>
            </w:r>
            <w:r>
              <w:rPr>
                <w:rFonts w:hint="eastAsia" w:ascii="宋体" w:hAnsi="宋体" w:cs="Times New Roman"/>
                <w:color w:val="auto"/>
                <w:szCs w:val="21"/>
                <w:highlight w:val="none"/>
                <w:lang w:eastAsia="zh-CN"/>
              </w:rPr>
              <w:t>；</w:t>
            </w:r>
          </w:p>
          <w:p w14:paraId="517F4235">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lang w:eastAsia="zh-CN"/>
              </w:rPr>
            </w:pPr>
            <w:r>
              <w:rPr>
                <w:rFonts w:hint="eastAsia" w:ascii="宋体" w:hAnsi="宋体" w:cs="Times New Roman"/>
                <w:color w:val="auto"/>
                <w:szCs w:val="21"/>
                <w:highlight w:val="none"/>
              </w:rPr>
              <w:t>27.认证：CCC</w:t>
            </w:r>
            <w:r>
              <w:rPr>
                <w:rFonts w:hint="eastAsia" w:ascii="宋体" w:hAnsi="宋体" w:cs="Times New Roman"/>
                <w:color w:val="auto"/>
                <w:szCs w:val="21"/>
                <w:highlight w:val="none"/>
                <w:lang w:eastAsia="zh-CN"/>
              </w:rPr>
              <w:t>；</w:t>
            </w:r>
          </w:p>
          <w:p w14:paraId="79788E37">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lang w:eastAsia="zh-CN"/>
              </w:rPr>
            </w:pPr>
            <w:r>
              <w:rPr>
                <w:rFonts w:hint="eastAsia" w:ascii="宋体" w:hAnsi="宋体" w:cs="Times New Roman"/>
                <w:color w:val="auto"/>
                <w:szCs w:val="21"/>
                <w:highlight w:val="none"/>
              </w:rPr>
              <w:t>28.</w:t>
            </w:r>
            <w:r>
              <w:rPr>
                <w:rFonts w:hint="eastAsia" w:ascii="宋体" w:hAnsi="宋体" w:cs="Times New Roman"/>
                <w:color w:val="auto"/>
                <w:szCs w:val="21"/>
                <w:highlight w:val="none"/>
                <w:lang w:val="en-US" w:eastAsia="zh-CN"/>
              </w:rPr>
              <w:t>电子显示屏</w:t>
            </w:r>
            <w:r>
              <w:rPr>
                <w:rFonts w:hint="eastAsia" w:ascii="宋体" w:hAnsi="宋体" w:cs="Times New Roman"/>
                <w:color w:val="auto"/>
                <w:szCs w:val="21"/>
                <w:highlight w:val="none"/>
              </w:rPr>
              <w:t>的备品备件不少于</w:t>
            </w:r>
            <w:r>
              <w:rPr>
                <w:rFonts w:hint="eastAsia" w:ascii="宋体" w:hAnsi="宋体" w:cs="Times New Roman"/>
                <w:color w:val="auto"/>
                <w:szCs w:val="21"/>
                <w:highlight w:val="none"/>
                <w:lang w:val="en-US" w:eastAsia="zh-CN"/>
              </w:rPr>
              <w:t>5</w:t>
            </w:r>
            <w:r>
              <w:rPr>
                <w:rFonts w:hint="eastAsia" w:ascii="宋体" w:hAnsi="宋体" w:cs="Times New Roman"/>
                <w:color w:val="auto"/>
                <w:szCs w:val="21"/>
                <w:highlight w:val="none"/>
              </w:rPr>
              <w:t>%，备品备件必须与</w:t>
            </w:r>
            <w:r>
              <w:rPr>
                <w:rFonts w:hint="eastAsia" w:ascii="宋体" w:hAnsi="宋体" w:cs="Times New Roman"/>
                <w:color w:val="auto"/>
                <w:szCs w:val="21"/>
                <w:highlight w:val="none"/>
                <w:lang w:val="en-US" w:eastAsia="zh-CN"/>
              </w:rPr>
              <w:t>电子显示屏</w:t>
            </w:r>
            <w:r>
              <w:rPr>
                <w:rFonts w:hint="eastAsia" w:ascii="宋体" w:hAnsi="宋体" w:cs="Times New Roman"/>
                <w:color w:val="auto"/>
                <w:szCs w:val="21"/>
                <w:highlight w:val="none"/>
              </w:rPr>
              <w:t>同型号同批次，备品备件应于项目验收前供货完毕</w:t>
            </w:r>
            <w:r>
              <w:rPr>
                <w:rFonts w:hint="eastAsia" w:ascii="宋体" w:hAnsi="宋体" w:cs="Times New Roman"/>
                <w:color w:val="auto"/>
                <w:szCs w:val="21"/>
                <w:highlight w:val="none"/>
                <w:lang w:eastAsia="zh-CN"/>
              </w:rPr>
              <w:t>；</w:t>
            </w:r>
          </w:p>
          <w:p w14:paraId="105CB1BF">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lang w:eastAsia="zh-CN"/>
              </w:rPr>
            </w:pPr>
            <w:r>
              <w:rPr>
                <w:rFonts w:hint="eastAsia" w:ascii="宋体" w:hAnsi="宋体" w:cs="Times New Roman"/>
                <w:color w:val="auto"/>
                <w:szCs w:val="21"/>
                <w:highlight w:val="none"/>
              </w:rPr>
              <w:t>29.面积不小于7</w:t>
            </w:r>
            <w:r>
              <w:rPr>
                <w:rFonts w:hint="eastAsia" w:ascii="宋体" w:hAnsi="宋体" w:cs="Times New Roman"/>
                <w:color w:val="auto"/>
                <w:szCs w:val="21"/>
                <w:highlight w:val="none"/>
                <w:lang w:val="en-US" w:eastAsia="zh-CN"/>
              </w:rPr>
              <w:t>8</w:t>
            </w:r>
            <w:r>
              <w:rPr>
                <w:rFonts w:hint="eastAsia" w:ascii="宋体" w:hAnsi="宋体" w:cs="Times New Roman"/>
                <w:color w:val="auto"/>
                <w:szCs w:val="21"/>
                <w:highlight w:val="none"/>
              </w:rPr>
              <w:t>0平方米</w:t>
            </w:r>
            <w:r>
              <w:rPr>
                <w:rFonts w:hint="eastAsia" w:ascii="宋体" w:hAnsi="宋体" w:cs="Times New Roman"/>
                <w:color w:val="auto"/>
                <w:szCs w:val="21"/>
                <w:highlight w:val="none"/>
                <w:lang w:eastAsia="zh-CN"/>
              </w:rPr>
              <w:t>。</w:t>
            </w:r>
          </w:p>
          <w:p w14:paraId="55C0D98B">
            <w:pPr>
              <w:keepNext w:val="0"/>
              <w:keepLines w:val="0"/>
              <w:suppressLineNumbers w:val="0"/>
              <w:spacing w:before="0" w:beforeAutospacing="0" w:after="0" w:afterAutospacing="0"/>
              <w:ind w:left="0" w:right="0" w:firstLine="413" w:firstLineChars="196"/>
              <w:rPr>
                <w:rFonts w:hint="eastAsia" w:ascii="宋体" w:hAnsi="宋体" w:eastAsia="宋体" w:cs="Times New Roman"/>
                <w:color w:val="auto"/>
                <w:szCs w:val="21"/>
                <w:highlight w:val="none"/>
                <w:lang w:eastAsia="zh-CN"/>
              </w:rPr>
            </w:pPr>
            <w:r>
              <w:rPr>
                <w:rFonts w:hint="eastAsia" w:ascii="宋体" w:hAnsi="宋体" w:eastAsia="宋体" w:cs="Times New Roman"/>
                <w:b/>
                <w:bCs/>
                <w:color w:val="auto"/>
                <w:szCs w:val="21"/>
                <w:highlight w:val="none"/>
              </w:rPr>
              <w:t>▲（</w:t>
            </w:r>
            <w:r>
              <w:rPr>
                <w:rFonts w:hint="eastAsia" w:ascii="宋体" w:hAnsi="宋体" w:eastAsia="宋体" w:cs="Times New Roman"/>
                <w:b/>
                <w:bCs/>
                <w:color w:val="auto"/>
                <w:szCs w:val="21"/>
                <w:highlight w:val="none"/>
                <w:lang w:eastAsia="zh-CN"/>
              </w:rPr>
              <w:t>二</w:t>
            </w:r>
            <w:r>
              <w:rPr>
                <w:rFonts w:hint="eastAsia" w:ascii="宋体" w:hAnsi="宋体" w:eastAsia="宋体" w:cs="Times New Roman"/>
                <w:b/>
                <w:bCs/>
                <w:color w:val="auto"/>
                <w:szCs w:val="21"/>
                <w:highlight w:val="none"/>
              </w:rPr>
              <w:t>）</w:t>
            </w:r>
            <w:r>
              <w:rPr>
                <w:rFonts w:hint="eastAsia" w:ascii="宋体" w:hAnsi="宋体" w:eastAsia="宋体" w:cs="Times New Roman"/>
                <w:b/>
                <w:bCs/>
                <w:color w:val="auto"/>
                <w:szCs w:val="21"/>
                <w:highlight w:val="none"/>
                <w:lang w:eastAsia="zh-CN"/>
              </w:rPr>
              <w:t>其他展项的</w:t>
            </w:r>
            <w:r>
              <w:rPr>
                <w:rFonts w:hint="eastAsia" w:ascii="宋体" w:hAnsi="宋体" w:eastAsia="宋体" w:cs="Times New Roman"/>
                <w:b/>
                <w:bCs/>
                <w:color w:val="auto"/>
                <w:szCs w:val="21"/>
                <w:highlight w:val="none"/>
              </w:rPr>
              <w:t>P1.5</w:t>
            </w:r>
            <w:r>
              <w:rPr>
                <w:rFonts w:hint="eastAsia" w:ascii="宋体" w:hAnsi="宋体" w:cs="Times New Roman"/>
                <w:b/>
                <w:bCs/>
                <w:color w:val="auto"/>
                <w:szCs w:val="21"/>
                <w:highlight w:val="none"/>
                <w:lang w:eastAsia="zh-CN"/>
              </w:rPr>
              <w:t>电子显示屏</w:t>
            </w:r>
          </w:p>
          <w:p w14:paraId="2FFA5C6C">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1.像素间距：1.53mm</w:t>
            </w:r>
            <w:r>
              <w:rPr>
                <w:rFonts w:hint="eastAsia" w:ascii="宋体" w:hAnsi="宋体" w:eastAsia="宋体" w:cs="Times New Roman"/>
                <w:color w:val="auto"/>
                <w:szCs w:val="21"/>
                <w:highlight w:val="none"/>
                <w:lang w:eastAsia="zh-CN"/>
              </w:rPr>
              <w:t>；</w:t>
            </w:r>
          </w:p>
          <w:p w14:paraId="74C4642E">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2.LED类型：SMD 1212 黑灯</w:t>
            </w:r>
          </w:p>
          <w:p w14:paraId="2FF96026">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3.箱体尺寸：640x480x61.5mm，整机采用压铸铝金箱体,保证箱体拼接的平整度和密闭防尘性、防火性能；箱体拉伸强度≥300Mpa,硬度≥80HB</w:t>
            </w:r>
            <w:r>
              <w:rPr>
                <w:rFonts w:hint="eastAsia" w:ascii="宋体" w:hAnsi="宋体" w:eastAsia="宋体" w:cs="Times New Roman"/>
                <w:color w:val="auto"/>
                <w:szCs w:val="21"/>
                <w:highlight w:val="none"/>
                <w:lang w:eastAsia="zh-CN"/>
              </w:rPr>
              <w:t>；</w:t>
            </w:r>
          </w:p>
          <w:p w14:paraId="543871EF">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4.模组尺寸：320*160mm</w:t>
            </w:r>
            <w:r>
              <w:rPr>
                <w:rFonts w:hint="eastAsia" w:ascii="宋体" w:hAnsi="宋体" w:eastAsia="宋体" w:cs="Times New Roman"/>
                <w:color w:val="auto"/>
                <w:szCs w:val="21"/>
                <w:highlight w:val="none"/>
                <w:lang w:eastAsia="zh-CN"/>
              </w:rPr>
              <w:t>；</w:t>
            </w:r>
          </w:p>
          <w:p w14:paraId="43F3E903">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5.显示单元重量(kg)：≤7.7</w:t>
            </w:r>
            <w:r>
              <w:rPr>
                <w:rFonts w:hint="eastAsia" w:ascii="宋体" w:hAnsi="宋体" w:eastAsia="宋体" w:cs="Times New Roman"/>
                <w:color w:val="auto"/>
                <w:szCs w:val="21"/>
                <w:highlight w:val="none"/>
                <w:lang w:eastAsia="zh-CN"/>
              </w:rPr>
              <w:t>；</w:t>
            </w:r>
          </w:p>
          <w:p w14:paraId="571D89E5">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6.箱体分辨率：416x312</w:t>
            </w:r>
            <w:r>
              <w:rPr>
                <w:rFonts w:hint="eastAsia" w:ascii="宋体" w:hAnsi="宋体" w:eastAsia="宋体" w:cs="Times New Roman"/>
                <w:color w:val="auto"/>
                <w:szCs w:val="21"/>
                <w:highlight w:val="none"/>
                <w:lang w:eastAsia="zh-CN"/>
              </w:rPr>
              <w:t>；</w:t>
            </w:r>
          </w:p>
          <w:p w14:paraId="57FCB35A">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7.色温：8300K</w:t>
            </w:r>
            <w:r>
              <w:rPr>
                <w:rFonts w:hint="eastAsia" w:ascii="宋体" w:hAnsi="宋体" w:eastAsia="宋体" w:cs="Times New Roman"/>
                <w:color w:val="auto"/>
                <w:szCs w:val="21"/>
                <w:highlight w:val="none"/>
                <w:lang w:eastAsia="zh-CN"/>
              </w:rPr>
              <w:t>；</w:t>
            </w:r>
          </w:p>
          <w:p w14:paraId="38D653DF">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8.对比度：≥10000:1</w:t>
            </w:r>
            <w:r>
              <w:rPr>
                <w:rFonts w:hint="eastAsia" w:ascii="宋体" w:hAnsi="宋体" w:eastAsia="宋体" w:cs="Times New Roman"/>
                <w:color w:val="auto"/>
                <w:szCs w:val="21"/>
                <w:highlight w:val="none"/>
                <w:lang w:eastAsia="zh-CN"/>
              </w:rPr>
              <w:t>；</w:t>
            </w:r>
          </w:p>
          <w:p w14:paraId="1029A2DC">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9.视角：水平视角≥160°，垂直视角≥160°</w:t>
            </w:r>
            <w:r>
              <w:rPr>
                <w:rFonts w:hint="eastAsia" w:ascii="宋体" w:hAnsi="宋体" w:eastAsia="宋体" w:cs="Times New Roman"/>
                <w:color w:val="auto"/>
                <w:szCs w:val="21"/>
                <w:highlight w:val="none"/>
                <w:lang w:eastAsia="zh-CN"/>
              </w:rPr>
              <w:t>；</w:t>
            </w:r>
          </w:p>
          <w:p w14:paraId="72C54B2A">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10.刷新频率：≥3840HZ;支持通过配套控制软件调节刷新率设置，支持 420Hz-4880Hz调节</w:t>
            </w:r>
            <w:r>
              <w:rPr>
                <w:rFonts w:hint="eastAsia" w:ascii="宋体" w:hAnsi="宋体" w:eastAsia="宋体" w:cs="Times New Roman"/>
                <w:color w:val="auto"/>
                <w:szCs w:val="21"/>
                <w:highlight w:val="none"/>
                <w:lang w:eastAsia="zh-CN"/>
              </w:rPr>
              <w:t>；</w:t>
            </w:r>
          </w:p>
          <w:p w14:paraId="4D0F4572">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11.亮度（nit）：500</w:t>
            </w:r>
            <w:r>
              <w:rPr>
                <w:rFonts w:hint="eastAsia" w:ascii="宋体" w:hAnsi="宋体" w:eastAsia="宋体" w:cs="Times New Roman"/>
                <w:color w:val="auto"/>
                <w:szCs w:val="21"/>
                <w:highlight w:val="none"/>
                <w:lang w:eastAsia="zh-CN"/>
              </w:rPr>
              <w:t>；</w:t>
            </w:r>
          </w:p>
          <w:p w14:paraId="5E67A335">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12.驱动方式：1/52</w:t>
            </w:r>
            <w:r>
              <w:rPr>
                <w:rFonts w:hint="eastAsia" w:ascii="宋体" w:hAnsi="宋体" w:eastAsia="宋体" w:cs="Times New Roman"/>
                <w:color w:val="auto"/>
                <w:szCs w:val="21"/>
                <w:highlight w:val="none"/>
                <w:lang w:eastAsia="zh-CN"/>
              </w:rPr>
              <w:t>；</w:t>
            </w:r>
          </w:p>
          <w:p w14:paraId="57D19FC7">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 xml:space="preserve">13.AC工作电压（V）：100～240 </w:t>
            </w:r>
            <w:r>
              <w:rPr>
                <w:rFonts w:hint="eastAsia" w:ascii="宋体" w:hAnsi="宋体" w:eastAsia="宋体" w:cs="Times New Roman"/>
                <w:color w:val="auto"/>
                <w:szCs w:val="21"/>
                <w:highlight w:val="none"/>
                <w:lang w:eastAsia="zh-CN"/>
              </w:rPr>
              <w:t>；</w:t>
            </w:r>
          </w:p>
          <w:p w14:paraId="13F767F3">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14.平均功耗（W/㎡）≤128，峰值功耗（W/㎡）≤385</w:t>
            </w:r>
            <w:r>
              <w:rPr>
                <w:rFonts w:hint="eastAsia" w:ascii="宋体" w:hAnsi="宋体" w:eastAsia="宋体" w:cs="Times New Roman"/>
                <w:color w:val="auto"/>
                <w:szCs w:val="21"/>
                <w:highlight w:val="none"/>
                <w:lang w:eastAsia="zh-CN"/>
              </w:rPr>
              <w:t>；</w:t>
            </w:r>
          </w:p>
          <w:p w14:paraId="0A70946D">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15.灰度等级（Bit）：16</w:t>
            </w:r>
            <w:r>
              <w:rPr>
                <w:rFonts w:hint="eastAsia" w:ascii="宋体" w:hAnsi="宋体" w:eastAsia="宋体" w:cs="Times New Roman"/>
                <w:color w:val="auto"/>
                <w:szCs w:val="21"/>
                <w:highlight w:val="none"/>
                <w:lang w:eastAsia="zh-CN"/>
              </w:rPr>
              <w:t>；</w:t>
            </w:r>
          </w:p>
          <w:p w14:paraId="58DDDD34">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16.LED 像素失控率≤1/1500000</w:t>
            </w:r>
            <w:r>
              <w:rPr>
                <w:rFonts w:hint="eastAsia" w:ascii="宋体" w:hAnsi="宋体" w:eastAsia="宋体" w:cs="Times New Roman"/>
                <w:color w:val="auto"/>
                <w:szCs w:val="21"/>
                <w:highlight w:val="none"/>
                <w:lang w:eastAsia="zh-CN"/>
              </w:rPr>
              <w:t>；</w:t>
            </w:r>
          </w:p>
          <w:p w14:paraId="2A0330FD">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17.亮度均匀性：≥99.</w:t>
            </w:r>
            <w:r>
              <w:rPr>
                <w:rFonts w:hint="eastAsia" w:ascii="宋体" w:hAnsi="宋体" w:cs="Times New Roman"/>
                <w:color w:val="auto"/>
                <w:szCs w:val="21"/>
                <w:highlight w:val="none"/>
                <w:lang w:val="en-US" w:eastAsia="zh-CN"/>
              </w:rPr>
              <w:t>2</w:t>
            </w:r>
            <w:r>
              <w:rPr>
                <w:rFonts w:hint="eastAsia" w:ascii="宋体" w:hAnsi="宋体" w:eastAsia="宋体" w:cs="Times New Roman"/>
                <w:color w:val="auto"/>
                <w:szCs w:val="21"/>
                <w:highlight w:val="none"/>
              </w:rPr>
              <w:t>0%</w:t>
            </w:r>
            <w:r>
              <w:rPr>
                <w:rFonts w:hint="eastAsia" w:ascii="宋体" w:hAnsi="宋体" w:eastAsia="宋体" w:cs="Times New Roman"/>
                <w:color w:val="auto"/>
                <w:szCs w:val="21"/>
                <w:highlight w:val="none"/>
                <w:lang w:eastAsia="zh-CN"/>
              </w:rPr>
              <w:t>；</w:t>
            </w:r>
          </w:p>
          <w:p w14:paraId="7C8195EF">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18.色域：≥120% NTSC</w:t>
            </w:r>
            <w:r>
              <w:rPr>
                <w:rFonts w:hint="eastAsia" w:ascii="宋体" w:hAnsi="宋体" w:eastAsia="宋体" w:cs="Times New Roman"/>
                <w:color w:val="auto"/>
                <w:szCs w:val="21"/>
                <w:highlight w:val="none"/>
                <w:lang w:eastAsia="zh-CN"/>
              </w:rPr>
              <w:t>；</w:t>
            </w:r>
          </w:p>
          <w:p w14:paraId="4CA7C688">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19.平均故障恢复时间(MTTR)≤1分钟</w:t>
            </w:r>
            <w:r>
              <w:rPr>
                <w:rFonts w:hint="eastAsia" w:ascii="宋体" w:hAnsi="宋体" w:eastAsia="宋体" w:cs="Times New Roman"/>
                <w:color w:val="auto"/>
                <w:szCs w:val="21"/>
                <w:highlight w:val="none"/>
                <w:lang w:eastAsia="zh-CN"/>
              </w:rPr>
              <w:t>；</w:t>
            </w:r>
          </w:p>
          <w:p w14:paraId="1D8E8767">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20.显示单元平整度(mm)：≤0.05；显示单元间隙(mm)：≤0.05</w:t>
            </w:r>
            <w:r>
              <w:rPr>
                <w:rFonts w:hint="eastAsia" w:ascii="宋体" w:hAnsi="宋体" w:eastAsia="宋体" w:cs="Times New Roman"/>
                <w:color w:val="auto"/>
                <w:szCs w:val="21"/>
                <w:highlight w:val="none"/>
                <w:lang w:eastAsia="zh-CN"/>
              </w:rPr>
              <w:t>；</w:t>
            </w:r>
          </w:p>
          <w:p w14:paraId="6CAA1B55">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21.带有智能(黑屏)节电功能,开启智能节电功能比没有开启节能50%以上,能源效率值≥3cd/W,睡眠模式功率密度值≤125W/</w:t>
            </w:r>
            <w:r>
              <w:rPr>
                <w:rFonts w:hint="eastAsia" w:ascii="宋体" w:hAnsi="宋体" w:cs="Times New Roman"/>
                <w:color w:val="auto"/>
                <w:szCs w:val="21"/>
                <w:highlight w:val="none"/>
                <w:lang w:val="en-US" w:eastAsia="zh-CN"/>
              </w:rPr>
              <w:t>㎡</w:t>
            </w:r>
            <w:r>
              <w:rPr>
                <w:rFonts w:hint="eastAsia" w:ascii="宋体" w:hAnsi="宋体" w:eastAsia="宋体" w:cs="Times New Roman"/>
                <w:color w:val="auto"/>
                <w:szCs w:val="21"/>
                <w:highlight w:val="none"/>
                <w:lang w:eastAsia="zh-CN"/>
              </w:rPr>
              <w:t>；</w:t>
            </w:r>
          </w:p>
          <w:p w14:paraId="4AC6DD02">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22，基色主波长误差(nm)：</w:t>
            </w:r>
            <w:r>
              <w:rPr>
                <w:rFonts w:hint="eastAsia" w:ascii="宋体" w:hAnsi="宋体" w:cs="Times New Roman"/>
                <w:color w:val="auto"/>
                <w:szCs w:val="21"/>
                <w:highlight w:val="none"/>
                <w:lang w:val="en-US" w:eastAsia="zh-CN"/>
              </w:rPr>
              <w:t>C 级ΔλD≤5</w:t>
            </w:r>
            <w:r>
              <w:rPr>
                <w:rFonts w:hint="eastAsia" w:ascii="宋体" w:hAnsi="宋体" w:eastAsia="宋体" w:cs="Times New Roman"/>
                <w:color w:val="auto"/>
                <w:szCs w:val="21"/>
                <w:highlight w:val="none"/>
              </w:rPr>
              <w:t>,亮度误差值在3%,灯芯的波长误差值在</w:t>
            </w:r>
            <w:r>
              <w:rPr>
                <w:rFonts w:hint="eastAsia" w:ascii="宋体" w:hAnsi="宋体" w:cs="Times New Roman"/>
                <w:color w:val="auto"/>
                <w:szCs w:val="21"/>
                <w:highlight w:val="none"/>
                <w:lang w:val="en-US" w:eastAsia="zh-CN"/>
              </w:rPr>
              <w:t>±1nm之内，</w:t>
            </w:r>
            <w:r>
              <w:rPr>
                <w:rFonts w:hint="eastAsia" w:ascii="宋体" w:hAnsi="宋体" w:eastAsia="宋体" w:cs="Times New Roman"/>
                <w:color w:val="auto"/>
                <w:szCs w:val="21"/>
                <w:highlight w:val="none"/>
              </w:rPr>
              <w:t>白场色坐标符合 SJ</w:t>
            </w:r>
            <w:r>
              <w:rPr>
                <w:rFonts w:hint="eastAsia" w:ascii="宋体" w:hAnsi="宋体" w:cs="Times New Roman"/>
                <w:color w:val="auto"/>
                <w:szCs w:val="21"/>
                <w:highlight w:val="none"/>
                <w:lang w:val="en-US" w:eastAsia="zh-CN"/>
              </w:rPr>
              <w:t>/</w:t>
            </w:r>
            <w:r>
              <w:rPr>
                <w:rFonts w:hint="eastAsia" w:ascii="宋体" w:hAnsi="宋体" w:eastAsia="宋体" w:cs="Times New Roman"/>
                <w:color w:val="auto"/>
                <w:szCs w:val="21"/>
                <w:highlight w:val="none"/>
              </w:rPr>
              <w:t>T 11141-2017 5.10.5规定范围</w:t>
            </w:r>
            <w:r>
              <w:rPr>
                <w:rFonts w:hint="eastAsia" w:ascii="宋体" w:hAnsi="宋体" w:eastAsia="宋体" w:cs="Times New Roman"/>
                <w:color w:val="auto"/>
                <w:szCs w:val="21"/>
                <w:highlight w:val="none"/>
                <w:lang w:eastAsia="zh-CN"/>
              </w:rPr>
              <w:t>；</w:t>
            </w:r>
          </w:p>
          <w:p w14:paraId="6B73CADD">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23.工作噪声声压dBA(距离 1 米)：前方≤3.4，后方≤3.0，左方≤3.2，右方≤3.0</w:t>
            </w:r>
            <w:r>
              <w:rPr>
                <w:rFonts w:hint="eastAsia" w:ascii="宋体" w:hAnsi="宋体" w:eastAsia="宋体" w:cs="Times New Roman"/>
                <w:color w:val="auto"/>
                <w:szCs w:val="21"/>
                <w:highlight w:val="none"/>
                <w:lang w:eastAsia="zh-CN"/>
              </w:rPr>
              <w:t>；</w:t>
            </w:r>
          </w:p>
          <w:p w14:paraId="40283CF1">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24.</w:t>
            </w:r>
            <w:r>
              <w:rPr>
                <w:rFonts w:hint="eastAsia" w:ascii="宋体" w:hAnsi="宋体" w:cs="Times New Roman"/>
                <w:color w:val="auto"/>
                <w:szCs w:val="21"/>
                <w:highlight w:val="none"/>
                <w:lang w:eastAsia="zh-CN"/>
              </w:rPr>
              <w:t>电子</w:t>
            </w:r>
            <w:r>
              <w:rPr>
                <w:rFonts w:hint="eastAsia" w:ascii="宋体" w:hAnsi="宋体" w:eastAsia="宋体" w:cs="Times New Roman"/>
                <w:color w:val="auto"/>
                <w:szCs w:val="21"/>
                <w:highlight w:val="none"/>
              </w:rPr>
              <w:t>显示屏符合防尘试验IP4X；符合IK10防冲击测试；符合盐雾 10 级要求；符合抗震8级要求；PCB 阻燃、塑胶件阻燃、内部线材阻燃均符合 V-0 要求；BS6853烟气毒性测试的毒性指数R值≤1</w:t>
            </w:r>
            <w:r>
              <w:rPr>
                <w:rFonts w:hint="eastAsia" w:ascii="宋体" w:hAnsi="宋体" w:eastAsia="宋体" w:cs="Times New Roman"/>
                <w:color w:val="auto"/>
                <w:szCs w:val="21"/>
                <w:highlight w:val="none"/>
                <w:lang w:eastAsia="zh-CN"/>
              </w:rPr>
              <w:t>；</w:t>
            </w:r>
          </w:p>
          <w:p w14:paraId="2E49A970">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25.分布式供电,具有电源过压、过流、断电保护以及温度控制系统,提供电源实时温度监控,超出设定温度自动报警,防止过温失效；</w:t>
            </w:r>
          </w:p>
          <w:p w14:paraId="1B512BBB">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26.蓝光危害测试：蓝光危害辐亮度≤5.7W/㎡/sr，对人眼无伤害</w:t>
            </w:r>
            <w:r>
              <w:rPr>
                <w:rFonts w:hint="eastAsia" w:ascii="宋体" w:hAnsi="宋体" w:eastAsia="宋体" w:cs="Times New Roman"/>
                <w:color w:val="auto"/>
                <w:szCs w:val="21"/>
                <w:highlight w:val="none"/>
                <w:lang w:eastAsia="zh-CN"/>
              </w:rPr>
              <w:t>；</w:t>
            </w:r>
          </w:p>
          <w:p w14:paraId="3B8C0579">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27.认证：CCC</w:t>
            </w:r>
            <w:r>
              <w:rPr>
                <w:rFonts w:hint="eastAsia" w:ascii="宋体" w:hAnsi="宋体" w:eastAsia="宋体" w:cs="Times New Roman"/>
                <w:color w:val="auto"/>
                <w:szCs w:val="21"/>
                <w:highlight w:val="none"/>
                <w:lang w:eastAsia="zh-CN"/>
              </w:rPr>
              <w:t>；</w:t>
            </w:r>
          </w:p>
          <w:p w14:paraId="2751B2DF">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rPr>
              <w:t>28.</w:t>
            </w:r>
            <w:r>
              <w:rPr>
                <w:rFonts w:hint="eastAsia" w:ascii="宋体" w:hAnsi="宋体" w:cs="Times New Roman"/>
                <w:color w:val="auto"/>
                <w:szCs w:val="21"/>
                <w:highlight w:val="none"/>
                <w:lang w:val="en-US" w:eastAsia="zh-CN"/>
              </w:rPr>
              <w:t>电子显示屏</w:t>
            </w:r>
            <w:r>
              <w:rPr>
                <w:rFonts w:hint="eastAsia" w:ascii="宋体" w:hAnsi="宋体" w:eastAsia="宋体" w:cs="Times New Roman"/>
                <w:color w:val="auto"/>
                <w:szCs w:val="21"/>
                <w:highlight w:val="none"/>
              </w:rPr>
              <w:t>的备品备件不少于</w:t>
            </w:r>
            <w:r>
              <w:rPr>
                <w:rFonts w:hint="eastAsia" w:ascii="宋体" w:hAnsi="宋体" w:eastAsia="宋体" w:cs="Times New Roman"/>
                <w:color w:val="auto"/>
                <w:szCs w:val="21"/>
                <w:highlight w:val="none"/>
                <w:lang w:val="en-US" w:eastAsia="zh-CN"/>
              </w:rPr>
              <w:t>5</w:t>
            </w:r>
            <w:r>
              <w:rPr>
                <w:rFonts w:hint="eastAsia" w:ascii="宋体" w:hAnsi="宋体" w:eastAsia="宋体" w:cs="Times New Roman"/>
                <w:color w:val="auto"/>
                <w:szCs w:val="21"/>
                <w:highlight w:val="none"/>
              </w:rPr>
              <w:t>%，备品备件必须与</w:t>
            </w:r>
            <w:r>
              <w:rPr>
                <w:rFonts w:hint="eastAsia" w:ascii="宋体" w:hAnsi="宋体" w:cs="Times New Roman"/>
                <w:color w:val="auto"/>
                <w:szCs w:val="21"/>
                <w:highlight w:val="none"/>
                <w:lang w:val="en-US" w:eastAsia="zh-CN"/>
              </w:rPr>
              <w:t>电子显示屏</w:t>
            </w:r>
            <w:r>
              <w:rPr>
                <w:rFonts w:hint="eastAsia" w:ascii="宋体" w:hAnsi="宋体" w:eastAsia="宋体" w:cs="Times New Roman"/>
                <w:color w:val="auto"/>
                <w:szCs w:val="21"/>
                <w:highlight w:val="none"/>
              </w:rPr>
              <w:t>同型号同批次，备品备件应于项目验收前供货完毕</w:t>
            </w:r>
            <w:r>
              <w:rPr>
                <w:rFonts w:hint="eastAsia" w:ascii="宋体" w:hAnsi="宋体" w:eastAsia="宋体" w:cs="Times New Roman"/>
                <w:color w:val="auto"/>
                <w:szCs w:val="21"/>
                <w:highlight w:val="none"/>
                <w:lang w:eastAsia="zh-CN"/>
              </w:rPr>
              <w:t>；</w:t>
            </w:r>
          </w:p>
          <w:p w14:paraId="18427A32">
            <w:pPr>
              <w:keepNext w:val="0"/>
              <w:keepLines w:val="0"/>
              <w:suppressLineNumbers w:val="0"/>
              <w:spacing w:before="0" w:beforeAutospacing="0" w:after="0" w:afterAutospacing="0"/>
              <w:ind w:left="0" w:right="0" w:firstLine="411" w:firstLineChars="196"/>
              <w:rPr>
                <w:rFonts w:hint="default" w:ascii="Times New Roman" w:hAnsi="Times New Roman" w:cs="Times New Roman"/>
                <w:color w:val="auto"/>
                <w:highlight w:val="none"/>
              </w:rPr>
            </w:pPr>
            <w:r>
              <w:rPr>
                <w:rFonts w:hint="eastAsia" w:ascii="宋体" w:hAnsi="宋体" w:eastAsia="宋体" w:cs="Times New Roman"/>
                <w:color w:val="auto"/>
                <w:szCs w:val="21"/>
                <w:highlight w:val="none"/>
                <w:lang w:val="en-US" w:eastAsia="zh-CN"/>
              </w:rPr>
              <w:t>29.面积不小于7平方米。</w:t>
            </w:r>
          </w:p>
          <w:p w14:paraId="0F81D2A0">
            <w:pPr>
              <w:keepNext w:val="0"/>
              <w:keepLines w:val="0"/>
              <w:suppressLineNumbers w:val="0"/>
              <w:spacing w:before="0" w:beforeAutospacing="0" w:after="0" w:afterAutospacing="0"/>
              <w:ind w:left="0" w:right="0" w:firstLine="413" w:firstLineChars="196"/>
              <w:rPr>
                <w:rFonts w:hint="eastAsia" w:ascii="宋体" w:hAnsi="宋体" w:eastAsia="宋体" w:cs="Times New Roman"/>
                <w:color w:val="auto"/>
                <w:szCs w:val="21"/>
                <w:highlight w:val="none"/>
              </w:rPr>
            </w:pPr>
            <w:r>
              <w:rPr>
                <w:rFonts w:hint="eastAsia" w:ascii="宋体" w:hAnsi="宋体" w:eastAsia="宋体" w:cs="Times New Roman"/>
                <w:b/>
                <w:bCs/>
                <w:color w:val="auto"/>
                <w:szCs w:val="21"/>
                <w:highlight w:val="none"/>
                <w:lang w:eastAsia="zh-CN"/>
              </w:rPr>
              <w:t>▲（三）其他展项的</w:t>
            </w:r>
            <w:r>
              <w:rPr>
                <w:rFonts w:hint="eastAsia" w:ascii="宋体" w:hAnsi="宋体" w:eastAsia="宋体" w:cs="Times New Roman"/>
                <w:b/>
                <w:bCs/>
                <w:color w:val="auto"/>
                <w:szCs w:val="21"/>
                <w:highlight w:val="none"/>
              </w:rPr>
              <w:t>P2</w:t>
            </w:r>
            <w:r>
              <w:rPr>
                <w:rFonts w:hint="eastAsia" w:ascii="宋体" w:hAnsi="宋体" w:cs="Times New Roman"/>
                <w:b/>
                <w:bCs/>
                <w:color w:val="auto"/>
                <w:szCs w:val="21"/>
                <w:highlight w:val="none"/>
                <w:lang w:val="en-US" w:eastAsia="zh-CN"/>
              </w:rPr>
              <w:t>电子显示屏</w:t>
            </w:r>
          </w:p>
          <w:p w14:paraId="6BDB74C6">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1.像素间距：2mm</w:t>
            </w:r>
            <w:r>
              <w:rPr>
                <w:rFonts w:hint="eastAsia" w:ascii="宋体" w:hAnsi="宋体" w:eastAsia="宋体" w:cs="Times New Roman"/>
                <w:color w:val="auto"/>
                <w:szCs w:val="21"/>
                <w:highlight w:val="none"/>
                <w:lang w:eastAsia="zh-CN"/>
              </w:rPr>
              <w:t>；</w:t>
            </w:r>
          </w:p>
          <w:p w14:paraId="3969D970">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2.LED类型：SMD 表贴三合一 1515 单灯封装(1R1G1B)</w:t>
            </w:r>
            <w:r>
              <w:rPr>
                <w:rFonts w:hint="eastAsia" w:ascii="宋体" w:hAnsi="宋体" w:eastAsia="宋体" w:cs="Times New Roman"/>
                <w:color w:val="auto"/>
                <w:szCs w:val="21"/>
                <w:highlight w:val="none"/>
                <w:lang w:eastAsia="zh-CN"/>
              </w:rPr>
              <w:t>；</w:t>
            </w:r>
          </w:p>
          <w:p w14:paraId="100B4745">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3.箱体尺寸≤320x480x46.5mm</w:t>
            </w:r>
            <w:r>
              <w:rPr>
                <w:rFonts w:hint="eastAsia" w:ascii="宋体" w:hAnsi="宋体" w:eastAsia="宋体" w:cs="Times New Roman"/>
                <w:color w:val="auto"/>
                <w:szCs w:val="21"/>
                <w:highlight w:val="none"/>
                <w:lang w:eastAsia="zh-CN"/>
              </w:rPr>
              <w:t>；</w:t>
            </w:r>
          </w:p>
          <w:p w14:paraId="17FCBA33">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4.模组尺寸≤320*240mm</w:t>
            </w:r>
            <w:r>
              <w:rPr>
                <w:rFonts w:hint="eastAsia" w:ascii="宋体" w:hAnsi="宋体" w:eastAsia="宋体" w:cs="Times New Roman"/>
                <w:color w:val="auto"/>
                <w:szCs w:val="21"/>
                <w:highlight w:val="none"/>
                <w:lang w:eastAsia="zh-CN"/>
              </w:rPr>
              <w:t>；</w:t>
            </w:r>
          </w:p>
          <w:p w14:paraId="50E0325A">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5.显示屏重量(kg/㎡)：≤12</w:t>
            </w:r>
            <w:r>
              <w:rPr>
                <w:rFonts w:hint="eastAsia" w:ascii="宋体" w:hAnsi="宋体" w:eastAsia="宋体" w:cs="Times New Roman"/>
                <w:color w:val="auto"/>
                <w:szCs w:val="21"/>
                <w:highlight w:val="none"/>
                <w:lang w:eastAsia="zh-CN"/>
              </w:rPr>
              <w:t>；</w:t>
            </w:r>
          </w:p>
          <w:p w14:paraId="681052F0">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6.箱体分辨率≥160x240</w:t>
            </w:r>
            <w:r>
              <w:rPr>
                <w:rFonts w:hint="eastAsia" w:ascii="宋体" w:hAnsi="宋体" w:eastAsia="宋体" w:cs="Times New Roman"/>
                <w:color w:val="auto"/>
                <w:szCs w:val="21"/>
                <w:highlight w:val="none"/>
                <w:lang w:eastAsia="zh-CN"/>
              </w:rPr>
              <w:t>；</w:t>
            </w:r>
          </w:p>
          <w:p w14:paraId="14FF3F63">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7.色温≥9300K</w:t>
            </w:r>
            <w:r>
              <w:rPr>
                <w:rFonts w:hint="eastAsia" w:ascii="宋体" w:hAnsi="宋体" w:eastAsia="宋体" w:cs="Times New Roman"/>
                <w:color w:val="auto"/>
                <w:szCs w:val="21"/>
                <w:highlight w:val="none"/>
                <w:lang w:eastAsia="zh-CN"/>
              </w:rPr>
              <w:t>；</w:t>
            </w:r>
          </w:p>
          <w:p w14:paraId="18C8E7F9">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8.对比度≥3000:1</w:t>
            </w:r>
            <w:r>
              <w:rPr>
                <w:rFonts w:hint="eastAsia" w:ascii="宋体" w:hAnsi="宋体" w:eastAsia="宋体" w:cs="Times New Roman"/>
                <w:color w:val="auto"/>
                <w:szCs w:val="21"/>
                <w:highlight w:val="none"/>
                <w:lang w:eastAsia="zh-CN"/>
              </w:rPr>
              <w:t>；</w:t>
            </w:r>
          </w:p>
          <w:p w14:paraId="0D1D0060">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9.视角：水平视角≥170°，垂直视角≥160°</w:t>
            </w:r>
            <w:r>
              <w:rPr>
                <w:rFonts w:hint="eastAsia" w:ascii="宋体" w:hAnsi="宋体" w:eastAsia="宋体" w:cs="Times New Roman"/>
                <w:color w:val="auto"/>
                <w:szCs w:val="21"/>
                <w:highlight w:val="none"/>
                <w:lang w:eastAsia="zh-CN"/>
              </w:rPr>
              <w:t>；</w:t>
            </w:r>
          </w:p>
          <w:p w14:paraId="554B3448">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10.刷新频率≥3840HZ</w:t>
            </w:r>
            <w:r>
              <w:rPr>
                <w:rFonts w:hint="eastAsia" w:ascii="宋体" w:hAnsi="宋体" w:eastAsia="宋体" w:cs="Times New Roman"/>
                <w:color w:val="auto"/>
                <w:szCs w:val="21"/>
                <w:highlight w:val="none"/>
                <w:lang w:eastAsia="zh-CN"/>
              </w:rPr>
              <w:t>；</w:t>
            </w:r>
          </w:p>
          <w:p w14:paraId="50E855F4">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11.亮度（nit）≥600</w:t>
            </w:r>
            <w:r>
              <w:rPr>
                <w:rFonts w:hint="eastAsia" w:ascii="宋体" w:hAnsi="宋体" w:eastAsia="宋体" w:cs="Times New Roman"/>
                <w:color w:val="auto"/>
                <w:szCs w:val="21"/>
                <w:highlight w:val="none"/>
                <w:lang w:eastAsia="zh-CN"/>
              </w:rPr>
              <w:t>；</w:t>
            </w:r>
          </w:p>
          <w:p w14:paraId="244250C5">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12.驱动方式：1/54</w:t>
            </w:r>
            <w:r>
              <w:rPr>
                <w:rFonts w:hint="eastAsia" w:ascii="宋体" w:hAnsi="宋体" w:eastAsia="宋体" w:cs="Times New Roman"/>
                <w:color w:val="auto"/>
                <w:szCs w:val="21"/>
                <w:highlight w:val="none"/>
                <w:lang w:eastAsia="zh-CN"/>
              </w:rPr>
              <w:t>；</w:t>
            </w:r>
          </w:p>
          <w:p w14:paraId="58AA34FB">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 xml:space="preserve">13.AC工作电压（V）：100～240 </w:t>
            </w:r>
            <w:r>
              <w:rPr>
                <w:rFonts w:hint="eastAsia" w:ascii="宋体" w:hAnsi="宋体" w:eastAsia="宋体" w:cs="Times New Roman"/>
                <w:color w:val="auto"/>
                <w:szCs w:val="21"/>
                <w:highlight w:val="none"/>
                <w:lang w:eastAsia="zh-CN"/>
              </w:rPr>
              <w:t>；</w:t>
            </w:r>
          </w:p>
          <w:p w14:paraId="5A4D43BE">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14.平均功耗（W/㎡）≤112，峰值功耗（W/㎡）≤336，采用节能驱动技术设计支持无信号输入自动熄屏待机，有信号输入自动唤醒功能，单箱黑屏不点亮时，功耗≤5.3W</w:t>
            </w:r>
            <w:r>
              <w:rPr>
                <w:rFonts w:hint="eastAsia" w:ascii="宋体" w:hAnsi="宋体" w:eastAsia="宋体" w:cs="Times New Roman"/>
                <w:color w:val="auto"/>
                <w:szCs w:val="21"/>
                <w:highlight w:val="none"/>
                <w:lang w:eastAsia="zh-CN"/>
              </w:rPr>
              <w:t>；</w:t>
            </w:r>
          </w:p>
          <w:p w14:paraId="6E6CCEE9">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15.灰度等级（Bit）：14</w:t>
            </w:r>
            <w:r>
              <w:rPr>
                <w:rFonts w:hint="eastAsia" w:ascii="宋体" w:hAnsi="宋体" w:eastAsia="宋体" w:cs="Times New Roman"/>
                <w:color w:val="auto"/>
                <w:szCs w:val="21"/>
                <w:highlight w:val="none"/>
                <w:lang w:eastAsia="zh-CN"/>
              </w:rPr>
              <w:t>；</w:t>
            </w:r>
          </w:p>
          <w:p w14:paraId="5A2D8A8D">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16.LED 像素失控率≤1/1500000</w:t>
            </w:r>
            <w:r>
              <w:rPr>
                <w:rFonts w:hint="eastAsia" w:ascii="宋体" w:hAnsi="宋体" w:eastAsia="宋体" w:cs="Times New Roman"/>
                <w:color w:val="auto"/>
                <w:szCs w:val="21"/>
                <w:highlight w:val="none"/>
                <w:lang w:eastAsia="zh-CN"/>
              </w:rPr>
              <w:t>；</w:t>
            </w:r>
          </w:p>
          <w:p w14:paraId="5FE45595">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17.亮度均匀性：≥99.30%</w:t>
            </w:r>
            <w:r>
              <w:rPr>
                <w:rFonts w:hint="eastAsia" w:ascii="宋体" w:hAnsi="宋体" w:eastAsia="宋体" w:cs="Times New Roman"/>
                <w:color w:val="auto"/>
                <w:szCs w:val="21"/>
                <w:highlight w:val="none"/>
                <w:lang w:eastAsia="zh-CN"/>
              </w:rPr>
              <w:t>；</w:t>
            </w:r>
          </w:p>
          <w:p w14:paraId="73B1811B">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18.色域覆盖率 NTSC≥115%色域重合度(%)：＞95(BT.709)</w:t>
            </w:r>
            <w:r>
              <w:rPr>
                <w:rFonts w:hint="eastAsia" w:ascii="宋体" w:hAnsi="宋体" w:eastAsia="宋体" w:cs="Times New Roman"/>
                <w:color w:val="auto"/>
                <w:szCs w:val="21"/>
                <w:highlight w:val="none"/>
                <w:lang w:eastAsia="zh-CN"/>
              </w:rPr>
              <w:t>；</w:t>
            </w:r>
          </w:p>
          <w:p w14:paraId="394AE825">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19.平均故障恢复时间(MTTR)≤1分钟</w:t>
            </w:r>
            <w:r>
              <w:rPr>
                <w:rFonts w:hint="eastAsia" w:ascii="宋体" w:hAnsi="宋体" w:eastAsia="宋体" w:cs="Times New Roman"/>
                <w:color w:val="auto"/>
                <w:szCs w:val="21"/>
                <w:highlight w:val="none"/>
                <w:lang w:eastAsia="zh-CN"/>
              </w:rPr>
              <w:t>；</w:t>
            </w:r>
          </w:p>
          <w:p w14:paraId="5EBC3D05">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20.显示单元平整度(mm)：≤0.05显示单元间隙(mm)：≤0.05</w:t>
            </w:r>
            <w:r>
              <w:rPr>
                <w:rFonts w:hint="eastAsia" w:ascii="宋体" w:hAnsi="宋体" w:eastAsia="宋体" w:cs="Times New Roman"/>
                <w:color w:val="auto"/>
                <w:szCs w:val="21"/>
                <w:highlight w:val="none"/>
                <w:lang w:eastAsia="zh-CN"/>
              </w:rPr>
              <w:t>；</w:t>
            </w:r>
          </w:p>
          <w:p w14:paraId="51ED2ED3">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21.整机支持框架压铸铝箱体安装，具有双电源模块和双信号处理模块，维护更加便捷，能够直接将箱体锁定在框架压铸铝箱体上固定，确保安全</w:t>
            </w:r>
            <w:r>
              <w:rPr>
                <w:rFonts w:hint="eastAsia" w:ascii="宋体" w:hAnsi="宋体" w:eastAsia="宋体" w:cs="Times New Roman"/>
                <w:color w:val="auto"/>
                <w:szCs w:val="21"/>
                <w:highlight w:val="none"/>
                <w:lang w:eastAsia="zh-CN"/>
              </w:rPr>
              <w:t>；</w:t>
            </w:r>
          </w:p>
          <w:p w14:paraId="251CF791">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22.亮度衰减率：≤5%</w:t>
            </w:r>
            <w:r>
              <w:rPr>
                <w:rFonts w:hint="eastAsia" w:ascii="宋体" w:hAnsi="宋体" w:eastAsia="宋体" w:cs="Times New Roman"/>
                <w:color w:val="auto"/>
                <w:szCs w:val="21"/>
                <w:highlight w:val="none"/>
                <w:lang w:eastAsia="zh-CN"/>
              </w:rPr>
              <w:t>；</w:t>
            </w:r>
          </w:p>
          <w:p w14:paraId="6EB0EE28">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23.工作噪声声压dB（A）(距离 1 米)：前方≤3.2，后方≤2.7，左方≤3.2，右方≤3.1</w:t>
            </w:r>
            <w:r>
              <w:rPr>
                <w:rFonts w:hint="eastAsia" w:ascii="宋体" w:hAnsi="宋体" w:eastAsia="宋体" w:cs="Times New Roman"/>
                <w:color w:val="auto"/>
                <w:szCs w:val="21"/>
                <w:highlight w:val="none"/>
                <w:lang w:eastAsia="zh-CN"/>
              </w:rPr>
              <w:t>；</w:t>
            </w:r>
          </w:p>
          <w:p w14:paraId="50570761">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24.</w:t>
            </w:r>
            <w:r>
              <w:rPr>
                <w:rFonts w:hint="eastAsia" w:ascii="宋体" w:hAnsi="宋体" w:cs="Times New Roman"/>
                <w:color w:val="auto"/>
                <w:szCs w:val="21"/>
                <w:highlight w:val="none"/>
                <w:lang w:eastAsia="zh-CN"/>
              </w:rPr>
              <w:t>电子</w:t>
            </w:r>
            <w:r>
              <w:rPr>
                <w:rFonts w:hint="eastAsia" w:ascii="宋体" w:hAnsi="宋体" w:eastAsia="宋体" w:cs="Times New Roman"/>
                <w:color w:val="auto"/>
                <w:szCs w:val="21"/>
                <w:highlight w:val="none"/>
              </w:rPr>
              <w:t>显示屏符合防护等级IP4X符合IK10防冲击测试符合盐雾 10 级要求符合防电力远程窃密技术PCB 阻燃.塑胶件阻燃.内部线材阻燃均符合 V-0 要求</w:t>
            </w:r>
            <w:r>
              <w:rPr>
                <w:rFonts w:hint="eastAsia" w:ascii="宋体" w:hAnsi="宋体" w:eastAsia="宋体" w:cs="Times New Roman"/>
                <w:color w:val="auto"/>
                <w:szCs w:val="21"/>
                <w:highlight w:val="none"/>
                <w:lang w:eastAsia="zh-CN"/>
              </w:rPr>
              <w:t>；</w:t>
            </w:r>
          </w:p>
          <w:p w14:paraId="09775A52">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25.分布式供电，具有电源过压.过流.断电保护以及温度控制系统</w:t>
            </w:r>
            <w:r>
              <w:rPr>
                <w:rFonts w:hint="eastAsia" w:ascii="宋体" w:hAnsi="宋体" w:eastAsia="宋体" w:cs="Times New Roman"/>
                <w:color w:val="auto"/>
                <w:szCs w:val="21"/>
                <w:highlight w:val="none"/>
                <w:lang w:eastAsia="zh-CN"/>
              </w:rPr>
              <w:t>；</w:t>
            </w:r>
          </w:p>
          <w:p w14:paraId="3E6B8DAF">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26.蓝光危害测试：蓝光危害辐亮度≤5.7W/㎡/sr，对人眼无伤害</w:t>
            </w:r>
            <w:r>
              <w:rPr>
                <w:rFonts w:hint="eastAsia" w:ascii="宋体" w:hAnsi="宋体" w:eastAsia="宋体" w:cs="Times New Roman"/>
                <w:color w:val="auto"/>
                <w:szCs w:val="21"/>
                <w:highlight w:val="none"/>
                <w:lang w:eastAsia="zh-CN"/>
              </w:rPr>
              <w:t>；</w:t>
            </w:r>
          </w:p>
          <w:p w14:paraId="5DE57655">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27.认证：CCC</w:t>
            </w:r>
            <w:r>
              <w:rPr>
                <w:rFonts w:hint="eastAsia" w:ascii="宋体" w:hAnsi="宋体" w:eastAsia="宋体" w:cs="Times New Roman"/>
                <w:color w:val="auto"/>
                <w:szCs w:val="21"/>
                <w:highlight w:val="none"/>
                <w:lang w:eastAsia="zh-CN"/>
              </w:rPr>
              <w:t>；</w:t>
            </w:r>
          </w:p>
          <w:p w14:paraId="2FF7EBC4">
            <w:pPr>
              <w:keepNext w:val="0"/>
              <w:keepLines w:val="0"/>
              <w:suppressLineNumbers w:val="0"/>
              <w:spacing w:before="0" w:beforeAutospacing="0" w:after="0" w:afterAutospacing="0"/>
              <w:ind w:left="0" w:right="0" w:firstLine="411" w:firstLineChars="196"/>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rPr>
              <w:t>28.</w:t>
            </w:r>
            <w:r>
              <w:rPr>
                <w:rFonts w:hint="eastAsia" w:ascii="宋体" w:hAnsi="宋体" w:cs="Times New Roman"/>
                <w:color w:val="auto"/>
                <w:szCs w:val="21"/>
                <w:highlight w:val="none"/>
                <w:lang w:val="en-US" w:eastAsia="zh-CN"/>
              </w:rPr>
              <w:t>电子显示屏</w:t>
            </w:r>
            <w:r>
              <w:rPr>
                <w:rFonts w:hint="eastAsia" w:ascii="宋体" w:hAnsi="宋体" w:eastAsia="宋体" w:cs="Times New Roman"/>
                <w:color w:val="auto"/>
                <w:szCs w:val="21"/>
                <w:highlight w:val="none"/>
              </w:rPr>
              <w:t>的备品备件不少于</w:t>
            </w:r>
            <w:r>
              <w:rPr>
                <w:rFonts w:hint="eastAsia" w:ascii="宋体" w:hAnsi="宋体" w:eastAsia="宋体" w:cs="Times New Roman"/>
                <w:color w:val="auto"/>
                <w:szCs w:val="21"/>
                <w:highlight w:val="none"/>
                <w:lang w:val="en-US" w:eastAsia="zh-CN"/>
              </w:rPr>
              <w:t>5</w:t>
            </w:r>
            <w:r>
              <w:rPr>
                <w:rFonts w:hint="eastAsia" w:ascii="宋体" w:hAnsi="宋体" w:eastAsia="宋体" w:cs="Times New Roman"/>
                <w:color w:val="auto"/>
                <w:szCs w:val="21"/>
                <w:highlight w:val="none"/>
              </w:rPr>
              <w:t>%，备品备件必须与</w:t>
            </w:r>
            <w:r>
              <w:rPr>
                <w:rFonts w:hint="eastAsia" w:ascii="宋体" w:hAnsi="宋体" w:cs="Times New Roman"/>
                <w:color w:val="auto"/>
                <w:szCs w:val="21"/>
                <w:highlight w:val="none"/>
                <w:lang w:val="en-US" w:eastAsia="zh-CN"/>
              </w:rPr>
              <w:t>电子显示屏</w:t>
            </w:r>
            <w:r>
              <w:rPr>
                <w:rFonts w:hint="eastAsia" w:ascii="宋体" w:hAnsi="宋体" w:eastAsia="宋体" w:cs="Times New Roman"/>
                <w:color w:val="auto"/>
                <w:szCs w:val="21"/>
                <w:highlight w:val="none"/>
              </w:rPr>
              <w:t>同型号同批次，备品备件应于项目验收前供货完毕</w:t>
            </w:r>
            <w:r>
              <w:rPr>
                <w:rFonts w:hint="eastAsia" w:ascii="宋体" w:hAnsi="宋体" w:eastAsia="宋体" w:cs="Times New Roman"/>
                <w:color w:val="auto"/>
                <w:szCs w:val="21"/>
                <w:highlight w:val="none"/>
                <w:lang w:eastAsia="zh-CN"/>
              </w:rPr>
              <w:t>；</w:t>
            </w:r>
          </w:p>
          <w:p w14:paraId="68D43A18">
            <w:pPr>
              <w:keepNext w:val="0"/>
              <w:keepLines w:val="0"/>
              <w:suppressLineNumbers w:val="0"/>
              <w:spacing w:before="0" w:beforeAutospacing="0" w:after="0" w:afterAutospacing="0"/>
              <w:ind w:left="0" w:right="0" w:firstLine="411" w:firstLineChars="196"/>
              <w:rPr>
                <w:rFonts w:hint="default" w:ascii="宋体" w:hAnsi="宋体" w:cs="Times New Roman"/>
                <w:color w:val="auto"/>
                <w:szCs w:val="21"/>
                <w:highlight w:val="none"/>
              </w:rPr>
            </w:pPr>
            <w:r>
              <w:rPr>
                <w:rFonts w:hint="eastAsia" w:ascii="宋体" w:hAnsi="宋体" w:eastAsia="宋体" w:cs="Times New Roman"/>
                <w:color w:val="auto"/>
                <w:szCs w:val="21"/>
                <w:highlight w:val="none"/>
                <w:lang w:val="en-US" w:eastAsia="zh-CN"/>
              </w:rPr>
              <w:t>29.面积不小于34平方米。</w:t>
            </w:r>
          </w:p>
          <w:p w14:paraId="455A9811">
            <w:pPr>
              <w:keepNext w:val="0"/>
              <w:keepLines w:val="0"/>
              <w:suppressLineNumbers w:val="0"/>
              <w:spacing w:before="0" w:beforeAutospacing="0" w:after="0" w:afterAutospacing="0"/>
              <w:ind w:left="0" w:right="0" w:firstLine="413" w:firstLineChars="196"/>
              <w:rPr>
                <w:rFonts w:hint="default" w:ascii="宋体" w:hAnsi="宋体" w:cs="Times New Roman"/>
                <w:b/>
                <w:bCs/>
                <w:color w:val="auto"/>
                <w:szCs w:val="21"/>
                <w:highlight w:val="none"/>
              </w:rPr>
            </w:pPr>
            <w:r>
              <w:rPr>
                <w:rFonts w:hint="eastAsia" w:ascii="宋体" w:hAnsi="宋体" w:cs="Times New Roman"/>
                <w:b/>
                <w:bCs/>
                <w:color w:val="auto"/>
                <w:szCs w:val="21"/>
                <w:highlight w:val="none"/>
              </w:rPr>
              <w:t>（</w:t>
            </w:r>
            <w:r>
              <w:rPr>
                <w:rFonts w:hint="eastAsia" w:ascii="宋体" w:hAnsi="宋体" w:cs="Times New Roman"/>
                <w:b/>
                <w:bCs/>
                <w:color w:val="auto"/>
                <w:szCs w:val="21"/>
                <w:highlight w:val="none"/>
                <w:lang w:eastAsia="zh-CN"/>
              </w:rPr>
              <w:t>四</w:t>
            </w:r>
            <w:r>
              <w:rPr>
                <w:rFonts w:hint="eastAsia" w:ascii="宋体" w:hAnsi="宋体" w:cs="Times New Roman"/>
                <w:b/>
                <w:bCs/>
                <w:color w:val="auto"/>
                <w:szCs w:val="21"/>
                <w:highlight w:val="none"/>
              </w:rPr>
              <w:t>）数字沙盘演示系统</w:t>
            </w:r>
          </w:p>
          <w:p w14:paraId="19E678BC">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1.总体定位：作为整个规划馆最主要的展示空间，依据十四五规划、国土空间规划等对南宁城市发展的总体目标、发展模式、空间格局、具体发展任务和举措，以地理空间框架数据、影像图、空间智治平台实景三维底图为基础，将上述内容叠加在城市三维实景沙盘上，通过可视化处理展示南宁市域山水风貌、城市规划、建设成果等内容。建设一个内容丰富、覆盖全域、视觉震撼、交互友好的数字沙盘可视化平台。</w:t>
            </w:r>
          </w:p>
          <w:p w14:paraId="6C95F942">
            <w:pPr>
              <w:keepNext w:val="0"/>
              <w:keepLines w:val="0"/>
              <w:suppressLineNumbers w:val="0"/>
              <w:spacing w:before="0" w:beforeAutospacing="0" w:after="0" w:afterAutospacing="0"/>
              <w:ind w:left="0" w:right="0" w:firstLine="420" w:firstLineChars="200"/>
              <w:rPr>
                <w:rFonts w:hint="eastAsia" w:ascii="宋体" w:hAnsi="宋体" w:cs="Times New Roman"/>
                <w:color w:val="auto"/>
                <w:szCs w:val="21"/>
                <w:highlight w:val="none"/>
              </w:rPr>
            </w:pPr>
            <w:r>
              <w:rPr>
                <w:rFonts w:hint="eastAsia" w:ascii="宋体" w:hAnsi="宋体" w:cs="Times New Roman"/>
                <w:color w:val="auto"/>
                <w:szCs w:val="21"/>
                <w:highlight w:val="none"/>
              </w:rPr>
              <w:t>2.展现形式：展项采用墙面屏幕、地面屏幕双屏联动的形式。包括预设沙盘演示、定制场景演绎、人机交互、菜单化选择、自由漫游、定制漫游。</w:t>
            </w:r>
          </w:p>
          <w:p w14:paraId="4F52D3CA">
            <w:pPr>
              <w:keepNext w:val="0"/>
              <w:keepLines w:val="0"/>
              <w:suppressLineNumbers w:val="0"/>
              <w:spacing w:before="0" w:beforeAutospacing="0" w:after="0" w:afterAutospacing="0"/>
              <w:ind w:left="0" w:right="0" w:firstLine="420" w:firstLineChars="200"/>
              <w:rPr>
                <w:rFonts w:hint="eastAsia" w:ascii="宋体" w:hAnsi="宋体" w:cs="Times New Roman"/>
                <w:color w:val="auto"/>
                <w:szCs w:val="21"/>
                <w:highlight w:val="none"/>
              </w:rPr>
            </w:pPr>
            <w:r>
              <w:rPr>
                <w:rFonts w:hint="eastAsia" w:ascii="宋体" w:hAnsi="宋体" w:cs="Times New Roman"/>
                <w:color w:val="auto"/>
                <w:szCs w:val="21"/>
                <w:highlight w:val="none"/>
              </w:rPr>
              <w:t>3.展示定位：主要用于团队接待、主题汇报、各类定制讲解、预设演绎、成果汇报。</w:t>
            </w:r>
          </w:p>
          <w:p w14:paraId="06103DF6">
            <w:pPr>
              <w:keepNext w:val="0"/>
              <w:keepLines w:val="0"/>
              <w:suppressLineNumbers w:val="0"/>
              <w:spacing w:before="0" w:beforeAutospacing="0" w:after="0" w:afterAutospacing="0"/>
              <w:ind w:left="0" w:right="0" w:firstLine="420" w:firstLineChars="200"/>
              <w:rPr>
                <w:rFonts w:hint="eastAsia" w:ascii="宋体" w:hAnsi="宋体" w:cs="Times New Roman"/>
                <w:color w:val="auto"/>
                <w:szCs w:val="21"/>
                <w:highlight w:val="none"/>
              </w:rPr>
            </w:pPr>
            <w:r>
              <w:rPr>
                <w:rFonts w:hint="eastAsia" w:ascii="宋体" w:hAnsi="宋体" w:cs="Times New Roman"/>
                <w:color w:val="auto"/>
                <w:szCs w:val="21"/>
                <w:highlight w:val="none"/>
              </w:rPr>
              <w:t>4.演示系统的核心能力</w:t>
            </w:r>
          </w:p>
          <w:p w14:paraId="728AB586">
            <w:pPr>
              <w:keepNext w:val="0"/>
              <w:keepLines w:val="0"/>
              <w:suppressLineNumbers w:val="0"/>
              <w:spacing w:before="0" w:beforeAutospacing="0" w:after="0" w:afterAutospacing="0"/>
              <w:ind w:left="0" w:right="0" w:firstLine="420" w:firstLineChars="200"/>
              <w:rPr>
                <w:rFonts w:hint="eastAsia" w:ascii="宋体" w:hAnsi="宋体" w:cs="Times New Roman"/>
                <w:color w:val="auto"/>
                <w:szCs w:val="21"/>
                <w:highlight w:val="none"/>
              </w:rPr>
            </w:pPr>
            <w:r>
              <w:rPr>
                <w:rFonts w:hint="eastAsia" w:ascii="宋体" w:hAnsi="宋体" w:cs="Times New Roman"/>
                <w:color w:val="auto"/>
                <w:szCs w:val="21"/>
                <w:highlight w:val="none"/>
              </w:rPr>
              <w:t>▲（1）演示系统要有良好的数据支撑、数据接入、更新升级等能力。能够针对各类数据（实景三维模型数据、高分辨率影像数据、数字高程地图、地理空间GIS数据、手工建模数据、规划矢量信息、城市大脑数据等）实现统一的集成（包括坐标统一、数据转换、数据融合、数据组织、数据存储、数据管理等内容）。</w:t>
            </w:r>
          </w:p>
          <w:p w14:paraId="19236ABC">
            <w:pPr>
              <w:keepNext w:val="0"/>
              <w:keepLines w:val="0"/>
              <w:suppressLineNumbers w:val="0"/>
              <w:spacing w:before="0" w:beforeAutospacing="0" w:after="0" w:afterAutospacing="0"/>
              <w:ind w:left="0" w:right="0" w:firstLine="420" w:firstLineChars="200"/>
              <w:rPr>
                <w:rFonts w:hint="eastAsia" w:ascii="宋体" w:hAnsi="宋体" w:cs="Times New Roman"/>
                <w:color w:val="auto"/>
                <w:szCs w:val="21"/>
                <w:highlight w:val="none"/>
              </w:rPr>
            </w:pPr>
            <w:r>
              <w:rPr>
                <w:rFonts w:hint="eastAsia" w:ascii="宋体" w:hAnsi="宋体" w:cs="Times New Roman"/>
                <w:color w:val="auto"/>
                <w:szCs w:val="21"/>
                <w:highlight w:val="none"/>
              </w:rPr>
              <w:t>具有良好的接入能力。可以支持多源系统、平台、电视信号、多媒体内容的接入播放。播放内容结合双屏有多种播放界面组合形式。</w:t>
            </w:r>
          </w:p>
          <w:p w14:paraId="2E5DB4F0">
            <w:pPr>
              <w:keepNext w:val="0"/>
              <w:keepLines w:val="0"/>
              <w:suppressLineNumbers w:val="0"/>
              <w:spacing w:before="0" w:beforeAutospacing="0" w:after="0" w:afterAutospacing="0"/>
              <w:ind w:left="0" w:right="0" w:firstLine="420" w:firstLineChars="200"/>
              <w:rPr>
                <w:rFonts w:hint="eastAsia" w:ascii="宋体" w:hAnsi="宋体" w:cs="Times New Roman"/>
                <w:color w:val="auto"/>
                <w:szCs w:val="21"/>
                <w:highlight w:val="none"/>
              </w:rPr>
            </w:pPr>
            <w:r>
              <w:rPr>
                <w:rFonts w:hint="eastAsia" w:ascii="宋体" w:hAnsi="宋体" w:cs="Times New Roman"/>
                <w:color w:val="auto"/>
                <w:szCs w:val="21"/>
                <w:highlight w:val="none"/>
              </w:rPr>
              <w:t>（2）演示系统数据能力</w:t>
            </w:r>
          </w:p>
          <w:p w14:paraId="4099259C">
            <w:pPr>
              <w:keepNext w:val="0"/>
              <w:keepLines w:val="0"/>
              <w:suppressLineNumbers w:val="0"/>
              <w:spacing w:before="0" w:beforeAutospacing="0" w:after="0" w:afterAutospacing="0"/>
              <w:ind w:left="0" w:right="0" w:firstLine="420" w:firstLineChars="200"/>
              <w:rPr>
                <w:rFonts w:hint="eastAsia" w:ascii="宋体" w:hAnsi="宋体" w:cs="Times New Roman"/>
                <w:color w:val="auto"/>
                <w:szCs w:val="21"/>
                <w:highlight w:val="none"/>
              </w:rPr>
            </w:pPr>
            <w:r>
              <w:rPr>
                <w:rFonts w:hint="eastAsia" w:ascii="宋体" w:hAnsi="宋体" w:cs="Times New Roman"/>
                <w:color w:val="auto"/>
                <w:szCs w:val="21"/>
                <w:highlight w:val="none"/>
              </w:rPr>
              <w:t>▲系统同时支持海量城市级倾斜摄影、数字三维模型、手工三维模型、BIM数据及各类多媒体内容的快速加载、顺畅融合、稳定展示。</w:t>
            </w:r>
          </w:p>
          <w:p w14:paraId="64CFADCC">
            <w:pPr>
              <w:keepNext w:val="0"/>
              <w:keepLines w:val="0"/>
              <w:suppressLineNumbers w:val="0"/>
              <w:spacing w:before="0" w:beforeAutospacing="0" w:after="0" w:afterAutospacing="0"/>
              <w:ind w:left="0" w:right="0" w:firstLine="420" w:firstLineChars="200"/>
              <w:rPr>
                <w:rFonts w:hint="eastAsia" w:ascii="宋体" w:hAnsi="宋体" w:cs="Times New Roman"/>
                <w:color w:val="auto"/>
                <w:szCs w:val="21"/>
                <w:highlight w:val="none"/>
              </w:rPr>
            </w:pPr>
            <w:r>
              <w:rPr>
                <w:rFonts w:hint="eastAsia" w:ascii="宋体" w:hAnsi="宋体" w:cs="Times New Roman"/>
                <w:color w:val="auto"/>
                <w:szCs w:val="21"/>
                <w:highlight w:val="none"/>
              </w:rPr>
              <w:t>▲系统应同时具备主流3DGIS基本能力和高逼真渲染视效能力。支持以大规模多面片手工精细三维模型为主要场景数据的高视效渲染引擎。支持以大规模建筑体块模型为主要场景数据的科技风渲染引擎。</w:t>
            </w:r>
          </w:p>
          <w:p w14:paraId="5C4E5820">
            <w:pPr>
              <w:keepNext w:val="0"/>
              <w:keepLines w:val="0"/>
              <w:suppressLineNumbers w:val="0"/>
              <w:spacing w:before="0" w:beforeAutospacing="0" w:after="0" w:afterAutospacing="0"/>
              <w:ind w:left="0" w:right="0" w:firstLine="420" w:firstLineChars="200"/>
              <w:rPr>
                <w:rFonts w:hint="eastAsia" w:ascii="宋体" w:hAnsi="宋体" w:cs="Times New Roman"/>
                <w:color w:val="auto"/>
                <w:szCs w:val="21"/>
                <w:highlight w:val="none"/>
              </w:rPr>
            </w:pPr>
            <w:r>
              <w:rPr>
                <w:rFonts w:hint="eastAsia" w:ascii="宋体" w:hAnsi="宋体" w:cs="Times New Roman"/>
                <w:color w:val="auto"/>
                <w:szCs w:val="21"/>
                <w:highlight w:val="none"/>
              </w:rPr>
              <w:t>▲支持城市大脑大数据的快速显示及各类规划专题图显示。支持城市大脑大数据的动态实时调取及数据可视化特效表达。</w:t>
            </w:r>
          </w:p>
          <w:p w14:paraId="72703C76">
            <w:pPr>
              <w:keepNext w:val="0"/>
              <w:keepLines w:val="0"/>
              <w:suppressLineNumbers w:val="0"/>
              <w:spacing w:before="0" w:beforeAutospacing="0" w:after="0" w:afterAutospacing="0"/>
              <w:ind w:left="0" w:right="0" w:firstLine="420" w:firstLineChars="200"/>
              <w:rPr>
                <w:rFonts w:hint="eastAsia" w:ascii="宋体" w:hAnsi="宋体" w:cs="Times New Roman"/>
                <w:color w:val="auto"/>
                <w:szCs w:val="21"/>
                <w:highlight w:val="none"/>
              </w:rPr>
            </w:pPr>
            <w:r>
              <w:rPr>
                <w:rFonts w:hint="eastAsia" w:ascii="宋体" w:hAnsi="宋体" w:cs="Times New Roman"/>
                <w:color w:val="auto"/>
                <w:szCs w:val="21"/>
                <w:highlight w:val="none"/>
              </w:rPr>
              <w:t>系统数据采用地理空间数据库形式管理，统一管理海量地理空间要素的空间属性、时态属性、专题属性数据，以及管理地理空间信息符号化所需的二三维符号数据。</w:t>
            </w:r>
          </w:p>
          <w:p w14:paraId="2655CAD8">
            <w:pPr>
              <w:keepNext w:val="0"/>
              <w:keepLines w:val="0"/>
              <w:suppressLineNumbers w:val="0"/>
              <w:spacing w:before="0" w:beforeAutospacing="0" w:after="0" w:afterAutospacing="0"/>
              <w:ind w:left="0" w:right="0" w:firstLine="420" w:firstLineChars="200"/>
              <w:rPr>
                <w:rFonts w:hint="eastAsia" w:ascii="宋体" w:hAnsi="宋体" w:cs="Times New Roman"/>
                <w:color w:val="auto"/>
                <w:szCs w:val="21"/>
                <w:highlight w:val="none"/>
              </w:rPr>
            </w:pPr>
            <w:r>
              <w:rPr>
                <w:rFonts w:hint="eastAsia" w:ascii="宋体" w:hAnsi="宋体" w:cs="Times New Roman"/>
                <w:color w:val="auto"/>
                <w:szCs w:val="21"/>
                <w:highlight w:val="none"/>
              </w:rPr>
              <w:t>支持基于常见关系型数据库建立空间数据库，至少包括Oracle和MySQL数据库；支持文件型数据库，文件型数据库具备与关系型数据库相同的数据互操作能力，可实现地理信息数据的属性查询、几何编辑、空间分析和网络发布。</w:t>
            </w:r>
          </w:p>
          <w:p w14:paraId="7246C63D">
            <w:pPr>
              <w:keepNext w:val="0"/>
              <w:keepLines w:val="0"/>
              <w:suppressLineNumbers w:val="0"/>
              <w:spacing w:before="0" w:beforeAutospacing="0" w:after="0" w:afterAutospacing="0"/>
              <w:ind w:left="0" w:right="0" w:firstLine="420" w:firstLineChars="200"/>
              <w:rPr>
                <w:rFonts w:hint="eastAsia" w:ascii="宋体" w:hAnsi="宋体" w:cs="Times New Roman"/>
                <w:color w:val="auto"/>
                <w:szCs w:val="21"/>
                <w:highlight w:val="none"/>
              </w:rPr>
            </w:pPr>
            <w:r>
              <w:rPr>
                <w:rFonts w:hint="eastAsia" w:ascii="宋体" w:hAnsi="宋体" w:cs="Times New Roman"/>
                <w:color w:val="auto"/>
                <w:szCs w:val="21"/>
                <w:highlight w:val="none"/>
              </w:rPr>
              <w:t>系统具有统一的技术标准，兼容业界主流GIS数据格式，几何数据定义符合OGC标准，可与行业内其他软件进行数据交换和协同工作，使后期工作具备持续性与扩展性。</w:t>
            </w:r>
          </w:p>
          <w:p w14:paraId="43B96C32">
            <w:pPr>
              <w:keepNext w:val="0"/>
              <w:keepLines w:val="0"/>
              <w:suppressLineNumbers w:val="0"/>
              <w:spacing w:before="0" w:beforeAutospacing="0" w:after="0" w:afterAutospacing="0"/>
              <w:ind w:left="0" w:right="0" w:firstLine="420" w:firstLineChars="200"/>
              <w:rPr>
                <w:rFonts w:hint="eastAsia" w:ascii="宋体" w:hAnsi="宋体" w:cs="Times New Roman"/>
                <w:color w:val="auto"/>
                <w:szCs w:val="21"/>
                <w:highlight w:val="none"/>
              </w:rPr>
            </w:pPr>
            <w:r>
              <w:rPr>
                <w:rFonts w:hint="eastAsia" w:ascii="宋体" w:hAnsi="宋体" w:cs="Times New Roman"/>
                <w:color w:val="auto"/>
                <w:szCs w:val="21"/>
                <w:highlight w:val="none"/>
              </w:rPr>
              <w:t>全面支持各类常规数据类型、数据库类型和接口规范。数据方案能够全面支持新开投的数据与场景后端平台化管理。支持定制场景中所有数据和展示场景平台化后端管理，按照用户层级进行权限分配和功能开放管理，支持本地数据配置文件和实时数据库两种数据来源方式进行一键切换。</w:t>
            </w:r>
          </w:p>
          <w:p w14:paraId="4367E43F">
            <w:pPr>
              <w:keepNext w:val="0"/>
              <w:keepLines w:val="0"/>
              <w:suppressLineNumbers w:val="0"/>
              <w:spacing w:before="0" w:beforeAutospacing="0" w:after="0" w:afterAutospacing="0"/>
              <w:ind w:left="0" w:right="0" w:firstLine="420" w:firstLineChars="200"/>
              <w:rPr>
                <w:rFonts w:hint="eastAsia" w:ascii="宋体" w:hAnsi="宋体" w:cs="Times New Roman"/>
                <w:color w:val="auto"/>
                <w:szCs w:val="21"/>
                <w:highlight w:val="none"/>
              </w:rPr>
            </w:pPr>
            <w:r>
              <w:rPr>
                <w:rFonts w:hint="eastAsia" w:ascii="宋体" w:hAnsi="宋体" w:cs="Times New Roman"/>
                <w:color w:val="auto"/>
                <w:szCs w:val="21"/>
                <w:highlight w:val="none"/>
              </w:rPr>
              <w:t>（3）演示系统场景能力</w:t>
            </w:r>
          </w:p>
          <w:p w14:paraId="5EBF49A3">
            <w:pPr>
              <w:keepNext w:val="0"/>
              <w:keepLines w:val="0"/>
              <w:suppressLineNumbers w:val="0"/>
              <w:spacing w:before="0" w:beforeAutospacing="0" w:after="0" w:afterAutospacing="0"/>
              <w:ind w:left="0" w:right="0" w:firstLine="420" w:firstLineChars="200"/>
              <w:rPr>
                <w:rFonts w:hint="eastAsia" w:ascii="宋体" w:hAnsi="宋体" w:cs="Times New Roman"/>
                <w:color w:val="auto"/>
                <w:szCs w:val="21"/>
                <w:highlight w:val="none"/>
              </w:rPr>
            </w:pPr>
            <w:r>
              <w:rPr>
                <w:rFonts w:hint="eastAsia" w:ascii="宋体" w:hAnsi="宋体" w:cs="Times New Roman"/>
                <w:color w:val="auto"/>
                <w:szCs w:val="21"/>
                <w:highlight w:val="none"/>
              </w:rPr>
              <w:t>▲演示系统展示效果需满足3楼观看位的最佳效果。通过数字化技术解决近大远小，不同视角画面变形，远端内容看不清楚等观赏体验问题，适当表现立体效果。</w:t>
            </w:r>
          </w:p>
          <w:p w14:paraId="1CF3FBB1">
            <w:pPr>
              <w:keepNext w:val="0"/>
              <w:keepLines w:val="0"/>
              <w:suppressLineNumbers w:val="0"/>
              <w:spacing w:before="0" w:beforeAutospacing="0" w:after="0" w:afterAutospacing="0"/>
              <w:ind w:left="0" w:right="0" w:firstLine="420" w:firstLineChars="200"/>
              <w:rPr>
                <w:rFonts w:hint="default" w:ascii="宋体" w:hAnsi="宋体" w:cs="Times New Roman"/>
                <w:color w:val="auto"/>
                <w:szCs w:val="21"/>
                <w:highlight w:val="none"/>
              </w:rPr>
            </w:pPr>
            <w:r>
              <w:rPr>
                <w:rFonts w:hint="eastAsia" w:ascii="宋体" w:hAnsi="宋体" w:cs="Times New Roman"/>
                <w:color w:val="auto"/>
                <w:szCs w:val="21"/>
                <w:highlight w:val="none"/>
              </w:rPr>
              <w:t>▲系统提供64位色高精度动态渲染管道、线性颜色空间渲染器和完美的颜色精度，支持各种后期特效例如光晕，镜头光环和景深等效果；支持室内和室外环境的无缝连接，在任何地方都支持的动态每象素光照和阴影；支持多层混合材质，支持任意复杂的材质动态基于LOD的模型细分。</w:t>
            </w:r>
          </w:p>
          <w:p w14:paraId="6B3980F3">
            <w:pPr>
              <w:keepNext w:val="0"/>
              <w:keepLines w:val="0"/>
              <w:suppressLineNumbers w:val="0"/>
              <w:spacing w:before="0" w:beforeAutospacing="0" w:after="0" w:afterAutospacing="0"/>
              <w:ind w:left="0" w:right="0" w:firstLine="413" w:firstLineChars="196"/>
              <w:rPr>
                <w:rFonts w:hint="eastAsia" w:ascii="宋体" w:hAnsi="宋体" w:cs="Times New Roman"/>
                <w:b/>
                <w:bCs/>
                <w:color w:val="auto"/>
                <w:szCs w:val="21"/>
                <w:highlight w:val="none"/>
              </w:rPr>
            </w:pPr>
            <w:r>
              <w:rPr>
                <w:rFonts w:hint="eastAsia" w:ascii="宋体" w:hAnsi="宋体" w:cs="Times New Roman"/>
                <w:b/>
                <w:bCs/>
                <w:color w:val="auto"/>
                <w:szCs w:val="21"/>
                <w:highlight w:val="none"/>
              </w:rPr>
              <w:t>（</w:t>
            </w:r>
            <w:r>
              <w:rPr>
                <w:rFonts w:hint="eastAsia" w:ascii="宋体" w:hAnsi="宋体" w:cs="Times New Roman"/>
                <w:b/>
                <w:bCs/>
                <w:color w:val="auto"/>
                <w:szCs w:val="21"/>
                <w:highlight w:val="none"/>
                <w:lang w:eastAsia="zh-CN"/>
              </w:rPr>
              <w:t>五</w:t>
            </w:r>
            <w:r>
              <w:rPr>
                <w:rFonts w:hint="eastAsia" w:ascii="宋体" w:hAnsi="宋体" w:cs="Times New Roman"/>
                <w:b/>
                <w:bCs/>
                <w:color w:val="auto"/>
                <w:szCs w:val="21"/>
                <w:highlight w:val="none"/>
              </w:rPr>
              <w:t>）数字沙盘</w:t>
            </w:r>
            <w:r>
              <w:rPr>
                <w:rFonts w:hint="eastAsia" w:ascii="宋体" w:hAnsi="宋体" w:cs="Times New Roman"/>
                <w:b/>
                <w:bCs/>
                <w:color w:val="auto"/>
                <w:szCs w:val="21"/>
                <w:highlight w:val="none"/>
                <w:lang w:eastAsia="zh-CN"/>
              </w:rPr>
              <w:t>配套</w:t>
            </w:r>
            <w:r>
              <w:rPr>
                <w:rFonts w:hint="eastAsia" w:ascii="宋体" w:hAnsi="宋体" w:cs="Times New Roman"/>
                <w:b/>
                <w:bCs/>
                <w:color w:val="auto"/>
                <w:szCs w:val="21"/>
                <w:highlight w:val="none"/>
              </w:rPr>
              <w:t>影片</w:t>
            </w:r>
          </w:p>
          <w:p w14:paraId="40DB2323">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1.展示效果</w:t>
            </w:r>
          </w:p>
          <w:p w14:paraId="76D96848">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影片内容充实全面，场景构图大气，镜头运动稳定，影像色调准确，画面鲜明精致、细节表达丰富，场面调度有序，剪辑节奏明快，章节衔接流畅。</w:t>
            </w:r>
          </w:p>
          <w:p w14:paraId="0F7E3709">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2.展示方法</w:t>
            </w:r>
          </w:p>
          <w:p w14:paraId="136EF59A">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影片以</w:t>
            </w:r>
            <w:r>
              <w:rPr>
                <w:rFonts w:hint="eastAsia" w:ascii="宋体" w:hAnsi="宋体" w:cs="Times New Roman"/>
                <w:color w:val="auto"/>
                <w:szCs w:val="21"/>
                <w:highlight w:val="none"/>
                <w:lang w:val="en-US" w:eastAsia="zh-CN"/>
              </w:rPr>
              <w:t>电子显示屏</w:t>
            </w:r>
            <w:r>
              <w:rPr>
                <w:rFonts w:hint="eastAsia" w:ascii="宋体" w:hAnsi="宋体" w:cs="Times New Roman"/>
                <w:color w:val="auto"/>
                <w:szCs w:val="21"/>
                <w:highlight w:val="none"/>
              </w:rPr>
              <w:t>为播放载体；以实拍+素材剪辑为主、辅以三维建模/动画制作等混合多媒体形式表现，同时需配套灯光演示。</w:t>
            </w:r>
          </w:p>
          <w:p w14:paraId="6E9DC8FD">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3.内容制作要求</w:t>
            </w:r>
          </w:p>
          <w:p w14:paraId="1BE3A569">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1）整体思路：创作思路清晰正确，内容表达全面完整，涵盖数据详实无误；紧跟南宁市委、市政府重大战略部署，阐述新版国土空间规划的理念和思想，体现城市规划和建设的科学合理、宏观近虑、高瞻远瞩，突出表现在南宁市国土空间总体规划中自然资源管理的方向与责任，充分传达在新时代城市建设下广大民众追求获得感、幸福感、安全感的正能量，满足不同受众人群观赏需求；</w:t>
            </w:r>
          </w:p>
          <w:p w14:paraId="332087E3">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（2）创意表现：站位高、视角广、切入角度有创新，表现手法新颖、与时俱进、不落俗套；令观者驻足、余音绕梁、影响深远；</w:t>
            </w:r>
          </w:p>
          <w:p w14:paraId="4BEECAB8">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（3）影片章节：逻辑结构划分清晰合理；叙事排比有序娓娓道来；主次高潮衔接自然一气呵成；</w:t>
            </w:r>
          </w:p>
          <w:p w14:paraId="2981C756">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（4）影片音效：背景音乐讲究高潮迭起、轻重缓急，强调氛围烘托准确有效；</w:t>
            </w:r>
          </w:p>
          <w:p w14:paraId="64BFB0BF">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（5）文案旁白：文案编写表述准确、词句有力，文笔老到、功底深厚；具有较高的艺术性、观赏性、文学性；文案旁白应具备中、英双语。</w:t>
            </w:r>
          </w:p>
          <w:p w14:paraId="5839E5BD">
            <w:pPr>
              <w:keepNext w:val="0"/>
              <w:keepLines w:val="0"/>
              <w:suppressLineNumbers w:val="0"/>
              <w:spacing w:before="0" w:beforeAutospacing="0" w:after="0" w:afterAutospacing="0"/>
              <w:ind w:left="0" w:right="0" w:firstLine="411" w:firstLineChars="196"/>
              <w:rPr>
                <w:rFonts w:hint="default" w:ascii="宋体" w:hAnsi="宋体" w:cs="Times New Roman"/>
                <w:color w:val="auto"/>
                <w:szCs w:val="21"/>
                <w:highlight w:val="none"/>
              </w:rPr>
            </w:pPr>
            <w:r>
              <w:rPr>
                <w:rFonts w:hint="eastAsia" w:ascii="宋体" w:hAnsi="宋体" w:cs="Times New Roman"/>
                <w:color w:val="auto"/>
                <w:szCs w:val="21"/>
                <w:highlight w:val="none"/>
              </w:rPr>
              <w:t>4.技术要求</w:t>
            </w:r>
          </w:p>
          <w:p w14:paraId="39312020">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（1）制作技术点</w:t>
            </w:r>
          </w:p>
          <w:p w14:paraId="26920BCE">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①根据提供的CAD图纸或图片，运用3d Max搭建全域和各个片区项目的建筑、地形、景观、小品等数字模型。</w:t>
            </w:r>
          </w:p>
          <w:p w14:paraId="4C794DC4">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②地形按照 Maps和GIS搭建真实比例场景，在局部的建筑（周边建筑按照实景建模）、路网等需进行局部优化处理。</w:t>
            </w:r>
          </w:p>
          <w:p w14:paraId="6814030D">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③部分模型需根据脚本内容进行深化和再创作，以符合脚本的内容需求表达。</w:t>
            </w:r>
          </w:p>
          <w:p w14:paraId="0EC20D08">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（2）前期创作</w:t>
            </w:r>
          </w:p>
          <w:p w14:paraId="5908726B">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①需要根据展项的内容需求进行脚本制作、解说词、文案的撰写。</w:t>
            </w:r>
          </w:p>
          <w:p w14:paraId="5EFACE1B">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②根据内容进行画面的设定、风格设定、设觉设计等。</w:t>
            </w:r>
          </w:p>
          <w:p w14:paraId="59BC88EA">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③需要结合沙盘设计方案设计画面内容，达到视觉统一性。</w:t>
            </w:r>
          </w:p>
          <w:p w14:paraId="19A37676">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④需要制作实拍执行脚本，梳理实拍内容。</w:t>
            </w:r>
          </w:p>
          <w:p w14:paraId="442D1F35">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（3）中期创作</w:t>
            </w:r>
          </w:p>
          <w:p w14:paraId="0353E6FF">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①数字模型的整理优化、材质整理、动画制作和灯光制作。</w:t>
            </w:r>
          </w:p>
          <w:p w14:paraId="549394E6">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②解说词找配音老师进行样音的测试、挑选及完整录音。</w:t>
            </w:r>
          </w:p>
          <w:p w14:paraId="3F43D6D7">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③剪辑，进行音乐的剪辑制作、视频剪辑、音效的合成、视频母带处理等。</w:t>
            </w:r>
          </w:p>
          <w:p w14:paraId="399829E5">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④预演制作，根据影片脚本进行Layout制作，从单个镜头拼接成完成完成的影片预演。</w:t>
            </w:r>
          </w:p>
          <w:p w14:paraId="431F12BC">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⑤结合实景拍摄超6k影像，延时和航拍，展示真实面貌。</w:t>
            </w:r>
          </w:p>
          <w:p w14:paraId="45A7F774">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（4）后期制作</w:t>
            </w:r>
          </w:p>
          <w:p w14:paraId="35E7D387">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①视效包装，通过C4D、AE等视效软件进行视效包装。</w:t>
            </w:r>
          </w:p>
          <w:p w14:paraId="29728C44">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②三维制作，按照layout进行单个镜头制作，运用3d Max、Unreal Engine 5（虚幻引擎5）等软件，在场景中进行置景、灯光、材质等，以达到真实场景效果。</w:t>
            </w:r>
          </w:p>
          <w:p w14:paraId="534B08CB">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③渲染，借助Renderbus</w:t>
            </w:r>
            <w:r>
              <w:rPr>
                <w:rFonts w:hint="eastAsia" w:ascii="宋体" w:hAnsi="宋体" w:cs="Times New Roman"/>
                <w:color w:val="auto"/>
                <w:szCs w:val="21"/>
                <w:highlight w:val="none"/>
                <w:lang w:eastAsia="zh-CN"/>
              </w:rPr>
              <w:t>等（同等级专业软件）</w:t>
            </w:r>
            <w:r>
              <w:rPr>
                <w:rFonts w:hint="eastAsia" w:ascii="宋体" w:hAnsi="宋体" w:cs="Times New Roman"/>
                <w:color w:val="auto"/>
                <w:szCs w:val="21"/>
                <w:highlight w:val="none"/>
              </w:rPr>
              <w:t>云渲染农场把三维场景及视效内容需要按照每1秒30帧画面渲染，需要大量的计算、渲染、下载整理时间。</w:t>
            </w:r>
          </w:p>
          <w:p w14:paraId="5B961DAF">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④后期调色，通过Adobe After Effects、DaVinci Resolve</w:t>
            </w:r>
            <w:r>
              <w:rPr>
                <w:rFonts w:hint="eastAsia" w:ascii="宋体" w:hAnsi="宋体" w:cs="Times New Roman"/>
                <w:color w:val="auto"/>
                <w:szCs w:val="21"/>
                <w:highlight w:val="none"/>
                <w:lang w:eastAsia="zh-CN"/>
              </w:rPr>
              <w:t>等（同等级专业软件）</w:t>
            </w:r>
            <w:r>
              <w:rPr>
                <w:rFonts w:hint="eastAsia" w:ascii="宋体" w:hAnsi="宋体" w:cs="Times New Roman"/>
                <w:color w:val="auto"/>
                <w:szCs w:val="21"/>
                <w:highlight w:val="none"/>
              </w:rPr>
              <w:t>，需要把三维场景、视效画面及视频素材进行单个调色，再进行整体均色，让全片的色彩统一。</w:t>
            </w:r>
          </w:p>
          <w:p w14:paraId="4940AA7A">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⑤影片精剪，需要运用Adobe Premiere Pro</w:t>
            </w:r>
            <w:r>
              <w:rPr>
                <w:rFonts w:hint="eastAsia" w:ascii="宋体" w:hAnsi="宋体" w:cs="Times New Roman"/>
                <w:color w:val="auto"/>
                <w:szCs w:val="21"/>
                <w:highlight w:val="none"/>
                <w:lang w:eastAsia="zh-CN"/>
              </w:rPr>
              <w:t>等（同等级专业软件）</w:t>
            </w:r>
            <w:r>
              <w:rPr>
                <w:rFonts w:hint="eastAsia" w:ascii="宋体" w:hAnsi="宋体" w:cs="Times New Roman"/>
                <w:color w:val="auto"/>
                <w:szCs w:val="21"/>
                <w:highlight w:val="none"/>
              </w:rPr>
              <w:t>，按照最后的单个镜头，从配音、音乐、音效等进行精细化剪辑。</w:t>
            </w:r>
          </w:p>
          <w:p w14:paraId="054F5C4F">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⑥字幕配音：整片显示双语字幕，字幕与画面</w:t>
            </w:r>
            <w:r>
              <w:rPr>
                <w:rFonts w:hint="eastAsia" w:ascii="宋体" w:hAnsi="宋体" w:cs="Times New Roman"/>
                <w:color w:val="auto"/>
                <w:szCs w:val="21"/>
                <w:highlight w:val="none"/>
                <w:lang w:eastAsia="zh-CN"/>
              </w:rPr>
              <w:t>步调和谐统一</w:t>
            </w:r>
            <w:r>
              <w:rPr>
                <w:rFonts w:hint="eastAsia" w:ascii="宋体" w:hAnsi="宋体" w:cs="Times New Roman"/>
                <w:color w:val="auto"/>
                <w:szCs w:val="21"/>
                <w:highlight w:val="none"/>
              </w:rPr>
              <w:t>；</w:t>
            </w:r>
            <w:r>
              <w:rPr>
                <w:rFonts w:hint="eastAsia" w:ascii="宋体" w:hAnsi="宋体" w:cs="Times New Roman"/>
                <w:color w:val="auto"/>
                <w:szCs w:val="21"/>
                <w:highlight w:val="none"/>
                <w:lang w:eastAsia="zh-CN"/>
              </w:rPr>
              <w:t>字幕</w:t>
            </w:r>
            <w:r>
              <w:rPr>
                <w:rFonts w:hint="eastAsia" w:ascii="宋体" w:hAnsi="宋体" w:cs="Times New Roman"/>
                <w:color w:val="auto"/>
                <w:szCs w:val="21"/>
                <w:highlight w:val="none"/>
              </w:rPr>
              <w:t>内容准确无误，</w:t>
            </w:r>
            <w:r>
              <w:rPr>
                <w:rFonts w:hint="eastAsia" w:ascii="宋体" w:hAnsi="宋体" w:cs="Times New Roman"/>
                <w:color w:val="auto"/>
                <w:szCs w:val="21"/>
                <w:highlight w:val="none"/>
                <w:lang w:eastAsia="zh-CN"/>
              </w:rPr>
              <w:t>英译须经外事单位审核通过；</w:t>
            </w:r>
            <w:r>
              <w:rPr>
                <w:rFonts w:hint="eastAsia" w:ascii="宋体" w:hAnsi="宋体" w:cs="Times New Roman"/>
                <w:color w:val="auto"/>
                <w:szCs w:val="21"/>
                <w:highlight w:val="none"/>
              </w:rPr>
              <w:t>提供中英双语配音，配音级别达到播音级；须根据文案章节准确定位与表达情感，注重起伏又不失连贯，音画同步。</w:t>
            </w:r>
          </w:p>
          <w:p w14:paraId="54CF34C7">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⑦音乐音效：音乐、音效使用合乎情景，不涉及版权纠纷。</w:t>
            </w:r>
          </w:p>
          <w:p w14:paraId="2A65A301">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（5）输出调试</w:t>
            </w:r>
          </w:p>
          <w:p w14:paraId="21FFCD39">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①输出高分辨率尺寸影片，借助多款专业融合软件进行现场融合矫正。</w:t>
            </w:r>
          </w:p>
          <w:p w14:paraId="01BACBD0">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②根据现场尺寸进行反刷、uv展平，以适配现场播放条件，让受众能沉浸于立体影像内。</w:t>
            </w:r>
          </w:p>
          <w:p w14:paraId="0E3D21E2">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③影像和激光与沙盘内容进行光影联动，让数字内容和沙盘进行空间吻合，赋予沙盘更多视觉效果。</w:t>
            </w:r>
          </w:p>
          <w:p w14:paraId="4CACB907">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⑥现场测试，根据现场测试，需再进行声音、色彩、清晰度等方面调色，以达到最佳观影效果。</w:t>
            </w:r>
          </w:p>
          <w:p w14:paraId="1A1EC034">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（6）影片时长不少于360秒。</w:t>
            </w:r>
          </w:p>
          <w:p w14:paraId="0C3AF41A">
            <w:pPr>
              <w:keepNext w:val="0"/>
              <w:keepLines w:val="0"/>
              <w:suppressLineNumbers w:val="0"/>
              <w:spacing w:before="0" w:beforeAutospacing="0" w:after="0" w:afterAutospacing="0"/>
              <w:ind w:left="0" w:right="0" w:firstLine="413" w:firstLineChars="196"/>
              <w:rPr>
                <w:rFonts w:hint="default" w:ascii="宋体" w:hAnsi="宋体" w:cs="Times New Roman"/>
                <w:color w:val="auto"/>
                <w:szCs w:val="21"/>
                <w:highlight w:val="none"/>
              </w:rPr>
            </w:pPr>
            <w:r>
              <w:rPr>
                <w:rFonts w:hint="eastAsia" w:ascii="宋体" w:hAnsi="宋体" w:cs="Times New Roman"/>
                <w:b/>
                <w:bCs/>
                <w:color w:val="auto"/>
                <w:szCs w:val="21"/>
                <w:highlight w:val="none"/>
              </w:rPr>
              <w:t>（</w:t>
            </w:r>
            <w:r>
              <w:rPr>
                <w:rFonts w:hint="eastAsia" w:ascii="宋体" w:hAnsi="宋体" w:cs="Times New Roman"/>
                <w:b/>
                <w:bCs/>
                <w:color w:val="auto"/>
                <w:szCs w:val="21"/>
                <w:highlight w:val="none"/>
                <w:lang w:eastAsia="zh-CN"/>
              </w:rPr>
              <w:t>六</w:t>
            </w:r>
            <w:r>
              <w:rPr>
                <w:rFonts w:hint="eastAsia" w:ascii="宋体" w:hAnsi="宋体" w:cs="Times New Roman"/>
                <w:b/>
                <w:bCs/>
                <w:color w:val="auto"/>
                <w:szCs w:val="21"/>
                <w:highlight w:val="none"/>
              </w:rPr>
              <w:t>）序厅暖场片/宣传片</w:t>
            </w:r>
          </w:p>
          <w:p w14:paraId="422D029F">
            <w:pPr>
              <w:keepNext w:val="0"/>
              <w:keepLines w:val="0"/>
              <w:suppressLineNumbers w:val="0"/>
              <w:spacing w:before="0" w:beforeAutospacing="0" w:after="0" w:afterAutospacing="0"/>
              <w:ind w:left="0" w:right="0" w:firstLine="411" w:firstLineChars="196"/>
              <w:rPr>
                <w:rFonts w:hint="default" w:ascii="宋体" w:hAnsi="宋体" w:cs="Times New Roman"/>
                <w:color w:val="auto"/>
                <w:szCs w:val="21"/>
                <w:highlight w:val="none"/>
              </w:rPr>
            </w:pPr>
            <w:r>
              <w:rPr>
                <w:rFonts w:hint="eastAsia" w:ascii="宋体" w:hAnsi="宋体" w:cs="Times New Roman"/>
                <w:color w:val="auto"/>
                <w:szCs w:val="21"/>
                <w:highlight w:val="none"/>
              </w:rPr>
              <w:t>1.</w:t>
            </w:r>
            <w:r>
              <w:rPr>
                <w:rFonts w:hint="default" w:ascii="宋体" w:hAnsi="宋体" w:cs="Times New Roman"/>
                <w:color w:val="auto"/>
                <w:szCs w:val="21"/>
                <w:highlight w:val="none"/>
              </w:rPr>
              <w:t>前期创作</w:t>
            </w:r>
          </w:p>
          <w:p w14:paraId="5420A34E">
            <w:pPr>
              <w:keepNext w:val="0"/>
              <w:keepLines w:val="0"/>
              <w:suppressLineNumbers w:val="0"/>
              <w:spacing w:before="0" w:beforeAutospacing="0" w:after="0" w:afterAutospacing="0"/>
              <w:ind w:left="0" w:right="0" w:firstLine="411" w:firstLineChars="196"/>
              <w:rPr>
                <w:rFonts w:hint="default" w:ascii="宋体" w:hAnsi="宋体" w:cs="Times New Roman"/>
                <w:color w:val="auto"/>
                <w:szCs w:val="21"/>
                <w:highlight w:val="none"/>
              </w:rPr>
            </w:pPr>
            <w:r>
              <w:rPr>
                <w:rFonts w:hint="eastAsia" w:ascii="宋体" w:hAnsi="宋体" w:cs="Times New Roman"/>
                <w:color w:val="auto"/>
                <w:szCs w:val="21"/>
                <w:highlight w:val="none"/>
              </w:rPr>
              <w:t>（1）</w:t>
            </w:r>
            <w:r>
              <w:rPr>
                <w:rFonts w:hint="default" w:ascii="宋体" w:hAnsi="宋体" w:cs="Times New Roman"/>
                <w:color w:val="auto"/>
                <w:szCs w:val="21"/>
                <w:highlight w:val="none"/>
              </w:rPr>
              <w:t>需要根据展项的内容需求进行脚本制作、解说词、文案的撰写</w:t>
            </w:r>
            <w:r>
              <w:rPr>
                <w:rFonts w:hint="eastAsia" w:ascii="宋体" w:hAnsi="宋体" w:cs="Times New Roman"/>
                <w:color w:val="auto"/>
                <w:szCs w:val="21"/>
                <w:highlight w:val="none"/>
              </w:rPr>
              <w:t>。</w:t>
            </w:r>
          </w:p>
          <w:p w14:paraId="462B6953">
            <w:pPr>
              <w:keepNext w:val="0"/>
              <w:keepLines w:val="0"/>
              <w:suppressLineNumbers w:val="0"/>
              <w:spacing w:before="0" w:beforeAutospacing="0" w:after="0" w:afterAutospacing="0"/>
              <w:ind w:left="0" w:right="0" w:firstLine="411" w:firstLineChars="196"/>
              <w:rPr>
                <w:rFonts w:hint="default" w:ascii="宋体" w:hAnsi="宋体" w:cs="Times New Roman"/>
                <w:color w:val="auto"/>
                <w:szCs w:val="21"/>
                <w:highlight w:val="none"/>
              </w:rPr>
            </w:pPr>
            <w:r>
              <w:rPr>
                <w:rFonts w:hint="eastAsia" w:ascii="宋体" w:hAnsi="宋体" w:cs="Times New Roman"/>
                <w:color w:val="auto"/>
                <w:szCs w:val="21"/>
                <w:highlight w:val="none"/>
              </w:rPr>
              <w:t>（2）</w:t>
            </w:r>
            <w:r>
              <w:rPr>
                <w:rFonts w:hint="default" w:ascii="宋体" w:hAnsi="宋体" w:cs="Times New Roman"/>
                <w:color w:val="auto"/>
                <w:szCs w:val="21"/>
                <w:highlight w:val="none"/>
              </w:rPr>
              <w:t>根据内容进行画面的设定、风格设定、设觉设计等。</w:t>
            </w:r>
          </w:p>
          <w:p w14:paraId="5E7611DB">
            <w:pPr>
              <w:keepNext w:val="0"/>
              <w:keepLines w:val="0"/>
              <w:suppressLineNumbers w:val="0"/>
              <w:spacing w:before="0" w:beforeAutospacing="0" w:after="0" w:afterAutospacing="0"/>
              <w:ind w:left="0" w:right="0" w:firstLine="411" w:firstLineChars="196"/>
              <w:rPr>
                <w:rFonts w:hint="default" w:ascii="宋体" w:hAnsi="宋体" w:cs="Times New Roman"/>
                <w:color w:val="auto"/>
                <w:szCs w:val="21"/>
                <w:highlight w:val="none"/>
              </w:rPr>
            </w:pPr>
            <w:r>
              <w:rPr>
                <w:rFonts w:hint="eastAsia" w:ascii="宋体" w:hAnsi="宋体" w:cs="Times New Roman"/>
                <w:color w:val="auto"/>
                <w:szCs w:val="21"/>
                <w:highlight w:val="none"/>
              </w:rPr>
              <w:t>（3）</w:t>
            </w:r>
            <w:r>
              <w:rPr>
                <w:rFonts w:hint="default" w:ascii="宋体" w:hAnsi="宋体" w:cs="Times New Roman"/>
                <w:color w:val="auto"/>
                <w:szCs w:val="21"/>
                <w:highlight w:val="none"/>
              </w:rPr>
              <w:t>需要结合设计方案、设计画面内容，达到视觉统一性</w:t>
            </w:r>
            <w:r>
              <w:rPr>
                <w:rFonts w:hint="eastAsia" w:ascii="宋体" w:hAnsi="宋体" w:cs="Times New Roman"/>
                <w:color w:val="auto"/>
                <w:szCs w:val="21"/>
                <w:highlight w:val="none"/>
              </w:rPr>
              <w:t>。</w:t>
            </w:r>
          </w:p>
          <w:p w14:paraId="61857A5E">
            <w:pPr>
              <w:keepNext w:val="0"/>
              <w:keepLines w:val="0"/>
              <w:suppressLineNumbers w:val="0"/>
              <w:spacing w:before="0" w:beforeAutospacing="0" w:after="0" w:afterAutospacing="0"/>
              <w:ind w:left="0" w:right="0" w:firstLine="411" w:firstLineChars="196"/>
              <w:rPr>
                <w:rFonts w:hint="default" w:ascii="宋体" w:hAnsi="宋体" w:cs="Times New Roman"/>
                <w:color w:val="auto"/>
                <w:szCs w:val="21"/>
                <w:highlight w:val="none"/>
              </w:rPr>
            </w:pPr>
            <w:r>
              <w:rPr>
                <w:rFonts w:hint="eastAsia" w:ascii="宋体" w:hAnsi="宋体" w:cs="Times New Roman"/>
                <w:color w:val="auto"/>
                <w:szCs w:val="21"/>
                <w:highlight w:val="none"/>
              </w:rPr>
              <w:t>（4）</w:t>
            </w:r>
            <w:r>
              <w:rPr>
                <w:rFonts w:hint="default" w:ascii="宋体" w:hAnsi="宋体" w:cs="Times New Roman"/>
                <w:color w:val="auto"/>
                <w:szCs w:val="21"/>
                <w:highlight w:val="none"/>
              </w:rPr>
              <w:t>需要制作实拍执行脚本，梳理实拍内容。</w:t>
            </w:r>
          </w:p>
          <w:p w14:paraId="01E023A2">
            <w:pPr>
              <w:keepNext w:val="0"/>
              <w:keepLines w:val="0"/>
              <w:suppressLineNumbers w:val="0"/>
              <w:spacing w:before="0" w:beforeAutospacing="0" w:after="0" w:afterAutospacing="0"/>
              <w:ind w:left="0" w:right="0" w:firstLine="411" w:firstLineChars="196"/>
              <w:rPr>
                <w:rFonts w:hint="default" w:ascii="宋体" w:hAnsi="宋体" w:cs="Times New Roman"/>
                <w:color w:val="auto"/>
                <w:szCs w:val="21"/>
                <w:highlight w:val="none"/>
              </w:rPr>
            </w:pPr>
            <w:r>
              <w:rPr>
                <w:rFonts w:hint="eastAsia" w:ascii="宋体" w:hAnsi="宋体" w:cs="Times New Roman"/>
                <w:color w:val="auto"/>
                <w:szCs w:val="21"/>
                <w:highlight w:val="none"/>
              </w:rPr>
              <w:t>2.</w:t>
            </w:r>
            <w:r>
              <w:rPr>
                <w:rFonts w:hint="default" w:ascii="宋体" w:hAnsi="宋体" w:cs="Times New Roman"/>
                <w:color w:val="auto"/>
                <w:szCs w:val="21"/>
                <w:highlight w:val="none"/>
              </w:rPr>
              <w:t>中期创作</w:t>
            </w:r>
          </w:p>
          <w:p w14:paraId="4ECB14FC">
            <w:pPr>
              <w:keepNext w:val="0"/>
              <w:keepLines w:val="0"/>
              <w:suppressLineNumbers w:val="0"/>
              <w:spacing w:before="0" w:beforeAutospacing="0" w:after="0" w:afterAutospacing="0"/>
              <w:ind w:left="0" w:right="0" w:firstLine="411" w:firstLineChars="196"/>
              <w:rPr>
                <w:rFonts w:hint="default" w:ascii="宋体" w:hAnsi="宋体" w:cs="Times New Roman"/>
                <w:color w:val="auto"/>
                <w:szCs w:val="21"/>
                <w:highlight w:val="none"/>
              </w:rPr>
            </w:pPr>
            <w:r>
              <w:rPr>
                <w:rFonts w:hint="eastAsia" w:ascii="宋体" w:hAnsi="宋体" w:cs="Times New Roman"/>
                <w:color w:val="auto"/>
                <w:szCs w:val="21"/>
                <w:highlight w:val="none"/>
              </w:rPr>
              <w:t>（1）</w:t>
            </w:r>
            <w:r>
              <w:rPr>
                <w:rFonts w:hint="default" w:ascii="宋体" w:hAnsi="宋体" w:cs="Times New Roman"/>
                <w:color w:val="auto"/>
                <w:szCs w:val="21"/>
                <w:highlight w:val="none"/>
              </w:rPr>
              <w:t>数字模型的整理优化、材质整理、动画制作和灯光制作</w:t>
            </w:r>
            <w:r>
              <w:rPr>
                <w:rFonts w:hint="eastAsia" w:ascii="宋体" w:hAnsi="宋体" w:cs="Times New Roman"/>
                <w:color w:val="auto"/>
                <w:szCs w:val="21"/>
                <w:highlight w:val="none"/>
              </w:rPr>
              <w:t>。</w:t>
            </w:r>
          </w:p>
          <w:p w14:paraId="588DBEAB">
            <w:pPr>
              <w:keepNext w:val="0"/>
              <w:keepLines w:val="0"/>
              <w:suppressLineNumbers w:val="0"/>
              <w:spacing w:before="0" w:beforeAutospacing="0" w:after="0" w:afterAutospacing="0"/>
              <w:ind w:left="0" w:right="0" w:firstLine="411" w:firstLineChars="196"/>
              <w:rPr>
                <w:rFonts w:hint="default" w:ascii="宋体" w:hAnsi="宋体" w:cs="Times New Roman"/>
                <w:color w:val="auto"/>
                <w:szCs w:val="21"/>
                <w:highlight w:val="none"/>
              </w:rPr>
            </w:pPr>
            <w:r>
              <w:rPr>
                <w:rFonts w:hint="eastAsia" w:ascii="宋体" w:hAnsi="宋体" w:cs="Times New Roman"/>
                <w:color w:val="auto"/>
                <w:szCs w:val="21"/>
                <w:highlight w:val="none"/>
              </w:rPr>
              <w:t>（2）</w:t>
            </w:r>
            <w:r>
              <w:rPr>
                <w:rFonts w:hint="default" w:ascii="宋体" w:hAnsi="宋体" w:cs="Times New Roman"/>
                <w:color w:val="auto"/>
                <w:szCs w:val="21"/>
                <w:highlight w:val="none"/>
              </w:rPr>
              <w:t>解说词找配音老师进行样音的测试、挑选及完整录音</w:t>
            </w:r>
            <w:r>
              <w:rPr>
                <w:rFonts w:hint="eastAsia" w:ascii="宋体" w:hAnsi="宋体" w:cs="Times New Roman"/>
                <w:color w:val="auto"/>
                <w:szCs w:val="21"/>
                <w:highlight w:val="none"/>
              </w:rPr>
              <w:t>。</w:t>
            </w:r>
          </w:p>
          <w:p w14:paraId="7259345E">
            <w:pPr>
              <w:keepNext w:val="0"/>
              <w:keepLines w:val="0"/>
              <w:suppressLineNumbers w:val="0"/>
              <w:spacing w:before="0" w:beforeAutospacing="0" w:after="0" w:afterAutospacing="0"/>
              <w:ind w:left="0" w:right="0" w:firstLine="411" w:firstLineChars="196"/>
              <w:rPr>
                <w:rFonts w:hint="default" w:ascii="宋体" w:hAnsi="宋体" w:cs="Times New Roman"/>
                <w:color w:val="auto"/>
                <w:szCs w:val="21"/>
                <w:highlight w:val="none"/>
              </w:rPr>
            </w:pPr>
            <w:r>
              <w:rPr>
                <w:rFonts w:hint="eastAsia" w:ascii="宋体" w:hAnsi="宋体" w:cs="Times New Roman"/>
                <w:color w:val="auto"/>
                <w:szCs w:val="21"/>
                <w:highlight w:val="none"/>
              </w:rPr>
              <w:t>（3）</w:t>
            </w:r>
            <w:r>
              <w:rPr>
                <w:rFonts w:hint="default" w:ascii="宋体" w:hAnsi="宋体" w:cs="Times New Roman"/>
                <w:color w:val="auto"/>
                <w:szCs w:val="21"/>
                <w:highlight w:val="none"/>
              </w:rPr>
              <w:t>剪辑，进行音乐的剪辑制作、视频剪辑、音效的合成、视频母带处理等</w:t>
            </w:r>
            <w:r>
              <w:rPr>
                <w:rFonts w:hint="eastAsia" w:ascii="宋体" w:hAnsi="宋体" w:cs="Times New Roman"/>
                <w:color w:val="auto"/>
                <w:szCs w:val="21"/>
                <w:highlight w:val="none"/>
              </w:rPr>
              <w:t>。</w:t>
            </w:r>
          </w:p>
          <w:p w14:paraId="4E6FDAB0">
            <w:pPr>
              <w:keepNext w:val="0"/>
              <w:keepLines w:val="0"/>
              <w:suppressLineNumbers w:val="0"/>
              <w:spacing w:before="0" w:beforeAutospacing="0" w:after="0" w:afterAutospacing="0"/>
              <w:ind w:left="0" w:right="0" w:firstLine="411" w:firstLineChars="196"/>
              <w:rPr>
                <w:rFonts w:hint="default" w:ascii="宋体" w:hAnsi="宋体" w:cs="Times New Roman"/>
                <w:color w:val="auto"/>
                <w:szCs w:val="21"/>
                <w:highlight w:val="none"/>
              </w:rPr>
            </w:pPr>
            <w:r>
              <w:rPr>
                <w:rFonts w:hint="eastAsia" w:ascii="宋体" w:hAnsi="宋体" w:cs="Times New Roman"/>
                <w:color w:val="auto"/>
                <w:szCs w:val="21"/>
                <w:highlight w:val="none"/>
              </w:rPr>
              <w:t>（4）</w:t>
            </w:r>
            <w:r>
              <w:rPr>
                <w:rFonts w:hint="default" w:ascii="宋体" w:hAnsi="宋体" w:cs="Times New Roman"/>
                <w:color w:val="auto"/>
                <w:szCs w:val="21"/>
                <w:highlight w:val="none"/>
              </w:rPr>
              <w:t>预演制作，根据影片脚本进行Layout制作，从单个镜头拼接成完成完成的影片预演</w:t>
            </w:r>
            <w:r>
              <w:rPr>
                <w:rFonts w:hint="eastAsia" w:ascii="宋体" w:hAnsi="宋体" w:cs="Times New Roman"/>
                <w:color w:val="auto"/>
                <w:szCs w:val="21"/>
                <w:highlight w:val="none"/>
              </w:rPr>
              <w:t>。</w:t>
            </w:r>
          </w:p>
          <w:p w14:paraId="42DA8776">
            <w:pPr>
              <w:keepNext w:val="0"/>
              <w:keepLines w:val="0"/>
              <w:suppressLineNumbers w:val="0"/>
              <w:spacing w:before="0" w:beforeAutospacing="0" w:after="0" w:afterAutospacing="0"/>
              <w:ind w:left="0" w:right="0" w:firstLine="411" w:firstLineChars="196"/>
              <w:rPr>
                <w:rFonts w:hint="default" w:ascii="宋体" w:hAnsi="宋体" w:cs="Times New Roman"/>
                <w:color w:val="auto"/>
                <w:szCs w:val="21"/>
                <w:highlight w:val="none"/>
              </w:rPr>
            </w:pPr>
            <w:r>
              <w:rPr>
                <w:rFonts w:hint="eastAsia" w:ascii="宋体" w:hAnsi="宋体" w:cs="Times New Roman"/>
                <w:color w:val="auto"/>
                <w:szCs w:val="21"/>
                <w:highlight w:val="none"/>
              </w:rPr>
              <w:t>（5）</w:t>
            </w:r>
            <w:r>
              <w:rPr>
                <w:rFonts w:hint="default" w:ascii="宋体" w:hAnsi="宋体" w:cs="Times New Roman"/>
                <w:color w:val="auto"/>
                <w:szCs w:val="21"/>
                <w:highlight w:val="none"/>
              </w:rPr>
              <w:t>结合实景拍摄超影像，延时和航拍</w:t>
            </w:r>
            <w:r>
              <w:rPr>
                <w:rFonts w:hint="eastAsia" w:ascii="宋体" w:hAnsi="宋体" w:cs="Times New Roman"/>
                <w:color w:val="auto"/>
                <w:szCs w:val="21"/>
                <w:highlight w:val="none"/>
              </w:rPr>
              <w:t>。</w:t>
            </w:r>
          </w:p>
          <w:p w14:paraId="6306ED1C">
            <w:pPr>
              <w:keepNext w:val="0"/>
              <w:keepLines w:val="0"/>
              <w:suppressLineNumbers w:val="0"/>
              <w:spacing w:before="0" w:beforeAutospacing="0" w:after="0" w:afterAutospacing="0"/>
              <w:ind w:left="0" w:right="0" w:firstLine="411" w:firstLineChars="196"/>
              <w:rPr>
                <w:rFonts w:hint="default" w:ascii="宋体" w:hAnsi="宋体" w:cs="Times New Roman"/>
                <w:color w:val="auto"/>
                <w:szCs w:val="21"/>
                <w:highlight w:val="none"/>
              </w:rPr>
            </w:pPr>
            <w:r>
              <w:rPr>
                <w:rFonts w:hint="eastAsia" w:ascii="宋体" w:hAnsi="宋体" w:cs="Times New Roman"/>
                <w:color w:val="auto"/>
                <w:szCs w:val="21"/>
                <w:highlight w:val="none"/>
              </w:rPr>
              <w:t>3.</w:t>
            </w:r>
            <w:r>
              <w:rPr>
                <w:rFonts w:hint="default" w:ascii="宋体" w:hAnsi="宋体" w:cs="Times New Roman"/>
                <w:color w:val="auto"/>
                <w:szCs w:val="21"/>
                <w:highlight w:val="none"/>
              </w:rPr>
              <w:t>后期制作</w:t>
            </w:r>
          </w:p>
          <w:p w14:paraId="7FF1F396">
            <w:pPr>
              <w:keepNext w:val="0"/>
              <w:keepLines w:val="0"/>
              <w:suppressLineNumbers w:val="0"/>
              <w:spacing w:before="0" w:beforeAutospacing="0" w:after="0" w:afterAutospacing="0"/>
              <w:ind w:left="0" w:right="0" w:firstLine="411" w:firstLineChars="196"/>
              <w:rPr>
                <w:rFonts w:hint="default" w:ascii="宋体" w:hAnsi="宋体" w:cs="Times New Roman"/>
                <w:color w:val="auto"/>
                <w:szCs w:val="21"/>
                <w:highlight w:val="none"/>
              </w:rPr>
            </w:pPr>
            <w:r>
              <w:rPr>
                <w:rFonts w:hint="eastAsia" w:ascii="宋体" w:hAnsi="宋体" w:cs="Times New Roman"/>
                <w:color w:val="auto"/>
                <w:szCs w:val="21"/>
                <w:highlight w:val="none"/>
              </w:rPr>
              <w:t>（1）</w:t>
            </w:r>
            <w:r>
              <w:rPr>
                <w:rFonts w:hint="default" w:ascii="宋体" w:hAnsi="宋体" w:cs="Times New Roman"/>
                <w:color w:val="auto"/>
                <w:szCs w:val="21"/>
                <w:highlight w:val="none"/>
              </w:rPr>
              <w:t>视效包装，通过C4D、AE等视效软件进行视效包装</w:t>
            </w:r>
            <w:r>
              <w:rPr>
                <w:rFonts w:hint="eastAsia" w:ascii="宋体" w:hAnsi="宋体" w:cs="Times New Roman"/>
                <w:color w:val="auto"/>
                <w:szCs w:val="21"/>
                <w:highlight w:val="none"/>
              </w:rPr>
              <w:t>。</w:t>
            </w:r>
          </w:p>
          <w:p w14:paraId="380A3121">
            <w:pPr>
              <w:keepNext w:val="0"/>
              <w:keepLines w:val="0"/>
              <w:suppressLineNumbers w:val="0"/>
              <w:spacing w:before="0" w:beforeAutospacing="0" w:after="0" w:afterAutospacing="0"/>
              <w:ind w:left="0" w:right="0" w:firstLine="411" w:firstLineChars="196"/>
              <w:rPr>
                <w:rFonts w:hint="default" w:ascii="宋体" w:hAnsi="宋体" w:cs="Times New Roman"/>
                <w:color w:val="auto"/>
                <w:szCs w:val="21"/>
                <w:highlight w:val="none"/>
              </w:rPr>
            </w:pPr>
            <w:r>
              <w:rPr>
                <w:rFonts w:hint="eastAsia" w:ascii="宋体" w:hAnsi="宋体" w:cs="Times New Roman"/>
                <w:color w:val="auto"/>
                <w:szCs w:val="21"/>
                <w:highlight w:val="none"/>
              </w:rPr>
              <w:t>（2）</w:t>
            </w:r>
            <w:r>
              <w:rPr>
                <w:rFonts w:hint="default" w:ascii="宋体" w:hAnsi="宋体" w:cs="Times New Roman"/>
                <w:color w:val="auto"/>
                <w:szCs w:val="21"/>
                <w:highlight w:val="none"/>
              </w:rPr>
              <w:t>三维制作，按照layout进行单个镜头制作，运用3d Max、Unreal Engine 5（虚幻引擎5）等软件，在场景中进行置景、灯光、材质等，以达到真实场景效果。</w:t>
            </w:r>
          </w:p>
          <w:p w14:paraId="51F8EC14">
            <w:pPr>
              <w:keepNext w:val="0"/>
              <w:keepLines w:val="0"/>
              <w:suppressLineNumbers w:val="0"/>
              <w:spacing w:before="0" w:beforeAutospacing="0" w:after="0" w:afterAutospacing="0"/>
              <w:ind w:left="0" w:right="0" w:firstLine="411" w:firstLineChars="196"/>
              <w:rPr>
                <w:rFonts w:hint="default" w:ascii="宋体" w:hAnsi="宋体" w:cs="Times New Roman"/>
                <w:color w:val="auto"/>
                <w:szCs w:val="21"/>
                <w:highlight w:val="none"/>
              </w:rPr>
            </w:pPr>
            <w:r>
              <w:rPr>
                <w:rFonts w:hint="eastAsia" w:ascii="宋体" w:hAnsi="宋体" w:cs="Times New Roman"/>
                <w:color w:val="auto"/>
                <w:szCs w:val="21"/>
                <w:highlight w:val="none"/>
              </w:rPr>
              <w:t>（3）</w:t>
            </w:r>
            <w:r>
              <w:rPr>
                <w:rFonts w:hint="default" w:ascii="宋体" w:hAnsi="宋体" w:cs="Times New Roman"/>
                <w:color w:val="auto"/>
                <w:szCs w:val="21"/>
                <w:highlight w:val="none"/>
              </w:rPr>
              <w:t>渲染，借助Renderbus</w:t>
            </w:r>
            <w:r>
              <w:rPr>
                <w:rFonts w:hint="default" w:ascii="宋体" w:hAnsi="宋体" w:cs="Times New Roman"/>
                <w:color w:val="auto"/>
                <w:szCs w:val="21"/>
                <w:highlight w:val="none"/>
                <w:lang w:eastAsia="zh-CN"/>
              </w:rPr>
              <w:t>等</w:t>
            </w:r>
            <w:r>
              <w:rPr>
                <w:rFonts w:hint="eastAsia" w:ascii="宋体" w:hAnsi="宋体" w:cs="Times New Roman"/>
                <w:color w:val="auto"/>
                <w:szCs w:val="21"/>
                <w:highlight w:val="none"/>
                <w:lang w:eastAsia="zh-CN"/>
              </w:rPr>
              <w:t>（</w:t>
            </w:r>
            <w:r>
              <w:rPr>
                <w:rFonts w:hint="default" w:ascii="宋体" w:hAnsi="宋体" w:cs="Times New Roman"/>
                <w:color w:val="auto"/>
                <w:szCs w:val="21"/>
                <w:highlight w:val="none"/>
                <w:lang w:eastAsia="zh-CN"/>
              </w:rPr>
              <w:t>同等级专业软件</w:t>
            </w:r>
            <w:r>
              <w:rPr>
                <w:rFonts w:hint="eastAsia" w:ascii="宋体" w:hAnsi="宋体" w:cs="Times New Roman"/>
                <w:color w:val="auto"/>
                <w:szCs w:val="21"/>
                <w:highlight w:val="none"/>
                <w:lang w:eastAsia="zh-CN"/>
              </w:rPr>
              <w:t>）</w:t>
            </w:r>
            <w:r>
              <w:rPr>
                <w:rFonts w:hint="default" w:ascii="宋体" w:hAnsi="宋体" w:cs="Times New Roman"/>
                <w:color w:val="auto"/>
                <w:szCs w:val="21"/>
                <w:highlight w:val="none"/>
              </w:rPr>
              <w:t>云渲染农场把三维场景及视效内容需要按照每1秒30帧画面渲染，需要大量的计算、渲染、下载整理时间</w:t>
            </w:r>
            <w:r>
              <w:rPr>
                <w:rFonts w:hint="eastAsia" w:ascii="宋体" w:hAnsi="宋体" w:cs="Times New Roman"/>
                <w:color w:val="auto"/>
                <w:szCs w:val="21"/>
                <w:highlight w:val="none"/>
              </w:rPr>
              <w:t>。</w:t>
            </w:r>
          </w:p>
          <w:p w14:paraId="5B02797C">
            <w:pPr>
              <w:keepNext w:val="0"/>
              <w:keepLines w:val="0"/>
              <w:suppressLineNumbers w:val="0"/>
              <w:spacing w:before="0" w:beforeAutospacing="0" w:after="0" w:afterAutospacing="0"/>
              <w:ind w:left="0" w:right="0" w:firstLine="411" w:firstLineChars="196"/>
              <w:rPr>
                <w:rFonts w:hint="default" w:ascii="宋体" w:hAnsi="宋体" w:cs="Times New Roman"/>
                <w:color w:val="auto"/>
                <w:szCs w:val="21"/>
                <w:highlight w:val="none"/>
              </w:rPr>
            </w:pPr>
            <w:r>
              <w:rPr>
                <w:rFonts w:hint="eastAsia" w:ascii="宋体" w:hAnsi="宋体" w:cs="Times New Roman"/>
                <w:color w:val="auto"/>
                <w:szCs w:val="21"/>
                <w:highlight w:val="none"/>
              </w:rPr>
              <w:t>（4）</w:t>
            </w:r>
            <w:r>
              <w:rPr>
                <w:rFonts w:hint="default" w:ascii="宋体" w:hAnsi="宋体" w:cs="Times New Roman"/>
                <w:color w:val="auto"/>
                <w:szCs w:val="21"/>
                <w:highlight w:val="none"/>
              </w:rPr>
              <w:t>后期调色，通过Adobe After Effects、DaVinci Resolve</w:t>
            </w:r>
            <w:r>
              <w:rPr>
                <w:rFonts w:hint="default" w:ascii="宋体" w:hAnsi="宋体" w:cs="Times New Roman"/>
                <w:color w:val="auto"/>
                <w:szCs w:val="21"/>
                <w:highlight w:val="none"/>
                <w:lang w:eastAsia="zh-CN"/>
              </w:rPr>
              <w:t>等（同等级专业软件）</w:t>
            </w:r>
            <w:r>
              <w:rPr>
                <w:rFonts w:hint="default" w:ascii="宋体" w:hAnsi="宋体" w:cs="Times New Roman"/>
                <w:color w:val="auto"/>
                <w:szCs w:val="21"/>
                <w:highlight w:val="none"/>
              </w:rPr>
              <w:t>，需要把三维场景、视效画面及视频素材进行单个调色，再进行整体均色，让全片的色彩统一</w:t>
            </w:r>
            <w:r>
              <w:rPr>
                <w:rFonts w:hint="eastAsia" w:ascii="宋体" w:hAnsi="宋体" w:cs="Times New Roman"/>
                <w:color w:val="auto"/>
                <w:szCs w:val="21"/>
                <w:highlight w:val="none"/>
              </w:rPr>
              <w:t>。</w:t>
            </w:r>
          </w:p>
          <w:p w14:paraId="3194936D">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（5）</w:t>
            </w:r>
            <w:r>
              <w:rPr>
                <w:rFonts w:hint="default" w:ascii="宋体" w:hAnsi="宋体" w:cs="Times New Roman"/>
                <w:color w:val="auto"/>
                <w:szCs w:val="21"/>
                <w:highlight w:val="none"/>
              </w:rPr>
              <w:t>影片精剪，需要运用Adobe Premiere Pro</w:t>
            </w:r>
            <w:r>
              <w:rPr>
                <w:rFonts w:hint="default" w:ascii="宋体" w:hAnsi="宋体" w:cs="Times New Roman"/>
                <w:color w:val="auto"/>
                <w:szCs w:val="21"/>
                <w:highlight w:val="none"/>
                <w:lang w:eastAsia="zh-CN"/>
              </w:rPr>
              <w:t>等（同等级专业软件）</w:t>
            </w:r>
            <w:r>
              <w:rPr>
                <w:rFonts w:hint="default" w:ascii="宋体" w:hAnsi="宋体" w:cs="Times New Roman"/>
                <w:color w:val="auto"/>
                <w:szCs w:val="21"/>
                <w:highlight w:val="none"/>
              </w:rPr>
              <w:t>，按照最后的单个镜头，从配音、音乐、音效等进行精细化剪辑</w:t>
            </w:r>
            <w:r>
              <w:rPr>
                <w:rFonts w:hint="eastAsia" w:ascii="宋体" w:hAnsi="宋体" w:cs="Times New Roman"/>
                <w:color w:val="auto"/>
                <w:szCs w:val="21"/>
                <w:highlight w:val="none"/>
              </w:rPr>
              <w:t>。</w:t>
            </w:r>
          </w:p>
          <w:p w14:paraId="2E363152">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（6）字幕配音：整片显示双语字幕，字幕与画面</w:t>
            </w:r>
            <w:r>
              <w:rPr>
                <w:rFonts w:hint="eastAsia" w:ascii="宋体" w:hAnsi="宋体" w:cs="Times New Roman"/>
                <w:color w:val="auto"/>
                <w:szCs w:val="21"/>
                <w:highlight w:val="none"/>
                <w:lang w:eastAsia="zh-CN"/>
              </w:rPr>
              <w:t>步调和谐统一</w:t>
            </w:r>
            <w:r>
              <w:rPr>
                <w:rFonts w:hint="eastAsia" w:ascii="宋体" w:hAnsi="宋体" w:cs="Times New Roman"/>
                <w:color w:val="auto"/>
                <w:szCs w:val="21"/>
                <w:highlight w:val="none"/>
              </w:rPr>
              <w:t>；</w:t>
            </w:r>
            <w:r>
              <w:rPr>
                <w:rFonts w:hint="eastAsia" w:ascii="宋体" w:hAnsi="宋体" w:cs="Times New Roman"/>
                <w:color w:val="auto"/>
                <w:szCs w:val="21"/>
                <w:highlight w:val="none"/>
                <w:lang w:eastAsia="zh-CN"/>
              </w:rPr>
              <w:t>字幕</w:t>
            </w:r>
            <w:r>
              <w:rPr>
                <w:rFonts w:hint="eastAsia" w:ascii="宋体" w:hAnsi="宋体" w:cs="Times New Roman"/>
                <w:color w:val="auto"/>
                <w:szCs w:val="21"/>
                <w:highlight w:val="none"/>
              </w:rPr>
              <w:t>内容准确无误，</w:t>
            </w:r>
            <w:r>
              <w:rPr>
                <w:rFonts w:hint="eastAsia" w:ascii="宋体" w:hAnsi="宋体" w:cs="Times New Roman"/>
                <w:color w:val="auto"/>
                <w:szCs w:val="21"/>
                <w:highlight w:val="none"/>
                <w:lang w:eastAsia="zh-CN"/>
              </w:rPr>
              <w:t>英译须经外事单位审核通过；</w:t>
            </w:r>
            <w:r>
              <w:rPr>
                <w:rFonts w:hint="eastAsia" w:ascii="宋体" w:hAnsi="宋体" w:cs="Times New Roman"/>
                <w:color w:val="auto"/>
                <w:szCs w:val="21"/>
                <w:highlight w:val="none"/>
              </w:rPr>
              <w:t>提供中英双语配音，配音级别达到播音级；须根据文案章节准确定位与表达情感，注重起伏又不失连贯，音画同步。</w:t>
            </w:r>
          </w:p>
          <w:p w14:paraId="0D84F5EF">
            <w:pPr>
              <w:keepNext w:val="0"/>
              <w:keepLines w:val="0"/>
              <w:suppressLineNumbers w:val="0"/>
              <w:spacing w:before="0" w:beforeAutospacing="0" w:after="0" w:afterAutospacing="0"/>
              <w:ind w:left="0" w:right="0" w:firstLine="411" w:firstLineChars="196"/>
              <w:rPr>
                <w:rFonts w:hint="default" w:ascii="宋体" w:hAnsi="宋体" w:cs="Times New Roman"/>
                <w:color w:val="auto"/>
                <w:szCs w:val="21"/>
                <w:highlight w:val="none"/>
              </w:rPr>
            </w:pPr>
            <w:r>
              <w:rPr>
                <w:rFonts w:hint="eastAsia" w:ascii="宋体" w:hAnsi="宋体" w:cs="Times New Roman"/>
                <w:color w:val="auto"/>
                <w:szCs w:val="21"/>
                <w:highlight w:val="none"/>
              </w:rPr>
              <w:t>（7）音乐音效：音乐、音效使用合乎情景，不涉及版权纠纷。</w:t>
            </w:r>
          </w:p>
          <w:p w14:paraId="4CFD3C02">
            <w:pPr>
              <w:keepNext w:val="0"/>
              <w:keepLines w:val="0"/>
              <w:suppressLineNumbers w:val="0"/>
              <w:spacing w:before="0" w:beforeAutospacing="0" w:after="0" w:afterAutospacing="0"/>
              <w:ind w:left="0" w:right="0" w:firstLine="411" w:firstLineChars="196"/>
              <w:rPr>
                <w:rFonts w:hint="default" w:ascii="宋体" w:hAnsi="宋体" w:cs="Times New Roman"/>
                <w:color w:val="auto"/>
                <w:szCs w:val="21"/>
                <w:highlight w:val="none"/>
              </w:rPr>
            </w:pPr>
            <w:r>
              <w:rPr>
                <w:rFonts w:hint="eastAsia" w:ascii="宋体" w:hAnsi="宋体" w:cs="Times New Roman"/>
                <w:color w:val="auto"/>
                <w:szCs w:val="21"/>
                <w:highlight w:val="none"/>
              </w:rPr>
              <w:t>4.</w:t>
            </w:r>
            <w:r>
              <w:rPr>
                <w:rFonts w:hint="default" w:ascii="宋体" w:hAnsi="宋体" w:cs="Times New Roman"/>
                <w:color w:val="auto"/>
                <w:szCs w:val="21"/>
                <w:highlight w:val="none"/>
              </w:rPr>
              <w:t>输出调试</w:t>
            </w:r>
          </w:p>
          <w:p w14:paraId="0B7ABEF8">
            <w:pPr>
              <w:keepNext w:val="0"/>
              <w:keepLines w:val="0"/>
              <w:suppressLineNumbers w:val="0"/>
              <w:spacing w:before="0" w:beforeAutospacing="0" w:after="0" w:afterAutospacing="0"/>
              <w:ind w:left="0" w:right="0" w:firstLine="411" w:firstLineChars="196"/>
              <w:rPr>
                <w:rFonts w:hint="default" w:ascii="宋体" w:hAnsi="宋体" w:cs="Times New Roman"/>
                <w:color w:val="auto"/>
                <w:szCs w:val="21"/>
                <w:highlight w:val="none"/>
              </w:rPr>
            </w:pPr>
            <w:r>
              <w:rPr>
                <w:rFonts w:hint="eastAsia" w:ascii="宋体" w:hAnsi="宋体" w:cs="Times New Roman"/>
                <w:color w:val="auto"/>
                <w:szCs w:val="21"/>
                <w:highlight w:val="none"/>
              </w:rPr>
              <w:t>（1）</w:t>
            </w:r>
            <w:r>
              <w:rPr>
                <w:rFonts w:hint="default" w:ascii="宋体" w:hAnsi="宋体" w:cs="Times New Roman"/>
                <w:color w:val="auto"/>
                <w:szCs w:val="21"/>
                <w:highlight w:val="none"/>
              </w:rPr>
              <w:t>输出高分辨率尺寸影片，借助专业软件进行现场融合矫正</w:t>
            </w:r>
            <w:r>
              <w:rPr>
                <w:rFonts w:hint="eastAsia" w:ascii="宋体" w:hAnsi="宋体" w:cs="Times New Roman"/>
                <w:color w:val="auto"/>
                <w:szCs w:val="21"/>
                <w:highlight w:val="none"/>
              </w:rPr>
              <w:t>。</w:t>
            </w:r>
          </w:p>
          <w:p w14:paraId="54B6871E">
            <w:pPr>
              <w:keepNext w:val="0"/>
              <w:keepLines w:val="0"/>
              <w:suppressLineNumbers w:val="0"/>
              <w:spacing w:before="0" w:beforeAutospacing="0" w:after="0" w:afterAutospacing="0"/>
              <w:ind w:left="0" w:right="0" w:firstLine="411" w:firstLineChars="196"/>
              <w:rPr>
                <w:rFonts w:hint="default" w:ascii="宋体" w:hAnsi="宋体" w:cs="Times New Roman"/>
                <w:color w:val="auto"/>
                <w:szCs w:val="21"/>
                <w:highlight w:val="none"/>
              </w:rPr>
            </w:pPr>
            <w:r>
              <w:rPr>
                <w:rFonts w:hint="eastAsia" w:ascii="宋体" w:hAnsi="宋体" w:cs="Times New Roman"/>
                <w:color w:val="auto"/>
                <w:szCs w:val="21"/>
                <w:highlight w:val="none"/>
              </w:rPr>
              <w:t>（2）</w:t>
            </w:r>
            <w:r>
              <w:rPr>
                <w:rFonts w:hint="default" w:ascii="宋体" w:hAnsi="宋体" w:cs="Times New Roman"/>
                <w:color w:val="auto"/>
                <w:szCs w:val="21"/>
                <w:highlight w:val="none"/>
              </w:rPr>
              <w:t>根据现场尺寸进行反刷、uv展平，以适配现场播放条件，让受众能沉浸于立体影像内</w:t>
            </w:r>
            <w:r>
              <w:rPr>
                <w:rFonts w:hint="eastAsia" w:ascii="宋体" w:hAnsi="宋体" w:cs="Times New Roman"/>
                <w:color w:val="auto"/>
                <w:szCs w:val="21"/>
                <w:highlight w:val="none"/>
              </w:rPr>
              <w:t>。</w:t>
            </w:r>
          </w:p>
          <w:p w14:paraId="431684F1">
            <w:pPr>
              <w:keepNext w:val="0"/>
              <w:keepLines w:val="0"/>
              <w:suppressLineNumbers w:val="0"/>
              <w:spacing w:before="0" w:beforeAutospacing="0" w:after="0" w:afterAutospacing="0"/>
              <w:ind w:left="0" w:right="0" w:firstLine="411" w:firstLineChars="196"/>
              <w:rPr>
                <w:rFonts w:hint="default" w:ascii="宋体" w:hAnsi="宋体" w:cs="Times New Roman"/>
                <w:color w:val="auto"/>
                <w:szCs w:val="21"/>
                <w:highlight w:val="none"/>
              </w:rPr>
            </w:pPr>
            <w:r>
              <w:rPr>
                <w:rFonts w:hint="eastAsia" w:ascii="宋体" w:hAnsi="宋体" w:cs="Times New Roman"/>
                <w:color w:val="auto"/>
                <w:szCs w:val="21"/>
                <w:highlight w:val="none"/>
              </w:rPr>
              <w:t>（3）</w:t>
            </w:r>
            <w:r>
              <w:rPr>
                <w:rFonts w:hint="default" w:ascii="宋体" w:hAnsi="宋体" w:cs="Times New Roman"/>
                <w:color w:val="auto"/>
                <w:szCs w:val="21"/>
                <w:highlight w:val="none"/>
              </w:rPr>
              <w:t>现场测试，根据现场测试，需再进行声音、色彩、清晰度等方面调色，以达到最佳观影效果</w:t>
            </w:r>
            <w:r>
              <w:rPr>
                <w:rFonts w:hint="eastAsia" w:ascii="宋体" w:hAnsi="宋体" w:cs="Times New Roman"/>
                <w:color w:val="auto"/>
                <w:szCs w:val="21"/>
                <w:highlight w:val="none"/>
              </w:rPr>
              <w:t>。</w:t>
            </w:r>
          </w:p>
          <w:p w14:paraId="0E00296B">
            <w:pPr>
              <w:keepNext w:val="0"/>
              <w:keepLines w:val="0"/>
              <w:suppressLineNumbers w:val="0"/>
              <w:spacing w:before="0" w:beforeAutospacing="0" w:after="0" w:afterAutospacing="0"/>
              <w:ind w:left="0" w:right="0" w:firstLine="411" w:firstLineChars="196"/>
              <w:rPr>
                <w:rFonts w:hint="default" w:ascii="宋体" w:hAnsi="宋体" w:cs="Times New Roman"/>
                <w:color w:val="auto"/>
                <w:szCs w:val="21"/>
                <w:highlight w:val="none"/>
              </w:rPr>
            </w:pPr>
            <w:r>
              <w:rPr>
                <w:rFonts w:hint="eastAsia" w:ascii="宋体" w:hAnsi="宋体" w:cs="Times New Roman"/>
                <w:color w:val="auto"/>
                <w:szCs w:val="21"/>
                <w:highlight w:val="none"/>
              </w:rPr>
              <w:t>5.影片时长不少于150秒。</w:t>
            </w:r>
          </w:p>
          <w:p w14:paraId="0217059B">
            <w:pPr>
              <w:keepNext w:val="0"/>
              <w:keepLines w:val="0"/>
              <w:suppressLineNumbers w:val="0"/>
              <w:spacing w:before="0" w:beforeAutospacing="0" w:after="0" w:afterAutospacing="0"/>
              <w:ind w:left="0" w:right="0" w:firstLine="413" w:firstLineChars="196"/>
              <w:rPr>
                <w:rFonts w:hint="eastAsia" w:ascii="宋体" w:hAnsi="宋体" w:cs="Times New Roman"/>
                <w:color w:val="auto"/>
                <w:szCs w:val="21"/>
                <w:highlight w:val="none"/>
              </w:rPr>
            </w:pPr>
            <w:r>
              <w:rPr>
                <w:rFonts w:hint="eastAsia" w:ascii="宋体" w:hAnsi="宋体" w:cs="Times New Roman"/>
                <w:b/>
                <w:bCs/>
                <w:color w:val="auto"/>
                <w:szCs w:val="21"/>
                <w:highlight w:val="none"/>
              </w:rPr>
              <w:t>（</w:t>
            </w:r>
            <w:r>
              <w:rPr>
                <w:rFonts w:hint="eastAsia" w:ascii="宋体" w:hAnsi="宋体" w:cs="Times New Roman"/>
                <w:b/>
                <w:bCs/>
                <w:color w:val="auto"/>
                <w:szCs w:val="21"/>
                <w:highlight w:val="none"/>
                <w:lang w:eastAsia="zh-CN"/>
              </w:rPr>
              <w:t>七</w:t>
            </w:r>
            <w:r>
              <w:rPr>
                <w:rFonts w:hint="eastAsia" w:ascii="宋体" w:hAnsi="宋体" w:cs="Times New Roman"/>
                <w:b/>
                <w:bCs/>
                <w:color w:val="auto"/>
                <w:szCs w:val="21"/>
                <w:highlight w:val="none"/>
              </w:rPr>
              <w:t>）其他要求</w:t>
            </w:r>
          </w:p>
          <w:p w14:paraId="0954C187">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1.控制系统工程要求</w:t>
            </w:r>
          </w:p>
          <w:p w14:paraId="45B396A1">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（1）应具有良好的接入能力，可满足通过WIFI控制远程管理，以及本地上传数据功能，同时兼具满足其他系统、多媒体内容演示的接入使用功能，可自主更换展示的视频、图片。</w:t>
            </w:r>
          </w:p>
          <w:p w14:paraId="303567E6">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2）展项硬件控制系统应具有良好的稳定性。设计应充分考虑展项长时间（7天*8小时，全年无休运行）稳定流畅展示需要。应充分考虑楼宇建筑本体震动，设备安装要具备安全性和稳定性，并考虑合理的减震措施，确保</w:t>
            </w:r>
            <w:r>
              <w:rPr>
                <w:rFonts w:hint="eastAsia" w:ascii="宋体" w:hAnsi="宋体" w:cs="Times New Roman"/>
                <w:color w:val="auto"/>
                <w:szCs w:val="21"/>
                <w:highlight w:val="none"/>
                <w:lang w:eastAsia="zh-CN"/>
              </w:rPr>
              <w:t>电子显示屏</w:t>
            </w:r>
            <w:r>
              <w:rPr>
                <w:rFonts w:hint="eastAsia" w:ascii="宋体" w:hAnsi="宋体" w:cs="Times New Roman"/>
                <w:color w:val="auto"/>
                <w:szCs w:val="21"/>
                <w:highlight w:val="none"/>
              </w:rPr>
              <w:t>在承重范围内画面不抖动、设备不损坏。</w:t>
            </w:r>
          </w:p>
          <w:p w14:paraId="03AF3DE2">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（3）控制软件应具有先进性，保证整个展项达到良好的演示效果，具有良好的兼容性，具有良好的可拓展性，使用先进技术、成熟产品，用户界面设计简洁直观。</w:t>
            </w:r>
          </w:p>
          <w:p w14:paraId="78FDC443">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（4）信号输入接口配备多种信号输入接口，包括但不限于 DVI、HDMI、SDI、DP 等，以兼容不同的信号源设备（如电脑、视频播放器、服务器等），方便接入各类高清图像和视频信号，确保信号传输的稳定性和可靠性。</w:t>
            </w:r>
          </w:p>
          <w:p w14:paraId="2A633F46">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（5）信号输出接口具备足够数量的信号输出接口，用于连接</w:t>
            </w:r>
            <w:r>
              <w:rPr>
                <w:rFonts w:hint="eastAsia" w:ascii="宋体" w:hAnsi="宋体" w:cs="Times New Roman"/>
                <w:color w:val="auto"/>
                <w:szCs w:val="21"/>
                <w:highlight w:val="none"/>
                <w:lang w:eastAsia="zh-CN"/>
              </w:rPr>
              <w:t>电子显示屏</w:t>
            </w:r>
            <w:r>
              <w:rPr>
                <w:rFonts w:hint="eastAsia" w:ascii="宋体" w:hAnsi="宋体" w:cs="Times New Roman"/>
                <w:color w:val="auto"/>
                <w:szCs w:val="21"/>
                <w:highlight w:val="none"/>
              </w:rPr>
              <w:t>的各个模组和单元板，保证图像信号能够完整、准确地传输至显示屏的每一个像素点，且输出接口应具备一定的冗余量，以防个别接口出现故障时不影响整体显示效果。</w:t>
            </w:r>
          </w:p>
          <w:p w14:paraId="54062354">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6）控制方式支持远程网络控制和本地手动控制两种方式。通过网络控制，可实现远程开关机、亮度调节、色彩校正、模式切换等操作，方便管理人员在观影台或其他远程位置对显示屏进行集中管理和控制；本地手动控制则作为备用方式，在网络故障或特殊情况下可直接在显示屏旁边进行操作，确保显示系统的正常运行。</w:t>
            </w:r>
          </w:p>
          <w:p w14:paraId="2C175837">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2.电力系统工程要求</w:t>
            </w:r>
          </w:p>
          <w:p w14:paraId="48509E89">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（1）电力需求规划</w:t>
            </w:r>
          </w:p>
          <w:p w14:paraId="6520D148">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①功率计算：应提前根据</w:t>
            </w:r>
            <w:r>
              <w:rPr>
                <w:rFonts w:hint="eastAsia" w:ascii="宋体" w:hAnsi="宋体" w:cs="Times New Roman"/>
                <w:color w:val="auto"/>
                <w:szCs w:val="21"/>
                <w:highlight w:val="none"/>
                <w:lang w:val="en-US" w:eastAsia="zh-CN"/>
              </w:rPr>
              <w:t>电子显示屏</w:t>
            </w:r>
            <w:r>
              <w:rPr>
                <w:rFonts w:hint="eastAsia" w:ascii="宋体" w:hAnsi="宋体" w:cs="Times New Roman"/>
                <w:color w:val="auto"/>
                <w:szCs w:val="21"/>
                <w:highlight w:val="none"/>
              </w:rPr>
              <w:t>的尺寸、功率及</w:t>
            </w:r>
            <w:r>
              <w:rPr>
                <w:rFonts w:hint="eastAsia" w:ascii="宋体" w:hAnsi="宋体" w:cs="Times New Roman"/>
                <w:color w:val="auto"/>
                <w:szCs w:val="21"/>
                <w:highlight w:val="none"/>
                <w:lang w:val="en-US" w:eastAsia="zh-CN"/>
              </w:rPr>
              <w:t>局部区域小型物理沙盘的</w:t>
            </w:r>
            <w:r>
              <w:rPr>
                <w:rFonts w:hint="eastAsia" w:ascii="宋体" w:hAnsi="宋体" w:cs="Times New Roman"/>
                <w:color w:val="auto"/>
                <w:szCs w:val="21"/>
                <w:highlight w:val="none"/>
              </w:rPr>
              <w:t>灯带功率等参数，准确计算</w:t>
            </w:r>
            <w:r>
              <w:rPr>
                <w:rFonts w:hint="eastAsia" w:ascii="宋体" w:hAnsi="宋体" w:cs="Times New Roman"/>
                <w:color w:val="auto"/>
                <w:szCs w:val="21"/>
                <w:highlight w:val="none"/>
                <w:lang w:eastAsia="zh-CN"/>
              </w:rPr>
              <w:t>电力系统的</w:t>
            </w:r>
            <w:r>
              <w:rPr>
                <w:rFonts w:hint="eastAsia" w:ascii="宋体" w:hAnsi="宋体" w:cs="Times New Roman"/>
                <w:color w:val="auto"/>
                <w:szCs w:val="21"/>
                <w:highlight w:val="none"/>
              </w:rPr>
              <w:t>总功率需求，并确保其供电系统能够满足负载要求。</w:t>
            </w:r>
          </w:p>
          <w:p w14:paraId="6F6ABCE0">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②冗余设计：在设计供电系统时，预留一定的冗余功率（通常为总功率的20%-30%），以应对未来扩展或突发情况。</w:t>
            </w:r>
          </w:p>
          <w:p w14:paraId="0865F3D5">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（2）电源选择与配置</w:t>
            </w:r>
          </w:p>
          <w:p w14:paraId="380B6000">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①电源质量：选择高质量、稳定的开关电源，确保其效率高、发热低、抗干扰能力强。</w:t>
            </w:r>
          </w:p>
          <w:p w14:paraId="28E62806">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②电源分布：合理分布电源模块，避免单点供电过长导致电压下降或功率损耗。</w:t>
            </w:r>
          </w:p>
          <w:p w14:paraId="754FDB5C">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③多路供电：对于</w:t>
            </w:r>
            <w:r>
              <w:rPr>
                <w:rFonts w:hint="eastAsia" w:ascii="宋体" w:hAnsi="宋体" w:cs="Times New Roman"/>
                <w:color w:val="auto"/>
                <w:szCs w:val="21"/>
                <w:highlight w:val="none"/>
                <w:lang w:eastAsia="zh-CN"/>
              </w:rPr>
              <w:t>大型</w:t>
            </w:r>
            <w:r>
              <w:rPr>
                <w:rFonts w:hint="eastAsia" w:ascii="宋体" w:hAnsi="宋体" w:cs="Times New Roman"/>
                <w:color w:val="auto"/>
                <w:szCs w:val="21"/>
                <w:highlight w:val="none"/>
                <w:lang w:val="en-US" w:eastAsia="zh-CN"/>
              </w:rPr>
              <w:t>电子显示屏</w:t>
            </w:r>
            <w:r>
              <w:rPr>
                <w:rFonts w:hint="eastAsia" w:ascii="宋体" w:hAnsi="宋体" w:cs="Times New Roman"/>
                <w:color w:val="auto"/>
                <w:szCs w:val="21"/>
                <w:highlight w:val="none"/>
              </w:rPr>
              <w:t>、</w:t>
            </w:r>
            <w:r>
              <w:rPr>
                <w:rFonts w:hint="eastAsia" w:ascii="宋体" w:hAnsi="宋体" w:cs="Times New Roman"/>
                <w:color w:val="auto"/>
                <w:szCs w:val="21"/>
                <w:highlight w:val="none"/>
                <w:lang w:val="en-US" w:eastAsia="zh-CN"/>
              </w:rPr>
              <w:t>局部区域小型物理沙盘</w:t>
            </w:r>
            <w:r>
              <w:rPr>
                <w:rFonts w:hint="eastAsia" w:ascii="宋体" w:hAnsi="宋体" w:cs="Times New Roman"/>
                <w:color w:val="auto"/>
                <w:szCs w:val="21"/>
                <w:highlight w:val="none"/>
              </w:rPr>
              <w:t>用电线路，应采用多回路供电，避免单路电源过载。</w:t>
            </w:r>
          </w:p>
          <w:p w14:paraId="587EF5F0">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（3）电缆选择与布线</w:t>
            </w:r>
          </w:p>
          <w:p w14:paraId="4EB6714E">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①电缆规格：根据电流大小选择合适的电缆规格，确保承载最大负载电流，避免过热或损坏。电缆应使用阻燃、耐高温电缆，并采取套管或线槽保护，防止物理损坏或火灾风险。</w:t>
            </w:r>
          </w:p>
          <w:p w14:paraId="54D0F5B8">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②合理布局：遵循电气布线规范，避免强电与弱电线缆交叉或并行，减少电磁干扰。</w:t>
            </w:r>
          </w:p>
          <w:p w14:paraId="665FF16A">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③做好线路标识：制作详细的电气原理图线路图、放线布置表，为每条线路做好标签，标明用途和连接设备，方便后续检查和维修。</w:t>
            </w:r>
          </w:p>
          <w:p w14:paraId="14C2B6EE">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④应使用阻燃线槽铺设线缆，各级电路应标记线号，严格按照布线图、放线表开展施工，禁止随处取电、乱搭电线。</w:t>
            </w:r>
          </w:p>
          <w:p w14:paraId="327A962B">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⑤施工调整：因现场环境影响需修改布线走向的，布线完成后应按现场实际情况及时修改布线图及放线表，并移交给甲方。</w:t>
            </w:r>
          </w:p>
          <w:p w14:paraId="07C0DA86">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（4）接地与防浪涌措施</w:t>
            </w:r>
          </w:p>
          <w:p w14:paraId="276DA7E6">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①接地系统：确保所有设备（包括</w:t>
            </w:r>
            <w:r>
              <w:rPr>
                <w:rFonts w:hint="eastAsia" w:ascii="宋体" w:hAnsi="宋体" w:cs="Times New Roman"/>
                <w:color w:val="auto"/>
                <w:szCs w:val="21"/>
                <w:highlight w:val="none"/>
                <w:lang w:val="en-US" w:eastAsia="zh-CN"/>
              </w:rPr>
              <w:t>电子显示屏</w:t>
            </w:r>
            <w:r>
              <w:rPr>
                <w:rFonts w:hint="eastAsia" w:ascii="宋体" w:hAnsi="宋体" w:cs="Times New Roman"/>
                <w:color w:val="auto"/>
                <w:szCs w:val="21"/>
                <w:highlight w:val="none"/>
              </w:rPr>
              <w:t>、沙盘、控制系统等）良好接地，避免漏电或静电积累。</w:t>
            </w:r>
          </w:p>
          <w:p w14:paraId="7E925F5A">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②防浪涌措施：在供电系统中安装浪涌保护器，防止电压浪涌损坏设备。</w:t>
            </w:r>
          </w:p>
          <w:p w14:paraId="0DBE5B0B">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（5）配电系统设计</w:t>
            </w:r>
          </w:p>
          <w:p w14:paraId="2E5222E6">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①配电柜：配置专用的配电柜，布置电力总、分空气开关，空气开关应安装自动漏电保护器等设备，确保电力分配安全可靠，防止漏电引发安全事故。</w:t>
            </w:r>
          </w:p>
          <w:p w14:paraId="081D8971">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②分路控制：将</w:t>
            </w:r>
            <w:r>
              <w:rPr>
                <w:rFonts w:hint="eastAsia" w:ascii="宋体" w:hAnsi="宋体" w:cs="Times New Roman"/>
                <w:color w:val="auto"/>
                <w:szCs w:val="21"/>
                <w:highlight w:val="none"/>
                <w:lang w:val="en-US" w:eastAsia="zh-CN"/>
              </w:rPr>
              <w:t>电子显示屏</w:t>
            </w:r>
            <w:r>
              <w:rPr>
                <w:rFonts w:hint="eastAsia" w:ascii="宋体" w:hAnsi="宋体" w:cs="Times New Roman"/>
                <w:color w:val="auto"/>
                <w:szCs w:val="21"/>
                <w:highlight w:val="none"/>
              </w:rPr>
              <w:t>、沙盘模型的供电分别设计为多个独立回路，便于分段控制和故障排查。</w:t>
            </w:r>
          </w:p>
          <w:p w14:paraId="56453822">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③三相平衡：如果使用三相电，确保各相负载均衡，避免某一相过载。</w:t>
            </w:r>
          </w:p>
          <w:p w14:paraId="4C93A5BD">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（6）电压稳定性</w:t>
            </w:r>
          </w:p>
          <w:p w14:paraId="1A1D393B">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电压范围：确保供电电压在</w:t>
            </w:r>
            <w:r>
              <w:rPr>
                <w:rFonts w:hint="eastAsia" w:ascii="宋体" w:hAnsi="宋体" w:cs="Times New Roman"/>
                <w:color w:val="auto"/>
                <w:szCs w:val="21"/>
                <w:highlight w:val="none"/>
                <w:lang w:val="en-US" w:eastAsia="zh-CN"/>
              </w:rPr>
              <w:t>电子显示屏</w:t>
            </w:r>
            <w:r>
              <w:rPr>
                <w:rFonts w:hint="eastAsia" w:ascii="宋体" w:hAnsi="宋体" w:cs="Times New Roman"/>
                <w:color w:val="auto"/>
                <w:szCs w:val="21"/>
                <w:highlight w:val="none"/>
              </w:rPr>
              <w:t>和电源设备的额定范围内（通常为AC 220V±10%）。</w:t>
            </w:r>
          </w:p>
          <w:p w14:paraId="06756C69">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（7）散热与通风</w:t>
            </w:r>
          </w:p>
          <w:p w14:paraId="67E03410">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电源散热：电源模块应安装在通风良好的位置，同时加装散热风扇，防止过热。</w:t>
            </w:r>
          </w:p>
          <w:p w14:paraId="2790645D">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（8）测试与调试</w:t>
            </w:r>
          </w:p>
          <w:p w14:paraId="1A290515">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通电测试：在正式运行前，应进行通电测试，检查电压、电流是否正常，确保无短路、漏电等问题。</w:t>
            </w:r>
          </w:p>
          <w:p w14:paraId="6639E20C">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3.网络工程</w:t>
            </w:r>
          </w:p>
          <w:p w14:paraId="2F6E88BC">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网络工程应使用超六类网线，每条网线长度不得超过100米，因现场情况需使用超出100米的网线应改用光纤进行网络传输。</w:t>
            </w:r>
          </w:p>
          <w:p w14:paraId="6655BE38">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4.框架支撑工程</w:t>
            </w:r>
          </w:p>
          <w:p w14:paraId="2B4BCD58">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（1）结构设计</w:t>
            </w:r>
          </w:p>
          <w:p w14:paraId="50BB916E">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①承重能力：确保框架能承受展项的重量，包括屏幕、安装配件及其他附加设备。</w:t>
            </w:r>
          </w:p>
          <w:p w14:paraId="32C549B0">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②稳定性：框架应具备足够的抗风、抗震能力，防止因外力导致倾斜或倒塌。</w:t>
            </w:r>
          </w:p>
          <w:p w14:paraId="26F836EB">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③模块化设计：便于后续模块的安装、拆卸和维护。</w:t>
            </w:r>
          </w:p>
          <w:p w14:paraId="688505AA">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④检修通道：应预留检修通道，检修通道必须保证无障碍遮挡，不得存在维修死角。</w:t>
            </w:r>
          </w:p>
          <w:p w14:paraId="1930B5E7">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（2）材料选择</w:t>
            </w:r>
          </w:p>
          <w:p w14:paraId="040395ED">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①强度与耐久性：选用高强度、耐腐蚀的材料，如铝合金或不锈钢。</w:t>
            </w:r>
          </w:p>
          <w:p w14:paraId="31834C3F">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②轻量化：在保证强度的前提下，尽量减轻框架重量，降低安装难度和成本。</w:t>
            </w:r>
          </w:p>
          <w:p w14:paraId="44AD1048">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（3）环境适应性</w:t>
            </w:r>
          </w:p>
          <w:p w14:paraId="2DEE7484">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①防水防尘：户外框架需具备良好的防水防尘性能。</w:t>
            </w:r>
          </w:p>
          <w:p w14:paraId="46C3E777">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②耐候性：材料应能适应南方回南天气候条件，避免老化或腐蚀。</w:t>
            </w:r>
          </w:p>
          <w:p w14:paraId="044C5084">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5.安装工程</w:t>
            </w:r>
          </w:p>
          <w:p w14:paraId="54BD2D00">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（1）前期准备</w:t>
            </w:r>
          </w:p>
          <w:p w14:paraId="3FDD203B">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①现场勘察：确认安装位置、尺寸、承重能力及环境条件（如温度、湿度、光照等）。</w:t>
            </w:r>
          </w:p>
          <w:p w14:paraId="3C70329C">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②设计方案：根据现场情况设计安装方案，包括屏幕尺寸、沙盘模型大小、框架结构、电源和信号布线等。</w:t>
            </w:r>
          </w:p>
          <w:p w14:paraId="0E39723F">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③材料准备：确保所有材料（如</w:t>
            </w:r>
            <w:r>
              <w:rPr>
                <w:rFonts w:hint="eastAsia" w:ascii="宋体" w:hAnsi="宋体" w:cs="Times New Roman"/>
                <w:color w:val="auto"/>
                <w:szCs w:val="21"/>
                <w:highlight w:val="none"/>
                <w:lang w:val="en-US" w:eastAsia="zh-CN"/>
              </w:rPr>
              <w:t>电子显示屏模块</w:t>
            </w:r>
            <w:r>
              <w:rPr>
                <w:rFonts w:hint="eastAsia" w:ascii="宋体" w:hAnsi="宋体" w:cs="Times New Roman"/>
                <w:color w:val="auto"/>
                <w:szCs w:val="21"/>
                <w:highlight w:val="none"/>
              </w:rPr>
              <w:t>、框架、电源、电缆等）符合设计要求，并检查质量。</w:t>
            </w:r>
          </w:p>
          <w:p w14:paraId="01C178EE">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（2）展项安装</w:t>
            </w:r>
          </w:p>
          <w:p w14:paraId="2E0C1B66">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①模块对齐：安装模块时需确保对齐，避免显示画面出现缝隙或错位。</w:t>
            </w:r>
          </w:p>
          <w:p w14:paraId="52630F8C">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②固定牢固：使用螺丝或其他固定件将模块牢固安装在框架上，防止松动。</w:t>
            </w:r>
          </w:p>
          <w:p w14:paraId="315A25D1">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③接线规范：电源线和信号线需按规范连接，避免短路或接触不良。</w:t>
            </w:r>
          </w:p>
          <w:p w14:paraId="57210AC1">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（3）调试与校准</w:t>
            </w:r>
          </w:p>
          <w:p w14:paraId="38F0451D">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①点亮测试：安装完成后进行点亮测试，检查是否有坏点、色差或亮度不均。</w:t>
            </w:r>
          </w:p>
          <w:p w14:paraId="5D49B160">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②信号调试：确保信号传输稳定，画面无延迟或闪烁。</w:t>
            </w:r>
          </w:p>
          <w:p w14:paraId="1D482BAA">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（4）安全防护</w:t>
            </w:r>
          </w:p>
          <w:p w14:paraId="59603275">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①防水防尘：户外安装需确保屏幕和接线处防水防尘。</w:t>
            </w:r>
          </w:p>
          <w:p w14:paraId="4C3FE604">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②防火措施：使用阻燃材料，并配备消防设备。</w:t>
            </w:r>
          </w:p>
          <w:p w14:paraId="3F76BD54">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6.灯光工程</w:t>
            </w:r>
          </w:p>
          <w:p w14:paraId="204E0D9B">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（1）像素密度：根据主席台观看距离确定合适的像素密度（Pitch），确保画面清晰。</w:t>
            </w:r>
          </w:p>
          <w:p w14:paraId="3E68D117">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（2）对比度优化：提高对比度，确保画面层次感和细节表现。</w:t>
            </w:r>
          </w:p>
          <w:p w14:paraId="3F2E90A8">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（3）刷新率：提高刷新率，避免画面闪烁，尤其是在拍摄时。</w:t>
            </w:r>
          </w:p>
          <w:p w14:paraId="10688110">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7.扩声工程、声效工程</w:t>
            </w:r>
          </w:p>
          <w:p w14:paraId="1767B691">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（1）覆盖范围：根据场地大小和观众分布设计声场，确保声音均匀覆盖整个区域。</w:t>
            </w:r>
          </w:p>
          <w:p w14:paraId="37664D3A">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（2）内容匹配：根据</w:t>
            </w:r>
            <w:r>
              <w:rPr>
                <w:rFonts w:hint="eastAsia" w:ascii="宋体" w:hAnsi="宋体" w:cs="Times New Roman"/>
                <w:color w:val="auto"/>
                <w:szCs w:val="21"/>
                <w:highlight w:val="none"/>
                <w:lang w:val="en-US" w:eastAsia="zh-CN"/>
              </w:rPr>
              <w:t>电子显示屏</w:t>
            </w:r>
            <w:r>
              <w:rPr>
                <w:rFonts w:hint="eastAsia" w:ascii="宋体" w:hAnsi="宋体" w:cs="Times New Roman"/>
                <w:color w:val="auto"/>
                <w:szCs w:val="21"/>
                <w:highlight w:val="none"/>
              </w:rPr>
              <w:t>显示的内容设计声效，确保声音与画面协调。</w:t>
            </w:r>
          </w:p>
          <w:p w14:paraId="180828F2">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（3）氛围营造：通过声效增强氛围，如使用环绕声或特效音提升沉浸感。</w:t>
            </w:r>
          </w:p>
          <w:p w14:paraId="51DC62B2">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（4）动态范围：确保声效的动态范围足够宽，既能表现细微的声音细节，又能呈现震撼的低音效果。</w:t>
            </w:r>
          </w:p>
          <w:p w14:paraId="17137607">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（5）室内环境：室内扩声系统需注意声学环境，避免回声和噪音干扰。</w:t>
            </w:r>
          </w:p>
          <w:p w14:paraId="604C0117">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（6）声场调试：使用专业设备调试声场，确保声音均匀覆盖。</w:t>
            </w:r>
          </w:p>
          <w:p w14:paraId="4830D082">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（7）反馈抑制：调试时注意抑制啸叫（反馈），确保声音清晰。</w:t>
            </w:r>
          </w:p>
          <w:p w14:paraId="666CA557">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8.展项消防工程</w:t>
            </w:r>
          </w:p>
          <w:p w14:paraId="278FE21B">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（1）防火材料选择</w:t>
            </w:r>
          </w:p>
          <w:p w14:paraId="5628E6E6">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①阻燃材料：</w:t>
            </w:r>
            <w:r>
              <w:rPr>
                <w:rFonts w:hint="eastAsia" w:ascii="宋体" w:hAnsi="宋体" w:cs="Times New Roman"/>
                <w:color w:val="auto"/>
                <w:szCs w:val="21"/>
                <w:highlight w:val="none"/>
                <w:lang w:val="en-US" w:eastAsia="zh-CN"/>
              </w:rPr>
              <w:t>电子显示屏</w:t>
            </w:r>
            <w:r>
              <w:rPr>
                <w:rFonts w:hint="eastAsia" w:ascii="宋体" w:hAnsi="宋体" w:cs="Times New Roman"/>
                <w:color w:val="auto"/>
                <w:szCs w:val="21"/>
                <w:highlight w:val="none"/>
              </w:rPr>
              <w:t>的框架、背板、线缆等应使用阻燃材料，降低火灾风险。</w:t>
            </w:r>
          </w:p>
          <w:p w14:paraId="1899B307">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②耐火等级：确保材料符合国家或行业规定的耐火等级标准。</w:t>
            </w:r>
          </w:p>
          <w:p w14:paraId="3980BAF3">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（2）电气安全</w:t>
            </w:r>
          </w:p>
          <w:p w14:paraId="15D82172">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①线路规范：电源线和信号线应分开布线，避免短路或过载。</w:t>
            </w:r>
          </w:p>
          <w:p w14:paraId="688649B3">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②过载保护：安装过载保护装置（如断路器），防止电流过大引发火灾。</w:t>
            </w:r>
          </w:p>
          <w:p w14:paraId="3CE47520">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③接地保护：确保设备接地良好，防止漏电或静电引发火灾。</w:t>
            </w:r>
          </w:p>
          <w:p w14:paraId="74970E5B">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（3）散热设计</w:t>
            </w:r>
          </w:p>
          <w:p w14:paraId="6BD43FD7">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①散热系统：</w:t>
            </w:r>
            <w:r>
              <w:rPr>
                <w:rFonts w:hint="eastAsia" w:ascii="宋体" w:hAnsi="宋体" w:cs="Times New Roman"/>
                <w:color w:val="auto"/>
                <w:szCs w:val="21"/>
                <w:highlight w:val="none"/>
                <w:lang w:val="en-US" w:eastAsia="zh-CN"/>
              </w:rPr>
              <w:t>电子显示屏</w:t>
            </w:r>
            <w:r>
              <w:rPr>
                <w:rFonts w:hint="eastAsia" w:ascii="宋体" w:hAnsi="宋体" w:cs="Times New Roman"/>
                <w:color w:val="auto"/>
                <w:szCs w:val="21"/>
                <w:highlight w:val="none"/>
              </w:rPr>
              <w:t>应配备有效的散热系统（如风扇、散热片等），避免因过热引发火灾。</w:t>
            </w:r>
          </w:p>
          <w:p w14:paraId="3303CC0F">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②通风设计：布展应做好通风扇热专用通道，安装排风扇，确保屏幕周围有足够的通风空间，避免热量积聚。</w:t>
            </w:r>
          </w:p>
          <w:p w14:paraId="5ED3909C">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（4）消防设备配置</w:t>
            </w:r>
          </w:p>
          <w:p w14:paraId="0FB9671E">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应于</w:t>
            </w:r>
            <w:r>
              <w:rPr>
                <w:rFonts w:hint="eastAsia" w:ascii="宋体" w:hAnsi="宋体" w:cs="Times New Roman"/>
                <w:color w:val="auto"/>
                <w:szCs w:val="21"/>
                <w:highlight w:val="none"/>
                <w:lang w:val="en-US" w:eastAsia="zh-CN"/>
              </w:rPr>
              <w:t>电子显示屏</w:t>
            </w:r>
            <w:r>
              <w:rPr>
                <w:rFonts w:hint="eastAsia" w:ascii="宋体" w:hAnsi="宋体" w:cs="Times New Roman"/>
                <w:color w:val="auto"/>
                <w:szCs w:val="21"/>
                <w:highlight w:val="none"/>
              </w:rPr>
              <w:t>下方和背面增加相应消防设施，保障消防安全，布展应避免破坏现有消防功能或消防防火分区变更，如现有消防功能遭破坏需重新布置或布展致使现有防火分区发生变更的，中标单位需办理消防报备工作，由此产生的费用由中标方负责。配备的消防设备如下：</w:t>
            </w:r>
          </w:p>
          <w:p w14:paraId="3DA11E50">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①灭火设备：在</w:t>
            </w:r>
            <w:r>
              <w:rPr>
                <w:rFonts w:hint="eastAsia" w:ascii="宋体" w:hAnsi="宋体" w:cs="Times New Roman"/>
                <w:color w:val="auto"/>
                <w:szCs w:val="21"/>
                <w:highlight w:val="none"/>
                <w:lang w:val="en-US" w:eastAsia="zh-CN"/>
              </w:rPr>
              <w:t>电子显示屏</w:t>
            </w:r>
            <w:r>
              <w:rPr>
                <w:rFonts w:hint="eastAsia" w:ascii="宋体" w:hAnsi="宋体" w:cs="Times New Roman"/>
                <w:color w:val="auto"/>
                <w:szCs w:val="21"/>
                <w:highlight w:val="none"/>
              </w:rPr>
              <w:t>附近配备灭火器、消防栓等设备，并确保易于取用。</w:t>
            </w:r>
          </w:p>
          <w:p w14:paraId="33362B93">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②自动灭火系统：</w:t>
            </w:r>
            <w:r>
              <w:rPr>
                <w:rFonts w:hint="eastAsia" w:ascii="宋体" w:hAnsi="宋体" w:cs="Times New Roman"/>
                <w:color w:val="auto"/>
                <w:szCs w:val="21"/>
                <w:highlight w:val="none"/>
                <w:lang w:val="en-US" w:eastAsia="zh-CN"/>
              </w:rPr>
              <w:t>电子显示屏</w:t>
            </w:r>
            <w:r>
              <w:rPr>
                <w:rFonts w:hint="eastAsia" w:ascii="宋体" w:hAnsi="宋体" w:cs="Times New Roman"/>
                <w:color w:val="auto"/>
                <w:szCs w:val="21"/>
                <w:highlight w:val="none"/>
              </w:rPr>
              <w:t>项目面积较大，可考虑安装自动灭火系统（如气体灭火系统）。</w:t>
            </w:r>
          </w:p>
          <w:p w14:paraId="1644746B">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③火灾报警系统：安装烟雾探测器或温度传感器，实时监测火灾风险。</w:t>
            </w:r>
          </w:p>
          <w:p w14:paraId="4A64F517">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（5）安装环境</w:t>
            </w:r>
          </w:p>
          <w:p w14:paraId="20BE4620">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①远离易燃物：</w:t>
            </w:r>
            <w:r>
              <w:rPr>
                <w:rFonts w:hint="eastAsia" w:ascii="宋体" w:hAnsi="宋体" w:cs="Times New Roman"/>
                <w:color w:val="auto"/>
                <w:szCs w:val="21"/>
                <w:highlight w:val="none"/>
                <w:lang w:val="en-US" w:eastAsia="zh-CN"/>
              </w:rPr>
              <w:t>电子显示屏</w:t>
            </w:r>
            <w:r>
              <w:rPr>
                <w:rFonts w:hint="eastAsia" w:ascii="宋体" w:hAnsi="宋体" w:cs="Times New Roman"/>
                <w:color w:val="auto"/>
                <w:szCs w:val="21"/>
                <w:highlight w:val="none"/>
              </w:rPr>
              <w:t>应远离易燃材料（如纸张、布料、木材等）。</w:t>
            </w:r>
          </w:p>
          <w:p w14:paraId="47265D15">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②防火隔离：在屏幕与易燃物之间设置防火隔离带或使用防火隔板。</w:t>
            </w:r>
          </w:p>
          <w:p w14:paraId="51007A96">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（6）应急措施</w:t>
            </w:r>
          </w:p>
          <w:p w14:paraId="1AFE321C">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①应急预案：制定详细的火灾应急预案，包括疏散路线、灭火步骤和人员分工。</w:t>
            </w:r>
          </w:p>
          <w:p w14:paraId="6073FC98">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②断电措施：在火灾发生时，能够快速切断</w:t>
            </w:r>
            <w:r>
              <w:rPr>
                <w:rFonts w:hint="eastAsia" w:ascii="宋体" w:hAnsi="宋体" w:cs="Times New Roman"/>
                <w:color w:val="auto"/>
                <w:szCs w:val="21"/>
                <w:highlight w:val="none"/>
                <w:lang w:val="en-US" w:eastAsia="zh-CN"/>
              </w:rPr>
              <w:t>电子显示屏</w:t>
            </w:r>
            <w:r>
              <w:rPr>
                <w:rFonts w:hint="eastAsia" w:ascii="宋体" w:hAnsi="宋体" w:cs="Times New Roman"/>
                <w:color w:val="auto"/>
                <w:szCs w:val="21"/>
                <w:highlight w:val="none"/>
              </w:rPr>
              <w:t>的电源。</w:t>
            </w:r>
          </w:p>
          <w:p w14:paraId="01BDF204">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③紧急照明：在安装场所配备应急照明设备，确保火灾时人员安全疏散。</w:t>
            </w:r>
          </w:p>
          <w:p w14:paraId="6FDDB1E9">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（7）合规性</w:t>
            </w:r>
          </w:p>
          <w:p w14:paraId="76F5382E">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①符合标准：消防工程需符合国家和地方的消防安全标准。</w:t>
            </w:r>
          </w:p>
          <w:p w14:paraId="4E924B02">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②验收要求：消防工程完成后，需通过相关部门的验收，确保符合消防安全要求。</w:t>
            </w:r>
          </w:p>
          <w:p w14:paraId="59C72DFB">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9.机房建设</w:t>
            </w:r>
          </w:p>
          <w:p w14:paraId="498A30E2">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为适配</w:t>
            </w:r>
            <w:r>
              <w:rPr>
                <w:rFonts w:hint="eastAsia" w:ascii="宋体" w:hAnsi="宋体" w:cs="Times New Roman"/>
                <w:color w:val="auto"/>
                <w:szCs w:val="21"/>
                <w:highlight w:val="none"/>
                <w:lang w:val="en-US" w:eastAsia="zh-CN"/>
              </w:rPr>
              <w:t>电子显示屏</w:t>
            </w:r>
            <w:r>
              <w:rPr>
                <w:rFonts w:hint="eastAsia" w:ascii="宋体" w:hAnsi="宋体" w:cs="Times New Roman"/>
                <w:color w:val="auto"/>
                <w:szCs w:val="21"/>
                <w:highlight w:val="none"/>
              </w:rPr>
              <w:t>、数字沙盘改造项目，设备间需增加相应面积，用于摆放配套设备，设备应合理布置，电源线和信号线应分开铺设，避免电磁干扰，线缆需整齐排列。</w:t>
            </w:r>
          </w:p>
          <w:p w14:paraId="23C30541">
            <w:pPr>
              <w:keepNext w:val="0"/>
              <w:keepLines w:val="0"/>
              <w:widowControl/>
              <w:suppressLineNumbers w:val="0"/>
              <w:spacing w:before="0" w:beforeAutospacing="0" w:after="0" w:afterAutospacing="0" w:line="312" w:lineRule="auto"/>
              <w:ind w:left="0" w:right="0" w:firstLine="420" w:firstLineChars="200"/>
              <w:jc w:val="left"/>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rPr>
              <w:t>七、本项目所使用多媒体设备参考附件《南宁市城市规划展示馆布展内容升级改造项目多媒体设备主要技术列表》，投标人拟用设备技术参数必须满足或者优于《南宁市城市规划展示馆布展内容升级改造项目多媒体设备主要技术列表》所列设备技术参数，中标后可以根据深化设计效果或使用要求增减。最终经采购人审核批准后方可使用。</w:t>
            </w:r>
            <w:r>
              <w:rPr>
                <w:rFonts w:hint="eastAsia" w:ascii="宋体" w:hAnsi="宋体" w:cs="Times New Roman"/>
                <w:b/>
                <w:bCs/>
                <w:color w:val="auto"/>
                <w:szCs w:val="21"/>
                <w:highlight w:val="none"/>
                <w:lang w:val="en-US" w:eastAsia="zh-CN"/>
              </w:rPr>
              <w:t>具体详见附件1。</w:t>
            </w:r>
          </w:p>
        </w:tc>
        <w:tc>
          <w:tcPr>
            <w:tcW w:w="1000" w:type="dxa"/>
            <w:tcBorders>
              <w:top w:val="single" w:color="auto" w:sz="4" w:space="0"/>
              <w:left w:val="nil"/>
              <w:bottom w:val="single" w:color="auto" w:sz="4" w:space="0"/>
              <w:right w:val="single" w:color="auto" w:sz="4" w:space="0"/>
            </w:tcBorders>
            <w:noWrap w:val="0"/>
            <w:vAlign w:val="center"/>
          </w:tcPr>
          <w:p w14:paraId="7E6F5601">
            <w:pPr>
              <w:keepNext w:val="0"/>
              <w:keepLines w:val="0"/>
              <w:suppressLineNumbers w:val="0"/>
              <w:spacing w:before="0" w:beforeAutospacing="0" w:after="0" w:afterAutospacing="0" w:line="400" w:lineRule="exact"/>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lang w:val="en-US" w:eastAsia="zh-CN"/>
              </w:rPr>
              <w:t>18184561.54</w:t>
            </w:r>
          </w:p>
        </w:tc>
        <w:tc>
          <w:tcPr>
            <w:tcW w:w="1121" w:type="dxa"/>
            <w:tcBorders>
              <w:top w:val="single" w:color="auto" w:sz="4" w:space="0"/>
              <w:left w:val="nil"/>
              <w:bottom w:val="single" w:color="auto" w:sz="4" w:space="0"/>
              <w:right w:val="single" w:color="auto" w:sz="4" w:space="0"/>
            </w:tcBorders>
            <w:noWrap w:val="0"/>
            <w:vAlign w:val="center"/>
          </w:tcPr>
          <w:p w14:paraId="020498ED">
            <w:pPr>
              <w:keepNext w:val="0"/>
              <w:keepLines w:val="0"/>
              <w:suppressLineNumbers w:val="0"/>
              <w:spacing w:before="0" w:beforeAutospacing="0" w:after="0" w:afterAutospacing="0" w:line="400" w:lineRule="exact"/>
              <w:ind w:left="0" w:right="0"/>
              <w:jc w:val="center"/>
              <w:rPr>
                <w:rFonts w:hint="default" w:ascii="宋体" w:hAnsi="宋体" w:cs="Times New Roman"/>
                <w:color w:val="auto"/>
                <w:szCs w:val="21"/>
                <w:highlight w:val="none"/>
              </w:rPr>
            </w:pPr>
            <w:r>
              <w:rPr>
                <w:rFonts w:hint="eastAsia" w:ascii="宋体" w:hAnsi="宋体" w:cs="Times New Roman"/>
                <w:color w:val="auto"/>
                <w:kern w:val="0"/>
                <w:szCs w:val="21"/>
                <w:highlight w:val="none"/>
              </w:rPr>
              <w:t>其它未列明行业</w:t>
            </w:r>
          </w:p>
        </w:tc>
      </w:tr>
      <w:tr w14:paraId="7BB207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7"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top"/>
          </w:tcPr>
          <w:p w14:paraId="7D9F849A">
            <w:pPr>
              <w:keepNext w:val="0"/>
              <w:keepLines w:val="0"/>
              <w:suppressLineNumbers w:val="0"/>
              <w:spacing w:before="0" w:beforeAutospacing="0" w:after="0" w:afterAutospacing="0" w:line="400" w:lineRule="exact"/>
              <w:ind w:left="0" w:right="0"/>
              <w:jc w:val="center"/>
              <w:rPr>
                <w:rFonts w:hint="default" w:ascii="宋体" w:hAnsi="宋体" w:cs="Times New Roman"/>
                <w:color w:val="auto"/>
                <w:szCs w:val="21"/>
                <w:highlight w:val="none"/>
              </w:rPr>
            </w:pPr>
          </w:p>
          <w:p w14:paraId="53BF3B90">
            <w:pPr>
              <w:keepNext w:val="0"/>
              <w:keepLines w:val="0"/>
              <w:suppressLineNumbers w:val="0"/>
              <w:spacing w:before="0" w:beforeAutospacing="0" w:after="0" w:afterAutospacing="0" w:line="400" w:lineRule="exact"/>
              <w:ind w:left="0" w:right="0"/>
              <w:jc w:val="center"/>
              <w:rPr>
                <w:rFonts w:hint="default" w:ascii="宋体" w:hAnsi="宋体" w:cs="Times New Roman"/>
                <w:color w:val="auto"/>
                <w:highlight w:val="none"/>
              </w:rPr>
            </w:pPr>
          </w:p>
          <w:p w14:paraId="3937B3A3">
            <w:pPr>
              <w:keepNext w:val="0"/>
              <w:keepLines w:val="0"/>
              <w:suppressLineNumbers w:val="0"/>
              <w:spacing w:before="0" w:beforeAutospacing="0" w:after="0" w:afterAutospacing="0" w:line="400" w:lineRule="exact"/>
              <w:ind w:left="0" w:right="0"/>
              <w:jc w:val="center"/>
              <w:rPr>
                <w:rFonts w:hint="default" w:ascii="宋体" w:hAnsi="宋体" w:eastAsia="宋体" w:cs="Times New Roman"/>
                <w:color w:val="auto"/>
                <w:highlight w:val="none"/>
                <w:lang w:val="en-US" w:eastAsia="zh-CN"/>
              </w:rPr>
            </w:pPr>
            <w:r>
              <w:rPr>
                <w:rFonts w:hint="eastAsia" w:ascii="宋体" w:hAnsi="宋体" w:cs="Times New Roman"/>
                <w:color w:val="auto"/>
                <w:highlight w:val="none"/>
                <w:lang w:val="en-US" w:eastAsia="zh-CN"/>
              </w:rPr>
              <w:t>二、</w:t>
            </w:r>
          </w:p>
          <w:p w14:paraId="761AF732">
            <w:pPr>
              <w:keepNext w:val="0"/>
              <w:keepLines w:val="0"/>
              <w:suppressLineNumbers w:val="0"/>
              <w:spacing w:before="0" w:beforeAutospacing="0" w:after="0" w:afterAutospacing="0" w:line="400" w:lineRule="exact"/>
              <w:ind w:left="0" w:right="0"/>
              <w:jc w:val="center"/>
              <w:rPr>
                <w:rFonts w:hint="default" w:ascii="宋体" w:hAnsi="宋体" w:cs="Times New Roman"/>
                <w:color w:val="auto"/>
                <w:szCs w:val="21"/>
                <w:highlight w:val="none"/>
              </w:rPr>
            </w:pPr>
            <w:r>
              <w:rPr>
                <w:rFonts w:hint="eastAsia" w:ascii="宋体" w:hAnsi="宋体" w:cs="Times New Roman"/>
                <w:color w:val="auto"/>
                <w:highlight w:val="none"/>
              </w:rPr>
              <w:t>商务条款</w:t>
            </w:r>
          </w:p>
        </w:tc>
        <w:tc>
          <w:tcPr>
            <w:tcW w:w="9576" w:type="dxa"/>
            <w:gridSpan w:val="7"/>
            <w:tcBorders>
              <w:top w:val="single" w:color="auto" w:sz="4" w:space="0"/>
              <w:left w:val="nil"/>
              <w:bottom w:val="single" w:color="auto" w:sz="4" w:space="0"/>
              <w:right w:val="single" w:color="auto" w:sz="4" w:space="0"/>
            </w:tcBorders>
            <w:noWrap w:val="0"/>
            <w:vAlign w:val="center"/>
          </w:tcPr>
          <w:p w14:paraId="40C5E5C4">
            <w:pPr>
              <w:keepNext w:val="0"/>
              <w:keepLines w:val="0"/>
              <w:widowControl/>
              <w:suppressLineNumbers w:val="0"/>
              <w:shd w:val="clear" w:color="auto" w:fill="FFFFFF"/>
              <w:spacing w:before="0" w:beforeAutospacing="0" w:after="0" w:afterAutospacing="0" w:line="330" w:lineRule="atLeast"/>
              <w:ind w:left="0" w:right="0"/>
              <w:rPr>
                <w:rFonts w:hint="eastAsia" w:ascii="宋体" w:hAnsi="宋体" w:cs="Times New Roman"/>
                <w:color w:val="auto"/>
                <w:szCs w:val="22"/>
                <w:highlight w:val="none"/>
              </w:rPr>
            </w:pPr>
            <w:r>
              <w:rPr>
                <w:rFonts w:hint="eastAsia" w:ascii="宋体" w:hAnsi="宋体" w:cs="Times New Roman"/>
                <w:color w:val="auto"/>
                <w:highlight w:val="none"/>
              </w:rPr>
              <w:t>一、合同签订期：自中标通知书发出之日起</w:t>
            </w:r>
            <w:r>
              <w:rPr>
                <w:rFonts w:hint="eastAsia" w:ascii="宋体" w:hAnsi="宋体" w:cs="Times New Roman"/>
                <w:color w:val="auto"/>
                <w:highlight w:val="none"/>
                <w:u w:val="single"/>
              </w:rPr>
              <w:t xml:space="preserve">  7个工作日 </w:t>
            </w:r>
            <w:r>
              <w:rPr>
                <w:rFonts w:hint="eastAsia" w:ascii="宋体" w:hAnsi="宋体" w:cs="Times New Roman"/>
                <w:color w:val="auto"/>
                <w:highlight w:val="none"/>
              </w:rPr>
              <w:t>内。</w:t>
            </w:r>
          </w:p>
          <w:p w14:paraId="32EC9862">
            <w:pPr>
              <w:keepNext w:val="0"/>
              <w:keepLines w:val="0"/>
              <w:widowControl/>
              <w:suppressLineNumbers w:val="0"/>
              <w:shd w:val="clear" w:color="auto" w:fill="FFFFFF"/>
              <w:spacing w:before="0" w:beforeAutospacing="0" w:after="0" w:afterAutospacing="0" w:line="330" w:lineRule="atLeast"/>
              <w:ind w:left="0" w:right="0"/>
              <w:rPr>
                <w:rFonts w:hint="eastAsia" w:ascii="宋体" w:hAnsi="宋体" w:cs="Times New Roman"/>
                <w:bCs/>
                <w:color w:val="auto"/>
                <w:highlight w:val="none"/>
              </w:rPr>
            </w:pPr>
            <w:r>
              <w:rPr>
                <w:rFonts w:hint="eastAsia" w:ascii="宋体" w:hAnsi="宋体" w:cs="Times New Roman"/>
                <w:color w:val="auto"/>
                <w:szCs w:val="21"/>
                <w:highlight w:val="none"/>
              </w:rPr>
              <w:t>▲</w:t>
            </w:r>
            <w:r>
              <w:rPr>
                <w:rFonts w:hint="eastAsia" w:ascii="宋体" w:hAnsi="宋体" w:cs="Times New Roman"/>
                <w:color w:val="auto"/>
                <w:highlight w:val="none"/>
              </w:rPr>
              <w:t>二、</w:t>
            </w:r>
            <w:r>
              <w:rPr>
                <w:rFonts w:hint="eastAsia" w:ascii="宋体" w:hAnsi="宋体" w:cs="Times New Roman"/>
                <w:bCs/>
                <w:color w:val="auto"/>
                <w:highlight w:val="none"/>
              </w:rPr>
              <w:t>提交服务成果时间</w:t>
            </w:r>
          </w:p>
          <w:p w14:paraId="1764FD23">
            <w:pPr>
              <w:keepNext w:val="0"/>
              <w:keepLines w:val="0"/>
              <w:widowControl/>
              <w:suppressLineNumbers w:val="0"/>
              <w:shd w:val="clear" w:color="auto" w:fill="FFFFFF"/>
              <w:spacing w:before="0" w:beforeAutospacing="0" w:after="0" w:afterAutospacing="0" w:line="330" w:lineRule="atLeast"/>
              <w:ind w:left="0" w:right="0"/>
              <w:rPr>
                <w:rFonts w:hint="eastAsia" w:ascii="宋体" w:hAnsi="宋体" w:cs="Times New Roman"/>
                <w:color w:val="auto"/>
                <w:szCs w:val="21"/>
                <w:highlight w:val="none"/>
              </w:rPr>
            </w:pPr>
            <w:r>
              <w:rPr>
                <w:rFonts w:hint="eastAsia" w:ascii="宋体" w:hAnsi="宋体" w:cs="Times New Roman"/>
                <w:bCs/>
                <w:color w:val="auto"/>
                <w:highlight w:val="none"/>
              </w:rPr>
              <w:t>（一）布展策划：</w:t>
            </w:r>
            <w:r>
              <w:rPr>
                <w:rFonts w:hint="eastAsia" w:ascii="宋体" w:hAnsi="宋体" w:cs="Times New Roman"/>
                <w:color w:val="auto"/>
                <w:szCs w:val="21"/>
                <w:highlight w:val="none"/>
              </w:rPr>
              <w:t>从签订合同之日起</w:t>
            </w:r>
            <w:r>
              <w:rPr>
                <w:rFonts w:hint="eastAsia" w:ascii="宋体" w:hAnsi="宋体" w:cs="Times New Roman"/>
                <w:color w:val="auto"/>
                <w:szCs w:val="21"/>
                <w:highlight w:val="none"/>
                <w:u w:val="single"/>
              </w:rPr>
              <w:t xml:space="preserve"> </w:t>
            </w:r>
            <w:r>
              <w:rPr>
                <w:rFonts w:hint="eastAsia" w:ascii="宋体" w:hAnsi="宋体" w:cs="Times New Roman"/>
                <w:color w:val="auto"/>
                <w:szCs w:val="21"/>
                <w:highlight w:val="none"/>
                <w:u w:val="single"/>
                <w:lang w:val="en-US" w:eastAsia="zh-CN"/>
              </w:rPr>
              <w:t>5</w:t>
            </w:r>
            <w:r>
              <w:rPr>
                <w:rFonts w:hint="eastAsia" w:ascii="宋体" w:hAnsi="宋体" w:cs="Times New Roman"/>
                <w:color w:val="auto"/>
                <w:szCs w:val="21"/>
                <w:highlight w:val="none"/>
                <w:u w:val="single"/>
              </w:rPr>
              <w:t xml:space="preserve">个日历日 </w:t>
            </w:r>
            <w:r>
              <w:rPr>
                <w:rFonts w:hint="eastAsia" w:ascii="宋体" w:hAnsi="宋体" w:cs="Times New Roman"/>
                <w:color w:val="auto"/>
                <w:szCs w:val="21"/>
                <w:highlight w:val="none"/>
              </w:rPr>
              <w:t>内完成</w:t>
            </w:r>
            <w:r>
              <w:rPr>
                <w:rFonts w:hint="eastAsia" w:ascii="宋体" w:hAnsi="宋体" w:cs="Times New Roman"/>
                <w:color w:val="auto"/>
                <w:szCs w:val="21"/>
                <w:highlight w:val="none"/>
                <w:lang w:eastAsia="zh-CN"/>
              </w:rPr>
              <w:t>总体</w:t>
            </w:r>
            <w:r>
              <w:rPr>
                <w:rFonts w:hint="eastAsia" w:ascii="宋体" w:hAnsi="宋体" w:cs="Times New Roman"/>
                <w:color w:val="auto"/>
                <w:szCs w:val="21"/>
                <w:highlight w:val="none"/>
              </w:rPr>
              <w:t>布展策划方案并提交；</w:t>
            </w:r>
          </w:p>
          <w:p w14:paraId="56CB0B90">
            <w:pPr>
              <w:keepNext w:val="0"/>
              <w:keepLines w:val="0"/>
              <w:widowControl/>
              <w:suppressLineNumbers w:val="0"/>
              <w:shd w:val="clear" w:color="auto" w:fill="FFFFFF"/>
              <w:spacing w:before="0" w:beforeAutospacing="0" w:after="0" w:afterAutospacing="0" w:line="330" w:lineRule="atLeast"/>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（二）</w:t>
            </w:r>
            <w:r>
              <w:rPr>
                <w:rFonts w:hint="eastAsia" w:ascii="宋体" w:hAnsi="宋体" w:cs="Times New Roman"/>
                <w:bCs/>
                <w:snapToGrid w:val="0"/>
                <w:color w:val="auto"/>
                <w:kern w:val="0"/>
                <w:szCs w:val="21"/>
                <w:highlight w:val="none"/>
              </w:rPr>
              <w:t>布展设计：</w:t>
            </w:r>
            <w:r>
              <w:rPr>
                <w:rFonts w:hint="eastAsia" w:ascii="宋体" w:hAnsi="宋体" w:cs="Times New Roman"/>
                <w:bCs/>
                <w:color w:val="auto"/>
                <w:highlight w:val="none"/>
              </w:rPr>
              <w:t>布展策划方案</w:t>
            </w:r>
            <w:r>
              <w:rPr>
                <w:rFonts w:hint="eastAsia" w:ascii="宋体" w:hAnsi="宋体" w:cs="Times New Roman"/>
                <w:bCs/>
                <w:snapToGrid w:val="0"/>
                <w:color w:val="auto"/>
                <w:kern w:val="0"/>
                <w:szCs w:val="21"/>
                <w:highlight w:val="none"/>
              </w:rPr>
              <w:t>经招标人确认后</w:t>
            </w:r>
            <w:r>
              <w:rPr>
                <w:rFonts w:hint="eastAsia" w:ascii="宋体" w:hAnsi="宋体" w:cs="Times New Roman"/>
                <w:bCs/>
                <w:snapToGrid w:val="0"/>
                <w:color w:val="auto"/>
                <w:kern w:val="0"/>
                <w:szCs w:val="21"/>
                <w:highlight w:val="none"/>
                <w:u w:val="single"/>
              </w:rPr>
              <w:t xml:space="preserve"> </w:t>
            </w:r>
            <w:r>
              <w:rPr>
                <w:rFonts w:hint="eastAsia" w:ascii="宋体" w:hAnsi="宋体" w:cs="Times New Roman"/>
                <w:bCs/>
                <w:snapToGrid w:val="0"/>
                <w:color w:val="auto"/>
                <w:kern w:val="0"/>
                <w:szCs w:val="21"/>
                <w:highlight w:val="none"/>
                <w:u w:val="single"/>
                <w:lang w:val="en-US" w:eastAsia="zh-CN"/>
              </w:rPr>
              <w:t>10</w:t>
            </w:r>
            <w:r>
              <w:rPr>
                <w:rFonts w:hint="eastAsia" w:ascii="宋体" w:hAnsi="宋体" w:cs="Times New Roman"/>
                <w:bCs/>
                <w:snapToGrid w:val="0"/>
                <w:color w:val="auto"/>
                <w:kern w:val="0"/>
                <w:szCs w:val="21"/>
                <w:highlight w:val="none"/>
                <w:u w:val="single"/>
              </w:rPr>
              <w:t>个日历</w:t>
            </w:r>
            <w:r>
              <w:rPr>
                <w:rFonts w:hint="eastAsia" w:ascii="宋体" w:hAnsi="宋体" w:cs="Times New Roman"/>
                <w:color w:val="auto"/>
                <w:szCs w:val="21"/>
                <w:highlight w:val="none"/>
                <w:u w:val="single"/>
              </w:rPr>
              <w:t xml:space="preserve">日 </w:t>
            </w:r>
            <w:r>
              <w:rPr>
                <w:rFonts w:hint="eastAsia" w:ascii="宋体" w:hAnsi="宋体" w:cs="Times New Roman"/>
                <w:bCs/>
                <w:snapToGrid w:val="0"/>
                <w:color w:val="auto"/>
                <w:kern w:val="0"/>
                <w:szCs w:val="21"/>
                <w:highlight w:val="none"/>
              </w:rPr>
              <w:t>内提交布展设计方案、概算编制报告；</w:t>
            </w:r>
          </w:p>
          <w:p w14:paraId="7F2FF5A0">
            <w:pPr>
              <w:keepNext w:val="0"/>
              <w:keepLines w:val="0"/>
              <w:widowControl/>
              <w:suppressLineNumbers w:val="0"/>
              <w:shd w:val="clear" w:color="auto" w:fill="FFFFFF"/>
              <w:spacing w:before="0" w:beforeAutospacing="0" w:after="0" w:afterAutospacing="0" w:line="330" w:lineRule="atLeast"/>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（三）施工图绘制：</w:t>
            </w:r>
            <w:r>
              <w:rPr>
                <w:rFonts w:hint="eastAsia" w:ascii="宋体" w:hAnsi="宋体" w:cs="Times New Roman"/>
                <w:bCs/>
                <w:snapToGrid w:val="0"/>
                <w:color w:val="auto"/>
                <w:kern w:val="0"/>
                <w:szCs w:val="21"/>
                <w:highlight w:val="none"/>
              </w:rPr>
              <w:t>布展设计方案</w:t>
            </w:r>
            <w:r>
              <w:rPr>
                <w:rFonts w:hint="eastAsia" w:ascii="宋体" w:hAnsi="宋体" w:cs="Times New Roman"/>
                <w:color w:val="auto"/>
                <w:szCs w:val="21"/>
                <w:highlight w:val="none"/>
              </w:rPr>
              <w:t>经招标人确认后</w:t>
            </w:r>
            <w:r>
              <w:rPr>
                <w:rFonts w:hint="eastAsia" w:ascii="宋体" w:hAnsi="宋体" w:cs="Times New Roman"/>
                <w:color w:val="auto"/>
                <w:szCs w:val="21"/>
                <w:highlight w:val="none"/>
                <w:u w:val="single"/>
              </w:rPr>
              <w:t xml:space="preserve"> </w:t>
            </w:r>
            <w:r>
              <w:rPr>
                <w:rFonts w:hint="eastAsia" w:ascii="宋体" w:hAnsi="宋体" w:cs="Times New Roman"/>
                <w:color w:val="auto"/>
                <w:szCs w:val="21"/>
                <w:highlight w:val="none"/>
                <w:u w:val="single"/>
                <w:lang w:val="en-US" w:eastAsia="zh-CN"/>
              </w:rPr>
              <w:t>15</w:t>
            </w:r>
            <w:r>
              <w:rPr>
                <w:rFonts w:hint="eastAsia" w:ascii="宋体" w:hAnsi="宋体" w:cs="Times New Roman"/>
                <w:color w:val="auto"/>
                <w:szCs w:val="21"/>
                <w:highlight w:val="none"/>
                <w:u w:val="single"/>
              </w:rPr>
              <w:t xml:space="preserve">个日历日 </w:t>
            </w:r>
            <w:r>
              <w:rPr>
                <w:rFonts w:hint="eastAsia" w:ascii="宋体" w:hAnsi="宋体" w:cs="Times New Roman"/>
                <w:color w:val="auto"/>
                <w:szCs w:val="21"/>
                <w:highlight w:val="none"/>
              </w:rPr>
              <w:t>内提交施工图绘制文件；</w:t>
            </w:r>
          </w:p>
          <w:p w14:paraId="7D08A2DC">
            <w:pPr>
              <w:keepNext w:val="0"/>
              <w:keepLines w:val="0"/>
              <w:widowControl/>
              <w:suppressLineNumbers w:val="0"/>
              <w:shd w:val="clear" w:color="auto" w:fill="FFFFFF"/>
              <w:spacing w:before="0" w:beforeAutospacing="0" w:after="0" w:afterAutospacing="0" w:line="330" w:lineRule="atLeas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（四）项目总工期：控制在</w:t>
            </w:r>
            <w:r>
              <w:rPr>
                <w:rFonts w:hint="eastAsia" w:ascii="宋体" w:hAnsi="宋体" w:cs="Times New Roman"/>
                <w:color w:val="auto"/>
                <w:szCs w:val="21"/>
                <w:highlight w:val="none"/>
                <w:u w:val="single"/>
                <w:lang w:val="en-US" w:eastAsia="zh-CN"/>
              </w:rPr>
              <w:t xml:space="preserve"> 65</w:t>
            </w:r>
            <w:r>
              <w:rPr>
                <w:rFonts w:hint="eastAsia" w:ascii="宋体" w:hAnsi="宋体" w:cs="Times New Roman"/>
                <w:color w:val="auto"/>
                <w:szCs w:val="21"/>
                <w:highlight w:val="none"/>
                <w:u w:val="single"/>
              </w:rPr>
              <w:t xml:space="preserve">个日历日 </w:t>
            </w:r>
            <w:r>
              <w:rPr>
                <w:rFonts w:hint="eastAsia" w:ascii="宋体" w:hAnsi="宋体" w:cs="Times New Roman"/>
                <w:color w:val="auto"/>
                <w:szCs w:val="21"/>
                <w:highlight w:val="none"/>
              </w:rPr>
              <w:t>。</w:t>
            </w:r>
          </w:p>
          <w:p w14:paraId="0BBA643B">
            <w:pPr>
              <w:keepNext w:val="0"/>
              <w:keepLines w:val="0"/>
              <w:widowControl/>
              <w:numPr>
                <w:ilvl w:val="0"/>
                <w:numId w:val="2"/>
              </w:numPr>
              <w:suppressLineNumbers w:val="0"/>
              <w:shd w:val="clear" w:color="auto" w:fill="FFFFFF"/>
              <w:spacing w:before="0" w:beforeAutospacing="0" w:after="0" w:afterAutospacing="0" w:line="330" w:lineRule="atLeast"/>
              <w:ind w:left="0" w:right="0"/>
              <w:rPr>
                <w:rFonts w:hint="eastAsia" w:ascii="宋体" w:hAnsi="宋体" w:cs="Times New Roman"/>
                <w:bCs/>
                <w:color w:val="auto"/>
                <w:highlight w:val="none"/>
                <w:u w:val="single"/>
              </w:rPr>
            </w:pPr>
            <w:r>
              <w:rPr>
                <w:rFonts w:hint="eastAsia" w:ascii="宋体" w:hAnsi="宋体" w:cs="Times New Roman"/>
                <w:bCs/>
                <w:color w:val="auto"/>
                <w:highlight w:val="none"/>
              </w:rPr>
              <w:t>提交服务成果地点：</w:t>
            </w:r>
            <w:r>
              <w:rPr>
                <w:rFonts w:hint="eastAsia" w:ascii="宋体" w:hAnsi="宋体" w:cs="Times New Roman"/>
                <w:bCs/>
                <w:color w:val="auto"/>
                <w:highlight w:val="none"/>
                <w:u w:val="single"/>
              </w:rPr>
              <w:t xml:space="preserve"> 南宁市凤岭南路3号 </w:t>
            </w:r>
          </w:p>
          <w:p w14:paraId="604BA393">
            <w:pPr>
              <w:keepNext w:val="0"/>
              <w:keepLines w:val="0"/>
              <w:suppressLineNumbers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▲四、提交成果产权和布展标准要求</w:t>
            </w:r>
          </w:p>
          <w:p w14:paraId="658AD0DB">
            <w:pPr>
              <w:keepNext w:val="0"/>
              <w:keepLines w:val="0"/>
              <w:suppressLineNumbers w:val="0"/>
              <w:spacing w:before="0" w:beforeAutospacing="0" w:after="0" w:afterAutospacing="0"/>
              <w:ind w:left="0" w:right="0" w:firstLine="420" w:firstLineChars="200"/>
              <w:rPr>
                <w:rFonts w:hint="eastAsia" w:ascii="宋体" w:hAnsi="宋体" w:cs="Times New Roman"/>
                <w:color w:val="auto"/>
                <w:szCs w:val="21"/>
                <w:highlight w:val="none"/>
              </w:rPr>
            </w:pPr>
            <w:r>
              <w:rPr>
                <w:rFonts w:hint="eastAsia" w:ascii="宋体" w:hAnsi="宋体" w:cs="Times New Roman"/>
                <w:color w:val="auto"/>
                <w:szCs w:val="21"/>
                <w:highlight w:val="none"/>
              </w:rPr>
              <w:t>本项目策划、设计和施工全程各阶段所提供成果</w:t>
            </w:r>
            <w:r>
              <w:rPr>
                <w:rFonts w:hint="eastAsia" w:ascii="宋体" w:hAnsi="宋体" w:cs="Times New Roman"/>
                <w:bCs/>
                <w:color w:val="auto"/>
                <w:highlight w:val="none"/>
              </w:rPr>
              <w:t>与技术</w:t>
            </w:r>
            <w:r>
              <w:rPr>
                <w:rFonts w:hint="eastAsia" w:ascii="宋体" w:hAnsi="宋体" w:cs="Times New Roman"/>
                <w:color w:val="auto"/>
                <w:szCs w:val="21"/>
                <w:highlight w:val="none"/>
              </w:rPr>
              <w:t>（含源文件）应符合国家行业相关标准、规范及规定，应保证所提交成果或其任何一部分均不会侵犯任何第三方的专利权、商标权或著作权等；保证所交付成果的所有权完全属于采购人且无任何纠纷、抵押、查封等产权瑕疵；</w:t>
            </w:r>
            <w:r>
              <w:rPr>
                <w:rFonts w:hint="default" w:ascii="Times New Roman" w:hAnsi="Times New Roman" w:cs="Times New Roman"/>
                <w:color w:val="auto"/>
                <w:highlight w:val="none"/>
              </w:rPr>
              <w:t>中标单位不得以任何形式向采购人以外的任何单位或个人提供涉及本服务项目的任何资料</w:t>
            </w:r>
            <w:r>
              <w:rPr>
                <w:rFonts w:hint="eastAsia" w:ascii="Times New Roman" w:hAnsi="Times New Roman" w:cs="Times New Roman"/>
                <w:color w:val="auto"/>
                <w:highlight w:val="none"/>
              </w:rPr>
              <w:t>（</w:t>
            </w:r>
            <w:r>
              <w:rPr>
                <w:rFonts w:hint="default" w:ascii="Times New Roman" w:hAnsi="Times New Roman" w:cs="Times New Roman"/>
                <w:color w:val="auto"/>
                <w:highlight w:val="none"/>
              </w:rPr>
              <w:t>包括但不限于电子档案、图纸、技术和设计创意等</w:t>
            </w:r>
            <w:r>
              <w:rPr>
                <w:rFonts w:hint="eastAsia" w:ascii="Times New Roman" w:hAnsi="Times New Roman" w:cs="Times New Roman"/>
                <w:color w:val="auto"/>
                <w:highlight w:val="none"/>
              </w:rPr>
              <w:t>）；</w:t>
            </w:r>
            <w:r>
              <w:rPr>
                <w:rFonts w:hint="eastAsia" w:ascii="宋体" w:hAnsi="宋体" w:cs="Times New Roman"/>
                <w:color w:val="auto"/>
                <w:szCs w:val="21"/>
                <w:highlight w:val="none"/>
              </w:rPr>
              <w:t>成果交付后产权归采购人所有。</w:t>
            </w:r>
          </w:p>
          <w:p w14:paraId="116F9C51">
            <w:pPr>
              <w:keepNext w:val="0"/>
              <w:keepLines w:val="0"/>
              <w:suppressLineNumbers w:val="0"/>
              <w:spacing w:before="0" w:beforeAutospacing="0" w:after="0" w:afterAutospacing="0"/>
              <w:ind w:left="0" w:right="0" w:firstLine="411" w:firstLineChars="196"/>
              <w:rPr>
                <w:rFonts w:hint="eastAsia" w:ascii="宋体" w:hAnsi="宋体" w:cs="Times New Roman"/>
                <w:color w:val="auto"/>
                <w:szCs w:val="21"/>
                <w:highlight w:val="none"/>
              </w:rPr>
            </w:pPr>
            <w:r>
              <w:rPr>
                <w:rFonts w:hint="eastAsia" w:ascii="宋体" w:hAnsi="宋体" w:cs="Times New Roman"/>
                <w:color w:val="auto"/>
                <w:szCs w:val="21"/>
                <w:highlight w:val="none"/>
              </w:rPr>
              <w:t>本项目布展设计和施工严格遵循国家有关部门政策法规，若中标方使用的标准在本招标文件的规定外，则应明确说明用于替代的标准或使用规范、并提供所使用的标准，该标准必须是国际公认的同等或更高级标准。</w:t>
            </w:r>
          </w:p>
          <w:p w14:paraId="338AD61A">
            <w:pPr>
              <w:keepNext w:val="0"/>
              <w:keepLines w:val="0"/>
              <w:suppressLineNumbers w:val="0"/>
              <w:spacing w:before="0" w:beforeAutospacing="0" w:after="0" w:afterAutospacing="0"/>
              <w:ind w:left="0" w:right="0"/>
              <w:rPr>
                <w:rFonts w:hint="eastAsia" w:ascii="宋体" w:hAnsi="宋体" w:cs="Times New Roman"/>
                <w:bCs/>
                <w:color w:val="auto"/>
                <w:highlight w:val="none"/>
              </w:rPr>
            </w:pPr>
            <w:r>
              <w:rPr>
                <w:rFonts w:hint="eastAsia" w:ascii="宋体" w:hAnsi="宋体" w:cs="Times New Roman"/>
                <w:color w:val="auto"/>
                <w:szCs w:val="21"/>
                <w:highlight w:val="none"/>
              </w:rPr>
              <w:t>▲五、</w:t>
            </w:r>
            <w:r>
              <w:rPr>
                <w:rFonts w:hint="eastAsia" w:ascii="宋体" w:hAnsi="宋体" w:cs="Times New Roman"/>
                <w:bCs/>
                <w:color w:val="auto"/>
                <w:highlight w:val="none"/>
              </w:rPr>
              <w:t>售后服务要求</w:t>
            </w:r>
          </w:p>
          <w:p w14:paraId="1261CC7B">
            <w:pPr>
              <w:keepNext w:val="0"/>
              <w:keepLines w:val="0"/>
              <w:suppressLineNumbers w:val="0"/>
              <w:spacing w:before="0" w:beforeAutospacing="0" w:after="0" w:afterAutospacing="0"/>
              <w:ind w:left="0" w:right="0"/>
              <w:rPr>
                <w:rFonts w:hint="eastAsia" w:ascii="宋体" w:hAnsi="宋体" w:cs="Times New Roman"/>
                <w:bCs/>
                <w:color w:val="auto"/>
                <w:highlight w:val="none"/>
              </w:rPr>
            </w:pPr>
            <w:r>
              <w:rPr>
                <w:rFonts w:hint="eastAsia" w:ascii="宋体" w:hAnsi="宋体" w:cs="Times New Roman"/>
                <w:color w:val="auto"/>
                <w:szCs w:val="21"/>
                <w:highlight w:val="none"/>
              </w:rPr>
              <w:t>（一）中标方需对采购人技术人员提供专业培训，直到受训人员熟练掌握原理、操作、维修保养技术等，培训相关费用由中标人负责。</w:t>
            </w:r>
          </w:p>
          <w:p w14:paraId="00215424">
            <w:pPr>
              <w:keepNext w:val="0"/>
              <w:keepLines w:val="0"/>
              <w:widowControl/>
              <w:suppressLineNumbers w:val="0"/>
              <w:shd w:val="clear" w:color="auto" w:fill="FFFFFF"/>
              <w:spacing w:before="0" w:beforeAutospacing="0" w:after="0" w:afterAutospacing="0" w:line="330" w:lineRule="atLeast"/>
              <w:ind w:left="0" w:right="0"/>
              <w:rPr>
                <w:rFonts w:hint="eastAsia" w:ascii="宋体" w:hAnsi="宋体" w:cs="Times New Roman"/>
                <w:bCs/>
                <w:color w:val="auto"/>
                <w:highlight w:val="none"/>
              </w:rPr>
            </w:pPr>
            <w:r>
              <w:rPr>
                <w:rFonts w:hint="eastAsia" w:ascii="宋体" w:hAnsi="宋体" w:cs="Times New Roman"/>
                <w:bCs/>
                <w:color w:val="auto"/>
                <w:highlight w:val="none"/>
              </w:rPr>
              <w:t>（二）项目质保期：</w:t>
            </w:r>
            <w:r>
              <w:rPr>
                <w:rFonts w:hint="eastAsia" w:ascii="宋体" w:hAnsi="宋体" w:cs="Times New Roman"/>
                <w:bCs/>
                <w:color w:val="auto"/>
                <w:highlight w:val="none"/>
                <w:u w:val="single"/>
              </w:rPr>
              <w:t xml:space="preserve"> 2 年 </w:t>
            </w:r>
            <w:r>
              <w:rPr>
                <w:rFonts w:hint="eastAsia" w:ascii="宋体" w:hAnsi="宋体" w:cs="Times New Roman"/>
                <w:bCs/>
                <w:color w:val="auto"/>
                <w:highlight w:val="none"/>
              </w:rPr>
              <w:t>（自提交服务验收合格之日起计）。</w:t>
            </w:r>
          </w:p>
          <w:p w14:paraId="288330EE">
            <w:pPr>
              <w:keepNext w:val="0"/>
              <w:keepLines w:val="0"/>
              <w:widowControl/>
              <w:suppressLineNumbers w:val="0"/>
              <w:shd w:val="clear" w:color="auto" w:fill="FFFFFF"/>
              <w:spacing w:before="0" w:beforeAutospacing="0" w:after="0" w:afterAutospacing="0" w:line="330" w:lineRule="atLeast"/>
              <w:ind w:left="0" w:right="0"/>
              <w:rPr>
                <w:rFonts w:hint="eastAsia" w:ascii="宋体" w:hAnsi="宋体" w:cs="Times New Roman"/>
                <w:bCs/>
                <w:color w:val="auto"/>
                <w:highlight w:val="none"/>
              </w:rPr>
            </w:pPr>
            <w:r>
              <w:rPr>
                <w:rFonts w:hint="eastAsia" w:ascii="宋体" w:hAnsi="宋体" w:cs="Times New Roman"/>
                <w:bCs/>
                <w:color w:val="auto"/>
                <w:highlight w:val="none"/>
              </w:rPr>
              <w:t>备注：若部分设备类生产厂家提供的保修期大于上述保修期，则以生产厂家提供的保修期为准。投标人须在投标时提供书面承诺。</w:t>
            </w:r>
          </w:p>
          <w:p w14:paraId="1370EE2A">
            <w:pPr>
              <w:keepNext w:val="0"/>
              <w:keepLines w:val="0"/>
              <w:widowControl/>
              <w:suppressLineNumbers w:val="0"/>
              <w:shd w:val="clear" w:color="auto" w:fill="FFFFFF"/>
              <w:spacing w:before="0" w:beforeAutospacing="0" w:after="0" w:afterAutospacing="0" w:line="330" w:lineRule="atLeast"/>
              <w:ind w:left="0" w:right="0"/>
              <w:rPr>
                <w:rFonts w:hint="eastAsia" w:ascii="宋体" w:hAnsi="宋体" w:cs="Times New Roman"/>
                <w:bCs/>
                <w:color w:val="auto"/>
                <w:highlight w:val="none"/>
              </w:rPr>
            </w:pPr>
            <w:r>
              <w:rPr>
                <w:rFonts w:hint="eastAsia" w:ascii="宋体" w:hAnsi="宋体" w:cs="Times New Roman"/>
                <w:bCs/>
                <w:color w:val="auto"/>
                <w:highlight w:val="none"/>
              </w:rPr>
              <w:t>（三）在质保期内，中标人需负责解决本项目出现的所有问题并承担一切费用（如材料费、人工费及差旅费等），其中：</w:t>
            </w:r>
          </w:p>
          <w:p w14:paraId="4D544C5F">
            <w:pPr>
              <w:keepNext w:val="0"/>
              <w:keepLines w:val="0"/>
              <w:widowControl/>
              <w:suppressLineNumbers w:val="0"/>
              <w:shd w:val="clear" w:color="auto" w:fill="FFFFFF"/>
              <w:spacing w:before="0" w:beforeAutospacing="0" w:after="0" w:afterAutospacing="0" w:line="330" w:lineRule="atLeast"/>
              <w:ind w:left="0" w:right="0"/>
              <w:rPr>
                <w:rFonts w:hint="default" w:ascii="宋体" w:hAnsi="宋体" w:cs="Times New Roman"/>
                <w:bCs/>
                <w:color w:val="auto"/>
                <w:highlight w:val="none"/>
              </w:rPr>
            </w:pPr>
            <w:r>
              <w:rPr>
                <w:rFonts w:hint="eastAsia" w:ascii="宋体" w:hAnsi="宋体" w:cs="Times New Roman"/>
                <w:bCs/>
                <w:color w:val="auto"/>
                <w:highlight w:val="none"/>
              </w:rPr>
              <w:t>（1）展板展示内容更新：自接到采购人通知之日起，中标单位在5个工作日内</w:t>
            </w:r>
            <w:r>
              <w:rPr>
                <w:rFonts w:hint="eastAsia" w:ascii="宋体" w:hAnsi="宋体" w:cs="Times New Roman"/>
                <w:bCs/>
                <w:color w:val="auto"/>
                <w:highlight w:val="none"/>
                <w:lang w:eastAsia="zh-CN"/>
              </w:rPr>
              <w:t>配合</w:t>
            </w:r>
            <w:r>
              <w:rPr>
                <w:rFonts w:hint="eastAsia" w:ascii="宋体" w:hAnsi="宋体" w:cs="Times New Roman"/>
                <w:bCs/>
                <w:color w:val="auto"/>
                <w:highlight w:val="none"/>
              </w:rPr>
              <w:t>完成更改</w:t>
            </w:r>
            <w:r>
              <w:rPr>
                <w:rFonts w:hint="eastAsia" w:ascii="宋体" w:hAnsi="宋体" w:cs="Times New Roman"/>
                <w:bCs/>
                <w:color w:val="auto"/>
                <w:highlight w:val="none"/>
                <w:lang w:eastAsia="zh-CN"/>
              </w:rPr>
              <w:t>，其中不超过</w:t>
            </w:r>
            <w:r>
              <w:rPr>
                <w:rFonts w:hint="eastAsia" w:ascii="宋体" w:hAnsi="宋体" w:cs="Times New Roman"/>
                <w:bCs/>
                <w:color w:val="auto"/>
                <w:highlight w:val="none"/>
                <w:lang w:val="en-US" w:eastAsia="zh-CN"/>
              </w:rPr>
              <w:t>5张展板的免费更新</w:t>
            </w:r>
            <w:r>
              <w:rPr>
                <w:rFonts w:hint="eastAsia" w:ascii="宋体" w:hAnsi="宋体" w:cs="Times New Roman"/>
                <w:bCs/>
                <w:color w:val="auto"/>
                <w:highlight w:val="none"/>
              </w:rPr>
              <w:t>。</w:t>
            </w:r>
          </w:p>
          <w:p w14:paraId="0D25F3B6">
            <w:pPr>
              <w:keepNext w:val="0"/>
              <w:keepLines w:val="0"/>
              <w:widowControl/>
              <w:suppressLineNumbers w:val="0"/>
              <w:shd w:val="clear" w:color="auto" w:fill="FFFFFF"/>
              <w:spacing w:before="0" w:beforeAutospacing="0" w:after="0" w:afterAutospacing="0" w:line="330" w:lineRule="atLeast"/>
              <w:ind w:left="0" w:right="0"/>
              <w:rPr>
                <w:rFonts w:hint="eastAsia" w:ascii="宋体" w:hAnsi="宋体" w:cs="Times New Roman"/>
                <w:bCs/>
                <w:color w:val="auto"/>
                <w:highlight w:val="none"/>
              </w:rPr>
            </w:pPr>
            <w:r>
              <w:rPr>
                <w:rFonts w:hint="eastAsia" w:ascii="宋体" w:hAnsi="宋体" w:cs="Times New Roman"/>
                <w:bCs/>
                <w:color w:val="auto"/>
                <w:highlight w:val="none"/>
              </w:rPr>
              <w:t>（2）影片、多媒体内容更改：自接到采购人通知之日起，中标单位在5个工作日内完成修改；①对于简单的单页字幕、画面等影片、多媒体内容，提供不限次数免费修改；②对于改动较大的的影片、多媒体内容，质保期内提供累计时长不超过1分钟（含1分钟）、不超过3次的免费修改。</w:t>
            </w:r>
          </w:p>
          <w:p w14:paraId="77613108">
            <w:pPr>
              <w:keepNext w:val="0"/>
              <w:keepLines w:val="0"/>
              <w:widowControl/>
              <w:suppressLineNumbers w:val="0"/>
              <w:shd w:val="clear" w:color="auto" w:fill="FFFFFF"/>
              <w:spacing w:before="0" w:beforeAutospacing="0" w:after="0" w:afterAutospacing="0" w:line="330" w:lineRule="atLeast"/>
              <w:ind w:left="0" w:right="0"/>
              <w:rPr>
                <w:rFonts w:hint="default" w:ascii="宋体" w:hAnsi="宋体" w:eastAsia="宋体" w:cs="Times New Roman"/>
                <w:bCs/>
                <w:color w:val="auto"/>
                <w:highlight w:val="none"/>
                <w:lang w:eastAsia="zh-CN"/>
              </w:rPr>
            </w:pPr>
            <w:r>
              <w:rPr>
                <w:rFonts w:hint="eastAsia" w:ascii="宋体" w:hAnsi="宋体" w:cs="Times New Roman"/>
                <w:bCs/>
                <w:color w:val="auto"/>
                <w:highlight w:val="none"/>
                <w:lang w:eastAsia="zh-CN"/>
              </w:rPr>
              <w:t>（</w:t>
            </w:r>
            <w:r>
              <w:rPr>
                <w:rFonts w:hint="eastAsia" w:ascii="宋体" w:hAnsi="宋体" w:cs="Times New Roman"/>
                <w:bCs/>
                <w:color w:val="auto"/>
                <w:highlight w:val="none"/>
                <w:lang w:val="en-US" w:eastAsia="zh-CN"/>
              </w:rPr>
              <w:t>3</w:t>
            </w:r>
            <w:r>
              <w:rPr>
                <w:rFonts w:hint="eastAsia" w:ascii="宋体" w:hAnsi="宋体" w:cs="Times New Roman"/>
                <w:bCs/>
                <w:color w:val="auto"/>
                <w:highlight w:val="none"/>
                <w:lang w:eastAsia="zh-CN"/>
              </w:rPr>
              <w:t>）重要接待保障：质保期内配合重要接待的保障工作，包括安全整改、紧急的局部内容修改等。</w:t>
            </w:r>
          </w:p>
          <w:p w14:paraId="12E50478">
            <w:pPr>
              <w:keepNext w:val="0"/>
              <w:keepLines w:val="0"/>
              <w:widowControl/>
              <w:suppressLineNumbers w:val="0"/>
              <w:shd w:val="clear" w:color="auto" w:fill="FFFFFF"/>
              <w:spacing w:before="0" w:beforeAutospacing="0" w:after="0" w:afterAutospacing="0" w:line="330" w:lineRule="atLeast"/>
              <w:ind w:left="0" w:right="0"/>
              <w:rPr>
                <w:rFonts w:hint="eastAsia" w:ascii="宋体" w:hAnsi="宋体" w:cs="Times New Roman"/>
                <w:bCs/>
                <w:color w:val="auto"/>
                <w:highlight w:val="none"/>
              </w:rPr>
            </w:pPr>
            <w:r>
              <w:rPr>
                <w:rFonts w:hint="eastAsia" w:ascii="宋体" w:hAnsi="宋体" w:cs="Times New Roman"/>
                <w:bCs/>
                <w:color w:val="auto"/>
                <w:highlight w:val="none"/>
              </w:rPr>
              <w:t>（</w:t>
            </w:r>
            <w:r>
              <w:rPr>
                <w:rFonts w:hint="eastAsia" w:ascii="宋体" w:hAnsi="宋体" w:cs="Times New Roman"/>
                <w:bCs/>
                <w:color w:val="auto"/>
                <w:highlight w:val="none"/>
                <w:lang w:val="en-US" w:eastAsia="zh-CN"/>
              </w:rPr>
              <w:t>4</w:t>
            </w:r>
            <w:r>
              <w:rPr>
                <w:rFonts w:hint="eastAsia" w:ascii="宋体" w:hAnsi="宋体" w:cs="Times New Roman"/>
                <w:bCs/>
                <w:color w:val="auto"/>
                <w:highlight w:val="none"/>
              </w:rPr>
              <w:t>）</w:t>
            </w:r>
            <w:r>
              <w:rPr>
                <w:rFonts w:hint="eastAsia" w:ascii="宋体" w:hAnsi="宋体" w:cs="Times New Roman"/>
                <w:bCs/>
                <w:color w:val="auto"/>
                <w:highlight w:val="none"/>
                <w:lang w:eastAsia="zh-CN"/>
              </w:rPr>
              <w:t>数字沙盘</w:t>
            </w:r>
            <w:r>
              <w:rPr>
                <w:rFonts w:hint="eastAsia" w:ascii="宋体" w:hAnsi="宋体" w:cs="Times New Roman"/>
                <w:color w:val="auto"/>
                <w:szCs w:val="21"/>
                <w:highlight w:val="none"/>
                <w:lang w:eastAsia="zh-CN"/>
              </w:rPr>
              <w:t>电子显示屏</w:t>
            </w:r>
            <w:r>
              <w:rPr>
                <w:rFonts w:hint="eastAsia" w:ascii="宋体" w:hAnsi="宋体" w:cs="Times New Roman"/>
                <w:bCs/>
                <w:color w:val="auto"/>
                <w:highlight w:val="none"/>
              </w:rPr>
              <w:t>设备巡查与维护（一年四次）：每季度开展一次例行保养和检修，保养检修完毕应出具现场维护保养反馈单（一式二联），对现场主要情况进行汇总，由采购人负责人签字确认，并将第二联交由采购人保存，对于设备损坏无法维修的，中标方应向采购人出具维修检测报告，质保期内更换经费由中标方出资购买，中标方进行更换。</w:t>
            </w:r>
          </w:p>
          <w:p w14:paraId="2DE635B1">
            <w:pPr>
              <w:keepNext w:val="0"/>
              <w:keepLines w:val="0"/>
              <w:widowControl/>
              <w:suppressLineNumbers w:val="0"/>
              <w:shd w:val="clear" w:color="auto" w:fill="FFFFFF"/>
              <w:spacing w:before="0" w:beforeAutospacing="0" w:after="0" w:afterAutospacing="0" w:line="330" w:lineRule="atLeast"/>
              <w:ind w:left="0" w:right="0"/>
              <w:rPr>
                <w:rFonts w:hint="eastAsia" w:ascii="宋体" w:hAnsi="宋体" w:cs="Times New Roman"/>
                <w:bCs/>
                <w:color w:val="auto"/>
                <w:highlight w:val="none"/>
              </w:rPr>
            </w:pPr>
            <w:r>
              <w:rPr>
                <w:rFonts w:hint="eastAsia" w:ascii="宋体" w:hAnsi="宋体" w:cs="Times New Roman"/>
                <w:bCs/>
                <w:color w:val="auto"/>
                <w:highlight w:val="none"/>
              </w:rPr>
              <w:t>（</w:t>
            </w:r>
            <w:r>
              <w:rPr>
                <w:rFonts w:hint="eastAsia" w:ascii="宋体" w:hAnsi="宋体" w:cs="Times New Roman"/>
                <w:bCs/>
                <w:color w:val="auto"/>
                <w:highlight w:val="none"/>
                <w:lang w:val="en-US" w:eastAsia="zh-CN"/>
              </w:rPr>
              <w:t>5</w:t>
            </w:r>
            <w:r>
              <w:rPr>
                <w:rFonts w:hint="eastAsia" w:ascii="宋体" w:hAnsi="宋体" w:cs="Times New Roman"/>
                <w:bCs/>
                <w:color w:val="auto"/>
                <w:highlight w:val="none"/>
              </w:rPr>
              <w:t>）</w:t>
            </w:r>
            <w:r>
              <w:rPr>
                <w:rFonts w:hint="eastAsia" w:ascii="宋体" w:hAnsi="宋体" w:cs="Times New Roman"/>
                <w:bCs/>
                <w:color w:val="auto"/>
                <w:highlight w:val="none"/>
                <w:lang w:eastAsia="zh-CN"/>
              </w:rPr>
              <w:t>数字沙盘</w:t>
            </w:r>
            <w:r>
              <w:rPr>
                <w:rFonts w:hint="eastAsia" w:ascii="宋体" w:hAnsi="宋体" w:cs="Times New Roman"/>
                <w:color w:val="auto"/>
                <w:szCs w:val="21"/>
                <w:highlight w:val="none"/>
                <w:lang w:val="en-US" w:eastAsia="zh-CN"/>
              </w:rPr>
              <w:t>电子显示屏</w:t>
            </w:r>
            <w:r>
              <w:rPr>
                <w:rFonts w:hint="eastAsia" w:ascii="宋体" w:hAnsi="宋体" w:cs="Times New Roman"/>
                <w:bCs/>
                <w:color w:val="auto"/>
                <w:highlight w:val="none"/>
              </w:rPr>
              <w:t>故障抢修：中标方为</w:t>
            </w:r>
            <w:r>
              <w:rPr>
                <w:rFonts w:hint="eastAsia" w:ascii="宋体" w:hAnsi="宋体" w:cs="Times New Roman"/>
                <w:bCs/>
                <w:color w:val="auto"/>
                <w:highlight w:val="none"/>
                <w:lang w:eastAsia="zh-CN"/>
              </w:rPr>
              <w:t>数字沙盘</w:t>
            </w:r>
            <w:r>
              <w:rPr>
                <w:rFonts w:hint="eastAsia" w:ascii="宋体" w:hAnsi="宋体" w:cs="Times New Roman"/>
                <w:color w:val="auto"/>
                <w:szCs w:val="21"/>
                <w:highlight w:val="none"/>
                <w:lang w:val="en-US" w:eastAsia="zh-CN"/>
              </w:rPr>
              <w:t>电子显示屏</w:t>
            </w:r>
            <w:r>
              <w:rPr>
                <w:rFonts w:hint="eastAsia" w:ascii="宋体" w:hAnsi="宋体" w:cs="Times New Roman"/>
                <w:bCs/>
                <w:color w:val="auto"/>
                <w:highlight w:val="none"/>
              </w:rPr>
              <w:t>正常运行提供技术支持和保障，提供</w:t>
            </w:r>
            <w:r>
              <w:rPr>
                <w:rFonts w:hint="eastAsia" w:ascii="宋体" w:hAnsi="宋体" w:cs="Times New Roman"/>
                <w:bCs/>
                <w:color w:val="auto"/>
                <w:highlight w:val="none"/>
                <w:lang w:eastAsia="zh-CN"/>
              </w:rPr>
              <w:t>数字沙盘</w:t>
            </w:r>
            <w:r>
              <w:rPr>
                <w:rFonts w:hint="eastAsia" w:ascii="宋体" w:hAnsi="宋体" w:cs="Times New Roman"/>
                <w:color w:val="auto"/>
                <w:szCs w:val="21"/>
                <w:highlight w:val="none"/>
                <w:lang w:val="en-US" w:eastAsia="zh-CN"/>
              </w:rPr>
              <w:t>电子显示屏</w:t>
            </w:r>
            <w:r>
              <w:rPr>
                <w:rFonts w:hint="eastAsia" w:ascii="宋体" w:hAnsi="宋体" w:cs="Times New Roman"/>
                <w:bCs/>
                <w:color w:val="auto"/>
                <w:highlight w:val="none"/>
              </w:rPr>
              <w:t>所涉及的所有设备免费维修服务（包括但不限于</w:t>
            </w:r>
            <w:r>
              <w:rPr>
                <w:rFonts w:hint="eastAsia" w:ascii="宋体" w:hAnsi="宋体" w:cs="Times New Roman"/>
                <w:color w:val="auto"/>
                <w:szCs w:val="21"/>
                <w:highlight w:val="none"/>
                <w:lang w:val="en-US" w:eastAsia="zh-CN"/>
              </w:rPr>
              <w:t>电子显示屏</w:t>
            </w:r>
            <w:r>
              <w:rPr>
                <w:rFonts w:hint="eastAsia" w:ascii="宋体" w:hAnsi="宋体" w:cs="Times New Roman"/>
                <w:bCs/>
                <w:color w:val="auto"/>
                <w:highlight w:val="none"/>
              </w:rPr>
              <w:t>所有设备零配件、</w:t>
            </w:r>
            <w:r>
              <w:rPr>
                <w:rFonts w:hint="eastAsia" w:ascii="宋体" w:hAnsi="宋体" w:cs="Times New Roman"/>
                <w:color w:val="auto"/>
                <w:szCs w:val="21"/>
                <w:highlight w:val="none"/>
                <w:lang w:val="en-US" w:eastAsia="zh-CN"/>
              </w:rPr>
              <w:t>电子显示屏</w:t>
            </w:r>
            <w:r>
              <w:rPr>
                <w:rFonts w:hint="eastAsia" w:ascii="宋体" w:hAnsi="宋体" w:cs="Times New Roman"/>
                <w:bCs/>
                <w:color w:val="auto"/>
                <w:highlight w:val="none"/>
              </w:rPr>
              <w:t>视频处理器、</w:t>
            </w:r>
            <w:r>
              <w:rPr>
                <w:rFonts w:hint="eastAsia" w:ascii="宋体" w:hAnsi="宋体" w:cs="Times New Roman"/>
                <w:color w:val="auto"/>
                <w:szCs w:val="21"/>
                <w:highlight w:val="none"/>
                <w:lang w:val="en-US" w:eastAsia="zh-CN"/>
              </w:rPr>
              <w:t>电子显示屏</w:t>
            </w:r>
            <w:r>
              <w:rPr>
                <w:rFonts w:hint="eastAsia" w:ascii="宋体" w:hAnsi="宋体" w:cs="Times New Roman"/>
                <w:bCs/>
                <w:color w:val="auto"/>
                <w:highlight w:val="none"/>
              </w:rPr>
              <w:t>控制系统、UHD多媒体播控终端、各类扬声器、功率放大器、音箱处理器、影院解码器、工控主机等）；接到采购人抢修通知后，中标方在1小时内口头告知解决方案，48小时内派维修人员到达现场提供抢修服务。如有涉及材料定制等确实不能立即处理的情况，与采购人沟通并在最短时间内予以修复。</w:t>
            </w:r>
          </w:p>
          <w:p w14:paraId="58864B32">
            <w:pPr>
              <w:keepNext w:val="0"/>
              <w:keepLines w:val="0"/>
              <w:widowControl/>
              <w:suppressLineNumbers w:val="0"/>
              <w:shd w:val="clear" w:color="auto" w:fill="FFFFFF"/>
              <w:spacing w:before="0" w:beforeAutospacing="0" w:after="0" w:afterAutospacing="0" w:line="330" w:lineRule="atLeast"/>
              <w:ind w:left="0" w:right="0"/>
              <w:rPr>
                <w:rFonts w:hint="eastAsia" w:ascii="宋体" w:hAnsi="宋体" w:cs="Times New Roman"/>
                <w:bCs/>
                <w:color w:val="auto"/>
                <w:highlight w:val="none"/>
              </w:rPr>
            </w:pPr>
            <w:r>
              <w:rPr>
                <w:rFonts w:hint="eastAsia" w:ascii="宋体" w:hAnsi="宋体" w:cs="Times New Roman"/>
                <w:bCs/>
                <w:color w:val="auto"/>
                <w:highlight w:val="none"/>
              </w:rPr>
              <w:t>（</w:t>
            </w:r>
            <w:r>
              <w:rPr>
                <w:rFonts w:hint="eastAsia" w:ascii="宋体" w:hAnsi="宋体" w:cs="Times New Roman"/>
                <w:bCs/>
                <w:color w:val="auto"/>
                <w:highlight w:val="none"/>
                <w:lang w:val="en-US" w:eastAsia="zh-CN"/>
              </w:rPr>
              <w:t>6</w:t>
            </w:r>
            <w:r>
              <w:rPr>
                <w:rFonts w:hint="eastAsia" w:ascii="宋体" w:hAnsi="宋体" w:cs="Times New Roman"/>
                <w:bCs/>
                <w:color w:val="auto"/>
                <w:highlight w:val="none"/>
              </w:rPr>
              <w:t>）由于工程质量问题造成的对第三人人身和财产损害的，中标方应承担损害赔偿责任及其他相关责任；中标方不承担不可抗拒原因（如外界火灾、水灾等）之损伤责任，但有责任尽最大努力和最快速度进行抢修，使场馆工作尽快恢复正常。</w:t>
            </w:r>
          </w:p>
          <w:p w14:paraId="308B7E51">
            <w:pPr>
              <w:keepNext w:val="0"/>
              <w:keepLines w:val="0"/>
              <w:widowControl/>
              <w:suppressLineNumbers w:val="0"/>
              <w:shd w:val="clear" w:color="auto" w:fill="FFFFFF"/>
              <w:spacing w:before="0" w:beforeAutospacing="0" w:after="0" w:afterAutospacing="0" w:line="330" w:lineRule="atLeast"/>
              <w:ind w:left="0" w:right="0"/>
              <w:rPr>
                <w:rFonts w:hint="eastAsia" w:ascii="宋体" w:hAnsi="宋体" w:cs="Times New Roman"/>
                <w:bCs/>
                <w:color w:val="auto"/>
                <w:highlight w:val="none"/>
              </w:rPr>
            </w:pPr>
            <w:r>
              <w:rPr>
                <w:rFonts w:hint="eastAsia" w:ascii="宋体" w:hAnsi="宋体" w:cs="Times New Roman"/>
                <w:bCs/>
                <w:color w:val="auto"/>
                <w:highlight w:val="none"/>
              </w:rPr>
              <w:t>（四）质保期结束后，中标人应提供终身售后服务，本项目涉及的软硬件损坏、及其配件耗材需更换，中标人以合理市场价予以修复、替换或提供，具体以采购方认可后实施。另外，提供设备生产厂家售后服务电话等，确保采购人可自行获取技术支持和指导。</w:t>
            </w:r>
          </w:p>
          <w:p w14:paraId="5E7CCCD4">
            <w:pPr>
              <w:keepNext w:val="0"/>
              <w:keepLines w:val="0"/>
              <w:widowControl/>
              <w:suppressLineNumbers w:val="0"/>
              <w:shd w:val="clear" w:color="auto" w:fill="FFFFFF"/>
              <w:spacing w:before="0" w:beforeAutospacing="0" w:after="0" w:afterAutospacing="0" w:line="330" w:lineRule="atLeast"/>
              <w:ind w:left="0" w:right="0"/>
              <w:rPr>
                <w:rFonts w:hint="eastAsia" w:ascii="宋体" w:hAnsi="宋体" w:cs="Times New Roman"/>
                <w:bCs/>
                <w:color w:val="auto"/>
                <w:highlight w:val="none"/>
              </w:rPr>
            </w:pPr>
            <w:r>
              <w:rPr>
                <w:rFonts w:hint="eastAsia" w:ascii="宋体" w:hAnsi="宋体" w:cs="Times New Roman"/>
                <w:bCs/>
                <w:color w:val="auto"/>
                <w:highlight w:val="none"/>
              </w:rPr>
              <w:t>（五）故障响应时间：中标人需备专门的售后服务，建立完备的故障响应机制，具有专门的售后服务队伍。应在接到采购方设备故障报修、展品损坏通知后1小时内响应、告知临时解决方案，12小时内到达现场进行检修和维护，如在24小时内无法修复，则提供相同产品或不低于故障产品规格档次的备用产品供采购人使用，并确保故障展项72小时内恢复完好，保证采购方展馆的正常运营和接待工作。</w:t>
            </w:r>
          </w:p>
          <w:p w14:paraId="6BBA61ED">
            <w:pPr>
              <w:keepNext w:val="0"/>
              <w:keepLines w:val="0"/>
              <w:widowControl/>
              <w:suppressLineNumbers w:val="0"/>
              <w:shd w:val="clear" w:color="auto" w:fill="FFFFFF"/>
              <w:spacing w:before="0" w:beforeAutospacing="0" w:after="0" w:afterAutospacing="0" w:line="330" w:lineRule="atLeast"/>
              <w:ind w:left="0" w:right="0"/>
              <w:rPr>
                <w:rFonts w:hint="eastAsia" w:ascii="宋体" w:hAnsi="宋体" w:cs="Times New Roman"/>
                <w:color w:val="auto"/>
                <w:highlight w:val="none"/>
              </w:rPr>
            </w:pPr>
            <w:r>
              <w:rPr>
                <w:rFonts w:hint="eastAsia" w:ascii="宋体" w:hAnsi="宋体" w:cs="Times New Roman"/>
                <w:color w:val="auto"/>
                <w:highlight w:val="none"/>
              </w:rPr>
              <w:t>六、其他要求</w:t>
            </w:r>
          </w:p>
          <w:p w14:paraId="53EA957F">
            <w:pPr>
              <w:keepNext w:val="0"/>
              <w:keepLines w:val="0"/>
              <w:suppressLineNumbers w:val="0"/>
              <w:spacing w:before="0" w:beforeAutospacing="0" w:after="0" w:afterAutospacing="0"/>
              <w:ind w:left="0" w:right="0"/>
              <w:rPr>
                <w:rFonts w:hint="eastAsia" w:ascii="宋体" w:hAnsi="宋体" w:cs="Times New Roman"/>
                <w:color w:val="auto"/>
                <w:highlight w:val="none"/>
              </w:rPr>
            </w:pPr>
            <w:r>
              <w:rPr>
                <w:rFonts w:hint="eastAsia" w:ascii="宋体" w:hAnsi="宋体" w:cs="Times New Roman"/>
                <w:color w:val="auto"/>
                <w:szCs w:val="21"/>
                <w:highlight w:val="none"/>
              </w:rPr>
              <w:t>▲</w:t>
            </w:r>
            <w:r>
              <w:rPr>
                <w:rFonts w:hint="eastAsia" w:ascii="宋体" w:hAnsi="宋体" w:cs="Times New Roman"/>
                <w:color w:val="auto"/>
                <w:highlight w:val="none"/>
              </w:rPr>
              <w:t>（一）对于投标</w:t>
            </w:r>
            <w:r>
              <w:rPr>
                <w:rFonts w:hint="eastAsia" w:ascii="宋体" w:hAnsi="宋体" w:cs="Times New Roman"/>
                <w:color w:val="auto"/>
                <w:szCs w:val="21"/>
                <w:highlight w:val="none"/>
              </w:rPr>
              <w:t>报价，须注意以下几个方面</w:t>
            </w:r>
            <w:r>
              <w:rPr>
                <w:rFonts w:hint="eastAsia" w:ascii="宋体" w:hAnsi="宋体" w:cs="Times New Roman"/>
                <w:color w:val="auto"/>
                <w:highlight w:val="none"/>
              </w:rPr>
              <w:t>：</w:t>
            </w:r>
          </w:p>
          <w:p w14:paraId="3B8A4B3A">
            <w:pPr>
              <w:keepNext w:val="0"/>
              <w:keepLines w:val="0"/>
              <w:widowControl/>
              <w:suppressLineNumbers w:val="0"/>
              <w:spacing w:before="0" w:beforeAutospacing="0" w:after="0" w:afterAutospacing="0"/>
              <w:ind w:left="0" w:right="0"/>
              <w:jc w:val="left"/>
              <w:rPr>
                <w:rFonts w:hint="eastAsia" w:ascii="宋体" w:hAnsi="宋体" w:cs="Times New Roman"/>
                <w:color w:val="auto"/>
                <w:highlight w:val="none"/>
              </w:rPr>
            </w:pPr>
            <w:r>
              <w:rPr>
                <w:rFonts w:hint="eastAsia" w:ascii="Times New Roman" w:hAnsi="Times New Roman" w:cs="Times New Roman"/>
                <w:color w:val="auto"/>
                <w:szCs w:val="21"/>
                <w:highlight w:val="none"/>
              </w:rPr>
              <w:t>（</w:t>
            </w:r>
            <w:r>
              <w:rPr>
                <w:rFonts w:hint="eastAsia" w:ascii="宋体" w:hAnsi="宋体" w:cs="Times New Roman"/>
                <w:color w:val="auto"/>
                <w:highlight w:val="none"/>
              </w:rPr>
              <w:t>1）本项目按总价包干形式确定报价</w:t>
            </w:r>
            <w:r>
              <w:rPr>
                <w:rFonts w:hint="eastAsia" w:ascii="宋体" w:hAnsi="宋体" w:cs="Times New Roman"/>
                <w:color w:val="auto"/>
                <w:sz w:val="21"/>
                <w:szCs w:val="21"/>
                <w:highlight w:val="none"/>
              </w:rPr>
              <w:t>。</w:t>
            </w:r>
            <w:r>
              <w:rPr>
                <w:rFonts w:hint="eastAsia" w:ascii="宋体" w:hAnsi="宋体" w:eastAsia="宋体" w:cs="宋体"/>
                <w:color w:val="auto"/>
                <w:kern w:val="0"/>
                <w:sz w:val="21"/>
                <w:szCs w:val="21"/>
                <w:highlight w:val="none"/>
                <w:lang w:val="en-US" w:eastAsia="zh-CN" w:bidi="ar"/>
              </w:rPr>
              <w:t>各种设计费、人工费、水电费、安全文明措施费、设备采购、安装、 施工、服务、规费、税费、保险费、风险费和不可预见费等均包含在合同总价中，</w:t>
            </w:r>
            <w:r>
              <w:rPr>
                <w:rFonts w:hint="eastAsia" w:ascii="宋体" w:hAnsi="宋体" w:cs="Times New Roman"/>
                <w:color w:val="auto"/>
                <w:highlight w:val="none"/>
              </w:rPr>
              <w:t>合同价格在合同实施期间不因市场价格变化因素而变动。投标人在报价时应考虑各方面因素、各种风险和自身承受能力。</w:t>
            </w:r>
          </w:p>
          <w:p w14:paraId="33F04191">
            <w:pPr>
              <w:keepNext w:val="0"/>
              <w:keepLines w:val="0"/>
              <w:suppressLineNumbers w:val="0"/>
              <w:spacing w:before="0" w:beforeAutospacing="0" w:after="0" w:afterAutospacing="0"/>
              <w:ind w:left="0" w:right="0"/>
              <w:rPr>
                <w:rFonts w:hint="eastAsia" w:ascii="宋体" w:hAnsi="宋体" w:cs="Times New Roman"/>
                <w:color w:val="auto"/>
                <w:highlight w:val="none"/>
              </w:rPr>
            </w:pPr>
            <w:r>
              <w:rPr>
                <w:rFonts w:hint="eastAsia" w:ascii="宋体" w:hAnsi="宋体" w:cs="Times New Roman"/>
                <w:color w:val="auto"/>
                <w:highlight w:val="none"/>
              </w:rPr>
              <w:t>（2）招标人对未中标的投标人不做任何费用补偿。</w:t>
            </w:r>
          </w:p>
          <w:p w14:paraId="02FF5E3D">
            <w:pPr>
              <w:keepNext w:val="0"/>
              <w:keepLines w:val="0"/>
              <w:suppressLineNumbers w:val="0"/>
              <w:spacing w:before="0" w:beforeAutospacing="0" w:after="0" w:afterAutospacing="0"/>
              <w:ind w:left="0" w:right="0"/>
              <w:rPr>
                <w:rFonts w:hint="eastAsia" w:ascii="宋体" w:hAnsi="宋体" w:cs="Times New Roman"/>
                <w:color w:val="auto"/>
                <w:highlight w:val="none"/>
              </w:rPr>
            </w:pPr>
            <w:r>
              <w:rPr>
                <w:rFonts w:hint="eastAsia" w:ascii="宋体" w:hAnsi="宋体" w:cs="Times New Roman"/>
                <w:color w:val="auto"/>
                <w:highlight w:val="none"/>
              </w:rPr>
              <w:t>（</w:t>
            </w:r>
            <w:r>
              <w:rPr>
                <w:rFonts w:hint="eastAsia" w:ascii="宋体" w:hAnsi="宋体" w:cs="Times New Roman"/>
                <w:color w:val="auto"/>
                <w:highlight w:val="none"/>
                <w:lang w:val="en-US" w:eastAsia="zh-CN"/>
              </w:rPr>
              <w:t>3</w:t>
            </w:r>
            <w:r>
              <w:rPr>
                <w:rFonts w:hint="eastAsia" w:ascii="宋体" w:hAnsi="宋体" w:cs="Times New Roman"/>
                <w:color w:val="auto"/>
                <w:highlight w:val="none"/>
              </w:rPr>
              <w:t>）中标方需参与项目全程的相关汇报工作，配合评审及验收工作。采购人将根据项目实际安排论证、评审和验收会议，相关费用已含在中标单位的投标报价中，具体组织会议次数由采购人根据项目实际情况决定。</w:t>
            </w:r>
          </w:p>
          <w:p w14:paraId="37CE8277">
            <w:pPr>
              <w:keepNext w:val="0"/>
              <w:keepLines w:val="0"/>
              <w:suppressLineNumbers w:val="0"/>
              <w:spacing w:before="0" w:beforeAutospacing="0" w:after="0" w:afterAutospacing="0"/>
              <w:ind w:left="0" w:right="0"/>
              <w:rPr>
                <w:rFonts w:hint="eastAsia" w:ascii="宋体" w:hAnsi="宋体" w:cs="Times New Roman"/>
                <w:color w:val="auto"/>
                <w:highlight w:val="none"/>
              </w:rPr>
            </w:pPr>
            <w:r>
              <w:rPr>
                <w:rFonts w:hint="eastAsia" w:ascii="宋体" w:hAnsi="宋体" w:cs="Times New Roman"/>
                <w:color w:val="auto"/>
                <w:highlight w:val="none"/>
              </w:rPr>
              <w:t>（</w:t>
            </w:r>
            <w:r>
              <w:rPr>
                <w:rFonts w:hint="eastAsia" w:ascii="宋体" w:hAnsi="宋体" w:cs="Times New Roman"/>
                <w:color w:val="auto"/>
                <w:highlight w:val="none"/>
                <w:lang w:val="en-US" w:eastAsia="zh-CN"/>
              </w:rPr>
              <w:t>4</w:t>
            </w:r>
            <w:r>
              <w:rPr>
                <w:rFonts w:hint="eastAsia" w:ascii="宋体" w:hAnsi="宋体" w:cs="Times New Roman"/>
                <w:color w:val="auto"/>
                <w:highlight w:val="none"/>
              </w:rPr>
              <w:t>）如项目涉及地图送审，由此产生的相关费用已含在中标单位的投标报价中。</w:t>
            </w:r>
          </w:p>
          <w:p w14:paraId="332E8E7C">
            <w:pPr>
              <w:keepNext w:val="0"/>
              <w:keepLines w:val="0"/>
              <w:suppressLineNumbers w:val="0"/>
              <w:spacing w:before="0" w:beforeAutospacing="0" w:after="0" w:afterAutospacing="0"/>
              <w:ind w:left="0" w:right="0"/>
              <w:rPr>
                <w:rFonts w:hint="eastAsia" w:ascii="宋体" w:hAnsi="宋体" w:cs="Times New Roman"/>
                <w:color w:val="auto"/>
                <w:highlight w:val="none"/>
              </w:rPr>
            </w:pPr>
            <w:r>
              <w:rPr>
                <w:rFonts w:hint="eastAsia" w:ascii="宋体" w:hAnsi="宋体" w:cs="Times New Roman"/>
                <w:color w:val="auto"/>
                <w:highlight w:val="none"/>
              </w:rPr>
              <w:t>（</w:t>
            </w:r>
            <w:r>
              <w:rPr>
                <w:rFonts w:hint="eastAsia" w:ascii="宋体" w:hAnsi="宋体" w:cs="Times New Roman"/>
                <w:color w:val="auto"/>
                <w:highlight w:val="none"/>
                <w:lang w:val="en-US" w:eastAsia="zh-CN"/>
              </w:rPr>
              <w:t>5</w:t>
            </w:r>
            <w:r>
              <w:rPr>
                <w:rFonts w:hint="eastAsia" w:ascii="宋体" w:hAnsi="宋体" w:cs="Times New Roman"/>
                <w:color w:val="auto"/>
                <w:highlight w:val="none"/>
              </w:rPr>
              <w:t>）如项目涉及监理费用，相关费用已含在中标单位的投标报价中。</w:t>
            </w:r>
          </w:p>
          <w:p w14:paraId="46E262B8">
            <w:pPr>
              <w:keepNext w:val="0"/>
              <w:keepLines w:val="0"/>
              <w:suppressLineNumbers w:val="0"/>
              <w:spacing w:before="0" w:beforeAutospacing="0" w:after="0" w:afterAutospacing="0"/>
              <w:ind w:left="0" w:right="0"/>
              <w:rPr>
                <w:rFonts w:hint="eastAsia" w:ascii="宋体" w:hAnsi="宋体" w:cs="Times New Roman"/>
                <w:color w:val="auto"/>
                <w:highlight w:val="none"/>
              </w:rPr>
            </w:pPr>
            <w:r>
              <w:rPr>
                <w:rFonts w:hint="eastAsia" w:ascii="宋体" w:hAnsi="宋体" w:cs="Times New Roman"/>
                <w:color w:val="auto"/>
                <w:highlight w:val="none"/>
              </w:rPr>
              <w:t>（</w:t>
            </w:r>
            <w:r>
              <w:rPr>
                <w:rFonts w:hint="eastAsia" w:ascii="宋体" w:hAnsi="宋体" w:cs="Times New Roman"/>
                <w:color w:val="auto"/>
                <w:highlight w:val="none"/>
                <w:lang w:val="en-US" w:eastAsia="zh-CN"/>
              </w:rPr>
              <w:t>6</w:t>
            </w:r>
            <w:r>
              <w:rPr>
                <w:rFonts w:hint="eastAsia" w:ascii="宋体" w:hAnsi="宋体" w:cs="Times New Roman"/>
                <w:color w:val="auto"/>
                <w:highlight w:val="none"/>
              </w:rPr>
              <w:t>）如项目涉及消防改造、报审、验收等费用，由此产生的相关费用已含在中标单位的投标报价中。</w:t>
            </w:r>
          </w:p>
          <w:p w14:paraId="0BDA6632">
            <w:pPr>
              <w:keepNext w:val="0"/>
              <w:keepLines w:val="0"/>
              <w:suppressLineNumbers w:val="0"/>
              <w:spacing w:before="0" w:beforeAutospacing="0" w:after="0" w:afterAutospacing="0"/>
              <w:ind w:left="0" w:right="0"/>
              <w:rPr>
                <w:rFonts w:hint="eastAsia" w:ascii="宋体" w:hAnsi="宋体" w:cs="Times New Roman"/>
                <w:color w:val="auto"/>
                <w:highlight w:val="none"/>
              </w:rPr>
            </w:pPr>
            <w:r>
              <w:rPr>
                <w:rFonts w:hint="eastAsia" w:ascii="宋体" w:hAnsi="宋体" w:cs="Times New Roman"/>
                <w:color w:val="auto"/>
                <w:highlight w:val="none"/>
              </w:rPr>
              <w:t>（</w:t>
            </w:r>
            <w:r>
              <w:rPr>
                <w:rFonts w:hint="eastAsia" w:ascii="宋体" w:hAnsi="宋体" w:cs="Times New Roman"/>
                <w:color w:val="auto"/>
                <w:highlight w:val="none"/>
                <w:lang w:val="en-US" w:eastAsia="zh-CN"/>
              </w:rPr>
              <w:t>7</w:t>
            </w:r>
            <w:r>
              <w:rPr>
                <w:rFonts w:hint="eastAsia" w:ascii="宋体" w:hAnsi="宋体" w:cs="Times New Roman"/>
                <w:color w:val="auto"/>
                <w:highlight w:val="none"/>
              </w:rPr>
              <w:t>）中标方需参与项目全程的宣传工作，包含相关仪式、线下线上活动等，相关费用包含在中标单位的投标报价中。</w:t>
            </w:r>
          </w:p>
          <w:p w14:paraId="50054306">
            <w:pPr>
              <w:keepNext w:val="0"/>
              <w:keepLines w:val="0"/>
              <w:suppressLineNumbers w:val="0"/>
              <w:spacing w:before="0" w:beforeAutospacing="0" w:after="0" w:afterAutospacing="0"/>
              <w:ind w:left="0" w:right="0"/>
              <w:rPr>
                <w:rFonts w:hint="eastAsia" w:ascii="宋体" w:hAnsi="宋体" w:cs="Times New Roman"/>
                <w:color w:val="auto"/>
                <w:highlight w:val="none"/>
              </w:rPr>
            </w:pPr>
            <w:r>
              <w:rPr>
                <w:rFonts w:hint="eastAsia" w:ascii="宋体" w:hAnsi="宋体" w:cs="Times New Roman"/>
                <w:color w:val="auto"/>
                <w:highlight w:val="none"/>
              </w:rPr>
              <w:t>（</w:t>
            </w:r>
            <w:r>
              <w:rPr>
                <w:rFonts w:hint="eastAsia" w:ascii="宋体" w:hAnsi="宋体" w:cs="Times New Roman"/>
                <w:color w:val="auto"/>
                <w:highlight w:val="none"/>
                <w:lang w:val="en-US" w:eastAsia="zh-CN"/>
              </w:rPr>
              <w:t>8</w:t>
            </w:r>
            <w:r>
              <w:rPr>
                <w:rFonts w:hint="eastAsia" w:ascii="宋体" w:hAnsi="宋体" w:cs="Times New Roman"/>
                <w:color w:val="auto"/>
                <w:highlight w:val="none"/>
              </w:rPr>
              <w:t>）采购人有权根据现场以及整体设计情况，对本招标项目的具体实施进行适当调整，调整的实施内容凡属于因布展需要而增加的设计、施工内容均属于本招标项目实施范围内，中标方必须无条件服从，且不得因此而要求增加项目中标价。</w:t>
            </w:r>
          </w:p>
          <w:p w14:paraId="10DF83E2">
            <w:pPr>
              <w:keepNext w:val="0"/>
              <w:keepLines w:val="0"/>
              <w:suppressLineNumbers w:val="0"/>
              <w:spacing w:before="0" w:beforeAutospacing="0" w:after="0" w:afterAutospacing="0"/>
              <w:ind w:left="0" w:right="0"/>
              <w:rPr>
                <w:rFonts w:hint="eastAsia" w:ascii="宋体" w:hAnsi="宋体" w:cs="Times New Roman"/>
                <w:color w:val="auto"/>
                <w:highlight w:val="none"/>
              </w:rPr>
            </w:pPr>
            <w:r>
              <w:rPr>
                <w:rFonts w:hint="eastAsia" w:ascii="宋体" w:hAnsi="宋体" w:cs="Times New Roman"/>
                <w:color w:val="auto"/>
                <w:szCs w:val="21"/>
                <w:highlight w:val="none"/>
              </w:rPr>
              <w:t>▲</w:t>
            </w:r>
            <w:r>
              <w:rPr>
                <w:rFonts w:hint="eastAsia" w:ascii="宋体" w:hAnsi="宋体" w:cs="Times New Roman"/>
                <w:color w:val="auto"/>
                <w:highlight w:val="none"/>
              </w:rPr>
              <w:t>（二）付款</w:t>
            </w:r>
            <w:r>
              <w:rPr>
                <w:rFonts w:hint="eastAsia" w:ascii="宋体" w:hAnsi="宋体" w:cs="Times New Roman"/>
                <w:color w:val="auto"/>
                <w:szCs w:val="21"/>
                <w:highlight w:val="none"/>
              </w:rPr>
              <w:t>方式：</w:t>
            </w:r>
            <w:r>
              <w:rPr>
                <w:rFonts w:hint="eastAsia" w:ascii="宋体" w:hAnsi="宋体" w:cs="Times New Roman"/>
                <w:color w:val="auto"/>
                <w:highlight w:val="none"/>
              </w:rPr>
              <w:t>按项目进度付款。（1）签订合同后，中标人提交布展策划方案成果文件并经甲方确认后，采购人支付至合同金额的10%；</w:t>
            </w:r>
            <w:r>
              <w:rPr>
                <w:rFonts w:hint="eastAsia" w:ascii="宋体" w:hAnsi="宋体" w:cs="Times New Roman"/>
                <w:color w:val="auto"/>
                <w:highlight w:val="none"/>
                <w:lang w:eastAsia="zh-CN"/>
              </w:rPr>
              <w:t>（</w:t>
            </w:r>
            <w:r>
              <w:rPr>
                <w:rFonts w:hint="eastAsia" w:ascii="宋体" w:hAnsi="宋体" w:cs="Times New Roman"/>
                <w:color w:val="auto"/>
                <w:highlight w:val="none"/>
                <w:lang w:val="en-US" w:eastAsia="zh-CN"/>
              </w:rPr>
              <w:t>2</w:t>
            </w:r>
            <w:r>
              <w:rPr>
                <w:rFonts w:hint="eastAsia" w:ascii="宋体" w:hAnsi="宋体" w:cs="Times New Roman"/>
                <w:color w:val="auto"/>
                <w:highlight w:val="none"/>
                <w:lang w:eastAsia="zh-CN"/>
              </w:rPr>
              <w:t>）</w:t>
            </w:r>
            <w:r>
              <w:rPr>
                <w:rFonts w:hint="eastAsia" w:ascii="宋体" w:hAnsi="宋体" w:cs="Times New Roman"/>
                <w:color w:val="auto"/>
                <w:highlight w:val="none"/>
              </w:rPr>
              <w:t>提交布展设计方案（含概算编制报告）并经甲方确认后，支付</w:t>
            </w:r>
            <w:r>
              <w:rPr>
                <w:rFonts w:hint="eastAsia" w:ascii="宋体" w:hAnsi="宋体" w:cs="Times New Roman"/>
                <w:color w:val="auto"/>
                <w:highlight w:val="none"/>
                <w:lang w:eastAsia="zh-CN"/>
              </w:rPr>
              <w:t>至合同金额</w:t>
            </w:r>
            <w:r>
              <w:rPr>
                <w:rFonts w:hint="eastAsia" w:ascii="宋体" w:hAnsi="宋体" w:cs="Times New Roman"/>
                <w:color w:val="auto"/>
                <w:highlight w:val="none"/>
              </w:rPr>
              <w:t>的</w:t>
            </w:r>
            <w:r>
              <w:rPr>
                <w:rFonts w:hint="eastAsia" w:ascii="宋体" w:hAnsi="宋体" w:cs="Times New Roman"/>
                <w:color w:val="auto"/>
                <w:highlight w:val="none"/>
                <w:lang w:val="en-US" w:eastAsia="zh-CN"/>
              </w:rPr>
              <w:t>2</w:t>
            </w:r>
            <w:r>
              <w:rPr>
                <w:rFonts w:hint="eastAsia" w:ascii="宋体" w:hAnsi="宋体" w:cs="Times New Roman"/>
                <w:color w:val="auto"/>
                <w:highlight w:val="none"/>
              </w:rPr>
              <w:t>5%；</w:t>
            </w:r>
            <w:r>
              <w:rPr>
                <w:rFonts w:hint="eastAsia" w:ascii="宋体" w:hAnsi="宋体" w:cs="Times New Roman"/>
                <w:color w:val="auto"/>
                <w:highlight w:val="none"/>
                <w:lang w:eastAsia="zh-CN"/>
              </w:rPr>
              <w:t>（</w:t>
            </w:r>
            <w:r>
              <w:rPr>
                <w:rFonts w:hint="eastAsia" w:ascii="宋体" w:hAnsi="宋体" w:cs="Times New Roman"/>
                <w:color w:val="auto"/>
                <w:highlight w:val="none"/>
                <w:lang w:val="en-US" w:eastAsia="zh-CN"/>
              </w:rPr>
              <w:t>3</w:t>
            </w:r>
            <w:r>
              <w:rPr>
                <w:rFonts w:hint="eastAsia" w:ascii="宋体" w:hAnsi="宋体" w:cs="Times New Roman"/>
                <w:color w:val="auto"/>
                <w:highlight w:val="none"/>
                <w:lang w:eastAsia="zh-CN"/>
              </w:rPr>
              <w:t>）</w:t>
            </w:r>
            <w:r>
              <w:rPr>
                <w:rFonts w:hint="eastAsia" w:ascii="宋体" w:hAnsi="宋体" w:cs="Times New Roman"/>
                <w:color w:val="auto"/>
                <w:highlight w:val="none"/>
              </w:rPr>
              <w:t>完成施工图绘制，经审图完毕后，支付</w:t>
            </w:r>
            <w:r>
              <w:rPr>
                <w:rFonts w:hint="eastAsia" w:ascii="宋体" w:hAnsi="宋体" w:cs="Times New Roman"/>
                <w:color w:val="auto"/>
                <w:highlight w:val="none"/>
                <w:lang w:eastAsia="zh-CN"/>
              </w:rPr>
              <w:t>至合同金额</w:t>
            </w:r>
            <w:r>
              <w:rPr>
                <w:rFonts w:hint="eastAsia" w:ascii="宋体" w:hAnsi="宋体" w:cs="Times New Roman"/>
                <w:color w:val="auto"/>
                <w:highlight w:val="none"/>
              </w:rPr>
              <w:t>的</w:t>
            </w:r>
            <w:r>
              <w:rPr>
                <w:rFonts w:hint="eastAsia" w:ascii="宋体" w:hAnsi="宋体" w:cs="Times New Roman"/>
                <w:color w:val="auto"/>
                <w:highlight w:val="none"/>
                <w:lang w:val="en-US" w:eastAsia="zh-CN"/>
              </w:rPr>
              <w:t>30</w:t>
            </w:r>
            <w:r>
              <w:rPr>
                <w:rFonts w:hint="eastAsia" w:ascii="宋体" w:hAnsi="宋体" w:cs="Times New Roman"/>
                <w:color w:val="auto"/>
                <w:highlight w:val="none"/>
              </w:rPr>
              <w:t>%；</w:t>
            </w:r>
            <w:r>
              <w:rPr>
                <w:rFonts w:hint="eastAsia" w:ascii="宋体" w:hAnsi="宋体" w:cs="Times New Roman"/>
                <w:color w:val="auto"/>
                <w:highlight w:val="none"/>
                <w:lang w:eastAsia="zh-CN"/>
              </w:rPr>
              <w:t>（</w:t>
            </w:r>
            <w:r>
              <w:rPr>
                <w:rFonts w:hint="eastAsia" w:ascii="宋体" w:hAnsi="宋体" w:cs="Times New Roman"/>
                <w:color w:val="auto"/>
                <w:highlight w:val="none"/>
                <w:lang w:val="en-US" w:eastAsia="zh-CN"/>
              </w:rPr>
              <w:t>4</w:t>
            </w:r>
            <w:r>
              <w:rPr>
                <w:rFonts w:hint="eastAsia" w:ascii="宋体" w:hAnsi="宋体" w:cs="Times New Roman"/>
                <w:color w:val="auto"/>
                <w:highlight w:val="none"/>
                <w:lang w:eastAsia="zh-CN"/>
              </w:rPr>
              <w:t>）完成隐蔽工程验收，主要设备到场，并通过甲方确认，支付至合同金额的70%；（</w:t>
            </w:r>
            <w:r>
              <w:rPr>
                <w:rFonts w:hint="eastAsia" w:ascii="宋体" w:hAnsi="宋体" w:cs="Times New Roman"/>
                <w:color w:val="auto"/>
                <w:highlight w:val="none"/>
                <w:lang w:val="en-US" w:eastAsia="zh-CN"/>
              </w:rPr>
              <w:t>5</w:t>
            </w:r>
            <w:r>
              <w:rPr>
                <w:rFonts w:hint="eastAsia" w:ascii="宋体" w:hAnsi="宋体" w:cs="Times New Roman"/>
                <w:color w:val="auto"/>
                <w:highlight w:val="none"/>
                <w:lang w:eastAsia="zh-CN"/>
              </w:rPr>
              <w:t>）</w:t>
            </w:r>
            <w:r>
              <w:rPr>
                <w:rFonts w:hint="eastAsia" w:ascii="宋体" w:hAnsi="宋体" w:cs="Times New Roman"/>
                <w:color w:val="auto"/>
                <w:highlight w:val="none"/>
              </w:rPr>
              <w:t>根据确认</w:t>
            </w:r>
            <w:r>
              <w:rPr>
                <w:rFonts w:hint="eastAsia" w:ascii="宋体" w:hAnsi="宋体" w:cs="Times New Roman"/>
                <w:color w:val="auto"/>
                <w:highlight w:val="none"/>
                <w:lang w:eastAsia="zh-CN"/>
              </w:rPr>
              <w:t>的</w:t>
            </w:r>
            <w:r>
              <w:rPr>
                <w:rFonts w:hint="eastAsia" w:ascii="宋体" w:hAnsi="宋体" w:cs="Times New Roman"/>
                <w:color w:val="auto"/>
                <w:highlight w:val="none"/>
              </w:rPr>
              <w:t>施工图完成布展工程、硬件设备进场，项目施工完毕</w:t>
            </w:r>
            <w:r>
              <w:rPr>
                <w:rFonts w:hint="eastAsia" w:ascii="宋体" w:hAnsi="宋体" w:cs="Times New Roman"/>
                <w:color w:val="auto"/>
                <w:highlight w:val="none"/>
                <w:lang w:eastAsia="zh-CN"/>
              </w:rPr>
              <w:t>并</w:t>
            </w:r>
            <w:r>
              <w:rPr>
                <w:rFonts w:hint="eastAsia" w:ascii="宋体" w:hAnsi="宋体" w:cs="Times New Roman"/>
                <w:color w:val="auto"/>
                <w:highlight w:val="none"/>
              </w:rPr>
              <w:t>投入试运行，</w:t>
            </w:r>
            <w:r>
              <w:rPr>
                <w:rFonts w:hint="eastAsia" w:ascii="宋体" w:hAnsi="宋体" w:cs="Times New Roman"/>
                <w:color w:val="auto"/>
                <w:highlight w:val="none"/>
                <w:lang w:eastAsia="zh-CN"/>
              </w:rPr>
              <w:t>经甲方进行试运行确认后</w:t>
            </w:r>
            <w:r>
              <w:rPr>
                <w:rFonts w:hint="eastAsia" w:ascii="宋体" w:hAnsi="宋体" w:cs="Times New Roman"/>
                <w:color w:val="auto"/>
                <w:highlight w:val="none"/>
              </w:rPr>
              <w:t>，支付</w:t>
            </w:r>
            <w:r>
              <w:rPr>
                <w:rFonts w:hint="eastAsia" w:ascii="宋体" w:hAnsi="宋体" w:cs="Times New Roman"/>
                <w:color w:val="auto"/>
                <w:highlight w:val="none"/>
                <w:lang w:eastAsia="zh-CN"/>
              </w:rPr>
              <w:t>至合同金额</w:t>
            </w:r>
            <w:r>
              <w:rPr>
                <w:rFonts w:hint="eastAsia" w:ascii="宋体" w:hAnsi="宋体" w:cs="Times New Roman"/>
                <w:color w:val="auto"/>
                <w:highlight w:val="none"/>
              </w:rPr>
              <w:t>的</w:t>
            </w:r>
            <w:r>
              <w:rPr>
                <w:rFonts w:hint="eastAsia" w:ascii="宋体" w:hAnsi="宋体" w:cs="Times New Roman"/>
                <w:color w:val="auto"/>
                <w:highlight w:val="none"/>
                <w:lang w:val="en-US" w:eastAsia="zh-CN"/>
              </w:rPr>
              <w:t>84</w:t>
            </w:r>
            <w:r>
              <w:rPr>
                <w:rFonts w:hint="eastAsia" w:ascii="宋体" w:hAnsi="宋体" w:cs="Times New Roman"/>
                <w:color w:val="auto"/>
                <w:highlight w:val="none"/>
              </w:rPr>
              <w:t>%；</w:t>
            </w:r>
            <w:r>
              <w:rPr>
                <w:rFonts w:hint="eastAsia" w:ascii="宋体" w:hAnsi="宋体" w:cs="Times New Roman"/>
                <w:color w:val="auto"/>
                <w:highlight w:val="none"/>
                <w:lang w:eastAsia="zh-CN"/>
              </w:rPr>
              <w:t>（</w:t>
            </w:r>
            <w:r>
              <w:rPr>
                <w:rFonts w:hint="eastAsia" w:ascii="宋体" w:hAnsi="宋体" w:cs="Times New Roman"/>
                <w:color w:val="auto"/>
                <w:highlight w:val="none"/>
                <w:lang w:val="en-US" w:eastAsia="zh-CN"/>
              </w:rPr>
              <w:t>6</w:t>
            </w:r>
            <w:r>
              <w:rPr>
                <w:rFonts w:hint="eastAsia" w:ascii="宋体" w:hAnsi="宋体" w:cs="Times New Roman"/>
                <w:color w:val="auto"/>
                <w:highlight w:val="none"/>
                <w:lang w:eastAsia="zh-CN"/>
              </w:rPr>
              <w:t>）</w:t>
            </w:r>
            <w:r>
              <w:rPr>
                <w:rFonts w:hint="eastAsia" w:ascii="宋体" w:hAnsi="宋体" w:cs="Times New Roman"/>
                <w:color w:val="auto"/>
                <w:highlight w:val="none"/>
              </w:rPr>
              <w:t>试运行阶段结束且项目整体运行稳定</w:t>
            </w:r>
            <w:r>
              <w:rPr>
                <w:rFonts w:hint="eastAsia" w:ascii="宋体" w:hAnsi="宋体" w:cs="Times New Roman"/>
                <w:color w:val="auto"/>
                <w:highlight w:val="none"/>
                <w:lang w:eastAsia="zh-CN"/>
              </w:rPr>
              <w:t>（不少于</w:t>
            </w:r>
            <w:r>
              <w:rPr>
                <w:rFonts w:hint="eastAsia" w:ascii="宋体" w:hAnsi="宋体" w:cs="Times New Roman"/>
                <w:color w:val="auto"/>
                <w:highlight w:val="none"/>
                <w:lang w:val="en-US" w:eastAsia="zh-CN"/>
              </w:rPr>
              <w:t>6个月</w:t>
            </w:r>
            <w:r>
              <w:rPr>
                <w:rFonts w:hint="eastAsia" w:ascii="宋体" w:hAnsi="宋体" w:cs="Times New Roman"/>
                <w:color w:val="auto"/>
                <w:highlight w:val="none"/>
                <w:lang w:eastAsia="zh-CN"/>
              </w:rPr>
              <w:t>），</w:t>
            </w:r>
            <w:r>
              <w:rPr>
                <w:rFonts w:hint="eastAsia" w:ascii="宋体" w:hAnsi="宋体" w:cs="Times New Roman"/>
                <w:color w:val="auto"/>
                <w:highlight w:val="none"/>
              </w:rPr>
              <w:t>通过甲方组织的正式验收后</w:t>
            </w:r>
            <w:r>
              <w:rPr>
                <w:rFonts w:hint="eastAsia" w:ascii="宋体" w:hAnsi="宋体" w:cs="Times New Roman"/>
                <w:color w:val="auto"/>
                <w:highlight w:val="none"/>
                <w:lang w:eastAsia="zh-CN"/>
              </w:rPr>
              <w:t>，</w:t>
            </w:r>
            <w:r>
              <w:rPr>
                <w:rFonts w:hint="eastAsia" w:ascii="宋体" w:hAnsi="宋体" w:cs="Times New Roman"/>
                <w:color w:val="auto"/>
                <w:highlight w:val="none"/>
              </w:rPr>
              <w:t>支付</w:t>
            </w:r>
            <w:r>
              <w:rPr>
                <w:rFonts w:hint="eastAsia" w:ascii="宋体" w:hAnsi="宋体" w:cs="Times New Roman"/>
                <w:color w:val="auto"/>
                <w:highlight w:val="none"/>
                <w:lang w:eastAsia="zh-CN"/>
              </w:rPr>
              <w:t>至合同金额</w:t>
            </w:r>
            <w:r>
              <w:rPr>
                <w:rFonts w:hint="eastAsia" w:ascii="宋体" w:hAnsi="宋体" w:cs="Times New Roman"/>
                <w:color w:val="auto"/>
                <w:highlight w:val="none"/>
              </w:rPr>
              <w:t>的</w:t>
            </w:r>
            <w:r>
              <w:rPr>
                <w:rFonts w:hint="eastAsia" w:ascii="宋体" w:hAnsi="宋体" w:cs="Times New Roman"/>
                <w:color w:val="auto"/>
                <w:highlight w:val="none"/>
                <w:lang w:val="en-US" w:eastAsia="zh-CN"/>
              </w:rPr>
              <w:t>90</w:t>
            </w:r>
            <w:r>
              <w:rPr>
                <w:rFonts w:hint="eastAsia" w:ascii="宋体" w:hAnsi="宋体" w:cs="Times New Roman"/>
                <w:color w:val="auto"/>
                <w:highlight w:val="none"/>
              </w:rPr>
              <w:t>%；</w:t>
            </w:r>
            <w:r>
              <w:rPr>
                <w:rFonts w:hint="eastAsia" w:ascii="宋体" w:hAnsi="宋体" w:cs="Times New Roman"/>
                <w:color w:val="auto"/>
                <w:highlight w:val="none"/>
                <w:lang w:eastAsia="zh-CN"/>
              </w:rPr>
              <w:t>（</w:t>
            </w:r>
            <w:r>
              <w:rPr>
                <w:rFonts w:hint="eastAsia" w:ascii="宋体" w:hAnsi="宋体" w:cs="Times New Roman"/>
                <w:color w:val="auto"/>
                <w:highlight w:val="none"/>
                <w:lang w:val="en-US" w:eastAsia="zh-CN"/>
              </w:rPr>
              <w:t>7</w:t>
            </w:r>
            <w:r>
              <w:rPr>
                <w:rFonts w:hint="eastAsia" w:ascii="宋体" w:hAnsi="宋体" w:cs="Times New Roman"/>
                <w:color w:val="auto"/>
                <w:highlight w:val="none"/>
                <w:lang w:eastAsia="zh-CN"/>
              </w:rPr>
              <w:t>）</w:t>
            </w:r>
            <w:r>
              <w:rPr>
                <w:rFonts w:hint="eastAsia" w:ascii="宋体" w:hAnsi="宋体" w:cs="Times New Roman"/>
                <w:color w:val="auto"/>
                <w:highlight w:val="none"/>
              </w:rPr>
              <w:t>项目整体通过竣工</w:t>
            </w:r>
            <w:r>
              <w:rPr>
                <w:rFonts w:hint="eastAsia" w:ascii="宋体" w:hAnsi="宋体" w:cs="Times New Roman"/>
                <w:color w:val="auto"/>
                <w:highlight w:val="none"/>
                <w:lang w:eastAsia="zh-CN"/>
              </w:rPr>
              <w:t>决算</w:t>
            </w:r>
            <w:r>
              <w:rPr>
                <w:rFonts w:hint="eastAsia" w:ascii="宋体" w:hAnsi="宋体" w:cs="Times New Roman"/>
                <w:color w:val="auto"/>
                <w:highlight w:val="none"/>
              </w:rPr>
              <w:t>、通过决算评审后，按照最终评审价格结算余款。</w:t>
            </w:r>
          </w:p>
          <w:p w14:paraId="25293B6E">
            <w:pPr>
              <w:keepNext w:val="0"/>
              <w:keepLines w:val="0"/>
              <w:suppressLineNumbers w:val="0"/>
              <w:spacing w:before="0" w:beforeAutospacing="0" w:after="0" w:afterAutospacing="0"/>
              <w:ind w:left="0" w:right="0"/>
              <w:rPr>
                <w:rFonts w:hint="eastAsia" w:ascii="宋体" w:hAnsi="宋体" w:cs="Times New Roman"/>
                <w:color w:val="auto"/>
                <w:highlight w:val="none"/>
              </w:rPr>
            </w:pPr>
            <w:r>
              <w:rPr>
                <w:rFonts w:hint="eastAsia" w:ascii="宋体" w:hAnsi="宋体" w:cs="Times New Roman"/>
                <w:color w:val="auto"/>
                <w:highlight w:val="none"/>
              </w:rPr>
              <w:t>备注：1.上述设计成果均需提交源文件；2.合同款需在市财政拨款落实后方能支付；3.验收前，中标方需提供由第三方出具的环境污染检测报告。</w:t>
            </w:r>
          </w:p>
          <w:p w14:paraId="3BD1ED9B">
            <w:pPr>
              <w:keepNext w:val="0"/>
              <w:keepLines w:val="0"/>
              <w:suppressLineNumbers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（三）中标人不得转包给第三者，也不能给第三者挂靠。</w:t>
            </w:r>
          </w:p>
          <w:p w14:paraId="106521DE">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eastAsia" w:ascii="宋体" w:hAnsi="宋体" w:cs="Times New Roman"/>
                <w:color w:val="auto"/>
                <w:szCs w:val="21"/>
                <w:highlight w:val="none"/>
              </w:rPr>
              <w:t>（四）中标人应协助提供完成本项目有关的资料汇编、方案汇报、施工图审查、消防报审及预决算审核等其他服务；</w:t>
            </w:r>
            <w:r>
              <w:rPr>
                <w:rFonts w:hint="default" w:ascii="Times New Roman" w:hAnsi="Times New Roman" w:cs="Times New Roman"/>
                <w:color w:val="auto"/>
                <w:highlight w:val="none"/>
              </w:rPr>
              <w:t>协作</w:t>
            </w:r>
            <w:r>
              <w:rPr>
                <w:rFonts w:hint="eastAsia" w:ascii="Times New Roman" w:hAnsi="Times New Roman" w:cs="Times New Roman"/>
                <w:color w:val="auto"/>
                <w:highlight w:val="none"/>
              </w:rPr>
              <w:t>施工</w:t>
            </w:r>
            <w:r>
              <w:rPr>
                <w:rFonts w:hint="default" w:ascii="Times New Roman" w:hAnsi="Times New Roman" w:cs="Times New Roman"/>
                <w:color w:val="auto"/>
                <w:highlight w:val="none"/>
              </w:rPr>
              <w:t>后续的设备联动调试、验收</w:t>
            </w:r>
            <w:r>
              <w:rPr>
                <w:rFonts w:hint="eastAsia" w:ascii="Times New Roman" w:hAnsi="Times New Roman" w:cs="Times New Roman"/>
                <w:color w:val="auto"/>
                <w:highlight w:val="none"/>
              </w:rPr>
              <w:t>等</w:t>
            </w:r>
            <w:r>
              <w:rPr>
                <w:rFonts w:hint="default" w:ascii="Times New Roman" w:hAnsi="Times New Roman" w:cs="Times New Roman"/>
                <w:color w:val="auto"/>
                <w:highlight w:val="none"/>
              </w:rPr>
              <w:t>试运营</w:t>
            </w:r>
            <w:r>
              <w:rPr>
                <w:rFonts w:hint="eastAsia" w:ascii="Times New Roman" w:hAnsi="Times New Roman" w:cs="Times New Roman"/>
                <w:color w:val="auto"/>
                <w:highlight w:val="none"/>
              </w:rPr>
              <w:t>工作</w:t>
            </w:r>
            <w:r>
              <w:rPr>
                <w:rFonts w:hint="default" w:ascii="Times New Roman" w:hAnsi="Times New Roman" w:cs="Times New Roman"/>
                <w:color w:val="auto"/>
                <w:highlight w:val="none"/>
              </w:rPr>
              <w:t>和竣工档案整理移交等工作。</w:t>
            </w:r>
          </w:p>
          <w:p w14:paraId="476D649B">
            <w:pPr>
              <w:keepNext w:val="0"/>
              <w:keepLines w:val="0"/>
              <w:suppressLineNumbers w:val="0"/>
              <w:spacing w:before="0" w:beforeAutospacing="0" w:after="0" w:afterAutospacing="0" w:line="288" w:lineRule="auto"/>
              <w:ind w:left="0" w:right="0"/>
              <w:rPr>
                <w:rFonts w:hint="default" w:ascii="宋体" w:hAnsi="宋体" w:eastAsia="宋体" w:cs="Times New Roman"/>
                <w:color w:val="auto"/>
                <w:kern w:val="0"/>
                <w:szCs w:val="21"/>
                <w:highlight w:val="none"/>
                <w:lang w:eastAsia="zh-CN"/>
              </w:rPr>
            </w:pPr>
            <w:r>
              <w:rPr>
                <w:rFonts w:hint="eastAsia" w:ascii="Times New Roman" w:hAnsi="Times New Roman" w:cs="Times New Roman"/>
                <w:color w:val="auto"/>
                <w:highlight w:val="none"/>
              </w:rPr>
              <w:t>（五）本项目不安排集中踏勘，投标人关于项目的实地信息应自行踏勘。</w:t>
            </w:r>
            <w:r>
              <w:rPr>
                <w:rFonts w:hint="eastAsia" w:cs="Times New Roman"/>
                <w:color w:val="auto"/>
                <w:highlight w:val="none"/>
                <w:lang w:eastAsia="zh-CN"/>
              </w:rPr>
              <w:t>相关资料随采购文件自行下载。</w:t>
            </w:r>
          </w:p>
        </w:tc>
      </w:tr>
      <w:bookmarkEnd w:id="36"/>
    </w:tbl>
    <w:p w14:paraId="346BBC30">
      <w:pPr>
        <w:spacing w:line="428" w:lineRule="exact"/>
        <w:ind w:left="119"/>
        <w:rPr>
          <w:color w:val="auto"/>
          <w:highlight w:val="none"/>
        </w:rPr>
      </w:pPr>
      <w:bookmarkStart w:id="37" w:name="PO_TDCUS_ITEM_PB_REQ_FILE_2_1"/>
    </w:p>
    <w:p w14:paraId="1DDC8092">
      <w:pPr>
        <w:spacing w:line="428" w:lineRule="exact"/>
        <w:ind w:left="119"/>
        <w:rPr>
          <w:color w:val="auto"/>
          <w:highlight w:val="none"/>
        </w:rPr>
      </w:pPr>
    </w:p>
    <w:p w14:paraId="15EBC595">
      <w:pPr>
        <w:spacing w:line="428" w:lineRule="exact"/>
        <w:ind w:left="119"/>
        <w:rPr>
          <w:color w:val="auto"/>
          <w:highlight w:val="none"/>
        </w:rPr>
      </w:pPr>
    </w:p>
    <w:p w14:paraId="4C31E90E">
      <w:pPr>
        <w:spacing w:line="428" w:lineRule="exact"/>
        <w:ind w:left="119"/>
        <w:rPr>
          <w:color w:val="auto"/>
          <w:highlight w:val="none"/>
        </w:rPr>
      </w:pPr>
    </w:p>
    <w:p w14:paraId="0CDC7D44">
      <w:pPr>
        <w:spacing w:line="428" w:lineRule="exact"/>
        <w:ind w:left="119"/>
        <w:rPr>
          <w:color w:val="auto"/>
          <w:highlight w:val="none"/>
        </w:rPr>
      </w:pPr>
    </w:p>
    <w:p w14:paraId="6839BCDC">
      <w:pPr>
        <w:spacing w:line="428" w:lineRule="exact"/>
        <w:ind w:left="119"/>
        <w:rPr>
          <w:color w:val="auto"/>
          <w:highlight w:val="none"/>
        </w:rPr>
      </w:pPr>
    </w:p>
    <w:p w14:paraId="1960906A">
      <w:pPr>
        <w:spacing w:line="428" w:lineRule="exact"/>
        <w:ind w:left="119"/>
        <w:rPr>
          <w:color w:val="auto"/>
          <w:highlight w:val="none"/>
        </w:rPr>
      </w:pPr>
    </w:p>
    <w:p w14:paraId="49B876AC">
      <w:pPr>
        <w:spacing w:line="428" w:lineRule="exact"/>
        <w:ind w:left="119"/>
        <w:rPr>
          <w:color w:val="auto"/>
          <w:highlight w:val="none"/>
        </w:rPr>
      </w:pPr>
    </w:p>
    <w:p w14:paraId="0BD944BA">
      <w:pPr>
        <w:spacing w:line="428" w:lineRule="exact"/>
        <w:ind w:left="119"/>
        <w:rPr>
          <w:color w:val="auto"/>
          <w:highlight w:val="none"/>
        </w:rPr>
        <w:sectPr>
          <w:pgSz w:w="11906" w:h="16838"/>
          <w:pgMar w:top="1440" w:right="1080" w:bottom="1440" w:left="1080" w:header="720" w:footer="720" w:gutter="0"/>
          <w:cols w:space="720" w:num="1"/>
          <w:docGrid w:type="lines" w:linePitch="331" w:charSpace="0"/>
        </w:sectPr>
      </w:pPr>
    </w:p>
    <w:p w14:paraId="7DA5E7E3">
      <w:pPr>
        <w:spacing w:line="428" w:lineRule="exact"/>
        <w:ind w:left="119"/>
        <w:rPr>
          <w:color w:val="auto"/>
          <w:highlight w:val="none"/>
        </w:rPr>
      </w:pPr>
    </w:p>
    <w:p w14:paraId="5AC888D5">
      <w:pPr>
        <w:spacing w:line="428" w:lineRule="exact"/>
        <w:ind w:left="119"/>
        <w:rPr>
          <w:rFonts w:hint="eastAsia" w:ascii="微软雅黑" w:hAnsi="微软雅黑" w:eastAsia="微软雅黑" w:cs="微软雅黑"/>
          <w:color w:val="auto"/>
          <w:sz w:val="32"/>
          <w:szCs w:val="32"/>
          <w:highlight w:val="none"/>
        </w:rPr>
      </w:pPr>
      <w:r>
        <w:rPr>
          <w:rFonts w:hAnsi="宋体"/>
          <w:color w:val="auto"/>
          <w:highlight w:val="none"/>
        </w:rPr>
        <w:t xml:space="preserve"> </w:t>
      </w:r>
      <w:r>
        <w:rPr>
          <w:rFonts w:hint="eastAsia" w:ascii="微软雅黑" w:hAnsi="微软雅黑" w:eastAsia="微软雅黑" w:cs="微软雅黑"/>
          <w:color w:val="auto"/>
          <w:sz w:val="32"/>
          <w:szCs w:val="32"/>
          <w:highlight w:val="none"/>
        </w:rPr>
        <w:t>附件</w:t>
      </w:r>
      <w:r>
        <w:rPr>
          <w:rFonts w:hint="eastAsia" w:ascii="Arial Unicode MS" w:hAnsi="Arial Unicode MS" w:eastAsia="Arial Unicode MS" w:cs="Arial Unicode MS"/>
          <w:color w:val="auto"/>
          <w:sz w:val="32"/>
          <w:szCs w:val="32"/>
          <w:highlight w:val="none"/>
          <w:lang w:val="en-US" w:eastAsia="zh-CN"/>
        </w:rPr>
        <w:t>1</w:t>
      </w:r>
      <w:r>
        <w:rPr>
          <w:rFonts w:hint="eastAsia" w:ascii="微软雅黑" w:hAnsi="微软雅黑" w:eastAsia="微软雅黑" w:cs="微软雅黑"/>
          <w:color w:val="auto"/>
          <w:sz w:val="32"/>
          <w:szCs w:val="32"/>
          <w:highlight w:val="none"/>
        </w:rPr>
        <w:t>：</w:t>
      </w:r>
    </w:p>
    <w:p w14:paraId="5C6AB41F">
      <w:pPr>
        <w:spacing w:line="428" w:lineRule="exact"/>
        <w:ind w:left="119"/>
        <w:jc w:val="center"/>
        <w:rPr>
          <w:rFonts w:hint="eastAsia" w:ascii="微软雅黑" w:hAnsi="微软雅黑" w:eastAsia="微软雅黑" w:cs="微软雅黑"/>
          <w:color w:val="auto"/>
          <w:sz w:val="32"/>
          <w:szCs w:val="32"/>
          <w:highlight w:val="none"/>
        </w:rPr>
      </w:pPr>
      <w:r>
        <w:rPr>
          <w:rFonts w:hint="eastAsia" w:ascii="微软雅黑" w:hAnsi="微软雅黑" w:eastAsia="微软雅黑" w:cs="微软雅黑"/>
          <w:color w:val="auto"/>
          <w:sz w:val="32"/>
          <w:szCs w:val="32"/>
          <w:highlight w:val="none"/>
        </w:rPr>
        <w:t>《南宁市城市规划展示馆布展内容升级改造项目多媒体设备主要技术列表》</w:t>
      </w:r>
    </w:p>
    <w:p w14:paraId="05AAB7D7">
      <w:pPr>
        <w:spacing w:line="428" w:lineRule="exact"/>
        <w:ind w:left="119"/>
        <w:rPr>
          <w:rFonts w:hint="eastAsia" w:ascii="微软雅黑" w:hAnsi="微软雅黑" w:eastAsia="微软雅黑" w:cs="微软雅黑"/>
          <w:color w:val="auto"/>
          <w:sz w:val="32"/>
          <w:szCs w:val="32"/>
          <w:highlight w:val="none"/>
        </w:rPr>
      </w:pPr>
    </w:p>
    <w:tbl>
      <w:tblPr>
        <w:tblStyle w:val="33"/>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58"/>
        <w:gridCol w:w="3791"/>
        <w:gridCol w:w="7053"/>
        <w:gridCol w:w="658"/>
        <w:gridCol w:w="1921"/>
      </w:tblGrid>
      <w:tr w14:paraId="690ED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0" w:type="auto"/>
            <w:gridSpan w:val="5"/>
            <w:tcBorders>
              <w:top w:val="nil"/>
              <w:left w:val="nil"/>
              <w:bottom w:val="nil"/>
              <w:right w:val="nil"/>
            </w:tcBorders>
            <w:noWrap/>
            <w:vAlign w:val="center"/>
          </w:tcPr>
          <w:p w14:paraId="36AD9AFC">
            <w:pPr>
              <w:keepNext w:val="0"/>
              <w:keepLines w:val="0"/>
              <w:widowControl/>
              <w:suppressLineNumbers w:val="0"/>
              <w:spacing w:before="0" w:beforeAutospacing="0" w:after="0" w:afterAutospacing="0"/>
              <w:ind w:left="0" w:right="0"/>
              <w:jc w:val="center"/>
              <w:textAlignment w:val="center"/>
              <w:rPr>
                <w:rFonts w:hint="default" w:ascii="方正黑体_GBK" w:hAnsi="方正黑体_GBK" w:eastAsia="方正黑体_GBK" w:cs="方正黑体_GBK"/>
                <w:i w:val="0"/>
                <w:iCs w:val="0"/>
                <w:color w:val="auto"/>
                <w:sz w:val="28"/>
                <w:szCs w:val="28"/>
                <w:highlight w:val="none"/>
                <w:u w:val="none"/>
              </w:rPr>
            </w:pPr>
            <w:r>
              <w:rPr>
                <w:rFonts w:hint="default" w:ascii="方正黑体_GBK" w:hAnsi="方正黑体_GBK" w:eastAsia="方正黑体_GBK" w:cs="方正黑体_GBK"/>
                <w:i w:val="0"/>
                <w:iCs w:val="0"/>
                <w:color w:val="auto"/>
                <w:kern w:val="0"/>
                <w:sz w:val="28"/>
                <w:szCs w:val="28"/>
                <w:highlight w:val="none"/>
                <w:u w:val="none"/>
                <w:lang w:val="en-US" w:eastAsia="zh-CN" w:bidi="ar"/>
              </w:rPr>
              <w:t>南宁市城市规划展示馆布展内容升级改造项目多媒体设备主要技术列表</w:t>
            </w:r>
          </w:p>
        </w:tc>
      </w:tr>
      <w:tr w14:paraId="2C56E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8A64BA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E7167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设备名称</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106E2D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参数要求</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0A18A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D4D65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数量要求</w:t>
            </w:r>
          </w:p>
        </w:tc>
      </w:tr>
      <w:tr w14:paraId="6C0C9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5E06AA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BC6D2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100寸商用显示器</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0AB91D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1.物理分辨率≥3840*2160</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2.亮度≥700cd/m²</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FDDE6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116EA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14:paraId="405E7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062CEF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77327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10寸超低音方形吸顶音箱</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4890595">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1.大功率.大动态长冲程重型低频扬声器</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2.面板非孔网部分边框宽度不大于3毫米</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3.专业四芯SPEAKON插座</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4.额定功率≥300W/AES最大功率≥1200W/AES</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5.频率响应：40Hz-150Hz</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6.灵敏度≤96dB</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7.额定阻抗：8ohms</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8.面板材质：全合金</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9.透声网材质：合金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856BC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只</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0174A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14:paraId="241A7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79FE4F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2A20E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10寸两分频方形吸顶音箱</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FEDD500">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1.10英寸大功率.大动态高保真中低频扬声器和4英寸高清晰铝带式平板高频扬声器</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2.合金面板和面网总厚度不超过≤3毫米</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3.额定功率≥350W/AES最大功率≥1400W/AES</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4.频率响应≥55Hz-25kHz</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5.灵敏度≤96dB</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6.辐射角度≥H135°×V150</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7.额定阻抗：8ohms</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8.面板材质：全合金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B60FE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只</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6834B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w:t>
            </w:r>
          </w:p>
        </w:tc>
      </w:tr>
      <w:tr w14:paraId="7CE66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F60C39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399DE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32寸高亮防眩光触摸商显</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D77405F">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1.物理分辨率≥1920*1080</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2.G+G电容多点触控</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3.亮度≥700cd/m²</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4.表面防眩光处理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C54CA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4F57B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r>
      <w:tr w14:paraId="3F3AE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BC43DF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3147B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4进8出数字音箱处理器</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78CC15C">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1.512阶高阶线性相位滤波器支持高通.低通.带通三种模式，6种窗类型可选</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2.96kHz采样频率.32-bit高速DSP处理器，24-bit A/D及D/A转换</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3.12个用户自定义场景模式</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4.支持通过USB和LAN接口两种方式连接电脑进行全参数调控</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5.支持最多连接250台机器远程中控，控制距离超过1500米</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6.每个输入通道均配置31段数字图示均衡器GEQ和10段数字参量均衡器</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7.每个输出通道均配置10段数字参量均衡器+10段PEQ，输出10段PEQ</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8.每个通道配置8段精确LED数字电平表.实时显示信号电平状态</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9.每个通道均配置独立静音按键</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10.所有输出通道提供IIR和FIR两种算法分频，IIR高/ 低通滤波器的斜率均可设置，其中贝塞尔(Bessel).巴特沃斯( Butterworth)可设置为12dB.18dB.24dB.36dB.48dB每倍频程，林克维茨-瑞莱(Linkwitz-Riley)可设置12dB.24dB.36dB.48dB 每倍频程</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11.每个输入和输出通道均配置增益.延时.相位及静音等强大数字DSP功能，延时最长可达1000ms，延时单位可选择毫秒(ms)，米(m)，英尺(ft)三种，步径有x0.001,x0.01,x0.1,x1.0,x10.0五种可选</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12.输出通道支持RMS压限，阀值范围-6dB~12dB,压缩率1：1-128：1，启动时间3ms-100ms</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13.支持通道联调和通道复制，能同时选择多个通道关联同步调整参数</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14.4路大动态平衡输入和8路大动态平衡输出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1B4BD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62115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r>
      <w:tr w14:paraId="40A09C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C9AACF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DE59E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75寸高亮防眩光商显</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6B3B055">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1.物理分辨率≥3840*2160</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2.亮度≥700cd/m²</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3.表面防眩光处理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629B9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3CFBB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14:paraId="2BAC3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D04D17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C180D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HDMI 4K 30光端机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E75EECD">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1.兼容HDMI1.4协议</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2.最高分辨率支持(4k*2k/60Hz),4096*2160/30Hz，8bit色深</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3.光信号速率18GB/s</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4.单LC光接口</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5.支持单模光纤，或多模OM3光纤多模传输距离300m.单模2KM</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6.支持内置EDID强制输出，EDID可学习更换</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7.支持音频加嵌及解嵌传输无需音频可选RS232透传</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8.工作电压DC +12V</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313AD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67275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32</w:t>
            </w:r>
          </w:p>
        </w:tc>
      </w:tr>
      <w:tr w14:paraId="42512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76BE4C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3B70B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KVM光端机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568548B">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1：支持高达3840×2160@30的高清分辨率</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2：支持双向音频（麦克风）</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3：支持EDID实时回传</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4：支持RS232透传（波特率115200）</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5：自动调整视频压缩率，保证流畅的视频流</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 xml:space="preserve">6：高速ASIC技术，确保远程图像.键盘.鼠标近乎零延迟 </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7：使用单模一芯LC光纤，标配10KM</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 xml:space="preserve">8：即插即用，无需任何设置 </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9：远端USB支持键盘.鼠标.U盘.打印机.扫描仪等USB外接设备:</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10：支持USB2.0协议</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2795E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E7EBF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r>
      <w:tr w14:paraId="3AD9F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5B9EE7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BAFAD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电子显示屏配电箱1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2A0C59E">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20KW PLC配电柜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51B8F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97615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14:paraId="321A7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37C1B4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BCA84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电子显示屏配电箱2</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8461C8E">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180KW PLC配电柜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A971B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9A2EE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14:paraId="02D87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6AC476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8CFA6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电子显示屏配电箱3</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ED9CAD5">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10KW PLC配电柜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AB974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95F01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14:paraId="65898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038B93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831DB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电子显示屏体内部钢结构框架</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765C50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依据设计需求与现场环境定制</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2A9E1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162D3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822</w:t>
            </w:r>
          </w:p>
        </w:tc>
      </w:tr>
      <w:tr w14:paraId="34EA5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713C2B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8185F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电子显示屏视频处理器1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FCE7BB7">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1.支持 ≥4路HDMI1.3，≥1路 HDMI2.0，≥1路 DP1.2，1 路3G-SDI（选配）视频输入，≥1路音频输入</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2.支持≥24个网口输出，≥1路音频输入</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3.最大带载 ≥1560万像素极限带载最宽≥16384，最高8192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FF5BF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A0D00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14:paraId="788D9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6D2798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5DB52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电子显示屏视频处理器2</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1A02DCC">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1.机箱大小：20U</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2.≥400 网口输出，有视频处理.视频控制功能</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 xml:space="preserve">3.单台设备最大带载能力(网口输出卡 )≥ 2.6亿像素点，最大带载能力 (光口输出卡 )≥4.16亿                                                                       4.采用工业级外壳，可适应复杂的操作环境                                                                                       </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 xml:space="preserve">5.配置要求：20U机箱一台、HDMI2.0≥2路 、DP1.2输入卡*16≥2路 、  20网口输出板卡 ≥15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5000C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72FF0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14:paraId="49C4F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1297A9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3808B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电子显示屏视频处理器3</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95148FD">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1.支持≥ 1 路DVI，≥2 路 HDMI1.4，≥1 路3G-SDI（选配）视频输入，≥1路音频输入</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2.支持≥ 10个网口输出，≥1路HDMI1.3预监输出，≥1路音频输出</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3.最大带载≥ 650万像素极限带载最宽≥10240，最高≥8192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4E691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A87C2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14:paraId="1BD83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40"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7F899EE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17</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4B5B0BE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电子显示屏（P1.5）</w:t>
            </w:r>
          </w:p>
        </w:tc>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6319913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Style w:val="134"/>
                <w:color w:val="auto"/>
                <w:highlight w:val="none"/>
                <w:lang w:val="en-US" w:eastAsia="zh-CN" w:bidi="ar"/>
              </w:rPr>
              <w:t>1.像素间距：1.53mm</w:t>
            </w:r>
            <w:r>
              <w:rPr>
                <w:rStyle w:val="134"/>
                <w:color w:val="auto"/>
                <w:highlight w:val="none"/>
                <w:lang w:val="en-US" w:eastAsia="zh-CN" w:bidi="ar"/>
              </w:rPr>
              <w:br w:type="textWrapping"/>
            </w:r>
            <w:r>
              <w:rPr>
                <w:rStyle w:val="134"/>
                <w:color w:val="auto"/>
                <w:highlight w:val="none"/>
                <w:lang w:val="en-US" w:eastAsia="zh-CN" w:bidi="ar"/>
              </w:rPr>
              <w:t>2.LED类型：SMD 1212 黑灯</w:t>
            </w:r>
            <w:r>
              <w:rPr>
                <w:rStyle w:val="134"/>
                <w:color w:val="auto"/>
                <w:highlight w:val="none"/>
                <w:lang w:val="en-US" w:eastAsia="zh-CN" w:bidi="ar"/>
              </w:rPr>
              <w:br w:type="textWrapping"/>
            </w:r>
            <w:r>
              <w:rPr>
                <w:rStyle w:val="134"/>
                <w:color w:val="auto"/>
                <w:highlight w:val="none"/>
                <w:lang w:val="en-US" w:eastAsia="zh-CN" w:bidi="ar"/>
              </w:rPr>
              <w:t>3.箱体尺寸：640x480x61.5mm，整机采用压铸铝金箱体,保证箱体拼接的平整度和密闭防尘性、防火性能；</w:t>
            </w:r>
            <w:r>
              <w:rPr>
                <w:rFonts w:hint="eastAsia" w:ascii="宋体" w:hAnsi="宋体" w:eastAsia="宋体" w:cs="Times New Roman"/>
                <w:color w:val="auto"/>
                <w:szCs w:val="21"/>
                <w:highlight w:val="none"/>
              </w:rPr>
              <w:t>箱体拉伸强度</w:t>
            </w:r>
            <w:r>
              <w:rPr>
                <w:rFonts w:hint="eastAsia" w:ascii="宋体" w:hAnsi="宋体" w:cs="Times New Roman"/>
                <w:b/>
                <w:bCs/>
                <w:color w:val="auto"/>
                <w:szCs w:val="21"/>
                <w:highlight w:val="none"/>
                <w:lang w:val="en-US" w:eastAsia="zh-CN"/>
              </w:rPr>
              <w:t>≥</w:t>
            </w:r>
            <w:r>
              <w:rPr>
                <w:rFonts w:hint="eastAsia" w:ascii="宋体" w:hAnsi="宋体" w:eastAsia="宋体" w:cs="Times New Roman"/>
                <w:b/>
                <w:bCs/>
                <w:color w:val="auto"/>
                <w:szCs w:val="21"/>
                <w:highlight w:val="none"/>
              </w:rPr>
              <w:t>300Mpa</w:t>
            </w:r>
            <w:r>
              <w:rPr>
                <w:rFonts w:hint="eastAsia" w:ascii="宋体" w:hAnsi="宋体" w:eastAsia="宋体" w:cs="Times New Roman"/>
                <w:color w:val="auto"/>
                <w:szCs w:val="21"/>
                <w:highlight w:val="none"/>
              </w:rPr>
              <w:t>,硬度</w:t>
            </w:r>
            <w:r>
              <w:rPr>
                <w:rFonts w:hint="eastAsia" w:ascii="宋体" w:hAnsi="宋体" w:cs="Times New Roman"/>
                <w:b/>
                <w:bCs/>
                <w:color w:val="auto"/>
                <w:szCs w:val="21"/>
                <w:highlight w:val="none"/>
                <w:lang w:val="en-US" w:eastAsia="zh-CN"/>
              </w:rPr>
              <w:t>≥</w:t>
            </w:r>
            <w:r>
              <w:rPr>
                <w:rFonts w:hint="eastAsia" w:ascii="宋体" w:hAnsi="宋体" w:eastAsia="宋体" w:cs="Times New Roman"/>
                <w:b/>
                <w:bCs/>
                <w:color w:val="auto"/>
                <w:szCs w:val="21"/>
                <w:highlight w:val="none"/>
              </w:rPr>
              <w:t>80HB</w:t>
            </w:r>
            <w:r>
              <w:rPr>
                <w:rStyle w:val="134"/>
                <w:color w:val="auto"/>
                <w:highlight w:val="none"/>
                <w:lang w:val="en-US" w:eastAsia="zh-CN" w:bidi="ar"/>
              </w:rPr>
              <w:br w:type="textWrapping"/>
            </w:r>
            <w:r>
              <w:rPr>
                <w:rStyle w:val="134"/>
                <w:color w:val="auto"/>
                <w:highlight w:val="none"/>
                <w:lang w:val="en-US" w:eastAsia="zh-CN" w:bidi="ar"/>
              </w:rPr>
              <w:t>4.模组尺寸：320*160mm</w:t>
            </w:r>
            <w:r>
              <w:rPr>
                <w:rStyle w:val="134"/>
                <w:color w:val="auto"/>
                <w:highlight w:val="none"/>
                <w:lang w:val="en-US" w:eastAsia="zh-CN" w:bidi="ar"/>
              </w:rPr>
              <w:br w:type="textWrapping"/>
            </w:r>
            <w:r>
              <w:rPr>
                <w:rStyle w:val="134"/>
                <w:color w:val="auto"/>
                <w:highlight w:val="none"/>
                <w:lang w:val="en-US" w:eastAsia="zh-CN" w:bidi="ar"/>
              </w:rPr>
              <w:t>5.显示单元重量(kg)：≤7.7</w:t>
            </w:r>
            <w:r>
              <w:rPr>
                <w:rStyle w:val="134"/>
                <w:color w:val="auto"/>
                <w:highlight w:val="none"/>
                <w:lang w:val="en-US" w:eastAsia="zh-CN" w:bidi="ar"/>
              </w:rPr>
              <w:br w:type="textWrapping"/>
            </w:r>
            <w:r>
              <w:rPr>
                <w:rStyle w:val="134"/>
                <w:color w:val="auto"/>
                <w:highlight w:val="none"/>
                <w:lang w:val="en-US" w:eastAsia="zh-CN" w:bidi="ar"/>
              </w:rPr>
              <w:t>6.箱体分辨率：416x312</w:t>
            </w:r>
            <w:r>
              <w:rPr>
                <w:rStyle w:val="134"/>
                <w:color w:val="auto"/>
                <w:highlight w:val="none"/>
                <w:lang w:val="en-US" w:eastAsia="zh-CN" w:bidi="ar"/>
              </w:rPr>
              <w:br w:type="textWrapping"/>
            </w:r>
            <w:r>
              <w:rPr>
                <w:rStyle w:val="134"/>
                <w:color w:val="auto"/>
                <w:highlight w:val="none"/>
                <w:lang w:val="en-US" w:eastAsia="zh-CN" w:bidi="ar"/>
              </w:rPr>
              <w:t>7.色温：8300K</w:t>
            </w:r>
            <w:r>
              <w:rPr>
                <w:rStyle w:val="134"/>
                <w:color w:val="auto"/>
                <w:highlight w:val="none"/>
                <w:lang w:val="en-US" w:eastAsia="zh-CN" w:bidi="ar"/>
              </w:rPr>
              <w:br w:type="textWrapping"/>
            </w:r>
            <w:r>
              <w:rPr>
                <w:rStyle w:val="134"/>
                <w:color w:val="auto"/>
                <w:highlight w:val="none"/>
                <w:lang w:val="en-US" w:eastAsia="zh-CN" w:bidi="ar"/>
              </w:rPr>
              <w:t>8.对比度：≥10000:1</w:t>
            </w:r>
            <w:r>
              <w:rPr>
                <w:rStyle w:val="134"/>
                <w:color w:val="auto"/>
                <w:highlight w:val="none"/>
                <w:lang w:val="en-US" w:eastAsia="zh-CN" w:bidi="ar"/>
              </w:rPr>
              <w:br w:type="textWrapping"/>
            </w:r>
            <w:r>
              <w:rPr>
                <w:rStyle w:val="134"/>
                <w:color w:val="auto"/>
                <w:highlight w:val="none"/>
                <w:lang w:val="en-US" w:eastAsia="zh-CN" w:bidi="ar"/>
              </w:rPr>
              <w:t>9.视角：水平视角≥160°，垂直视角≥160°</w:t>
            </w:r>
            <w:r>
              <w:rPr>
                <w:rStyle w:val="134"/>
                <w:color w:val="auto"/>
                <w:highlight w:val="none"/>
                <w:lang w:val="en-US" w:eastAsia="zh-CN" w:bidi="ar"/>
              </w:rPr>
              <w:br w:type="textWrapping"/>
            </w:r>
            <w:r>
              <w:rPr>
                <w:rStyle w:val="134"/>
                <w:color w:val="auto"/>
                <w:highlight w:val="none"/>
                <w:lang w:val="en-US" w:eastAsia="zh-CN" w:bidi="ar"/>
              </w:rPr>
              <w:t>10.刷新频率：≥3840HZ;支持通过配套控制软件调节刷新率设置，支持 420Hz-4880Hz调节</w:t>
            </w:r>
            <w:r>
              <w:rPr>
                <w:rStyle w:val="134"/>
                <w:color w:val="auto"/>
                <w:highlight w:val="none"/>
                <w:lang w:val="en-US" w:eastAsia="zh-CN" w:bidi="ar"/>
              </w:rPr>
              <w:br w:type="textWrapping"/>
            </w:r>
            <w:r>
              <w:rPr>
                <w:rStyle w:val="134"/>
                <w:color w:val="auto"/>
                <w:highlight w:val="none"/>
                <w:lang w:val="en-US" w:eastAsia="zh-CN" w:bidi="ar"/>
              </w:rPr>
              <w:t>11.亮度（nit）：500</w:t>
            </w:r>
            <w:r>
              <w:rPr>
                <w:rStyle w:val="134"/>
                <w:color w:val="auto"/>
                <w:highlight w:val="none"/>
                <w:lang w:val="en-US" w:eastAsia="zh-CN" w:bidi="ar"/>
              </w:rPr>
              <w:br w:type="textWrapping"/>
            </w:r>
            <w:r>
              <w:rPr>
                <w:rStyle w:val="134"/>
                <w:color w:val="auto"/>
                <w:highlight w:val="none"/>
                <w:lang w:val="en-US" w:eastAsia="zh-CN" w:bidi="ar"/>
              </w:rPr>
              <w:t>12.驱动方式：1/52</w:t>
            </w:r>
            <w:r>
              <w:rPr>
                <w:rStyle w:val="134"/>
                <w:color w:val="auto"/>
                <w:highlight w:val="none"/>
                <w:lang w:val="en-US" w:eastAsia="zh-CN" w:bidi="ar"/>
              </w:rPr>
              <w:br w:type="textWrapping"/>
            </w:r>
            <w:r>
              <w:rPr>
                <w:rStyle w:val="134"/>
                <w:color w:val="auto"/>
                <w:highlight w:val="none"/>
                <w:lang w:val="en-US" w:eastAsia="zh-CN" w:bidi="ar"/>
              </w:rPr>
              <w:t xml:space="preserve">13.AC工作电压（V）：100～240 </w:t>
            </w:r>
            <w:r>
              <w:rPr>
                <w:rStyle w:val="134"/>
                <w:color w:val="auto"/>
                <w:highlight w:val="none"/>
                <w:lang w:val="en-US" w:eastAsia="zh-CN" w:bidi="ar"/>
              </w:rPr>
              <w:br w:type="textWrapping"/>
            </w:r>
            <w:r>
              <w:rPr>
                <w:rStyle w:val="134"/>
                <w:color w:val="auto"/>
                <w:highlight w:val="none"/>
                <w:lang w:val="en-US" w:eastAsia="zh-CN" w:bidi="ar"/>
              </w:rPr>
              <w:t>14.平均功耗（W/㎡）≤128，峰值功耗（W/㎡）≤385</w:t>
            </w:r>
            <w:r>
              <w:rPr>
                <w:rStyle w:val="134"/>
                <w:color w:val="auto"/>
                <w:highlight w:val="none"/>
                <w:lang w:val="en-US" w:eastAsia="zh-CN" w:bidi="ar"/>
              </w:rPr>
              <w:br w:type="textWrapping"/>
            </w:r>
            <w:r>
              <w:rPr>
                <w:rStyle w:val="134"/>
                <w:color w:val="auto"/>
                <w:highlight w:val="none"/>
                <w:lang w:val="en-US" w:eastAsia="zh-CN" w:bidi="ar"/>
              </w:rPr>
              <w:t>15.灰度等级（Bit）：16</w:t>
            </w:r>
            <w:r>
              <w:rPr>
                <w:rStyle w:val="134"/>
                <w:color w:val="auto"/>
                <w:highlight w:val="none"/>
                <w:lang w:val="en-US" w:eastAsia="zh-CN" w:bidi="ar"/>
              </w:rPr>
              <w:br w:type="textWrapping"/>
            </w:r>
            <w:r>
              <w:rPr>
                <w:rStyle w:val="134"/>
                <w:color w:val="auto"/>
                <w:highlight w:val="none"/>
                <w:lang w:val="en-US" w:eastAsia="zh-CN" w:bidi="ar"/>
              </w:rPr>
              <w:t>16.LED 像素失控率≤1/1500000</w:t>
            </w:r>
            <w:r>
              <w:rPr>
                <w:rStyle w:val="134"/>
                <w:color w:val="auto"/>
                <w:highlight w:val="none"/>
                <w:lang w:val="en-US" w:eastAsia="zh-CN" w:bidi="ar"/>
              </w:rPr>
              <w:br w:type="textWrapping"/>
            </w:r>
            <w:r>
              <w:rPr>
                <w:rStyle w:val="134"/>
                <w:color w:val="auto"/>
                <w:highlight w:val="none"/>
                <w:lang w:val="en-US" w:eastAsia="zh-CN" w:bidi="ar"/>
              </w:rPr>
              <w:t>17.亮度均匀性：</w:t>
            </w:r>
            <w:r>
              <w:rPr>
                <w:rFonts w:hint="eastAsia" w:ascii="宋体" w:hAnsi="宋体" w:eastAsia="宋体" w:cs="Times New Roman"/>
                <w:color w:val="auto"/>
                <w:szCs w:val="21"/>
                <w:highlight w:val="none"/>
              </w:rPr>
              <w:t>≥99.</w:t>
            </w:r>
            <w:r>
              <w:rPr>
                <w:rFonts w:hint="eastAsia" w:ascii="宋体" w:hAnsi="宋体" w:cs="Times New Roman"/>
                <w:color w:val="auto"/>
                <w:szCs w:val="21"/>
                <w:highlight w:val="none"/>
                <w:lang w:val="en-US" w:eastAsia="zh-CN"/>
              </w:rPr>
              <w:t>2</w:t>
            </w:r>
            <w:r>
              <w:rPr>
                <w:rFonts w:hint="eastAsia" w:ascii="宋体" w:hAnsi="宋体" w:eastAsia="宋体" w:cs="Times New Roman"/>
                <w:color w:val="auto"/>
                <w:szCs w:val="21"/>
                <w:highlight w:val="none"/>
              </w:rPr>
              <w:t>0%</w:t>
            </w:r>
            <w:r>
              <w:rPr>
                <w:rStyle w:val="134"/>
                <w:color w:val="auto"/>
                <w:highlight w:val="none"/>
                <w:lang w:val="en-US" w:eastAsia="zh-CN" w:bidi="ar"/>
              </w:rPr>
              <w:br w:type="textWrapping"/>
            </w:r>
            <w:r>
              <w:rPr>
                <w:rStyle w:val="134"/>
                <w:color w:val="auto"/>
                <w:highlight w:val="none"/>
                <w:lang w:val="en-US" w:eastAsia="zh-CN" w:bidi="ar"/>
              </w:rPr>
              <w:t>18.色域：≥120% NTSC</w:t>
            </w:r>
            <w:r>
              <w:rPr>
                <w:rStyle w:val="134"/>
                <w:color w:val="auto"/>
                <w:highlight w:val="none"/>
                <w:lang w:val="en-US" w:eastAsia="zh-CN" w:bidi="ar"/>
              </w:rPr>
              <w:br w:type="textWrapping"/>
            </w:r>
            <w:r>
              <w:rPr>
                <w:rStyle w:val="134"/>
                <w:color w:val="auto"/>
                <w:highlight w:val="none"/>
                <w:lang w:val="en-US" w:eastAsia="zh-CN" w:bidi="ar"/>
              </w:rPr>
              <w:t>19.平均故障恢复时间(MTTR)≤1分钟</w:t>
            </w:r>
            <w:r>
              <w:rPr>
                <w:rStyle w:val="134"/>
                <w:color w:val="auto"/>
                <w:highlight w:val="none"/>
                <w:lang w:val="en-US" w:eastAsia="zh-CN" w:bidi="ar"/>
              </w:rPr>
              <w:br w:type="textWrapping"/>
            </w:r>
            <w:r>
              <w:rPr>
                <w:rStyle w:val="134"/>
                <w:color w:val="auto"/>
                <w:highlight w:val="none"/>
                <w:lang w:val="en-US" w:eastAsia="zh-CN" w:bidi="ar"/>
              </w:rPr>
              <w:t>20.显示单元平整度(mm)：≤0.05；显示单元间隙(mm)：≤0.05</w:t>
            </w:r>
            <w:r>
              <w:rPr>
                <w:rStyle w:val="134"/>
                <w:color w:val="auto"/>
                <w:highlight w:val="none"/>
                <w:lang w:val="en-US" w:eastAsia="zh-CN" w:bidi="ar"/>
              </w:rPr>
              <w:br w:type="textWrapping"/>
            </w:r>
            <w:r>
              <w:rPr>
                <w:rStyle w:val="134"/>
                <w:color w:val="auto"/>
                <w:highlight w:val="none"/>
                <w:lang w:val="en-US" w:eastAsia="zh-CN" w:bidi="ar"/>
              </w:rPr>
              <w:t>21.带有智能(黑屏)节电功能,开启智能节电功能比没有开启节能50%以上,能源效率值</w:t>
            </w:r>
            <w:r>
              <w:rPr>
                <w:rFonts w:hint="eastAsia" w:ascii="宋体" w:hAnsi="宋体" w:eastAsia="宋体" w:cs="Times New Roman"/>
                <w:color w:val="auto"/>
                <w:szCs w:val="21"/>
                <w:highlight w:val="none"/>
              </w:rPr>
              <w:t>≥</w:t>
            </w:r>
            <w:r>
              <w:rPr>
                <w:rFonts w:hint="eastAsia" w:ascii="宋体" w:hAnsi="宋体" w:cs="Times New Roman"/>
                <w:color w:val="auto"/>
                <w:szCs w:val="21"/>
                <w:highlight w:val="none"/>
                <w:lang w:val="en-US" w:eastAsia="zh-CN"/>
              </w:rPr>
              <w:t>3cd/W</w:t>
            </w:r>
            <w:r>
              <w:rPr>
                <w:rStyle w:val="134"/>
                <w:color w:val="auto"/>
                <w:highlight w:val="none"/>
                <w:lang w:val="en-US" w:eastAsia="zh-CN" w:bidi="ar"/>
              </w:rPr>
              <w:t>,睡眠模式功率密度值</w:t>
            </w:r>
            <w:r>
              <w:rPr>
                <w:rFonts w:hint="eastAsia" w:ascii="宋体" w:hAnsi="宋体" w:eastAsia="宋体" w:cs="Times New Roman"/>
                <w:color w:val="auto"/>
                <w:szCs w:val="21"/>
                <w:highlight w:val="none"/>
              </w:rPr>
              <w:t>≤125W/</w:t>
            </w:r>
            <w:r>
              <w:rPr>
                <w:rFonts w:hint="eastAsia" w:ascii="宋体" w:hAnsi="宋体" w:cs="Times New Roman"/>
                <w:color w:val="auto"/>
                <w:szCs w:val="21"/>
                <w:highlight w:val="none"/>
                <w:lang w:val="en-US" w:eastAsia="zh-CN"/>
              </w:rPr>
              <w:t>㎡</w:t>
            </w:r>
            <w:r>
              <w:rPr>
                <w:rStyle w:val="134"/>
                <w:color w:val="auto"/>
                <w:highlight w:val="none"/>
                <w:lang w:val="en-US" w:eastAsia="zh-CN" w:bidi="ar"/>
              </w:rPr>
              <w:br w:type="textWrapping"/>
            </w:r>
            <w:r>
              <w:rPr>
                <w:rStyle w:val="134"/>
                <w:color w:val="auto"/>
                <w:highlight w:val="none"/>
                <w:lang w:val="en-US" w:eastAsia="zh-CN" w:bidi="ar"/>
              </w:rPr>
              <w:t>22，基色主波长误差(nm)：</w:t>
            </w:r>
            <w:r>
              <w:rPr>
                <w:rFonts w:hint="eastAsia" w:ascii="宋体" w:hAnsi="宋体" w:cs="Times New Roman"/>
                <w:color w:val="auto"/>
                <w:szCs w:val="21"/>
                <w:highlight w:val="none"/>
                <w:lang w:val="en-US" w:eastAsia="zh-CN"/>
              </w:rPr>
              <w:t>C 级ΔλD≤5</w:t>
            </w:r>
            <w:r>
              <w:rPr>
                <w:rStyle w:val="134"/>
                <w:color w:val="auto"/>
                <w:highlight w:val="none"/>
                <w:lang w:val="en-US" w:eastAsia="zh-CN" w:bidi="ar"/>
              </w:rPr>
              <w:t>,亮度误差值在3%,灯芯的波长误差值在</w:t>
            </w:r>
            <w:r>
              <w:rPr>
                <w:rFonts w:hint="eastAsia" w:ascii="宋体" w:hAnsi="宋体" w:cs="Times New Roman"/>
                <w:color w:val="auto"/>
                <w:szCs w:val="21"/>
                <w:highlight w:val="none"/>
                <w:lang w:val="en-US" w:eastAsia="zh-CN"/>
              </w:rPr>
              <w:t>±1nm之内，</w:t>
            </w:r>
            <w:r>
              <w:rPr>
                <w:rStyle w:val="134"/>
                <w:color w:val="auto"/>
                <w:highlight w:val="none"/>
                <w:lang w:val="en-US" w:eastAsia="zh-CN" w:bidi="ar"/>
              </w:rPr>
              <w:t>白场色坐标符合</w:t>
            </w:r>
            <w:r>
              <w:rPr>
                <w:rFonts w:hint="eastAsia" w:ascii="宋体" w:hAnsi="宋体" w:eastAsia="宋体" w:cs="Times New Roman"/>
                <w:color w:val="auto"/>
                <w:szCs w:val="21"/>
                <w:highlight w:val="none"/>
              </w:rPr>
              <w:t>SJ</w:t>
            </w:r>
            <w:r>
              <w:rPr>
                <w:rFonts w:hint="eastAsia" w:ascii="宋体" w:hAnsi="宋体" w:cs="Times New Roman"/>
                <w:color w:val="auto"/>
                <w:szCs w:val="21"/>
                <w:highlight w:val="none"/>
                <w:lang w:val="en-US" w:eastAsia="zh-CN"/>
              </w:rPr>
              <w:t>/</w:t>
            </w:r>
            <w:r>
              <w:rPr>
                <w:rFonts w:hint="eastAsia" w:ascii="宋体" w:hAnsi="宋体" w:eastAsia="宋体" w:cs="Times New Roman"/>
                <w:color w:val="auto"/>
                <w:szCs w:val="21"/>
                <w:highlight w:val="none"/>
              </w:rPr>
              <w:t>T 11141-2017 5.10.5</w:t>
            </w:r>
            <w:r>
              <w:rPr>
                <w:rStyle w:val="134"/>
                <w:color w:val="auto"/>
                <w:highlight w:val="none"/>
                <w:lang w:val="en-US" w:eastAsia="zh-CN" w:bidi="ar"/>
              </w:rPr>
              <w:t>规定范围</w:t>
            </w:r>
            <w:r>
              <w:rPr>
                <w:rStyle w:val="134"/>
                <w:color w:val="auto"/>
                <w:highlight w:val="none"/>
                <w:lang w:val="en-US" w:eastAsia="zh-CN" w:bidi="ar"/>
              </w:rPr>
              <w:br w:type="textWrapping"/>
            </w:r>
            <w:r>
              <w:rPr>
                <w:rStyle w:val="134"/>
                <w:color w:val="auto"/>
                <w:highlight w:val="none"/>
                <w:lang w:val="en-US" w:eastAsia="zh-CN" w:bidi="ar"/>
              </w:rPr>
              <w:t>23.工作噪声声压dBA(距离 1 米)：前方≤3.4，后方≤3.0，左方≤3.2，右方≤3.0</w:t>
            </w:r>
            <w:r>
              <w:rPr>
                <w:rStyle w:val="134"/>
                <w:color w:val="auto"/>
                <w:highlight w:val="none"/>
                <w:lang w:val="en-US" w:eastAsia="zh-CN" w:bidi="ar"/>
              </w:rPr>
              <w:br w:type="textWrapping"/>
            </w:r>
            <w:r>
              <w:rPr>
                <w:rStyle w:val="134"/>
                <w:color w:val="auto"/>
                <w:highlight w:val="none"/>
                <w:lang w:val="en-US" w:eastAsia="zh-CN" w:bidi="ar"/>
              </w:rPr>
              <w:t>24.电子显示屏符合防尘试验IP4X；符合IK10防冲击测试；符合盐雾 10 级要求；符合抗震8级要求；PCB 阻燃、塑胶件阻燃、内部线材阻燃均符合 V-0 要求；BS6853烟气毒性测试的毒性指数R值≤1</w:t>
            </w:r>
            <w:r>
              <w:rPr>
                <w:rStyle w:val="134"/>
                <w:color w:val="auto"/>
                <w:highlight w:val="none"/>
                <w:lang w:val="en-US" w:eastAsia="zh-CN" w:bidi="ar"/>
              </w:rPr>
              <w:br w:type="textWrapping"/>
            </w:r>
            <w:r>
              <w:rPr>
                <w:rStyle w:val="134"/>
                <w:color w:val="auto"/>
                <w:highlight w:val="none"/>
                <w:lang w:val="en-US" w:eastAsia="zh-CN" w:bidi="ar"/>
              </w:rPr>
              <w:t>25.分布式供电,具有电源过压、过流、断电保护以及温度控制系统,提供电源实时温度监控,超出设定温度自动报警,防止过温失效；</w:t>
            </w:r>
            <w:r>
              <w:rPr>
                <w:rStyle w:val="134"/>
                <w:color w:val="auto"/>
                <w:highlight w:val="none"/>
                <w:lang w:val="en-US" w:eastAsia="zh-CN" w:bidi="ar"/>
              </w:rPr>
              <w:br w:type="textWrapping"/>
            </w:r>
            <w:r>
              <w:rPr>
                <w:rStyle w:val="134"/>
                <w:color w:val="auto"/>
                <w:highlight w:val="none"/>
                <w:lang w:val="en-US" w:eastAsia="zh-CN" w:bidi="ar"/>
              </w:rPr>
              <w:t>26.蓝光危害测试：蓝光危害辐亮度≤5.7W/㎡/sr，对人眼无伤害</w:t>
            </w:r>
            <w:r>
              <w:rPr>
                <w:rStyle w:val="134"/>
                <w:color w:val="auto"/>
                <w:highlight w:val="none"/>
                <w:lang w:val="en-US" w:eastAsia="zh-CN" w:bidi="ar"/>
              </w:rPr>
              <w:br w:type="textWrapping"/>
            </w:r>
            <w:r>
              <w:rPr>
                <w:rStyle w:val="134"/>
                <w:color w:val="auto"/>
                <w:highlight w:val="none"/>
                <w:lang w:val="en-US" w:eastAsia="zh-CN" w:bidi="ar"/>
              </w:rPr>
              <w:t>27.认证：CCC</w:t>
            </w:r>
            <w:r>
              <w:rPr>
                <w:rStyle w:val="134"/>
                <w:color w:val="auto"/>
                <w:highlight w:val="none"/>
                <w:lang w:val="en-US" w:eastAsia="zh-CN" w:bidi="ar"/>
              </w:rPr>
              <w:br w:type="textWrapping"/>
            </w:r>
            <w:r>
              <w:rPr>
                <w:rStyle w:val="134"/>
                <w:color w:val="auto"/>
                <w:highlight w:val="none"/>
                <w:lang w:val="en-US" w:eastAsia="zh-CN" w:bidi="ar"/>
              </w:rPr>
              <w:t>28.电子显示屏的备品备件不少于5%，备品备件必须与电子显示屏同型号同批次，备品备件应于项目验收前供货完毕</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4AE830B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7127E4A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8（含备件1）</w:t>
            </w:r>
          </w:p>
        </w:tc>
      </w:tr>
      <w:tr w14:paraId="17A37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21C0911">
            <w:pPr>
              <w:keepNext w:val="0"/>
              <w:keepLines w:val="0"/>
              <w:suppressLineNumbers w:val="0"/>
              <w:spacing w:before="0" w:beforeAutospacing="0" w:after="0" w:afterAutospacing="0"/>
              <w:ind w:left="0" w:right="0"/>
              <w:jc w:val="center"/>
              <w:rPr>
                <w:rFonts w:hint="default" w:ascii="仿宋" w:hAnsi="仿宋" w:eastAsia="仿宋" w:cs="仿宋"/>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15C0C85">
            <w:pPr>
              <w:keepNext w:val="0"/>
              <w:keepLines w:val="0"/>
              <w:suppressLineNumbers w:val="0"/>
              <w:spacing w:before="0" w:beforeAutospacing="0" w:after="0" w:afterAutospacing="0"/>
              <w:ind w:left="0" w:right="0"/>
              <w:jc w:val="center"/>
              <w:rPr>
                <w:rFonts w:hint="default" w:ascii="仿宋" w:hAnsi="仿宋" w:eastAsia="仿宋" w:cs="仿宋"/>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0EB20541">
            <w:pPr>
              <w:keepNext w:val="0"/>
              <w:keepLines w:val="0"/>
              <w:suppressLineNumbers w:val="0"/>
              <w:spacing w:before="0" w:beforeAutospacing="0" w:after="0" w:afterAutospacing="0"/>
              <w:ind w:left="0" w:right="0"/>
              <w:jc w:val="left"/>
              <w:rPr>
                <w:rFonts w:hint="default" w:ascii="仿宋" w:hAnsi="仿宋" w:eastAsia="仿宋" w:cs="仿宋"/>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69DE27D">
            <w:pPr>
              <w:keepNext w:val="0"/>
              <w:keepLines w:val="0"/>
              <w:suppressLineNumbers w:val="0"/>
              <w:spacing w:before="0" w:beforeAutospacing="0" w:after="0" w:afterAutospacing="0"/>
              <w:ind w:left="0" w:right="0"/>
              <w:jc w:val="center"/>
              <w:rPr>
                <w:rFonts w:hint="default" w:ascii="仿宋" w:hAnsi="仿宋" w:eastAsia="仿宋" w:cs="仿宋"/>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25D6C8B">
            <w:pPr>
              <w:keepNext w:val="0"/>
              <w:keepLines w:val="0"/>
              <w:suppressLineNumbers w:val="0"/>
              <w:spacing w:before="0" w:beforeAutospacing="0" w:after="0" w:afterAutospacing="0"/>
              <w:ind w:left="0" w:right="0"/>
              <w:jc w:val="center"/>
              <w:rPr>
                <w:rFonts w:hint="default" w:ascii="仿宋" w:hAnsi="仿宋" w:eastAsia="仿宋" w:cs="仿宋"/>
                <w:i w:val="0"/>
                <w:iCs w:val="0"/>
                <w:color w:val="auto"/>
                <w:sz w:val="22"/>
                <w:szCs w:val="22"/>
                <w:highlight w:val="none"/>
                <w:u w:val="none"/>
              </w:rPr>
            </w:pPr>
          </w:p>
        </w:tc>
      </w:tr>
      <w:tr w14:paraId="186BA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0"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56A59AB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18</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5378BDA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电子显示屏（P2）</w:t>
            </w:r>
          </w:p>
        </w:tc>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5F5A3F1F">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1.像素间距：2mm</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2.LED类型：SMD 表贴三合一 1515 单灯封装(1R1G1B)</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3.箱体尺寸≤320x480x46.5mm</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4.模组尺寸≤320*240mm</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5.显示屏重量(kg/㎡)：≤12</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6.箱体分辨率≥160x240</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7.色温≥9300K</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8.对比度≥3000:1</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9.视角：水平视角≥170°，垂直视角≥160°</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10.刷新频率≥3840HZ</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11.亮度（nit）≥600</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12.驱动方式：1/54</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 xml:space="preserve">13.AC工作电压（V）：100～240 </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14.平均功耗（W/㎡）≤112，峰值功耗（W/㎡）≤336，采用节能驱动技术设计支持无信号输入自动熄屏待机，有信号输入自动唤醒功能，单箱黑屏不点亮时，功耗≤5.3W</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15.灰度等级（Bit）：14</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16.LED 像素失控率≤1/1500000</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17.亮度均匀性：≥99.30%</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18.色域覆盖率 NTSC≥115%色域重合度(%)：＞95(BT.709)</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19.平均故障恢复时间(MTTR)≤1分钟</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20.显示单元平整度(mm)：≤0.05显示单元间隙(mm)：≤0.05</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21.整机支持框架压铸铝箱体安装，具有双电源模块和双信号处理模块，维护更加便捷，能够直接将箱体锁定在框架压铸铝箱体上固定，确保安全</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22.亮度衰减率：≤5%</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23.工作噪声声压dB（A）(距离 1 米)：前方≤3.2，后方≤2.7，左方≤3.2，右方≤3.1</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24.电子显示屏符合防护等级IP4X符合IK10防冲击测试符合盐雾 10 级要求符合防电力远程窃密技术PCB 阻燃.塑胶件阻燃.内部线材阻燃均符合 V-0 要求</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25.分布式供电，具有电源过压.过流.断电保护以及温度控制系统</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26.蓝光危害测试：蓝光危害辐亮度≤5.7W/㎡/sr，对人眼无伤害</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27.认证：CCC</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28.电子显示屏的备品备件不少于5%，备品备件必须与电子显示屏同型号同批次，备品备件应于项目验收前供货完毕</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3716250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72CEB73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36（含备件2）</w:t>
            </w:r>
          </w:p>
        </w:tc>
      </w:tr>
      <w:tr w14:paraId="6A2DF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6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DA9C0AD">
            <w:pPr>
              <w:keepNext w:val="0"/>
              <w:keepLines w:val="0"/>
              <w:suppressLineNumbers w:val="0"/>
              <w:spacing w:before="0" w:beforeAutospacing="0" w:after="0" w:afterAutospacing="0"/>
              <w:ind w:left="0" w:right="0"/>
              <w:jc w:val="center"/>
              <w:rPr>
                <w:rFonts w:hint="default" w:ascii="仿宋" w:hAnsi="仿宋" w:eastAsia="仿宋" w:cs="仿宋"/>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C2529FB">
            <w:pPr>
              <w:keepNext w:val="0"/>
              <w:keepLines w:val="0"/>
              <w:suppressLineNumbers w:val="0"/>
              <w:spacing w:before="0" w:beforeAutospacing="0" w:after="0" w:afterAutospacing="0"/>
              <w:ind w:left="0" w:right="0"/>
              <w:jc w:val="center"/>
              <w:rPr>
                <w:rFonts w:hint="default" w:ascii="仿宋" w:hAnsi="仿宋" w:eastAsia="仿宋" w:cs="仿宋"/>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1EE61F28">
            <w:pPr>
              <w:keepNext w:val="0"/>
              <w:keepLines w:val="0"/>
              <w:suppressLineNumbers w:val="0"/>
              <w:spacing w:before="0" w:beforeAutospacing="0" w:after="0" w:afterAutospacing="0"/>
              <w:ind w:left="0" w:right="0"/>
              <w:jc w:val="left"/>
              <w:rPr>
                <w:rFonts w:hint="default" w:ascii="仿宋" w:hAnsi="仿宋" w:eastAsia="仿宋" w:cs="仿宋"/>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0E7E294">
            <w:pPr>
              <w:keepNext w:val="0"/>
              <w:keepLines w:val="0"/>
              <w:suppressLineNumbers w:val="0"/>
              <w:spacing w:before="0" w:beforeAutospacing="0" w:after="0" w:afterAutospacing="0"/>
              <w:ind w:left="0" w:right="0"/>
              <w:jc w:val="center"/>
              <w:rPr>
                <w:rFonts w:hint="default" w:ascii="仿宋" w:hAnsi="仿宋" w:eastAsia="仿宋" w:cs="仿宋"/>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ECF7AFE">
            <w:pPr>
              <w:keepNext w:val="0"/>
              <w:keepLines w:val="0"/>
              <w:suppressLineNumbers w:val="0"/>
              <w:spacing w:before="0" w:beforeAutospacing="0" w:after="0" w:afterAutospacing="0"/>
              <w:ind w:left="0" w:right="0"/>
              <w:jc w:val="center"/>
              <w:rPr>
                <w:rFonts w:hint="default" w:ascii="仿宋" w:hAnsi="仿宋" w:eastAsia="仿宋" w:cs="仿宋"/>
                <w:i w:val="0"/>
                <w:iCs w:val="0"/>
                <w:color w:val="auto"/>
                <w:sz w:val="22"/>
                <w:szCs w:val="22"/>
                <w:highlight w:val="none"/>
                <w:u w:val="none"/>
              </w:rPr>
            </w:pPr>
          </w:p>
        </w:tc>
      </w:tr>
      <w:tr w14:paraId="0BE77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20"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4106533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19</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36F0B7E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电子显示屏（P2.5）</w:t>
            </w:r>
          </w:p>
        </w:tc>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459738B6">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1.像素间距：2.5mm</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2.LED类型：SMD 表贴三合一 2121 单灯封装(1R1G1B)</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3.箱体尺寸：320x480x46.5mm</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4.模组尺寸：320*240mm</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5.显示屏重量(kg/㎡)：≤12</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6.箱体分辨率：128x192</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7.色温：9300K</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8.对比度：3000:1</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9.视角：水平视角≥170°，垂直视角≥160°</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10.刷新频率：3840HZ</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11.亮度（nit）：600</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12.驱动方式：1/64</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 xml:space="preserve">13.AC工作电压（V）：100～240 </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14.平均功耗（W/㎡）≤107，峰值功耗（W/㎡）≤321，采用节能驱动技术设计支持无信号输入自动熄屏待机，有信号输入自动唤醒功能，单箱黑屏不点亮时，功耗≤5.3W</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15.灰度等级（Bit）：14</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16.LED 像素失控率≤1/1500000</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17.亮度均匀性：≥99.30%</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18.色域覆盖率 NTSC≥115%色域重合度(%)：＞95(BT.709)</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19.平均故障恢复时间(MTTR)≤1分钟</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20.显示单元平整度(mm)：≤0.05显示单元间隙(mm)：≤0.05</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21.亮度衰减率：≤5%</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22.工作噪声声压dB（A）(距离 1 米)：前方≤3.2，后方≤2.7，左方≤3.2，右方≤3.1</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23.电子显示屏符合防护等级IP4X符合IK10防冲击测试符合盐雾 10 级要求符合防电力远程窃密技术PCB 阻燃.塑胶件阻燃.内部线材阻燃均符合 V-0 要求</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24.分布式供电，具有电源过压.过流.断电保护以及温度控制系统</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25.蓝光危害测试：蓝光危害辐亮度≤5.7W/㎡/sr，对人眼无伤害</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26.认证：CCC</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27.电子显示屏的备品备件不少于5%，备品备件必须与电子显示屏同型号同批次，备品备件应于项目验收前供货完毕</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01C5F2D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4DDCF7E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621（含备件40）</w:t>
            </w:r>
          </w:p>
        </w:tc>
      </w:tr>
      <w:tr w14:paraId="537F7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66EE881">
            <w:pPr>
              <w:keepNext w:val="0"/>
              <w:keepLines w:val="0"/>
              <w:suppressLineNumbers w:val="0"/>
              <w:spacing w:before="0" w:beforeAutospacing="0" w:after="0" w:afterAutospacing="0"/>
              <w:ind w:left="0" w:right="0"/>
              <w:jc w:val="center"/>
              <w:rPr>
                <w:rFonts w:hint="default" w:ascii="仿宋" w:hAnsi="仿宋" w:eastAsia="仿宋" w:cs="仿宋"/>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394BEE2">
            <w:pPr>
              <w:keepNext w:val="0"/>
              <w:keepLines w:val="0"/>
              <w:suppressLineNumbers w:val="0"/>
              <w:spacing w:before="0" w:beforeAutospacing="0" w:after="0" w:afterAutospacing="0"/>
              <w:ind w:left="0" w:right="0"/>
              <w:jc w:val="center"/>
              <w:rPr>
                <w:rFonts w:hint="default" w:ascii="仿宋" w:hAnsi="仿宋" w:eastAsia="仿宋" w:cs="仿宋"/>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4BF1887">
            <w:pPr>
              <w:keepNext w:val="0"/>
              <w:keepLines w:val="0"/>
              <w:suppressLineNumbers w:val="0"/>
              <w:spacing w:before="0" w:beforeAutospacing="0" w:after="0" w:afterAutospacing="0"/>
              <w:ind w:left="0" w:right="0"/>
              <w:jc w:val="left"/>
              <w:rPr>
                <w:rFonts w:hint="default" w:ascii="仿宋" w:hAnsi="仿宋" w:eastAsia="仿宋" w:cs="仿宋"/>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0FC6787">
            <w:pPr>
              <w:keepNext w:val="0"/>
              <w:keepLines w:val="0"/>
              <w:suppressLineNumbers w:val="0"/>
              <w:spacing w:before="0" w:beforeAutospacing="0" w:after="0" w:afterAutospacing="0"/>
              <w:ind w:left="0" w:right="0"/>
              <w:jc w:val="center"/>
              <w:rPr>
                <w:rFonts w:hint="default" w:ascii="仿宋" w:hAnsi="仿宋" w:eastAsia="仿宋" w:cs="仿宋"/>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D598CF8">
            <w:pPr>
              <w:keepNext w:val="0"/>
              <w:keepLines w:val="0"/>
              <w:suppressLineNumbers w:val="0"/>
              <w:spacing w:before="0" w:beforeAutospacing="0" w:after="0" w:afterAutospacing="0"/>
              <w:ind w:left="0" w:right="0"/>
              <w:jc w:val="center"/>
              <w:rPr>
                <w:rFonts w:hint="default" w:ascii="仿宋" w:hAnsi="仿宋" w:eastAsia="仿宋" w:cs="仿宋"/>
                <w:i w:val="0"/>
                <w:iCs w:val="0"/>
                <w:color w:val="auto"/>
                <w:sz w:val="22"/>
                <w:szCs w:val="22"/>
                <w:highlight w:val="none"/>
                <w:u w:val="none"/>
              </w:rPr>
            </w:pPr>
          </w:p>
        </w:tc>
      </w:tr>
      <w:tr w14:paraId="6036E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0" w:hRule="atLeast"/>
        </w:trPr>
        <w:tc>
          <w:tcPr>
            <w:tcW w:w="0" w:type="auto"/>
            <w:vMerge w:val="restart"/>
            <w:tcBorders>
              <w:top w:val="nil"/>
              <w:left w:val="single" w:color="000000" w:sz="4" w:space="0"/>
              <w:bottom w:val="single" w:color="000000" w:sz="4" w:space="0"/>
              <w:right w:val="single" w:color="000000" w:sz="4" w:space="0"/>
            </w:tcBorders>
            <w:noWrap/>
            <w:vAlign w:val="center"/>
          </w:tcPr>
          <w:p w14:paraId="1A0ECC2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20</w:t>
            </w:r>
          </w:p>
        </w:tc>
        <w:tc>
          <w:tcPr>
            <w:tcW w:w="0" w:type="auto"/>
            <w:vMerge w:val="restart"/>
            <w:tcBorders>
              <w:top w:val="nil"/>
              <w:left w:val="single" w:color="000000" w:sz="4" w:space="0"/>
              <w:bottom w:val="single" w:color="000000" w:sz="4" w:space="0"/>
              <w:right w:val="single" w:color="000000" w:sz="4" w:space="0"/>
            </w:tcBorders>
            <w:noWrap/>
            <w:vAlign w:val="center"/>
          </w:tcPr>
          <w:p w14:paraId="6179E98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电子显示屏（P2.5压铸铝框架箱体）</w:t>
            </w:r>
          </w:p>
        </w:tc>
        <w:tc>
          <w:tcPr>
            <w:tcW w:w="0" w:type="auto"/>
            <w:vMerge w:val="restart"/>
            <w:tcBorders>
              <w:top w:val="nil"/>
              <w:left w:val="single" w:color="000000" w:sz="4" w:space="0"/>
              <w:bottom w:val="single" w:color="000000" w:sz="4" w:space="0"/>
              <w:right w:val="single" w:color="000000" w:sz="4" w:space="0"/>
            </w:tcBorders>
            <w:noWrap w:val="0"/>
            <w:vAlign w:val="center"/>
          </w:tcPr>
          <w:p w14:paraId="5A893065">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1.像素间距：2.5mm</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2.LED类型：SMD 表贴三合一 2121 单灯封装(1R1G1B)</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3.箱体尺寸：320x480x46.5mm</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4.模组尺寸：320*240mm</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5.显示屏重量(kg/㎡)：≤12</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6.箱体分辨率：128x192</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7.色温：9300K</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8.对比度：3000:1</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9.视角：水平视角≥170°，垂直视角≥160°</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10.刷新频率：3840HZ</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11.亮度（nit）：600</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12.驱动方式：1/64</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 xml:space="preserve">13.AC工作电压（V）：100～240 </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14.平均功耗（W/㎡）≤107，峰值功耗（W/㎡）≤321，采用节能驱动技术设计支持无信号输入自动熄屏待机，有信号输入自动唤醒功能，单箱黑屏不点亮时，功耗≤5.3W</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15.灰度等级（Bit）：14</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16.LED 像素失控率≤1/1500000</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17.亮度均匀性：≥99.30%</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18.色域覆盖率 NTSC≥115%色域重合度(%)：＞95(BT.709)</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19.平均故障恢复时间(MTTR)≤1分钟</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20.显示单元平整度(mm)：≤0.05显示单元间隙(mm)：≤0.05</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21.整机框架压铸铝箱体安装，具有双电源模块和双信号处理模块，能够直接将箱体锁定在框架压铸铝箱体上固定，确保安全</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22，亮度衰减率：≤5%</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23.工作噪声声压dB（A）(距离 1 米)：前方≤3.2，后方≤2.7，左方≤3.2，右方≤3.1</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24.电子显示屏符合防护等级IP4X符合IK10防冲击测试符合盐雾 10 级要求符合防电力远程窃密技术PCB 阻燃.塑胶件阻燃.内部线材阻燃均符合 V-0 要求</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25.分布式供电，具有电源过压.过流.断电保护以及温度控制系统</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26.蓝光危害测试：蓝光危害辐亮度≤5.7W/㎡/sr，对人眼无伤害</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27.认证：CCC</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28.LED屏幕的备品备件不少于5%，备品备件必须与LED屏幕同型号同批次，备品备件应于项目验收前供货完毕</w:t>
            </w:r>
          </w:p>
        </w:tc>
        <w:tc>
          <w:tcPr>
            <w:tcW w:w="0" w:type="auto"/>
            <w:vMerge w:val="restart"/>
            <w:tcBorders>
              <w:top w:val="nil"/>
              <w:left w:val="single" w:color="000000" w:sz="4" w:space="0"/>
              <w:bottom w:val="single" w:color="000000" w:sz="4" w:space="0"/>
              <w:right w:val="single" w:color="000000" w:sz="4" w:space="0"/>
            </w:tcBorders>
            <w:noWrap/>
            <w:vAlign w:val="center"/>
          </w:tcPr>
          <w:p w14:paraId="379B1C2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w:t>
            </w:r>
          </w:p>
        </w:tc>
        <w:tc>
          <w:tcPr>
            <w:tcW w:w="0" w:type="auto"/>
            <w:vMerge w:val="restart"/>
            <w:tcBorders>
              <w:top w:val="nil"/>
              <w:left w:val="single" w:color="000000" w:sz="4" w:space="0"/>
              <w:bottom w:val="single" w:color="000000" w:sz="4" w:space="0"/>
              <w:right w:val="single" w:color="000000" w:sz="4" w:space="0"/>
            </w:tcBorders>
            <w:noWrap/>
            <w:vAlign w:val="center"/>
          </w:tcPr>
          <w:p w14:paraId="25D5AD1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200</w:t>
            </w:r>
          </w:p>
        </w:tc>
      </w:tr>
      <w:tr w14:paraId="0B87C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60" w:hRule="atLeast"/>
        </w:trPr>
        <w:tc>
          <w:tcPr>
            <w:tcW w:w="0" w:type="auto"/>
            <w:vMerge w:val="continue"/>
            <w:tcBorders>
              <w:top w:val="nil"/>
              <w:left w:val="single" w:color="000000" w:sz="4" w:space="0"/>
              <w:bottom w:val="single" w:color="000000" w:sz="4" w:space="0"/>
              <w:right w:val="single" w:color="000000" w:sz="4" w:space="0"/>
            </w:tcBorders>
            <w:noWrap/>
            <w:vAlign w:val="center"/>
          </w:tcPr>
          <w:p w14:paraId="73587A21">
            <w:pPr>
              <w:keepNext w:val="0"/>
              <w:keepLines w:val="0"/>
              <w:suppressLineNumbers w:val="0"/>
              <w:spacing w:before="0" w:beforeAutospacing="0" w:after="0" w:afterAutospacing="0"/>
              <w:ind w:left="0" w:right="0"/>
              <w:jc w:val="center"/>
              <w:rPr>
                <w:rFonts w:hint="default" w:ascii="仿宋" w:hAnsi="仿宋" w:eastAsia="仿宋" w:cs="仿宋"/>
                <w:i w:val="0"/>
                <w:iCs w:val="0"/>
                <w:color w:val="auto"/>
                <w:sz w:val="22"/>
                <w:szCs w:val="22"/>
                <w:highlight w:val="none"/>
                <w:u w:val="none"/>
              </w:rPr>
            </w:pPr>
          </w:p>
        </w:tc>
        <w:tc>
          <w:tcPr>
            <w:tcW w:w="0" w:type="auto"/>
            <w:vMerge w:val="continue"/>
            <w:tcBorders>
              <w:top w:val="nil"/>
              <w:left w:val="single" w:color="000000" w:sz="4" w:space="0"/>
              <w:bottom w:val="single" w:color="000000" w:sz="4" w:space="0"/>
              <w:right w:val="single" w:color="000000" w:sz="4" w:space="0"/>
            </w:tcBorders>
            <w:noWrap/>
            <w:vAlign w:val="center"/>
          </w:tcPr>
          <w:p w14:paraId="253AFA5A">
            <w:pPr>
              <w:keepNext w:val="0"/>
              <w:keepLines w:val="0"/>
              <w:suppressLineNumbers w:val="0"/>
              <w:spacing w:before="0" w:beforeAutospacing="0" w:after="0" w:afterAutospacing="0"/>
              <w:ind w:left="0" w:right="0"/>
              <w:jc w:val="center"/>
              <w:rPr>
                <w:rFonts w:hint="default" w:ascii="仿宋" w:hAnsi="仿宋" w:eastAsia="仿宋" w:cs="仿宋"/>
                <w:i w:val="0"/>
                <w:iCs w:val="0"/>
                <w:color w:val="auto"/>
                <w:sz w:val="22"/>
                <w:szCs w:val="22"/>
                <w:highlight w:val="none"/>
                <w:u w:val="none"/>
              </w:rPr>
            </w:pPr>
          </w:p>
        </w:tc>
        <w:tc>
          <w:tcPr>
            <w:tcW w:w="0" w:type="auto"/>
            <w:vMerge w:val="continue"/>
            <w:tcBorders>
              <w:top w:val="nil"/>
              <w:left w:val="single" w:color="000000" w:sz="4" w:space="0"/>
              <w:bottom w:val="single" w:color="000000" w:sz="4" w:space="0"/>
              <w:right w:val="single" w:color="000000" w:sz="4" w:space="0"/>
            </w:tcBorders>
            <w:noWrap w:val="0"/>
            <w:vAlign w:val="center"/>
          </w:tcPr>
          <w:p w14:paraId="5774A55C">
            <w:pPr>
              <w:keepNext w:val="0"/>
              <w:keepLines w:val="0"/>
              <w:suppressLineNumbers w:val="0"/>
              <w:spacing w:before="0" w:beforeAutospacing="0" w:after="0" w:afterAutospacing="0"/>
              <w:ind w:left="0" w:right="0"/>
              <w:jc w:val="left"/>
              <w:rPr>
                <w:rFonts w:hint="default" w:ascii="仿宋" w:hAnsi="仿宋" w:eastAsia="仿宋" w:cs="仿宋"/>
                <w:i w:val="0"/>
                <w:iCs w:val="0"/>
                <w:color w:val="auto"/>
                <w:sz w:val="22"/>
                <w:szCs w:val="22"/>
                <w:highlight w:val="none"/>
                <w:u w:val="none"/>
              </w:rPr>
            </w:pPr>
          </w:p>
        </w:tc>
        <w:tc>
          <w:tcPr>
            <w:tcW w:w="0" w:type="auto"/>
            <w:vMerge w:val="continue"/>
            <w:tcBorders>
              <w:top w:val="nil"/>
              <w:left w:val="single" w:color="000000" w:sz="4" w:space="0"/>
              <w:bottom w:val="single" w:color="000000" w:sz="4" w:space="0"/>
              <w:right w:val="single" w:color="000000" w:sz="4" w:space="0"/>
            </w:tcBorders>
            <w:noWrap/>
            <w:vAlign w:val="center"/>
          </w:tcPr>
          <w:p w14:paraId="08FE9B6B">
            <w:pPr>
              <w:keepNext w:val="0"/>
              <w:keepLines w:val="0"/>
              <w:suppressLineNumbers w:val="0"/>
              <w:spacing w:before="0" w:beforeAutospacing="0" w:after="0" w:afterAutospacing="0"/>
              <w:ind w:left="0" w:right="0"/>
              <w:jc w:val="center"/>
              <w:rPr>
                <w:rFonts w:hint="default" w:ascii="仿宋" w:hAnsi="仿宋" w:eastAsia="仿宋" w:cs="仿宋"/>
                <w:i w:val="0"/>
                <w:iCs w:val="0"/>
                <w:color w:val="auto"/>
                <w:sz w:val="22"/>
                <w:szCs w:val="22"/>
                <w:highlight w:val="none"/>
                <w:u w:val="none"/>
              </w:rPr>
            </w:pPr>
          </w:p>
        </w:tc>
        <w:tc>
          <w:tcPr>
            <w:tcW w:w="0" w:type="auto"/>
            <w:vMerge w:val="continue"/>
            <w:tcBorders>
              <w:top w:val="nil"/>
              <w:left w:val="single" w:color="000000" w:sz="4" w:space="0"/>
              <w:bottom w:val="single" w:color="000000" w:sz="4" w:space="0"/>
              <w:right w:val="single" w:color="000000" w:sz="4" w:space="0"/>
            </w:tcBorders>
            <w:noWrap/>
            <w:vAlign w:val="center"/>
          </w:tcPr>
          <w:p w14:paraId="0EE3C60B">
            <w:pPr>
              <w:keepNext w:val="0"/>
              <w:keepLines w:val="0"/>
              <w:suppressLineNumbers w:val="0"/>
              <w:spacing w:before="0" w:beforeAutospacing="0" w:after="0" w:afterAutospacing="0"/>
              <w:ind w:left="0" w:right="0"/>
              <w:jc w:val="center"/>
              <w:rPr>
                <w:rFonts w:hint="default" w:ascii="仿宋" w:hAnsi="仿宋" w:eastAsia="仿宋" w:cs="仿宋"/>
                <w:i w:val="0"/>
                <w:iCs w:val="0"/>
                <w:color w:val="auto"/>
                <w:sz w:val="22"/>
                <w:szCs w:val="22"/>
                <w:highlight w:val="none"/>
                <w:u w:val="none"/>
              </w:rPr>
            </w:pPr>
          </w:p>
        </w:tc>
      </w:tr>
      <w:tr w14:paraId="06D92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32247F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751ED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NVLINK交火桥接器</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BD17510">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带宽：高达112GB/s（双向）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71FE1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8A4F1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w:t>
            </w:r>
          </w:p>
        </w:tc>
      </w:tr>
      <w:tr w14:paraId="74238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8F2604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5304A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PDU防雷插座</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BE3F17F">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额定功率：2500W  额定电压：250V~   额定电流：10A</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84509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BABC4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20</w:t>
            </w:r>
          </w:p>
        </w:tc>
      </w:tr>
      <w:tr w14:paraId="70398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80579F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2FFAE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POE交换机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EB73142">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1.千兆三层全管理POE交换机，包转发率51Mpps/126Mpps，交换容量336Gbps/3.36Tbps</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2.≥24个千兆电口，≥4个千兆光口，VLAN：4K，MAC：16K</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3.19英寸1U标准机架，金属外壳</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4.POE+输出功率≥380W</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C8DAA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9806F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14:paraId="33C42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A57662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A8CDA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超薄超高清超低音扬声器1200W</w:t>
            </w:r>
            <w:r>
              <w:rPr>
                <w:rFonts w:hint="eastAsia" w:ascii="仿宋" w:hAnsi="仿宋" w:eastAsia="仿宋" w:cs="仿宋"/>
                <w:i w:val="0"/>
                <w:iCs w:val="0"/>
                <w:color w:val="auto"/>
                <w:kern w:val="0"/>
                <w:sz w:val="22"/>
                <w:szCs w:val="22"/>
                <w:highlight w:val="none"/>
                <w:u w:val="none"/>
                <w:lang w:val="en-US" w:eastAsia="zh-CN" w:bidi="ar"/>
              </w:rPr>
              <w:br w:type="textWrapping"/>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78FA4B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1.厚度≤306mm</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2.额定功率：1200W/AES</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3.箱体尺寸≤宽500mm</w:t>
            </w:r>
            <w:r>
              <w:rPr>
                <w:rFonts w:hint="eastAsia" w:ascii="Arial" w:hAnsi="Arial" w:eastAsia="仿宋" w:cs="Arial"/>
                <w:i w:val="0"/>
                <w:iCs w:val="0"/>
                <w:color w:val="auto"/>
                <w:kern w:val="0"/>
                <w:sz w:val="22"/>
                <w:szCs w:val="22"/>
                <w:highlight w:val="none"/>
                <w:u w:val="none"/>
                <w:lang w:val="en-US" w:eastAsia="zh-CN" w:bidi="ar"/>
              </w:rPr>
              <w:t>*</w:t>
            </w:r>
            <w:r>
              <w:rPr>
                <w:rFonts w:hint="eastAsia" w:ascii="仿宋" w:hAnsi="仿宋" w:eastAsia="仿宋" w:cs="仿宋"/>
                <w:i w:val="0"/>
                <w:iCs w:val="0"/>
                <w:color w:val="auto"/>
                <w:kern w:val="0"/>
                <w:sz w:val="22"/>
                <w:szCs w:val="22"/>
                <w:highlight w:val="none"/>
                <w:u w:val="none"/>
                <w:lang w:val="en-US" w:eastAsia="zh-CN" w:bidi="ar"/>
              </w:rPr>
              <w:t>深665mm</w:t>
            </w:r>
            <w:r>
              <w:rPr>
                <w:rFonts w:hint="eastAsia" w:ascii="Arial" w:hAnsi="Arial" w:eastAsia="仿宋" w:cs="Arial"/>
                <w:i w:val="0"/>
                <w:iCs w:val="0"/>
                <w:color w:val="auto"/>
                <w:kern w:val="0"/>
                <w:sz w:val="22"/>
                <w:szCs w:val="22"/>
                <w:highlight w:val="none"/>
                <w:u w:val="none"/>
                <w:lang w:val="en-US" w:eastAsia="zh-CN" w:bidi="ar"/>
              </w:rPr>
              <w:t>*</w:t>
            </w:r>
            <w:r>
              <w:rPr>
                <w:rFonts w:hint="eastAsia" w:ascii="仿宋" w:hAnsi="仿宋" w:eastAsia="仿宋" w:cs="仿宋"/>
                <w:i w:val="0"/>
                <w:iCs w:val="0"/>
                <w:color w:val="auto"/>
                <w:kern w:val="0"/>
                <w:sz w:val="22"/>
                <w:szCs w:val="22"/>
                <w:highlight w:val="none"/>
                <w:u w:val="none"/>
                <w:lang w:val="en-US" w:eastAsia="zh-CN" w:bidi="ar"/>
              </w:rPr>
              <w:t>高306mm</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4.适合安装空间要求极高的展项</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BA0B7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只</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9BFAC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w:t>
            </w:r>
          </w:p>
        </w:tc>
      </w:tr>
      <w:tr w14:paraId="02493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C74CF1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5AF0D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超小体积超高声压超清晰扬声器</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5B236B7">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1.额定功率（RMS）：100W</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2.峰值功率：400W</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3.频率响应：90Hz-22kHz</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4.标称阻抗：4Ω或16Ω</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5.灵敏度（1W/1M）：105dB</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6.最大峰值声压级：131dB</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7.指向性(H×V)：  150°*140°</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8.单元规格： LF: 2×4‘’  HF: 1×带式高音</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9.支持多只阵列组合使用以满足大空间扩声需求，原厂提供合金连接配件</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10.精密数控一体成型面网工艺，音箱正面和侧面均无螺丝设计，音箱箱体和弧形面网严密结合，超高颜值清爽悦目</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11.可以根据项目实际需求定制颜色</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12.箱体尺寸（mm）≤高412mm*W165mm*深125mm</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13.重量≤8kg</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9FD34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只</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F6AEF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17</w:t>
            </w:r>
          </w:p>
        </w:tc>
      </w:tr>
      <w:tr w14:paraId="32341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82A69B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1097B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超小体积数字功率放大器</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3CD7FBA">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1.采用先进的高效率数字功率放大器技术</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2.2路线路输入和2路线路输出和2路功率输出，2路RCA输入端子</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3，具有立体声.桥接和并接三种功率输出模式和对应模式开关</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4.完善保护系统：过载.过热，短路.失真限幅</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5.后面板具有一个超低频切除开关，适合驱动教室常规小口径音箱使用，提供清晰度的同时有效防止音箱被低频损坏</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6.额定功率：200W×2/8Ω300W×2/4Ω</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7.总谐波失真：£0.1%/1KHz</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8.信噪比不低于：100dB A计权</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9.输入灵敏度不大于：500mV</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10.机箱采用内置电源.不得采用非外置电源，且电源输入插座必须为国标三针电源插座，包括火线和零线和地线，电源供应为通用市电交流220V/50Hz</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11.基于安装空间限制，机箱宽度尺寸不大于215mm.机箱深度尺寸不大于200mm.机箱高度尺寸不大于44mm机箱箱体必须为全金属箱体</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12.机箱重量不大于：3kg</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C44A6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92C07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w:t>
            </w:r>
          </w:p>
        </w:tc>
      </w:tr>
      <w:tr w14:paraId="55FAD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EC4D81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CF46B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触摸一体机（42寸）</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7D8EBD3">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利旧</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425DA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7F88F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w:t>
            </w:r>
          </w:p>
        </w:tc>
      </w:tr>
      <w:tr w14:paraId="3026B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1"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399980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C6A3A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触摸一体机（47寸）</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E5180DD">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利旧</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A0779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5BBD3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r>
      <w:tr w14:paraId="67928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3659FC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F68E8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串口服务器</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A3A2A4D">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16口RS232/485/422串口转工业以太网串口服务器</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97901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7E36E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r>
      <w:tr w14:paraId="38975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F8D41E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A296D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多媒体程序1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B26AC68">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AI数字人</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一.方案阶段：</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互动展示内容相对较复杂和偏专业性，并且存在向不同受众用户开放体验</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互动展示内容相关资料不全不细，在策划方案制作方面，需要花费大量时间去推敲消化</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需要将内容转化成，符合多媒体互动人员能理解.可制作方案内容，及评估可行性</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1：需要根据展项的内容梳理消化理解展示核心，并整合方案框架及制作内容</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2：根据需求进行动画脚本制作</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3：根据内容进行画面的设定.风格设定.设觉设计等</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4：最终输出动画执行脚本</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二.制作阶段：</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1.UI界面设计/动效制作将内容进行视觉风格设计，根据整馆主.内容属性制定UI界面及整体框架设计，并制定交互方式</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根据UI界面设计，运用二维和三维特效转换成动态动画动效效果</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2.互动屏幕的处理</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互动屏幕的表现，需要反复测试与计算，以达到最佳运行状态</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3.在程序制作中，需要制作人员反复的去推敲</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引擎展示程序开发，后期程序开发完成后，需要花费大量的时间来回反复测试，才能达到最佳效果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4383E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B022C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14:paraId="2439B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FC0956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2AC60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多媒体程序2</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F7D999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一.方案阶段：</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互动展示内容相对较复杂和偏专业性，并且存在向不同受众用户开放体验</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互动展示内容相关资料不全不细，在策划方案制作方面，需要花费大量时间去推敲消化</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需要将内容转化成，符合多媒体互动人员能理解.可制作方案内容，及评估可行性</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1：需要根据展项的内容梳理消化理解展示核心，并整合方案框架及制作内容</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2：根据需求进行动画脚本制作</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3：根据内容进行画面的设定.风格设定.设觉设计等</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4：最终输出动画执行脚本</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二.制作阶段：</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1.UI界面设计/动效制作将内容进行视觉风格设计，根据整馆主.内容属性制定UI界面及整体框架设计，并制定交互方式</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根据UI界面设计，运用二维和三维特效转换成动态动画动效效果</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2.互动屏幕的处理</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互动屏幕的表现，需要反复测试与计算，以达到最佳运行状态</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3.在程序制作中，需要制作人员反复的去推敲</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引擎展示程序开发，后期程序开发完成后，需要花费大量的时间来回反复测试，才能达到最佳效果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E15D4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046A8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14:paraId="40635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877F9F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EEAB8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多媒体程序3</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A924DEC">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中越货币兑换 游戏</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1：需要根据展项特性确定体验主题</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2：根据体验主题构思游戏逻辑</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3：根据内容进行画面的设定.风格设定.设觉设计等4：最终输出动画执行脚本</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二.制作阶段：</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2.模型方面</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相关资料需要设计师自己规划设计在通过CG技术去做模型场景制作，需要花费大量时间去推敲优化</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游戏场景内元素类型多样，需要花费大量的时间去制作</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游戏场景有多种场景与地形空间的表现，在没有资料的情况下将会牵扯的拼接处理，需要反复的来回调整</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游戏多种城市场景，需要进行建模.材质贴图制作烘焙.动画动作调试优化，以达到游戏场景要求</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3.互动屏幕的处理</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互动屏幕的表现，需要反复测试与计算三维游戏场景的以达到最佳运行状态</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D0CF7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6632E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14:paraId="1B986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299386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3A232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多媒体程序4</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6614817">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地图基底展示重点产业布局</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一.方案阶段：</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互动展示内容相对较复杂和偏专业性，并且存在向不同受众用户开放体验</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互动展示内容相关资料不全不细，在策划方案制作方面，需要花费大量时间去推敲消化</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需要将内容转化成，符合多媒体互动人员能理解.可制作方案内容，及评估可行性</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1：需要根据展项的内容梳理消化理解展示核心，并整合方案框架及制作内容</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2：根据需求进行动画脚本制作</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3：根据内容进行画面的设定.风格设定.设觉设计等</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4：最终输出动画执行脚本</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二.制作阶段：</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1.UI界面设计/动效制作将内容进行视觉风格设计，根据整馆主.内容属性制定UI界面及整体框架设计，并制定交互方式</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根据UI界面设计，运用二维和三维特效转换成动态动画动效效果</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2.互动屏幕的处理</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互动屏幕的表现，需要反复测试与计算，以达到最佳运行状态</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3.在程序制作中，需要制作人员反复的去推敲</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引擎展示程序开发，后期程序开发完成后，需要花费大量的时间来回反复测试，才能达到最佳效果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1A90B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BC951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14:paraId="4ED82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59DEEA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C0893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多媒体程序5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D6C3517">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程序框架，切换视频</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一.方案阶段：</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互动展示内容相对较复杂和偏专业性，并且存在向不同受众用户开放体验</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互动展示内容相关资料不全不细，在策划方案制作方面，需要花费大量时间去推敲消化</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需要将内容转化成，符合多媒体互动人员能理解.可制作方案内容，及评估可行性</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1：需要根据展项的内容梳理消化理解展示核心，并整合方案框架及制作内容</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2：根据需求进行动画脚本制作</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3：根据内容进行画面的设定.风格设定.设觉设计等</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4：最终输出动画执行脚本</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二.制作阶段：</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1.UI界面设计/动效制作将内容进行视觉风格设计，根据整馆主.内容属性制定UI界面及整体框架设计，并制定交互方式</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根据UI界面设计，运用二维和三维特效转换成动态动画动效效果</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2.互动屏幕的处理</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互动屏幕的表现，需要反复测试与计算，以达到最佳运行状态</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3.在程序制作中，需要制作人员反复的去推敲</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引擎展示程序开发，后期程序开发完成后，需要花费大量的时间来回反复测试，才能达到最佳效果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C7618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0A467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14:paraId="3FF21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93FC56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5C14B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浮雕地图模型1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BA7EF05">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浮雕地图模型，面积12㎡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B4F57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F0EB9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14:paraId="1BEC7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C8EC51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8F0D2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光电沙盘模型1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39F8528">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物理尺寸7*3米+7*4米 中国-东盟大区域地图</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301E3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F7DEC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14:paraId="2728C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BCA20A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BDFA9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光电沙盘模型2</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4592298">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壁挂沙盘10㎡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D242A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E1521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14:paraId="10ED71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C3D1EA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15046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光电沙盘模型3</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EBD092A">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光电沙盘模型，面积16㎡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5F784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D528B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14:paraId="234CF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E5EEE7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6E431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光电沙盘模型4</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2C87F7E">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面积3㎡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DED87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3EF84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r>
      <w:tr w14:paraId="5EEED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F072ED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D752D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核心交换机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0C53AB8">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1.千兆三层全管理增强型交换机</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2.包转发率96Mpps/126Mpps，交换容量336Gbps/3.36Tbps</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3.≥24个千兆电口，≥4个千兆光口，VLAN：4K，MAC：16K</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4.19英寸1U标准机架，金属外壳</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A2F5C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70CA7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14:paraId="58F1D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4E7E52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98B16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画面处理模块</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D80E00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 支持任意分辨率投影机/LED大屏/液晶拼接屏，任意旋转安装</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 N*N模式图像上下左右四面边缘羽化融合处理系统</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 网格基于Bezier 四次曲面，支持 0.5 像素精细位移，支持逐点.行.列.四角模式校正可以上传自定义的图片作为网格调试的参照自定义任意数量网格密度自定义融合带宽度</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 支持笔记本远程调试X-Box360 等同等级无线手柄遥控调试</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5. 网格内置“弹性表面”功能，简单拖动少数几个控制点就能快速得到想要的形状</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6. 内置“FFD晶格”修改器模块，极大加快异形幕调试速度</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7. 可对多通道投影颜色校正.亮度.色彩.饱和度.均匀性调整处理四种色彩的 256 阶亮度独立调整，将不同亮度.不同色彩的投影机校正至一个水平四种色彩的 9 阶曲线独立调整，支持指数曲线与自由曲线</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8. 可针对单个屏幕进行圆角和线性校正，改善投影机亮度色彩不均匀现象</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9. 内置矢量绘图模块，简单快速进行模型对位.沙盘对位</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10. 内置专业音视频解码器，支持最多256台主机帧同步播放，同步精度 10ms，支持最大16K大分辨率和大码率影片解码支持多卡并行渲染，提升性能支持7.1声道</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11. 融合服务器集中管理，通过专门的服务器面板来统一控制</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12. 内容免分割，不需要考虑内容分割.旋转.头尾重复等琐碎问题</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13. 可接受外部 UDP 协议.RS232 协议控制具有时间轴编辑，定点向外发送 UDP.RS232 命令，控制关联设备</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14. 具有国内自主知识产权及核心技术</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3A67F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通道</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0DC7E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12</w:t>
            </w:r>
          </w:p>
        </w:tc>
      </w:tr>
      <w:tr w14:paraId="50473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58FADC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F92F6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机柜</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A6B9D07">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42U网孔门机柜 600×800×2055mm</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0CBBF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1DFAA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10</w:t>
            </w:r>
          </w:p>
        </w:tc>
      </w:tr>
      <w:tr w14:paraId="0B307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9FAF06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22CFD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建筑模型1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12BB1AA">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定制建筑模型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494D8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AA5AD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r>
      <w:tr w14:paraId="2211A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17C775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3F0DB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接入交换机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DEBD92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1.千兆三层全管理交换机</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2.包转发率51Mpps/126Mpps，交换容量336Gbps/3.36Tbps</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3.≥24个千兆电口，≥4个千兆光口，VLAN：4K，MAC：16K</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4.19英寸1U标准机架，金属外壳</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B83C3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6D8E0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r>
      <w:tr w14:paraId="1C834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892184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C3491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立体沙盘模型1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BDD7713">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立体城市沙盘，面积5㎡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A3B7F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5ACB5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14:paraId="6B0D7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9"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7A75EE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7DA2A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媒体播控主机1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C1A7EEA">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1.符合EIA 4U标准，方便机架集中布置与管理 </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2.装载系统监测显示屏，动态显示设备名称.IP.负载.温控等信息方便用户实时了解设备运行状态</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3.支持Control Center Express集中控制中心管理功能，通过人性化的界面进行一站式IT监控和管理</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4.内置VNC远程控制芯片，专用RJ45端口设计，支持RS212/485/TCP等Modbus协议，实现硬件级远程控制</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5.支援网络Wake On Lan功能方便中控集中管理</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6.搭载高性能组件：Total Threads≥28Max Turbo Frequency≥5.4GhzMemory≥32GB，Storage≥500GB</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7.高算力GPU卡：Video Memory≥16GBCUDA Core≥6144Tensor Core≥192Tensor算力≥153.4 TFLOPS</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8.Interface：DP1.4a x 4</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9.输出支持：4x 4096 x 2160 @ 120Hz4x 5120 x 2880 @ 60Hz2x 7680 x 4320 @ 60Hz输出</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10.支持Mosaic多屏拼接技术</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11.所有输出端口支持EDID管理与锁定技术</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12.支持像素级多屏边缘重叠调整技术</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13.支持DirectX 12.Shader Model 5.1.OpenGL 4.6 .Vulkan 1.25</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 xml:space="preserve">14.支持HDCP2.2高带宽数字内容保护技术 </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15.内置Media Playback播控软件，兼容AVI.MPEG.MOV.WMV.JPEG.PNG等格式文件的自主与受控播放</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16.支持外接MIDI控台与SDI.HDMI.DVI等捕捉采集功能（选配）</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17.内置硬件级WDT组件，有效减少无人值守工况下的意外死机与程序假死等故障</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18.符合中国强制性产品认证China Compulsory Certification</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887CE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9A42E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r>
      <w:tr w14:paraId="4D3FE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5EC013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860BB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媒体触控终端（32寸）</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D306ABF">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1.内置Media Playback兼容AVI.MPEG.MOV.WMV.JPEG.PNG等格式文件的自主与受控播放</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2.内置32英寸Full HD原装高亮模组显示屏色彩度≥10bit可视角度≥178°Anti-glare处理后亮度≥500cd/㎡</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3.采用Capacitive Touch Panel（G+G）多点触控技术</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4.Total Threads≥24Max Turbo Frequency≥5.2GhzMemory≥32GB (Dual Channel Memory Architecture)Storage≥230GB NVM Express</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5.Video Memory≥ 8GBCUDA Core≥3072Engine Clock≥2.46GHz</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6.Interface：HDMI2.1x1，DP1.4ax3</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7.支援网络Wake On Lan功能方便中控集中管理</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8.内置ARM M3内核RJ45接口TCP协议远程控制卡，支持中控命令控制设备</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9.AGHP+PWM技术核心散热装置噪音抑制≤25dB</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10.配备WiFi 6 (802.11ax)与 2.5 Gb高速网络功能</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11.可拓展无线投屏设备以支持Miracast.AirPlay等协议</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12.可拓展双目.景深摄像头与阵列麦克风实现多媒体体感交互</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13.可选配外延开关机控制模块，方便无接触使用与故障排查</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14.支持外围散热组件电源管理，可实现其与系统主电源同步</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15.符合中国强制性产品认证China Compulsory Certification</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920FE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22358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14:paraId="49E45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13A03D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4AA2B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媒体触控终端（65寸）</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5D7157C">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1.内置Media Playback兼容AVI.MPEG.MOV.WMV.JPEG.PNG等格式文件的自主与受控播放</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2.内置65英寸Ultra High Definition 3840×2160原装高亮模组显示屏色彩度≥10bit可视角度≥178°Anti-glare处理后亮度≥700cd/㎡</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3.采用Capacitive Touch Panel（G+G）多点触控技术</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4.Total Threads≥12Max Turbo Frequency≥5GhzMemory≥16GB (Dual Channel Memory Architecture包含共享与动态Video Memory)Storage≥230GB NVM Express</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5.内置Ryzen AI NPU加速单元Graphics Core Count≥8Frequency≥2.8GHz</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6.Interface：HDMI2.1x1，DP1.4ax2</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7.支援网络Wake On Lan功能方便中控集中管理</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8.内置ARM M3内核RJ45接口TCP协议远程控制卡，支持中控命令控制设备</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9.AGHP+PWM技术核心散热装置噪音抑制≤24dB</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10.配备WiFi 6 (802.11ax)与 2.5 Gb高速网络功能</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11.可拓展无线投屏设备以支持Miracast.AirPlay等协议</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12.可拓展双目.景深摄像头与阵列麦克风实现多媒体体感交互</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13.可选配外延开关机控制模块，方便无接触使用与故障排查</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14.支持外围散热组件电源管理，可实现其与系统主电源同步</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15.符合中国强制性产品认证China Compulsory Certification</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1A061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51D10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14:paraId="0A8AB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C7D367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383F0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媒体触控终端（86寸）</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76C961E">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1.内置Media Playback兼容AVI.MPEG.MOV.WMV.JPEG.PNG等格式文件的自主与受控播放</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2.内置86英寸Ultra High Definition 3840×2160原装高亮LCD模组显示屏色彩度≥10bit可视角度≥178°Anti-glare处理后亮度≥700cd/㎡</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3.采用Infrared multi-touch多点触控技术</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4.Total Threads≥12Max Turbo Frequency≥5GhzMemory≥16GB (Dual Channel Memory Architecture包含共享与动态Video Memory)Storage≥230GB NVM Express</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5.内置Ryzen AI NPU加速单元Graphics Core Count≥8Frequency≥2.8GHz</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6.Interface：HDMI2.1x1，DP1.4ax2</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7.支援网络Wake On Lan功能方便中控集中管理</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8.内置ARM M3内核RJ45接口TCP协议远程控制卡，支持中控命令控制设备</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9.AGHP+PWM技术核心散热装置噪音抑制≤24dB</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10.配备WiFi 6 (802.11ax)与 2.5 Gb高速网络功能</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11.可拓展无线投屏设备以支持Miracast.AirPlay等协议</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12.可拓展双目.景深摄像头与阵列麦克风实现多媒体体感交互</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13.可选配外延开关机控制模块，方便无接触使用与故障排查</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14.支持外围散热组件电源管理，可实现其与系统主电源同步</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15.符合中国强制性产品认证China Compulsory Certification</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DBFE2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EA10E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14:paraId="0789D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FB984B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F10BF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媒体触控终端（98寸）</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F41ECB9">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1.内置Media Playback兼容AVI.MPEG.MOV.WMV.JPEG.PNG等格式文件的自主与受控播放</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2.内置98英寸Ultra High Definition 3840*2160高亮模组显示屏色彩度≥10bit可视角度≥178°Anti-glare处理后亮度≥700cd/㎡</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3.采用Infrared multi-touch多点触控技术</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4.Total Threads≥24Max Turbo Frequency≥5.2GhzMemory≥32GB (Dual Channel Memory Architecture)Storage≥230GB NVM Express</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5.Video Memory≥ 8GBCUDA Core≥3072Engine Clock≥2.46GHz</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6.Interface：HDMI2.1x1，DP1.4ax3</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7.支援网络Wake On Lan功能方便中控集中管理</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8.内置ARM M3内核RJ45接口TCP协议远程控制卡，支持中控命令控制设备</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9.AGHP+PWM技术核心散热装置噪音抑制≤25dB</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10.配备WiFi 6 (802.11ax)与 2.5 Gb高速网络功能</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11.可拓展无线投屏设备以支持Miracast.AirPlay等协议</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12.可拓展双目.景深摄像头与阵列麦克风实现多媒体体感交互</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13.可选配外延开关机控制模块，方便无接触使用与故障排查</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14.支持外围散热组件电源管理，可实现其与系统主电源同步</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15.符合中国强制性产品认证China Compulsory Certification</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72919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2EE19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14:paraId="1C307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34AA88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C61C5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平板电脑</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CDA716A">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64G WLAN版/A13芯片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D2370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D9751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r>
      <w:tr w14:paraId="0537C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D9B467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1B622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企业级路由器</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6C17E80">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1.转发性能9~25Mpps</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2.推荐带宽4G，2*GE Combo（WAN口），8*GE（LAN口，支持切换为WAN口）</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3.IPSec VPN≥2000条，2*SIC槽位，19英寸1U标准机架，金属外壳</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C7B57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1D9D5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14:paraId="7E286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74465C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A2C28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强电控制模块</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F25B2F0">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 DMX.调光模块.电源模块.开关模块.种类和数量由电气施工图给出，价格在电箱中体现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BCBF2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0C6C1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14:paraId="751EC4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514E8B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AB413B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全景声数字影院解码器</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C43F5BF">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1.10路独立输出通道，8个独立XLS平衡输出通道和2个非平衡输出通道（左中右主音箱.次低音.左右侧环绕.后环绕.独立立体声主输出）</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 xml:space="preserve">2.全面支持DTS HD M8 Decoder( DTS HD MASTER AUDIO 7.1解码) .DTS 5.1 decoder.Dolby digital AC3 Decoder .Dolby Digital Plus 7.1 Decoder.Dolby True HD Decoder </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3.4进2出 4K HDMI矩阵系统，4K超高清3840*2160 50/60Hz分辨率，支持HDCP 2.2，4K / 60 Hz，Dolby Vision，HDR 10，HLG，WCG，扩展色域（sYCC601，Adobe RGB）</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4.配置光纤和同轴数字音频接口，便于数字音频传输</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5.2组立体声线路输入和2组TRS单通道输入，1组立体声录音输出</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6.每路输入和输出独立DSP处理器，输入通道48段全数字参量均衡，输出75段全数字参量均衡</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7.每一个输入和输出通道均配置高通.低通.带通.延时.压限DSP处理器</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8.不小于5英寸中文高清触控屏</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9.支持平板电脑.手机.笔记本电脑无线控制，配有原厂专用的操控软件</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10.支持传统RS232中控控制，同时支持支持TCP/IP控制</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11.内置10个用户自定义场景模式，方便根据不同使用场景调用</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12.内置的自动声反馈抑制器</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13.内置噪声门设置</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14.内置DSP数字效果器</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F504E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40881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14:paraId="71A43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FF448A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8809A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商用主机一</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5CF6BBB">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Intel 6核处理器/8G内存/256SSD/集成显卡</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AC39C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045CC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14:paraId="15102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0"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598C838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56</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45706B3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数字沙盘演示系统</w:t>
            </w:r>
          </w:p>
        </w:tc>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3691B05C">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总体定位：作为整个规划馆最主要的展示空间，依据十四五规划、国土空间规划等对南宁城市发展的总体目标、发展模式、空间格局、具体发展任务和举措，以地理空间框架数据、影像图、空间智治平台实景三维底图为基础，将上述内容叠加在城市三维实景沙盘上，通过可视化处理展示南宁市域山水风貌、城市规划、建设成果等内容。建设一个内容丰富、覆盖全域、视觉震撼、交互友好的数字沙盘可视化平台。</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2.展现形式：展项采用墙面屏幕、地面屏幕双屏联动的形式。包括预设沙盘演示、定制场景演绎、人机交互、菜单化选择、自由漫游、定制漫游。</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3.展示定位：主要用于团队接待、主题汇报、各类定制讲解、预设演绎、成果汇报。</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4.演示系统的核心能力</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演示系统要有良好的数据支撑、数据接入、更新升级等能力。能够针对各类数据（实景三维模型数据、高分辨率影像数据、数字高程地图、地理空间GIS数据、手工建模数据、规划矢量信息、城市大脑数据等）实现统一的集成（包括坐标统一、数据转换、数据融合、数据组织、数据存储、数据管理等内容）。</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具有良好的接入能力。可以支持多源系统、平台、电视信号、多媒体内容的接入播放。播放内容结合双屏有多种播放界面组合形式。</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（2）演示系统数据能力</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系统同时支持海量城市级倾斜摄影、数字三维模型、手工三维模型、BIM数据及各类多媒体内容的快速加载、顺畅融合、稳定展示。</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系统应同时具备主流3DGIS基本能力和高逼真渲染视效能力。支持以大规模多面片手工精细三维模型为主要场景数据的高视效渲染引擎。支持以大规模建筑体块模型为主要场景数据的科技风渲染引擎。</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支持城市大脑大数据的快速显示及各类规划专题图显示。支持城市大脑大数据的动态实时调取及数据可视化特效表达。</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系统数据采用地理空间数据库形式管理，统一管理海量地理空间要素的空间属性、时态属性、专题属性数据，以及管理地理空间信息符号化所需的二三维符号数据。</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支持基于常见关系型数据库建立空间数据库，至少包括Oracle和MySQL数据库；支持文件型数据库，文件型数据库具备与关系型数据库相同的数据互操作能力，可实现地理信息数据的属性查询、几何编辑、空间分析和网络发布。</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系统具有统一的技术标准，兼容业界主流GIS数据格式，几何数据定义符合OGC标准，可与行业内其他软件进行数据交换和协同工作，使后期工作具备持续性与扩展性。</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全面支持各类常规数据类型、数据库类型和接口规范。数据方案能够全面支持新开投的数据与场景后端平台化管理。支持定制场景中所有数据和展示场景平台化后端管理，按照用户层级进行权限分配和功能开放管理，支持本地数据配置文件和实时数据库两种数据来源方式进行一键切换。</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（3）演示系统场景能力</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演示系统展示效果需满足3楼观看位的最佳效果。通过数字化技术解决近大远小，不同视角画面变形，远端内容看不清楚等观赏体验问题，适当表现立体效果。</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系统提供64位色高精度动态渲染管道、线性颜色空间渲染器和完美的颜色精度，支持各种后期特效例如光晕，镜头光环和景深等效果；支持室内和室外环境的无缝连接，在任何地方都支持的动态每象素光照和阴影；支持多层混合材质，支持任意复杂的材质动态基于LOD的模型细分。</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5FBE60C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367EFF7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14:paraId="10702F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A3A8688">
            <w:pPr>
              <w:keepNext w:val="0"/>
              <w:keepLines w:val="0"/>
              <w:suppressLineNumbers w:val="0"/>
              <w:spacing w:before="0" w:beforeAutospacing="0" w:after="0" w:afterAutospacing="0"/>
              <w:ind w:left="0" w:right="0"/>
              <w:jc w:val="center"/>
              <w:rPr>
                <w:rFonts w:hint="default" w:ascii="仿宋" w:hAnsi="仿宋" w:eastAsia="仿宋" w:cs="仿宋"/>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D436D5D">
            <w:pPr>
              <w:keepNext w:val="0"/>
              <w:keepLines w:val="0"/>
              <w:suppressLineNumbers w:val="0"/>
              <w:spacing w:before="0" w:beforeAutospacing="0" w:after="0" w:afterAutospacing="0"/>
              <w:ind w:left="0" w:right="0"/>
              <w:jc w:val="center"/>
              <w:rPr>
                <w:rFonts w:hint="default" w:ascii="仿宋" w:hAnsi="仿宋" w:eastAsia="仿宋" w:cs="仿宋"/>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72FF57C">
            <w:pPr>
              <w:keepNext w:val="0"/>
              <w:keepLines w:val="0"/>
              <w:suppressLineNumbers w:val="0"/>
              <w:spacing w:before="0" w:beforeAutospacing="0" w:after="0" w:afterAutospacing="0"/>
              <w:ind w:left="0" w:right="0"/>
              <w:jc w:val="left"/>
              <w:rPr>
                <w:rFonts w:hint="default" w:ascii="仿宋" w:hAnsi="仿宋" w:eastAsia="仿宋" w:cs="仿宋"/>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09E5E0E">
            <w:pPr>
              <w:keepNext w:val="0"/>
              <w:keepLines w:val="0"/>
              <w:suppressLineNumbers w:val="0"/>
              <w:spacing w:before="0" w:beforeAutospacing="0" w:after="0" w:afterAutospacing="0"/>
              <w:ind w:left="0" w:right="0"/>
              <w:jc w:val="center"/>
              <w:rPr>
                <w:rFonts w:hint="default" w:ascii="仿宋" w:hAnsi="仿宋" w:eastAsia="仿宋" w:cs="仿宋"/>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47A4A93">
            <w:pPr>
              <w:keepNext w:val="0"/>
              <w:keepLines w:val="0"/>
              <w:suppressLineNumbers w:val="0"/>
              <w:spacing w:before="0" w:beforeAutospacing="0" w:after="0" w:afterAutospacing="0"/>
              <w:ind w:left="0" w:right="0"/>
              <w:jc w:val="center"/>
              <w:rPr>
                <w:rFonts w:hint="default" w:ascii="仿宋" w:hAnsi="仿宋" w:eastAsia="仿宋" w:cs="仿宋"/>
                <w:i w:val="0"/>
                <w:iCs w:val="0"/>
                <w:color w:val="auto"/>
                <w:sz w:val="22"/>
                <w:szCs w:val="22"/>
                <w:highlight w:val="none"/>
                <w:u w:val="none"/>
              </w:rPr>
            </w:pPr>
          </w:p>
        </w:tc>
      </w:tr>
      <w:tr w14:paraId="00911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60"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61F73EA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57</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067876E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数字影片1</w:t>
            </w:r>
          </w:p>
        </w:tc>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41B7A962">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时长：150s</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制作技术点：</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1.脚本策划方案</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（1）根据展项形式梳理前期内容，了解甲方意图进行创意构思，在专业基础上进行后续内容深化以及执行脚本的绘制，并通过相关专家审核</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（2）涉及工作:前期内容梳理，创意策划.执行脚本制作</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（3）满足图纸.招标文件及专业技术规范要求</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2.无人机航拍</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（1）型号：大疆DJI Inspire 3 等（同等级别设备）                                                                                                                    （2）定位：一体化8K全画幅空中电影机，专为专业影视航拍设计                                                                          （3）云台相机：禅思X9-8K Air云台相机等（同等级别设备）                                                                                                            （4）录制规格：8K/75fps Apple ProRes RAW，8K/25fps CinemaDNG</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3.平面特效包装合成</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 xml:space="preserve">（1）二维特效：动态图形.字幕.粒子效果等，常用After Effects（AE）等（同等级别软件） </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（2）跟踪与合成：利用PF Track.Nuke等（同等级别软件）进行画面元素跟踪与多图层合成</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（3）根据成片时长计算最终工作量</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4.调色与视觉优化</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（1）色彩校正：调整亮度.对比度.饱和度，统一画面色调                                                                        （2）风格化处理：根据剧情氛围定制色彩风格（如冷色调悬疑片.暖色调回忆场景），主要工具为DaVinci Resolve等（同等级别软件）                                                                                                                                         （3）根据成片时长计算最终工作量</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5.音效与配音处理</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 xml:space="preserve">（1）邀请国家级配音员进行脚本解说词配音.以及根据画面内容封装音乐与音效等                     </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 xml:space="preserve">（2）音效设计：添加环境音.动作音效等，常用Audition等（同等级别软件） 或专业音效库 </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 xml:space="preserve">（3）配音与配乐：录制对白或旁白，选用原创音乐或版权音乐，工具包括 Audition.Logic Pro等（同等级别软件） </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（4）根据成片时长计算最终工作量</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6.视频剪辑</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（1）利用工具：Adobe Premiere Pro.Final Cut Pro X.DaVinci Resolve （兼剪辑与调色）等非线性编辑软件对众多不同元素的进行艺术性组合和加工，将视频素材进行非线性编辑，提升视觉效果  （2）初剪（粗剪）：将拍摄素材按脚本顺序初步拼接，去除冗余部分，形成无特效.无配音的版本（3）精剪（正式剪辑）：优化初剪内容，加入特效.转场等，调整节奏和叙事逻辑，确定最终画面结构</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（4）根据成片时长计算最终工作量</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7.最终合成与输出</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 xml:space="preserve">（1）多元素整合：将剪辑.特效.调色.音效等所有素材统一调整并合成，确保音画同步                     </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（2）格式输出：导出为符合播放平台要求的格式（如MP4.MOV），常用工具包括Media Encoder等（同等级别软件） 或剪辑软件内置导出功能</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3E1DE17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秒</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3B0FB86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150</w:t>
            </w:r>
          </w:p>
        </w:tc>
      </w:tr>
      <w:tr w14:paraId="421D8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5"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956DD86">
            <w:pPr>
              <w:keepNext w:val="0"/>
              <w:keepLines w:val="0"/>
              <w:suppressLineNumbers w:val="0"/>
              <w:spacing w:before="0" w:beforeAutospacing="0" w:after="0" w:afterAutospacing="0"/>
              <w:ind w:left="0" w:right="0"/>
              <w:jc w:val="center"/>
              <w:rPr>
                <w:rFonts w:hint="default" w:ascii="仿宋" w:hAnsi="仿宋" w:eastAsia="仿宋" w:cs="仿宋"/>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047190B1">
            <w:pPr>
              <w:keepNext w:val="0"/>
              <w:keepLines w:val="0"/>
              <w:suppressLineNumbers w:val="0"/>
              <w:spacing w:before="0" w:beforeAutospacing="0" w:after="0" w:afterAutospacing="0"/>
              <w:ind w:left="0" w:right="0"/>
              <w:jc w:val="center"/>
              <w:rPr>
                <w:rFonts w:hint="default" w:ascii="仿宋" w:hAnsi="仿宋" w:eastAsia="仿宋" w:cs="仿宋"/>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4D870038">
            <w:pPr>
              <w:keepNext w:val="0"/>
              <w:keepLines w:val="0"/>
              <w:suppressLineNumbers w:val="0"/>
              <w:spacing w:before="0" w:beforeAutospacing="0" w:after="0" w:afterAutospacing="0"/>
              <w:ind w:left="0" w:right="0"/>
              <w:jc w:val="left"/>
              <w:rPr>
                <w:rFonts w:hint="default" w:ascii="仿宋" w:hAnsi="仿宋" w:eastAsia="仿宋" w:cs="仿宋"/>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EDC058F">
            <w:pPr>
              <w:keepNext w:val="0"/>
              <w:keepLines w:val="0"/>
              <w:suppressLineNumbers w:val="0"/>
              <w:spacing w:before="0" w:beforeAutospacing="0" w:after="0" w:afterAutospacing="0"/>
              <w:ind w:left="0" w:right="0"/>
              <w:jc w:val="center"/>
              <w:rPr>
                <w:rFonts w:hint="default" w:ascii="仿宋" w:hAnsi="仿宋" w:eastAsia="仿宋" w:cs="仿宋"/>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6DB0F7B">
            <w:pPr>
              <w:keepNext w:val="0"/>
              <w:keepLines w:val="0"/>
              <w:suppressLineNumbers w:val="0"/>
              <w:spacing w:before="0" w:beforeAutospacing="0" w:after="0" w:afterAutospacing="0"/>
              <w:ind w:left="0" w:right="0"/>
              <w:jc w:val="center"/>
              <w:rPr>
                <w:rFonts w:hint="default" w:ascii="仿宋" w:hAnsi="仿宋" w:eastAsia="仿宋" w:cs="仿宋"/>
                <w:i w:val="0"/>
                <w:iCs w:val="0"/>
                <w:color w:val="auto"/>
                <w:sz w:val="22"/>
                <w:szCs w:val="22"/>
                <w:highlight w:val="none"/>
                <w:u w:val="none"/>
              </w:rPr>
            </w:pPr>
          </w:p>
        </w:tc>
      </w:tr>
      <w:tr w14:paraId="1708B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0"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099CDF7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58</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2ADDAE0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数字影片2-1</w:t>
            </w:r>
          </w:p>
        </w:tc>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254620A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印象南宁 时长：150s</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1.脚本策划方案</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（1）根据展项形式梳理前期内容，了解甲方意图进行创意构思，在专业基础上进行后续内容深化以及执行脚本的绘制，并通过相关专家审核</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（2）涉及工作:前期内容梳理，创意策划.执行脚本制作</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（3）满足图纸.招标文件及专业技术规范要求</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2.无人机航拍</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（1）型号：大疆DJI Inspire 3等（同等级别设备）                                                                                                                     （2）定位：一体化8K全画幅空中电影机，专为专业影视航拍设计                                                                          （3）云台相机：禅思X9-8K Air云台相机等（同等级别设备）                                                                                                           （4）录制规格：8K/75fps Apple ProRes RAW，8K/25fps CinemaDNG</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3.三维动画制作</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（1）结合硬件形态进行三维制作.涉及专业建模.材质附着.贴图绘制.灯光排布.场景制作.动画制作.高清三维渲染等，在满足业务内容表达的基础上，达到新颖，震撼的视觉效果</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（2）涉及工作:大量素材收集.场景制作.动作制作.材质贴图.灯光渲染</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（3）满足招标文件及专业技术规范要求</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（4）根据成片时长计算最终工作量</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4.三维特效制作</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（1）利用Maya.SideHoudini.Lightwave.C4D.AE.Boujou.Mokey.Realviz MatchMover等世界级特效软件进行特效制作，升级视觉效果</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（2）涉及工作:场景建模.特效动画.特效材质.特效渲染等</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（3）满足招标文件及专业技术规范要求</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（4）根据成片时长计算最终工作量</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5.特效合成</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（1）二维特效：动态图形.字幕.粒子效果等，常用After Effects（AE）等（同等级别软件）或万彩特效大师27</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（2）跟踪与合成：利用PF Track.Nuke等（同等级别软件）进行画面元素跟踪与多图层合成</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（3）根据成片时长计算最终工作量</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6.调色与视觉优化</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（1）色彩校正：调整亮度.对比度.饱和度，统一画面色调                                                                        （2）风格化处理：根据剧情氛围定制色彩风格（如冷色调悬疑片.暖色调回忆场景），主要工具为DaVinci Resolve 等（同等级别软件）                                                                                                                                       （3）根据成片时长计算最终工作量</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7.音效与配音处理</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 xml:space="preserve">（1）邀请国家级配音员进行脚本解说词配音.以及根据画面内容封装音乐与音效等                     </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（2）音效设计：添加环境音.动作音效等，常用Audition或专业音效库等（同等级别软件）</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（3）配音与配乐：录制对白或旁白，选用原创音乐或版权音乐，工具包括 Audition.Logic Pro等（同等级别软件）</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（4）根据成片时长计算最终工作量</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8.视频剪辑</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（1）利用工具：Adobe Premiere Pro.Final Cut Pro X.DaVinci Resolve（兼剪辑与调色）等非线性编辑软件对众多不同元素的进行艺术性组合和加工，将视频素材进行非线性编辑，提升视觉效果  （2）初剪（粗剪）：将拍摄素材按脚本顺序初步拼接，去除冗余部分，形成无特效.无配音的版本（3）精剪（正式剪辑）：优化初剪内容，加入特效.转场等，调整节奏和叙事逻辑，确定最终画面结构</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（4）根据成片时长计算最终工作量</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9.最终合成与输出</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 xml:space="preserve">（1）多元素整合：将剪辑.特效.调色.音效等所有素材统一调整并合成，确保音画同步                     </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（2）格式输出：导出为符合播放平台要求的格式（如MP4.MOV），常用工具包括Media Encoder或剪辑软件内置导出功能</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6C5F20B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秒</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01F14E6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150</w:t>
            </w:r>
          </w:p>
        </w:tc>
      </w:tr>
      <w:tr w14:paraId="03793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6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CC5EEBB">
            <w:pPr>
              <w:keepNext w:val="0"/>
              <w:keepLines w:val="0"/>
              <w:suppressLineNumbers w:val="0"/>
              <w:spacing w:before="0" w:beforeAutospacing="0" w:after="0" w:afterAutospacing="0"/>
              <w:ind w:left="0" w:right="0"/>
              <w:jc w:val="center"/>
              <w:rPr>
                <w:rFonts w:hint="default" w:ascii="仿宋" w:hAnsi="仿宋" w:eastAsia="仿宋" w:cs="仿宋"/>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01E02F6">
            <w:pPr>
              <w:keepNext w:val="0"/>
              <w:keepLines w:val="0"/>
              <w:suppressLineNumbers w:val="0"/>
              <w:spacing w:before="0" w:beforeAutospacing="0" w:after="0" w:afterAutospacing="0"/>
              <w:ind w:left="0" w:right="0"/>
              <w:jc w:val="center"/>
              <w:rPr>
                <w:rFonts w:hint="default" w:ascii="仿宋" w:hAnsi="仿宋" w:eastAsia="仿宋" w:cs="仿宋"/>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2E0A4773">
            <w:pPr>
              <w:keepNext w:val="0"/>
              <w:keepLines w:val="0"/>
              <w:suppressLineNumbers w:val="0"/>
              <w:spacing w:before="0" w:beforeAutospacing="0" w:after="0" w:afterAutospacing="0"/>
              <w:ind w:left="0" w:right="0"/>
              <w:jc w:val="left"/>
              <w:rPr>
                <w:rFonts w:hint="default" w:ascii="仿宋" w:hAnsi="仿宋" w:eastAsia="仿宋" w:cs="仿宋"/>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CE6344A">
            <w:pPr>
              <w:keepNext w:val="0"/>
              <w:keepLines w:val="0"/>
              <w:suppressLineNumbers w:val="0"/>
              <w:spacing w:before="0" w:beforeAutospacing="0" w:after="0" w:afterAutospacing="0"/>
              <w:ind w:left="0" w:right="0"/>
              <w:jc w:val="center"/>
              <w:rPr>
                <w:rFonts w:hint="default" w:ascii="仿宋" w:hAnsi="仿宋" w:eastAsia="仿宋" w:cs="仿宋"/>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83B4ED6">
            <w:pPr>
              <w:keepNext w:val="0"/>
              <w:keepLines w:val="0"/>
              <w:suppressLineNumbers w:val="0"/>
              <w:spacing w:before="0" w:beforeAutospacing="0" w:after="0" w:afterAutospacing="0"/>
              <w:ind w:left="0" w:right="0"/>
              <w:jc w:val="center"/>
              <w:rPr>
                <w:rFonts w:hint="default" w:ascii="仿宋" w:hAnsi="仿宋" w:eastAsia="仿宋" w:cs="仿宋"/>
                <w:i w:val="0"/>
                <w:iCs w:val="0"/>
                <w:color w:val="auto"/>
                <w:sz w:val="22"/>
                <w:szCs w:val="22"/>
                <w:highlight w:val="none"/>
                <w:u w:val="none"/>
              </w:rPr>
            </w:pPr>
          </w:p>
        </w:tc>
      </w:tr>
      <w:tr w14:paraId="455A4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60"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5F6CB6F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59</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246C83B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数字影片2-2</w:t>
            </w:r>
          </w:p>
        </w:tc>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4FC26BFF">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主题规划影片 时长：210s</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1.脚本策划方案</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（1）根据展项形式梳理前期内容，了解甲方意图进行创意构思，在专业基础上进行后续内容深化以及执行脚本的绘制，并通过相关专家审核</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（2）涉及工作:前期内容梳理，创意策划.执行脚本制作</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（3）满足图纸.招标文件及专业技术规范要求</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2.无人机航拍</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（1）型号：大疆DJI Inspire 3 等（同等级别设备）                                                                                                                    （2）定位：一体化8K全画幅空中电影机，专为专业影视航拍设计                                                                          （3）云台相机：禅思X9-8K Air云台相机等（同等级别设备）                                                                                                           （4）录制规格：8K/75fps Apple ProRes RAW，8K/25fps CinemaDNG</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3.实拍（影视级）</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（1）导演组：负责整体艺术把控.分镜设计.演员调度，监督全流程拍摄质量                                                                                                                    （2）摄影组：摄影指导（DP）：主导镜头语言设计，协同灯光组完成画面质感 掌机/云台手：操作专业设备（如DJI Inspire 3航拍.斯坦尼康稳定器）跟焦员：配合电影镜头手动跟焦，确保画面精度                                                                      （3）技术执行团队：灯光组- 布设专业影视灯具（如ARRI SkyPanel.镝灯），控制光影层次录音组- 使用无线麦克风（如Sennheiser 6000系列）.挑杆麦克风及多轨录音机（Zoom F8n）场务组-负责现场秩序维护.设备搬运.轨道铺设及临时道具制作                                                                                                      （4）后勤支持组：制片主任.现场制片.生活制片场记-记录拍摄场次.镜头参数及连续性细节，确保后期衔接无误</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4.三维动画制作</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（1）结合硬件形态进行三维制作.涉及专业建模.材质附着.贴图绘制.灯光排布.场景制作.动画制作.高清三维渲染等，在满足业务内容表达的基础上，达到新颖，震撼的视觉效果</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（2）涉及工作:大量素材收集.场景制作.动作制作.材质贴图.灯光渲染</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（3）满足招标文件及专业技术规范要求</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（4）根据成片时长计算最终工作量</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5.三维特效制作</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（1）利用Maya.SideHoudini.Lightwave.C4D.AE.Boujou.Mokey.Realviz MatchMover等世界级特效软件进行特效制作，升级视觉效果</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（2）涉及工作:场景建模.特效动画.特效材质.特效渲染等</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（3）满足招标文件及专业技术规范要求</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（4）根据成片时长计算最终工作量</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6.特效合成</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（1）二维特效：动态图形.字幕.粒子效果等，常用After Effects（AE）或万彩特效大师27等（同等级别软件）</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（2）跟踪与合成：利用PF Track.Nuke等（同等级别软件）进行画面元素跟踪与多图层合成</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（3）根据成片时长计算最终工作量</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7.调色与视觉优化</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（1）色彩校正：调整亮度.对比度.饱和度，统一画面色调                                                                        （2）风格化处理：根据剧情氛围定制色彩风格（如冷色调悬疑片.暖色调回忆场景），主要工具为DaVinci Resolve 等（同等级别软件）                                                                                                                                       （3）根据成片时长计算最终工作量</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8.音效与配音处理</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 xml:space="preserve">（1）邀请国家级配音员进行脚本解说词配音.以及根据画面内容封装音乐与音效等                     </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 xml:space="preserve">（2）音效设计：添加环境音.动作音效等，常用Audition或专业音效库等（同等级别软件） </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（3）配音与配乐：录制对白或旁白，选用原创音乐或版权音乐，工具包括 Audition.Logic Pro等（同等级别软件）</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（4）根据成片时长计算最终工作量</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9.视频剪辑</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（1）利用工具：Adobe Premiere Pro.Final Cut Pro X.DaVinci Resolve（兼剪辑与调色）等非线性编辑软件对众多不同元素的进行艺术性组合和加工，将视频素材进行非线性编辑，提升视觉效果  （2）初剪（粗剪）：将拍摄素材按脚本顺序初步拼接，去除冗余部分，形成无特效.无配音的版本（3）精剪（正式剪辑）：优化初剪内容，加入特效.转场等，调整节奏和叙事逻辑，确定最终画面结构</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（4）根据成片时长计算最终工作量</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10.最终合成与输出</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 xml:space="preserve">（1）多元素整合：将剪辑.特效.调色.音效等所有素材统一调整并合成，确保音画同步                     </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（2）格式输出：导出为符合播放平台要求的格式（如MP4.MOV），常用工具包括Media Encoder或剪辑软件内置导出功能</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44A83FB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秒</w:t>
            </w: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47F95FB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210</w:t>
            </w:r>
          </w:p>
        </w:tc>
      </w:tr>
      <w:tr w14:paraId="6CBF19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27CF71E4">
            <w:pPr>
              <w:keepNext w:val="0"/>
              <w:keepLines w:val="0"/>
              <w:suppressLineNumbers w:val="0"/>
              <w:spacing w:before="0" w:beforeAutospacing="0" w:after="0" w:afterAutospacing="0"/>
              <w:ind w:left="0" w:right="0"/>
              <w:jc w:val="center"/>
              <w:rPr>
                <w:rFonts w:hint="default" w:ascii="仿宋" w:hAnsi="仿宋" w:eastAsia="仿宋" w:cs="仿宋"/>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B528EF7">
            <w:pPr>
              <w:keepNext w:val="0"/>
              <w:keepLines w:val="0"/>
              <w:suppressLineNumbers w:val="0"/>
              <w:spacing w:before="0" w:beforeAutospacing="0" w:after="0" w:afterAutospacing="0"/>
              <w:ind w:left="0" w:right="0"/>
              <w:jc w:val="center"/>
              <w:rPr>
                <w:rFonts w:hint="default" w:ascii="仿宋" w:hAnsi="仿宋" w:eastAsia="仿宋" w:cs="仿宋"/>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FF75F72">
            <w:pPr>
              <w:keepNext w:val="0"/>
              <w:keepLines w:val="0"/>
              <w:suppressLineNumbers w:val="0"/>
              <w:spacing w:before="0" w:beforeAutospacing="0" w:after="0" w:afterAutospacing="0"/>
              <w:ind w:left="0" w:right="0"/>
              <w:jc w:val="left"/>
              <w:rPr>
                <w:rFonts w:hint="default" w:ascii="仿宋" w:hAnsi="仿宋" w:eastAsia="仿宋" w:cs="仿宋"/>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EAB1CC8">
            <w:pPr>
              <w:keepNext w:val="0"/>
              <w:keepLines w:val="0"/>
              <w:suppressLineNumbers w:val="0"/>
              <w:spacing w:before="0" w:beforeAutospacing="0" w:after="0" w:afterAutospacing="0"/>
              <w:ind w:left="0" w:right="0"/>
              <w:jc w:val="center"/>
              <w:rPr>
                <w:rFonts w:hint="default" w:ascii="仿宋" w:hAnsi="仿宋" w:eastAsia="仿宋" w:cs="仿宋"/>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0E35223">
            <w:pPr>
              <w:keepNext w:val="0"/>
              <w:keepLines w:val="0"/>
              <w:suppressLineNumbers w:val="0"/>
              <w:spacing w:before="0" w:beforeAutospacing="0" w:after="0" w:afterAutospacing="0"/>
              <w:ind w:left="0" w:right="0"/>
              <w:jc w:val="center"/>
              <w:rPr>
                <w:rFonts w:hint="default" w:ascii="仿宋" w:hAnsi="仿宋" w:eastAsia="仿宋" w:cs="仿宋"/>
                <w:i w:val="0"/>
                <w:iCs w:val="0"/>
                <w:color w:val="auto"/>
                <w:sz w:val="22"/>
                <w:szCs w:val="22"/>
                <w:highlight w:val="none"/>
                <w:u w:val="none"/>
              </w:rPr>
            </w:pPr>
          </w:p>
        </w:tc>
      </w:tr>
      <w:tr w14:paraId="5B7D2F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41B2D14D">
            <w:pPr>
              <w:keepNext w:val="0"/>
              <w:keepLines w:val="0"/>
              <w:suppressLineNumbers w:val="0"/>
              <w:spacing w:before="0" w:beforeAutospacing="0" w:after="0" w:afterAutospacing="0"/>
              <w:ind w:left="0" w:right="0"/>
              <w:jc w:val="center"/>
              <w:rPr>
                <w:rFonts w:hint="default" w:ascii="仿宋" w:hAnsi="仿宋" w:eastAsia="仿宋" w:cs="仿宋"/>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6BD6889">
            <w:pPr>
              <w:keepNext w:val="0"/>
              <w:keepLines w:val="0"/>
              <w:suppressLineNumbers w:val="0"/>
              <w:spacing w:before="0" w:beforeAutospacing="0" w:after="0" w:afterAutospacing="0"/>
              <w:ind w:left="0" w:right="0"/>
              <w:jc w:val="center"/>
              <w:rPr>
                <w:rFonts w:hint="default" w:ascii="仿宋" w:hAnsi="仿宋" w:eastAsia="仿宋" w:cs="仿宋"/>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2905FB92">
            <w:pPr>
              <w:keepNext w:val="0"/>
              <w:keepLines w:val="0"/>
              <w:suppressLineNumbers w:val="0"/>
              <w:spacing w:before="0" w:beforeAutospacing="0" w:after="0" w:afterAutospacing="0"/>
              <w:ind w:left="0" w:right="0"/>
              <w:jc w:val="left"/>
              <w:rPr>
                <w:rFonts w:hint="default" w:ascii="仿宋" w:hAnsi="仿宋" w:eastAsia="仿宋" w:cs="仿宋"/>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62289C48">
            <w:pPr>
              <w:keepNext w:val="0"/>
              <w:keepLines w:val="0"/>
              <w:suppressLineNumbers w:val="0"/>
              <w:spacing w:before="0" w:beforeAutospacing="0" w:after="0" w:afterAutospacing="0"/>
              <w:ind w:left="0" w:right="0"/>
              <w:jc w:val="center"/>
              <w:rPr>
                <w:rFonts w:hint="default" w:ascii="仿宋" w:hAnsi="仿宋" w:eastAsia="仿宋" w:cs="仿宋"/>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33F649C8">
            <w:pPr>
              <w:keepNext w:val="0"/>
              <w:keepLines w:val="0"/>
              <w:suppressLineNumbers w:val="0"/>
              <w:spacing w:before="0" w:beforeAutospacing="0" w:after="0" w:afterAutospacing="0"/>
              <w:ind w:left="0" w:right="0"/>
              <w:jc w:val="center"/>
              <w:rPr>
                <w:rFonts w:hint="default" w:ascii="仿宋" w:hAnsi="仿宋" w:eastAsia="仿宋" w:cs="仿宋"/>
                <w:i w:val="0"/>
                <w:iCs w:val="0"/>
                <w:color w:val="auto"/>
                <w:sz w:val="22"/>
                <w:szCs w:val="22"/>
                <w:highlight w:val="none"/>
                <w:u w:val="none"/>
              </w:rPr>
            </w:pPr>
          </w:p>
        </w:tc>
      </w:tr>
      <w:tr w14:paraId="3C339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418D03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27188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数字影片4</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3A4F6A1">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甲供素材剪辑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F534D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877D9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r>
      <w:tr w14:paraId="4D379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9A8075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46B9C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数字影院解码器</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324ADCE">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1.≥10路输出，≥6个独立XLS平衡输出通道和≥4路RCA非平衡输出</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2.全面支持DTS 5.1 DOLBY5.1.HD.DTS解码</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3.3进1出2K HDMI矩阵系统.Dolby Vision™，HDR 10，HLG，WCG，扩展色域（sYCC601，Adobe RGB）</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4.配置光纤和同轴数字音频接口，便于数字音频传输</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5.≥2组立体声线路输入和2组TRS单通道输入，≥1组立体声录音输出</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6.每一路输入和输出均有独立的DSP处理器，输入通道≥48段全数字参量均衡，输出通道≥30段全数字参量均衡</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7.每一个输入和输出通道均配置高通.低通.带通.延时.压限DSP处理器</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8.全彩LCD显示屏和全中文交互式多层菜单</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9.支持传统RS232中控控制</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10.≥10个用户自定义场景模式，方便根据不同使用场景调用</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11.内置自动声反馈抑制器</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12.内置噪声门</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13.内置DSP数字效果器</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7A5F0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0B621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14:paraId="3A136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D147E0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FE929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图形处理工作站</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E847AD4">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1.符合EIA 5U标准，方便机架集中布置与管理 </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2.装载系统监测显示屏，动态显示设备名称.IP.负载.温控等信息方便用户实时了解设备运行状态</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3.支持Control Center Express集中控制中心管理功能，通过人性化的界面进行一站式IT监控和管理</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4.内置VNC远程控制芯片，专用RJ45端口设计，支持RS212/485/TCP等Modbus协议，实现硬件级远程控制</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5.支援网络Wake On Lan功能方便中控集中管理</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6.搭载高性能组件：Total Threads≥32Max Turbo Frequency≥6.0GhzMemory≥128GBStorage≥500GB</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7.搭载双路高算力GPU卡，单卡Video Memory≥24GBCUDA Core≥8192Tensor Core≥256Tensor算力≥ 222.2 TFLOPS</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8.Interface：DP1.4a x 4</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9.输出支持：4x 4096 x 2160 @ 120Hz4x 5120 x 2880 @ 60Hz2x 7680 x 4320 @ 60Hz输出</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10.支持Mosaic多屏拼接技术</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11.所有输出端口支持EDID管理与锁定技术</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12.支持像素级多屏边缘重叠调整技术</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13.支持DirectX 12.Shader Model 5.1.OpenGL 4.6 .Vulkan 1.25</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 xml:space="preserve">14.支持HDCP2.2高带宽数字内容保护技术 </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15.内置Media Playback播控软件，兼容AVI.MPEG.MOV.WMV.JPEG.PNG等格式文件的自主与受控播放</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16.支持外接MIDI控台与SDI.HDMI.DVI等捕捉采集功能（选配）</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17.内置硬件级WDT组件，有效减少无人值守工况下的意外死机与程序假死等故障</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18.符合中国强制性产品认证China Compulsory Certification</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0EDE0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F9479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12</w:t>
            </w:r>
          </w:p>
        </w:tc>
      </w:tr>
      <w:tr w14:paraId="7F62B9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8A32DA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ED545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网络电源时序器</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B78197D">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1.全彩中文晶智能显示屏幕，可实时显示当前电压.日期时间.通道开关状态</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2.自动定时开关机功能可根据用户自行设定的日期时间定时自动开关机，无需人工开启和关闭</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3.8路时序电源通道输出，每一路均可以自由设置延时开启和关闭的时间，设置时间范围为0-999秒</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4.本机可以存储10组用户自定义场景模式，十分方便现场管理和使用</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5.支持多台设备级联顺序控制，级联自动检测及设置</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5.配置RS232串口，支持外部中央控制设备控制</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6.可实现远程集中控制，每台设备自带设备编码ID检测和设置</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7.支持面板Lock锁定功能，防止人为误操作</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8.每台设备自带ID设置和检测，可实现远程集中控制</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9.欠压.超压检测及报警</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10.宽电压范围兼容~90V-250V</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11.总功率6600W，单路最大功率2500W</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12.配置1路RS232控制接口和1路LAN接口以及1路RJ45接口，方便本地中控控制或者远程网络控制</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D2E53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41E21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w:t>
            </w:r>
          </w:p>
        </w:tc>
      </w:tr>
      <w:tr w14:paraId="39DFF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9D2B18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5F5D3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无线AP</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38447E8">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1.吸顶AP</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2.上行≥1个千兆电口，支持802.11ax，2+2双频，整机速率2.975Gbps</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3.最大发射功率≥20dBm，支持BLE 5.0</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4.最大功耗≤10W，智能天线，支持Leader AP</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BE41D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7D92D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40</w:t>
            </w:r>
          </w:p>
        </w:tc>
      </w:tr>
      <w:tr w14:paraId="7B889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CE98A6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8C279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无线控制器</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3FA1B84">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1.≥10个千兆电口，≥2个万兆光口，默认管理 64个AP，可以升级256AP</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2.用户接入能力1K，转发能力4Gbps</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3.支持URL过滤，支持反病毒，支持入侵防御，可支持1+1或N+1备份，支持智能漫游，标准机架式</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98880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1E63C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14:paraId="4E6D0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0E2630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031FD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显示器</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C6145E9">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 xml:space="preserve">屏幕尺寸不低于23寸.显示比例：16:9 分辨率：1920x1080 接口：HDMI VGA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70FAC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E5BA7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14:paraId="7786C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5828B5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A14C2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线材.辅料</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42B661B">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各类线材辅料等</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669B0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批</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EAAC2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14:paraId="56598E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9288C3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3566F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小程序更新</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DFE3B2C">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30个点位内漫游更新，视频需甲供</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1B49B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82AF5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14:paraId="45F94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8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3DF46E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DEB6B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小体积壁挂扬声器</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FE85F1D">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1.采用4只3寸全频扬声器单元</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2.在4只全频扬声器单元的基础上额外配置1只压缩驱动钛振膜高频扬声器单元，从而大幅度提升声音清晰度和穿透力与层次感</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3.精密设计和调校的专业分频器更好提升清晰度与音质水平</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4.额定功率：120W/AES</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5.频率响应：100Hz-20KHz</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6.标称阻抗：8 Ω</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7.灵敏度：93dB</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 xml:space="preserve">8.连续声压级：116dB </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9.最大声压级： 122 dB</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 xml:space="preserve">10.辐射角度：H120°*V25°  </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11.净重：4.5kg</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 xml:space="preserve">12.尺寸(mm)：456H)*128(W)*128(D) mm  </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13.箱体材料：3/4 11ply</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14.外观颜色：黑色和白色可选</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15.网面：背贴声学透声海绵</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16.支持原配原厂金属壁挂支架</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17.安装螺丝规格：M8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09E12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只</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7868F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10</w:t>
            </w:r>
          </w:p>
        </w:tc>
      </w:tr>
      <w:tr w14:paraId="6F95D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758111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27A80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液压支架（100寸）</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6CE0DD2">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适配100寸显示器</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4D6DB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16EFC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14:paraId="36063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62C164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3B9BD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液压支架（75寸）</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AB0DCC6">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依据设计需求与现场环境定制</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06BEB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27410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14:paraId="51C7D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19CFF8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ECCC9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液压支架（98寸）</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A9203D6">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适配98寸触控终端</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3629E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6ACF3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14:paraId="78F2C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3A8C78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DEDC6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中控程序</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111F937">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制作技术点</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通过多媒体交互技术，让讲解员.展厅管理员通过PAD控制整馆设备.灯光.内容等</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核心功能点主要分为：</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1.整馆灯光.设备.内容联动总控</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2.各展区灯光.设备分控</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3.多媒体内容.声音控制</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一.方案阶段：</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1：需要根据整馆展陈方案中各展区展示形式，并结合客户实际需求确定中控功能框架</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2：根据中控功能框架整合中控功能明细文件</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3：根据整馆程序.墙面.空间风格进行中控画面的设定.风格设定.设觉设计等</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4：最终输出中控原型图</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二.制作阶段：</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1.UI界面设计/动效制作</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将内容运用photoshop等（同等级别软件）制作视觉风格设计，根据整馆内容属性制定UI界面及整体框架设计，并制定交互方式</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根据UI界面设计，运用二维特效转换成动态动画动效效果</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2.具体制作流程</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首先视觉设计师基于情绪版风格参考并消化客户资料开始程序风格设计稿的制作，此时界面交互流程.画面风格已确定</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在设计稿完成后经过内部统一审核，随即启动界面动效制作，总体包括待机画面演绎.图文切换动效.按钮激活动效等最终，制作文件将递交给程序设计师，程序在完成制作.内部调试后最终上屏</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3.交互技术</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运用UNITY 3D等（同等级别软件）程序制作引擎展示程序开发互动逻辑,互动方式设计，动画动效及主菜单基础平台程序开发最后互动程序与现场调试，需要花费大量的时间来回反复测试，才能达到最佳效果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0B4AD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50240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r>
      <w:tr w14:paraId="5ABFA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0447D3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49699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专业同步卡</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014A705">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NVIDIA Quadro SYNC II等（同等级）专业同步卡</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E2FDB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FD4A5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12</w:t>
            </w:r>
          </w:p>
        </w:tc>
      </w:tr>
      <w:tr w14:paraId="4C212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37C411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02B13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专业演艺数字功率放大器1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D59517B">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1.采用数字式短路保护装置，包括直流保护.过载保护.短路保护.过热保护.压限保护.软启动保护.关机静音保护等在内的完善强大自动保护功能</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2.≥2路卡侬平衡输入和≥2路卡侬平衡输出，≥2路SPEAKON快速拆装音频功率插座</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3.≥3种工作模式切换，包括立体声.单声道和桥接模式</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 xml:space="preserve">4.额定功率≥2*800W/8Ω≥2*120W/4Ω，桥接≥2400W/8Ω </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 xml:space="preserve">5.频率响应： 20Hz~20KHz±1dB </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6.具备自动保护回路断开器，当本机超负荷工作时，回路断开器自动断电源</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 xml:space="preserve">7.输入阻抗：平衡≤20KΩ，不平衡≤10KΩ </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 xml:space="preserve">8.信噪比（a计权）≤100dB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A67CF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70575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12</w:t>
            </w:r>
          </w:p>
        </w:tc>
      </w:tr>
      <w:tr w14:paraId="3A9D2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F72DAE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27A83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专业演艺数字功率放大器2</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BDA88DF">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1.针对针对演出和高水准扩声而设计的高效率.高精密.高可靠专业数字功率放大器</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2.采用精密逻辑预算放大电路，确保高可靠高保真的同时具有极速动态响应能力以保证各种专业演出的高水准</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3.采用数字式短路保护装置，包括直流保护.过载保护.短路保护.过热保护.压限保护.软启动保护.关机静音保护等在内的完善强大自动保护功能</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4.严苛精选的高质素元器件和大电流高功率电源系统</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5.4个平衡式XLR信号端口</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6.满足各种专业巡演和高水准扩声而设计的坚固机身适配任何标准机柜</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7.高级铝合金面板和特种高颜值机箱表面喷涂让高颜值与好声音完美结合</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 xml:space="preserve">8.额定功率不低于：2*2000W/8Ω2*3000W/4Ω，桥接6000W/8Ω </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 xml:space="preserve">9.频率响应优于： 20Hz~20KHz±1dB </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10.具备自动保护回路断开器，当本机超负荷工作时，回路断开器自动断电源</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 xml:space="preserve">11.输入灵敏度:  0dB(775mv)或者1.4V可选，开关切换 </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 xml:space="preserve">12.输入阻抗：平衡20KΩ，不平衡10KΩ </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13.信噪比（a计权）：≥100dB</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14.尺寸≤宽482mm*高88mm*深430mm</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 xml:space="preserve">15.重量≤23.6kg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326C65">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14CEB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r>
    </w:tbl>
    <w:p w14:paraId="4DB2A9E1">
      <w:pPr>
        <w:spacing w:line="428" w:lineRule="exact"/>
        <w:ind w:left="119"/>
        <w:rPr>
          <w:rFonts w:hint="eastAsia" w:ascii="微软雅黑" w:hAnsi="微软雅黑" w:eastAsia="微软雅黑" w:cs="微软雅黑"/>
          <w:color w:val="auto"/>
          <w:sz w:val="32"/>
          <w:szCs w:val="32"/>
          <w:highlight w:val="none"/>
        </w:rPr>
      </w:pPr>
    </w:p>
    <w:p w14:paraId="2B63E14B">
      <w:pPr>
        <w:spacing w:line="428" w:lineRule="exact"/>
        <w:ind w:left="119"/>
        <w:rPr>
          <w:rFonts w:hint="eastAsia" w:ascii="微软雅黑" w:hAnsi="微软雅黑" w:eastAsia="微软雅黑" w:cs="微软雅黑"/>
          <w:color w:val="auto"/>
          <w:sz w:val="32"/>
          <w:szCs w:val="32"/>
          <w:highlight w:val="none"/>
        </w:rPr>
      </w:pPr>
    </w:p>
    <w:p w14:paraId="57D89702">
      <w:pPr>
        <w:spacing w:line="428" w:lineRule="exact"/>
        <w:ind w:left="119"/>
        <w:rPr>
          <w:rFonts w:hint="eastAsia" w:ascii="微软雅黑" w:hAnsi="微软雅黑" w:eastAsia="微软雅黑" w:cs="微软雅黑"/>
          <w:color w:val="auto"/>
          <w:sz w:val="32"/>
          <w:szCs w:val="32"/>
          <w:highlight w:val="none"/>
        </w:rPr>
      </w:pPr>
    </w:p>
    <w:p w14:paraId="38D10E9E">
      <w:pPr>
        <w:spacing w:line="428" w:lineRule="exact"/>
        <w:ind w:left="119"/>
        <w:rPr>
          <w:rFonts w:hint="eastAsia" w:ascii="微软雅黑" w:hAnsi="微软雅黑" w:eastAsia="微软雅黑" w:cs="微软雅黑"/>
          <w:color w:val="auto"/>
          <w:sz w:val="32"/>
          <w:szCs w:val="32"/>
          <w:highlight w:val="none"/>
        </w:rPr>
      </w:pPr>
    </w:p>
    <w:p w14:paraId="49332A08">
      <w:pPr>
        <w:spacing w:line="428" w:lineRule="exact"/>
        <w:ind w:left="119"/>
        <w:rPr>
          <w:rFonts w:hint="eastAsia" w:ascii="微软雅黑" w:hAnsi="微软雅黑" w:eastAsia="微软雅黑" w:cs="微软雅黑"/>
          <w:color w:val="auto"/>
          <w:sz w:val="32"/>
          <w:szCs w:val="32"/>
          <w:highlight w:val="none"/>
        </w:rPr>
      </w:pPr>
    </w:p>
    <w:p w14:paraId="238334D7">
      <w:pPr>
        <w:spacing w:line="428" w:lineRule="exact"/>
        <w:ind w:left="119"/>
        <w:rPr>
          <w:rFonts w:hint="eastAsia" w:ascii="微软雅黑" w:hAnsi="微软雅黑" w:eastAsia="微软雅黑" w:cs="微软雅黑"/>
          <w:color w:val="auto"/>
          <w:sz w:val="32"/>
          <w:szCs w:val="32"/>
          <w:highlight w:val="none"/>
        </w:rPr>
      </w:pPr>
    </w:p>
    <w:p w14:paraId="1C23D2AA">
      <w:pPr>
        <w:spacing w:line="428" w:lineRule="exact"/>
        <w:ind w:left="119"/>
        <w:rPr>
          <w:rFonts w:hint="eastAsia" w:ascii="微软雅黑" w:hAnsi="微软雅黑" w:eastAsia="微软雅黑" w:cs="微软雅黑"/>
          <w:color w:val="auto"/>
          <w:sz w:val="32"/>
          <w:szCs w:val="32"/>
          <w:highlight w:val="none"/>
        </w:rPr>
        <w:sectPr>
          <w:pgSz w:w="16838" w:h="11906" w:orient="landscape"/>
          <w:pgMar w:top="1080" w:right="1440" w:bottom="1080" w:left="1440" w:header="720" w:footer="720" w:gutter="0"/>
          <w:cols w:space="720" w:num="1"/>
          <w:docGrid w:type="lines" w:linePitch="331" w:charSpace="0"/>
        </w:sectPr>
      </w:pPr>
    </w:p>
    <w:bookmarkEnd w:id="37"/>
    <w:p w14:paraId="6F30CBAD">
      <w:pPr>
        <w:spacing w:line="428" w:lineRule="exact"/>
        <w:ind w:left="119"/>
        <w:rPr>
          <w:rFonts w:hint="eastAsia" w:ascii="Arial Unicode MS" w:hAnsi="Arial Unicode MS" w:eastAsia="Arial Unicode MS" w:cs="Arial Unicode MS"/>
          <w:color w:val="auto"/>
          <w:sz w:val="32"/>
          <w:szCs w:val="32"/>
          <w:highlight w:val="none"/>
        </w:rPr>
      </w:pPr>
      <w:r>
        <w:rPr>
          <w:rFonts w:hAnsi="宋体"/>
          <w:color w:val="auto"/>
          <w:highlight w:val="none"/>
        </w:rPr>
        <w:t xml:space="preserve"> </w:t>
      </w:r>
      <w:r>
        <w:rPr>
          <w:rFonts w:hint="eastAsia" w:ascii="微软雅黑" w:hAnsi="微软雅黑" w:eastAsia="微软雅黑" w:cs="微软雅黑"/>
          <w:color w:val="auto"/>
          <w:sz w:val="32"/>
          <w:szCs w:val="32"/>
          <w:highlight w:val="none"/>
        </w:rPr>
        <w:t>附件</w:t>
      </w:r>
      <w:r>
        <w:rPr>
          <w:rFonts w:hint="eastAsia" w:ascii="Arial Unicode MS" w:hAnsi="Arial Unicode MS" w:eastAsia="Arial Unicode MS" w:cs="Arial Unicode MS"/>
          <w:color w:val="auto"/>
          <w:sz w:val="32"/>
          <w:szCs w:val="32"/>
          <w:highlight w:val="none"/>
          <w:lang w:val="en-US" w:eastAsia="zh-CN"/>
        </w:rPr>
        <w:t>2</w:t>
      </w:r>
      <w:r>
        <w:rPr>
          <w:rFonts w:hint="eastAsia" w:ascii="微软雅黑" w:hAnsi="微软雅黑" w:eastAsia="微软雅黑" w:cs="微软雅黑"/>
          <w:color w:val="auto"/>
          <w:sz w:val="32"/>
          <w:szCs w:val="32"/>
          <w:highlight w:val="none"/>
        </w:rPr>
        <w:t>：</w:t>
      </w:r>
    </w:p>
    <w:p w14:paraId="474BC0AE">
      <w:pPr>
        <w:spacing w:before="7"/>
        <w:rPr>
          <w:rFonts w:ascii="Arial Unicode MS" w:hAnsi="Arial Unicode MS" w:eastAsia="Arial Unicode MS" w:cs="Arial Unicode MS"/>
          <w:color w:val="auto"/>
          <w:sz w:val="17"/>
          <w:szCs w:val="17"/>
          <w:highlight w:val="none"/>
        </w:rPr>
      </w:pPr>
    </w:p>
    <w:p w14:paraId="4A277642">
      <w:pPr>
        <w:spacing w:line="528" w:lineRule="exact"/>
        <w:ind w:left="1871"/>
        <w:rPr>
          <w:rFonts w:ascii="Arial Unicode MS" w:hAnsi="Arial Unicode MS" w:eastAsia="Arial Unicode MS" w:cs="Arial Unicode MS"/>
          <w:color w:val="auto"/>
          <w:sz w:val="40"/>
          <w:szCs w:val="40"/>
          <w:highlight w:val="none"/>
        </w:rPr>
      </w:pPr>
      <w:r>
        <w:rPr>
          <w:rFonts w:hint="eastAsia" w:ascii="微软雅黑" w:hAnsi="微软雅黑" w:eastAsia="微软雅黑" w:cs="微软雅黑"/>
          <w:color w:val="auto"/>
          <w:sz w:val="40"/>
          <w:szCs w:val="40"/>
          <w:highlight w:val="none"/>
        </w:rPr>
        <w:t>节能产品政府采购品目清单</w:t>
      </w:r>
    </w:p>
    <w:tbl>
      <w:tblPr>
        <w:tblStyle w:val="33"/>
        <w:tblW w:w="9220" w:type="dxa"/>
        <w:jc w:val="center"/>
        <w:tblLayout w:type="autofit"/>
        <w:tblCellMar>
          <w:top w:w="0" w:type="dxa"/>
          <w:left w:w="108" w:type="dxa"/>
          <w:bottom w:w="0" w:type="dxa"/>
          <w:right w:w="108" w:type="dxa"/>
        </w:tblCellMar>
      </w:tblPr>
      <w:tblGrid>
        <w:gridCol w:w="641"/>
        <w:gridCol w:w="1116"/>
        <w:gridCol w:w="1516"/>
        <w:gridCol w:w="1612"/>
        <w:gridCol w:w="4335"/>
      </w:tblGrid>
      <w:tr w14:paraId="08E6EA3D">
        <w:tblPrEx>
          <w:tblCellMar>
            <w:top w:w="0" w:type="dxa"/>
            <w:left w:w="108" w:type="dxa"/>
            <w:bottom w:w="0" w:type="dxa"/>
            <w:right w:w="108" w:type="dxa"/>
          </w:tblCellMar>
        </w:tblPrEx>
        <w:trPr>
          <w:trHeight w:val="555" w:hRule="atLeast"/>
          <w:jc w:val="center"/>
        </w:trPr>
        <w:tc>
          <w:tcPr>
            <w:tcW w:w="660" w:type="dxa"/>
            <w:tcBorders>
              <w:top w:val="single" w:color="000000" w:sz="8" w:space="0"/>
              <w:left w:val="single" w:color="000000" w:sz="8" w:space="0"/>
              <w:bottom w:val="single" w:color="000000" w:sz="8" w:space="0"/>
              <w:right w:val="single" w:color="000000" w:sz="8" w:space="0"/>
            </w:tcBorders>
            <w:noWrap w:val="0"/>
            <w:vAlign w:val="top"/>
          </w:tcPr>
          <w:p w14:paraId="32C36F77">
            <w:pPr>
              <w:keepNext w:val="0"/>
              <w:keepLines w:val="0"/>
              <w:widowControl/>
              <w:suppressLineNumbers w:val="0"/>
              <w:spacing w:before="0" w:beforeAutospacing="0" w:after="0" w:afterAutospacing="0"/>
              <w:ind w:left="0" w:right="0"/>
              <w:jc w:val="center"/>
              <w:rPr>
                <w:rFonts w:hint="default"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品目序号</w:t>
            </w:r>
          </w:p>
        </w:tc>
        <w:tc>
          <w:tcPr>
            <w:tcW w:w="4020" w:type="dxa"/>
            <w:gridSpan w:val="3"/>
            <w:tcBorders>
              <w:top w:val="single" w:color="000000" w:sz="8" w:space="0"/>
              <w:left w:val="nil"/>
              <w:bottom w:val="single" w:color="000000" w:sz="8" w:space="0"/>
              <w:right w:val="single" w:color="000000" w:sz="8" w:space="0"/>
            </w:tcBorders>
            <w:noWrap w:val="0"/>
            <w:vAlign w:val="center"/>
          </w:tcPr>
          <w:p w14:paraId="4D00A471">
            <w:pPr>
              <w:keepNext w:val="0"/>
              <w:keepLines w:val="0"/>
              <w:widowControl/>
              <w:suppressLineNumbers w:val="0"/>
              <w:spacing w:before="0" w:beforeAutospacing="0" w:after="0" w:afterAutospacing="0"/>
              <w:ind w:left="0" w:right="0"/>
              <w:jc w:val="center"/>
              <w:rPr>
                <w:rFonts w:hint="default"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名称</w:t>
            </w:r>
          </w:p>
        </w:tc>
        <w:tc>
          <w:tcPr>
            <w:tcW w:w="4540" w:type="dxa"/>
            <w:tcBorders>
              <w:top w:val="single" w:color="000000" w:sz="8" w:space="0"/>
              <w:left w:val="nil"/>
              <w:bottom w:val="single" w:color="000000" w:sz="8" w:space="0"/>
              <w:right w:val="single" w:color="000000" w:sz="8" w:space="0"/>
            </w:tcBorders>
            <w:noWrap w:val="0"/>
            <w:vAlign w:val="center"/>
          </w:tcPr>
          <w:p w14:paraId="113E79A6">
            <w:pPr>
              <w:keepNext w:val="0"/>
              <w:keepLines w:val="0"/>
              <w:widowControl/>
              <w:suppressLineNumbers w:val="0"/>
              <w:spacing w:before="0" w:beforeAutospacing="0" w:after="0" w:afterAutospacing="0"/>
              <w:ind w:left="0" w:right="0"/>
              <w:jc w:val="center"/>
              <w:rPr>
                <w:rFonts w:hint="default"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依据的标准</w:t>
            </w:r>
          </w:p>
        </w:tc>
      </w:tr>
      <w:tr w14:paraId="4A53BE41">
        <w:tblPrEx>
          <w:tblCellMar>
            <w:top w:w="0" w:type="dxa"/>
            <w:left w:w="108" w:type="dxa"/>
            <w:bottom w:w="0" w:type="dxa"/>
            <w:right w:w="108" w:type="dxa"/>
          </w:tblCellMar>
        </w:tblPrEx>
        <w:trPr>
          <w:trHeight w:val="495" w:hRule="atLeast"/>
          <w:jc w:val="center"/>
        </w:trPr>
        <w:tc>
          <w:tcPr>
            <w:tcW w:w="660" w:type="dxa"/>
            <w:vMerge w:val="restart"/>
            <w:tcBorders>
              <w:top w:val="nil"/>
              <w:left w:val="single" w:color="000000" w:sz="8" w:space="0"/>
              <w:bottom w:val="single" w:color="000000" w:sz="8" w:space="0"/>
              <w:right w:val="single" w:color="000000" w:sz="8" w:space="0"/>
            </w:tcBorders>
            <w:noWrap w:val="0"/>
            <w:vAlign w:val="center"/>
          </w:tcPr>
          <w:p w14:paraId="04D8A631">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1</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39202C77">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A020101计算机设备</w:t>
            </w:r>
          </w:p>
        </w:tc>
        <w:tc>
          <w:tcPr>
            <w:tcW w:w="1320" w:type="dxa"/>
            <w:tcBorders>
              <w:top w:val="nil"/>
              <w:left w:val="nil"/>
              <w:bottom w:val="single" w:color="000000" w:sz="8" w:space="0"/>
              <w:right w:val="single" w:color="000000" w:sz="8" w:space="0"/>
            </w:tcBorders>
            <w:noWrap w:val="0"/>
            <w:vAlign w:val="center"/>
          </w:tcPr>
          <w:p w14:paraId="5296711E">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★A02010104台式计算机</w:t>
            </w:r>
          </w:p>
        </w:tc>
        <w:tc>
          <w:tcPr>
            <w:tcW w:w="1620" w:type="dxa"/>
            <w:tcBorders>
              <w:top w:val="nil"/>
              <w:left w:val="nil"/>
              <w:bottom w:val="single" w:color="000000" w:sz="8" w:space="0"/>
              <w:right w:val="single" w:color="000000" w:sz="8" w:space="0"/>
            </w:tcBorders>
            <w:noWrap w:val="0"/>
            <w:vAlign w:val="center"/>
          </w:tcPr>
          <w:p w14:paraId="3A7651F2">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0"/>
            <w:vAlign w:val="center"/>
          </w:tcPr>
          <w:p w14:paraId="3BBE8043">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14:paraId="01207484">
        <w:tblPrEx>
          <w:tblCellMar>
            <w:top w:w="0" w:type="dxa"/>
            <w:left w:w="108" w:type="dxa"/>
            <w:bottom w:w="0" w:type="dxa"/>
            <w:right w:w="108" w:type="dxa"/>
          </w:tblCellMar>
        </w:tblPrEx>
        <w:trPr>
          <w:trHeight w:val="495" w:hRule="atLeast"/>
          <w:jc w:val="center"/>
        </w:trPr>
        <w:tc>
          <w:tcPr>
            <w:tcW w:w="0" w:type="auto"/>
            <w:vMerge w:val="continue"/>
            <w:tcBorders>
              <w:top w:val="nil"/>
              <w:left w:val="single" w:color="000000" w:sz="8" w:space="0"/>
              <w:bottom w:val="single" w:color="000000" w:sz="8" w:space="0"/>
              <w:right w:val="single" w:color="000000" w:sz="8" w:space="0"/>
            </w:tcBorders>
            <w:noWrap w:val="0"/>
            <w:vAlign w:val="center"/>
          </w:tcPr>
          <w:p w14:paraId="02F29480">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792DF058">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noWrap w:val="0"/>
            <w:vAlign w:val="center"/>
          </w:tcPr>
          <w:p w14:paraId="15C2358F">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★A02010105便携式计算机</w:t>
            </w:r>
          </w:p>
        </w:tc>
        <w:tc>
          <w:tcPr>
            <w:tcW w:w="1620" w:type="dxa"/>
            <w:tcBorders>
              <w:top w:val="nil"/>
              <w:left w:val="nil"/>
              <w:bottom w:val="single" w:color="000000" w:sz="8" w:space="0"/>
              <w:right w:val="single" w:color="000000" w:sz="8" w:space="0"/>
            </w:tcBorders>
            <w:noWrap w:val="0"/>
            <w:vAlign w:val="center"/>
          </w:tcPr>
          <w:p w14:paraId="321E0B39">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0"/>
            <w:vAlign w:val="center"/>
          </w:tcPr>
          <w:p w14:paraId="5D92CDDF">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14:paraId="28700889">
        <w:tblPrEx>
          <w:tblCellMar>
            <w:top w:w="0" w:type="dxa"/>
            <w:left w:w="108" w:type="dxa"/>
            <w:bottom w:w="0" w:type="dxa"/>
            <w:right w:w="108" w:type="dxa"/>
          </w:tblCellMar>
        </w:tblPrEx>
        <w:trPr>
          <w:trHeight w:val="735" w:hRule="atLeast"/>
          <w:jc w:val="center"/>
        </w:trPr>
        <w:tc>
          <w:tcPr>
            <w:tcW w:w="0" w:type="auto"/>
            <w:vMerge w:val="continue"/>
            <w:tcBorders>
              <w:top w:val="nil"/>
              <w:left w:val="single" w:color="000000" w:sz="8" w:space="0"/>
              <w:bottom w:val="single" w:color="000000" w:sz="8" w:space="0"/>
              <w:right w:val="single" w:color="000000" w:sz="8" w:space="0"/>
            </w:tcBorders>
            <w:noWrap w:val="0"/>
            <w:vAlign w:val="center"/>
          </w:tcPr>
          <w:p w14:paraId="581095C2">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CD8DF88">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noWrap w:val="0"/>
            <w:vAlign w:val="center"/>
          </w:tcPr>
          <w:p w14:paraId="3155608A">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★A02010107平板式微型计算机</w:t>
            </w:r>
          </w:p>
        </w:tc>
        <w:tc>
          <w:tcPr>
            <w:tcW w:w="1620" w:type="dxa"/>
            <w:tcBorders>
              <w:top w:val="nil"/>
              <w:left w:val="nil"/>
              <w:bottom w:val="single" w:color="000000" w:sz="8" w:space="0"/>
              <w:right w:val="single" w:color="000000" w:sz="8" w:space="0"/>
            </w:tcBorders>
            <w:noWrap w:val="0"/>
            <w:vAlign w:val="center"/>
          </w:tcPr>
          <w:p w14:paraId="1ABC8912">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0"/>
            <w:vAlign w:val="center"/>
          </w:tcPr>
          <w:p w14:paraId="350127F8">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14:paraId="1FE9E79C">
        <w:tblPrEx>
          <w:tblCellMar>
            <w:top w:w="0" w:type="dxa"/>
            <w:left w:w="108" w:type="dxa"/>
            <w:bottom w:w="0" w:type="dxa"/>
            <w:right w:w="108" w:type="dxa"/>
          </w:tblCellMar>
        </w:tblPrEx>
        <w:trPr>
          <w:trHeight w:val="495" w:hRule="atLeast"/>
          <w:jc w:val="center"/>
        </w:trPr>
        <w:tc>
          <w:tcPr>
            <w:tcW w:w="660" w:type="dxa"/>
            <w:vMerge w:val="restart"/>
            <w:tcBorders>
              <w:top w:val="nil"/>
              <w:left w:val="single" w:color="000000" w:sz="8" w:space="0"/>
              <w:bottom w:val="single" w:color="000000" w:sz="8" w:space="0"/>
              <w:right w:val="single" w:color="000000" w:sz="8" w:space="0"/>
            </w:tcBorders>
            <w:noWrap w:val="0"/>
            <w:vAlign w:val="center"/>
          </w:tcPr>
          <w:p w14:paraId="3B6B207D">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2</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29141342">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A020106输入输出设备</w:t>
            </w:r>
          </w:p>
        </w:tc>
        <w:tc>
          <w:tcPr>
            <w:tcW w:w="1320" w:type="dxa"/>
            <w:vMerge w:val="restart"/>
            <w:tcBorders>
              <w:top w:val="nil"/>
              <w:left w:val="single" w:color="000000" w:sz="8" w:space="0"/>
              <w:bottom w:val="single" w:color="000000" w:sz="8" w:space="0"/>
              <w:right w:val="single" w:color="000000" w:sz="8" w:space="0"/>
            </w:tcBorders>
            <w:noWrap w:val="0"/>
            <w:vAlign w:val="center"/>
          </w:tcPr>
          <w:p w14:paraId="59C5898C">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A02010601打印设备</w:t>
            </w:r>
          </w:p>
        </w:tc>
        <w:tc>
          <w:tcPr>
            <w:tcW w:w="1620" w:type="dxa"/>
            <w:tcBorders>
              <w:top w:val="nil"/>
              <w:left w:val="nil"/>
              <w:bottom w:val="single" w:color="000000" w:sz="8" w:space="0"/>
              <w:right w:val="single" w:color="000000" w:sz="8" w:space="0"/>
            </w:tcBorders>
            <w:noWrap w:val="0"/>
            <w:vAlign w:val="center"/>
          </w:tcPr>
          <w:p w14:paraId="2F840E66">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A0201060101喷墨打印机</w:t>
            </w:r>
          </w:p>
        </w:tc>
        <w:tc>
          <w:tcPr>
            <w:tcW w:w="4540" w:type="dxa"/>
            <w:tcBorders>
              <w:top w:val="nil"/>
              <w:left w:val="nil"/>
              <w:bottom w:val="single" w:color="000000" w:sz="8" w:space="0"/>
              <w:right w:val="single" w:color="000000" w:sz="8" w:space="0"/>
            </w:tcBorders>
            <w:noWrap w:val="0"/>
            <w:vAlign w:val="center"/>
          </w:tcPr>
          <w:p w14:paraId="25364397">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2FF4BFDA">
        <w:tblPrEx>
          <w:tblCellMar>
            <w:top w:w="0" w:type="dxa"/>
            <w:left w:w="108" w:type="dxa"/>
            <w:bottom w:w="0" w:type="dxa"/>
            <w:right w:w="108" w:type="dxa"/>
          </w:tblCellMar>
        </w:tblPrEx>
        <w:trPr>
          <w:trHeight w:val="495" w:hRule="atLeast"/>
          <w:jc w:val="center"/>
        </w:trPr>
        <w:tc>
          <w:tcPr>
            <w:tcW w:w="0" w:type="auto"/>
            <w:vMerge w:val="continue"/>
            <w:tcBorders>
              <w:top w:val="nil"/>
              <w:left w:val="single" w:color="000000" w:sz="8" w:space="0"/>
              <w:bottom w:val="single" w:color="000000" w:sz="8" w:space="0"/>
              <w:right w:val="single" w:color="000000" w:sz="8" w:space="0"/>
            </w:tcBorders>
            <w:noWrap w:val="0"/>
            <w:vAlign w:val="center"/>
          </w:tcPr>
          <w:p w14:paraId="1F72D43E">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CC835B7">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400C036E">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0"/>
            <w:vAlign w:val="center"/>
          </w:tcPr>
          <w:p w14:paraId="35CE598B">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★A0201060102激光打印机</w:t>
            </w:r>
          </w:p>
        </w:tc>
        <w:tc>
          <w:tcPr>
            <w:tcW w:w="4540" w:type="dxa"/>
            <w:tcBorders>
              <w:top w:val="nil"/>
              <w:left w:val="nil"/>
              <w:bottom w:val="single" w:color="000000" w:sz="8" w:space="0"/>
              <w:right w:val="single" w:color="000000" w:sz="8" w:space="0"/>
            </w:tcBorders>
            <w:noWrap w:val="0"/>
            <w:vAlign w:val="center"/>
          </w:tcPr>
          <w:p w14:paraId="57701176">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4891262A">
        <w:tblPrEx>
          <w:tblCellMar>
            <w:top w:w="0" w:type="dxa"/>
            <w:left w:w="108" w:type="dxa"/>
            <w:bottom w:w="0" w:type="dxa"/>
            <w:right w:w="108" w:type="dxa"/>
          </w:tblCellMar>
        </w:tblPrEx>
        <w:trPr>
          <w:trHeight w:val="495" w:hRule="atLeast"/>
          <w:jc w:val="center"/>
        </w:trPr>
        <w:tc>
          <w:tcPr>
            <w:tcW w:w="0" w:type="auto"/>
            <w:vMerge w:val="continue"/>
            <w:tcBorders>
              <w:top w:val="nil"/>
              <w:left w:val="single" w:color="000000" w:sz="8" w:space="0"/>
              <w:bottom w:val="single" w:color="000000" w:sz="8" w:space="0"/>
              <w:right w:val="single" w:color="000000" w:sz="8" w:space="0"/>
            </w:tcBorders>
            <w:noWrap w:val="0"/>
            <w:vAlign w:val="center"/>
          </w:tcPr>
          <w:p w14:paraId="1537BE08">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1885DBCC">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7907DDEC">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0"/>
            <w:vAlign w:val="center"/>
          </w:tcPr>
          <w:p w14:paraId="27213DCF">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★A0201060104针式打印机</w:t>
            </w:r>
          </w:p>
        </w:tc>
        <w:tc>
          <w:tcPr>
            <w:tcW w:w="4540" w:type="dxa"/>
            <w:tcBorders>
              <w:top w:val="nil"/>
              <w:left w:val="nil"/>
              <w:bottom w:val="single" w:color="000000" w:sz="8" w:space="0"/>
              <w:right w:val="single" w:color="000000" w:sz="8" w:space="0"/>
            </w:tcBorders>
            <w:noWrap w:val="0"/>
            <w:vAlign w:val="center"/>
          </w:tcPr>
          <w:p w14:paraId="7CF25149">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19C76CD9">
        <w:tblPrEx>
          <w:tblCellMar>
            <w:top w:w="0" w:type="dxa"/>
            <w:left w:w="108" w:type="dxa"/>
            <w:bottom w:w="0" w:type="dxa"/>
            <w:right w:w="108" w:type="dxa"/>
          </w:tblCellMar>
        </w:tblPrEx>
        <w:trPr>
          <w:trHeight w:val="495" w:hRule="atLeast"/>
          <w:jc w:val="center"/>
        </w:trPr>
        <w:tc>
          <w:tcPr>
            <w:tcW w:w="0" w:type="auto"/>
            <w:vMerge w:val="continue"/>
            <w:tcBorders>
              <w:top w:val="nil"/>
              <w:left w:val="single" w:color="000000" w:sz="8" w:space="0"/>
              <w:bottom w:val="single" w:color="000000" w:sz="8" w:space="0"/>
              <w:right w:val="single" w:color="000000" w:sz="8" w:space="0"/>
            </w:tcBorders>
            <w:noWrap w:val="0"/>
            <w:vAlign w:val="center"/>
          </w:tcPr>
          <w:p w14:paraId="15E684FC">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CA9810F">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noWrap w:val="0"/>
            <w:vAlign w:val="center"/>
          </w:tcPr>
          <w:p w14:paraId="2BC3ECB4">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A02010604显示设备</w:t>
            </w:r>
          </w:p>
        </w:tc>
        <w:tc>
          <w:tcPr>
            <w:tcW w:w="1620" w:type="dxa"/>
            <w:tcBorders>
              <w:top w:val="nil"/>
              <w:left w:val="nil"/>
              <w:bottom w:val="single" w:color="000000" w:sz="8" w:space="0"/>
              <w:right w:val="single" w:color="000000" w:sz="8" w:space="0"/>
            </w:tcBorders>
            <w:noWrap w:val="0"/>
            <w:vAlign w:val="center"/>
          </w:tcPr>
          <w:p w14:paraId="7032B905">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★A0201060401液晶显示器</w:t>
            </w:r>
          </w:p>
        </w:tc>
        <w:tc>
          <w:tcPr>
            <w:tcW w:w="4540" w:type="dxa"/>
            <w:tcBorders>
              <w:top w:val="nil"/>
              <w:left w:val="nil"/>
              <w:bottom w:val="single" w:color="000000" w:sz="8" w:space="0"/>
              <w:right w:val="single" w:color="000000" w:sz="8" w:space="0"/>
            </w:tcBorders>
            <w:noWrap w:val="0"/>
            <w:vAlign w:val="center"/>
          </w:tcPr>
          <w:p w14:paraId="721778CD">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《计算机显示器能效限定值及能效等级》（GB21520）</w:t>
            </w:r>
          </w:p>
        </w:tc>
      </w:tr>
      <w:tr w14:paraId="2B0DEFB8">
        <w:tblPrEx>
          <w:tblCellMar>
            <w:top w:w="0" w:type="dxa"/>
            <w:left w:w="108" w:type="dxa"/>
            <w:bottom w:w="0" w:type="dxa"/>
            <w:right w:w="108" w:type="dxa"/>
          </w:tblCellMar>
        </w:tblPrEx>
        <w:trPr>
          <w:trHeight w:val="975" w:hRule="atLeast"/>
          <w:jc w:val="center"/>
        </w:trPr>
        <w:tc>
          <w:tcPr>
            <w:tcW w:w="0" w:type="auto"/>
            <w:vMerge w:val="continue"/>
            <w:tcBorders>
              <w:top w:val="nil"/>
              <w:left w:val="single" w:color="000000" w:sz="8" w:space="0"/>
              <w:bottom w:val="single" w:color="000000" w:sz="8" w:space="0"/>
              <w:right w:val="single" w:color="000000" w:sz="8" w:space="0"/>
            </w:tcBorders>
            <w:noWrap w:val="0"/>
            <w:vAlign w:val="center"/>
          </w:tcPr>
          <w:p w14:paraId="6C665297">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1AB21573">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noWrap w:val="0"/>
            <w:vAlign w:val="center"/>
          </w:tcPr>
          <w:p w14:paraId="2879FCCE">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A02010609图形图像输入设备</w:t>
            </w:r>
          </w:p>
        </w:tc>
        <w:tc>
          <w:tcPr>
            <w:tcW w:w="1620" w:type="dxa"/>
            <w:tcBorders>
              <w:top w:val="nil"/>
              <w:left w:val="nil"/>
              <w:bottom w:val="single" w:color="000000" w:sz="8" w:space="0"/>
              <w:right w:val="single" w:color="000000" w:sz="8" w:space="0"/>
            </w:tcBorders>
            <w:noWrap w:val="0"/>
            <w:vAlign w:val="center"/>
          </w:tcPr>
          <w:p w14:paraId="75146E4D">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A0201060901扫描仪</w:t>
            </w:r>
          </w:p>
        </w:tc>
        <w:tc>
          <w:tcPr>
            <w:tcW w:w="4540" w:type="dxa"/>
            <w:tcBorders>
              <w:top w:val="nil"/>
              <w:left w:val="nil"/>
              <w:bottom w:val="single" w:color="000000" w:sz="8" w:space="0"/>
              <w:right w:val="single" w:color="000000" w:sz="8" w:space="0"/>
            </w:tcBorders>
            <w:noWrap w:val="0"/>
            <w:vAlign w:val="center"/>
          </w:tcPr>
          <w:p w14:paraId="07B28861">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参照《复印机、打印机和传真机能效限定值及能效等级》（GB21521中打印速度为15页/分的针式打印机相关要求中打印速度为15页/分的针式打印机相关要求</w:t>
            </w:r>
          </w:p>
        </w:tc>
      </w:tr>
      <w:tr w14:paraId="1CD7393F">
        <w:tblPrEx>
          <w:tblCellMar>
            <w:top w:w="0" w:type="dxa"/>
            <w:left w:w="108" w:type="dxa"/>
            <w:bottom w:w="0" w:type="dxa"/>
            <w:right w:w="108" w:type="dxa"/>
          </w:tblCellMar>
        </w:tblPrEx>
        <w:trPr>
          <w:trHeight w:val="495" w:hRule="atLeast"/>
          <w:jc w:val="center"/>
        </w:trPr>
        <w:tc>
          <w:tcPr>
            <w:tcW w:w="660" w:type="dxa"/>
            <w:tcBorders>
              <w:top w:val="nil"/>
              <w:left w:val="single" w:color="000000" w:sz="8" w:space="0"/>
              <w:bottom w:val="single" w:color="000000" w:sz="8" w:space="0"/>
              <w:right w:val="single" w:color="000000" w:sz="8" w:space="0"/>
            </w:tcBorders>
            <w:noWrap w:val="0"/>
            <w:vAlign w:val="center"/>
          </w:tcPr>
          <w:p w14:paraId="35EFA9B1">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3</w:t>
            </w:r>
          </w:p>
        </w:tc>
        <w:tc>
          <w:tcPr>
            <w:tcW w:w="1080" w:type="dxa"/>
            <w:tcBorders>
              <w:top w:val="nil"/>
              <w:left w:val="nil"/>
              <w:bottom w:val="single" w:color="000000" w:sz="8" w:space="0"/>
              <w:right w:val="single" w:color="000000" w:sz="8" w:space="0"/>
            </w:tcBorders>
            <w:noWrap w:val="0"/>
            <w:vAlign w:val="center"/>
          </w:tcPr>
          <w:p w14:paraId="55FDA423">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A020202投影仪</w:t>
            </w:r>
          </w:p>
        </w:tc>
        <w:tc>
          <w:tcPr>
            <w:tcW w:w="1320" w:type="dxa"/>
            <w:tcBorders>
              <w:top w:val="nil"/>
              <w:left w:val="nil"/>
              <w:bottom w:val="single" w:color="000000" w:sz="8" w:space="0"/>
              <w:right w:val="single" w:color="000000" w:sz="8" w:space="0"/>
            </w:tcBorders>
            <w:noWrap w:val="0"/>
            <w:vAlign w:val="center"/>
          </w:tcPr>
          <w:p w14:paraId="2C3B7D4F">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noWrap w:val="0"/>
            <w:vAlign w:val="center"/>
          </w:tcPr>
          <w:p w14:paraId="118E07FB">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0"/>
            <w:vAlign w:val="center"/>
          </w:tcPr>
          <w:p w14:paraId="0DFA41C3">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《投影机能效限定值及能效等级》（GB32028）</w:t>
            </w:r>
          </w:p>
        </w:tc>
      </w:tr>
      <w:tr w14:paraId="38515476">
        <w:tblPrEx>
          <w:tblCellMar>
            <w:top w:w="0" w:type="dxa"/>
            <w:left w:w="108" w:type="dxa"/>
            <w:bottom w:w="0" w:type="dxa"/>
            <w:right w:w="108" w:type="dxa"/>
          </w:tblCellMar>
        </w:tblPrEx>
        <w:trPr>
          <w:trHeight w:val="495" w:hRule="atLeast"/>
          <w:jc w:val="center"/>
        </w:trPr>
        <w:tc>
          <w:tcPr>
            <w:tcW w:w="660" w:type="dxa"/>
            <w:tcBorders>
              <w:top w:val="nil"/>
              <w:left w:val="single" w:color="000000" w:sz="8" w:space="0"/>
              <w:bottom w:val="single" w:color="000000" w:sz="8" w:space="0"/>
              <w:right w:val="single" w:color="000000" w:sz="8" w:space="0"/>
            </w:tcBorders>
            <w:noWrap w:val="0"/>
            <w:vAlign w:val="center"/>
          </w:tcPr>
          <w:p w14:paraId="0186D83F">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4</w:t>
            </w:r>
          </w:p>
        </w:tc>
        <w:tc>
          <w:tcPr>
            <w:tcW w:w="1080" w:type="dxa"/>
            <w:tcBorders>
              <w:top w:val="nil"/>
              <w:left w:val="nil"/>
              <w:bottom w:val="single" w:color="000000" w:sz="8" w:space="0"/>
              <w:right w:val="single" w:color="000000" w:sz="8" w:space="0"/>
            </w:tcBorders>
            <w:noWrap w:val="0"/>
            <w:vAlign w:val="center"/>
          </w:tcPr>
          <w:p w14:paraId="4C26F651">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A020204多功能一体机</w:t>
            </w:r>
          </w:p>
        </w:tc>
        <w:tc>
          <w:tcPr>
            <w:tcW w:w="1320" w:type="dxa"/>
            <w:tcBorders>
              <w:top w:val="nil"/>
              <w:left w:val="nil"/>
              <w:bottom w:val="single" w:color="000000" w:sz="8" w:space="0"/>
              <w:right w:val="single" w:color="000000" w:sz="8" w:space="0"/>
            </w:tcBorders>
            <w:noWrap w:val="0"/>
            <w:vAlign w:val="center"/>
          </w:tcPr>
          <w:p w14:paraId="108B7B72">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noWrap w:val="0"/>
            <w:vAlign w:val="center"/>
          </w:tcPr>
          <w:p w14:paraId="572E91F3">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0"/>
            <w:vAlign w:val="center"/>
          </w:tcPr>
          <w:p w14:paraId="7A2C280D">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7CCFF4A5">
        <w:tblPrEx>
          <w:tblCellMar>
            <w:top w:w="0" w:type="dxa"/>
            <w:left w:w="108" w:type="dxa"/>
            <w:bottom w:w="0" w:type="dxa"/>
            <w:right w:w="108" w:type="dxa"/>
          </w:tblCellMar>
        </w:tblPrEx>
        <w:trPr>
          <w:trHeight w:val="495" w:hRule="atLeast"/>
          <w:jc w:val="center"/>
        </w:trPr>
        <w:tc>
          <w:tcPr>
            <w:tcW w:w="660" w:type="dxa"/>
            <w:tcBorders>
              <w:top w:val="nil"/>
              <w:left w:val="single" w:color="000000" w:sz="8" w:space="0"/>
              <w:bottom w:val="single" w:color="000000" w:sz="8" w:space="0"/>
              <w:right w:val="single" w:color="000000" w:sz="8" w:space="0"/>
            </w:tcBorders>
            <w:noWrap w:val="0"/>
            <w:vAlign w:val="center"/>
          </w:tcPr>
          <w:p w14:paraId="08663B07">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5</w:t>
            </w:r>
          </w:p>
        </w:tc>
        <w:tc>
          <w:tcPr>
            <w:tcW w:w="1080" w:type="dxa"/>
            <w:tcBorders>
              <w:top w:val="nil"/>
              <w:left w:val="nil"/>
              <w:bottom w:val="single" w:color="000000" w:sz="8" w:space="0"/>
              <w:right w:val="single" w:color="000000" w:sz="8" w:space="0"/>
            </w:tcBorders>
            <w:noWrap w:val="0"/>
            <w:vAlign w:val="center"/>
          </w:tcPr>
          <w:p w14:paraId="41033967">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A020519泵</w:t>
            </w:r>
          </w:p>
        </w:tc>
        <w:tc>
          <w:tcPr>
            <w:tcW w:w="1320" w:type="dxa"/>
            <w:tcBorders>
              <w:top w:val="nil"/>
              <w:left w:val="nil"/>
              <w:bottom w:val="single" w:color="000000" w:sz="8" w:space="0"/>
              <w:right w:val="single" w:color="000000" w:sz="8" w:space="0"/>
            </w:tcBorders>
            <w:noWrap w:val="0"/>
            <w:vAlign w:val="center"/>
          </w:tcPr>
          <w:p w14:paraId="0893E79D">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A02051901离心泵</w:t>
            </w:r>
          </w:p>
        </w:tc>
        <w:tc>
          <w:tcPr>
            <w:tcW w:w="1620" w:type="dxa"/>
            <w:tcBorders>
              <w:top w:val="nil"/>
              <w:left w:val="nil"/>
              <w:bottom w:val="single" w:color="000000" w:sz="8" w:space="0"/>
              <w:right w:val="single" w:color="000000" w:sz="8" w:space="0"/>
            </w:tcBorders>
            <w:noWrap w:val="0"/>
            <w:vAlign w:val="center"/>
          </w:tcPr>
          <w:p w14:paraId="240191E0">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0"/>
            <w:vAlign w:val="center"/>
          </w:tcPr>
          <w:p w14:paraId="17254C2D">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《清水离心泵能效限定值及节能评价值》（GB19762）</w:t>
            </w:r>
          </w:p>
        </w:tc>
      </w:tr>
      <w:tr w14:paraId="15120F3B">
        <w:tblPrEx>
          <w:tblCellMar>
            <w:top w:w="0" w:type="dxa"/>
            <w:left w:w="108" w:type="dxa"/>
            <w:bottom w:w="0" w:type="dxa"/>
            <w:right w:w="108" w:type="dxa"/>
          </w:tblCellMar>
        </w:tblPrEx>
        <w:trPr>
          <w:trHeight w:val="735" w:hRule="atLeast"/>
          <w:jc w:val="center"/>
        </w:trPr>
        <w:tc>
          <w:tcPr>
            <w:tcW w:w="660" w:type="dxa"/>
            <w:vMerge w:val="restart"/>
            <w:tcBorders>
              <w:top w:val="nil"/>
              <w:left w:val="single" w:color="000000" w:sz="8" w:space="0"/>
              <w:bottom w:val="single" w:color="000000" w:sz="8" w:space="0"/>
              <w:right w:val="single" w:color="000000" w:sz="8" w:space="0"/>
            </w:tcBorders>
            <w:noWrap w:val="0"/>
            <w:vAlign w:val="center"/>
          </w:tcPr>
          <w:p w14:paraId="414ECD1B">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6</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4D47C866">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A020523制冷空调设备</w:t>
            </w:r>
          </w:p>
        </w:tc>
        <w:tc>
          <w:tcPr>
            <w:tcW w:w="1320" w:type="dxa"/>
            <w:vMerge w:val="restart"/>
            <w:tcBorders>
              <w:top w:val="nil"/>
              <w:left w:val="single" w:color="000000" w:sz="8" w:space="0"/>
              <w:bottom w:val="single" w:color="000000" w:sz="8" w:space="0"/>
              <w:right w:val="single" w:color="000000" w:sz="8" w:space="0"/>
            </w:tcBorders>
            <w:noWrap w:val="0"/>
            <w:vAlign w:val="center"/>
          </w:tcPr>
          <w:p w14:paraId="4C2E23BF">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★A02052301制冷压缩机</w:t>
            </w:r>
          </w:p>
        </w:tc>
        <w:tc>
          <w:tcPr>
            <w:tcW w:w="1620" w:type="dxa"/>
            <w:tcBorders>
              <w:top w:val="nil"/>
              <w:left w:val="nil"/>
              <w:bottom w:val="single" w:color="000000" w:sz="8" w:space="0"/>
              <w:right w:val="single" w:color="000000" w:sz="8" w:space="0"/>
            </w:tcBorders>
            <w:noWrap w:val="0"/>
            <w:vAlign w:val="center"/>
          </w:tcPr>
          <w:p w14:paraId="0069E72B">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冷水机组</w:t>
            </w:r>
          </w:p>
        </w:tc>
        <w:tc>
          <w:tcPr>
            <w:tcW w:w="4540" w:type="dxa"/>
            <w:tcBorders>
              <w:top w:val="nil"/>
              <w:left w:val="nil"/>
              <w:bottom w:val="single" w:color="000000" w:sz="8" w:space="0"/>
              <w:right w:val="single" w:color="000000" w:sz="8" w:space="0"/>
            </w:tcBorders>
            <w:noWrap w:val="0"/>
            <w:vAlign w:val="center"/>
          </w:tcPr>
          <w:p w14:paraId="4198E79E">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《冷水机组能效限定值及能效等级》（GB19577），《低环境温度空气源热泵（冷水）机组能效限定值及能效等级》（GB37480）</w:t>
            </w:r>
          </w:p>
        </w:tc>
      </w:tr>
      <w:tr w14:paraId="7B1CA8F4">
        <w:tblPrEx>
          <w:tblCellMar>
            <w:top w:w="0" w:type="dxa"/>
            <w:left w:w="108" w:type="dxa"/>
            <w:bottom w:w="0" w:type="dxa"/>
            <w:right w:w="108" w:type="dxa"/>
          </w:tblCellMar>
        </w:tblPrEx>
        <w:trPr>
          <w:trHeight w:val="495" w:hRule="atLeast"/>
          <w:jc w:val="center"/>
        </w:trPr>
        <w:tc>
          <w:tcPr>
            <w:tcW w:w="0" w:type="auto"/>
            <w:vMerge w:val="continue"/>
            <w:tcBorders>
              <w:top w:val="nil"/>
              <w:left w:val="single" w:color="000000" w:sz="8" w:space="0"/>
              <w:bottom w:val="single" w:color="000000" w:sz="8" w:space="0"/>
              <w:right w:val="single" w:color="000000" w:sz="8" w:space="0"/>
            </w:tcBorders>
            <w:noWrap w:val="0"/>
            <w:vAlign w:val="center"/>
          </w:tcPr>
          <w:p w14:paraId="267C7D07">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9515F1B">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14D60118">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0"/>
            <w:vAlign w:val="center"/>
          </w:tcPr>
          <w:p w14:paraId="1F4FDBD3">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水源热泵机组</w:t>
            </w:r>
          </w:p>
        </w:tc>
        <w:tc>
          <w:tcPr>
            <w:tcW w:w="4540" w:type="dxa"/>
            <w:tcBorders>
              <w:top w:val="nil"/>
              <w:left w:val="nil"/>
              <w:bottom w:val="single" w:color="000000" w:sz="8" w:space="0"/>
              <w:right w:val="single" w:color="000000" w:sz="8" w:space="0"/>
            </w:tcBorders>
            <w:noWrap w:val="0"/>
            <w:vAlign w:val="center"/>
          </w:tcPr>
          <w:p w14:paraId="3287D325">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《水（地）源热泵机组能效限定值及能效等级》（GB30721）</w:t>
            </w:r>
          </w:p>
        </w:tc>
      </w:tr>
      <w:tr w14:paraId="6039E1EB">
        <w:tblPrEx>
          <w:tblCellMar>
            <w:top w:w="0" w:type="dxa"/>
            <w:left w:w="108" w:type="dxa"/>
            <w:bottom w:w="0" w:type="dxa"/>
            <w:right w:w="108" w:type="dxa"/>
          </w:tblCellMar>
        </w:tblPrEx>
        <w:trPr>
          <w:trHeight w:val="495" w:hRule="atLeast"/>
          <w:jc w:val="center"/>
        </w:trPr>
        <w:tc>
          <w:tcPr>
            <w:tcW w:w="0" w:type="auto"/>
            <w:vMerge w:val="continue"/>
            <w:tcBorders>
              <w:top w:val="nil"/>
              <w:left w:val="single" w:color="000000" w:sz="8" w:space="0"/>
              <w:bottom w:val="single" w:color="000000" w:sz="8" w:space="0"/>
              <w:right w:val="single" w:color="000000" w:sz="8" w:space="0"/>
            </w:tcBorders>
            <w:noWrap w:val="0"/>
            <w:vAlign w:val="center"/>
          </w:tcPr>
          <w:p w14:paraId="4C03E350">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69018FF2">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691B0179">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0"/>
            <w:vAlign w:val="center"/>
          </w:tcPr>
          <w:p w14:paraId="4C7D980F">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溴化锂吸收式冷水机组</w:t>
            </w:r>
          </w:p>
        </w:tc>
        <w:tc>
          <w:tcPr>
            <w:tcW w:w="4540" w:type="dxa"/>
            <w:tcBorders>
              <w:top w:val="nil"/>
              <w:left w:val="nil"/>
              <w:bottom w:val="single" w:color="000000" w:sz="8" w:space="0"/>
              <w:right w:val="single" w:color="000000" w:sz="8" w:space="0"/>
            </w:tcBorders>
            <w:noWrap w:val="0"/>
            <w:vAlign w:val="center"/>
          </w:tcPr>
          <w:p w14:paraId="477A86A4">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《溴化锂吸收式冷水机组能效限定值及能效等级》（GB29540）</w:t>
            </w:r>
          </w:p>
        </w:tc>
      </w:tr>
      <w:tr w14:paraId="12859F79">
        <w:tblPrEx>
          <w:tblCellMar>
            <w:top w:w="0" w:type="dxa"/>
            <w:left w:w="108" w:type="dxa"/>
            <w:bottom w:w="0" w:type="dxa"/>
            <w:right w:w="108" w:type="dxa"/>
          </w:tblCellMar>
        </w:tblPrEx>
        <w:trPr>
          <w:trHeight w:val="735" w:hRule="atLeast"/>
          <w:jc w:val="center"/>
        </w:trPr>
        <w:tc>
          <w:tcPr>
            <w:tcW w:w="0" w:type="auto"/>
            <w:vMerge w:val="continue"/>
            <w:tcBorders>
              <w:top w:val="nil"/>
              <w:left w:val="single" w:color="000000" w:sz="8" w:space="0"/>
              <w:bottom w:val="single" w:color="000000" w:sz="8" w:space="0"/>
              <w:right w:val="single" w:color="000000" w:sz="8" w:space="0"/>
            </w:tcBorders>
            <w:noWrap w:val="0"/>
            <w:vAlign w:val="center"/>
          </w:tcPr>
          <w:p w14:paraId="0DA9D9CA">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7CD443C0">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1320" w:type="dxa"/>
            <w:vMerge w:val="restart"/>
            <w:tcBorders>
              <w:top w:val="nil"/>
              <w:left w:val="single" w:color="000000" w:sz="8" w:space="0"/>
              <w:bottom w:val="single" w:color="000000" w:sz="8" w:space="0"/>
              <w:right w:val="single" w:color="000000" w:sz="8" w:space="0"/>
            </w:tcBorders>
            <w:noWrap w:val="0"/>
            <w:vAlign w:val="center"/>
          </w:tcPr>
          <w:p w14:paraId="046165A1">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★A02052305空调机组</w:t>
            </w:r>
          </w:p>
        </w:tc>
        <w:tc>
          <w:tcPr>
            <w:tcW w:w="1620" w:type="dxa"/>
            <w:tcBorders>
              <w:top w:val="nil"/>
              <w:left w:val="nil"/>
              <w:bottom w:val="single" w:color="000000" w:sz="8" w:space="0"/>
              <w:right w:val="single" w:color="000000" w:sz="8" w:space="0"/>
            </w:tcBorders>
            <w:noWrap w:val="0"/>
            <w:vAlign w:val="center"/>
          </w:tcPr>
          <w:p w14:paraId="389A3738">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多联式空调（热泵）机组(制冷量&gt;14000W)</w:t>
            </w:r>
          </w:p>
        </w:tc>
        <w:tc>
          <w:tcPr>
            <w:tcW w:w="4540" w:type="dxa"/>
            <w:tcBorders>
              <w:top w:val="nil"/>
              <w:left w:val="nil"/>
              <w:bottom w:val="single" w:color="000000" w:sz="8" w:space="0"/>
              <w:right w:val="single" w:color="000000" w:sz="8" w:space="0"/>
            </w:tcBorders>
            <w:noWrap w:val="0"/>
            <w:vAlign w:val="center"/>
          </w:tcPr>
          <w:p w14:paraId="1BFB69F5">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《多联式空调（热泵）机组能效限定值及能源效率等级》（GB21454）</w:t>
            </w:r>
          </w:p>
        </w:tc>
      </w:tr>
      <w:tr w14:paraId="7B4CDE72">
        <w:tblPrEx>
          <w:tblCellMar>
            <w:top w:w="0" w:type="dxa"/>
            <w:left w:w="108" w:type="dxa"/>
            <w:bottom w:w="0" w:type="dxa"/>
            <w:right w:w="108" w:type="dxa"/>
          </w:tblCellMar>
        </w:tblPrEx>
        <w:trPr>
          <w:trHeight w:val="735" w:hRule="atLeast"/>
          <w:jc w:val="center"/>
        </w:trPr>
        <w:tc>
          <w:tcPr>
            <w:tcW w:w="0" w:type="auto"/>
            <w:vMerge w:val="continue"/>
            <w:tcBorders>
              <w:top w:val="nil"/>
              <w:left w:val="single" w:color="000000" w:sz="8" w:space="0"/>
              <w:bottom w:val="single" w:color="000000" w:sz="8" w:space="0"/>
              <w:right w:val="single" w:color="000000" w:sz="8" w:space="0"/>
            </w:tcBorders>
            <w:noWrap w:val="0"/>
            <w:vAlign w:val="center"/>
          </w:tcPr>
          <w:p w14:paraId="426AABAF">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037F475">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6847103">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0"/>
            <w:vAlign w:val="center"/>
          </w:tcPr>
          <w:p w14:paraId="2FD8D047">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单元式空气调节机(制冷量&gt;14000W</w:t>
            </w:r>
          </w:p>
        </w:tc>
        <w:tc>
          <w:tcPr>
            <w:tcW w:w="4540" w:type="dxa"/>
            <w:tcBorders>
              <w:top w:val="nil"/>
              <w:left w:val="nil"/>
              <w:bottom w:val="single" w:color="000000" w:sz="8" w:space="0"/>
              <w:right w:val="single" w:color="000000" w:sz="8" w:space="0"/>
            </w:tcBorders>
            <w:noWrap w:val="0"/>
            <w:vAlign w:val="center"/>
          </w:tcPr>
          <w:p w14:paraId="746E7A37">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《单元式空气调节机能效限定值及能效等级》（GB19576）《风管送风式空调机组能效限定值及能效等级》（GB37479）</w:t>
            </w:r>
          </w:p>
        </w:tc>
      </w:tr>
      <w:tr w14:paraId="7A1C1B87">
        <w:tblPrEx>
          <w:tblCellMar>
            <w:top w:w="0" w:type="dxa"/>
            <w:left w:w="108" w:type="dxa"/>
            <w:bottom w:w="0" w:type="dxa"/>
            <w:right w:w="108" w:type="dxa"/>
          </w:tblCellMar>
        </w:tblPrEx>
        <w:trPr>
          <w:trHeight w:val="735" w:hRule="atLeast"/>
          <w:jc w:val="center"/>
        </w:trPr>
        <w:tc>
          <w:tcPr>
            <w:tcW w:w="0" w:type="auto"/>
            <w:vMerge w:val="continue"/>
            <w:tcBorders>
              <w:top w:val="nil"/>
              <w:left w:val="single" w:color="000000" w:sz="8" w:space="0"/>
              <w:bottom w:val="single" w:color="000000" w:sz="8" w:space="0"/>
              <w:right w:val="single" w:color="000000" w:sz="8" w:space="0"/>
            </w:tcBorders>
            <w:noWrap w:val="0"/>
            <w:vAlign w:val="center"/>
          </w:tcPr>
          <w:p w14:paraId="06106E10">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1A4D6042">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noWrap w:val="0"/>
            <w:vAlign w:val="center"/>
          </w:tcPr>
          <w:p w14:paraId="55712BAD">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★A02052309专用制冷、空调设备</w:t>
            </w:r>
          </w:p>
        </w:tc>
        <w:tc>
          <w:tcPr>
            <w:tcW w:w="1620" w:type="dxa"/>
            <w:tcBorders>
              <w:top w:val="nil"/>
              <w:left w:val="nil"/>
              <w:bottom w:val="single" w:color="000000" w:sz="8" w:space="0"/>
              <w:right w:val="single" w:color="000000" w:sz="8" w:space="0"/>
            </w:tcBorders>
            <w:noWrap w:val="0"/>
            <w:vAlign w:val="center"/>
          </w:tcPr>
          <w:p w14:paraId="65968389">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机房空调</w:t>
            </w:r>
          </w:p>
        </w:tc>
        <w:tc>
          <w:tcPr>
            <w:tcW w:w="4540" w:type="dxa"/>
            <w:tcBorders>
              <w:top w:val="nil"/>
              <w:left w:val="nil"/>
              <w:bottom w:val="single" w:color="000000" w:sz="8" w:space="0"/>
              <w:right w:val="single" w:color="000000" w:sz="8" w:space="0"/>
            </w:tcBorders>
            <w:noWrap w:val="0"/>
            <w:vAlign w:val="center"/>
          </w:tcPr>
          <w:p w14:paraId="1841053C">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《单元式空气调节机能效限定值及能效等级》（GB19576）</w:t>
            </w:r>
          </w:p>
        </w:tc>
      </w:tr>
      <w:tr w14:paraId="36F756DA">
        <w:tblPrEx>
          <w:tblCellMar>
            <w:top w:w="0" w:type="dxa"/>
            <w:left w:w="108" w:type="dxa"/>
            <w:bottom w:w="0" w:type="dxa"/>
            <w:right w:w="108" w:type="dxa"/>
          </w:tblCellMar>
        </w:tblPrEx>
        <w:trPr>
          <w:trHeight w:val="735" w:hRule="atLeast"/>
          <w:jc w:val="center"/>
        </w:trPr>
        <w:tc>
          <w:tcPr>
            <w:tcW w:w="0" w:type="auto"/>
            <w:vMerge w:val="continue"/>
            <w:tcBorders>
              <w:top w:val="nil"/>
              <w:left w:val="single" w:color="000000" w:sz="8" w:space="0"/>
              <w:bottom w:val="single" w:color="000000" w:sz="8" w:space="0"/>
              <w:right w:val="single" w:color="000000" w:sz="8" w:space="0"/>
            </w:tcBorders>
            <w:noWrap w:val="0"/>
            <w:vAlign w:val="center"/>
          </w:tcPr>
          <w:p w14:paraId="4644EAE5">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754C2630">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noWrap w:val="0"/>
            <w:vAlign w:val="center"/>
          </w:tcPr>
          <w:p w14:paraId="1C3D7639">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A02052399其他制冷空调设备</w:t>
            </w:r>
          </w:p>
        </w:tc>
        <w:tc>
          <w:tcPr>
            <w:tcW w:w="1620" w:type="dxa"/>
            <w:tcBorders>
              <w:top w:val="nil"/>
              <w:left w:val="nil"/>
              <w:bottom w:val="single" w:color="000000" w:sz="8" w:space="0"/>
              <w:right w:val="single" w:color="000000" w:sz="8" w:space="0"/>
            </w:tcBorders>
            <w:noWrap w:val="0"/>
            <w:vAlign w:val="center"/>
          </w:tcPr>
          <w:p w14:paraId="6919ECBE">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冷却塔</w:t>
            </w:r>
          </w:p>
        </w:tc>
        <w:tc>
          <w:tcPr>
            <w:tcW w:w="4540" w:type="dxa"/>
            <w:tcBorders>
              <w:top w:val="nil"/>
              <w:left w:val="nil"/>
              <w:bottom w:val="single" w:color="000000" w:sz="8" w:space="0"/>
              <w:right w:val="single" w:color="000000" w:sz="8" w:space="0"/>
            </w:tcBorders>
            <w:noWrap w:val="0"/>
            <w:vAlign w:val="center"/>
          </w:tcPr>
          <w:p w14:paraId="76A86354">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《机械通风冷却塔第1部分：中小型开式冷却塔》（GB/T7190.1）；《机械通风冷却塔第2部分：大型开式冷却塔》（GB/T7190.2）</w:t>
            </w:r>
          </w:p>
        </w:tc>
      </w:tr>
      <w:tr w14:paraId="2D4E192E">
        <w:tblPrEx>
          <w:tblCellMar>
            <w:top w:w="0" w:type="dxa"/>
            <w:left w:w="108" w:type="dxa"/>
            <w:bottom w:w="0" w:type="dxa"/>
            <w:right w:w="108" w:type="dxa"/>
          </w:tblCellMar>
        </w:tblPrEx>
        <w:trPr>
          <w:trHeight w:val="495" w:hRule="atLeast"/>
          <w:jc w:val="center"/>
        </w:trPr>
        <w:tc>
          <w:tcPr>
            <w:tcW w:w="660" w:type="dxa"/>
            <w:tcBorders>
              <w:top w:val="nil"/>
              <w:left w:val="single" w:color="000000" w:sz="8" w:space="0"/>
              <w:bottom w:val="single" w:color="000000" w:sz="8" w:space="0"/>
              <w:right w:val="single" w:color="000000" w:sz="8" w:space="0"/>
            </w:tcBorders>
            <w:noWrap w:val="0"/>
            <w:vAlign w:val="center"/>
          </w:tcPr>
          <w:p w14:paraId="3564DC7A">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7</w:t>
            </w:r>
          </w:p>
        </w:tc>
        <w:tc>
          <w:tcPr>
            <w:tcW w:w="1080" w:type="dxa"/>
            <w:tcBorders>
              <w:top w:val="nil"/>
              <w:left w:val="nil"/>
              <w:bottom w:val="single" w:color="000000" w:sz="8" w:space="0"/>
              <w:right w:val="single" w:color="000000" w:sz="8" w:space="0"/>
            </w:tcBorders>
            <w:noWrap w:val="0"/>
            <w:vAlign w:val="center"/>
          </w:tcPr>
          <w:p w14:paraId="76F8F687">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A020601电机</w:t>
            </w:r>
          </w:p>
        </w:tc>
        <w:tc>
          <w:tcPr>
            <w:tcW w:w="1320" w:type="dxa"/>
            <w:tcBorders>
              <w:top w:val="nil"/>
              <w:left w:val="nil"/>
              <w:bottom w:val="single" w:color="000000" w:sz="8" w:space="0"/>
              <w:right w:val="single" w:color="000000" w:sz="8" w:space="0"/>
            </w:tcBorders>
            <w:noWrap w:val="0"/>
            <w:vAlign w:val="center"/>
          </w:tcPr>
          <w:p w14:paraId="75B85490">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noWrap w:val="0"/>
            <w:vAlign w:val="center"/>
          </w:tcPr>
          <w:p w14:paraId="1A38AD6A">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0"/>
            <w:vAlign w:val="center"/>
          </w:tcPr>
          <w:p w14:paraId="5DDBF302">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《中小型三相异步电动机能效限定值及能效等级》（GB18613）</w:t>
            </w:r>
          </w:p>
        </w:tc>
      </w:tr>
      <w:tr w14:paraId="4716A2D3">
        <w:tblPrEx>
          <w:tblCellMar>
            <w:top w:w="0" w:type="dxa"/>
            <w:left w:w="108" w:type="dxa"/>
            <w:bottom w:w="0" w:type="dxa"/>
            <w:right w:w="108" w:type="dxa"/>
          </w:tblCellMar>
        </w:tblPrEx>
        <w:trPr>
          <w:trHeight w:val="495" w:hRule="atLeast"/>
          <w:jc w:val="center"/>
        </w:trPr>
        <w:tc>
          <w:tcPr>
            <w:tcW w:w="660" w:type="dxa"/>
            <w:tcBorders>
              <w:top w:val="nil"/>
              <w:left w:val="single" w:color="000000" w:sz="8" w:space="0"/>
              <w:bottom w:val="single" w:color="000000" w:sz="8" w:space="0"/>
              <w:right w:val="single" w:color="000000" w:sz="8" w:space="0"/>
            </w:tcBorders>
            <w:noWrap w:val="0"/>
            <w:vAlign w:val="center"/>
          </w:tcPr>
          <w:p w14:paraId="1F3ED841">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8</w:t>
            </w:r>
          </w:p>
        </w:tc>
        <w:tc>
          <w:tcPr>
            <w:tcW w:w="1080" w:type="dxa"/>
            <w:tcBorders>
              <w:top w:val="nil"/>
              <w:left w:val="nil"/>
              <w:bottom w:val="single" w:color="000000" w:sz="8" w:space="0"/>
              <w:right w:val="single" w:color="000000" w:sz="8" w:space="0"/>
            </w:tcBorders>
            <w:noWrap w:val="0"/>
            <w:vAlign w:val="center"/>
          </w:tcPr>
          <w:p w14:paraId="3E94DE70">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A020602变压器</w:t>
            </w:r>
          </w:p>
        </w:tc>
        <w:tc>
          <w:tcPr>
            <w:tcW w:w="1320" w:type="dxa"/>
            <w:tcBorders>
              <w:top w:val="nil"/>
              <w:left w:val="nil"/>
              <w:bottom w:val="single" w:color="000000" w:sz="8" w:space="0"/>
              <w:right w:val="single" w:color="000000" w:sz="8" w:space="0"/>
            </w:tcBorders>
            <w:noWrap w:val="0"/>
            <w:vAlign w:val="center"/>
          </w:tcPr>
          <w:p w14:paraId="4D48318E">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配电变压器</w:t>
            </w:r>
          </w:p>
        </w:tc>
        <w:tc>
          <w:tcPr>
            <w:tcW w:w="1620" w:type="dxa"/>
            <w:tcBorders>
              <w:top w:val="nil"/>
              <w:left w:val="nil"/>
              <w:bottom w:val="single" w:color="000000" w:sz="8" w:space="0"/>
              <w:right w:val="single" w:color="000000" w:sz="8" w:space="0"/>
            </w:tcBorders>
            <w:noWrap w:val="0"/>
            <w:vAlign w:val="center"/>
          </w:tcPr>
          <w:p w14:paraId="1B45B05C">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0"/>
            <w:vAlign w:val="center"/>
          </w:tcPr>
          <w:p w14:paraId="172F0C28">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《三相配电变压器能效限定值及能效等级》（GB20052）</w:t>
            </w:r>
          </w:p>
        </w:tc>
      </w:tr>
      <w:tr w14:paraId="05EE13A9">
        <w:tblPrEx>
          <w:tblCellMar>
            <w:top w:w="0" w:type="dxa"/>
            <w:left w:w="108" w:type="dxa"/>
            <w:bottom w:w="0" w:type="dxa"/>
            <w:right w:w="108" w:type="dxa"/>
          </w:tblCellMar>
        </w:tblPrEx>
        <w:trPr>
          <w:trHeight w:val="495" w:hRule="atLeast"/>
          <w:jc w:val="center"/>
        </w:trPr>
        <w:tc>
          <w:tcPr>
            <w:tcW w:w="660" w:type="dxa"/>
            <w:tcBorders>
              <w:top w:val="nil"/>
              <w:left w:val="single" w:color="000000" w:sz="8" w:space="0"/>
              <w:bottom w:val="single" w:color="000000" w:sz="8" w:space="0"/>
              <w:right w:val="single" w:color="000000" w:sz="8" w:space="0"/>
            </w:tcBorders>
            <w:noWrap w:val="0"/>
            <w:vAlign w:val="center"/>
          </w:tcPr>
          <w:p w14:paraId="7EF20E45">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9</w:t>
            </w:r>
          </w:p>
        </w:tc>
        <w:tc>
          <w:tcPr>
            <w:tcW w:w="1080" w:type="dxa"/>
            <w:tcBorders>
              <w:top w:val="nil"/>
              <w:left w:val="nil"/>
              <w:bottom w:val="single" w:color="000000" w:sz="8" w:space="0"/>
              <w:right w:val="single" w:color="000000" w:sz="8" w:space="0"/>
            </w:tcBorders>
            <w:noWrap w:val="0"/>
            <w:vAlign w:val="center"/>
          </w:tcPr>
          <w:p w14:paraId="06846EBC">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★A020609镇流器</w:t>
            </w:r>
          </w:p>
        </w:tc>
        <w:tc>
          <w:tcPr>
            <w:tcW w:w="1320" w:type="dxa"/>
            <w:tcBorders>
              <w:top w:val="nil"/>
              <w:left w:val="nil"/>
              <w:bottom w:val="single" w:color="000000" w:sz="8" w:space="0"/>
              <w:right w:val="single" w:color="000000" w:sz="8" w:space="0"/>
            </w:tcBorders>
            <w:noWrap w:val="0"/>
            <w:vAlign w:val="center"/>
          </w:tcPr>
          <w:p w14:paraId="73F9475C">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管型荧光灯镇流器</w:t>
            </w:r>
          </w:p>
        </w:tc>
        <w:tc>
          <w:tcPr>
            <w:tcW w:w="1620" w:type="dxa"/>
            <w:tcBorders>
              <w:top w:val="nil"/>
              <w:left w:val="nil"/>
              <w:bottom w:val="single" w:color="000000" w:sz="8" w:space="0"/>
              <w:right w:val="single" w:color="000000" w:sz="8" w:space="0"/>
            </w:tcBorders>
            <w:noWrap w:val="0"/>
            <w:vAlign w:val="center"/>
          </w:tcPr>
          <w:p w14:paraId="5854A3F8">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0"/>
            <w:vAlign w:val="center"/>
          </w:tcPr>
          <w:p w14:paraId="5C1CBA27">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《管形荧光灯镇流器能效限定值及能效等级》（GB17896）</w:t>
            </w:r>
          </w:p>
        </w:tc>
      </w:tr>
      <w:tr w14:paraId="32595565">
        <w:tblPrEx>
          <w:tblCellMar>
            <w:top w:w="0" w:type="dxa"/>
            <w:left w:w="108" w:type="dxa"/>
            <w:bottom w:w="0" w:type="dxa"/>
            <w:right w:w="108" w:type="dxa"/>
          </w:tblCellMar>
        </w:tblPrEx>
        <w:trPr>
          <w:trHeight w:val="495" w:hRule="atLeast"/>
          <w:jc w:val="center"/>
        </w:trPr>
        <w:tc>
          <w:tcPr>
            <w:tcW w:w="660" w:type="dxa"/>
            <w:vMerge w:val="restart"/>
            <w:tcBorders>
              <w:top w:val="nil"/>
              <w:left w:val="single" w:color="000000" w:sz="8" w:space="0"/>
              <w:bottom w:val="single" w:color="000000" w:sz="8" w:space="0"/>
              <w:right w:val="single" w:color="000000" w:sz="8" w:space="0"/>
            </w:tcBorders>
            <w:noWrap w:val="0"/>
            <w:vAlign w:val="center"/>
          </w:tcPr>
          <w:p w14:paraId="195E0FCC">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10</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6828D04D">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A020618生活用电器</w:t>
            </w:r>
          </w:p>
        </w:tc>
        <w:tc>
          <w:tcPr>
            <w:tcW w:w="1320" w:type="dxa"/>
            <w:tcBorders>
              <w:top w:val="nil"/>
              <w:left w:val="nil"/>
              <w:bottom w:val="single" w:color="000000" w:sz="8" w:space="0"/>
              <w:right w:val="single" w:color="000000" w:sz="8" w:space="0"/>
            </w:tcBorders>
            <w:noWrap w:val="0"/>
            <w:vAlign w:val="center"/>
          </w:tcPr>
          <w:p w14:paraId="7654B8A1">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A0206180101电冰箱</w:t>
            </w:r>
          </w:p>
        </w:tc>
        <w:tc>
          <w:tcPr>
            <w:tcW w:w="1620" w:type="dxa"/>
            <w:tcBorders>
              <w:top w:val="nil"/>
              <w:left w:val="nil"/>
              <w:bottom w:val="single" w:color="000000" w:sz="8" w:space="0"/>
              <w:right w:val="single" w:color="000000" w:sz="8" w:space="0"/>
            </w:tcBorders>
            <w:noWrap w:val="0"/>
            <w:vAlign w:val="center"/>
          </w:tcPr>
          <w:p w14:paraId="56F78530">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0"/>
            <w:vAlign w:val="center"/>
          </w:tcPr>
          <w:p w14:paraId="11AA272C">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《家用电冰箱耗电量限定值及能效等级》（GB 12021.2）</w:t>
            </w:r>
          </w:p>
        </w:tc>
      </w:tr>
      <w:tr w14:paraId="4A2B01EA">
        <w:tblPrEx>
          <w:tblCellMar>
            <w:top w:w="0" w:type="dxa"/>
            <w:left w:w="108" w:type="dxa"/>
            <w:bottom w:w="0" w:type="dxa"/>
            <w:right w:w="108" w:type="dxa"/>
          </w:tblCellMar>
        </w:tblPrEx>
        <w:trPr>
          <w:trHeight w:val="975" w:hRule="atLeast"/>
          <w:jc w:val="center"/>
        </w:trPr>
        <w:tc>
          <w:tcPr>
            <w:tcW w:w="0" w:type="auto"/>
            <w:vMerge w:val="continue"/>
            <w:tcBorders>
              <w:top w:val="nil"/>
              <w:left w:val="single" w:color="000000" w:sz="8" w:space="0"/>
              <w:bottom w:val="single" w:color="000000" w:sz="8" w:space="0"/>
              <w:right w:val="single" w:color="000000" w:sz="8" w:space="0"/>
            </w:tcBorders>
            <w:noWrap w:val="0"/>
            <w:vAlign w:val="center"/>
          </w:tcPr>
          <w:p w14:paraId="2D27EDC2">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733C7035">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1320" w:type="dxa"/>
            <w:vMerge w:val="restart"/>
            <w:tcBorders>
              <w:top w:val="nil"/>
              <w:left w:val="single" w:color="000000" w:sz="8" w:space="0"/>
              <w:bottom w:val="single" w:color="000000" w:sz="8" w:space="0"/>
              <w:right w:val="single" w:color="000000" w:sz="8" w:space="0"/>
            </w:tcBorders>
            <w:noWrap w:val="0"/>
            <w:vAlign w:val="center"/>
          </w:tcPr>
          <w:p w14:paraId="2901E725">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★A0206180203空调机</w:t>
            </w:r>
          </w:p>
        </w:tc>
        <w:tc>
          <w:tcPr>
            <w:tcW w:w="1620" w:type="dxa"/>
            <w:tcBorders>
              <w:top w:val="nil"/>
              <w:left w:val="nil"/>
              <w:bottom w:val="single" w:color="000000" w:sz="8" w:space="0"/>
              <w:right w:val="single" w:color="000000" w:sz="8" w:space="0"/>
            </w:tcBorders>
            <w:noWrap w:val="0"/>
            <w:vAlign w:val="center"/>
          </w:tcPr>
          <w:p w14:paraId="6E834CBC">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房间空气调节器</w:t>
            </w:r>
          </w:p>
        </w:tc>
        <w:tc>
          <w:tcPr>
            <w:tcW w:w="4540" w:type="dxa"/>
            <w:tcBorders>
              <w:top w:val="nil"/>
              <w:left w:val="nil"/>
              <w:bottom w:val="single" w:color="000000" w:sz="8" w:space="0"/>
              <w:right w:val="single" w:color="000000" w:sz="8" w:space="0"/>
            </w:tcBorders>
            <w:noWrap w:val="0"/>
            <w:vAlign w:val="center"/>
          </w:tcPr>
          <w:p w14:paraId="15E7CBAC">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《转速可控型房间空气调节器能效限定值及能效等级》（GB21455-2013），待2019年修订发布后，按《房间空气调节器能效限定值及能效等级》（GB21455-2019实施。</w:t>
            </w:r>
          </w:p>
        </w:tc>
      </w:tr>
      <w:tr w14:paraId="0ECF9971">
        <w:tblPrEx>
          <w:tblCellMar>
            <w:top w:w="0" w:type="dxa"/>
            <w:left w:w="108" w:type="dxa"/>
            <w:bottom w:w="0" w:type="dxa"/>
            <w:right w:w="108" w:type="dxa"/>
          </w:tblCellMar>
        </w:tblPrEx>
        <w:trPr>
          <w:trHeight w:val="735" w:hRule="atLeast"/>
          <w:jc w:val="center"/>
        </w:trPr>
        <w:tc>
          <w:tcPr>
            <w:tcW w:w="0" w:type="auto"/>
            <w:vMerge w:val="continue"/>
            <w:tcBorders>
              <w:top w:val="nil"/>
              <w:left w:val="single" w:color="000000" w:sz="8" w:space="0"/>
              <w:bottom w:val="single" w:color="000000" w:sz="8" w:space="0"/>
              <w:right w:val="single" w:color="000000" w:sz="8" w:space="0"/>
            </w:tcBorders>
            <w:noWrap w:val="0"/>
            <w:vAlign w:val="center"/>
          </w:tcPr>
          <w:p w14:paraId="398E0757">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BE79935">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62CCD9CE">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0"/>
            <w:vAlign w:val="center"/>
          </w:tcPr>
          <w:p w14:paraId="5CC7EBAE">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多联式空调（热泵）机组（制冷量≤ 14000W）</w:t>
            </w:r>
          </w:p>
        </w:tc>
        <w:tc>
          <w:tcPr>
            <w:tcW w:w="4540" w:type="dxa"/>
            <w:tcBorders>
              <w:top w:val="nil"/>
              <w:left w:val="nil"/>
              <w:bottom w:val="single" w:color="000000" w:sz="8" w:space="0"/>
              <w:right w:val="single" w:color="000000" w:sz="8" w:space="0"/>
            </w:tcBorders>
            <w:noWrap w:val="0"/>
            <w:vAlign w:val="center"/>
          </w:tcPr>
          <w:p w14:paraId="53A99CE9">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《多联式空调（热泵）机组能效限定值及能源效率等级》（GB21454）</w:t>
            </w:r>
          </w:p>
        </w:tc>
      </w:tr>
      <w:tr w14:paraId="08650714">
        <w:tblPrEx>
          <w:tblCellMar>
            <w:top w:w="0" w:type="dxa"/>
            <w:left w:w="108" w:type="dxa"/>
            <w:bottom w:w="0" w:type="dxa"/>
            <w:right w:w="108" w:type="dxa"/>
          </w:tblCellMar>
        </w:tblPrEx>
        <w:trPr>
          <w:trHeight w:val="735" w:hRule="atLeast"/>
          <w:jc w:val="center"/>
        </w:trPr>
        <w:tc>
          <w:tcPr>
            <w:tcW w:w="0" w:type="auto"/>
            <w:vMerge w:val="continue"/>
            <w:tcBorders>
              <w:top w:val="nil"/>
              <w:left w:val="single" w:color="000000" w:sz="8" w:space="0"/>
              <w:bottom w:val="single" w:color="000000" w:sz="8" w:space="0"/>
              <w:right w:val="single" w:color="000000" w:sz="8" w:space="0"/>
            </w:tcBorders>
            <w:noWrap w:val="0"/>
            <w:vAlign w:val="center"/>
          </w:tcPr>
          <w:p w14:paraId="783F4F29">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FADF92A">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A6DFC54">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0"/>
            <w:vAlign w:val="center"/>
          </w:tcPr>
          <w:p w14:paraId="34B82440">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单元式空气调节机(制冷量≤14000W)</w:t>
            </w:r>
          </w:p>
        </w:tc>
        <w:tc>
          <w:tcPr>
            <w:tcW w:w="4540" w:type="dxa"/>
            <w:tcBorders>
              <w:top w:val="nil"/>
              <w:left w:val="nil"/>
              <w:bottom w:val="single" w:color="000000" w:sz="8" w:space="0"/>
              <w:right w:val="single" w:color="000000" w:sz="8" w:space="0"/>
            </w:tcBorders>
            <w:noWrap w:val="0"/>
            <w:vAlign w:val="center"/>
          </w:tcPr>
          <w:p w14:paraId="38634322">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《单元式空气调节机能效限定值及能源效率等级》（GB19576）《风管送风式空调机组能效限定值及能效等级》（GB37479）</w:t>
            </w:r>
          </w:p>
        </w:tc>
      </w:tr>
      <w:tr w14:paraId="66EB569B">
        <w:tblPrEx>
          <w:tblCellMar>
            <w:top w:w="0" w:type="dxa"/>
            <w:left w:w="108" w:type="dxa"/>
            <w:bottom w:w="0" w:type="dxa"/>
            <w:right w:w="108" w:type="dxa"/>
          </w:tblCellMar>
        </w:tblPrEx>
        <w:trPr>
          <w:trHeight w:val="495" w:hRule="atLeast"/>
          <w:jc w:val="center"/>
        </w:trPr>
        <w:tc>
          <w:tcPr>
            <w:tcW w:w="0" w:type="auto"/>
            <w:vMerge w:val="continue"/>
            <w:tcBorders>
              <w:top w:val="nil"/>
              <w:left w:val="single" w:color="000000" w:sz="8" w:space="0"/>
              <w:bottom w:val="single" w:color="000000" w:sz="8" w:space="0"/>
              <w:right w:val="single" w:color="000000" w:sz="8" w:space="0"/>
            </w:tcBorders>
            <w:noWrap w:val="0"/>
            <w:vAlign w:val="center"/>
          </w:tcPr>
          <w:p w14:paraId="36ED8AB2">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461878CB">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noWrap w:val="0"/>
            <w:vAlign w:val="center"/>
          </w:tcPr>
          <w:p w14:paraId="360AB472">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A0206180301洗衣机</w:t>
            </w:r>
          </w:p>
        </w:tc>
        <w:tc>
          <w:tcPr>
            <w:tcW w:w="1620" w:type="dxa"/>
            <w:tcBorders>
              <w:top w:val="nil"/>
              <w:left w:val="nil"/>
              <w:bottom w:val="single" w:color="000000" w:sz="8" w:space="0"/>
              <w:right w:val="single" w:color="000000" w:sz="8" w:space="0"/>
            </w:tcBorders>
            <w:noWrap w:val="0"/>
            <w:vAlign w:val="center"/>
          </w:tcPr>
          <w:p w14:paraId="48C15B74">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0"/>
            <w:vAlign w:val="center"/>
          </w:tcPr>
          <w:p w14:paraId="035AFF0A">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《电动洗衣机能效水效限定值及等级》（GB12021.4）</w:t>
            </w:r>
          </w:p>
        </w:tc>
      </w:tr>
      <w:tr w14:paraId="0811AF17">
        <w:tblPrEx>
          <w:tblCellMar>
            <w:top w:w="0" w:type="dxa"/>
            <w:left w:w="108" w:type="dxa"/>
            <w:bottom w:w="0" w:type="dxa"/>
            <w:right w:w="108" w:type="dxa"/>
          </w:tblCellMar>
        </w:tblPrEx>
        <w:trPr>
          <w:trHeight w:val="495" w:hRule="atLeast"/>
          <w:jc w:val="center"/>
        </w:trPr>
        <w:tc>
          <w:tcPr>
            <w:tcW w:w="0" w:type="auto"/>
            <w:vMerge w:val="continue"/>
            <w:tcBorders>
              <w:top w:val="nil"/>
              <w:left w:val="single" w:color="000000" w:sz="8" w:space="0"/>
              <w:bottom w:val="single" w:color="000000" w:sz="8" w:space="0"/>
              <w:right w:val="single" w:color="000000" w:sz="8" w:space="0"/>
            </w:tcBorders>
            <w:noWrap w:val="0"/>
            <w:vAlign w:val="center"/>
          </w:tcPr>
          <w:p w14:paraId="1EFA8443">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3349F34C">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1320" w:type="dxa"/>
            <w:vMerge w:val="restart"/>
            <w:tcBorders>
              <w:top w:val="nil"/>
              <w:left w:val="single" w:color="000000" w:sz="8" w:space="0"/>
              <w:bottom w:val="single" w:color="000000" w:sz="8" w:space="0"/>
              <w:right w:val="single" w:color="000000" w:sz="8" w:space="0"/>
            </w:tcBorders>
            <w:noWrap w:val="0"/>
            <w:vAlign w:val="center"/>
          </w:tcPr>
          <w:p w14:paraId="485372CA">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A02061808热水器</w:t>
            </w:r>
          </w:p>
        </w:tc>
        <w:tc>
          <w:tcPr>
            <w:tcW w:w="1620" w:type="dxa"/>
            <w:tcBorders>
              <w:top w:val="nil"/>
              <w:left w:val="nil"/>
              <w:bottom w:val="single" w:color="000000" w:sz="8" w:space="0"/>
              <w:right w:val="single" w:color="000000" w:sz="8" w:space="0"/>
            </w:tcBorders>
            <w:noWrap w:val="0"/>
            <w:vAlign w:val="center"/>
          </w:tcPr>
          <w:p w14:paraId="45CD8BC6">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★电热水器</w:t>
            </w:r>
          </w:p>
        </w:tc>
        <w:tc>
          <w:tcPr>
            <w:tcW w:w="4540" w:type="dxa"/>
            <w:tcBorders>
              <w:top w:val="nil"/>
              <w:left w:val="nil"/>
              <w:bottom w:val="single" w:color="000000" w:sz="8" w:space="0"/>
              <w:right w:val="single" w:color="000000" w:sz="8" w:space="0"/>
            </w:tcBorders>
            <w:noWrap w:val="0"/>
            <w:vAlign w:val="center"/>
          </w:tcPr>
          <w:p w14:paraId="65008E17">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《储水式电热水器能效限定值及能效等级》（GB21519）</w:t>
            </w:r>
          </w:p>
        </w:tc>
      </w:tr>
      <w:tr w14:paraId="0C505DE8">
        <w:tblPrEx>
          <w:tblCellMar>
            <w:top w:w="0" w:type="dxa"/>
            <w:left w:w="108" w:type="dxa"/>
            <w:bottom w:w="0" w:type="dxa"/>
            <w:right w:w="108" w:type="dxa"/>
          </w:tblCellMar>
        </w:tblPrEx>
        <w:trPr>
          <w:trHeight w:val="495" w:hRule="atLeast"/>
          <w:jc w:val="center"/>
        </w:trPr>
        <w:tc>
          <w:tcPr>
            <w:tcW w:w="0" w:type="auto"/>
            <w:vMerge w:val="continue"/>
            <w:tcBorders>
              <w:top w:val="nil"/>
              <w:left w:val="single" w:color="000000" w:sz="8" w:space="0"/>
              <w:bottom w:val="single" w:color="000000" w:sz="8" w:space="0"/>
              <w:right w:val="single" w:color="000000" w:sz="8" w:space="0"/>
            </w:tcBorders>
            <w:noWrap w:val="0"/>
            <w:vAlign w:val="center"/>
          </w:tcPr>
          <w:p w14:paraId="3CAF2E9F">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3FB51C37">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78C88C3">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0"/>
            <w:vAlign w:val="center"/>
          </w:tcPr>
          <w:p w14:paraId="7353BEE3">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燃气热水器</w:t>
            </w:r>
          </w:p>
        </w:tc>
        <w:tc>
          <w:tcPr>
            <w:tcW w:w="4540" w:type="dxa"/>
            <w:tcBorders>
              <w:top w:val="nil"/>
              <w:left w:val="nil"/>
              <w:bottom w:val="single" w:color="000000" w:sz="8" w:space="0"/>
              <w:right w:val="single" w:color="000000" w:sz="8" w:space="0"/>
            </w:tcBorders>
            <w:noWrap w:val="0"/>
            <w:vAlign w:val="center"/>
          </w:tcPr>
          <w:p w14:paraId="52ABDFB6">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《家用燃气快速热水器和燃气采暖热水炉能效限定值及能效等级》（GB20665）</w:t>
            </w:r>
          </w:p>
        </w:tc>
      </w:tr>
      <w:tr w14:paraId="1D03AD01">
        <w:tblPrEx>
          <w:tblCellMar>
            <w:top w:w="0" w:type="dxa"/>
            <w:left w:w="108" w:type="dxa"/>
            <w:bottom w:w="0" w:type="dxa"/>
            <w:right w:w="108" w:type="dxa"/>
          </w:tblCellMar>
        </w:tblPrEx>
        <w:trPr>
          <w:trHeight w:val="495" w:hRule="atLeast"/>
          <w:jc w:val="center"/>
        </w:trPr>
        <w:tc>
          <w:tcPr>
            <w:tcW w:w="0" w:type="auto"/>
            <w:vMerge w:val="continue"/>
            <w:tcBorders>
              <w:top w:val="nil"/>
              <w:left w:val="single" w:color="000000" w:sz="8" w:space="0"/>
              <w:bottom w:val="single" w:color="000000" w:sz="8" w:space="0"/>
              <w:right w:val="single" w:color="000000" w:sz="8" w:space="0"/>
            </w:tcBorders>
            <w:noWrap w:val="0"/>
            <w:vAlign w:val="center"/>
          </w:tcPr>
          <w:p w14:paraId="49E07908">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BC533DA">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0D095F9">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0"/>
            <w:vAlign w:val="center"/>
          </w:tcPr>
          <w:p w14:paraId="16B0CEA0">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热泵热水器</w:t>
            </w:r>
          </w:p>
        </w:tc>
        <w:tc>
          <w:tcPr>
            <w:tcW w:w="4540" w:type="dxa"/>
            <w:tcBorders>
              <w:top w:val="nil"/>
              <w:left w:val="nil"/>
              <w:bottom w:val="single" w:color="000000" w:sz="8" w:space="0"/>
              <w:right w:val="single" w:color="000000" w:sz="8" w:space="0"/>
            </w:tcBorders>
            <w:noWrap w:val="0"/>
            <w:vAlign w:val="center"/>
          </w:tcPr>
          <w:p w14:paraId="2DF0B6CC">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《热泵热水机（器）能效限定值及能效等级》（GB29541）</w:t>
            </w:r>
          </w:p>
        </w:tc>
      </w:tr>
      <w:tr w14:paraId="04260A8E">
        <w:tblPrEx>
          <w:tblCellMar>
            <w:top w:w="0" w:type="dxa"/>
            <w:left w:w="108" w:type="dxa"/>
            <w:bottom w:w="0" w:type="dxa"/>
            <w:right w:w="108" w:type="dxa"/>
          </w:tblCellMar>
        </w:tblPrEx>
        <w:trPr>
          <w:trHeight w:val="495" w:hRule="atLeast"/>
          <w:jc w:val="center"/>
        </w:trPr>
        <w:tc>
          <w:tcPr>
            <w:tcW w:w="0" w:type="auto"/>
            <w:vMerge w:val="continue"/>
            <w:tcBorders>
              <w:top w:val="nil"/>
              <w:left w:val="single" w:color="000000" w:sz="8" w:space="0"/>
              <w:bottom w:val="single" w:color="000000" w:sz="8" w:space="0"/>
              <w:right w:val="single" w:color="000000" w:sz="8" w:space="0"/>
            </w:tcBorders>
            <w:noWrap w:val="0"/>
            <w:vAlign w:val="center"/>
          </w:tcPr>
          <w:p w14:paraId="55B65C64">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58584A0">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69CC583">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0"/>
            <w:vAlign w:val="center"/>
          </w:tcPr>
          <w:p w14:paraId="0079D2BF">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太阳能热水系统</w:t>
            </w:r>
          </w:p>
        </w:tc>
        <w:tc>
          <w:tcPr>
            <w:tcW w:w="4540" w:type="dxa"/>
            <w:tcBorders>
              <w:top w:val="nil"/>
              <w:left w:val="nil"/>
              <w:bottom w:val="single" w:color="000000" w:sz="8" w:space="0"/>
              <w:right w:val="single" w:color="000000" w:sz="8" w:space="0"/>
            </w:tcBorders>
            <w:noWrap w:val="0"/>
            <w:vAlign w:val="center"/>
          </w:tcPr>
          <w:p w14:paraId="2D76F4B7">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《家用太阳能热水系统能效限定值及能效等级》（GB26969）</w:t>
            </w:r>
          </w:p>
        </w:tc>
      </w:tr>
      <w:tr w14:paraId="10092A14">
        <w:tblPrEx>
          <w:tblCellMar>
            <w:top w:w="0" w:type="dxa"/>
            <w:left w:w="108" w:type="dxa"/>
            <w:bottom w:w="0" w:type="dxa"/>
            <w:right w:w="108" w:type="dxa"/>
          </w:tblCellMar>
        </w:tblPrEx>
        <w:trPr>
          <w:trHeight w:val="495" w:hRule="atLeast"/>
          <w:jc w:val="center"/>
        </w:trPr>
        <w:tc>
          <w:tcPr>
            <w:tcW w:w="660" w:type="dxa"/>
            <w:vMerge w:val="restart"/>
            <w:tcBorders>
              <w:top w:val="nil"/>
              <w:left w:val="single" w:color="000000" w:sz="8" w:space="0"/>
              <w:bottom w:val="single" w:color="000000" w:sz="8" w:space="0"/>
              <w:right w:val="single" w:color="000000" w:sz="8" w:space="0"/>
            </w:tcBorders>
            <w:noWrap w:val="0"/>
            <w:vAlign w:val="center"/>
          </w:tcPr>
          <w:p w14:paraId="48737EE7">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11</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25137796">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A020619照明设备</w:t>
            </w:r>
          </w:p>
        </w:tc>
        <w:tc>
          <w:tcPr>
            <w:tcW w:w="1320" w:type="dxa"/>
            <w:tcBorders>
              <w:top w:val="nil"/>
              <w:left w:val="nil"/>
              <w:bottom w:val="single" w:color="000000" w:sz="8" w:space="0"/>
              <w:right w:val="single" w:color="000000" w:sz="8" w:space="0"/>
            </w:tcBorders>
            <w:noWrap w:val="0"/>
            <w:vAlign w:val="center"/>
          </w:tcPr>
          <w:p w14:paraId="4C811838">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★普通照明用双端荧光灯</w:t>
            </w:r>
          </w:p>
        </w:tc>
        <w:tc>
          <w:tcPr>
            <w:tcW w:w="1620" w:type="dxa"/>
            <w:tcBorders>
              <w:top w:val="nil"/>
              <w:left w:val="nil"/>
              <w:bottom w:val="single" w:color="000000" w:sz="8" w:space="0"/>
              <w:right w:val="single" w:color="000000" w:sz="8" w:space="0"/>
            </w:tcBorders>
            <w:noWrap w:val="0"/>
            <w:vAlign w:val="center"/>
          </w:tcPr>
          <w:p w14:paraId="7AC0F3A4">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0"/>
            <w:vAlign w:val="center"/>
          </w:tcPr>
          <w:p w14:paraId="27BDD8FA">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《普通照明用双端荧光灯能效限定值及能效等级》（GB19043）</w:t>
            </w:r>
          </w:p>
        </w:tc>
      </w:tr>
      <w:tr w14:paraId="229E003A">
        <w:tblPrEx>
          <w:tblCellMar>
            <w:top w:w="0" w:type="dxa"/>
            <w:left w:w="108" w:type="dxa"/>
            <w:bottom w:w="0" w:type="dxa"/>
            <w:right w:w="108" w:type="dxa"/>
          </w:tblCellMar>
        </w:tblPrEx>
        <w:trPr>
          <w:trHeight w:val="495" w:hRule="atLeast"/>
          <w:jc w:val="center"/>
        </w:trPr>
        <w:tc>
          <w:tcPr>
            <w:tcW w:w="0" w:type="auto"/>
            <w:vMerge w:val="continue"/>
            <w:tcBorders>
              <w:top w:val="nil"/>
              <w:left w:val="single" w:color="000000" w:sz="8" w:space="0"/>
              <w:bottom w:val="single" w:color="000000" w:sz="8" w:space="0"/>
              <w:right w:val="single" w:color="000000" w:sz="8" w:space="0"/>
            </w:tcBorders>
            <w:noWrap w:val="0"/>
            <w:vAlign w:val="center"/>
          </w:tcPr>
          <w:p w14:paraId="727CD8D1">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79C41840">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noWrap w:val="0"/>
            <w:vAlign w:val="center"/>
          </w:tcPr>
          <w:p w14:paraId="4CF097CC">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LED道路/隧道照明产品</w:t>
            </w:r>
          </w:p>
        </w:tc>
        <w:tc>
          <w:tcPr>
            <w:tcW w:w="1620" w:type="dxa"/>
            <w:tcBorders>
              <w:top w:val="nil"/>
              <w:left w:val="nil"/>
              <w:bottom w:val="single" w:color="000000" w:sz="8" w:space="0"/>
              <w:right w:val="single" w:color="000000" w:sz="8" w:space="0"/>
            </w:tcBorders>
            <w:noWrap w:val="0"/>
            <w:vAlign w:val="center"/>
          </w:tcPr>
          <w:p w14:paraId="479B5EEF">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0"/>
            <w:vAlign w:val="center"/>
          </w:tcPr>
          <w:p w14:paraId="37831B2A">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《道路和隧道照明用LED灯具能效限定值及能效等级》（GB37478）</w:t>
            </w:r>
          </w:p>
        </w:tc>
      </w:tr>
      <w:tr w14:paraId="0662EE6A">
        <w:tblPrEx>
          <w:tblCellMar>
            <w:top w:w="0" w:type="dxa"/>
            <w:left w:w="108" w:type="dxa"/>
            <w:bottom w:w="0" w:type="dxa"/>
            <w:right w:w="108" w:type="dxa"/>
          </w:tblCellMar>
        </w:tblPrEx>
        <w:trPr>
          <w:trHeight w:val="495" w:hRule="atLeast"/>
          <w:jc w:val="center"/>
        </w:trPr>
        <w:tc>
          <w:tcPr>
            <w:tcW w:w="0" w:type="auto"/>
            <w:vMerge w:val="continue"/>
            <w:tcBorders>
              <w:top w:val="nil"/>
              <w:left w:val="single" w:color="000000" w:sz="8" w:space="0"/>
              <w:bottom w:val="single" w:color="000000" w:sz="8" w:space="0"/>
              <w:right w:val="single" w:color="000000" w:sz="8" w:space="0"/>
            </w:tcBorders>
            <w:noWrap w:val="0"/>
            <w:vAlign w:val="center"/>
          </w:tcPr>
          <w:p w14:paraId="41F522D2">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31578940">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noWrap w:val="0"/>
            <w:vAlign w:val="center"/>
          </w:tcPr>
          <w:p w14:paraId="00FE2C54">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LED筒灯</w:t>
            </w:r>
          </w:p>
        </w:tc>
        <w:tc>
          <w:tcPr>
            <w:tcW w:w="1620" w:type="dxa"/>
            <w:tcBorders>
              <w:top w:val="nil"/>
              <w:left w:val="nil"/>
              <w:bottom w:val="single" w:color="000000" w:sz="8" w:space="0"/>
              <w:right w:val="single" w:color="000000" w:sz="8" w:space="0"/>
            </w:tcBorders>
            <w:noWrap w:val="0"/>
            <w:vAlign w:val="center"/>
          </w:tcPr>
          <w:p w14:paraId="5B84D8AB">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0"/>
            <w:vAlign w:val="center"/>
          </w:tcPr>
          <w:p w14:paraId="5B4BC0C8">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《室内照明用LED产品能效限定值及能效等级》（GB30255）</w:t>
            </w:r>
          </w:p>
        </w:tc>
      </w:tr>
      <w:tr w14:paraId="4B692FE2">
        <w:tblPrEx>
          <w:tblCellMar>
            <w:top w:w="0" w:type="dxa"/>
            <w:left w:w="108" w:type="dxa"/>
            <w:bottom w:w="0" w:type="dxa"/>
            <w:right w:w="108" w:type="dxa"/>
          </w:tblCellMar>
        </w:tblPrEx>
        <w:trPr>
          <w:trHeight w:val="735" w:hRule="atLeast"/>
          <w:jc w:val="center"/>
        </w:trPr>
        <w:tc>
          <w:tcPr>
            <w:tcW w:w="0" w:type="auto"/>
            <w:vMerge w:val="continue"/>
            <w:tcBorders>
              <w:top w:val="nil"/>
              <w:left w:val="single" w:color="000000" w:sz="8" w:space="0"/>
              <w:bottom w:val="single" w:color="000000" w:sz="8" w:space="0"/>
              <w:right w:val="single" w:color="000000" w:sz="8" w:space="0"/>
            </w:tcBorders>
            <w:noWrap w:val="0"/>
            <w:vAlign w:val="center"/>
          </w:tcPr>
          <w:p w14:paraId="72AFACE4">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97240EA">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noWrap w:val="0"/>
            <w:vAlign w:val="center"/>
          </w:tcPr>
          <w:p w14:paraId="1CFFE0A6">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普通照明用非定向自镇流LED灯</w:t>
            </w:r>
          </w:p>
        </w:tc>
        <w:tc>
          <w:tcPr>
            <w:tcW w:w="1620" w:type="dxa"/>
            <w:tcBorders>
              <w:top w:val="nil"/>
              <w:left w:val="nil"/>
              <w:bottom w:val="single" w:color="000000" w:sz="8" w:space="0"/>
              <w:right w:val="single" w:color="000000" w:sz="8" w:space="0"/>
            </w:tcBorders>
            <w:noWrap w:val="0"/>
            <w:vAlign w:val="center"/>
          </w:tcPr>
          <w:p w14:paraId="42E31881">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0"/>
            <w:vAlign w:val="center"/>
          </w:tcPr>
          <w:p w14:paraId="4166ED2B">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《室内照明用LED产品能效限定值及能效等级》（GB30255）</w:t>
            </w:r>
          </w:p>
        </w:tc>
      </w:tr>
      <w:tr w14:paraId="0FA076F6">
        <w:tblPrEx>
          <w:tblCellMar>
            <w:top w:w="0" w:type="dxa"/>
            <w:left w:w="108" w:type="dxa"/>
            <w:bottom w:w="0" w:type="dxa"/>
            <w:right w:w="108" w:type="dxa"/>
          </w:tblCellMar>
        </w:tblPrEx>
        <w:trPr>
          <w:trHeight w:val="735" w:hRule="atLeast"/>
          <w:jc w:val="center"/>
        </w:trPr>
        <w:tc>
          <w:tcPr>
            <w:tcW w:w="660" w:type="dxa"/>
            <w:tcBorders>
              <w:top w:val="nil"/>
              <w:left w:val="single" w:color="000000" w:sz="8" w:space="0"/>
              <w:bottom w:val="single" w:color="000000" w:sz="8" w:space="0"/>
              <w:right w:val="single" w:color="000000" w:sz="8" w:space="0"/>
            </w:tcBorders>
            <w:noWrap w:val="0"/>
            <w:vAlign w:val="center"/>
          </w:tcPr>
          <w:p w14:paraId="2276ED02">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12</w:t>
            </w:r>
          </w:p>
        </w:tc>
        <w:tc>
          <w:tcPr>
            <w:tcW w:w="1080" w:type="dxa"/>
            <w:tcBorders>
              <w:top w:val="nil"/>
              <w:left w:val="nil"/>
              <w:bottom w:val="single" w:color="000000" w:sz="8" w:space="0"/>
              <w:right w:val="single" w:color="000000" w:sz="8" w:space="0"/>
            </w:tcBorders>
            <w:noWrap w:val="0"/>
            <w:vAlign w:val="center"/>
          </w:tcPr>
          <w:p w14:paraId="1809FABC">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★A020910电视设备</w:t>
            </w:r>
          </w:p>
        </w:tc>
        <w:tc>
          <w:tcPr>
            <w:tcW w:w="1320" w:type="dxa"/>
            <w:tcBorders>
              <w:top w:val="nil"/>
              <w:left w:val="nil"/>
              <w:bottom w:val="single" w:color="000000" w:sz="8" w:space="0"/>
              <w:right w:val="single" w:color="000000" w:sz="8" w:space="0"/>
            </w:tcBorders>
            <w:noWrap w:val="0"/>
            <w:vAlign w:val="center"/>
          </w:tcPr>
          <w:p w14:paraId="7E185C85">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A02091001普通电视设备（电视机）</w:t>
            </w:r>
          </w:p>
        </w:tc>
        <w:tc>
          <w:tcPr>
            <w:tcW w:w="1620" w:type="dxa"/>
            <w:tcBorders>
              <w:top w:val="nil"/>
              <w:left w:val="nil"/>
              <w:bottom w:val="single" w:color="000000" w:sz="8" w:space="0"/>
              <w:right w:val="single" w:color="000000" w:sz="8" w:space="0"/>
            </w:tcBorders>
            <w:noWrap w:val="0"/>
            <w:vAlign w:val="center"/>
          </w:tcPr>
          <w:p w14:paraId="7299B504">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0"/>
            <w:vAlign w:val="center"/>
          </w:tcPr>
          <w:p w14:paraId="4F8455B0">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《平板电视能效限定值及能效等级》（GB24850）</w:t>
            </w:r>
          </w:p>
        </w:tc>
      </w:tr>
      <w:tr w14:paraId="5CB11EC4">
        <w:tblPrEx>
          <w:tblCellMar>
            <w:top w:w="0" w:type="dxa"/>
            <w:left w:w="108" w:type="dxa"/>
            <w:bottom w:w="0" w:type="dxa"/>
            <w:right w:w="108" w:type="dxa"/>
          </w:tblCellMar>
        </w:tblPrEx>
        <w:trPr>
          <w:trHeight w:val="975" w:hRule="atLeast"/>
          <w:jc w:val="center"/>
        </w:trPr>
        <w:tc>
          <w:tcPr>
            <w:tcW w:w="660" w:type="dxa"/>
            <w:tcBorders>
              <w:top w:val="nil"/>
              <w:left w:val="single" w:color="000000" w:sz="8" w:space="0"/>
              <w:bottom w:val="single" w:color="000000" w:sz="8" w:space="0"/>
              <w:right w:val="single" w:color="000000" w:sz="8" w:space="0"/>
            </w:tcBorders>
            <w:noWrap w:val="0"/>
            <w:vAlign w:val="center"/>
          </w:tcPr>
          <w:p w14:paraId="02CD453D">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13</w:t>
            </w:r>
          </w:p>
        </w:tc>
        <w:tc>
          <w:tcPr>
            <w:tcW w:w="1080" w:type="dxa"/>
            <w:tcBorders>
              <w:top w:val="nil"/>
              <w:left w:val="nil"/>
              <w:bottom w:val="single" w:color="000000" w:sz="8" w:space="0"/>
              <w:right w:val="single" w:color="000000" w:sz="8" w:space="0"/>
            </w:tcBorders>
            <w:noWrap w:val="0"/>
            <w:vAlign w:val="center"/>
          </w:tcPr>
          <w:p w14:paraId="0FB68369">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★A020911视频设备</w:t>
            </w:r>
          </w:p>
        </w:tc>
        <w:tc>
          <w:tcPr>
            <w:tcW w:w="1320" w:type="dxa"/>
            <w:tcBorders>
              <w:top w:val="nil"/>
              <w:left w:val="nil"/>
              <w:bottom w:val="single" w:color="000000" w:sz="8" w:space="0"/>
              <w:right w:val="single" w:color="000000" w:sz="8" w:space="0"/>
            </w:tcBorders>
            <w:noWrap w:val="0"/>
            <w:vAlign w:val="center"/>
          </w:tcPr>
          <w:p w14:paraId="73467501">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A02091107视频监控设备</w:t>
            </w:r>
          </w:p>
        </w:tc>
        <w:tc>
          <w:tcPr>
            <w:tcW w:w="1620" w:type="dxa"/>
            <w:tcBorders>
              <w:top w:val="nil"/>
              <w:left w:val="nil"/>
              <w:bottom w:val="single" w:color="000000" w:sz="8" w:space="0"/>
              <w:right w:val="single" w:color="000000" w:sz="8" w:space="0"/>
            </w:tcBorders>
            <w:noWrap w:val="0"/>
            <w:vAlign w:val="center"/>
          </w:tcPr>
          <w:p w14:paraId="2702062A">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监视器</w:t>
            </w:r>
          </w:p>
        </w:tc>
        <w:tc>
          <w:tcPr>
            <w:tcW w:w="4540" w:type="dxa"/>
            <w:tcBorders>
              <w:top w:val="nil"/>
              <w:left w:val="nil"/>
              <w:bottom w:val="single" w:color="000000" w:sz="8" w:space="0"/>
              <w:right w:val="single" w:color="000000" w:sz="8" w:space="0"/>
            </w:tcBorders>
            <w:noWrap w:val="0"/>
            <w:vAlign w:val="center"/>
          </w:tcPr>
          <w:p w14:paraId="068C0A11">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以射频信号为主要信号输入的监视器应符合《平板电视能效限定值及能效等级》（GB24850），以数字信号为主要信号输入的监视器应符合《计算机显示器能效限定值及能效等级》（GB21520）</w:t>
            </w:r>
          </w:p>
        </w:tc>
      </w:tr>
      <w:tr w14:paraId="4AA2D6D0">
        <w:tblPrEx>
          <w:tblCellMar>
            <w:top w:w="0" w:type="dxa"/>
            <w:left w:w="108" w:type="dxa"/>
            <w:bottom w:w="0" w:type="dxa"/>
            <w:right w:w="108" w:type="dxa"/>
          </w:tblCellMar>
        </w:tblPrEx>
        <w:trPr>
          <w:trHeight w:val="495" w:hRule="atLeast"/>
          <w:jc w:val="center"/>
        </w:trPr>
        <w:tc>
          <w:tcPr>
            <w:tcW w:w="660" w:type="dxa"/>
            <w:tcBorders>
              <w:top w:val="nil"/>
              <w:left w:val="single" w:color="000000" w:sz="8" w:space="0"/>
              <w:bottom w:val="single" w:color="000000" w:sz="8" w:space="0"/>
              <w:right w:val="single" w:color="000000" w:sz="8" w:space="0"/>
            </w:tcBorders>
            <w:noWrap w:val="0"/>
            <w:vAlign w:val="center"/>
          </w:tcPr>
          <w:p w14:paraId="29D3D5B1">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14</w:t>
            </w:r>
          </w:p>
        </w:tc>
        <w:tc>
          <w:tcPr>
            <w:tcW w:w="1080" w:type="dxa"/>
            <w:tcBorders>
              <w:top w:val="nil"/>
              <w:left w:val="nil"/>
              <w:bottom w:val="single" w:color="000000" w:sz="8" w:space="0"/>
              <w:right w:val="single" w:color="000000" w:sz="8" w:space="0"/>
            </w:tcBorders>
            <w:noWrap w:val="0"/>
            <w:vAlign w:val="center"/>
          </w:tcPr>
          <w:p w14:paraId="4BB2A2CE">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A031210饮食炊事机械</w:t>
            </w:r>
          </w:p>
        </w:tc>
        <w:tc>
          <w:tcPr>
            <w:tcW w:w="1320" w:type="dxa"/>
            <w:tcBorders>
              <w:top w:val="nil"/>
              <w:left w:val="nil"/>
              <w:bottom w:val="single" w:color="000000" w:sz="8" w:space="0"/>
              <w:right w:val="single" w:color="000000" w:sz="8" w:space="0"/>
            </w:tcBorders>
            <w:noWrap w:val="0"/>
            <w:vAlign w:val="center"/>
          </w:tcPr>
          <w:p w14:paraId="0BA77DFF">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商用燃气灶具</w:t>
            </w:r>
          </w:p>
        </w:tc>
        <w:tc>
          <w:tcPr>
            <w:tcW w:w="1620" w:type="dxa"/>
            <w:tcBorders>
              <w:top w:val="nil"/>
              <w:left w:val="nil"/>
              <w:bottom w:val="single" w:color="000000" w:sz="8" w:space="0"/>
              <w:right w:val="single" w:color="000000" w:sz="8" w:space="0"/>
            </w:tcBorders>
            <w:noWrap w:val="0"/>
            <w:vAlign w:val="center"/>
          </w:tcPr>
          <w:p w14:paraId="39D268FA">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0"/>
            <w:vAlign w:val="center"/>
          </w:tcPr>
          <w:p w14:paraId="1AEE5AA8">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《商用燃气灶具能效限定值及能效等级》（GB30531）</w:t>
            </w:r>
          </w:p>
        </w:tc>
      </w:tr>
      <w:tr w14:paraId="0615652C">
        <w:tblPrEx>
          <w:tblCellMar>
            <w:top w:w="0" w:type="dxa"/>
            <w:left w:w="108" w:type="dxa"/>
            <w:bottom w:w="0" w:type="dxa"/>
            <w:right w:w="108" w:type="dxa"/>
          </w:tblCellMar>
        </w:tblPrEx>
        <w:trPr>
          <w:trHeight w:val="285" w:hRule="atLeast"/>
          <w:jc w:val="center"/>
        </w:trPr>
        <w:tc>
          <w:tcPr>
            <w:tcW w:w="660" w:type="dxa"/>
            <w:vMerge w:val="restart"/>
            <w:tcBorders>
              <w:top w:val="nil"/>
              <w:left w:val="single" w:color="000000" w:sz="8" w:space="0"/>
              <w:bottom w:val="single" w:color="000000" w:sz="8" w:space="0"/>
              <w:right w:val="single" w:color="000000" w:sz="8" w:space="0"/>
            </w:tcBorders>
            <w:noWrap w:val="0"/>
            <w:vAlign w:val="center"/>
          </w:tcPr>
          <w:p w14:paraId="7028DD6B">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15</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6963AF11">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★A060805便器</w:t>
            </w:r>
          </w:p>
        </w:tc>
        <w:tc>
          <w:tcPr>
            <w:tcW w:w="1320" w:type="dxa"/>
            <w:tcBorders>
              <w:top w:val="nil"/>
              <w:left w:val="nil"/>
              <w:bottom w:val="single" w:color="000000" w:sz="8" w:space="0"/>
              <w:right w:val="single" w:color="000000" w:sz="8" w:space="0"/>
            </w:tcBorders>
            <w:noWrap w:val="0"/>
            <w:vAlign w:val="center"/>
          </w:tcPr>
          <w:p w14:paraId="37BA7351">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坐便器</w:t>
            </w:r>
          </w:p>
        </w:tc>
        <w:tc>
          <w:tcPr>
            <w:tcW w:w="1620" w:type="dxa"/>
            <w:tcBorders>
              <w:top w:val="nil"/>
              <w:left w:val="nil"/>
              <w:bottom w:val="single" w:color="000000" w:sz="8" w:space="0"/>
              <w:right w:val="single" w:color="000000" w:sz="8" w:space="0"/>
            </w:tcBorders>
            <w:noWrap w:val="0"/>
            <w:vAlign w:val="center"/>
          </w:tcPr>
          <w:p w14:paraId="62571058">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0"/>
            <w:vAlign w:val="center"/>
          </w:tcPr>
          <w:p w14:paraId="704907C5">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《坐便器水效限定值及水效等级》（GB25502）</w:t>
            </w:r>
          </w:p>
        </w:tc>
      </w:tr>
      <w:tr w14:paraId="2A978081">
        <w:tblPrEx>
          <w:tblCellMar>
            <w:top w:w="0" w:type="dxa"/>
            <w:left w:w="108" w:type="dxa"/>
            <w:bottom w:w="0" w:type="dxa"/>
            <w:right w:w="108" w:type="dxa"/>
          </w:tblCellMar>
        </w:tblPrEx>
        <w:trPr>
          <w:trHeight w:val="495" w:hRule="atLeast"/>
          <w:jc w:val="center"/>
        </w:trPr>
        <w:tc>
          <w:tcPr>
            <w:tcW w:w="0" w:type="auto"/>
            <w:vMerge w:val="continue"/>
            <w:tcBorders>
              <w:top w:val="nil"/>
              <w:left w:val="single" w:color="000000" w:sz="8" w:space="0"/>
              <w:bottom w:val="single" w:color="000000" w:sz="8" w:space="0"/>
              <w:right w:val="single" w:color="000000" w:sz="8" w:space="0"/>
            </w:tcBorders>
            <w:noWrap w:val="0"/>
            <w:vAlign w:val="center"/>
          </w:tcPr>
          <w:p w14:paraId="0061E9D0">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5214786">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noWrap w:val="0"/>
            <w:vAlign w:val="center"/>
          </w:tcPr>
          <w:p w14:paraId="14726802">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蹲便器</w:t>
            </w:r>
          </w:p>
        </w:tc>
        <w:tc>
          <w:tcPr>
            <w:tcW w:w="1620" w:type="dxa"/>
            <w:tcBorders>
              <w:top w:val="nil"/>
              <w:left w:val="nil"/>
              <w:bottom w:val="single" w:color="000000" w:sz="8" w:space="0"/>
              <w:right w:val="single" w:color="000000" w:sz="8" w:space="0"/>
            </w:tcBorders>
            <w:noWrap w:val="0"/>
            <w:vAlign w:val="center"/>
          </w:tcPr>
          <w:p w14:paraId="334D5F1F">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0"/>
            <w:vAlign w:val="center"/>
          </w:tcPr>
          <w:p w14:paraId="55DF3CCF">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《蹲便器用水效率限定值及用水效率等级》（GB30717）</w:t>
            </w:r>
          </w:p>
        </w:tc>
      </w:tr>
      <w:tr w14:paraId="59584C71">
        <w:tblPrEx>
          <w:tblCellMar>
            <w:top w:w="0" w:type="dxa"/>
            <w:left w:w="108" w:type="dxa"/>
            <w:bottom w:w="0" w:type="dxa"/>
            <w:right w:w="108" w:type="dxa"/>
          </w:tblCellMar>
        </w:tblPrEx>
        <w:trPr>
          <w:trHeight w:val="495" w:hRule="atLeast"/>
          <w:jc w:val="center"/>
        </w:trPr>
        <w:tc>
          <w:tcPr>
            <w:tcW w:w="0" w:type="auto"/>
            <w:vMerge w:val="continue"/>
            <w:tcBorders>
              <w:top w:val="nil"/>
              <w:left w:val="single" w:color="000000" w:sz="8" w:space="0"/>
              <w:bottom w:val="single" w:color="000000" w:sz="8" w:space="0"/>
              <w:right w:val="single" w:color="000000" w:sz="8" w:space="0"/>
            </w:tcBorders>
            <w:noWrap w:val="0"/>
            <w:vAlign w:val="center"/>
          </w:tcPr>
          <w:p w14:paraId="70B40DB3">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0F7C2F8">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noWrap w:val="0"/>
            <w:vAlign w:val="center"/>
          </w:tcPr>
          <w:p w14:paraId="04DBC63A">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小便器</w:t>
            </w:r>
          </w:p>
        </w:tc>
        <w:tc>
          <w:tcPr>
            <w:tcW w:w="1620" w:type="dxa"/>
            <w:tcBorders>
              <w:top w:val="nil"/>
              <w:left w:val="nil"/>
              <w:bottom w:val="single" w:color="000000" w:sz="8" w:space="0"/>
              <w:right w:val="single" w:color="000000" w:sz="8" w:space="0"/>
            </w:tcBorders>
            <w:noWrap w:val="0"/>
            <w:vAlign w:val="center"/>
          </w:tcPr>
          <w:p w14:paraId="457FC255">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0"/>
            <w:vAlign w:val="center"/>
          </w:tcPr>
          <w:p w14:paraId="3CBB90CA">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《小便器用水效率限定值及用水效率等级》（GB28377）</w:t>
            </w:r>
          </w:p>
        </w:tc>
      </w:tr>
      <w:tr w14:paraId="3207AD5E">
        <w:tblPrEx>
          <w:tblCellMar>
            <w:top w:w="0" w:type="dxa"/>
            <w:left w:w="108" w:type="dxa"/>
            <w:bottom w:w="0" w:type="dxa"/>
            <w:right w:w="108" w:type="dxa"/>
          </w:tblCellMar>
        </w:tblPrEx>
        <w:trPr>
          <w:trHeight w:val="495" w:hRule="atLeast"/>
          <w:jc w:val="center"/>
        </w:trPr>
        <w:tc>
          <w:tcPr>
            <w:tcW w:w="660" w:type="dxa"/>
            <w:tcBorders>
              <w:top w:val="nil"/>
              <w:left w:val="single" w:color="000000" w:sz="8" w:space="0"/>
              <w:bottom w:val="single" w:color="000000" w:sz="8" w:space="0"/>
              <w:right w:val="single" w:color="000000" w:sz="8" w:space="0"/>
            </w:tcBorders>
            <w:noWrap w:val="0"/>
            <w:vAlign w:val="center"/>
          </w:tcPr>
          <w:p w14:paraId="24FD4892">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16</w:t>
            </w:r>
          </w:p>
        </w:tc>
        <w:tc>
          <w:tcPr>
            <w:tcW w:w="1080" w:type="dxa"/>
            <w:tcBorders>
              <w:top w:val="nil"/>
              <w:left w:val="nil"/>
              <w:bottom w:val="single" w:color="000000" w:sz="8" w:space="0"/>
              <w:right w:val="single" w:color="000000" w:sz="8" w:space="0"/>
            </w:tcBorders>
            <w:noWrap w:val="0"/>
            <w:vAlign w:val="center"/>
          </w:tcPr>
          <w:p w14:paraId="3441F572">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★A060806水嘴</w:t>
            </w:r>
          </w:p>
        </w:tc>
        <w:tc>
          <w:tcPr>
            <w:tcW w:w="1320" w:type="dxa"/>
            <w:tcBorders>
              <w:top w:val="nil"/>
              <w:left w:val="nil"/>
              <w:bottom w:val="single" w:color="000000" w:sz="8" w:space="0"/>
              <w:right w:val="single" w:color="000000" w:sz="8" w:space="0"/>
            </w:tcBorders>
            <w:noWrap w:val="0"/>
            <w:vAlign w:val="center"/>
          </w:tcPr>
          <w:p w14:paraId="2B972A0B">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noWrap w:val="0"/>
            <w:vAlign w:val="center"/>
          </w:tcPr>
          <w:p w14:paraId="35098AF0">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0"/>
            <w:vAlign w:val="center"/>
          </w:tcPr>
          <w:p w14:paraId="57E8AB14">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《水嘴用水效率限定值及用水效率等级》（GB 25501）</w:t>
            </w:r>
          </w:p>
        </w:tc>
      </w:tr>
      <w:tr w14:paraId="0B4DFF5F">
        <w:tblPrEx>
          <w:tblCellMar>
            <w:top w:w="0" w:type="dxa"/>
            <w:left w:w="108" w:type="dxa"/>
            <w:bottom w:w="0" w:type="dxa"/>
            <w:right w:w="108" w:type="dxa"/>
          </w:tblCellMar>
        </w:tblPrEx>
        <w:trPr>
          <w:trHeight w:val="495" w:hRule="atLeast"/>
          <w:jc w:val="center"/>
        </w:trPr>
        <w:tc>
          <w:tcPr>
            <w:tcW w:w="660" w:type="dxa"/>
            <w:tcBorders>
              <w:top w:val="nil"/>
              <w:left w:val="single" w:color="000000" w:sz="8" w:space="0"/>
              <w:bottom w:val="single" w:color="000000" w:sz="8" w:space="0"/>
              <w:right w:val="single" w:color="000000" w:sz="8" w:space="0"/>
            </w:tcBorders>
            <w:noWrap w:val="0"/>
            <w:vAlign w:val="center"/>
          </w:tcPr>
          <w:p w14:paraId="25949882">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17</w:t>
            </w:r>
          </w:p>
        </w:tc>
        <w:tc>
          <w:tcPr>
            <w:tcW w:w="1080" w:type="dxa"/>
            <w:tcBorders>
              <w:top w:val="nil"/>
              <w:left w:val="nil"/>
              <w:bottom w:val="single" w:color="000000" w:sz="8" w:space="0"/>
              <w:right w:val="single" w:color="000000" w:sz="8" w:space="0"/>
            </w:tcBorders>
            <w:noWrap w:val="0"/>
            <w:vAlign w:val="center"/>
          </w:tcPr>
          <w:p w14:paraId="5B689F50">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A060807便器冲洗阀</w:t>
            </w:r>
          </w:p>
        </w:tc>
        <w:tc>
          <w:tcPr>
            <w:tcW w:w="1320" w:type="dxa"/>
            <w:tcBorders>
              <w:top w:val="nil"/>
              <w:left w:val="nil"/>
              <w:bottom w:val="single" w:color="000000" w:sz="8" w:space="0"/>
              <w:right w:val="single" w:color="000000" w:sz="8" w:space="0"/>
            </w:tcBorders>
            <w:noWrap w:val="0"/>
            <w:vAlign w:val="center"/>
          </w:tcPr>
          <w:p w14:paraId="1FEFF3C4">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noWrap w:val="0"/>
            <w:vAlign w:val="center"/>
          </w:tcPr>
          <w:p w14:paraId="6144D020">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0"/>
            <w:vAlign w:val="center"/>
          </w:tcPr>
          <w:p w14:paraId="78A40255">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《便器冲洗阀用水效率限定值及用水效率等级》（GB28379）</w:t>
            </w:r>
          </w:p>
        </w:tc>
      </w:tr>
      <w:tr w14:paraId="12CC5FCD">
        <w:tblPrEx>
          <w:tblCellMar>
            <w:top w:w="0" w:type="dxa"/>
            <w:left w:w="108" w:type="dxa"/>
            <w:bottom w:w="0" w:type="dxa"/>
            <w:right w:w="108" w:type="dxa"/>
          </w:tblCellMar>
        </w:tblPrEx>
        <w:trPr>
          <w:trHeight w:val="495" w:hRule="atLeast"/>
          <w:jc w:val="center"/>
        </w:trPr>
        <w:tc>
          <w:tcPr>
            <w:tcW w:w="660" w:type="dxa"/>
            <w:tcBorders>
              <w:top w:val="nil"/>
              <w:left w:val="single" w:color="000000" w:sz="8" w:space="0"/>
              <w:bottom w:val="single" w:color="000000" w:sz="8" w:space="0"/>
              <w:right w:val="single" w:color="000000" w:sz="8" w:space="0"/>
            </w:tcBorders>
            <w:noWrap w:val="0"/>
            <w:vAlign w:val="center"/>
          </w:tcPr>
          <w:p w14:paraId="76D71285">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18</w:t>
            </w:r>
          </w:p>
        </w:tc>
        <w:tc>
          <w:tcPr>
            <w:tcW w:w="1080" w:type="dxa"/>
            <w:tcBorders>
              <w:top w:val="nil"/>
              <w:left w:val="nil"/>
              <w:bottom w:val="single" w:color="000000" w:sz="8" w:space="0"/>
              <w:right w:val="single" w:color="000000" w:sz="8" w:space="0"/>
            </w:tcBorders>
            <w:noWrap w:val="0"/>
            <w:vAlign w:val="center"/>
          </w:tcPr>
          <w:p w14:paraId="521030DA">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A060810淋浴器</w:t>
            </w:r>
          </w:p>
        </w:tc>
        <w:tc>
          <w:tcPr>
            <w:tcW w:w="1320" w:type="dxa"/>
            <w:tcBorders>
              <w:top w:val="nil"/>
              <w:left w:val="nil"/>
              <w:bottom w:val="single" w:color="000000" w:sz="8" w:space="0"/>
              <w:right w:val="single" w:color="000000" w:sz="8" w:space="0"/>
            </w:tcBorders>
            <w:noWrap w:val="0"/>
            <w:vAlign w:val="center"/>
          </w:tcPr>
          <w:p w14:paraId="791211C4">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noWrap w:val="0"/>
            <w:vAlign w:val="center"/>
          </w:tcPr>
          <w:p w14:paraId="113073D5">
            <w:pPr>
              <w:keepNext w:val="0"/>
              <w:keepLines w:val="0"/>
              <w:widowControl/>
              <w:suppressLineNumbers w:val="0"/>
              <w:spacing w:before="0" w:beforeAutospacing="0" w:after="0" w:afterAutospacing="0"/>
              <w:ind w:left="0" w:right="0"/>
              <w:jc w:val="center"/>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0"/>
            <w:vAlign w:val="center"/>
          </w:tcPr>
          <w:p w14:paraId="1D427239">
            <w:pPr>
              <w:keepNext w:val="0"/>
              <w:keepLines w:val="0"/>
              <w:widowControl/>
              <w:suppressLineNumbers w:val="0"/>
              <w:spacing w:before="0" w:beforeAutospacing="0" w:after="0" w:afterAutospacing="0"/>
              <w:ind w:left="0" w:right="0"/>
              <w:jc w:val="left"/>
              <w:rPr>
                <w:rFonts w:hint="default" w:ascii="宋体" w:hAnsi="宋体" w:cs="宋体"/>
                <w:color w:val="auto"/>
                <w:kern w:val="0"/>
                <w:sz w:val="20"/>
                <w:szCs w:val="20"/>
                <w:highlight w:val="none"/>
              </w:rPr>
            </w:pPr>
            <w:r>
              <w:rPr>
                <w:rFonts w:hint="eastAsia" w:ascii="宋体" w:hAnsi="宋体" w:cs="宋体"/>
                <w:color w:val="auto"/>
                <w:kern w:val="0"/>
                <w:sz w:val="20"/>
                <w:szCs w:val="20"/>
                <w:highlight w:val="none"/>
              </w:rPr>
              <w:t>《淋浴器用水效率限定值及用水效率等级》（GB28378）</w:t>
            </w:r>
          </w:p>
        </w:tc>
      </w:tr>
    </w:tbl>
    <w:p w14:paraId="6455DBC9">
      <w:pPr>
        <w:pStyle w:val="13"/>
        <w:spacing w:line="360" w:lineRule="auto"/>
        <w:rPr>
          <w:rFonts w:hint="eastAsia"/>
          <w:color w:val="auto"/>
          <w:spacing w:val="-3"/>
          <w:szCs w:val="21"/>
          <w:highlight w:val="none"/>
        </w:rPr>
      </w:pPr>
    </w:p>
    <w:p w14:paraId="7D0CB73B">
      <w:pPr>
        <w:pStyle w:val="13"/>
        <w:spacing w:line="360" w:lineRule="auto"/>
        <w:rPr>
          <w:rFonts w:ascii="宋体" w:hAnsi="宋体"/>
          <w:color w:val="auto"/>
          <w:szCs w:val="21"/>
          <w:highlight w:val="none"/>
        </w:rPr>
      </w:pPr>
      <w:r>
        <w:rPr>
          <w:rFonts w:hint="eastAsia"/>
          <w:color w:val="auto"/>
          <w:spacing w:val="-3"/>
          <w:szCs w:val="21"/>
          <w:highlight w:val="none"/>
        </w:rPr>
        <w:t>注：</w:t>
      </w:r>
      <w:r>
        <w:rPr>
          <w:color w:val="auto"/>
          <w:spacing w:val="-3"/>
          <w:szCs w:val="21"/>
          <w:highlight w:val="none"/>
        </w:rPr>
        <w:t>1.</w:t>
      </w:r>
      <w:r>
        <w:rPr>
          <w:rFonts w:hint="eastAsia"/>
          <w:color w:val="auto"/>
          <w:spacing w:val="-3"/>
          <w:szCs w:val="21"/>
          <w:highlight w:val="none"/>
        </w:rPr>
        <w:t>节能产品认证应依据相关国家标准的最新版本，依据国家标准中二级能效（水效）</w:t>
      </w:r>
      <w:r>
        <w:rPr>
          <w:rFonts w:hint="eastAsia"/>
          <w:color w:val="auto"/>
          <w:szCs w:val="21"/>
          <w:highlight w:val="none"/>
        </w:rPr>
        <w:t>指标。</w:t>
      </w:r>
    </w:p>
    <w:p w14:paraId="1B8357D6">
      <w:pPr>
        <w:pStyle w:val="13"/>
        <w:spacing w:line="360" w:lineRule="auto"/>
        <w:rPr>
          <w:rFonts w:hint="eastAsia"/>
          <w:b/>
          <w:bCs/>
          <w:color w:val="auto"/>
          <w:szCs w:val="21"/>
          <w:highlight w:val="none"/>
        </w:rPr>
      </w:pPr>
      <w:r>
        <w:rPr>
          <w:rFonts w:hint="eastAsia" w:ascii="宋体" w:hAnsi="宋体"/>
          <w:color w:val="auto"/>
          <w:szCs w:val="21"/>
          <w:highlight w:val="none"/>
        </w:rPr>
        <w:t xml:space="preserve">    </w:t>
      </w:r>
      <w:r>
        <w:rPr>
          <w:color w:val="auto"/>
          <w:szCs w:val="21"/>
          <w:highlight w:val="none"/>
        </w:rPr>
        <w:t>2</w:t>
      </w:r>
      <w:r>
        <w:rPr>
          <w:b/>
          <w:bCs/>
          <w:color w:val="auto"/>
          <w:szCs w:val="21"/>
          <w:highlight w:val="none"/>
        </w:rPr>
        <w:t>.</w:t>
      </w:r>
      <w:r>
        <w:rPr>
          <w:rFonts w:hint="eastAsia"/>
          <w:b/>
          <w:bCs/>
          <w:color w:val="auto"/>
          <w:szCs w:val="21"/>
          <w:highlight w:val="none"/>
        </w:rPr>
        <w:t>以</w:t>
      </w:r>
      <w:r>
        <w:rPr>
          <w:b/>
          <w:bCs/>
          <w:color w:val="auto"/>
          <w:szCs w:val="21"/>
          <w:highlight w:val="none"/>
        </w:rPr>
        <w:t>“</w:t>
      </w:r>
      <w:r>
        <w:rPr>
          <w:rFonts w:hint="eastAsia"/>
          <w:b/>
          <w:bCs/>
          <w:color w:val="auto"/>
          <w:szCs w:val="21"/>
          <w:highlight w:val="none"/>
        </w:rPr>
        <w:t>★</w:t>
      </w:r>
      <w:r>
        <w:rPr>
          <w:b/>
          <w:bCs/>
          <w:color w:val="auto"/>
          <w:szCs w:val="21"/>
          <w:highlight w:val="none"/>
        </w:rPr>
        <w:t>”</w:t>
      </w:r>
      <w:r>
        <w:rPr>
          <w:rFonts w:hint="eastAsia"/>
          <w:b/>
          <w:bCs/>
          <w:color w:val="auto"/>
          <w:szCs w:val="21"/>
          <w:highlight w:val="none"/>
        </w:rPr>
        <w:t>标注的为政府强制采购产品。</w:t>
      </w:r>
    </w:p>
    <w:p w14:paraId="47EDFF5E">
      <w:pPr>
        <w:jc w:val="left"/>
        <w:rPr>
          <w:rFonts w:ascii="Arial Unicode MS" w:hAnsi="Arial Unicode MS" w:eastAsia="Arial Unicode MS" w:cs="Arial Unicode MS"/>
          <w:color w:val="auto"/>
          <w:sz w:val="32"/>
          <w:szCs w:val="32"/>
          <w:highlight w:val="none"/>
        </w:rPr>
      </w:pPr>
      <w:r>
        <w:rPr>
          <w:rFonts w:hint="eastAsia" w:ascii="宋体" w:hAnsi="宋体"/>
          <w:color w:val="auto"/>
          <w:szCs w:val="20"/>
          <w:highlight w:val="none"/>
        </w:rPr>
        <w:br w:type="page"/>
      </w:r>
      <w:r>
        <w:rPr>
          <w:rFonts w:hint="eastAsia" w:ascii="微软雅黑" w:hAnsi="微软雅黑" w:eastAsia="微软雅黑" w:cs="微软雅黑"/>
          <w:color w:val="auto"/>
          <w:sz w:val="32"/>
          <w:szCs w:val="32"/>
          <w:highlight w:val="none"/>
        </w:rPr>
        <w:t>附件</w:t>
      </w:r>
      <w:r>
        <w:rPr>
          <w:rFonts w:hint="eastAsia" w:ascii="Arial Unicode MS" w:hAnsi="Arial Unicode MS" w:eastAsia="Arial Unicode MS" w:cs="Arial Unicode MS"/>
          <w:color w:val="auto"/>
          <w:sz w:val="32"/>
          <w:szCs w:val="32"/>
          <w:highlight w:val="none"/>
          <w:lang w:val="en-US" w:eastAsia="zh-CN"/>
        </w:rPr>
        <w:t>3</w:t>
      </w:r>
      <w:r>
        <w:rPr>
          <w:rFonts w:hint="eastAsia" w:ascii="微软雅黑" w:hAnsi="微软雅黑" w:eastAsia="微软雅黑" w:cs="微软雅黑"/>
          <w:color w:val="auto"/>
          <w:sz w:val="32"/>
          <w:szCs w:val="32"/>
          <w:highlight w:val="none"/>
        </w:rPr>
        <w:t>：</w:t>
      </w:r>
    </w:p>
    <w:p w14:paraId="0144D49A">
      <w:pPr>
        <w:spacing w:line="528" w:lineRule="exact"/>
        <w:ind w:left="1871"/>
        <w:rPr>
          <w:rFonts w:ascii="Arial Unicode MS" w:hAnsi="Arial Unicode MS" w:eastAsia="Arial Unicode MS" w:cs="Arial Unicode MS"/>
          <w:color w:val="auto"/>
          <w:sz w:val="40"/>
          <w:szCs w:val="40"/>
          <w:highlight w:val="none"/>
        </w:rPr>
      </w:pPr>
      <w:r>
        <w:rPr>
          <w:rFonts w:hint="eastAsia" w:ascii="微软雅黑" w:hAnsi="微软雅黑" w:eastAsia="微软雅黑" w:cs="微软雅黑"/>
          <w:color w:val="auto"/>
          <w:sz w:val="40"/>
          <w:szCs w:val="40"/>
          <w:highlight w:val="none"/>
        </w:rPr>
        <w:t>中小微企业划型标准</w:t>
      </w:r>
    </w:p>
    <w:tbl>
      <w:tblPr>
        <w:tblStyle w:val="33"/>
        <w:tblW w:w="7980" w:type="dxa"/>
        <w:jc w:val="center"/>
        <w:tblLayout w:type="fixed"/>
        <w:tblCellMar>
          <w:top w:w="0" w:type="dxa"/>
          <w:left w:w="108" w:type="dxa"/>
          <w:bottom w:w="0" w:type="dxa"/>
          <w:right w:w="108" w:type="dxa"/>
        </w:tblCellMar>
      </w:tblPr>
      <w:tblGrid>
        <w:gridCol w:w="1701"/>
        <w:gridCol w:w="1383"/>
        <w:gridCol w:w="913"/>
        <w:gridCol w:w="1619"/>
        <w:gridCol w:w="1439"/>
        <w:gridCol w:w="925"/>
      </w:tblGrid>
      <w:tr w14:paraId="7046DC3B">
        <w:tblPrEx>
          <w:tblCellMar>
            <w:top w:w="0" w:type="dxa"/>
            <w:left w:w="108" w:type="dxa"/>
            <w:bottom w:w="0" w:type="dxa"/>
            <w:right w:w="108" w:type="dxa"/>
          </w:tblCellMar>
        </w:tblPrEx>
        <w:trPr>
          <w:trHeight w:val="285" w:hRule="atLeast"/>
          <w:jc w:val="center"/>
        </w:trPr>
        <w:tc>
          <w:tcPr>
            <w:tcW w:w="1701" w:type="dxa"/>
            <w:tcBorders>
              <w:top w:val="single" w:color="auto" w:sz="4" w:space="0"/>
              <w:left w:val="single" w:color="auto" w:sz="4" w:space="0"/>
              <w:bottom w:val="single" w:color="auto" w:sz="4" w:space="0"/>
              <w:right w:val="single" w:color="auto" w:sz="4" w:space="0"/>
            </w:tcBorders>
            <w:noWrap w:val="0"/>
            <w:vAlign w:val="center"/>
          </w:tcPr>
          <w:p w14:paraId="77A4C902">
            <w:pPr>
              <w:keepNext w:val="0"/>
              <w:keepLines w:val="0"/>
              <w:widowControl/>
              <w:suppressLineNumbers w:val="0"/>
              <w:spacing w:before="0" w:beforeAutospacing="0" w:after="0" w:afterAutospacing="0"/>
              <w:ind w:left="0" w:right="0"/>
              <w:jc w:val="left"/>
              <w:rPr>
                <w:rFonts w:hint="default"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行业名称</w:t>
            </w:r>
          </w:p>
        </w:tc>
        <w:tc>
          <w:tcPr>
            <w:tcW w:w="1384" w:type="dxa"/>
            <w:tcBorders>
              <w:top w:val="single" w:color="auto" w:sz="4" w:space="0"/>
              <w:left w:val="nil"/>
              <w:bottom w:val="single" w:color="auto" w:sz="4" w:space="0"/>
              <w:right w:val="single" w:color="auto" w:sz="4" w:space="0"/>
            </w:tcBorders>
            <w:noWrap w:val="0"/>
            <w:vAlign w:val="center"/>
          </w:tcPr>
          <w:p w14:paraId="633C4521">
            <w:pPr>
              <w:keepNext w:val="0"/>
              <w:keepLines w:val="0"/>
              <w:widowControl/>
              <w:suppressLineNumbers w:val="0"/>
              <w:spacing w:before="0" w:beforeAutospacing="0" w:after="0" w:afterAutospacing="0"/>
              <w:ind w:left="0" w:right="0"/>
              <w:jc w:val="left"/>
              <w:rPr>
                <w:rFonts w:hint="default"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指标名称</w:t>
            </w:r>
          </w:p>
        </w:tc>
        <w:tc>
          <w:tcPr>
            <w:tcW w:w="913" w:type="dxa"/>
            <w:tcBorders>
              <w:top w:val="single" w:color="auto" w:sz="4" w:space="0"/>
              <w:left w:val="nil"/>
              <w:bottom w:val="single" w:color="auto" w:sz="4" w:space="0"/>
              <w:right w:val="single" w:color="auto" w:sz="4" w:space="0"/>
            </w:tcBorders>
            <w:noWrap w:val="0"/>
            <w:vAlign w:val="center"/>
          </w:tcPr>
          <w:p w14:paraId="34E7EDED">
            <w:pPr>
              <w:keepNext w:val="0"/>
              <w:keepLines w:val="0"/>
              <w:widowControl/>
              <w:suppressLineNumbers w:val="0"/>
              <w:spacing w:before="0" w:beforeAutospacing="0" w:after="0" w:afterAutospacing="0"/>
              <w:ind w:left="0" w:right="0"/>
              <w:jc w:val="left"/>
              <w:rPr>
                <w:rFonts w:hint="default"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计量单位</w:t>
            </w:r>
          </w:p>
        </w:tc>
        <w:tc>
          <w:tcPr>
            <w:tcW w:w="1620" w:type="dxa"/>
            <w:tcBorders>
              <w:top w:val="single" w:color="auto" w:sz="4" w:space="0"/>
              <w:left w:val="nil"/>
              <w:bottom w:val="single" w:color="auto" w:sz="4" w:space="0"/>
              <w:right w:val="single" w:color="auto" w:sz="4" w:space="0"/>
            </w:tcBorders>
            <w:noWrap w:val="0"/>
            <w:vAlign w:val="center"/>
          </w:tcPr>
          <w:p w14:paraId="192A2922">
            <w:pPr>
              <w:keepNext w:val="0"/>
              <w:keepLines w:val="0"/>
              <w:widowControl/>
              <w:suppressLineNumbers w:val="0"/>
              <w:spacing w:before="0" w:beforeAutospacing="0" w:after="0" w:afterAutospacing="0"/>
              <w:ind w:left="0" w:right="0"/>
              <w:jc w:val="left"/>
              <w:rPr>
                <w:rFonts w:hint="default"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中型</w:t>
            </w:r>
          </w:p>
        </w:tc>
        <w:tc>
          <w:tcPr>
            <w:tcW w:w="1440" w:type="dxa"/>
            <w:tcBorders>
              <w:top w:val="single" w:color="auto" w:sz="4" w:space="0"/>
              <w:left w:val="nil"/>
              <w:bottom w:val="single" w:color="auto" w:sz="4" w:space="0"/>
              <w:right w:val="single" w:color="auto" w:sz="4" w:space="0"/>
            </w:tcBorders>
            <w:noWrap w:val="0"/>
            <w:vAlign w:val="center"/>
          </w:tcPr>
          <w:p w14:paraId="7F49BECB">
            <w:pPr>
              <w:keepNext w:val="0"/>
              <w:keepLines w:val="0"/>
              <w:widowControl/>
              <w:suppressLineNumbers w:val="0"/>
              <w:spacing w:before="0" w:beforeAutospacing="0" w:after="0" w:afterAutospacing="0"/>
              <w:ind w:left="0" w:right="0"/>
              <w:jc w:val="left"/>
              <w:rPr>
                <w:rFonts w:hint="default"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小型</w:t>
            </w:r>
          </w:p>
        </w:tc>
        <w:tc>
          <w:tcPr>
            <w:tcW w:w="925" w:type="dxa"/>
            <w:tcBorders>
              <w:top w:val="single" w:color="auto" w:sz="4" w:space="0"/>
              <w:left w:val="nil"/>
              <w:bottom w:val="single" w:color="auto" w:sz="4" w:space="0"/>
              <w:right w:val="single" w:color="auto" w:sz="4" w:space="0"/>
            </w:tcBorders>
            <w:noWrap w:val="0"/>
            <w:vAlign w:val="center"/>
          </w:tcPr>
          <w:p w14:paraId="2E00233E">
            <w:pPr>
              <w:keepNext w:val="0"/>
              <w:keepLines w:val="0"/>
              <w:widowControl/>
              <w:suppressLineNumbers w:val="0"/>
              <w:spacing w:before="0" w:beforeAutospacing="0" w:after="0" w:afterAutospacing="0"/>
              <w:ind w:left="0" w:right="0"/>
              <w:jc w:val="left"/>
              <w:rPr>
                <w:rFonts w:hint="default"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微型</w:t>
            </w:r>
          </w:p>
        </w:tc>
      </w:tr>
      <w:tr w14:paraId="3D1F9C3D">
        <w:tblPrEx>
          <w:tblCellMar>
            <w:top w:w="0" w:type="dxa"/>
            <w:left w:w="108" w:type="dxa"/>
            <w:bottom w:w="0" w:type="dxa"/>
            <w:right w:w="108" w:type="dxa"/>
          </w:tblCellMar>
        </w:tblPrEx>
        <w:trPr>
          <w:trHeight w:val="225" w:hRule="atLeast"/>
          <w:jc w:val="center"/>
        </w:trPr>
        <w:tc>
          <w:tcPr>
            <w:tcW w:w="1701" w:type="dxa"/>
            <w:tcBorders>
              <w:top w:val="nil"/>
              <w:left w:val="single" w:color="auto" w:sz="4" w:space="0"/>
              <w:bottom w:val="single" w:color="auto" w:sz="4" w:space="0"/>
              <w:right w:val="single" w:color="auto" w:sz="4" w:space="0"/>
            </w:tcBorders>
            <w:noWrap w:val="0"/>
            <w:vAlign w:val="bottom"/>
          </w:tcPr>
          <w:p w14:paraId="7D54C6C7">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农、林、牧、渔</w:t>
            </w:r>
          </w:p>
        </w:tc>
        <w:tc>
          <w:tcPr>
            <w:tcW w:w="1384" w:type="dxa"/>
            <w:tcBorders>
              <w:top w:val="nil"/>
              <w:left w:val="nil"/>
              <w:bottom w:val="single" w:color="auto" w:sz="4" w:space="0"/>
              <w:right w:val="single" w:color="auto" w:sz="4" w:space="0"/>
            </w:tcBorders>
            <w:noWrap w:val="0"/>
            <w:vAlign w:val="center"/>
          </w:tcPr>
          <w:p w14:paraId="3E0CADC9">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35035829">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635D8B6B">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500≤Y＜20000</w:t>
            </w:r>
          </w:p>
        </w:tc>
        <w:tc>
          <w:tcPr>
            <w:tcW w:w="1440" w:type="dxa"/>
            <w:tcBorders>
              <w:top w:val="nil"/>
              <w:left w:val="nil"/>
              <w:bottom w:val="single" w:color="auto" w:sz="4" w:space="0"/>
              <w:right w:val="single" w:color="auto" w:sz="4" w:space="0"/>
            </w:tcBorders>
            <w:noWrap w:val="0"/>
            <w:vAlign w:val="center"/>
          </w:tcPr>
          <w:p w14:paraId="09C25510">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50≤Y＜500</w:t>
            </w:r>
          </w:p>
        </w:tc>
        <w:tc>
          <w:tcPr>
            <w:tcW w:w="925" w:type="dxa"/>
            <w:tcBorders>
              <w:top w:val="nil"/>
              <w:left w:val="nil"/>
              <w:bottom w:val="single" w:color="auto" w:sz="4" w:space="0"/>
              <w:right w:val="single" w:color="auto" w:sz="4" w:space="0"/>
            </w:tcBorders>
            <w:noWrap w:val="0"/>
            <w:vAlign w:val="center"/>
          </w:tcPr>
          <w:p w14:paraId="0B81235E">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w:t>
            </w:r>
          </w:p>
        </w:tc>
      </w:tr>
      <w:tr w14:paraId="1C56C5A8">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noWrap w:val="0"/>
            <w:vAlign w:val="bottom"/>
          </w:tcPr>
          <w:p w14:paraId="1CEFB0D5">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工业</w:t>
            </w:r>
          </w:p>
        </w:tc>
        <w:tc>
          <w:tcPr>
            <w:tcW w:w="1384" w:type="dxa"/>
            <w:tcBorders>
              <w:top w:val="nil"/>
              <w:left w:val="nil"/>
              <w:bottom w:val="single" w:color="auto" w:sz="4" w:space="0"/>
              <w:right w:val="single" w:color="auto" w:sz="4" w:space="0"/>
            </w:tcBorders>
            <w:noWrap w:val="0"/>
            <w:vAlign w:val="center"/>
          </w:tcPr>
          <w:p w14:paraId="066984D7">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63257CC0">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35326A3B">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440" w:type="dxa"/>
            <w:tcBorders>
              <w:top w:val="nil"/>
              <w:left w:val="nil"/>
              <w:bottom w:val="single" w:color="auto" w:sz="4" w:space="0"/>
              <w:right w:val="single" w:color="auto" w:sz="4" w:space="0"/>
            </w:tcBorders>
            <w:noWrap w:val="0"/>
            <w:vAlign w:val="center"/>
          </w:tcPr>
          <w:p w14:paraId="2A08DEE4">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925" w:type="dxa"/>
            <w:tcBorders>
              <w:top w:val="nil"/>
              <w:left w:val="nil"/>
              <w:bottom w:val="single" w:color="auto" w:sz="4" w:space="0"/>
              <w:right w:val="single" w:color="auto" w:sz="4" w:space="0"/>
            </w:tcBorders>
            <w:noWrap w:val="0"/>
            <w:vAlign w:val="center"/>
          </w:tcPr>
          <w:p w14:paraId="323DD27D">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340C5295">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noWrap w:val="0"/>
            <w:vAlign w:val="center"/>
          </w:tcPr>
          <w:p w14:paraId="1D2DA1C5">
            <w:pPr>
              <w:keepNext w:val="0"/>
              <w:keepLines w:val="0"/>
              <w:widowControl/>
              <w:suppressLineNumbers w:val="0"/>
              <w:spacing w:before="0" w:beforeAutospacing="0" w:after="0" w:afterAutospacing="0"/>
              <w:ind w:left="0" w:right="0"/>
              <w:jc w:val="left"/>
              <w:rPr>
                <w:rFonts w:hint="default"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091B2F3D">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10F9A604">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0AF41228">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2000≤Y＜40000</w:t>
            </w:r>
          </w:p>
        </w:tc>
        <w:tc>
          <w:tcPr>
            <w:tcW w:w="1440" w:type="dxa"/>
            <w:tcBorders>
              <w:top w:val="nil"/>
              <w:left w:val="nil"/>
              <w:bottom w:val="single" w:color="auto" w:sz="4" w:space="0"/>
              <w:right w:val="single" w:color="auto" w:sz="4" w:space="0"/>
            </w:tcBorders>
            <w:noWrap w:val="0"/>
            <w:vAlign w:val="center"/>
          </w:tcPr>
          <w:p w14:paraId="0BE3DB1B">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300≤Y＜2000</w:t>
            </w:r>
          </w:p>
        </w:tc>
        <w:tc>
          <w:tcPr>
            <w:tcW w:w="925" w:type="dxa"/>
            <w:tcBorders>
              <w:top w:val="nil"/>
              <w:left w:val="nil"/>
              <w:bottom w:val="single" w:color="auto" w:sz="4" w:space="0"/>
              <w:right w:val="single" w:color="auto" w:sz="4" w:space="0"/>
            </w:tcBorders>
            <w:noWrap w:val="0"/>
            <w:vAlign w:val="center"/>
          </w:tcPr>
          <w:p w14:paraId="1A230573">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Y＜300</w:t>
            </w:r>
          </w:p>
        </w:tc>
      </w:tr>
      <w:tr w14:paraId="271A7E75">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noWrap w:val="0"/>
            <w:vAlign w:val="bottom"/>
          </w:tcPr>
          <w:p w14:paraId="51241C39">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建筑业</w:t>
            </w:r>
          </w:p>
        </w:tc>
        <w:tc>
          <w:tcPr>
            <w:tcW w:w="1384" w:type="dxa"/>
            <w:tcBorders>
              <w:top w:val="nil"/>
              <w:left w:val="nil"/>
              <w:bottom w:val="single" w:color="auto" w:sz="4" w:space="0"/>
              <w:right w:val="single" w:color="auto" w:sz="4" w:space="0"/>
            </w:tcBorders>
            <w:noWrap w:val="0"/>
            <w:vAlign w:val="center"/>
          </w:tcPr>
          <w:p w14:paraId="5CC1FE88">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58BAB3E2">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557106B9">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6000≤Y＜80000</w:t>
            </w:r>
          </w:p>
        </w:tc>
        <w:tc>
          <w:tcPr>
            <w:tcW w:w="1440" w:type="dxa"/>
            <w:tcBorders>
              <w:top w:val="nil"/>
              <w:left w:val="nil"/>
              <w:bottom w:val="single" w:color="auto" w:sz="4" w:space="0"/>
              <w:right w:val="single" w:color="auto" w:sz="4" w:space="0"/>
            </w:tcBorders>
            <w:noWrap w:val="0"/>
            <w:vAlign w:val="center"/>
          </w:tcPr>
          <w:p w14:paraId="009F0DF9">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300≤Y＜6000</w:t>
            </w:r>
          </w:p>
        </w:tc>
        <w:tc>
          <w:tcPr>
            <w:tcW w:w="925" w:type="dxa"/>
            <w:tcBorders>
              <w:top w:val="nil"/>
              <w:left w:val="nil"/>
              <w:bottom w:val="single" w:color="auto" w:sz="4" w:space="0"/>
              <w:right w:val="single" w:color="auto" w:sz="4" w:space="0"/>
            </w:tcBorders>
            <w:noWrap w:val="0"/>
            <w:vAlign w:val="center"/>
          </w:tcPr>
          <w:p w14:paraId="0C2E33E8">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Y＜300</w:t>
            </w:r>
          </w:p>
        </w:tc>
      </w:tr>
      <w:tr w14:paraId="0DA33E3D">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noWrap w:val="0"/>
            <w:vAlign w:val="center"/>
          </w:tcPr>
          <w:p w14:paraId="0896B369">
            <w:pPr>
              <w:keepNext w:val="0"/>
              <w:keepLines w:val="0"/>
              <w:widowControl/>
              <w:suppressLineNumbers w:val="0"/>
              <w:spacing w:before="0" w:beforeAutospacing="0" w:after="0" w:afterAutospacing="0"/>
              <w:ind w:left="0" w:right="0"/>
              <w:jc w:val="left"/>
              <w:rPr>
                <w:rFonts w:hint="default"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22ECBEC1">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noWrap w:val="0"/>
            <w:vAlign w:val="center"/>
          </w:tcPr>
          <w:p w14:paraId="48548D2B">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46C4A2DF">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5000≤Z＜80000</w:t>
            </w:r>
          </w:p>
        </w:tc>
        <w:tc>
          <w:tcPr>
            <w:tcW w:w="1440" w:type="dxa"/>
            <w:tcBorders>
              <w:top w:val="nil"/>
              <w:left w:val="nil"/>
              <w:bottom w:val="single" w:color="auto" w:sz="4" w:space="0"/>
              <w:right w:val="single" w:color="auto" w:sz="4" w:space="0"/>
            </w:tcBorders>
            <w:noWrap w:val="0"/>
            <w:vAlign w:val="center"/>
          </w:tcPr>
          <w:p w14:paraId="58101472">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300≤Z＜5000</w:t>
            </w:r>
          </w:p>
        </w:tc>
        <w:tc>
          <w:tcPr>
            <w:tcW w:w="925" w:type="dxa"/>
            <w:tcBorders>
              <w:top w:val="nil"/>
              <w:left w:val="nil"/>
              <w:bottom w:val="single" w:color="auto" w:sz="4" w:space="0"/>
              <w:right w:val="single" w:color="auto" w:sz="4" w:space="0"/>
            </w:tcBorders>
            <w:noWrap w:val="0"/>
            <w:vAlign w:val="center"/>
          </w:tcPr>
          <w:p w14:paraId="1AA3DD1B">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Z＜300</w:t>
            </w:r>
          </w:p>
        </w:tc>
      </w:tr>
      <w:tr w14:paraId="3F0F96D5">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noWrap w:val="0"/>
            <w:vAlign w:val="bottom"/>
          </w:tcPr>
          <w:p w14:paraId="6CBEC022">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批发业</w:t>
            </w:r>
          </w:p>
        </w:tc>
        <w:tc>
          <w:tcPr>
            <w:tcW w:w="1384" w:type="dxa"/>
            <w:tcBorders>
              <w:top w:val="nil"/>
              <w:left w:val="nil"/>
              <w:bottom w:val="single" w:color="auto" w:sz="4" w:space="0"/>
              <w:right w:val="single" w:color="auto" w:sz="4" w:space="0"/>
            </w:tcBorders>
            <w:noWrap w:val="0"/>
            <w:vAlign w:val="center"/>
          </w:tcPr>
          <w:p w14:paraId="3764FF31">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204BD227">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022FA2BA">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20≤X＜200</w:t>
            </w:r>
          </w:p>
        </w:tc>
        <w:tc>
          <w:tcPr>
            <w:tcW w:w="1440" w:type="dxa"/>
            <w:tcBorders>
              <w:top w:val="nil"/>
              <w:left w:val="nil"/>
              <w:bottom w:val="single" w:color="auto" w:sz="4" w:space="0"/>
              <w:right w:val="single" w:color="auto" w:sz="4" w:space="0"/>
            </w:tcBorders>
            <w:noWrap w:val="0"/>
            <w:vAlign w:val="center"/>
          </w:tcPr>
          <w:p w14:paraId="4831A1A9">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5≤X＜20</w:t>
            </w:r>
          </w:p>
        </w:tc>
        <w:tc>
          <w:tcPr>
            <w:tcW w:w="925" w:type="dxa"/>
            <w:tcBorders>
              <w:top w:val="nil"/>
              <w:left w:val="nil"/>
              <w:bottom w:val="single" w:color="auto" w:sz="4" w:space="0"/>
              <w:right w:val="single" w:color="auto" w:sz="4" w:space="0"/>
            </w:tcBorders>
            <w:noWrap w:val="0"/>
            <w:vAlign w:val="center"/>
          </w:tcPr>
          <w:p w14:paraId="6FA47BE8">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X＜5</w:t>
            </w:r>
          </w:p>
        </w:tc>
      </w:tr>
      <w:tr w14:paraId="5EDE537C">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noWrap w:val="0"/>
            <w:vAlign w:val="center"/>
          </w:tcPr>
          <w:p w14:paraId="262FD962">
            <w:pPr>
              <w:keepNext w:val="0"/>
              <w:keepLines w:val="0"/>
              <w:widowControl/>
              <w:suppressLineNumbers w:val="0"/>
              <w:spacing w:before="0" w:beforeAutospacing="0" w:after="0" w:afterAutospacing="0"/>
              <w:ind w:left="0" w:right="0"/>
              <w:jc w:val="left"/>
              <w:rPr>
                <w:rFonts w:hint="default"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3F99E2CD">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1B3BB80E">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6D6FAA44">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5000≤Y＜40000</w:t>
            </w:r>
          </w:p>
        </w:tc>
        <w:tc>
          <w:tcPr>
            <w:tcW w:w="1440" w:type="dxa"/>
            <w:tcBorders>
              <w:top w:val="nil"/>
              <w:left w:val="nil"/>
              <w:bottom w:val="single" w:color="auto" w:sz="4" w:space="0"/>
              <w:right w:val="single" w:color="auto" w:sz="4" w:space="0"/>
            </w:tcBorders>
            <w:noWrap w:val="0"/>
            <w:vAlign w:val="center"/>
          </w:tcPr>
          <w:p w14:paraId="3678BC6F">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1000≤Y＜5000</w:t>
            </w:r>
          </w:p>
        </w:tc>
        <w:tc>
          <w:tcPr>
            <w:tcW w:w="925" w:type="dxa"/>
            <w:tcBorders>
              <w:top w:val="nil"/>
              <w:left w:val="nil"/>
              <w:bottom w:val="single" w:color="auto" w:sz="4" w:space="0"/>
              <w:right w:val="single" w:color="auto" w:sz="4" w:space="0"/>
            </w:tcBorders>
            <w:noWrap w:val="0"/>
            <w:vAlign w:val="center"/>
          </w:tcPr>
          <w:p w14:paraId="5DF86DDF">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Y＜1000</w:t>
            </w:r>
          </w:p>
        </w:tc>
      </w:tr>
      <w:tr w14:paraId="7BF01458">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noWrap w:val="0"/>
            <w:vAlign w:val="bottom"/>
          </w:tcPr>
          <w:p w14:paraId="5F0D6F74">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零售业</w:t>
            </w:r>
          </w:p>
        </w:tc>
        <w:tc>
          <w:tcPr>
            <w:tcW w:w="1384" w:type="dxa"/>
            <w:tcBorders>
              <w:top w:val="nil"/>
              <w:left w:val="nil"/>
              <w:bottom w:val="single" w:color="auto" w:sz="4" w:space="0"/>
              <w:right w:val="single" w:color="auto" w:sz="4" w:space="0"/>
            </w:tcBorders>
            <w:noWrap w:val="0"/>
            <w:vAlign w:val="center"/>
          </w:tcPr>
          <w:p w14:paraId="412877C9">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53E1946D">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37860C36">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50≤X＜300</w:t>
            </w:r>
          </w:p>
        </w:tc>
        <w:tc>
          <w:tcPr>
            <w:tcW w:w="1440" w:type="dxa"/>
            <w:tcBorders>
              <w:top w:val="nil"/>
              <w:left w:val="nil"/>
              <w:bottom w:val="single" w:color="auto" w:sz="4" w:space="0"/>
              <w:right w:val="single" w:color="auto" w:sz="4" w:space="0"/>
            </w:tcBorders>
            <w:noWrap w:val="0"/>
            <w:vAlign w:val="center"/>
          </w:tcPr>
          <w:p w14:paraId="4CE8BD14">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10≤X＜50</w:t>
            </w:r>
          </w:p>
        </w:tc>
        <w:tc>
          <w:tcPr>
            <w:tcW w:w="925" w:type="dxa"/>
            <w:tcBorders>
              <w:top w:val="nil"/>
              <w:left w:val="nil"/>
              <w:bottom w:val="single" w:color="auto" w:sz="4" w:space="0"/>
              <w:right w:val="single" w:color="auto" w:sz="4" w:space="0"/>
            </w:tcBorders>
            <w:noWrap w:val="0"/>
            <w:vAlign w:val="center"/>
          </w:tcPr>
          <w:p w14:paraId="0A4B7699">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21592D84">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noWrap w:val="0"/>
            <w:vAlign w:val="center"/>
          </w:tcPr>
          <w:p w14:paraId="242AE403">
            <w:pPr>
              <w:keepNext w:val="0"/>
              <w:keepLines w:val="0"/>
              <w:widowControl/>
              <w:suppressLineNumbers w:val="0"/>
              <w:spacing w:before="0" w:beforeAutospacing="0" w:after="0" w:afterAutospacing="0"/>
              <w:ind w:left="0" w:right="0"/>
              <w:jc w:val="left"/>
              <w:rPr>
                <w:rFonts w:hint="default"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5374C086">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731A051A">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4A72B39E">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500≤Y＜20000</w:t>
            </w:r>
          </w:p>
        </w:tc>
        <w:tc>
          <w:tcPr>
            <w:tcW w:w="1440" w:type="dxa"/>
            <w:tcBorders>
              <w:top w:val="nil"/>
              <w:left w:val="nil"/>
              <w:bottom w:val="single" w:color="auto" w:sz="4" w:space="0"/>
              <w:right w:val="single" w:color="auto" w:sz="4" w:space="0"/>
            </w:tcBorders>
            <w:noWrap w:val="0"/>
            <w:vAlign w:val="center"/>
          </w:tcPr>
          <w:p w14:paraId="5609EA3C">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100≤Y＜500</w:t>
            </w:r>
          </w:p>
        </w:tc>
        <w:tc>
          <w:tcPr>
            <w:tcW w:w="925" w:type="dxa"/>
            <w:tcBorders>
              <w:top w:val="nil"/>
              <w:left w:val="nil"/>
              <w:bottom w:val="single" w:color="auto" w:sz="4" w:space="0"/>
              <w:right w:val="single" w:color="auto" w:sz="4" w:space="0"/>
            </w:tcBorders>
            <w:noWrap w:val="0"/>
            <w:vAlign w:val="center"/>
          </w:tcPr>
          <w:p w14:paraId="25F49687">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471A7BD0">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noWrap w:val="0"/>
            <w:vAlign w:val="bottom"/>
          </w:tcPr>
          <w:p w14:paraId="5071275D">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交通运输业</w:t>
            </w:r>
          </w:p>
        </w:tc>
        <w:tc>
          <w:tcPr>
            <w:tcW w:w="1384" w:type="dxa"/>
            <w:tcBorders>
              <w:top w:val="nil"/>
              <w:left w:val="nil"/>
              <w:bottom w:val="single" w:color="auto" w:sz="4" w:space="0"/>
              <w:right w:val="single" w:color="auto" w:sz="4" w:space="0"/>
            </w:tcBorders>
            <w:noWrap w:val="0"/>
            <w:vAlign w:val="center"/>
          </w:tcPr>
          <w:p w14:paraId="0032CE3D">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5997C6C3">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25ACDE4D">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440" w:type="dxa"/>
            <w:tcBorders>
              <w:top w:val="nil"/>
              <w:left w:val="nil"/>
              <w:bottom w:val="single" w:color="auto" w:sz="4" w:space="0"/>
              <w:right w:val="single" w:color="auto" w:sz="4" w:space="0"/>
            </w:tcBorders>
            <w:noWrap w:val="0"/>
            <w:vAlign w:val="center"/>
          </w:tcPr>
          <w:p w14:paraId="026B8070">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925" w:type="dxa"/>
            <w:tcBorders>
              <w:top w:val="nil"/>
              <w:left w:val="nil"/>
              <w:bottom w:val="single" w:color="auto" w:sz="4" w:space="0"/>
              <w:right w:val="single" w:color="auto" w:sz="4" w:space="0"/>
            </w:tcBorders>
            <w:noWrap w:val="0"/>
            <w:vAlign w:val="center"/>
          </w:tcPr>
          <w:p w14:paraId="6A2F380E">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70772E19">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noWrap w:val="0"/>
            <w:vAlign w:val="center"/>
          </w:tcPr>
          <w:p w14:paraId="142390A1">
            <w:pPr>
              <w:keepNext w:val="0"/>
              <w:keepLines w:val="0"/>
              <w:widowControl/>
              <w:suppressLineNumbers w:val="0"/>
              <w:spacing w:before="0" w:beforeAutospacing="0" w:after="0" w:afterAutospacing="0"/>
              <w:ind w:left="0" w:right="0"/>
              <w:jc w:val="left"/>
              <w:rPr>
                <w:rFonts w:hint="default"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508BA3EA">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7C1CC76E">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2A9BF084">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3000≤Y＜30000</w:t>
            </w:r>
          </w:p>
        </w:tc>
        <w:tc>
          <w:tcPr>
            <w:tcW w:w="1440" w:type="dxa"/>
            <w:tcBorders>
              <w:top w:val="nil"/>
              <w:left w:val="nil"/>
              <w:bottom w:val="single" w:color="auto" w:sz="4" w:space="0"/>
              <w:right w:val="single" w:color="auto" w:sz="4" w:space="0"/>
            </w:tcBorders>
            <w:noWrap w:val="0"/>
            <w:vAlign w:val="center"/>
          </w:tcPr>
          <w:p w14:paraId="7FC60FF2">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200≤Y＜3000</w:t>
            </w:r>
          </w:p>
        </w:tc>
        <w:tc>
          <w:tcPr>
            <w:tcW w:w="925" w:type="dxa"/>
            <w:tcBorders>
              <w:top w:val="nil"/>
              <w:left w:val="nil"/>
              <w:bottom w:val="single" w:color="auto" w:sz="4" w:space="0"/>
              <w:right w:val="single" w:color="auto" w:sz="4" w:space="0"/>
            </w:tcBorders>
            <w:noWrap w:val="0"/>
            <w:vAlign w:val="center"/>
          </w:tcPr>
          <w:p w14:paraId="7E7463BB">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Y＜200</w:t>
            </w:r>
          </w:p>
        </w:tc>
      </w:tr>
      <w:tr w14:paraId="66653E14">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noWrap w:val="0"/>
            <w:vAlign w:val="bottom"/>
          </w:tcPr>
          <w:p w14:paraId="70508ADD">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仓储业</w:t>
            </w:r>
          </w:p>
        </w:tc>
        <w:tc>
          <w:tcPr>
            <w:tcW w:w="1384" w:type="dxa"/>
            <w:tcBorders>
              <w:top w:val="nil"/>
              <w:left w:val="nil"/>
              <w:bottom w:val="single" w:color="auto" w:sz="4" w:space="0"/>
              <w:right w:val="single" w:color="auto" w:sz="4" w:space="0"/>
            </w:tcBorders>
            <w:noWrap w:val="0"/>
            <w:vAlign w:val="center"/>
          </w:tcPr>
          <w:p w14:paraId="3B154534">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17761AF5">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25508A21">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100≤X＜200</w:t>
            </w:r>
          </w:p>
        </w:tc>
        <w:tc>
          <w:tcPr>
            <w:tcW w:w="1440" w:type="dxa"/>
            <w:tcBorders>
              <w:top w:val="nil"/>
              <w:left w:val="nil"/>
              <w:bottom w:val="single" w:color="auto" w:sz="4" w:space="0"/>
              <w:right w:val="single" w:color="auto" w:sz="4" w:space="0"/>
            </w:tcBorders>
            <w:noWrap w:val="0"/>
            <w:vAlign w:val="center"/>
          </w:tcPr>
          <w:p w14:paraId="4060C863">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20≤X＜100</w:t>
            </w:r>
          </w:p>
        </w:tc>
        <w:tc>
          <w:tcPr>
            <w:tcW w:w="925" w:type="dxa"/>
            <w:tcBorders>
              <w:top w:val="nil"/>
              <w:left w:val="nil"/>
              <w:bottom w:val="single" w:color="auto" w:sz="4" w:space="0"/>
              <w:right w:val="single" w:color="auto" w:sz="4" w:space="0"/>
            </w:tcBorders>
            <w:noWrap w:val="0"/>
            <w:vAlign w:val="center"/>
          </w:tcPr>
          <w:p w14:paraId="3254F7CD">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200A62A3">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noWrap w:val="0"/>
            <w:vAlign w:val="center"/>
          </w:tcPr>
          <w:p w14:paraId="7E9CF308">
            <w:pPr>
              <w:keepNext w:val="0"/>
              <w:keepLines w:val="0"/>
              <w:widowControl/>
              <w:suppressLineNumbers w:val="0"/>
              <w:spacing w:before="0" w:beforeAutospacing="0" w:after="0" w:afterAutospacing="0"/>
              <w:ind w:left="0" w:right="0"/>
              <w:jc w:val="left"/>
              <w:rPr>
                <w:rFonts w:hint="default"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35549DF7">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57868792">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11DF4E63">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1000≤Y＜30000</w:t>
            </w:r>
          </w:p>
        </w:tc>
        <w:tc>
          <w:tcPr>
            <w:tcW w:w="1440" w:type="dxa"/>
            <w:tcBorders>
              <w:top w:val="nil"/>
              <w:left w:val="nil"/>
              <w:bottom w:val="single" w:color="auto" w:sz="4" w:space="0"/>
              <w:right w:val="single" w:color="auto" w:sz="4" w:space="0"/>
            </w:tcBorders>
            <w:noWrap w:val="0"/>
            <w:vAlign w:val="center"/>
          </w:tcPr>
          <w:p w14:paraId="386F130A">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100≤Y＜1000</w:t>
            </w:r>
          </w:p>
        </w:tc>
        <w:tc>
          <w:tcPr>
            <w:tcW w:w="925" w:type="dxa"/>
            <w:tcBorders>
              <w:top w:val="nil"/>
              <w:left w:val="nil"/>
              <w:bottom w:val="single" w:color="auto" w:sz="4" w:space="0"/>
              <w:right w:val="single" w:color="auto" w:sz="4" w:space="0"/>
            </w:tcBorders>
            <w:noWrap w:val="0"/>
            <w:vAlign w:val="center"/>
          </w:tcPr>
          <w:p w14:paraId="3AD3A289">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36AAF589">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noWrap w:val="0"/>
            <w:vAlign w:val="bottom"/>
          </w:tcPr>
          <w:p w14:paraId="1E76DEF4">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邮政业</w:t>
            </w:r>
          </w:p>
        </w:tc>
        <w:tc>
          <w:tcPr>
            <w:tcW w:w="1384" w:type="dxa"/>
            <w:tcBorders>
              <w:top w:val="nil"/>
              <w:left w:val="nil"/>
              <w:bottom w:val="single" w:color="auto" w:sz="4" w:space="0"/>
              <w:right w:val="single" w:color="auto" w:sz="4" w:space="0"/>
            </w:tcBorders>
            <w:noWrap w:val="0"/>
            <w:vAlign w:val="center"/>
          </w:tcPr>
          <w:p w14:paraId="03C9CD11">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61EB3814">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32DB8C81">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440" w:type="dxa"/>
            <w:tcBorders>
              <w:top w:val="nil"/>
              <w:left w:val="nil"/>
              <w:bottom w:val="single" w:color="auto" w:sz="4" w:space="0"/>
              <w:right w:val="single" w:color="auto" w:sz="4" w:space="0"/>
            </w:tcBorders>
            <w:noWrap w:val="0"/>
            <w:vAlign w:val="center"/>
          </w:tcPr>
          <w:p w14:paraId="7C20CC63">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925" w:type="dxa"/>
            <w:tcBorders>
              <w:top w:val="nil"/>
              <w:left w:val="nil"/>
              <w:bottom w:val="single" w:color="auto" w:sz="4" w:space="0"/>
              <w:right w:val="single" w:color="auto" w:sz="4" w:space="0"/>
            </w:tcBorders>
            <w:noWrap w:val="0"/>
            <w:vAlign w:val="center"/>
          </w:tcPr>
          <w:p w14:paraId="547AEC79">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12F028F8">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noWrap w:val="0"/>
            <w:vAlign w:val="center"/>
          </w:tcPr>
          <w:p w14:paraId="2622F61D">
            <w:pPr>
              <w:keepNext w:val="0"/>
              <w:keepLines w:val="0"/>
              <w:widowControl/>
              <w:suppressLineNumbers w:val="0"/>
              <w:spacing w:before="0" w:beforeAutospacing="0" w:after="0" w:afterAutospacing="0"/>
              <w:ind w:left="0" w:right="0"/>
              <w:jc w:val="left"/>
              <w:rPr>
                <w:rFonts w:hint="default"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139A720C">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58B64852">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5D039DBC">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2000≤Y＜30000</w:t>
            </w:r>
          </w:p>
        </w:tc>
        <w:tc>
          <w:tcPr>
            <w:tcW w:w="1440" w:type="dxa"/>
            <w:tcBorders>
              <w:top w:val="nil"/>
              <w:left w:val="nil"/>
              <w:bottom w:val="single" w:color="auto" w:sz="4" w:space="0"/>
              <w:right w:val="single" w:color="auto" w:sz="4" w:space="0"/>
            </w:tcBorders>
            <w:noWrap w:val="0"/>
            <w:vAlign w:val="center"/>
          </w:tcPr>
          <w:p w14:paraId="15234F70">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925" w:type="dxa"/>
            <w:tcBorders>
              <w:top w:val="nil"/>
              <w:left w:val="nil"/>
              <w:bottom w:val="single" w:color="auto" w:sz="4" w:space="0"/>
              <w:right w:val="single" w:color="auto" w:sz="4" w:space="0"/>
            </w:tcBorders>
            <w:noWrap w:val="0"/>
            <w:vAlign w:val="center"/>
          </w:tcPr>
          <w:p w14:paraId="5F3902B8">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08BF9F21">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noWrap w:val="0"/>
            <w:vAlign w:val="bottom"/>
          </w:tcPr>
          <w:p w14:paraId="6E2EF82D">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住宿业</w:t>
            </w:r>
          </w:p>
        </w:tc>
        <w:tc>
          <w:tcPr>
            <w:tcW w:w="1384" w:type="dxa"/>
            <w:tcBorders>
              <w:top w:val="nil"/>
              <w:left w:val="nil"/>
              <w:bottom w:val="single" w:color="auto" w:sz="4" w:space="0"/>
              <w:right w:val="single" w:color="auto" w:sz="4" w:space="0"/>
            </w:tcBorders>
            <w:noWrap w:val="0"/>
            <w:vAlign w:val="center"/>
          </w:tcPr>
          <w:p w14:paraId="7E1D0150">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17D228BE">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697F32C3">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14:paraId="5864C832">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14F8EB51">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2EF9617D">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noWrap w:val="0"/>
            <w:vAlign w:val="center"/>
          </w:tcPr>
          <w:p w14:paraId="04D70350">
            <w:pPr>
              <w:keepNext w:val="0"/>
              <w:keepLines w:val="0"/>
              <w:widowControl/>
              <w:suppressLineNumbers w:val="0"/>
              <w:spacing w:before="0" w:beforeAutospacing="0" w:after="0" w:afterAutospacing="0"/>
              <w:ind w:left="0" w:right="0"/>
              <w:jc w:val="left"/>
              <w:rPr>
                <w:rFonts w:hint="default"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02184A06">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31305F55">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5FC9B33A">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2000≤Y＜10000</w:t>
            </w:r>
          </w:p>
        </w:tc>
        <w:tc>
          <w:tcPr>
            <w:tcW w:w="1440" w:type="dxa"/>
            <w:tcBorders>
              <w:top w:val="nil"/>
              <w:left w:val="nil"/>
              <w:bottom w:val="single" w:color="auto" w:sz="4" w:space="0"/>
              <w:right w:val="single" w:color="auto" w:sz="4" w:space="0"/>
            </w:tcBorders>
            <w:noWrap w:val="0"/>
            <w:vAlign w:val="center"/>
          </w:tcPr>
          <w:p w14:paraId="5FF3BEF2">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925" w:type="dxa"/>
            <w:tcBorders>
              <w:top w:val="nil"/>
              <w:left w:val="nil"/>
              <w:bottom w:val="single" w:color="auto" w:sz="4" w:space="0"/>
              <w:right w:val="single" w:color="auto" w:sz="4" w:space="0"/>
            </w:tcBorders>
            <w:noWrap w:val="0"/>
            <w:vAlign w:val="center"/>
          </w:tcPr>
          <w:p w14:paraId="713C1E3F">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36A074C7">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noWrap w:val="0"/>
            <w:vAlign w:val="bottom"/>
          </w:tcPr>
          <w:p w14:paraId="76012439">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餐饮业</w:t>
            </w:r>
          </w:p>
        </w:tc>
        <w:tc>
          <w:tcPr>
            <w:tcW w:w="1384" w:type="dxa"/>
            <w:tcBorders>
              <w:top w:val="nil"/>
              <w:left w:val="nil"/>
              <w:bottom w:val="single" w:color="auto" w:sz="4" w:space="0"/>
              <w:right w:val="single" w:color="auto" w:sz="4" w:space="0"/>
            </w:tcBorders>
            <w:noWrap w:val="0"/>
            <w:vAlign w:val="center"/>
          </w:tcPr>
          <w:p w14:paraId="4D1D4E6B">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2020C7CF">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53BF5DAD">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14:paraId="3EBD049F">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25E161BF">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1BF8175F">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noWrap w:val="0"/>
            <w:vAlign w:val="center"/>
          </w:tcPr>
          <w:p w14:paraId="0587B388">
            <w:pPr>
              <w:keepNext w:val="0"/>
              <w:keepLines w:val="0"/>
              <w:widowControl/>
              <w:suppressLineNumbers w:val="0"/>
              <w:spacing w:before="0" w:beforeAutospacing="0" w:after="0" w:afterAutospacing="0"/>
              <w:ind w:left="0" w:right="0"/>
              <w:jc w:val="left"/>
              <w:rPr>
                <w:rFonts w:hint="default"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1BAB9EDF">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28558839">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79824700">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2000≤Y＜10000</w:t>
            </w:r>
          </w:p>
        </w:tc>
        <w:tc>
          <w:tcPr>
            <w:tcW w:w="1440" w:type="dxa"/>
            <w:tcBorders>
              <w:top w:val="nil"/>
              <w:left w:val="nil"/>
              <w:bottom w:val="single" w:color="auto" w:sz="4" w:space="0"/>
              <w:right w:val="single" w:color="auto" w:sz="4" w:space="0"/>
            </w:tcBorders>
            <w:noWrap w:val="0"/>
            <w:vAlign w:val="center"/>
          </w:tcPr>
          <w:p w14:paraId="1C633FEB">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925" w:type="dxa"/>
            <w:tcBorders>
              <w:top w:val="nil"/>
              <w:left w:val="nil"/>
              <w:bottom w:val="single" w:color="auto" w:sz="4" w:space="0"/>
              <w:right w:val="single" w:color="auto" w:sz="4" w:space="0"/>
            </w:tcBorders>
            <w:noWrap w:val="0"/>
            <w:vAlign w:val="center"/>
          </w:tcPr>
          <w:p w14:paraId="7C516DFF">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268BC6F0">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noWrap w:val="0"/>
            <w:vAlign w:val="bottom"/>
          </w:tcPr>
          <w:p w14:paraId="68B9F6C8">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信息传输业</w:t>
            </w:r>
          </w:p>
        </w:tc>
        <w:tc>
          <w:tcPr>
            <w:tcW w:w="1384" w:type="dxa"/>
            <w:tcBorders>
              <w:top w:val="nil"/>
              <w:left w:val="nil"/>
              <w:bottom w:val="single" w:color="auto" w:sz="4" w:space="0"/>
              <w:right w:val="single" w:color="auto" w:sz="4" w:space="0"/>
            </w:tcBorders>
            <w:noWrap w:val="0"/>
            <w:vAlign w:val="center"/>
          </w:tcPr>
          <w:p w14:paraId="6DE5C7FB">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04D57614">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5FA9520F">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100≤X＜2000</w:t>
            </w:r>
          </w:p>
        </w:tc>
        <w:tc>
          <w:tcPr>
            <w:tcW w:w="1440" w:type="dxa"/>
            <w:tcBorders>
              <w:top w:val="nil"/>
              <w:left w:val="nil"/>
              <w:bottom w:val="single" w:color="auto" w:sz="4" w:space="0"/>
              <w:right w:val="single" w:color="auto" w:sz="4" w:space="0"/>
            </w:tcBorders>
            <w:noWrap w:val="0"/>
            <w:vAlign w:val="center"/>
          </w:tcPr>
          <w:p w14:paraId="7751E6B2">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511EFB0F">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19E4927A">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noWrap w:val="0"/>
            <w:vAlign w:val="center"/>
          </w:tcPr>
          <w:p w14:paraId="59F6F3CE">
            <w:pPr>
              <w:keepNext w:val="0"/>
              <w:keepLines w:val="0"/>
              <w:widowControl/>
              <w:suppressLineNumbers w:val="0"/>
              <w:spacing w:before="0" w:beforeAutospacing="0" w:after="0" w:afterAutospacing="0"/>
              <w:ind w:left="0" w:right="0"/>
              <w:jc w:val="left"/>
              <w:rPr>
                <w:rFonts w:hint="default"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16AFE1BD">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0AF40BF5">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00A45F52">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1000≤Y＜100000</w:t>
            </w:r>
          </w:p>
        </w:tc>
        <w:tc>
          <w:tcPr>
            <w:tcW w:w="1440" w:type="dxa"/>
            <w:tcBorders>
              <w:top w:val="nil"/>
              <w:left w:val="nil"/>
              <w:bottom w:val="single" w:color="auto" w:sz="4" w:space="0"/>
              <w:right w:val="single" w:color="auto" w:sz="4" w:space="0"/>
            </w:tcBorders>
            <w:noWrap w:val="0"/>
            <w:vAlign w:val="center"/>
          </w:tcPr>
          <w:p w14:paraId="413E0B6F">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100≤Y＜1000</w:t>
            </w:r>
          </w:p>
        </w:tc>
        <w:tc>
          <w:tcPr>
            <w:tcW w:w="925" w:type="dxa"/>
            <w:tcBorders>
              <w:top w:val="nil"/>
              <w:left w:val="nil"/>
              <w:bottom w:val="single" w:color="auto" w:sz="4" w:space="0"/>
              <w:right w:val="single" w:color="auto" w:sz="4" w:space="0"/>
            </w:tcBorders>
            <w:noWrap w:val="0"/>
            <w:vAlign w:val="center"/>
          </w:tcPr>
          <w:p w14:paraId="12F56F6E">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6C7790B3">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noWrap w:val="0"/>
            <w:vAlign w:val="bottom"/>
          </w:tcPr>
          <w:p w14:paraId="716D5FFF">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软件和信息技术服务业</w:t>
            </w:r>
          </w:p>
        </w:tc>
        <w:tc>
          <w:tcPr>
            <w:tcW w:w="1384" w:type="dxa"/>
            <w:tcBorders>
              <w:top w:val="nil"/>
              <w:left w:val="nil"/>
              <w:bottom w:val="single" w:color="auto" w:sz="4" w:space="0"/>
              <w:right w:val="single" w:color="auto" w:sz="4" w:space="0"/>
            </w:tcBorders>
            <w:noWrap w:val="0"/>
            <w:vAlign w:val="center"/>
          </w:tcPr>
          <w:p w14:paraId="70C99B90">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53398E11">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5379AF76">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14:paraId="39489DD7">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64D3447F">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1CA429D6">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noWrap w:val="0"/>
            <w:vAlign w:val="center"/>
          </w:tcPr>
          <w:p w14:paraId="54778891">
            <w:pPr>
              <w:keepNext w:val="0"/>
              <w:keepLines w:val="0"/>
              <w:widowControl/>
              <w:suppressLineNumbers w:val="0"/>
              <w:spacing w:before="0" w:beforeAutospacing="0" w:after="0" w:afterAutospacing="0"/>
              <w:ind w:left="0" w:right="0"/>
              <w:jc w:val="left"/>
              <w:rPr>
                <w:rFonts w:hint="default"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640127B9">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7A622E46">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64C14FAA">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1000≤Y＜10000</w:t>
            </w:r>
          </w:p>
        </w:tc>
        <w:tc>
          <w:tcPr>
            <w:tcW w:w="1440" w:type="dxa"/>
            <w:tcBorders>
              <w:top w:val="nil"/>
              <w:left w:val="nil"/>
              <w:bottom w:val="single" w:color="auto" w:sz="4" w:space="0"/>
              <w:right w:val="single" w:color="auto" w:sz="4" w:space="0"/>
            </w:tcBorders>
            <w:noWrap w:val="0"/>
            <w:vAlign w:val="center"/>
          </w:tcPr>
          <w:p w14:paraId="5FAE4B6E">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50≤Y＜1000</w:t>
            </w:r>
          </w:p>
        </w:tc>
        <w:tc>
          <w:tcPr>
            <w:tcW w:w="925" w:type="dxa"/>
            <w:tcBorders>
              <w:top w:val="nil"/>
              <w:left w:val="nil"/>
              <w:bottom w:val="single" w:color="auto" w:sz="4" w:space="0"/>
              <w:right w:val="single" w:color="auto" w:sz="4" w:space="0"/>
            </w:tcBorders>
            <w:noWrap w:val="0"/>
            <w:vAlign w:val="center"/>
          </w:tcPr>
          <w:p w14:paraId="495A8F3B">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w:t>
            </w:r>
          </w:p>
        </w:tc>
      </w:tr>
      <w:tr w14:paraId="43FE2132">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noWrap w:val="0"/>
            <w:vAlign w:val="bottom"/>
          </w:tcPr>
          <w:p w14:paraId="0DAE9407">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房地产开发经营</w:t>
            </w:r>
          </w:p>
        </w:tc>
        <w:tc>
          <w:tcPr>
            <w:tcW w:w="1384" w:type="dxa"/>
            <w:tcBorders>
              <w:top w:val="nil"/>
              <w:left w:val="nil"/>
              <w:bottom w:val="single" w:color="auto" w:sz="4" w:space="0"/>
              <w:right w:val="single" w:color="auto" w:sz="4" w:space="0"/>
            </w:tcBorders>
            <w:noWrap w:val="0"/>
            <w:vAlign w:val="center"/>
          </w:tcPr>
          <w:p w14:paraId="047AA046">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13DC3066">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791D5F14">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1000≤Y＜200000</w:t>
            </w:r>
          </w:p>
        </w:tc>
        <w:tc>
          <w:tcPr>
            <w:tcW w:w="1440" w:type="dxa"/>
            <w:tcBorders>
              <w:top w:val="nil"/>
              <w:left w:val="nil"/>
              <w:bottom w:val="single" w:color="auto" w:sz="4" w:space="0"/>
              <w:right w:val="single" w:color="auto" w:sz="4" w:space="0"/>
            </w:tcBorders>
            <w:noWrap w:val="0"/>
            <w:vAlign w:val="center"/>
          </w:tcPr>
          <w:p w14:paraId="09377A9A">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100≤X＜1000</w:t>
            </w:r>
          </w:p>
        </w:tc>
        <w:tc>
          <w:tcPr>
            <w:tcW w:w="925" w:type="dxa"/>
            <w:tcBorders>
              <w:top w:val="nil"/>
              <w:left w:val="nil"/>
              <w:bottom w:val="single" w:color="auto" w:sz="4" w:space="0"/>
              <w:right w:val="single" w:color="auto" w:sz="4" w:space="0"/>
            </w:tcBorders>
            <w:noWrap w:val="0"/>
            <w:vAlign w:val="center"/>
          </w:tcPr>
          <w:p w14:paraId="08796EB9">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X＜100</w:t>
            </w:r>
          </w:p>
        </w:tc>
      </w:tr>
      <w:tr w14:paraId="2C1138F5">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noWrap w:val="0"/>
            <w:vAlign w:val="center"/>
          </w:tcPr>
          <w:p w14:paraId="427687CC">
            <w:pPr>
              <w:keepNext w:val="0"/>
              <w:keepLines w:val="0"/>
              <w:widowControl/>
              <w:suppressLineNumbers w:val="0"/>
              <w:spacing w:before="0" w:beforeAutospacing="0" w:after="0" w:afterAutospacing="0"/>
              <w:ind w:left="0" w:right="0"/>
              <w:jc w:val="left"/>
              <w:rPr>
                <w:rFonts w:hint="default"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48C4D862">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noWrap w:val="0"/>
            <w:vAlign w:val="center"/>
          </w:tcPr>
          <w:p w14:paraId="1B072AF5">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16973E52">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5000≤Z＜10000</w:t>
            </w:r>
          </w:p>
        </w:tc>
        <w:tc>
          <w:tcPr>
            <w:tcW w:w="1440" w:type="dxa"/>
            <w:tcBorders>
              <w:top w:val="nil"/>
              <w:left w:val="nil"/>
              <w:bottom w:val="single" w:color="auto" w:sz="4" w:space="0"/>
              <w:right w:val="single" w:color="auto" w:sz="4" w:space="0"/>
            </w:tcBorders>
            <w:noWrap w:val="0"/>
            <w:vAlign w:val="center"/>
          </w:tcPr>
          <w:p w14:paraId="44F5C7BC">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2000≤Y＜5000</w:t>
            </w:r>
          </w:p>
        </w:tc>
        <w:tc>
          <w:tcPr>
            <w:tcW w:w="925" w:type="dxa"/>
            <w:tcBorders>
              <w:top w:val="nil"/>
              <w:left w:val="nil"/>
              <w:bottom w:val="single" w:color="auto" w:sz="4" w:space="0"/>
              <w:right w:val="single" w:color="auto" w:sz="4" w:space="0"/>
            </w:tcBorders>
            <w:noWrap w:val="0"/>
            <w:vAlign w:val="center"/>
          </w:tcPr>
          <w:p w14:paraId="7E7BBC72">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Y＜2000</w:t>
            </w:r>
          </w:p>
        </w:tc>
      </w:tr>
      <w:tr w14:paraId="4814ECBA">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noWrap w:val="0"/>
            <w:vAlign w:val="bottom"/>
          </w:tcPr>
          <w:p w14:paraId="1B0B6E44">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物业管理</w:t>
            </w:r>
          </w:p>
        </w:tc>
        <w:tc>
          <w:tcPr>
            <w:tcW w:w="1384" w:type="dxa"/>
            <w:tcBorders>
              <w:top w:val="nil"/>
              <w:left w:val="nil"/>
              <w:bottom w:val="single" w:color="auto" w:sz="4" w:space="0"/>
              <w:right w:val="single" w:color="auto" w:sz="4" w:space="0"/>
            </w:tcBorders>
            <w:noWrap w:val="0"/>
            <w:vAlign w:val="center"/>
          </w:tcPr>
          <w:p w14:paraId="1C7AE8FC">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3CA02768">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39A859ED">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440" w:type="dxa"/>
            <w:tcBorders>
              <w:top w:val="nil"/>
              <w:left w:val="nil"/>
              <w:bottom w:val="single" w:color="auto" w:sz="4" w:space="0"/>
              <w:right w:val="single" w:color="auto" w:sz="4" w:space="0"/>
            </w:tcBorders>
            <w:noWrap w:val="0"/>
            <w:vAlign w:val="center"/>
          </w:tcPr>
          <w:p w14:paraId="68E531C2">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925" w:type="dxa"/>
            <w:tcBorders>
              <w:top w:val="nil"/>
              <w:left w:val="nil"/>
              <w:bottom w:val="single" w:color="auto" w:sz="4" w:space="0"/>
              <w:right w:val="single" w:color="auto" w:sz="4" w:space="0"/>
            </w:tcBorders>
            <w:noWrap w:val="0"/>
            <w:vAlign w:val="center"/>
          </w:tcPr>
          <w:p w14:paraId="3BB5F860">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X＜100</w:t>
            </w:r>
          </w:p>
        </w:tc>
      </w:tr>
      <w:tr w14:paraId="7C75C244">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noWrap w:val="0"/>
            <w:vAlign w:val="center"/>
          </w:tcPr>
          <w:p w14:paraId="4696EC2F">
            <w:pPr>
              <w:keepNext w:val="0"/>
              <w:keepLines w:val="0"/>
              <w:widowControl/>
              <w:suppressLineNumbers w:val="0"/>
              <w:spacing w:before="0" w:beforeAutospacing="0" w:after="0" w:afterAutospacing="0"/>
              <w:ind w:left="0" w:right="0"/>
              <w:jc w:val="left"/>
              <w:rPr>
                <w:rFonts w:hint="default"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260AAE23">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709B3811">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7158E780">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1000≤Y＜5000</w:t>
            </w:r>
          </w:p>
        </w:tc>
        <w:tc>
          <w:tcPr>
            <w:tcW w:w="1440" w:type="dxa"/>
            <w:tcBorders>
              <w:top w:val="nil"/>
              <w:left w:val="nil"/>
              <w:bottom w:val="single" w:color="auto" w:sz="4" w:space="0"/>
              <w:right w:val="single" w:color="auto" w:sz="4" w:space="0"/>
            </w:tcBorders>
            <w:noWrap w:val="0"/>
            <w:vAlign w:val="center"/>
          </w:tcPr>
          <w:p w14:paraId="4EB85611">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500≤Y＜1000</w:t>
            </w:r>
          </w:p>
        </w:tc>
        <w:tc>
          <w:tcPr>
            <w:tcW w:w="925" w:type="dxa"/>
            <w:tcBorders>
              <w:top w:val="nil"/>
              <w:left w:val="nil"/>
              <w:bottom w:val="single" w:color="auto" w:sz="4" w:space="0"/>
              <w:right w:val="single" w:color="auto" w:sz="4" w:space="0"/>
            </w:tcBorders>
            <w:noWrap w:val="0"/>
            <w:vAlign w:val="center"/>
          </w:tcPr>
          <w:p w14:paraId="5F783FBB">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Y＜500</w:t>
            </w:r>
          </w:p>
        </w:tc>
      </w:tr>
      <w:tr w14:paraId="553E85FA">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noWrap w:val="0"/>
            <w:vAlign w:val="bottom"/>
          </w:tcPr>
          <w:p w14:paraId="076FACE6">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租赁和商务服务业</w:t>
            </w:r>
          </w:p>
        </w:tc>
        <w:tc>
          <w:tcPr>
            <w:tcW w:w="1384" w:type="dxa"/>
            <w:tcBorders>
              <w:top w:val="nil"/>
              <w:left w:val="nil"/>
              <w:bottom w:val="single" w:color="auto" w:sz="4" w:space="0"/>
              <w:right w:val="single" w:color="auto" w:sz="4" w:space="0"/>
            </w:tcBorders>
            <w:noWrap w:val="0"/>
            <w:vAlign w:val="center"/>
          </w:tcPr>
          <w:p w14:paraId="069D88F2">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2F9B86A8">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395EDF26">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14:paraId="0BD4F68A">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34B584D3">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7DE6B50B">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noWrap w:val="0"/>
            <w:vAlign w:val="center"/>
          </w:tcPr>
          <w:p w14:paraId="472CBA4B">
            <w:pPr>
              <w:keepNext w:val="0"/>
              <w:keepLines w:val="0"/>
              <w:widowControl/>
              <w:suppressLineNumbers w:val="0"/>
              <w:spacing w:before="0" w:beforeAutospacing="0" w:after="0" w:afterAutospacing="0"/>
              <w:ind w:left="0" w:right="0"/>
              <w:jc w:val="left"/>
              <w:rPr>
                <w:rFonts w:hint="default"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569E8008">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noWrap w:val="0"/>
            <w:vAlign w:val="center"/>
          </w:tcPr>
          <w:p w14:paraId="0A2CD86E">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0BBCA1D9">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8000≤Z＜120000</w:t>
            </w:r>
          </w:p>
        </w:tc>
        <w:tc>
          <w:tcPr>
            <w:tcW w:w="1440" w:type="dxa"/>
            <w:tcBorders>
              <w:top w:val="nil"/>
              <w:left w:val="nil"/>
              <w:bottom w:val="single" w:color="auto" w:sz="4" w:space="0"/>
              <w:right w:val="single" w:color="auto" w:sz="4" w:space="0"/>
            </w:tcBorders>
            <w:noWrap w:val="0"/>
            <w:vAlign w:val="center"/>
          </w:tcPr>
          <w:p w14:paraId="3043DA7B">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100≤Z＜8000</w:t>
            </w:r>
          </w:p>
        </w:tc>
        <w:tc>
          <w:tcPr>
            <w:tcW w:w="925" w:type="dxa"/>
            <w:tcBorders>
              <w:top w:val="nil"/>
              <w:left w:val="nil"/>
              <w:bottom w:val="single" w:color="auto" w:sz="4" w:space="0"/>
              <w:right w:val="single" w:color="auto" w:sz="4" w:space="0"/>
            </w:tcBorders>
            <w:noWrap w:val="0"/>
            <w:vAlign w:val="center"/>
          </w:tcPr>
          <w:p w14:paraId="2B6B007D">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303B2D81">
        <w:tblPrEx>
          <w:tblCellMar>
            <w:top w:w="0" w:type="dxa"/>
            <w:left w:w="108" w:type="dxa"/>
            <w:bottom w:w="0" w:type="dxa"/>
            <w:right w:w="108" w:type="dxa"/>
          </w:tblCellMar>
        </w:tblPrEx>
        <w:trPr>
          <w:trHeight w:val="225" w:hRule="atLeast"/>
          <w:jc w:val="center"/>
        </w:trPr>
        <w:tc>
          <w:tcPr>
            <w:tcW w:w="1701" w:type="dxa"/>
            <w:tcBorders>
              <w:top w:val="nil"/>
              <w:left w:val="single" w:color="auto" w:sz="4" w:space="0"/>
              <w:bottom w:val="single" w:color="auto" w:sz="4" w:space="0"/>
              <w:right w:val="single" w:color="auto" w:sz="4" w:space="0"/>
            </w:tcBorders>
            <w:noWrap w:val="0"/>
            <w:vAlign w:val="bottom"/>
          </w:tcPr>
          <w:p w14:paraId="7AF6E163">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其他未列明行业</w:t>
            </w:r>
          </w:p>
        </w:tc>
        <w:tc>
          <w:tcPr>
            <w:tcW w:w="1384" w:type="dxa"/>
            <w:tcBorders>
              <w:top w:val="nil"/>
              <w:left w:val="nil"/>
              <w:bottom w:val="single" w:color="auto" w:sz="4" w:space="0"/>
              <w:right w:val="single" w:color="auto" w:sz="4" w:space="0"/>
            </w:tcBorders>
            <w:noWrap w:val="0"/>
            <w:vAlign w:val="center"/>
          </w:tcPr>
          <w:p w14:paraId="6845072E">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63783517">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5C6FD0F4">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14:paraId="1CA1280B">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6D514CA6">
            <w:pPr>
              <w:keepNext w:val="0"/>
              <w:keepLines w:val="0"/>
              <w:widowControl/>
              <w:suppressLineNumbers w:val="0"/>
              <w:spacing w:before="0" w:beforeAutospacing="0" w:after="0" w:afterAutospacing="0"/>
              <w:ind w:left="0" w:right="0"/>
              <w:jc w:val="left"/>
              <w:rPr>
                <w:rFonts w:hint="default"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bl>
    <w:p w14:paraId="75529BC4">
      <w:pPr>
        <w:spacing w:line="360" w:lineRule="auto"/>
        <w:ind w:firstLine="525" w:firstLineChars="250"/>
        <w:rPr>
          <w:rFonts w:hint="eastAsia" w:ascii="仿宋_GB2312" w:hAnsi="仿宋" w:eastAsia="仿宋_GB2312"/>
          <w:color w:val="auto"/>
          <w:szCs w:val="21"/>
          <w:highlight w:val="none"/>
        </w:rPr>
      </w:pPr>
      <w:r>
        <w:rPr>
          <w:rFonts w:hint="eastAsia" w:ascii="仿宋_GB2312" w:hAnsi="仿宋" w:eastAsia="仿宋_GB2312"/>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15BA44C7">
      <w:pPr>
        <w:widowControl/>
        <w:jc w:val="left"/>
        <w:rPr>
          <w:rFonts w:ascii="宋体" w:hAnsi="宋体"/>
          <w:color w:val="auto"/>
          <w:szCs w:val="20"/>
          <w:highlight w:val="none"/>
        </w:rPr>
        <w:sectPr>
          <w:pgSz w:w="11906" w:h="16838"/>
          <w:pgMar w:top="1440" w:right="1080" w:bottom="1440" w:left="1080" w:header="720" w:footer="720" w:gutter="0"/>
          <w:cols w:space="720" w:num="1"/>
          <w:docGrid w:type="lines" w:linePitch="331" w:charSpace="0"/>
        </w:sectPr>
      </w:pPr>
    </w:p>
    <w:p w14:paraId="25A18935">
      <w:pPr>
        <w:jc w:val="center"/>
        <w:outlineLvl w:val="0"/>
        <w:rPr>
          <w:rFonts w:hint="eastAsia" w:ascii="宋体" w:hAnsi="宋体"/>
          <w:b/>
          <w:color w:val="auto"/>
          <w:sz w:val="36"/>
          <w:szCs w:val="36"/>
          <w:highlight w:val="none"/>
        </w:rPr>
      </w:pPr>
      <w:bookmarkStart w:id="38" w:name="_Toc29955"/>
      <w:bookmarkStart w:id="39" w:name="_Toc532545044"/>
      <w:r>
        <w:rPr>
          <w:rFonts w:hint="eastAsia"/>
          <w:b/>
          <w:color w:val="auto"/>
          <w:sz w:val="36"/>
          <w:szCs w:val="20"/>
          <w:highlight w:val="none"/>
        </w:rPr>
        <w:t>第三章</w:t>
      </w:r>
      <w:r>
        <w:rPr>
          <w:b/>
          <w:color w:val="auto"/>
          <w:sz w:val="36"/>
          <w:szCs w:val="20"/>
          <w:highlight w:val="none"/>
        </w:rPr>
        <w:t xml:space="preserve">  </w:t>
      </w:r>
      <w:r>
        <w:rPr>
          <w:rFonts w:hint="eastAsia"/>
          <w:b/>
          <w:color w:val="auto"/>
          <w:sz w:val="36"/>
          <w:szCs w:val="20"/>
          <w:highlight w:val="none"/>
        </w:rPr>
        <w:t>投标人须知</w:t>
      </w:r>
      <w:bookmarkEnd w:id="38"/>
      <w:bookmarkEnd w:id="39"/>
    </w:p>
    <w:p w14:paraId="5E77226B">
      <w:pPr>
        <w:spacing w:line="720" w:lineRule="auto"/>
        <w:jc w:val="center"/>
        <w:outlineLvl w:val="1"/>
        <w:rPr>
          <w:rFonts w:hint="eastAsia"/>
          <w:b/>
          <w:color w:val="auto"/>
          <w:sz w:val="30"/>
          <w:szCs w:val="30"/>
          <w:highlight w:val="none"/>
        </w:rPr>
      </w:pPr>
      <w:bookmarkStart w:id="40" w:name="_Toc9211"/>
      <w:r>
        <w:rPr>
          <w:rFonts w:hint="eastAsia"/>
          <w:b/>
          <w:color w:val="auto"/>
          <w:sz w:val="30"/>
          <w:szCs w:val="30"/>
          <w:highlight w:val="none"/>
        </w:rPr>
        <w:t>第一节</w:t>
      </w:r>
      <w:r>
        <w:rPr>
          <w:b/>
          <w:color w:val="auto"/>
          <w:sz w:val="30"/>
          <w:szCs w:val="30"/>
          <w:highlight w:val="none"/>
        </w:rPr>
        <w:t xml:space="preserve"> </w:t>
      </w:r>
      <w:r>
        <w:rPr>
          <w:rFonts w:hint="eastAsia"/>
          <w:b/>
          <w:color w:val="auto"/>
          <w:sz w:val="30"/>
          <w:szCs w:val="30"/>
          <w:highlight w:val="none"/>
        </w:rPr>
        <w:t>投标人须知前附表</w:t>
      </w:r>
      <w:bookmarkEnd w:id="40"/>
    </w:p>
    <w:tbl>
      <w:tblPr>
        <w:tblStyle w:val="33"/>
        <w:tblW w:w="10240" w:type="dxa"/>
        <w:tblInd w:w="-1"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5"/>
        <w:gridCol w:w="2268"/>
        <w:gridCol w:w="7297"/>
      </w:tblGrid>
      <w:tr w14:paraId="77306E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748FD73E">
            <w:pPr>
              <w:keepNext w:val="0"/>
              <w:keepLines w:val="0"/>
              <w:suppressLineNumbers w:val="0"/>
              <w:snapToGrid w:val="0"/>
              <w:spacing w:before="0" w:beforeAutospacing="0" w:after="0" w:afterAutospacing="0" w:line="360" w:lineRule="auto"/>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条款号</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4B8E7654">
            <w:pPr>
              <w:keepNext w:val="0"/>
              <w:keepLines w:val="0"/>
              <w:suppressLineNumbers w:val="0"/>
              <w:snapToGrid w:val="0"/>
              <w:spacing w:before="0" w:beforeAutospacing="0" w:after="0" w:afterAutospacing="0" w:line="360" w:lineRule="auto"/>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项目内容</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7B5092B2">
            <w:pPr>
              <w:keepNext w:val="0"/>
              <w:keepLines w:val="0"/>
              <w:suppressLineNumbers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编列内容</w:t>
            </w:r>
          </w:p>
        </w:tc>
      </w:tr>
      <w:tr w14:paraId="19AD79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068D6EBA">
            <w:pPr>
              <w:keepNext w:val="0"/>
              <w:keepLines w:val="0"/>
              <w:suppressLineNumbers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6.1</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2CA48E87">
            <w:pPr>
              <w:keepNext w:val="0"/>
              <w:keepLines w:val="0"/>
              <w:suppressLineNumbers w:val="0"/>
              <w:spacing w:before="0" w:beforeAutospacing="0" w:after="0" w:afterAutospacing="0" w:line="380" w:lineRule="exact"/>
              <w:ind w:left="0" w:right="0"/>
              <w:rPr>
                <w:rFonts w:hint="default" w:ascii="宋体" w:hAnsi="宋体" w:cs="Times New Roman"/>
                <w:color w:val="auto"/>
                <w:szCs w:val="21"/>
                <w:highlight w:val="none"/>
              </w:rPr>
            </w:pPr>
            <w:bookmarkStart w:id="41" w:name="_8.1"/>
            <w:bookmarkEnd w:id="41"/>
            <w:bookmarkStart w:id="42" w:name="_9.2"/>
            <w:bookmarkEnd w:id="42"/>
            <w:bookmarkStart w:id="43" w:name="_5"/>
            <w:bookmarkEnd w:id="43"/>
            <w:r>
              <w:rPr>
                <w:rFonts w:hint="eastAsia" w:ascii="宋体" w:hAnsi="宋体" w:cs="Times New Roman"/>
                <w:color w:val="auto"/>
                <w:szCs w:val="21"/>
                <w:highlight w:val="none"/>
              </w:rPr>
              <w:t>是否接受联合体投标</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3961BC3F">
            <w:pPr>
              <w:pStyle w:val="11"/>
              <w:keepNext w:val="0"/>
              <w:keepLines w:val="0"/>
              <w:suppressLineNumbers w:val="0"/>
              <w:spacing w:before="0" w:beforeAutospacing="0" w:after="0" w:afterAutospacing="0" w:line="40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接受联合体投标</w:t>
            </w:r>
          </w:p>
        </w:tc>
      </w:tr>
      <w:tr w14:paraId="2B8473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1B6E4FD6">
            <w:pPr>
              <w:keepNext w:val="0"/>
              <w:keepLines w:val="0"/>
              <w:suppressLineNumbers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6.2</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23D34FCE">
            <w:pPr>
              <w:keepNext w:val="0"/>
              <w:keepLines w:val="0"/>
              <w:suppressLineNumbers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联合体投标要求</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301F644C">
            <w:pPr>
              <w:pStyle w:val="11"/>
              <w:keepNext w:val="0"/>
              <w:keepLines w:val="0"/>
              <w:suppressLineNumbers w:val="0"/>
              <w:spacing w:before="0" w:beforeAutospacing="0" w:after="0" w:afterAutospacing="0" w:line="40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1.两个以上投标人可以组成一个投标联合体，以一个投标人的身份共同参加投标，联合体投标人的名称应统一按“XXX公司与XXX公司的联合体”的规则填写。</w:t>
            </w:r>
          </w:p>
          <w:p w14:paraId="391CDF38">
            <w:pPr>
              <w:pStyle w:val="11"/>
              <w:keepNext w:val="0"/>
              <w:keepLines w:val="0"/>
              <w:suppressLineNumbers w:val="0"/>
              <w:spacing w:before="0" w:beforeAutospacing="0" w:after="0" w:afterAutospacing="0" w:line="40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2.以联合体形式参加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招标文件“4. 本项目的特定条件”。</w:t>
            </w:r>
          </w:p>
          <w:p w14:paraId="46992AB3">
            <w:pPr>
              <w:pStyle w:val="11"/>
              <w:keepNext w:val="0"/>
              <w:keepLines w:val="0"/>
              <w:suppressLineNumbers w:val="0"/>
              <w:spacing w:before="0" w:beforeAutospacing="0" w:after="0" w:afterAutospacing="0" w:line="40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3. 联合体投标的，须提供《联合体投标协议书》（格式后附），协议书必须明确主体方（或者牵头方）并明确约定联合体各方承担的工作和相应的责任（各方承担责任与义务的分工必须符合采购需求，否则，联合体投标无效），并将联合投标协议放入响应文件。联合体各方必须共同与采购人签订采购合同，就采购合同约定的事项对采购人承担连带责任。</w:t>
            </w:r>
          </w:p>
          <w:p w14:paraId="67E3EDDB">
            <w:pPr>
              <w:pStyle w:val="11"/>
              <w:keepNext w:val="0"/>
              <w:keepLines w:val="0"/>
              <w:suppressLineNumbers w:val="0"/>
              <w:spacing w:before="0" w:beforeAutospacing="0" w:after="0" w:afterAutospacing="0" w:line="40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4.以联合体形式参加政府采购活动的，联合体各方不得再单独参加或者与其他投标人另外组成联合体参加同一合同项下的政府采购活动，否则与之相关的响应文件作废。</w:t>
            </w:r>
          </w:p>
          <w:p w14:paraId="27BF6846">
            <w:pPr>
              <w:pStyle w:val="11"/>
              <w:keepNext w:val="0"/>
              <w:keepLines w:val="0"/>
              <w:suppressLineNumbers w:val="0"/>
              <w:spacing w:before="0" w:beforeAutospacing="0" w:after="0" w:afterAutospacing="0" w:line="40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5.联合体中有同类资质的投标人按照联合体分工承担相同工作的，应当按照资质等级较低的投标人确定资质等级。</w:t>
            </w:r>
          </w:p>
          <w:p w14:paraId="3CDF8EB0">
            <w:pPr>
              <w:pStyle w:val="11"/>
              <w:keepNext w:val="0"/>
              <w:keepLines w:val="0"/>
              <w:suppressLineNumbers w:val="0"/>
              <w:spacing w:before="0" w:beforeAutospacing="0" w:after="0" w:afterAutospacing="0" w:line="40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6.联合体投标业绩、履约能力按照联合体各方其中较高的一方认定并计算（招标文件另有规定的除外）。</w:t>
            </w:r>
          </w:p>
          <w:p w14:paraId="38CF3AF6">
            <w:pPr>
              <w:pStyle w:val="11"/>
              <w:keepNext w:val="0"/>
              <w:keepLines w:val="0"/>
              <w:suppressLineNumbers w:val="0"/>
              <w:spacing w:before="0" w:beforeAutospacing="0" w:after="0" w:afterAutospacing="0" w:line="40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7.联合体各方均应按照招标文件的规定提交资格证明文件。《第五章响应文件格式》中“供应商名称（电子签章）”处只需加盖牵头人的电子公章（除第五章另有规定外）</w:t>
            </w:r>
          </w:p>
        </w:tc>
      </w:tr>
      <w:tr w14:paraId="620102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7FEEA8D9">
            <w:pPr>
              <w:keepNext w:val="0"/>
              <w:keepLines w:val="0"/>
              <w:suppressLineNumbers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7.2</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41782CF8">
            <w:pPr>
              <w:keepNext w:val="0"/>
              <w:keepLines w:val="0"/>
              <w:suppressLineNumbers w:val="0"/>
              <w:spacing w:before="0" w:beforeAutospacing="0" w:after="0" w:afterAutospacing="0" w:line="380" w:lineRule="exact"/>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是否允许转包/分包</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4C76D2FC">
            <w:pPr>
              <w:pStyle w:val="11"/>
              <w:keepNext w:val="0"/>
              <w:keepLines w:val="0"/>
              <w:suppressLineNumbers w:val="0"/>
              <w:spacing w:before="0" w:beforeAutospacing="0" w:after="0" w:afterAutospacing="0" w:line="380" w:lineRule="exact"/>
              <w:ind w:left="0" w:right="0"/>
              <w:rPr>
                <w:rFonts w:hint="eastAsia" w:ascii="宋体" w:hAnsi="宋体" w:cs="Times New Roman"/>
                <w:color w:val="auto"/>
                <w:szCs w:val="21"/>
                <w:highlight w:val="none"/>
              </w:rPr>
            </w:pPr>
            <w:bookmarkStart w:id="44" w:name="PO_3000001866_PM044"/>
            <w:r>
              <w:rPr>
                <w:rFonts w:hint="eastAsia" w:ascii="宋体" w:hAnsi="宋体" w:cs="Times New Roman"/>
                <w:color w:val="auto"/>
                <w:szCs w:val="21"/>
                <w:highlight w:val="none"/>
              </w:rPr>
              <w:t>不允许分包</w:t>
            </w:r>
            <w:bookmarkEnd w:id="44"/>
          </w:p>
          <w:p w14:paraId="3BB3F94C">
            <w:pPr>
              <w:pStyle w:val="11"/>
              <w:keepNext w:val="0"/>
              <w:keepLines w:val="0"/>
              <w:suppressLineNumbers w:val="0"/>
              <w:spacing w:before="0" w:beforeAutospacing="0" w:after="0" w:afterAutospacing="0" w:line="380" w:lineRule="exact"/>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转包/分包内容：</w:t>
            </w:r>
            <w:r>
              <w:rPr>
                <w:rFonts w:hint="eastAsia" w:ascii="宋体" w:hAnsi="宋体" w:cs="Times New Roman"/>
                <w:color w:val="auto"/>
                <w:szCs w:val="21"/>
                <w:highlight w:val="none"/>
                <w:u w:val="single"/>
              </w:rPr>
              <w:t xml:space="preserve">                 /                    。</w:t>
            </w:r>
          </w:p>
          <w:p w14:paraId="63A9F7DC">
            <w:pPr>
              <w:pStyle w:val="11"/>
              <w:keepNext w:val="0"/>
              <w:keepLines w:val="0"/>
              <w:suppressLineNumbers w:val="0"/>
              <w:spacing w:before="0" w:beforeAutospacing="0" w:after="0" w:afterAutospacing="0" w:line="380" w:lineRule="exact"/>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转包/分包金额或者比例：</w:t>
            </w:r>
            <w:r>
              <w:rPr>
                <w:rFonts w:hint="eastAsia" w:ascii="宋体" w:hAnsi="宋体" w:cs="Times New Roman"/>
                <w:color w:val="auto"/>
                <w:szCs w:val="21"/>
                <w:highlight w:val="none"/>
                <w:u w:val="single"/>
              </w:rPr>
              <w:t xml:space="preserve">           /                          。</w:t>
            </w:r>
          </w:p>
        </w:tc>
      </w:tr>
      <w:tr w14:paraId="0CC3FE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6DF735A8">
            <w:pPr>
              <w:keepNext w:val="0"/>
              <w:keepLines w:val="0"/>
              <w:suppressLineNumbers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11.4</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4744D4C3">
            <w:pPr>
              <w:keepNext w:val="0"/>
              <w:keepLines w:val="0"/>
              <w:suppressLineNumbers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媒体发布渠道</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4C556052">
            <w:pPr>
              <w:keepNext w:val="0"/>
              <w:keepLines w:val="0"/>
              <w:suppressLineNumbers w:val="0"/>
              <w:spacing w:before="0" w:beforeAutospacing="0" w:after="0" w:afterAutospacing="0"/>
              <w:ind w:left="0" w:right="0"/>
              <w:rPr>
                <w:rFonts w:hint="default" w:ascii="Times New Roman" w:hAnsi="Times New Roman" w:cs="Times New Roman"/>
                <w:color w:val="auto"/>
                <w:sz w:val="28"/>
                <w:szCs w:val="18"/>
                <w:highlight w:val="none"/>
              </w:rPr>
            </w:pPr>
            <w:r>
              <w:rPr>
                <w:rFonts w:hint="eastAsia" w:ascii="宋体" w:hAnsi="宋体" w:cs="宋体"/>
                <w:color w:val="auto"/>
                <w:szCs w:val="21"/>
                <w:highlight w:val="none"/>
              </w:rPr>
              <w:t>与本项目相关的政府采购业务澄清、更正及与之相关的事项将在采购公告中“</w:t>
            </w:r>
            <w:r>
              <w:rPr>
                <w:rFonts w:hint="eastAsia" w:ascii="宋体" w:hAnsi="宋体" w:cs="Times New Roman"/>
                <w:color w:val="auto"/>
                <w:szCs w:val="21"/>
                <w:highlight w:val="none"/>
              </w:rPr>
              <w:t>六、其他补充事宜”中网上查询地址</w:t>
            </w:r>
            <w:r>
              <w:rPr>
                <w:rFonts w:hint="eastAsia" w:ascii="宋体" w:hAnsi="宋体" w:cs="宋体"/>
                <w:color w:val="auto"/>
                <w:szCs w:val="21"/>
                <w:highlight w:val="none"/>
              </w:rPr>
              <w:t>上发布</w:t>
            </w:r>
            <w:r>
              <w:rPr>
                <w:rFonts w:hint="eastAsia" w:ascii="宋体" w:hAnsi="宋体" w:cs="宋体"/>
                <w:color w:val="auto"/>
                <w:kern w:val="0"/>
                <w:szCs w:val="21"/>
                <w:highlight w:val="none"/>
              </w:rPr>
              <w:t>。</w:t>
            </w:r>
          </w:p>
        </w:tc>
      </w:tr>
      <w:tr w14:paraId="65BE37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2F7F0A3F">
            <w:pPr>
              <w:keepNext w:val="0"/>
              <w:keepLines w:val="0"/>
              <w:suppressLineNumbers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11.6</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6729910D">
            <w:pPr>
              <w:keepNext w:val="0"/>
              <w:keepLines w:val="0"/>
              <w:suppressLineNumbers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是否组织标前答疑会</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60912EE6">
            <w:pPr>
              <w:keepNext w:val="0"/>
              <w:keepLines w:val="0"/>
              <w:suppressLineNumbers w:val="0"/>
              <w:snapToGrid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☑不组织召开开标前答疑会</w:t>
            </w:r>
          </w:p>
          <w:p w14:paraId="35945BD9">
            <w:pPr>
              <w:keepNext w:val="0"/>
              <w:keepLines w:val="0"/>
              <w:suppressLineNumbers w:val="0"/>
              <w:snapToGrid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□组织召开开标前答疑会</w:t>
            </w:r>
          </w:p>
          <w:p w14:paraId="1EFFD4C8">
            <w:pPr>
              <w:keepNext w:val="0"/>
              <w:keepLines w:val="0"/>
              <w:suppressLineNumbers w:val="0"/>
              <w:snapToGrid w:val="0"/>
              <w:spacing w:before="0" w:beforeAutospacing="0" w:after="0" w:afterAutospacing="0" w:line="380" w:lineRule="exact"/>
              <w:ind w:left="0" w:right="0"/>
              <w:rPr>
                <w:rFonts w:hint="default" w:ascii="宋体" w:hAnsi="宋体" w:cs="Times New Roman"/>
                <w:color w:val="auto"/>
                <w:szCs w:val="21"/>
                <w:highlight w:val="none"/>
                <w:u w:val="single"/>
              </w:rPr>
            </w:pPr>
            <w:r>
              <w:rPr>
                <w:rFonts w:hint="eastAsia" w:ascii="宋体" w:hAnsi="宋体" w:cs="Times New Roman"/>
                <w:color w:val="auto"/>
                <w:szCs w:val="21"/>
                <w:highlight w:val="none"/>
              </w:rPr>
              <w:t>会议开始时间：</w:t>
            </w:r>
            <w:r>
              <w:rPr>
                <w:rFonts w:hint="eastAsia" w:ascii="宋体" w:hAnsi="宋体" w:cs="Times New Roman"/>
                <w:color w:val="auto"/>
                <w:szCs w:val="21"/>
                <w:highlight w:val="none"/>
                <w:u w:val="single"/>
              </w:rPr>
              <w:t xml:space="preserve">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xml:space="preserve">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xml:space="preserve">  </w:t>
            </w:r>
            <w:r>
              <w:rPr>
                <w:rFonts w:hint="eastAsia" w:ascii="宋体" w:hAnsi="宋体" w:cs="Times New Roman"/>
                <w:color w:val="auto"/>
                <w:szCs w:val="21"/>
                <w:highlight w:val="none"/>
              </w:rPr>
              <w:t xml:space="preserve">日 </w:t>
            </w:r>
            <w:r>
              <w:rPr>
                <w:rFonts w:hint="eastAsia" w:ascii="宋体" w:hAnsi="宋体" w:cs="Times New Roman"/>
                <w:color w:val="auto"/>
                <w:szCs w:val="21"/>
                <w:highlight w:val="none"/>
                <w:u w:val="single"/>
              </w:rPr>
              <w:t xml:space="preserve">  </w:t>
            </w:r>
            <w:r>
              <w:rPr>
                <w:rFonts w:hint="eastAsia" w:ascii="宋体" w:hAnsi="宋体" w:cs="Times New Roman"/>
                <w:color w:val="auto"/>
                <w:szCs w:val="21"/>
                <w:highlight w:val="none"/>
              </w:rPr>
              <w:t>时</w:t>
            </w:r>
            <w:r>
              <w:rPr>
                <w:rFonts w:hint="eastAsia" w:ascii="宋体" w:hAnsi="宋体" w:cs="Times New Roman"/>
                <w:color w:val="auto"/>
                <w:szCs w:val="21"/>
                <w:highlight w:val="none"/>
                <w:u w:val="single"/>
              </w:rPr>
              <w:t xml:space="preserve">  分</w:t>
            </w:r>
            <w:r>
              <w:rPr>
                <w:rFonts w:hint="eastAsia" w:ascii="宋体" w:hAnsi="宋体" w:cs="Times New Roman"/>
                <w:color w:val="auto"/>
                <w:szCs w:val="21"/>
                <w:highlight w:val="none"/>
              </w:rPr>
              <w:t>，逾期后果自负。会议地点：</w:t>
            </w:r>
            <w:r>
              <w:rPr>
                <w:rFonts w:hint="eastAsia" w:ascii="宋体" w:hAnsi="宋体" w:cs="Times New Roman"/>
                <w:color w:val="auto"/>
                <w:szCs w:val="21"/>
                <w:highlight w:val="none"/>
                <w:u w:val="single"/>
              </w:rPr>
              <w:t xml:space="preserve">              </w:t>
            </w:r>
          </w:p>
        </w:tc>
      </w:tr>
      <w:tr w14:paraId="562B96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nil"/>
              <w:left w:val="single" w:color="auto" w:sz="4" w:space="0"/>
              <w:bottom w:val="nil"/>
              <w:right w:val="single" w:color="auto" w:sz="4" w:space="0"/>
            </w:tcBorders>
            <w:noWrap w:val="0"/>
            <w:vAlign w:val="center"/>
          </w:tcPr>
          <w:p w14:paraId="5BA9C2E0">
            <w:pPr>
              <w:keepNext w:val="0"/>
              <w:keepLines w:val="0"/>
              <w:suppressLineNumbers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13.1</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5E1251BE">
            <w:pPr>
              <w:keepNext w:val="0"/>
              <w:keepLines w:val="0"/>
              <w:suppressLineNumbers w:val="0"/>
              <w:snapToGrid w:val="0"/>
              <w:spacing w:before="0" w:beforeAutospacing="0" w:after="0" w:afterAutospacing="0" w:line="380" w:lineRule="exact"/>
              <w:ind w:left="0" w:right="0"/>
              <w:jc w:val="left"/>
              <w:rPr>
                <w:rFonts w:hint="default" w:ascii="宋体" w:hAnsi="宋体" w:cs="Courier New"/>
                <w:color w:val="auto"/>
                <w:szCs w:val="21"/>
                <w:highlight w:val="none"/>
              </w:rPr>
            </w:pPr>
            <w:bookmarkStart w:id="45" w:name="_13.2"/>
            <w:bookmarkEnd w:id="45"/>
            <w:r>
              <w:rPr>
                <w:rFonts w:hint="eastAsia" w:ascii="宋体" w:hAnsi="宋体" w:cs="Courier New"/>
                <w:color w:val="auto"/>
                <w:szCs w:val="21"/>
                <w:highlight w:val="none"/>
              </w:rPr>
              <w:t>资格证明文件组成</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626F190B">
            <w:pPr>
              <w:keepNext w:val="0"/>
              <w:keepLines w:val="0"/>
              <w:suppressLineNumbers w:val="0"/>
              <w:snapToGrid w:val="0"/>
              <w:spacing w:before="0" w:beforeAutospacing="0" w:after="0" w:afterAutospacing="0" w:line="380" w:lineRule="exact"/>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1、投标人为法人或者其他组织的，提供营业执照等证明文件</w:t>
            </w:r>
            <w:r>
              <w:rPr>
                <w:rFonts w:hint="eastAsia" w:ascii="宋体" w:hAnsi="宋体" w:cs="宋体"/>
                <w:color w:val="auto"/>
                <w:szCs w:val="21"/>
                <w:highlight w:val="none"/>
              </w:rPr>
              <w:t>（如营业执照或者事业单位法人证书或者</w:t>
            </w:r>
            <w:r>
              <w:rPr>
                <w:rFonts w:hint="default" w:ascii="宋体" w:hAnsi="宋体" w:cs="宋体"/>
                <w:color w:val="auto"/>
                <w:sz w:val="22"/>
                <w:szCs w:val="21"/>
                <w:highlight w:val="none"/>
                <w:lang w:val="zh-CN" w:bidi="zh-CN"/>
              </w:rPr>
              <w:t>执业许可证</w:t>
            </w:r>
            <w:r>
              <w:rPr>
                <w:rFonts w:hint="eastAsia" w:ascii="宋体" w:hAnsi="宋体" w:cs="宋体"/>
                <w:color w:val="auto"/>
                <w:szCs w:val="21"/>
                <w:highlight w:val="none"/>
              </w:rPr>
              <w:t>等）</w:t>
            </w:r>
            <w:r>
              <w:rPr>
                <w:rFonts w:hint="eastAsia" w:ascii="宋体" w:hAnsi="宋体" w:cs="Times New Roman"/>
                <w:color w:val="auto"/>
                <w:szCs w:val="21"/>
                <w:highlight w:val="none"/>
              </w:rPr>
              <w:t>，投标人为自然人的，提供身份证</w:t>
            </w:r>
            <w:r>
              <w:rPr>
                <w:rFonts w:hint="eastAsia" w:ascii="宋体" w:hAnsi="宋体" w:cs="宋体"/>
                <w:color w:val="auto"/>
                <w:szCs w:val="21"/>
                <w:highlight w:val="none"/>
              </w:rPr>
              <w:t>复印件</w:t>
            </w:r>
            <w:r>
              <w:rPr>
                <w:rFonts w:hint="eastAsia" w:ascii="宋体" w:hAnsi="宋体" w:cs="Times New Roman"/>
                <w:color w:val="auto"/>
                <w:szCs w:val="21"/>
                <w:highlight w:val="none"/>
              </w:rPr>
              <w:t>。（</w:t>
            </w:r>
            <w:r>
              <w:rPr>
                <w:rFonts w:hint="eastAsia" w:ascii="宋体" w:hAnsi="宋体" w:cs="Times New Roman"/>
                <w:b/>
                <w:color w:val="auto"/>
                <w:szCs w:val="21"/>
                <w:highlight w:val="none"/>
              </w:rPr>
              <w:t>必须提供，否则作无效投标处理</w:t>
            </w:r>
            <w:r>
              <w:rPr>
                <w:rFonts w:hint="eastAsia" w:ascii="宋体" w:hAnsi="宋体" w:cs="Times New Roman"/>
                <w:color w:val="auto"/>
                <w:szCs w:val="21"/>
                <w:highlight w:val="none"/>
              </w:rPr>
              <w:t>）</w:t>
            </w:r>
          </w:p>
          <w:p w14:paraId="164F821E">
            <w:pPr>
              <w:keepNext w:val="0"/>
              <w:keepLines w:val="0"/>
              <w:suppressLineNumbers w:val="0"/>
              <w:snapToGrid w:val="0"/>
              <w:spacing w:before="0" w:beforeAutospacing="0" w:after="0" w:afterAutospacing="0" w:line="380" w:lineRule="exact"/>
              <w:ind w:left="0" w:right="0"/>
              <w:jc w:val="left"/>
              <w:rPr>
                <w:rFonts w:hint="default" w:ascii="宋体" w:hAnsi="宋体" w:cs="Times New Roman"/>
                <w:color w:val="auto"/>
                <w:szCs w:val="21"/>
                <w:highlight w:val="none"/>
              </w:rPr>
            </w:pPr>
            <w:r>
              <w:rPr>
                <w:rFonts w:hint="eastAsia" w:ascii="宋体" w:hAnsi="宋体" w:cs="宋体"/>
                <w:color w:val="auto"/>
                <w:szCs w:val="21"/>
                <w:highlight w:val="none"/>
              </w:rPr>
              <w:t>2、投标人依法缴纳税收的相关材料[</w:t>
            </w:r>
            <w:r>
              <w:rPr>
                <w:rFonts w:hint="eastAsia" w:ascii="Times New Roman" w:hAnsi="Times New Roman" w:cs="Times New Roman"/>
                <w:color w:val="auto"/>
                <w:highlight w:val="none"/>
              </w:rPr>
              <w:t>投标文件提交截止时间前半年内</w:t>
            </w:r>
            <w:r>
              <w:rPr>
                <w:rFonts w:hint="eastAsia" w:ascii="宋体" w:hAnsi="宋体" w:cs="宋体"/>
                <w:color w:val="auto"/>
                <w:szCs w:val="21"/>
                <w:highlight w:val="none"/>
              </w:rPr>
              <w:t>期间任意</w:t>
            </w:r>
            <w:r>
              <w:rPr>
                <w:rFonts w:hint="eastAsia" w:ascii="宋体" w:hAnsi="宋体" w:cs="宋体"/>
                <w:color w:val="auto"/>
                <w:szCs w:val="21"/>
                <w:highlight w:val="none"/>
                <w:u w:val="single"/>
              </w:rPr>
              <w:t xml:space="preserve">1 </w:t>
            </w:r>
            <w:r>
              <w:rPr>
                <w:rFonts w:hint="eastAsia" w:ascii="宋体" w:hAnsi="宋体" w:cs="宋体"/>
                <w:color w:val="auto"/>
                <w:szCs w:val="21"/>
                <w:highlight w:val="none"/>
              </w:rPr>
              <w:t>个月的依法缴纳税收的凭据复印件</w:t>
            </w:r>
            <w:r>
              <w:rPr>
                <w:rFonts w:hint="default" w:ascii="宋体" w:hAnsi="宋体" w:cs="宋体"/>
                <w:color w:val="auto"/>
                <w:szCs w:val="21"/>
                <w:highlight w:val="none"/>
              </w:rPr>
              <w:t>]</w:t>
            </w:r>
            <w:r>
              <w:rPr>
                <w:rFonts w:hint="eastAsia" w:ascii="宋体" w:hAnsi="宋体" w:cs="宋体"/>
                <w:color w:val="auto"/>
                <w:szCs w:val="21"/>
                <w:highlight w:val="none"/>
              </w:rPr>
              <w:t>；依</w:t>
            </w:r>
            <w:r>
              <w:rPr>
                <w:rFonts w:hint="eastAsia" w:ascii="宋体" w:hAnsi="宋体" w:cs="Times New Roman"/>
                <w:color w:val="auto"/>
                <w:szCs w:val="21"/>
                <w:highlight w:val="none"/>
              </w:rPr>
              <w:t>法免税的供应商，必须提供相应文件证明其依法免税。</w:t>
            </w:r>
            <w:r>
              <w:rPr>
                <w:rFonts w:hint="eastAsia" w:ascii="宋体" w:hAnsi="宋体" w:cs="宋体"/>
                <w:color w:val="auto"/>
                <w:szCs w:val="21"/>
                <w:highlight w:val="none"/>
              </w:rPr>
              <w:t>从取得营业执照时间起到投标文件提交截止时间为止不足要求月数的，只需提供从取得营业执照起的依法缴纳税收</w:t>
            </w:r>
            <w:r>
              <w:rPr>
                <w:rFonts w:hint="eastAsia" w:ascii="宋体" w:hAnsi="宋体" w:cs="Times New Roman"/>
                <w:color w:val="auto"/>
                <w:szCs w:val="21"/>
                <w:highlight w:val="none"/>
              </w:rPr>
              <w:t>相应证明文件</w:t>
            </w:r>
            <w:r>
              <w:rPr>
                <w:rFonts w:hint="eastAsia" w:ascii="宋体" w:hAnsi="宋体" w:cs="宋体"/>
                <w:color w:val="auto"/>
                <w:szCs w:val="21"/>
                <w:highlight w:val="none"/>
              </w:rPr>
              <w:t>）]</w:t>
            </w:r>
            <w:r>
              <w:rPr>
                <w:rFonts w:hint="eastAsia" w:ascii="宋体" w:hAnsi="宋体" w:cs="Times New Roman"/>
                <w:color w:val="auto"/>
                <w:szCs w:val="21"/>
                <w:highlight w:val="none"/>
              </w:rPr>
              <w:t>。（</w:t>
            </w:r>
            <w:r>
              <w:rPr>
                <w:rFonts w:hint="eastAsia" w:ascii="宋体" w:hAnsi="宋体" w:cs="Times New Roman"/>
                <w:b/>
                <w:color w:val="auto"/>
                <w:szCs w:val="21"/>
                <w:highlight w:val="none"/>
              </w:rPr>
              <w:t>必须提供，否则作无效投标处理</w:t>
            </w:r>
            <w:r>
              <w:rPr>
                <w:rFonts w:hint="eastAsia" w:ascii="宋体" w:hAnsi="宋体" w:cs="Times New Roman"/>
                <w:color w:val="auto"/>
                <w:szCs w:val="21"/>
                <w:highlight w:val="none"/>
              </w:rPr>
              <w:t>）</w:t>
            </w:r>
          </w:p>
          <w:p w14:paraId="1915C0F7">
            <w:pPr>
              <w:keepNext w:val="0"/>
              <w:keepLines w:val="0"/>
              <w:suppressLineNumbers w:val="0"/>
              <w:snapToGrid w:val="0"/>
              <w:spacing w:before="0" w:beforeAutospacing="0" w:after="0" w:afterAutospacing="0" w:line="380" w:lineRule="exact"/>
              <w:ind w:left="0" w:right="0"/>
              <w:jc w:val="left"/>
              <w:rPr>
                <w:rFonts w:hint="default" w:ascii="宋体" w:hAnsi="宋体" w:cs="Times New Roman"/>
                <w:color w:val="auto"/>
                <w:szCs w:val="21"/>
                <w:highlight w:val="none"/>
              </w:rPr>
            </w:pPr>
            <w:r>
              <w:rPr>
                <w:rFonts w:hint="eastAsia" w:ascii="宋体" w:hAnsi="宋体" w:cs="宋体"/>
                <w:color w:val="auto"/>
                <w:szCs w:val="21"/>
                <w:highlight w:val="none"/>
              </w:rPr>
              <w:t>3、投标人依法缴纳社会保障资金的相关材料[</w:t>
            </w:r>
            <w:r>
              <w:rPr>
                <w:rFonts w:hint="eastAsia" w:ascii="Times New Roman" w:hAnsi="Times New Roman" w:cs="Times New Roman"/>
                <w:color w:val="auto"/>
                <w:highlight w:val="none"/>
              </w:rPr>
              <w:t>投标文件提交截止时间前半年内</w:t>
            </w:r>
            <w:r>
              <w:rPr>
                <w:rFonts w:hint="eastAsia" w:ascii="宋体" w:hAnsi="宋体" w:cs="宋体"/>
                <w:color w:val="auto"/>
                <w:szCs w:val="21"/>
                <w:highlight w:val="none"/>
                <w:u w:val="single"/>
                <w:lang w:bidi="ar"/>
              </w:rPr>
              <w:t xml:space="preserve"> </w:t>
            </w:r>
            <w:r>
              <w:rPr>
                <w:rFonts w:hint="eastAsia" w:ascii="宋体" w:hAnsi="宋体" w:cs="宋体"/>
                <w:color w:val="auto"/>
                <w:szCs w:val="21"/>
                <w:highlight w:val="none"/>
                <w:lang w:bidi="ar"/>
              </w:rPr>
              <w:t>期间</w:t>
            </w:r>
            <w:r>
              <w:rPr>
                <w:rFonts w:hint="eastAsia" w:ascii="宋体" w:hAnsi="宋体" w:cs="宋体"/>
                <w:color w:val="auto"/>
                <w:szCs w:val="21"/>
                <w:highlight w:val="none"/>
              </w:rPr>
              <w:t>任意</w:t>
            </w:r>
            <w:r>
              <w:rPr>
                <w:rFonts w:hint="eastAsia" w:ascii="宋体" w:hAnsi="宋体" w:cs="宋体"/>
                <w:color w:val="auto"/>
                <w:szCs w:val="21"/>
                <w:highlight w:val="none"/>
                <w:u w:val="single"/>
              </w:rPr>
              <w:t xml:space="preserve">1 </w:t>
            </w:r>
            <w:r>
              <w:rPr>
                <w:rFonts w:hint="eastAsia" w:ascii="宋体" w:hAnsi="宋体" w:cs="宋体"/>
                <w:color w:val="auto"/>
                <w:szCs w:val="21"/>
                <w:highlight w:val="none"/>
              </w:rPr>
              <w:t>个月的依法缴纳社会保障资金的缴费凭证（专用收据或者社会保险缴纳清单）复印件]；</w:t>
            </w:r>
            <w:r>
              <w:rPr>
                <w:rFonts w:hint="eastAsia" w:ascii="宋体" w:hAnsi="宋体" w:cs="Times New Roman"/>
                <w:color w:val="auto"/>
                <w:szCs w:val="21"/>
                <w:highlight w:val="none"/>
              </w:rPr>
              <w:t>依法不需要缴纳社会保障资金的供应商，必须提供相应文件证明不需要缴纳社会保障资金。</w:t>
            </w:r>
            <w:r>
              <w:rPr>
                <w:rFonts w:hint="eastAsia" w:ascii="宋体" w:hAnsi="宋体" w:cs="宋体"/>
                <w:color w:val="auto"/>
                <w:szCs w:val="21"/>
                <w:highlight w:val="none"/>
              </w:rPr>
              <w:t>从取得营业执照时间起到投标文件提交截止时间为止不足要求月数的只需提供从取得营业执照起的依法缴纳社会保障资金的</w:t>
            </w:r>
            <w:r>
              <w:rPr>
                <w:rFonts w:hint="eastAsia" w:ascii="宋体" w:hAnsi="宋体" w:cs="Times New Roman"/>
                <w:color w:val="auto"/>
                <w:szCs w:val="21"/>
                <w:highlight w:val="none"/>
              </w:rPr>
              <w:t>相应证明文件</w:t>
            </w:r>
            <w:r>
              <w:rPr>
                <w:rFonts w:hint="eastAsia" w:ascii="宋体" w:hAnsi="宋体" w:cs="宋体"/>
                <w:color w:val="auto"/>
                <w:szCs w:val="21"/>
                <w:highlight w:val="none"/>
              </w:rPr>
              <w:t>]</w:t>
            </w:r>
            <w:r>
              <w:rPr>
                <w:rFonts w:hint="eastAsia" w:ascii="宋体" w:hAnsi="宋体" w:cs="Times New Roman"/>
                <w:color w:val="auto"/>
                <w:szCs w:val="21"/>
                <w:highlight w:val="none"/>
              </w:rPr>
              <w:t>。（</w:t>
            </w:r>
            <w:r>
              <w:rPr>
                <w:rFonts w:hint="eastAsia" w:ascii="宋体" w:hAnsi="宋体" w:cs="Times New Roman"/>
                <w:b/>
                <w:color w:val="auto"/>
                <w:szCs w:val="21"/>
                <w:highlight w:val="none"/>
              </w:rPr>
              <w:t>必须提供，否则作无效投标处理</w:t>
            </w:r>
            <w:r>
              <w:rPr>
                <w:rFonts w:hint="eastAsia" w:ascii="宋体" w:hAnsi="宋体" w:cs="Times New Roman"/>
                <w:color w:val="auto"/>
                <w:szCs w:val="21"/>
                <w:highlight w:val="none"/>
              </w:rPr>
              <w:t>）</w:t>
            </w:r>
          </w:p>
          <w:p w14:paraId="05B6BCDE">
            <w:pPr>
              <w:keepNext w:val="0"/>
              <w:keepLines w:val="0"/>
              <w:suppressLineNumbers w:val="0"/>
              <w:snapToGrid w:val="0"/>
              <w:spacing w:before="0" w:beforeAutospacing="0" w:after="0" w:afterAutospacing="0" w:line="380" w:lineRule="exact"/>
              <w:ind w:left="0" w:right="0"/>
              <w:jc w:val="left"/>
              <w:rPr>
                <w:rFonts w:hint="default" w:ascii="宋体" w:hAnsi="宋体" w:cs="Times New Roman"/>
                <w:color w:val="auto"/>
                <w:szCs w:val="21"/>
                <w:highlight w:val="none"/>
              </w:rPr>
            </w:pPr>
            <w:r>
              <w:rPr>
                <w:rFonts w:hint="eastAsia" w:ascii="宋体" w:hAnsi="宋体" w:cs="宋体"/>
                <w:color w:val="auto"/>
                <w:szCs w:val="21"/>
                <w:highlight w:val="none"/>
              </w:rPr>
              <w:t>4、投标人财务状况报告：</w:t>
            </w:r>
            <w:r>
              <w:rPr>
                <w:rFonts w:hint="eastAsia" w:ascii="宋体" w:hAnsi="宋体" w:cs="Times New Roman"/>
                <w:color w:val="auto"/>
                <w:szCs w:val="21"/>
                <w:highlight w:val="none"/>
              </w:rPr>
              <w:t>[</w:t>
            </w:r>
            <w:r>
              <w:rPr>
                <w:rFonts w:hint="eastAsia" w:ascii="宋体" w:hAnsi="宋体" w:cs="Times New Roman"/>
                <w:color w:val="auto"/>
                <w:szCs w:val="21"/>
                <w:highlight w:val="none"/>
                <w:u w:val="single"/>
                <w:lang w:bidi="ar"/>
              </w:rPr>
              <w:t>2024年或2025年</w:t>
            </w:r>
            <w:r>
              <w:rPr>
                <w:rFonts w:hint="eastAsia" w:ascii="宋体" w:hAnsi="宋体" w:cs="Times New Roman"/>
                <w:color w:val="auto"/>
                <w:szCs w:val="21"/>
                <w:highlight w:val="none"/>
              </w:rPr>
              <w:t>]财务状况报告复印件；供应商成立不满一年的应提供截标之日上一个月的财务状况报告复印件。（上述财务状况报告包括：供应商执行《企业会计准则》的，提供资产负债表、利润表、现金流量表、所有者权益变动表及其附注（以下简称“四表一注”）；供应商执行《小企业会计准则》的，提供资产负债表、利润表、现金流量表及其附注（以下简称“三表一注”）；供应商执行《政府会计制度》的，提供资产负债表、收入费用表和净资产变动表及其附注)</w:t>
            </w:r>
            <w:r>
              <w:rPr>
                <w:rFonts w:hint="eastAsia" w:ascii="宋体" w:hAnsi="宋体" w:cs="宋体"/>
                <w:color w:val="auto"/>
                <w:szCs w:val="21"/>
                <w:highlight w:val="none"/>
              </w:rPr>
              <w:t>]</w:t>
            </w:r>
            <w:r>
              <w:rPr>
                <w:rFonts w:hint="eastAsia" w:ascii="宋体" w:hAnsi="宋体" w:cs="Times New Roman"/>
                <w:color w:val="auto"/>
                <w:szCs w:val="21"/>
                <w:highlight w:val="none"/>
              </w:rPr>
              <w:t>。（</w:t>
            </w:r>
            <w:r>
              <w:rPr>
                <w:rFonts w:hint="eastAsia" w:ascii="宋体" w:hAnsi="宋体" w:cs="Times New Roman"/>
                <w:b/>
                <w:color w:val="auto"/>
                <w:szCs w:val="21"/>
                <w:highlight w:val="none"/>
              </w:rPr>
              <w:t>必须提供，否则作无效投标处理</w:t>
            </w:r>
            <w:r>
              <w:rPr>
                <w:rFonts w:hint="eastAsia" w:ascii="宋体" w:hAnsi="宋体" w:cs="Times New Roman"/>
                <w:color w:val="auto"/>
                <w:szCs w:val="21"/>
                <w:highlight w:val="none"/>
              </w:rPr>
              <w:t>）</w:t>
            </w:r>
          </w:p>
          <w:p w14:paraId="78DBF7BE">
            <w:pPr>
              <w:keepNext w:val="0"/>
              <w:keepLines w:val="0"/>
              <w:suppressLineNumbers w:val="0"/>
              <w:snapToGrid w:val="0"/>
              <w:spacing w:before="0" w:beforeAutospacing="0" w:after="0" w:afterAutospacing="0" w:line="380" w:lineRule="exact"/>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5、投标人直接控股、管理关系信息表。（</w:t>
            </w:r>
            <w:r>
              <w:rPr>
                <w:rFonts w:hint="eastAsia" w:ascii="宋体" w:hAnsi="宋体" w:cs="Times New Roman"/>
                <w:b/>
                <w:color w:val="auto"/>
                <w:szCs w:val="21"/>
                <w:highlight w:val="none"/>
              </w:rPr>
              <w:t>必须提供，否则作无效投标处理</w:t>
            </w:r>
            <w:r>
              <w:rPr>
                <w:rFonts w:hint="eastAsia" w:ascii="宋体" w:hAnsi="宋体" w:cs="Times New Roman"/>
                <w:color w:val="auto"/>
                <w:szCs w:val="21"/>
                <w:highlight w:val="none"/>
              </w:rPr>
              <w:t>）</w:t>
            </w:r>
          </w:p>
          <w:p w14:paraId="78781BCD">
            <w:pPr>
              <w:keepNext w:val="0"/>
              <w:keepLines w:val="0"/>
              <w:numPr>
                <w:ilvl w:val="0"/>
                <w:numId w:val="3"/>
              </w:numPr>
              <w:suppressLineNumbers w:val="0"/>
              <w:snapToGrid w:val="0"/>
              <w:spacing w:before="0" w:beforeAutospacing="0" w:after="0" w:afterAutospacing="0" w:line="380" w:lineRule="exact"/>
              <w:ind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投标资格声明。（</w:t>
            </w:r>
            <w:r>
              <w:rPr>
                <w:rFonts w:hint="eastAsia" w:ascii="宋体" w:hAnsi="宋体" w:cs="Times New Roman"/>
                <w:b/>
                <w:color w:val="auto"/>
                <w:szCs w:val="21"/>
                <w:highlight w:val="none"/>
              </w:rPr>
              <w:t>必须提供，否则作无效投标处理</w:t>
            </w:r>
            <w:r>
              <w:rPr>
                <w:rFonts w:hint="eastAsia" w:ascii="宋体" w:hAnsi="宋体" w:cs="Times New Roman"/>
                <w:color w:val="auto"/>
                <w:szCs w:val="21"/>
                <w:highlight w:val="none"/>
              </w:rPr>
              <w:t>）</w:t>
            </w:r>
          </w:p>
          <w:p w14:paraId="0A1667A3">
            <w:pPr>
              <w:keepNext w:val="0"/>
              <w:keepLines w:val="0"/>
              <w:numPr>
                <w:ilvl w:val="0"/>
                <w:numId w:val="3"/>
              </w:numPr>
              <w:suppressLineNumbers w:val="0"/>
              <w:snapToGrid w:val="0"/>
              <w:spacing w:before="0" w:beforeAutospacing="0" w:after="0" w:afterAutospacing="0" w:line="380" w:lineRule="exact"/>
              <w:ind w:right="0"/>
              <w:jc w:val="left"/>
              <w:rPr>
                <w:rFonts w:hint="default" w:ascii="Times New Roman" w:hAnsi="Times New Roman" w:cs="Times New Roman"/>
                <w:color w:val="auto"/>
                <w:highlight w:val="none"/>
              </w:rPr>
            </w:pPr>
            <w:r>
              <w:rPr>
                <w:rFonts w:hint="eastAsia" w:ascii="宋体" w:hAnsi="宋体" w:cs="Times New Roman"/>
                <w:color w:val="auto"/>
                <w:szCs w:val="21"/>
                <w:highlight w:val="none"/>
              </w:rPr>
              <w:t>本项目的特定资格要求；</w:t>
            </w:r>
            <w:r>
              <w:rPr>
                <w:rFonts w:hint="eastAsia" w:ascii="Arial" w:hAnsi="Arial" w:cs="Arial"/>
                <w:bCs/>
                <w:color w:val="auto"/>
                <w:kern w:val="0"/>
                <w:szCs w:val="21"/>
                <w:highlight w:val="none"/>
                <w:u w:val="single"/>
              </w:rPr>
              <w:t>投标单位应具备：（1）住房城乡建设主管部门颁发的工程设计综合</w:t>
            </w:r>
            <w:r>
              <w:rPr>
                <w:rFonts w:hint="eastAsia" w:ascii="Arial" w:hAnsi="Arial" w:cs="Arial"/>
                <w:bCs/>
                <w:color w:val="auto"/>
                <w:kern w:val="0"/>
                <w:szCs w:val="21"/>
                <w:highlight w:val="none"/>
                <w:u w:val="single"/>
                <w:lang w:val="en-US" w:eastAsia="zh-CN"/>
              </w:rPr>
              <w:t>甲级</w:t>
            </w:r>
            <w:r>
              <w:rPr>
                <w:rFonts w:hint="eastAsia" w:ascii="Arial" w:hAnsi="Arial" w:cs="Arial"/>
                <w:bCs/>
                <w:color w:val="auto"/>
                <w:kern w:val="0"/>
                <w:szCs w:val="21"/>
                <w:highlight w:val="none"/>
                <w:u w:val="single"/>
              </w:rPr>
              <w:t>资质或工程设计建筑行业乙级及以上资质或工程设计建筑行业（建筑工程专业）乙级及以上资质或建筑装饰工程设计专项乙级及以上资质；</w:t>
            </w:r>
            <w:r>
              <w:rPr>
                <w:rFonts w:hint="eastAsia" w:ascii="Arial" w:hAnsi="Arial" w:cs="Arial"/>
                <w:bCs/>
                <w:color w:val="auto"/>
                <w:kern w:val="0"/>
                <w:szCs w:val="21"/>
                <w:highlight w:val="none"/>
                <w:u w:val="single"/>
                <w:lang w:val="en-US" w:eastAsia="zh-CN"/>
              </w:rPr>
              <w:t>同时具备</w:t>
            </w:r>
            <w:r>
              <w:rPr>
                <w:rFonts w:hint="eastAsia" w:ascii="Arial" w:hAnsi="Arial" w:cs="Arial"/>
                <w:bCs/>
                <w:color w:val="auto"/>
                <w:kern w:val="0"/>
                <w:szCs w:val="21"/>
                <w:highlight w:val="none"/>
                <w:u w:val="single"/>
              </w:rPr>
              <w:t>（2）住房城乡建设主管部门颁发的建筑装修装饰工程专业承包二级及以上资质。</w:t>
            </w:r>
            <w:r>
              <w:rPr>
                <w:rFonts w:hint="eastAsia" w:ascii="宋体" w:hAnsi="宋体" w:cs="Times New Roman"/>
                <w:b/>
                <w:bCs/>
                <w:color w:val="auto"/>
                <w:szCs w:val="21"/>
                <w:highlight w:val="none"/>
              </w:rPr>
              <w:t>（必须提供，否则作无效投标处理）</w:t>
            </w:r>
          </w:p>
          <w:p w14:paraId="1719ADEA">
            <w:pPr>
              <w:keepNext w:val="0"/>
              <w:keepLines w:val="0"/>
              <w:suppressLineNumbers w:val="0"/>
              <w:snapToGrid w:val="0"/>
              <w:spacing w:before="0" w:beforeAutospacing="0" w:after="0" w:afterAutospacing="0" w:line="380" w:lineRule="exact"/>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lang w:val="en-US" w:eastAsia="zh-CN"/>
              </w:rPr>
              <w:t>8</w:t>
            </w:r>
            <w:r>
              <w:rPr>
                <w:rFonts w:hint="eastAsia" w:ascii="宋体" w:hAnsi="宋体" w:cs="Times New Roman"/>
                <w:color w:val="auto"/>
                <w:szCs w:val="21"/>
                <w:highlight w:val="none"/>
              </w:rPr>
              <w:t>、除招标文件规定必须提供以外，投标人认为需要提供的其他证明材料。</w:t>
            </w:r>
          </w:p>
          <w:p w14:paraId="34E7F4B3">
            <w:pPr>
              <w:keepNext w:val="0"/>
              <w:keepLines w:val="0"/>
              <w:suppressLineNumbers w:val="0"/>
              <w:snapToGrid w:val="0"/>
              <w:spacing w:before="0" w:beforeAutospacing="0" w:after="0" w:afterAutospacing="0" w:line="380" w:lineRule="exact"/>
              <w:ind w:left="0" w:right="0"/>
              <w:jc w:val="left"/>
              <w:rPr>
                <w:rFonts w:hint="default" w:ascii="宋体" w:hAnsi="宋体" w:cs="Courier New"/>
                <w:b/>
                <w:color w:val="auto"/>
                <w:szCs w:val="21"/>
                <w:highlight w:val="none"/>
              </w:rPr>
            </w:pPr>
            <w:r>
              <w:rPr>
                <w:rFonts w:hint="eastAsia" w:ascii="宋体" w:hAnsi="宋体" w:cs="Times New Roman"/>
                <w:b/>
                <w:bCs/>
                <w:color w:val="auto"/>
                <w:szCs w:val="21"/>
                <w:highlight w:val="none"/>
              </w:rPr>
              <w:t>注：1.</w:t>
            </w:r>
            <w:r>
              <w:rPr>
                <w:rFonts w:hint="eastAsia" w:ascii="宋体" w:hAnsi="宋体" w:cs="Times New Roman"/>
                <w:color w:val="auto"/>
                <w:szCs w:val="21"/>
                <w:highlight w:val="none"/>
              </w:rPr>
              <w:t xml:space="preserve"> </w:t>
            </w:r>
            <w:r>
              <w:rPr>
                <w:rFonts w:hint="eastAsia" w:ascii="宋体" w:hAnsi="宋体" w:cs="Times New Roman"/>
                <w:b/>
                <w:bCs/>
                <w:color w:val="auto"/>
                <w:szCs w:val="21"/>
                <w:highlight w:val="none"/>
              </w:rPr>
              <w:t>以上标明“必须提供”的材料，必须加盖投标人电子公章，否则</w:t>
            </w:r>
            <w:r>
              <w:rPr>
                <w:rFonts w:hint="eastAsia" w:ascii="宋体" w:hAnsi="宋体" w:cs="Courier New"/>
                <w:b/>
                <w:color w:val="auto"/>
                <w:szCs w:val="21"/>
                <w:highlight w:val="none"/>
              </w:rPr>
              <w:t>作无效投标处理。</w:t>
            </w:r>
          </w:p>
          <w:p w14:paraId="6B9C201A">
            <w:pPr>
              <w:keepNext w:val="0"/>
              <w:keepLines w:val="0"/>
              <w:suppressLineNumbers w:val="0"/>
              <w:snapToGrid w:val="0"/>
              <w:spacing w:before="0" w:beforeAutospacing="0" w:after="0" w:afterAutospacing="0" w:line="380" w:lineRule="exact"/>
              <w:ind w:left="0" w:right="0" w:firstLine="422" w:firstLineChars="200"/>
              <w:jc w:val="left"/>
              <w:rPr>
                <w:rFonts w:hint="default" w:ascii="宋体" w:hAnsi="宋体" w:cs="Times New Roman"/>
                <w:b/>
                <w:bCs/>
                <w:color w:val="auto"/>
                <w:szCs w:val="21"/>
                <w:highlight w:val="none"/>
              </w:rPr>
            </w:pPr>
            <w:r>
              <w:rPr>
                <w:rFonts w:hint="eastAsia" w:ascii="宋体" w:hAnsi="宋体" w:cs="Courier New"/>
                <w:b/>
                <w:color w:val="auto"/>
                <w:szCs w:val="21"/>
                <w:highlight w:val="none"/>
              </w:rPr>
              <w:t>2</w:t>
            </w:r>
            <w:r>
              <w:rPr>
                <w:rFonts w:hint="eastAsia" w:ascii="宋体" w:hAnsi="宋体" w:cs="Times New Roman"/>
                <w:b/>
                <w:bCs/>
                <w:color w:val="auto"/>
                <w:szCs w:val="21"/>
                <w:highlight w:val="none"/>
              </w:rPr>
              <w:t>.联合体投标时，第1-5项资格证明文件联合体各方均必须分别提供，联合体各方分别盖章，否则投标文件按无效响应处理。</w:t>
            </w:r>
          </w:p>
        </w:tc>
      </w:tr>
      <w:tr w14:paraId="782BD8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nil"/>
              <w:left w:val="single" w:color="auto" w:sz="4" w:space="0"/>
              <w:bottom w:val="nil"/>
              <w:right w:val="single" w:color="auto" w:sz="4" w:space="0"/>
            </w:tcBorders>
            <w:noWrap w:val="0"/>
            <w:vAlign w:val="center"/>
          </w:tcPr>
          <w:p w14:paraId="621F10B4">
            <w:pPr>
              <w:keepNext w:val="0"/>
              <w:keepLines w:val="0"/>
              <w:suppressLineNumbers w:val="0"/>
              <w:spacing w:before="0" w:beforeAutospacing="0" w:after="0" w:afterAutospacing="0" w:line="380" w:lineRule="exact"/>
              <w:ind w:left="0" w:right="0"/>
              <w:rPr>
                <w:rFonts w:hint="default" w:ascii="宋体" w:hAnsi="宋体" w:cs="Times New Roman"/>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14:paraId="53708D00">
            <w:pPr>
              <w:keepNext w:val="0"/>
              <w:keepLines w:val="0"/>
              <w:suppressLineNumbers w:val="0"/>
              <w:snapToGrid w:val="0"/>
              <w:spacing w:before="0" w:beforeAutospacing="0" w:after="0" w:afterAutospacing="0" w:line="380" w:lineRule="exact"/>
              <w:ind w:left="0" w:right="0"/>
              <w:jc w:val="left"/>
              <w:rPr>
                <w:rFonts w:hint="default" w:ascii="宋体" w:hAnsi="宋体" w:cs="Courier New"/>
                <w:color w:val="auto"/>
                <w:szCs w:val="21"/>
                <w:highlight w:val="none"/>
              </w:rPr>
            </w:pPr>
            <w:bookmarkStart w:id="46" w:name="_13.3"/>
            <w:bookmarkEnd w:id="46"/>
            <w:r>
              <w:rPr>
                <w:rFonts w:hint="eastAsia" w:ascii="宋体" w:hAnsi="宋体" w:cs="Courier New"/>
                <w:color w:val="auto"/>
                <w:szCs w:val="21"/>
                <w:highlight w:val="none"/>
              </w:rPr>
              <w:t>商务文件组成</w:t>
            </w:r>
          </w:p>
          <w:p w14:paraId="6486B2AA">
            <w:pPr>
              <w:keepNext w:val="0"/>
              <w:keepLines w:val="0"/>
              <w:suppressLineNumbers w:val="0"/>
              <w:spacing w:before="0" w:beforeAutospacing="0" w:after="0" w:afterAutospacing="0" w:line="380" w:lineRule="exact"/>
              <w:ind w:left="0" w:right="0"/>
              <w:rPr>
                <w:rFonts w:hint="default" w:ascii="宋体" w:hAnsi="宋体" w:cs="Times New Roman"/>
                <w:color w:val="auto"/>
                <w:szCs w:val="21"/>
                <w:highlight w:val="none"/>
              </w:rPr>
            </w:pPr>
          </w:p>
        </w:tc>
        <w:tc>
          <w:tcPr>
            <w:tcW w:w="7297" w:type="dxa"/>
            <w:tcBorders>
              <w:top w:val="single" w:color="auto" w:sz="4" w:space="0"/>
              <w:left w:val="single" w:color="auto" w:sz="4" w:space="0"/>
              <w:bottom w:val="single" w:color="auto" w:sz="4" w:space="0"/>
              <w:right w:val="single" w:color="auto" w:sz="4" w:space="0"/>
            </w:tcBorders>
            <w:noWrap w:val="0"/>
            <w:vAlign w:val="center"/>
          </w:tcPr>
          <w:p w14:paraId="5B543323">
            <w:pPr>
              <w:keepNext w:val="0"/>
              <w:keepLines w:val="0"/>
              <w:suppressLineNumbers w:val="0"/>
              <w:snapToGrid w:val="0"/>
              <w:spacing w:before="0" w:beforeAutospacing="0" w:after="0" w:afterAutospacing="0" w:line="380" w:lineRule="exact"/>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1、无串通投标行为的承诺函；（</w:t>
            </w:r>
            <w:r>
              <w:rPr>
                <w:rFonts w:hint="eastAsia" w:ascii="宋体" w:hAnsi="宋体" w:cs="Times New Roman"/>
                <w:b/>
                <w:color w:val="auto"/>
                <w:szCs w:val="21"/>
                <w:highlight w:val="none"/>
              </w:rPr>
              <w:t>必须提供，否则作无效投标处理</w:t>
            </w:r>
            <w:r>
              <w:rPr>
                <w:rFonts w:hint="eastAsia" w:ascii="宋体" w:hAnsi="宋体" w:cs="Times New Roman"/>
                <w:color w:val="auto"/>
                <w:szCs w:val="21"/>
                <w:highlight w:val="none"/>
              </w:rPr>
              <w:t>）</w:t>
            </w:r>
          </w:p>
          <w:p w14:paraId="03BA5497">
            <w:pPr>
              <w:keepNext w:val="0"/>
              <w:keepLines w:val="0"/>
              <w:suppressLineNumbers w:val="0"/>
              <w:snapToGrid w:val="0"/>
              <w:spacing w:before="0" w:beforeAutospacing="0" w:after="0" w:afterAutospacing="0" w:line="380" w:lineRule="exact"/>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2、法定代表人身份证明及法定代表人有效身份证正反面复印件；（</w:t>
            </w:r>
            <w:r>
              <w:rPr>
                <w:rFonts w:hint="eastAsia" w:ascii="宋体" w:hAnsi="宋体" w:cs="宋体"/>
                <w:b/>
                <w:bCs/>
                <w:color w:val="auto"/>
                <w:szCs w:val="21"/>
                <w:highlight w:val="none"/>
              </w:rPr>
              <w:t>除自然人投标外</w:t>
            </w:r>
            <w:r>
              <w:rPr>
                <w:rFonts w:hint="eastAsia" w:ascii="宋体" w:hAnsi="宋体" w:cs="Times New Roman"/>
                <w:b/>
                <w:color w:val="auto"/>
                <w:szCs w:val="21"/>
                <w:highlight w:val="none"/>
              </w:rPr>
              <w:t>必须提供，否则作无效投标处理</w:t>
            </w:r>
            <w:r>
              <w:rPr>
                <w:rFonts w:hint="eastAsia" w:ascii="宋体" w:hAnsi="宋体" w:cs="Times New Roman"/>
                <w:color w:val="auto"/>
                <w:szCs w:val="21"/>
                <w:highlight w:val="none"/>
              </w:rPr>
              <w:t>）</w:t>
            </w:r>
          </w:p>
          <w:p w14:paraId="1CB7CD5D">
            <w:pPr>
              <w:keepNext w:val="0"/>
              <w:keepLines w:val="0"/>
              <w:suppressLineNumbers w:val="0"/>
              <w:snapToGrid w:val="0"/>
              <w:spacing w:before="0" w:beforeAutospacing="0" w:after="0" w:afterAutospacing="0" w:line="380" w:lineRule="exact"/>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3、法定代表人授权委托书及委托代理人有效身份证正反面复印件；（</w:t>
            </w:r>
            <w:r>
              <w:rPr>
                <w:rFonts w:hint="eastAsia" w:ascii="宋体" w:hAnsi="宋体" w:cs="Times New Roman"/>
                <w:b/>
                <w:color w:val="auto"/>
                <w:szCs w:val="21"/>
                <w:highlight w:val="none"/>
              </w:rPr>
              <w:t>委托时必须提供，否则作无效投标处理</w:t>
            </w:r>
            <w:r>
              <w:rPr>
                <w:rFonts w:hint="eastAsia" w:ascii="宋体" w:hAnsi="宋体" w:cs="Times New Roman"/>
                <w:color w:val="auto"/>
                <w:szCs w:val="21"/>
                <w:highlight w:val="none"/>
              </w:rPr>
              <w:t>）</w:t>
            </w:r>
          </w:p>
          <w:p w14:paraId="5CF4A68B">
            <w:pPr>
              <w:keepNext w:val="0"/>
              <w:keepLines w:val="0"/>
              <w:suppressLineNumbers w:val="0"/>
              <w:snapToGrid w:val="0"/>
              <w:spacing w:before="0" w:beforeAutospacing="0" w:after="0" w:afterAutospacing="0" w:line="380" w:lineRule="exact"/>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4、商务条款偏离表；（</w:t>
            </w:r>
            <w:r>
              <w:rPr>
                <w:rFonts w:hint="eastAsia" w:ascii="宋体" w:hAnsi="宋体" w:cs="Times New Roman"/>
                <w:b/>
                <w:color w:val="auto"/>
                <w:szCs w:val="21"/>
                <w:highlight w:val="none"/>
              </w:rPr>
              <w:t>必须提供，否则作无效投标处理</w:t>
            </w:r>
            <w:r>
              <w:rPr>
                <w:rFonts w:hint="eastAsia" w:ascii="宋体" w:hAnsi="宋体" w:cs="Times New Roman"/>
                <w:color w:val="auto"/>
                <w:szCs w:val="21"/>
                <w:highlight w:val="none"/>
              </w:rPr>
              <w:t>）</w:t>
            </w:r>
          </w:p>
          <w:p w14:paraId="5668A98A">
            <w:pPr>
              <w:keepNext w:val="0"/>
              <w:keepLines w:val="0"/>
              <w:suppressLineNumbers w:val="0"/>
              <w:snapToGrid w:val="0"/>
              <w:spacing w:before="0" w:beforeAutospacing="0" w:after="0" w:afterAutospacing="0" w:line="380" w:lineRule="exact"/>
              <w:ind w:left="0" w:right="0"/>
              <w:jc w:val="left"/>
              <w:rPr>
                <w:rFonts w:hint="default" w:ascii="宋体" w:hAnsi="宋体" w:eastAsia="宋体" w:cs="Times New Roman"/>
                <w:color w:val="auto"/>
                <w:szCs w:val="21"/>
                <w:highlight w:val="none"/>
                <w:lang w:eastAsia="zh-CN"/>
              </w:rPr>
            </w:pPr>
            <w:r>
              <w:rPr>
                <w:rFonts w:hint="eastAsia" w:ascii="宋体" w:hAnsi="宋体" w:cs="Times New Roman"/>
                <w:color w:val="auto"/>
                <w:szCs w:val="21"/>
                <w:highlight w:val="none"/>
              </w:rPr>
              <w:t>5、投标人情况介绍；</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bidi="ar"/>
              </w:rPr>
              <w:t>如有请提供</w:t>
            </w:r>
            <w:r>
              <w:rPr>
                <w:rFonts w:hint="eastAsia" w:ascii="宋体" w:hAnsi="宋体" w:cs="Times New Roman"/>
                <w:color w:val="auto"/>
                <w:szCs w:val="21"/>
                <w:highlight w:val="none"/>
                <w:lang w:eastAsia="zh-CN"/>
              </w:rPr>
              <w:t>）</w:t>
            </w:r>
          </w:p>
          <w:p w14:paraId="3DCA4817">
            <w:pPr>
              <w:keepNext w:val="0"/>
              <w:keepLines w:val="0"/>
              <w:suppressLineNumbers w:val="0"/>
              <w:snapToGrid w:val="0"/>
              <w:spacing w:before="0" w:beforeAutospacing="0" w:after="0" w:afterAutospacing="0" w:line="380" w:lineRule="exact"/>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6、除招标文件规定必须提供以外，投标人认为需要提供的其他证明材料。（投标人根据“第二章 采购需求”及“第四章 评标方法及评标标准”提供有关证明材料）。</w:t>
            </w:r>
          </w:p>
          <w:p w14:paraId="3C016047">
            <w:pPr>
              <w:keepNext w:val="0"/>
              <w:keepLines w:val="0"/>
              <w:suppressLineNumbers w:val="0"/>
              <w:snapToGrid w:val="0"/>
              <w:spacing w:before="0" w:beforeAutospacing="0" w:after="0" w:afterAutospacing="0" w:line="380" w:lineRule="exact"/>
              <w:ind w:left="0" w:right="0"/>
              <w:jc w:val="left"/>
              <w:rPr>
                <w:rFonts w:hint="default" w:ascii="宋体" w:hAnsi="宋体" w:cs="Times New Roman"/>
                <w:b/>
                <w:bCs/>
                <w:color w:val="auto"/>
                <w:szCs w:val="21"/>
                <w:highlight w:val="none"/>
              </w:rPr>
            </w:pPr>
            <w:r>
              <w:rPr>
                <w:rFonts w:hint="eastAsia" w:ascii="宋体" w:hAnsi="宋体" w:cs="Times New Roman"/>
                <w:b/>
                <w:bCs/>
                <w:color w:val="auto"/>
                <w:szCs w:val="21"/>
                <w:highlight w:val="none"/>
              </w:rPr>
              <w:t>注： 1.法定代表人授权委托书必须由法定代表人及委托代理人签字，并加盖投标人公章，否则作无效投标处理。</w:t>
            </w:r>
          </w:p>
          <w:p w14:paraId="3F75FD8E">
            <w:pPr>
              <w:keepNext w:val="0"/>
              <w:keepLines w:val="0"/>
              <w:suppressLineNumbers w:val="0"/>
              <w:snapToGrid w:val="0"/>
              <w:spacing w:before="0" w:beforeAutospacing="0" w:after="0" w:afterAutospacing="0" w:line="380" w:lineRule="exact"/>
              <w:ind w:left="0" w:right="0" w:firstLine="422" w:firstLineChars="200"/>
              <w:jc w:val="left"/>
              <w:rPr>
                <w:rFonts w:hint="default" w:ascii="宋体" w:hAnsi="宋体" w:cs="Courier New"/>
                <w:b/>
                <w:color w:val="auto"/>
                <w:szCs w:val="21"/>
                <w:highlight w:val="none"/>
              </w:rPr>
            </w:pPr>
            <w:r>
              <w:rPr>
                <w:rFonts w:hint="eastAsia" w:ascii="宋体" w:hAnsi="宋体" w:cs="Times New Roman"/>
                <w:b/>
                <w:bCs/>
                <w:color w:val="auto"/>
                <w:szCs w:val="21"/>
                <w:highlight w:val="none"/>
              </w:rPr>
              <w:t>2.</w:t>
            </w:r>
            <w:r>
              <w:rPr>
                <w:rFonts w:hint="eastAsia" w:ascii="宋体" w:hAnsi="宋体" w:cs="Times New Roman"/>
                <w:color w:val="auto"/>
                <w:szCs w:val="21"/>
                <w:highlight w:val="none"/>
              </w:rPr>
              <w:t xml:space="preserve"> </w:t>
            </w:r>
            <w:r>
              <w:rPr>
                <w:rFonts w:hint="eastAsia" w:ascii="宋体" w:hAnsi="宋体" w:cs="Times New Roman"/>
                <w:b/>
                <w:bCs/>
                <w:color w:val="auto"/>
                <w:szCs w:val="21"/>
                <w:highlight w:val="none"/>
              </w:rPr>
              <w:t>以上标明“必须提供”的材料</w:t>
            </w:r>
            <w:r>
              <w:rPr>
                <w:rFonts w:hint="eastAsia" w:ascii="宋体" w:hAnsi="宋体" w:cs="宋体"/>
                <w:b/>
                <w:color w:val="auto"/>
                <w:szCs w:val="21"/>
                <w:highlight w:val="none"/>
              </w:rPr>
              <w:t xml:space="preserve"> </w:t>
            </w:r>
            <w:r>
              <w:rPr>
                <w:rFonts w:hint="eastAsia" w:ascii="宋体" w:hAnsi="宋体" w:cs="Times New Roman"/>
                <w:b/>
                <w:bCs/>
                <w:color w:val="auto"/>
                <w:szCs w:val="21"/>
                <w:highlight w:val="none"/>
              </w:rPr>
              <w:t>，必须加盖投标人电子公章，否则</w:t>
            </w:r>
            <w:r>
              <w:rPr>
                <w:rFonts w:hint="eastAsia" w:ascii="宋体" w:hAnsi="宋体" w:cs="Courier New"/>
                <w:b/>
                <w:color w:val="auto"/>
                <w:szCs w:val="21"/>
                <w:highlight w:val="none"/>
              </w:rPr>
              <w:t>作无效投标处理</w:t>
            </w:r>
            <w:r>
              <w:rPr>
                <w:rFonts w:hint="eastAsia" w:ascii="宋体" w:hAnsi="宋体" w:cs="Times New Roman"/>
                <w:b/>
                <w:bCs/>
                <w:color w:val="auto"/>
                <w:szCs w:val="21"/>
                <w:highlight w:val="none"/>
              </w:rPr>
              <w:t>。</w:t>
            </w:r>
          </w:p>
        </w:tc>
      </w:tr>
      <w:tr w14:paraId="530358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vMerge w:val="restart"/>
            <w:tcBorders>
              <w:top w:val="nil"/>
              <w:left w:val="single" w:color="auto" w:sz="4" w:space="0"/>
              <w:bottom w:val="single" w:color="auto" w:sz="4" w:space="0"/>
              <w:right w:val="single" w:color="auto" w:sz="4" w:space="0"/>
            </w:tcBorders>
            <w:noWrap w:val="0"/>
            <w:vAlign w:val="center"/>
          </w:tcPr>
          <w:p w14:paraId="32CD8176">
            <w:pPr>
              <w:keepNext w:val="0"/>
              <w:keepLines w:val="0"/>
              <w:suppressLineNumbers w:val="0"/>
              <w:spacing w:before="0" w:beforeAutospacing="0" w:after="0" w:afterAutospacing="0" w:line="380" w:lineRule="exact"/>
              <w:ind w:left="0" w:right="0"/>
              <w:rPr>
                <w:rFonts w:hint="default" w:ascii="宋体" w:hAnsi="宋体" w:cs="Times New Roman"/>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14:paraId="7A25D6ED">
            <w:pPr>
              <w:keepNext w:val="0"/>
              <w:keepLines w:val="0"/>
              <w:suppressLineNumbers w:val="0"/>
              <w:snapToGrid w:val="0"/>
              <w:spacing w:before="0" w:beforeAutospacing="0" w:after="0" w:afterAutospacing="0" w:line="380" w:lineRule="exact"/>
              <w:ind w:left="0" w:right="0"/>
              <w:jc w:val="left"/>
              <w:rPr>
                <w:rFonts w:hint="default" w:ascii="宋体" w:hAnsi="宋体" w:cs="Courier New"/>
                <w:color w:val="auto"/>
                <w:szCs w:val="21"/>
                <w:highlight w:val="none"/>
              </w:rPr>
            </w:pPr>
            <w:bookmarkStart w:id="47" w:name="_13.4"/>
            <w:bookmarkEnd w:id="47"/>
            <w:r>
              <w:rPr>
                <w:rFonts w:hint="eastAsia" w:ascii="宋体" w:hAnsi="宋体" w:cs="Courier New"/>
                <w:color w:val="auto"/>
                <w:szCs w:val="21"/>
                <w:highlight w:val="none"/>
              </w:rPr>
              <w:t>技术文件组成</w:t>
            </w:r>
          </w:p>
          <w:p w14:paraId="7203795D">
            <w:pPr>
              <w:keepNext w:val="0"/>
              <w:keepLines w:val="0"/>
              <w:suppressLineNumbers w:val="0"/>
              <w:spacing w:before="0" w:beforeAutospacing="0" w:after="0" w:afterAutospacing="0" w:line="380" w:lineRule="exact"/>
              <w:ind w:left="0" w:right="0"/>
              <w:rPr>
                <w:rFonts w:hint="default" w:ascii="宋体" w:hAnsi="宋体" w:cs="Times New Roman"/>
                <w:color w:val="auto"/>
                <w:szCs w:val="21"/>
                <w:highlight w:val="none"/>
              </w:rPr>
            </w:pPr>
          </w:p>
        </w:tc>
        <w:tc>
          <w:tcPr>
            <w:tcW w:w="7297" w:type="dxa"/>
            <w:tcBorders>
              <w:top w:val="single" w:color="auto" w:sz="4" w:space="0"/>
              <w:left w:val="single" w:color="auto" w:sz="4" w:space="0"/>
              <w:bottom w:val="single" w:color="auto" w:sz="4" w:space="0"/>
              <w:right w:val="single" w:color="auto" w:sz="4" w:space="0"/>
            </w:tcBorders>
            <w:noWrap w:val="0"/>
            <w:vAlign w:val="center"/>
          </w:tcPr>
          <w:p w14:paraId="406090F4">
            <w:pPr>
              <w:keepNext w:val="0"/>
              <w:keepLines w:val="0"/>
              <w:suppressLineNumbers w:val="0"/>
              <w:snapToGrid w:val="0"/>
              <w:spacing w:before="0" w:beforeAutospacing="0" w:after="0" w:afterAutospacing="0" w:line="380" w:lineRule="exact"/>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1、服务需求、技术需求偏离表；（</w:t>
            </w:r>
            <w:r>
              <w:rPr>
                <w:rFonts w:hint="eastAsia" w:ascii="宋体" w:hAnsi="宋体" w:cs="Times New Roman"/>
                <w:b/>
                <w:color w:val="auto"/>
                <w:szCs w:val="21"/>
                <w:highlight w:val="none"/>
              </w:rPr>
              <w:t>必须提供，否则作无效投标处理</w:t>
            </w:r>
            <w:r>
              <w:rPr>
                <w:rFonts w:hint="eastAsia" w:ascii="宋体" w:hAnsi="宋体" w:cs="Times New Roman"/>
                <w:color w:val="auto"/>
                <w:szCs w:val="21"/>
                <w:highlight w:val="none"/>
              </w:rPr>
              <w:t>）</w:t>
            </w:r>
          </w:p>
          <w:p w14:paraId="00C672A2">
            <w:pPr>
              <w:keepNext w:val="0"/>
              <w:keepLines w:val="0"/>
              <w:suppressLineNumbers w:val="0"/>
              <w:snapToGrid w:val="0"/>
              <w:spacing w:before="0" w:beforeAutospacing="0" w:after="0" w:afterAutospacing="0" w:line="380" w:lineRule="exact"/>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2、</w:t>
            </w:r>
            <w:r>
              <w:rPr>
                <w:rFonts w:hint="eastAsia" w:ascii="宋体" w:hAnsi="宋体" w:cs="Times New Roman"/>
                <w:color w:val="auto"/>
                <w:szCs w:val="21"/>
                <w:highlight w:val="none"/>
                <w:lang w:bidi="ar"/>
              </w:rPr>
              <w:t>组织服务方案（格式自拟，如有请提供）；</w:t>
            </w:r>
          </w:p>
          <w:p w14:paraId="6DB37EC1">
            <w:pPr>
              <w:keepNext w:val="0"/>
              <w:keepLines w:val="0"/>
              <w:suppressLineNumbers w:val="0"/>
              <w:snapToGrid w:val="0"/>
              <w:spacing w:before="0" w:beforeAutospacing="0" w:after="0" w:afterAutospacing="0" w:line="380" w:lineRule="exact"/>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3、售后服务方案；（</w:t>
            </w:r>
            <w:r>
              <w:rPr>
                <w:rFonts w:hint="eastAsia" w:ascii="宋体" w:hAnsi="宋体" w:cs="Times New Roman"/>
                <w:b/>
                <w:color w:val="auto"/>
                <w:szCs w:val="21"/>
                <w:highlight w:val="none"/>
              </w:rPr>
              <w:t>必须提供，否则作无效投标处理</w:t>
            </w:r>
            <w:r>
              <w:rPr>
                <w:rFonts w:hint="eastAsia" w:ascii="宋体" w:hAnsi="宋体" w:cs="Times New Roman"/>
                <w:color w:val="auto"/>
                <w:szCs w:val="21"/>
                <w:highlight w:val="none"/>
              </w:rPr>
              <w:t>）</w:t>
            </w:r>
          </w:p>
          <w:p w14:paraId="07AF84D8">
            <w:pPr>
              <w:keepNext w:val="0"/>
              <w:keepLines w:val="0"/>
              <w:suppressLineNumbers w:val="0"/>
              <w:snapToGrid w:val="0"/>
              <w:spacing w:before="0" w:beforeAutospacing="0" w:after="0" w:afterAutospacing="0" w:line="380" w:lineRule="exact"/>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4、项目实施人员一览表；</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bidi="ar"/>
              </w:rPr>
              <w:t>如有请提供</w:t>
            </w:r>
            <w:r>
              <w:rPr>
                <w:rFonts w:hint="eastAsia" w:ascii="宋体" w:hAnsi="宋体" w:cs="Times New Roman"/>
                <w:color w:val="auto"/>
                <w:szCs w:val="21"/>
                <w:highlight w:val="none"/>
                <w:lang w:eastAsia="zh-CN"/>
              </w:rPr>
              <w:t>）</w:t>
            </w:r>
          </w:p>
          <w:p w14:paraId="1B96788E">
            <w:pPr>
              <w:keepNext w:val="0"/>
              <w:keepLines w:val="0"/>
              <w:suppressLineNumbers w:val="0"/>
              <w:snapToGrid w:val="0"/>
              <w:spacing w:before="0" w:beforeAutospacing="0" w:after="0" w:afterAutospacing="0" w:line="380" w:lineRule="exact"/>
              <w:ind w:left="0" w:right="0"/>
              <w:jc w:val="left"/>
              <w:rPr>
                <w:rFonts w:hint="default" w:ascii="宋体" w:hAnsi="宋体" w:cs="Times New Roman"/>
                <w:color w:val="auto"/>
                <w:szCs w:val="21"/>
                <w:highlight w:val="none"/>
                <w:lang w:eastAsia="zh-CN"/>
              </w:rPr>
            </w:pPr>
            <w:r>
              <w:rPr>
                <w:rFonts w:hint="eastAsia" w:ascii="宋体" w:hAnsi="宋体" w:cs="Times New Roman"/>
                <w:color w:val="auto"/>
                <w:szCs w:val="21"/>
                <w:highlight w:val="none"/>
              </w:rPr>
              <w:t>5、投标人对本项目的合理化建议和改进措施；</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bidi="ar"/>
              </w:rPr>
              <w:t>如有请提供</w:t>
            </w:r>
            <w:r>
              <w:rPr>
                <w:rFonts w:hint="eastAsia" w:ascii="宋体" w:hAnsi="宋体" w:cs="Times New Roman"/>
                <w:color w:val="auto"/>
                <w:szCs w:val="21"/>
                <w:highlight w:val="none"/>
                <w:lang w:eastAsia="zh-CN"/>
              </w:rPr>
              <w:t>）</w:t>
            </w:r>
          </w:p>
          <w:p w14:paraId="38017C63">
            <w:pPr>
              <w:keepNext w:val="0"/>
              <w:keepLines w:val="0"/>
              <w:suppressLineNumbers w:val="0"/>
              <w:snapToGrid w:val="0"/>
              <w:spacing w:before="0" w:beforeAutospacing="0" w:after="0" w:afterAutospacing="0" w:line="380" w:lineRule="exact"/>
              <w:ind w:left="0" w:right="0"/>
              <w:jc w:val="left"/>
              <w:rPr>
                <w:rFonts w:hint="default"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6、多媒体设备清单《南宁市城市规划展示馆布展内容升级改造项目多媒体设备主要技术列表》</w:t>
            </w:r>
            <w:r>
              <w:rPr>
                <w:rFonts w:hint="eastAsia" w:ascii="宋体" w:hAnsi="宋体" w:cs="Times New Roman"/>
                <w:color w:val="auto"/>
                <w:szCs w:val="21"/>
                <w:highlight w:val="none"/>
              </w:rPr>
              <w:t>（</w:t>
            </w:r>
            <w:r>
              <w:rPr>
                <w:rFonts w:hint="eastAsia" w:ascii="宋体" w:hAnsi="宋体" w:cs="Times New Roman"/>
                <w:b/>
                <w:color w:val="auto"/>
                <w:szCs w:val="21"/>
                <w:highlight w:val="none"/>
              </w:rPr>
              <w:t>必须提供</w:t>
            </w:r>
            <w:r>
              <w:rPr>
                <w:rFonts w:hint="eastAsia" w:ascii="宋体" w:hAnsi="宋体" w:cs="Times New Roman"/>
                <w:color w:val="auto"/>
                <w:szCs w:val="21"/>
                <w:highlight w:val="none"/>
              </w:rPr>
              <w:t>）</w:t>
            </w:r>
          </w:p>
          <w:p w14:paraId="190F5130">
            <w:pPr>
              <w:keepNext w:val="0"/>
              <w:keepLines w:val="0"/>
              <w:suppressLineNumbers w:val="0"/>
              <w:snapToGrid w:val="0"/>
              <w:spacing w:before="0" w:beforeAutospacing="0" w:after="0" w:afterAutospacing="0" w:line="380" w:lineRule="exact"/>
              <w:ind w:left="0" w:right="0"/>
              <w:jc w:val="left"/>
              <w:rPr>
                <w:rFonts w:hint="default" w:ascii="宋体" w:hAnsi="宋体" w:cs="Times New Roman"/>
                <w:bCs/>
                <w:color w:val="auto"/>
                <w:szCs w:val="21"/>
                <w:highlight w:val="none"/>
              </w:rPr>
            </w:pPr>
            <w:r>
              <w:rPr>
                <w:rFonts w:hint="eastAsia" w:ascii="宋体" w:hAnsi="宋体" w:cs="Times New Roman"/>
                <w:color w:val="auto"/>
                <w:szCs w:val="21"/>
                <w:highlight w:val="none"/>
                <w:lang w:val="en-US" w:eastAsia="zh-CN"/>
              </w:rPr>
              <w:t>7</w:t>
            </w:r>
            <w:r>
              <w:rPr>
                <w:rFonts w:hint="eastAsia" w:ascii="宋体" w:hAnsi="宋体" w:cs="Times New Roman"/>
                <w:color w:val="auto"/>
                <w:szCs w:val="21"/>
                <w:highlight w:val="none"/>
              </w:rPr>
              <w:t>、除招标文件规定必须提供以外，投标人需要说明的其他文件和说明。</w:t>
            </w:r>
          </w:p>
          <w:p w14:paraId="025E3518">
            <w:pPr>
              <w:keepNext w:val="0"/>
              <w:keepLines w:val="0"/>
              <w:suppressLineNumbers w:val="0"/>
              <w:snapToGrid w:val="0"/>
              <w:spacing w:before="0" w:beforeAutospacing="0" w:after="0" w:afterAutospacing="0" w:line="380" w:lineRule="exact"/>
              <w:ind w:left="0" w:right="0"/>
              <w:jc w:val="left"/>
              <w:rPr>
                <w:rFonts w:hint="default" w:ascii="宋体" w:hAnsi="宋体" w:cs="Times New Roman"/>
                <w:b/>
                <w:bCs/>
                <w:color w:val="auto"/>
                <w:szCs w:val="21"/>
                <w:highlight w:val="none"/>
              </w:rPr>
            </w:pPr>
            <w:r>
              <w:rPr>
                <w:rFonts w:hint="eastAsia" w:ascii="宋体" w:hAnsi="宋体" w:cs="Times New Roman"/>
                <w:b/>
                <w:bCs/>
                <w:color w:val="auto"/>
                <w:szCs w:val="21"/>
                <w:highlight w:val="none"/>
              </w:rPr>
              <w:t>注：以上标明“必须提供”的材料，必须加盖投标人电子公章，否则</w:t>
            </w:r>
            <w:r>
              <w:rPr>
                <w:rFonts w:hint="eastAsia" w:ascii="宋体" w:hAnsi="宋体" w:cs="Courier New"/>
                <w:b/>
                <w:color w:val="auto"/>
                <w:szCs w:val="21"/>
                <w:highlight w:val="none"/>
              </w:rPr>
              <w:t>作无效投标处理</w:t>
            </w:r>
            <w:r>
              <w:rPr>
                <w:rFonts w:hint="eastAsia" w:ascii="宋体" w:hAnsi="宋体" w:cs="Times New Roman"/>
                <w:b/>
                <w:bCs/>
                <w:color w:val="auto"/>
                <w:szCs w:val="21"/>
                <w:highlight w:val="none"/>
              </w:rPr>
              <w:t>。</w:t>
            </w:r>
          </w:p>
        </w:tc>
      </w:tr>
      <w:tr w14:paraId="433A17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vMerge w:val="continue"/>
            <w:tcBorders>
              <w:top w:val="nil"/>
              <w:left w:val="single" w:color="auto" w:sz="4" w:space="0"/>
              <w:bottom w:val="single" w:color="auto" w:sz="4" w:space="0"/>
              <w:right w:val="single" w:color="auto" w:sz="4" w:space="0"/>
            </w:tcBorders>
            <w:noWrap w:val="0"/>
            <w:vAlign w:val="center"/>
          </w:tcPr>
          <w:p w14:paraId="5B0843CF">
            <w:pPr>
              <w:keepNext w:val="0"/>
              <w:keepLines w:val="0"/>
              <w:widowControl/>
              <w:suppressLineNumbers w:val="0"/>
              <w:spacing w:before="0" w:beforeAutospacing="0" w:after="0" w:afterAutospacing="0"/>
              <w:ind w:left="0" w:right="0"/>
              <w:jc w:val="left"/>
              <w:rPr>
                <w:rFonts w:hint="default" w:ascii="宋体" w:hAnsi="宋体" w:cs="Times New Roman"/>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14:paraId="74EDE8F4">
            <w:pPr>
              <w:keepNext w:val="0"/>
              <w:keepLines w:val="0"/>
              <w:suppressLineNumbers w:val="0"/>
              <w:snapToGrid w:val="0"/>
              <w:spacing w:before="0" w:beforeAutospacing="0" w:after="0" w:afterAutospacing="0" w:line="380" w:lineRule="exact"/>
              <w:ind w:left="0" w:right="0"/>
              <w:jc w:val="left"/>
              <w:rPr>
                <w:rFonts w:hint="default" w:ascii="宋体" w:hAnsi="宋体" w:cs="Courier New"/>
                <w:color w:val="auto"/>
                <w:szCs w:val="21"/>
                <w:highlight w:val="none"/>
              </w:rPr>
            </w:pPr>
            <w:r>
              <w:rPr>
                <w:rFonts w:hint="eastAsia" w:ascii="宋体" w:hAnsi="宋体" w:cs="Courier New"/>
                <w:color w:val="auto"/>
                <w:szCs w:val="21"/>
                <w:highlight w:val="none"/>
              </w:rPr>
              <w:t>报价文件</w:t>
            </w:r>
            <w:r>
              <w:rPr>
                <w:rFonts w:hint="eastAsia" w:ascii="宋体" w:hAnsi="宋体" w:cs="Times New Roman"/>
                <w:color w:val="auto"/>
                <w:szCs w:val="21"/>
                <w:highlight w:val="none"/>
              </w:rPr>
              <w:t>组成</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0DA15C89">
            <w:pPr>
              <w:keepNext w:val="0"/>
              <w:keepLines w:val="0"/>
              <w:suppressLineNumbers w:val="0"/>
              <w:tabs>
                <w:tab w:val="left" w:pos="459"/>
              </w:tabs>
              <w:snapToGrid w:val="0"/>
              <w:spacing w:before="0" w:beforeAutospacing="0" w:after="0" w:afterAutospacing="0" w:line="380" w:lineRule="exact"/>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1、投标函；</w:t>
            </w:r>
            <w:r>
              <w:rPr>
                <w:rFonts w:hint="eastAsia" w:ascii="宋体" w:hAnsi="宋体" w:cs="Times New Roman"/>
                <w:b/>
                <w:color w:val="auto"/>
                <w:szCs w:val="21"/>
                <w:highlight w:val="none"/>
              </w:rPr>
              <w:t>（必须提供，否则作无效投标处理）</w:t>
            </w:r>
          </w:p>
          <w:p w14:paraId="522124FF">
            <w:pPr>
              <w:keepNext w:val="0"/>
              <w:keepLines w:val="0"/>
              <w:suppressLineNumbers w:val="0"/>
              <w:tabs>
                <w:tab w:val="left" w:pos="459"/>
              </w:tabs>
              <w:snapToGrid w:val="0"/>
              <w:spacing w:before="0" w:beforeAutospacing="0" w:after="0" w:afterAutospacing="0" w:line="380" w:lineRule="exact"/>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2、开标一览表；（</w:t>
            </w:r>
            <w:r>
              <w:rPr>
                <w:rFonts w:hint="eastAsia" w:ascii="宋体" w:hAnsi="宋体" w:cs="Times New Roman"/>
                <w:b/>
                <w:color w:val="auto"/>
                <w:szCs w:val="21"/>
                <w:highlight w:val="none"/>
              </w:rPr>
              <w:t>必须提供，否则作无效投标处理</w:t>
            </w:r>
            <w:r>
              <w:rPr>
                <w:rFonts w:hint="eastAsia" w:ascii="宋体" w:hAnsi="宋体" w:cs="Times New Roman"/>
                <w:color w:val="auto"/>
                <w:szCs w:val="21"/>
                <w:highlight w:val="none"/>
              </w:rPr>
              <w:t>）</w:t>
            </w:r>
          </w:p>
          <w:p w14:paraId="0CA8656E">
            <w:pPr>
              <w:keepNext w:val="0"/>
              <w:keepLines w:val="0"/>
              <w:suppressLineNumbers w:val="0"/>
              <w:tabs>
                <w:tab w:val="left" w:pos="459"/>
              </w:tabs>
              <w:snapToGrid w:val="0"/>
              <w:spacing w:before="0" w:beforeAutospacing="0" w:after="0" w:afterAutospacing="0" w:line="380" w:lineRule="exact"/>
              <w:ind w:left="0" w:right="0"/>
              <w:jc w:val="left"/>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3、</w:t>
            </w:r>
            <w:r>
              <w:rPr>
                <w:rFonts w:hint="eastAsia" w:ascii="宋体" w:hAnsi="宋体" w:cs="Times New Roman"/>
                <w:color w:val="auto"/>
                <w:szCs w:val="21"/>
                <w:highlight w:val="none"/>
              </w:rPr>
              <w:t>中小企业声明函；（</w:t>
            </w:r>
            <w:r>
              <w:rPr>
                <w:rFonts w:hint="eastAsia" w:ascii="宋体" w:hAnsi="宋体" w:cs="Times New Roman"/>
                <w:color w:val="auto"/>
                <w:szCs w:val="21"/>
                <w:highlight w:val="none"/>
                <w:lang w:bidi="ar"/>
              </w:rPr>
              <w:t>如有请提供</w:t>
            </w:r>
            <w:r>
              <w:rPr>
                <w:rFonts w:hint="eastAsia" w:ascii="宋体" w:hAnsi="宋体" w:cs="Times New Roman"/>
                <w:color w:val="auto"/>
                <w:szCs w:val="21"/>
                <w:highlight w:val="none"/>
              </w:rPr>
              <w:t>）</w:t>
            </w:r>
          </w:p>
          <w:p w14:paraId="2B5A8134">
            <w:pPr>
              <w:keepNext w:val="0"/>
              <w:keepLines w:val="0"/>
              <w:suppressLineNumbers w:val="0"/>
              <w:tabs>
                <w:tab w:val="left" w:pos="459"/>
              </w:tabs>
              <w:snapToGrid w:val="0"/>
              <w:spacing w:before="0" w:beforeAutospacing="0" w:after="0" w:afterAutospacing="0" w:line="380" w:lineRule="exact"/>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lang w:val="en-US" w:eastAsia="zh-CN"/>
              </w:rPr>
              <w:t>4</w:t>
            </w:r>
            <w:r>
              <w:rPr>
                <w:rFonts w:hint="eastAsia" w:ascii="宋体" w:hAnsi="宋体" w:cs="Times New Roman"/>
                <w:color w:val="auto"/>
                <w:szCs w:val="21"/>
                <w:highlight w:val="none"/>
              </w:rPr>
              <w:t>、投标人针对报价需要说明的其他文件和说明。</w:t>
            </w:r>
          </w:p>
        </w:tc>
      </w:tr>
      <w:tr w14:paraId="508F46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1B5D812A">
            <w:pPr>
              <w:keepNext w:val="0"/>
              <w:keepLines w:val="0"/>
              <w:suppressLineNumbers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16.2</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68E3BFA4">
            <w:pPr>
              <w:keepNext w:val="0"/>
              <w:keepLines w:val="0"/>
              <w:suppressLineNumbers w:val="0"/>
              <w:spacing w:before="0" w:beforeAutospacing="0" w:after="0" w:afterAutospacing="0" w:line="380" w:lineRule="exact"/>
              <w:ind w:left="0" w:right="0"/>
              <w:rPr>
                <w:rFonts w:hint="default" w:ascii="宋体" w:hAnsi="宋体" w:cs="Times New Roman"/>
                <w:color w:val="auto"/>
                <w:szCs w:val="21"/>
                <w:highlight w:val="none"/>
              </w:rPr>
            </w:pPr>
            <w:bookmarkStart w:id="48" w:name="_16.2"/>
            <w:bookmarkEnd w:id="48"/>
            <w:r>
              <w:rPr>
                <w:rFonts w:hint="eastAsia" w:ascii="宋体" w:hAnsi="宋体" w:cs="Times New Roman"/>
                <w:color w:val="auto"/>
                <w:szCs w:val="21"/>
                <w:highlight w:val="none"/>
              </w:rPr>
              <w:t>投标报价要求</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15FA98A3">
            <w:pPr>
              <w:keepNext w:val="0"/>
              <w:keepLines w:val="0"/>
              <w:suppressLineNumbers w:val="0"/>
              <w:snapToGrid w:val="0"/>
              <w:spacing w:before="0" w:beforeAutospacing="0" w:after="0" w:afterAutospacing="0" w:line="380" w:lineRule="exact"/>
              <w:ind w:left="0" w:right="0"/>
              <w:rPr>
                <w:rFonts w:hint="default" w:ascii="宋体" w:hAnsi="宋体" w:cs="Times New Roman"/>
                <w:b/>
                <w:color w:val="auto"/>
                <w:szCs w:val="21"/>
                <w:highlight w:val="none"/>
              </w:rPr>
            </w:pPr>
            <w:r>
              <w:rPr>
                <w:rFonts w:hint="eastAsia" w:ascii="宋体" w:hAnsi="宋体" w:cs="Times New Roman"/>
                <w:color w:val="auto"/>
                <w:szCs w:val="21"/>
                <w:highlight w:val="none"/>
              </w:rPr>
              <w:t>投标报价是履行合同的最终价格，</w:t>
            </w:r>
            <w:r>
              <w:rPr>
                <w:rFonts w:hint="eastAsia" w:ascii="宋体" w:hAnsi="宋体" w:cs="宋体"/>
                <w:color w:val="auto"/>
                <w:szCs w:val="21"/>
                <w:highlight w:val="none"/>
              </w:rPr>
              <w:t>必须包含满足本次投标全部采购需求所应提供的服务，以及伴随的货物和工程（如有）的价格；包含投标服务、货物、工程的成本、运输（含保险）、安装（如有）、调试、检验、技术服务、培训、税费等所有费用。（采购需求另有约定的，从其约定）</w:t>
            </w:r>
          </w:p>
        </w:tc>
      </w:tr>
      <w:tr w14:paraId="0A63E5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43924A36">
            <w:pPr>
              <w:keepNext w:val="0"/>
              <w:keepLines w:val="0"/>
              <w:suppressLineNumbers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17.2</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56E8AC0D">
            <w:pPr>
              <w:keepNext w:val="0"/>
              <w:keepLines w:val="0"/>
              <w:suppressLineNumbers w:val="0"/>
              <w:spacing w:before="0" w:beforeAutospacing="0" w:after="0" w:afterAutospacing="0" w:line="380" w:lineRule="exact"/>
              <w:ind w:left="0" w:right="0"/>
              <w:rPr>
                <w:rFonts w:hint="default" w:ascii="宋体" w:hAnsi="宋体" w:cs="Times New Roman"/>
                <w:color w:val="auto"/>
                <w:szCs w:val="21"/>
                <w:highlight w:val="none"/>
              </w:rPr>
            </w:pPr>
            <w:bookmarkStart w:id="49" w:name="_17.1"/>
            <w:bookmarkEnd w:id="49"/>
            <w:r>
              <w:rPr>
                <w:rFonts w:hint="eastAsia" w:ascii="宋体" w:hAnsi="宋体" w:cs="Times New Roman"/>
                <w:color w:val="auto"/>
                <w:szCs w:val="21"/>
                <w:highlight w:val="none"/>
              </w:rPr>
              <w:t>投标有效期</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4479DF3C">
            <w:pPr>
              <w:keepNext w:val="0"/>
              <w:keepLines w:val="0"/>
              <w:suppressLineNumbers w:val="0"/>
              <w:snapToGrid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自投标截止之日起</w:t>
            </w:r>
            <w:r>
              <w:rPr>
                <w:rFonts w:hint="eastAsia" w:ascii="宋体" w:hAnsi="宋体" w:cs="Times New Roman"/>
                <w:color w:val="auto"/>
                <w:szCs w:val="21"/>
                <w:highlight w:val="none"/>
                <w:u w:val="single"/>
              </w:rPr>
              <w:t xml:space="preserve"> </w:t>
            </w:r>
            <w:bookmarkStart w:id="50" w:name="PO_3000001866_PM046"/>
            <w:r>
              <w:rPr>
                <w:rFonts w:hint="eastAsia" w:ascii="宋体" w:hAnsi="宋体" w:cs="Times New Roman"/>
                <w:color w:val="auto"/>
                <w:szCs w:val="21"/>
                <w:highlight w:val="none"/>
                <w:u w:val="single"/>
              </w:rPr>
              <w:t>90日历天</w:t>
            </w:r>
            <w:bookmarkEnd w:id="50"/>
            <w:r>
              <w:rPr>
                <w:rFonts w:hint="eastAsia" w:ascii="宋体" w:hAnsi="宋体" w:cs="Times New Roman"/>
                <w:color w:val="auto"/>
                <w:szCs w:val="21"/>
                <w:highlight w:val="none"/>
              </w:rPr>
              <w:t>。</w:t>
            </w:r>
          </w:p>
        </w:tc>
      </w:tr>
      <w:tr w14:paraId="5E94DA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6EC7AF53">
            <w:pPr>
              <w:keepNext w:val="0"/>
              <w:keepLines w:val="0"/>
              <w:suppressLineNumbers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18</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27042853">
            <w:pPr>
              <w:keepNext w:val="0"/>
              <w:keepLines w:val="0"/>
              <w:suppressLineNumbers w:val="0"/>
              <w:spacing w:before="0" w:beforeAutospacing="0" w:after="0" w:afterAutospacing="0" w:line="380" w:lineRule="exact"/>
              <w:ind w:left="0" w:right="0"/>
              <w:rPr>
                <w:rFonts w:hint="default" w:ascii="宋体" w:hAnsi="宋体" w:cs="Times New Roman"/>
                <w:color w:val="auto"/>
                <w:szCs w:val="21"/>
                <w:highlight w:val="none"/>
              </w:rPr>
            </w:pPr>
            <w:bookmarkStart w:id="51" w:name="_18"/>
            <w:bookmarkEnd w:id="51"/>
            <w:r>
              <w:rPr>
                <w:rFonts w:hint="eastAsia" w:ascii="宋体" w:hAnsi="宋体" w:cs="Times New Roman"/>
                <w:color w:val="auto"/>
                <w:szCs w:val="21"/>
                <w:highlight w:val="none"/>
              </w:rPr>
              <w:t>投标保证金金额</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6D52ADC2">
            <w:pPr>
              <w:keepNext w:val="0"/>
              <w:keepLines w:val="0"/>
              <w:suppressLineNumbers w:val="0"/>
              <w:autoSpaceDE w:val="0"/>
              <w:autoSpaceDN w:val="0"/>
              <w:snapToGrid w:val="0"/>
              <w:spacing w:before="0" w:beforeAutospacing="0" w:after="0" w:afterAutospacing="0" w:line="380" w:lineRule="exact"/>
              <w:ind w:left="0" w:right="0"/>
              <w:textAlignment w:val="bottom"/>
              <w:rPr>
                <w:rFonts w:hint="default" w:ascii="宋体" w:hAnsi="宋体" w:cs="Times New Roman"/>
                <w:color w:val="auto"/>
                <w:szCs w:val="21"/>
                <w:highlight w:val="none"/>
              </w:rPr>
            </w:pPr>
            <w:r>
              <w:rPr>
                <w:rFonts w:hint="eastAsia" w:ascii="宋体" w:hAnsi="宋体" w:cs="Times New Roman"/>
                <w:color w:val="auto"/>
                <w:szCs w:val="21"/>
                <w:highlight w:val="none"/>
              </w:rPr>
              <w:t>本项目不收取投标保证金。</w:t>
            </w:r>
          </w:p>
        </w:tc>
      </w:tr>
      <w:tr w14:paraId="07E1D8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127DBCEB">
            <w:pPr>
              <w:keepNext w:val="0"/>
              <w:keepLines w:val="0"/>
              <w:suppressLineNumbers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19.1</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434CF032">
            <w:pPr>
              <w:keepNext w:val="0"/>
              <w:keepLines w:val="0"/>
              <w:suppressLineNumbers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投标文件编制要求</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0F3CB019">
            <w:pPr>
              <w:keepNext w:val="0"/>
              <w:keepLines w:val="0"/>
              <w:suppressLineNumbers w:val="0"/>
              <w:spacing w:before="0" w:beforeAutospacing="0" w:after="0" w:afterAutospacing="0" w:line="360" w:lineRule="auto"/>
              <w:ind w:left="0" w:right="0"/>
              <w:rPr>
                <w:rFonts w:hint="default" w:ascii="宋体" w:hAnsi="宋体" w:cs="Times New Roman"/>
                <w:b/>
                <w:color w:val="auto"/>
                <w:szCs w:val="21"/>
                <w:highlight w:val="none"/>
                <w:u w:val="single"/>
              </w:rPr>
            </w:pPr>
            <w:r>
              <w:rPr>
                <w:rFonts w:hint="eastAsia" w:ascii="Times New Roman" w:hAnsi="宋体" w:cs="Times New Roman"/>
                <w:color w:val="auto"/>
                <w:szCs w:val="21"/>
                <w:highlight w:val="none"/>
              </w:rPr>
              <w:t>投标文件应按报价文件、资格证明文件、商务文件、技术文件分别编制，报价文件、资格证明文件分别生成电子文件，商务文件和技术文件按顺序合并生成电子文件。</w:t>
            </w:r>
            <w:r>
              <w:rPr>
                <w:rFonts w:hint="eastAsia" w:ascii="宋体" w:hAnsi="宋体" w:cs="Times New Roman"/>
                <w:b/>
                <w:color w:val="auto"/>
                <w:szCs w:val="21"/>
                <w:highlight w:val="none"/>
                <w:u w:val="single"/>
              </w:rPr>
              <w:t>电子版投标文件制作方式见招标公告附件。</w:t>
            </w:r>
          </w:p>
        </w:tc>
      </w:tr>
      <w:tr w14:paraId="46EB44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6FA9A5D3">
            <w:pPr>
              <w:keepNext w:val="0"/>
              <w:keepLines w:val="0"/>
              <w:suppressLineNumbers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20</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1E496AA5">
            <w:pPr>
              <w:keepNext w:val="0"/>
              <w:keepLines w:val="0"/>
              <w:suppressLineNumbers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备份投标文件</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5AD000F3">
            <w:pPr>
              <w:keepNext w:val="0"/>
              <w:keepLines w:val="0"/>
              <w:suppressLineNumbers w:val="0"/>
              <w:autoSpaceDE w:val="0"/>
              <w:autoSpaceDN w:val="0"/>
              <w:snapToGrid w:val="0"/>
              <w:spacing w:before="0" w:beforeAutospacing="0" w:after="0" w:afterAutospacing="0" w:line="380" w:lineRule="exact"/>
              <w:ind w:left="0" w:right="0"/>
              <w:textAlignment w:val="bottom"/>
              <w:rPr>
                <w:rFonts w:hint="default" w:ascii="宋体" w:hAnsi="宋体" w:cs="Times New Roman"/>
                <w:color w:val="auto"/>
                <w:szCs w:val="21"/>
                <w:highlight w:val="none"/>
              </w:rPr>
            </w:pPr>
            <w:r>
              <w:rPr>
                <w:rFonts w:hint="eastAsia" w:ascii="宋体" w:hAnsi="宋体" w:cs="Times New Roman"/>
                <w:color w:val="auto"/>
                <w:szCs w:val="21"/>
                <w:highlight w:val="none"/>
              </w:rPr>
              <w:t>本项目不接受备份投标文件。</w:t>
            </w:r>
          </w:p>
        </w:tc>
      </w:tr>
      <w:tr w14:paraId="390CED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7" w:hRule="atLeast"/>
        </w:trPr>
        <w:tc>
          <w:tcPr>
            <w:tcW w:w="675" w:type="dxa"/>
            <w:vMerge w:val="restart"/>
            <w:tcBorders>
              <w:top w:val="single" w:color="auto" w:sz="4" w:space="0"/>
              <w:left w:val="single" w:color="auto" w:sz="4" w:space="0"/>
              <w:bottom w:val="nil"/>
              <w:right w:val="single" w:color="auto" w:sz="4" w:space="0"/>
            </w:tcBorders>
            <w:noWrap w:val="0"/>
            <w:vAlign w:val="center"/>
          </w:tcPr>
          <w:p w14:paraId="27729E55">
            <w:pPr>
              <w:keepNext w:val="0"/>
              <w:keepLines w:val="0"/>
              <w:suppressLineNumbers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21.1</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63011146">
            <w:pPr>
              <w:keepNext w:val="0"/>
              <w:keepLines w:val="0"/>
              <w:suppressLineNumbers w:val="0"/>
              <w:spacing w:before="0" w:beforeAutospacing="0" w:after="0" w:afterAutospacing="0" w:line="380" w:lineRule="exact"/>
              <w:ind w:left="0" w:right="0"/>
              <w:rPr>
                <w:rFonts w:hint="default" w:ascii="宋体" w:hAnsi="宋体" w:cs="Times New Roman"/>
                <w:color w:val="auto"/>
                <w:szCs w:val="21"/>
                <w:highlight w:val="none"/>
              </w:rPr>
            </w:pPr>
            <w:bookmarkStart w:id="52" w:name="_21.1"/>
            <w:bookmarkEnd w:id="52"/>
            <w:r>
              <w:rPr>
                <w:rFonts w:hint="eastAsia" w:ascii="宋体" w:hAnsi="宋体" w:cs="Times New Roman"/>
                <w:color w:val="auto"/>
                <w:szCs w:val="21"/>
                <w:highlight w:val="none"/>
              </w:rPr>
              <w:t>投标截止时间</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5B0287DC">
            <w:pPr>
              <w:keepNext w:val="0"/>
              <w:keepLines w:val="0"/>
              <w:suppressLineNumbers w:val="0"/>
              <w:snapToGrid w:val="0"/>
              <w:spacing w:before="0" w:beforeAutospacing="0" w:after="0" w:afterAutospacing="0" w:line="380" w:lineRule="exact"/>
              <w:ind w:left="0" w:right="0"/>
              <w:rPr>
                <w:rFonts w:hint="default" w:ascii="宋体" w:hAnsi="宋体" w:cs="Times New Roman"/>
                <w:color w:val="auto"/>
                <w:szCs w:val="21"/>
                <w:highlight w:val="none"/>
                <w:u w:val="single"/>
              </w:rPr>
            </w:pPr>
            <w:r>
              <w:rPr>
                <w:rFonts w:hint="eastAsia" w:ascii="宋体" w:hAnsi="宋体" w:cs="Times New Roman"/>
                <w:color w:val="auto"/>
                <w:szCs w:val="21"/>
                <w:highlight w:val="none"/>
              </w:rPr>
              <w:t>详见招标公告</w:t>
            </w:r>
          </w:p>
        </w:tc>
      </w:tr>
      <w:tr w14:paraId="52B696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75" w:type="dxa"/>
            <w:vMerge w:val="continue"/>
            <w:tcBorders>
              <w:top w:val="single" w:color="auto" w:sz="4" w:space="0"/>
              <w:left w:val="single" w:color="auto" w:sz="4" w:space="0"/>
              <w:bottom w:val="nil"/>
              <w:right w:val="single" w:color="auto" w:sz="4" w:space="0"/>
            </w:tcBorders>
            <w:noWrap w:val="0"/>
            <w:vAlign w:val="center"/>
          </w:tcPr>
          <w:p w14:paraId="06010E23">
            <w:pPr>
              <w:keepNext w:val="0"/>
              <w:keepLines w:val="0"/>
              <w:widowControl/>
              <w:suppressLineNumbers w:val="0"/>
              <w:spacing w:before="0" w:beforeAutospacing="0" w:after="0" w:afterAutospacing="0"/>
              <w:ind w:left="0" w:right="0"/>
              <w:jc w:val="left"/>
              <w:rPr>
                <w:rFonts w:hint="default" w:ascii="宋体" w:hAnsi="宋体" w:cs="Times New Roman"/>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14:paraId="52A5E214">
            <w:pPr>
              <w:keepNext w:val="0"/>
              <w:keepLines w:val="0"/>
              <w:suppressLineNumbers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投标文件提交起止时间</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7F586BD7">
            <w:pPr>
              <w:keepNext w:val="0"/>
              <w:keepLines w:val="0"/>
              <w:suppressLineNumbers w:val="0"/>
              <w:snapToGrid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详见招标公告</w:t>
            </w:r>
          </w:p>
        </w:tc>
      </w:tr>
      <w:tr w14:paraId="45273A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8" w:hRule="atLeast"/>
        </w:trPr>
        <w:tc>
          <w:tcPr>
            <w:tcW w:w="675" w:type="dxa"/>
            <w:vMerge w:val="continue"/>
            <w:tcBorders>
              <w:top w:val="single" w:color="auto" w:sz="4" w:space="0"/>
              <w:left w:val="single" w:color="auto" w:sz="4" w:space="0"/>
              <w:bottom w:val="nil"/>
              <w:right w:val="single" w:color="auto" w:sz="4" w:space="0"/>
            </w:tcBorders>
            <w:noWrap w:val="0"/>
            <w:vAlign w:val="center"/>
          </w:tcPr>
          <w:p w14:paraId="4BCBA2FB">
            <w:pPr>
              <w:keepNext w:val="0"/>
              <w:keepLines w:val="0"/>
              <w:widowControl/>
              <w:suppressLineNumbers w:val="0"/>
              <w:spacing w:before="0" w:beforeAutospacing="0" w:after="0" w:afterAutospacing="0"/>
              <w:ind w:left="0" w:right="0"/>
              <w:jc w:val="left"/>
              <w:rPr>
                <w:rFonts w:hint="default" w:ascii="宋体" w:hAnsi="宋体" w:cs="Times New Roman"/>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14:paraId="438FFE15">
            <w:pPr>
              <w:keepNext w:val="0"/>
              <w:keepLines w:val="0"/>
              <w:suppressLineNumbers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投标地点</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61EBF886">
            <w:pPr>
              <w:keepNext w:val="0"/>
              <w:keepLines w:val="0"/>
              <w:suppressLineNumbers w:val="0"/>
              <w:snapToGrid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详见招标公告</w:t>
            </w:r>
          </w:p>
        </w:tc>
      </w:tr>
      <w:tr w14:paraId="33EE48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75" w:type="dxa"/>
            <w:vMerge w:val="continue"/>
            <w:tcBorders>
              <w:top w:val="single" w:color="auto" w:sz="4" w:space="0"/>
              <w:left w:val="single" w:color="auto" w:sz="4" w:space="0"/>
              <w:bottom w:val="nil"/>
              <w:right w:val="single" w:color="auto" w:sz="4" w:space="0"/>
            </w:tcBorders>
            <w:noWrap w:val="0"/>
            <w:vAlign w:val="center"/>
          </w:tcPr>
          <w:p w14:paraId="6518E393">
            <w:pPr>
              <w:keepNext w:val="0"/>
              <w:keepLines w:val="0"/>
              <w:widowControl/>
              <w:suppressLineNumbers w:val="0"/>
              <w:spacing w:before="0" w:beforeAutospacing="0" w:after="0" w:afterAutospacing="0"/>
              <w:ind w:left="0" w:right="0"/>
              <w:jc w:val="left"/>
              <w:rPr>
                <w:rFonts w:hint="default" w:ascii="宋体" w:hAnsi="宋体" w:cs="Times New Roman"/>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14:paraId="076F874E">
            <w:pPr>
              <w:keepNext w:val="0"/>
              <w:keepLines w:val="0"/>
              <w:suppressLineNumbers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投标人递交投标样品截止时间及地点</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714C621D">
            <w:pPr>
              <w:keepNext w:val="0"/>
              <w:keepLines w:val="0"/>
              <w:suppressLineNumbers w:val="0"/>
              <w:snapToGrid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宋体" w:hAnsi="宋体" w:cs="Times New Roman"/>
                <w:bCs/>
                <w:color w:val="auto"/>
                <w:szCs w:val="21"/>
                <w:highlight w:val="none"/>
              </w:rPr>
              <w:t>无</w:t>
            </w:r>
          </w:p>
        </w:tc>
      </w:tr>
      <w:tr w14:paraId="2A48CC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7E85EFF1">
            <w:pPr>
              <w:keepNext w:val="0"/>
              <w:keepLines w:val="0"/>
              <w:suppressLineNumbers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23</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6940A568">
            <w:pPr>
              <w:keepNext w:val="0"/>
              <w:keepLines w:val="0"/>
              <w:suppressLineNumbers w:val="0"/>
              <w:spacing w:before="0" w:beforeAutospacing="0" w:after="0" w:afterAutospacing="0" w:line="380" w:lineRule="exact"/>
              <w:ind w:left="0" w:right="0"/>
              <w:rPr>
                <w:rFonts w:hint="default" w:ascii="宋体" w:hAnsi="宋体" w:cs="Times New Roman"/>
                <w:color w:val="auto"/>
                <w:szCs w:val="21"/>
                <w:highlight w:val="none"/>
              </w:rPr>
            </w:pPr>
            <w:bookmarkStart w:id="53" w:name="_23"/>
            <w:bookmarkEnd w:id="53"/>
            <w:r>
              <w:rPr>
                <w:rFonts w:hint="eastAsia" w:ascii="宋体" w:hAnsi="宋体" w:cs="Times New Roman"/>
                <w:color w:val="auto"/>
                <w:szCs w:val="21"/>
                <w:highlight w:val="none"/>
              </w:rPr>
              <w:t>开标时间、地点</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545924E7">
            <w:pPr>
              <w:keepNext w:val="0"/>
              <w:keepLines w:val="0"/>
              <w:suppressLineNumbers w:val="0"/>
              <w:snapToGrid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 xml:space="preserve">详见招标公告 </w:t>
            </w:r>
          </w:p>
        </w:tc>
      </w:tr>
      <w:tr w14:paraId="63EEC9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7" w:hRule="atLeast"/>
        </w:trPr>
        <w:tc>
          <w:tcPr>
            <w:tcW w:w="675" w:type="dxa"/>
            <w:vMerge w:val="restart"/>
            <w:tcBorders>
              <w:top w:val="single" w:color="auto" w:sz="4" w:space="0"/>
              <w:left w:val="single" w:color="auto" w:sz="4" w:space="0"/>
              <w:bottom w:val="single" w:color="auto" w:sz="4" w:space="0"/>
              <w:right w:val="single" w:color="auto" w:sz="4" w:space="0"/>
            </w:tcBorders>
            <w:noWrap w:val="0"/>
            <w:vAlign w:val="center"/>
          </w:tcPr>
          <w:p w14:paraId="629FA4F2">
            <w:pPr>
              <w:keepNext w:val="0"/>
              <w:keepLines w:val="0"/>
              <w:suppressLineNumbers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25.3（2）</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2735FE55">
            <w:pPr>
              <w:keepNext w:val="0"/>
              <w:keepLines w:val="0"/>
              <w:suppressLineNumbers w:val="0"/>
              <w:spacing w:before="0" w:beforeAutospacing="0" w:after="0" w:afterAutospacing="0" w:line="380" w:lineRule="exact"/>
              <w:ind w:left="0" w:right="0"/>
              <w:rPr>
                <w:rFonts w:hint="default" w:ascii="宋体" w:hAnsi="宋体" w:cs="Times New Roman"/>
                <w:color w:val="auto"/>
                <w:szCs w:val="21"/>
                <w:highlight w:val="none"/>
              </w:rPr>
            </w:pPr>
            <w:bookmarkStart w:id="54" w:name="_25.3"/>
            <w:bookmarkEnd w:id="54"/>
            <w:r>
              <w:rPr>
                <w:rFonts w:hint="eastAsia" w:ascii="宋体" w:hAnsi="宋体" w:cs="Times New Roman"/>
                <w:color w:val="auto"/>
                <w:szCs w:val="21"/>
                <w:highlight w:val="none"/>
              </w:rPr>
              <w:t>投标人信用查询渠道</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1A22F56C">
            <w:pPr>
              <w:keepNext w:val="0"/>
              <w:keepLines w:val="0"/>
              <w:suppressLineNumbers w:val="0"/>
              <w:snapToGrid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采购人或者采购代理机构在资格审查结束前，对投标人进行信用查询。</w:t>
            </w:r>
          </w:p>
          <w:p w14:paraId="51894837">
            <w:pPr>
              <w:keepNext w:val="0"/>
              <w:keepLines w:val="0"/>
              <w:suppressLineNumbers w:val="0"/>
              <w:snapToGrid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查询渠道：“信用中国”网站(www.creditchina.gov.cn) 、中国政府采购网(www.ccgp.gov.cn)。</w:t>
            </w:r>
          </w:p>
        </w:tc>
      </w:tr>
      <w:tr w14:paraId="30EB44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675" w:type="dxa"/>
            <w:vMerge w:val="continue"/>
            <w:tcBorders>
              <w:top w:val="single" w:color="auto" w:sz="4" w:space="0"/>
              <w:left w:val="single" w:color="auto" w:sz="4" w:space="0"/>
              <w:bottom w:val="single" w:color="auto" w:sz="4" w:space="0"/>
              <w:right w:val="single" w:color="auto" w:sz="4" w:space="0"/>
            </w:tcBorders>
            <w:noWrap w:val="0"/>
            <w:vAlign w:val="center"/>
          </w:tcPr>
          <w:p w14:paraId="11DE24D7">
            <w:pPr>
              <w:keepNext w:val="0"/>
              <w:keepLines w:val="0"/>
              <w:widowControl/>
              <w:suppressLineNumbers w:val="0"/>
              <w:spacing w:before="0" w:beforeAutospacing="0" w:after="0" w:afterAutospacing="0"/>
              <w:ind w:left="0" w:right="0"/>
              <w:jc w:val="left"/>
              <w:rPr>
                <w:rFonts w:hint="default" w:ascii="宋体" w:hAnsi="宋体" w:cs="Times New Roman"/>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14:paraId="5EDB3B7E">
            <w:pPr>
              <w:keepNext w:val="0"/>
              <w:keepLines w:val="0"/>
              <w:suppressLineNumbers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信用查询截止时点</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10C8A128">
            <w:pPr>
              <w:keepNext w:val="0"/>
              <w:keepLines w:val="0"/>
              <w:suppressLineNumbers w:val="0"/>
              <w:snapToGrid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资格审查结束前</w:t>
            </w:r>
          </w:p>
        </w:tc>
      </w:tr>
      <w:tr w14:paraId="311B92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675" w:type="dxa"/>
            <w:vMerge w:val="continue"/>
            <w:tcBorders>
              <w:top w:val="single" w:color="auto" w:sz="4" w:space="0"/>
              <w:left w:val="single" w:color="auto" w:sz="4" w:space="0"/>
              <w:bottom w:val="single" w:color="auto" w:sz="4" w:space="0"/>
              <w:right w:val="single" w:color="auto" w:sz="4" w:space="0"/>
            </w:tcBorders>
            <w:noWrap w:val="0"/>
            <w:vAlign w:val="center"/>
          </w:tcPr>
          <w:p w14:paraId="7A2B9F1E">
            <w:pPr>
              <w:keepNext w:val="0"/>
              <w:keepLines w:val="0"/>
              <w:widowControl/>
              <w:suppressLineNumbers w:val="0"/>
              <w:spacing w:before="0" w:beforeAutospacing="0" w:after="0" w:afterAutospacing="0"/>
              <w:ind w:left="0" w:right="0"/>
              <w:jc w:val="left"/>
              <w:rPr>
                <w:rFonts w:hint="default" w:ascii="宋体" w:hAnsi="宋体" w:cs="Times New Roman"/>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14:paraId="3634671E">
            <w:pPr>
              <w:keepNext w:val="0"/>
              <w:keepLines w:val="0"/>
              <w:suppressLineNumbers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查询记录和证据留存方式</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7DB4E627">
            <w:pPr>
              <w:keepNext w:val="0"/>
              <w:keepLines w:val="0"/>
              <w:suppressLineNumbers w:val="0"/>
              <w:snapToGrid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在查询网站中直接截图查询记录，截图作为在“政采云”平台作为附件上传保存。</w:t>
            </w:r>
          </w:p>
        </w:tc>
      </w:tr>
      <w:tr w14:paraId="2E01F8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675" w:type="dxa"/>
            <w:vMerge w:val="continue"/>
            <w:tcBorders>
              <w:top w:val="single" w:color="auto" w:sz="4" w:space="0"/>
              <w:left w:val="single" w:color="auto" w:sz="4" w:space="0"/>
              <w:bottom w:val="single" w:color="auto" w:sz="4" w:space="0"/>
              <w:right w:val="single" w:color="auto" w:sz="4" w:space="0"/>
            </w:tcBorders>
            <w:noWrap w:val="0"/>
            <w:vAlign w:val="center"/>
          </w:tcPr>
          <w:p w14:paraId="4667D81A">
            <w:pPr>
              <w:keepNext w:val="0"/>
              <w:keepLines w:val="0"/>
              <w:widowControl/>
              <w:suppressLineNumbers w:val="0"/>
              <w:spacing w:before="0" w:beforeAutospacing="0" w:after="0" w:afterAutospacing="0"/>
              <w:ind w:left="0" w:right="0"/>
              <w:jc w:val="left"/>
              <w:rPr>
                <w:rFonts w:hint="default" w:ascii="宋体" w:hAnsi="宋体" w:cs="Times New Roman"/>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14:paraId="3D3D52BD">
            <w:pPr>
              <w:keepNext w:val="0"/>
              <w:keepLines w:val="0"/>
              <w:suppressLineNumbers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信用信息使用规则</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50CBA0C5">
            <w:pPr>
              <w:keepNext w:val="0"/>
              <w:keepLines w:val="0"/>
              <w:suppressLineNumbers w:val="0"/>
              <w:snapToGrid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采购人或者采购代理机构</w:t>
            </w:r>
            <w:r>
              <w:rPr>
                <w:rFonts w:hint="eastAsia" w:ascii="Times New Roman" w:hAnsi="Times New Roman" w:cs="Times New Roman"/>
                <w:color w:val="auto"/>
                <w:sz w:val="22"/>
                <w:szCs w:val="22"/>
                <w:highlight w:val="none"/>
              </w:rPr>
              <w:t>应当拒绝其参与政府采购活动</w:t>
            </w:r>
            <w:r>
              <w:rPr>
                <w:rFonts w:hint="eastAsia" w:ascii="宋体" w:hAnsi="宋体" w:cs="Times New Roman"/>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F5B54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245046C8">
            <w:pPr>
              <w:keepNext w:val="0"/>
              <w:keepLines w:val="0"/>
              <w:suppressLineNumbers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29.1</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64B1DDEF">
            <w:pPr>
              <w:keepNext w:val="0"/>
              <w:keepLines w:val="0"/>
              <w:suppressLineNumbers w:val="0"/>
              <w:spacing w:before="0" w:beforeAutospacing="0" w:after="0" w:afterAutospacing="0" w:line="380" w:lineRule="exact"/>
              <w:ind w:left="0" w:right="0"/>
              <w:rPr>
                <w:rFonts w:hint="default" w:ascii="宋体" w:hAnsi="宋体" w:cs="Times New Roman"/>
                <w:color w:val="auto"/>
                <w:szCs w:val="21"/>
                <w:highlight w:val="none"/>
              </w:rPr>
            </w:pPr>
            <w:bookmarkStart w:id="55" w:name="_28.3"/>
            <w:bookmarkEnd w:id="55"/>
            <w:bookmarkStart w:id="56" w:name="_26"/>
            <w:bookmarkEnd w:id="56"/>
            <w:r>
              <w:rPr>
                <w:rFonts w:hint="eastAsia" w:ascii="宋体" w:hAnsi="宋体" w:cs="Times New Roman"/>
                <w:color w:val="auto"/>
                <w:szCs w:val="21"/>
                <w:highlight w:val="none"/>
              </w:rPr>
              <w:t>评标方法</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5D2539D0">
            <w:pPr>
              <w:keepNext w:val="0"/>
              <w:keepLines w:val="0"/>
              <w:suppressLineNumbers w:val="0"/>
              <w:autoSpaceDE w:val="0"/>
              <w:autoSpaceDN w:val="0"/>
              <w:snapToGrid w:val="0"/>
              <w:spacing w:before="0" w:beforeAutospacing="0" w:after="0" w:afterAutospacing="0" w:line="380" w:lineRule="exact"/>
              <w:ind w:left="0" w:right="0"/>
              <w:textAlignment w:val="bottom"/>
              <w:rPr>
                <w:rFonts w:hint="default" w:ascii="宋体" w:hAnsi="宋体" w:cs="Times New Roman"/>
                <w:color w:val="auto"/>
                <w:szCs w:val="21"/>
                <w:highlight w:val="none"/>
              </w:rPr>
            </w:pPr>
            <w:r>
              <w:rPr>
                <w:rFonts w:hint="eastAsia" w:ascii="宋体" w:hAnsi="宋体" w:cs="Times New Roman"/>
                <w:color w:val="auto"/>
                <w:szCs w:val="21"/>
                <w:highlight w:val="none"/>
              </w:rPr>
              <w:sym w:font="Wingdings 2" w:char="0052"/>
            </w:r>
            <w:r>
              <w:rPr>
                <w:rFonts w:hint="eastAsia" w:ascii="宋体" w:hAnsi="宋体" w:cs="Times New Roman"/>
                <w:color w:val="auto"/>
                <w:szCs w:val="21"/>
                <w:highlight w:val="none"/>
              </w:rPr>
              <w:t>综合评分法</w:t>
            </w:r>
          </w:p>
          <w:p w14:paraId="4A990719">
            <w:pPr>
              <w:keepNext w:val="0"/>
              <w:keepLines w:val="0"/>
              <w:suppressLineNumbers w:val="0"/>
              <w:autoSpaceDE w:val="0"/>
              <w:autoSpaceDN w:val="0"/>
              <w:snapToGrid w:val="0"/>
              <w:spacing w:before="0" w:beforeAutospacing="0" w:after="0" w:afterAutospacing="0" w:line="380" w:lineRule="exact"/>
              <w:ind w:left="0" w:right="0"/>
              <w:textAlignment w:val="bottom"/>
              <w:rPr>
                <w:rFonts w:hint="default" w:ascii="宋体" w:hAnsi="宋体" w:cs="Times New Roman"/>
                <w:color w:val="auto"/>
                <w:szCs w:val="21"/>
                <w:highlight w:val="none"/>
              </w:rPr>
            </w:pPr>
            <w:r>
              <w:rPr>
                <w:rFonts w:hint="eastAsia" w:ascii="宋体" w:hAnsi="宋体" w:cs="Times New Roman"/>
                <w:color w:val="auto"/>
                <w:szCs w:val="21"/>
                <w:highlight w:val="none"/>
              </w:rPr>
              <w:t>□最低评标价法</w:t>
            </w:r>
          </w:p>
        </w:tc>
      </w:tr>
      <w:tr w14:paraId="5E089F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675" w:type="dxa"/>
            <w:tcBorders>
              <w:top w:val="single" w:color="auto" w:sz="4" w:space="0"/>
              <w:left w:val="single" w:color="auto" w:sz="4" w:space="0"/>
              <w:bottom w:val="nil"/>
              <w:right w:val="single" w:color="auto" w:sz="4" w:space="0"/>
            </w:tcBorders>
            <w:noWrap w:val="0"/>
            <w:vAlign w:val="center"/>
          </w:tcPr>
          <w:p w14:paraId="22E5C920">
            <w:pPr>
              <w:keepNext w:val="0"/>
              <w:keepLines w:val="0"/>
              <w:suppressLineNumbers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29.2</w:t>
            </w:r>
          </w:p>
        </w:tc>
        <w:tc>
          <w:tcPr>
            <w:tcW w:w="2268" w:type="dxa"/>
            <w:tcBorders>
              <w:top w:val="single" w:color="auto" w:sz="4" w:space="0"/>
              <w:left w:val="single" w:color="auto" w:sz="4" w:space="0"/>
              <w:bottom w:val="nil"/>
              <w:right w:val="single" w:color="auto" w:sz="4" w:space="0"/>
            </w:tcBorders>
            <w:noWrap w:val="0"/>
            <w:vAlign w:val="center"/>
          </w:tcPr>
          <w:p w14:paraId="41F3CB6A">
            <w:pPr>
              <w:keepNext w:val="0"/>
              <w:keepLines w:val="0"/>
              <w:suppressLineNumbers w:val="0"/>
              <w:spacing w:before="0" w:beforeAutospacing="0" w:after="0" w:afterAutospacing="0" w:line="380" w:lineRule="exact"/>
              <w:ind w:left="0" w:right="0"/>
              <w:rPr>
                <w:rFonts w:hint="default" w:ascii="宋体" w:hAnsi="宋体" w:cs="Times New Roman"/>
                <w:color w:val="auto"/>
                <w:szCs w:val="21"/>
                <w:highlight w:val="none"/>
              </w:rPr>
            </w:pPr>
            <w:bookmarkStart w:id="57" w:name="_29.2.2（2）"/>
            <w:bookmarkEnd w:id="57"/>
            <w:r>
              <w:rPr>
                <w:rFonts w:hint="eastAsia" w:ascii="宋体" w:hAnsi="宋体" w:cs="Times New Roman"/>
                <w:color w:val="auto"/>
                <w:szCs w:val="21"/>
                <w:highlight w:val="none"/>
              </w:rPr>
              <w:t>允许负偏离项</w:t>
            </w:r>
          </w:p>
        </w:tc>
        <w:tc>
          <w:tcPr>
            <w:tcW w:w="7297" w:type="dxa"/>
            <w:tcBorders>
              <w:top w:val="single" w:color="auto" w:sz="4" w:space="0"/>
              <w:left w:val="single" w:color="auto" w:sz="4" w:space="0"/>
              <w:bottom w:val="nil"/>
              <w:right w:val="single" w:color="auto" w:sz="4" w:space="0"/>
            </w:tcBorders>
            <w:noWrap w:val="0"/>
            <w:vAlign w:val="center"/>
          </w:tcPr>
          <w:p w14:paraId="7DB2631E">
            <w:pPr>
              <w:keepNext w:val="0"/>
              <w:keepLines w:val="0"/>
              <w:suppressLineNumbers w:val="0"/>
              <w:snapToGrid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宋体" w:hAnsi="宋体" w:cs="宋体"/>
                <w:color w:val="auto"/>
                <w:szCs w:val="21"/>
                <w:highlight w:val="none"/>
              </w:rPr>
              <w:t>商务条款</w:t>
            </w:r>
            <w:r>
              <w:rPr>
                <w:rFonts w:hint="eastAsia" w:ascii="宋体" w:hAnsi="宋体" w:cs="Times New Roman"/>
                <w:color w:val="auto"/>
                <w:szCs w:val="21"/>
                <w:highlight w:val="none"/>
              </w:rPr>
              <w:t>评审中允许负偏离的条款数为</w:t>
            </w:r>
            <w:r>
              <w:rPr>
                <w:rFonts w:hint="eastAsia" w:ascii="宋体" w:hAnsi="宋体" w:cs="Times New Roman"/>
                <w:color w:val="auto"/>
                <w:szCs w:val="21"/>
                <w:highlight w:val="none"/>
                <w:u w:val="single"/>
              </w:rPr>
              <w:t xml:space="preserve"> 0  </w:t>
            </w:r>
            <w:r>
              <w:rPr>
                <w:rFonts w:hint="eastAsia" w:ascii="宋体" w:hAnsi="宋体" w:cs="Times New Roman"/>
                <w:color w:val="auto"/>
                <w:szCs w:val="21"/>
                <w:highlight w:val="none"/>
              </w:rPr>
              <w:t>项。</w:t>
            </w:r>
          </w:p>
          <w:p w14:paraId="0149808C">
            <w:pPr>
              <w:keepNext w:val="0"/>
              <w:keepLines w:val="0"/>
              <w:suppressLineNumbers w:val="0"/>
              <w:snapToGrid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宋体" w:hAnsi="宋体" w:cs="宋体"/>
                <w:color w:val="auto"/>
                <w:szCs w:val="21"/>
                <w:highlight w:val="none"/>
              </w:rPr>
              <w:t>技术需求</w:t>
            </w:r>
            <w:r>
              <w:rPr>
                <w:rFonts w:hint="eastAsia" w:ascii="宋体" w:hAnsi="宋体" w:cs="Times New Roman"/>
                <w:color w:val="auto"/>
                <w:szCs w:val="21"/>
                <w:highlight w:val="none"/>
              </w:rPr>
              <w:t>评审中允许负偏离的条款数为</w:t>
            </w:r>
            <w:r>
              <w:rPr>
                <w:rFonts w:hint="eastAsia" w:ascii="宋体" w:hAnsi="宋体" w:cs="Times New Roman"/>
                <w:color w:val="auto"/>
                <w:szCs w:val="21"/>
                <w:highlight w:val="none"/>
                <w:u w:val="single"/>
              </w:rPr>
              <w:t xml:space="preserve"> 0  </w:t>
            </w:r>
            <w:r>
              <w:rPr>
                <w:rFonts w:hint="eastAsia" w:ascii="宋体" w:hAnsi="宋体" w:cs="Times New Roman"/>
                <w:color w:val="auto"/>
                <w:szCs w:val="21"/>
                <w:highlight w:val="none"/>
              </w:rPr>
              <w:t>项。</w:t>
            </w:r>
          </w:p>
        </w:tc>
      </w:tr>
      <w:tr w14:paraId="2D1139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6868ADE5">
            <w:pPr>
              <w:keepNext w:val="0"/>
              <w:keepLines w:val="0"/>
              <w:suppressLineNumbers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30.1</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2DD9F555">
            <w:pPr>
              <w:keepNext w:val="0"/>
              <w:keepLines w:val="0"/>
              <w:suppressLineNumbers w:val="0"/>
              <w:autoSpaceDE w:val="0"/>
              <w:autoSpaceDN w:val="0"/>
              <w:snapToGrid w:val="0"/>
              <w:spacing w:before="0" w:beforeAutospacing="0" w:after="0" w:afterAutospacing="0" w:line="380" w:lineRule="exact"/>
              <w:ind w:left="0" w:right="0"/>
              <w:textAlignment w:val="bottom"/>
              <w:rPr>
                <w:rFonts w:hint="default" w:ascii="宋体" w:hAnsi="宋体" w:cs="Times New Roman"/>
                <w:color w:val="auto"/>
                <w:szCs w:val="21"/>
                <w:highlight w:val="none"/>
              </w:rPr>
            </w:pPr>
            <w:r>
              <w:rPr>
                <w:rFonts w:hint="eastAsia" w:ascii="宋体" w:hAnsi="宋体" w:cs="Times New Roman"/>
                <w:color w:val="auto"/>
                <w:szCs w:val="21"/>
                <w:highlight w:val="none"/>
              </w:rPr>
              <w:t xml:space="preserve">确定中标人时，出现中标候选人分数并列的情形，确定中标人方式 </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6114389E">
            <w:pPr>
              <w:keepNext w:val="0"/>
              <w:keepLines w:val="0"/>
              <w:suppressLineNumbers w:val="0"/>
              <w:autoSpaceDE w:val="0"/>
              <w:autoSpaceDN w:val="0"/>
              <w:snapToGrid w:val="0"/>
              <w:spacing w:before="0" w:beforeAutospacing="0" w:after="0" w:afterAutospacing="0" w:line="380" w:lineRule="exact"/>
              <w:ind w:left="0" w:right="0"/>
              <w:textAlignment w:val="bottom"/>
              <w:rPr>
                <w:rFonts w:hint="default" w:ascii="宋体" w:hAnsi="宋体" w:cs="Times New Roman"/>
                <w:color w:val="auto"/>
                <w:szCs w:val="21"/>
                <w:highlight w:val="none"/>
              </w:rPr>
            </w:pPr>
            <w:r>
              <w:rPr>
                <w:rFonts w:hint="eastAsia" w:ascii="宋体" w:hAnsi="宋体" w:cs="Times New Roman"/>
                <w:color w:val="auto"/>
                <w:szCs w:val="21"/>
                <w:highlight w:val="none"/>
              </w:rPr>
              <w:t xml:space="preserve">□采用最低评标价法的，投标文件满足招标文件全部实质性要求且投标报价最低的投标人为排名第一的中标候选人； </w:t>
            </w:r>
          </w:p>
          <w:p w14:paraId="1318286F">
            <w:pPr>
              <w:keepNext w:val="0"/>
              <w:keepLines w:val="0"/>
              <w:suppressLineNumbers w:val="0"/>
              <w:autoSpaceDE w:val="0"/>
              <w:autoSpaceDN w:val="0"/>
              <w:snapToGrid w:val="0"/>
              <w:spacing w:before="0" w:beforeAutospacing="0" w:after="0" w:afterAutospacing="0" w:line="380" w:lineRule="exact"/>
              <w:ind w:left="0" w:right="0"/>
              <w:textAlignment w:val="bottom"/>
              <w:rPr>
                <w:rFonts w:hint="default" w:ascii="宋体" w:hAnsi="宋体" w:cs="Times New Roman"/>
                <w:b/>
                <w:color w:val="auto"/>
                <w:szCs w:val="21"/>
                <w:highlight w:val="none"/>
              </w:rPr>
            </w:pPr>
            <w:r>
              <w:rPr>
                <w:rFonts w:hint="eastAsia" w:ascii="宋体" w:hAnsi="宋体" w:cs="Times New Roman"/>
                <w:color w:val="auto"/>
                <w:szCs w:val="21"/>
                <w:highlight w:val="none"/>
              </w:rPr>
              <w:sym w:font="Wingdings 2" w:char="0052"/>
            </w:r>
            <w:r>
              <w:rPr>
                <w:rFonts w:hint="eastAsia" w:ascii="宋体" w:hAnsi="宋体" w:cs="Times New Roman"/>
                <w:color w:val="auto"/>
                <w:szCs w:val="21"/>
                <w:highlight w:val="none"/>
              </w:rPr>
              <w:t>采用综合评分法的，按投标报价由低到高顺序排列。得分且投标报价相同的并列。投标文件满足招标文件全部实质性要求，且按照评审因素的量化指标评审得分最高的投标人为排名第一的中标候选人。</w:t>
            </w:r>
          </w:p>
        </w:tc>
      </w:tr>
      <w:tr w14:paraId="520C86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14:paraId="39ABC11C">
            <w:pPr>
              <w:keepNext w:val="0"/>
              <w:keepLines w:val="0"/>
              <w:suppressLineNumbers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35</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3076EFAD">
            <w:pPr>
              <w:keepNext w:val="0"/>
              <w:keepLines w:val="0"/>
              <w:suppressLineNumbers w:val="0"/>
              <w:spacing w:before="0" w:beforeAutospacing="0" w:after="0" w:afterAutospacing="0" w:line="380" w:lineRule="exact"/>
              <w:ind w:left="0" w:right="0"/>
              <w:rPr>
                <w:rFonts w:hint="default" w:ascii="宋体" w:hAnsi="宋体" w:cs="Times New Roman"/>
                <w:color w:val="auto"/>
                <w:szCs w:val="21"/>
                <w:highlight w:val="none"/>
              </w:rPr>
            </w:pPr>
            <w:bookmarkStart w:id="58" w:name="_39.1"/>
            <w:bookmarkEnd w:id="58"/>
            <w:r>
              <w:rPr>
                <w:rFonts w:hint="eastAsia" w:ascii="宋体" w:hAnsi="宋体" w:cs="Times New Roman"/>
                <w:color w:val="auto"/>
                <w:szCs w:val="21"/>
                <w:highlight w:val="none"/>
              </w:rPr>
              <w:t>履约保证金金额</w:t>
            </w:r>
          </w:p>
        </w:tc>
        <w:tc>
          <w:tcPr>
            <w:tcW w:w="7297" w:type="dxa"/>
            <w:tcBorders>
              <w:top w:val="single" w:color="auto" w:sz="4" w:space="0"/>
              <w:left w:val="single" w:color="auto" w:sz="4" w:space="0"/>
              <w:bottom w:val="single" w:color="auto" w:sz="4" w:space="0"/>
              <w:right w:val="single" w:color="auto" w:sz="4" w:space="0"/>
            </w:tcBorders>
            <w:noWrap w:val="0"/>
            <w:vAlign w:val="bottom"/>
          </w:tcPr>
          <w:p w14:paraId="0520A9B1">
            <w:pPr>
              <w:keepNext w:val="0"/>
              <w:keepLines w:val="0"/>
              <w:suppressLineNumbers w:val="0"/>
              <w:autoSpaceDE w:val="0"/>
              <w:autoSpaceDN w:val="0"/>
              <w:snapToGrid w:val="0"/>
              <w:spacing w:before="0" w:beforeAutospacing="0" w:after="0" w:afterAutospacing="0" w:line="380" w:lineRule="exact"/>
              <w:ind w:left="0" w:right="0"/>
              <w:jc w:val="left"/>
              <w:textAlignment w:val="bottom"/>
              <w:rPr>
                <w:rFonts w:hint="default" w:ascii="宋体" w:hAnsi="宋体" w:cs="Times New Roman"/>
                <w:color w:val="auto"/>
                <w:szCs w:val="21"/>
                <w:highlight w:val="none"/>
              </w:rPr>
            </w:pPr>
            <w:r>
              <w:rPr>
                <w:rFonts w:hint="eastAsia" w:ascii="宋体" w:hAnsi="宋体" w:cs="Times New Roman"/>
                <w:color w:val="auto"/>
                <w:szCs w:val="21"/>
                <w:highlight w:val="none"/>
              </w:rPr>
              <w:t>本项目不收取履约保证金</w:t>
            </w:r>
          </w:p>
        </w:tc>
      </w:tr>
      <w:tr w14:paraId="3088D3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2E481D4A">
            <w:pPr>
              <w:keepNext w:val="0"/>
              <w:keepLines w:val="0"/>
              <w:suppressLineNumbers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36.1</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55BE642E">
            <w:pPr>
              <w:keepNext w:val="0"/>
              <w:keepLines w:val="0"/>
              <w:suppressLineNumbers w:val="0"/>
              <w:spacing w:before="0" w:beforeAutospacing="0" w:after="0" w:afterAutospacing="0" w:line="380" w:lineRule="exact"/>
              <w:ind w:left="0" w:right="0"/>
              <w:rPr>
                <w:rFonts w:hint="default" w:ascii="宋体" w:hAnsi="宋体" w:cs="Times New Roman"/>
                <w:color w:val="auto"/>
                <w:szCs w:val="21"/>
                <w:highlight w:val="none"/>
              </w:rPr>
            </w:pPr>
            <w:bookmarkStart w:id="59" w:name="_40.1"/>
            <w:bookmarkEnd w:id="59"/>
            <w:r>
              <w:rPr>
                <w:rFonts w:hint="eastAsia" w:ascii="宋体" w:hAnsi="宋体" w:cs="Times New Roman"/>
                <w:color w:val="auto"/>
                <w:szCs w:val="21"/>
                <w:highlight w:val="none"/>
              </w:rPr>
              <w:t>签订电子合同携带的材料</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6B94240E">
            <w:pPr>
              <w:keepNext w:val="0"/>
              <w:keepLines w:val="0"/>
              <w:suppressLineNumbers w:val="0"/>
              <w:autoSpaceDE w:val="0"/>
              <w:autoSpaceDN w:val="0"/>
              <w:snapToGrid w:val="0"/>
              <w:spacing w:before="0" w:beforeAutospacing="0" w:after="0" w:afterAutospacing="0" w:line="380" w:lineRule="exact"/>
              <w:ind w:left="0" w:right="0"/>
              <w:textAlignment w:val="bottom"/>
              <w:rPr>
                <w:rFonts w:hint="default" w:ascii="宋体" w:hAnsi="宋体" w:cs="Times New Roman"/>
                <w:color w:val="auto"/>
                <w:szCs w:val="21"/>
                <w:highlight w:val="none"/>
              </w:rPr>
            </w:pPr>
            <w:r>
              <w:rPr>
                <w:rFonts w:hint="eastAsia" w:ascii="宋体" w:hAnsi="宋体" w:cs="Times New Roman"/>
                <w:color w:val="auto"/>
                <w:szCs w:val="21"/>
                <w:highlight w:val="none"/>
              </w:rPr>
              <w:t>电子采购合同需要供应商通过有效CA证书进行电子签署</w:t>
            </w:r>
          </w:p>
        </w:tc>
      </w:tr>
      <w:tr w14:paraId="43A529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675" w:type="dxa"/>
            <w:vMerge w:val="restart"/>
            <w:tcBorders>
              <w:top w:val="single" w:color="auto" w:sz="4" w:space="0"/>
              <w:left w:val="single" w:color="auto" w:sz="4" w:space="0"/>
              <w:bottom w:val="single" w:color="auto" w:sz="4" w:space="0"/>
              <w:right w:val="single" w:color="auto" w:sz="4" w:space="0"/>
            </w:tcBorders>
            <w:noWrap w:val="0"/>
            <w:vAlign w:val="center"/>
          </w:tcPr>
          <w:p w14:paraId="56A4D37E">
            <w:pPr>
              <w:keepNext w:val="0"/>
              <w:keepLines w:val="0"/>
              <w:suppressLineNumbers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38.2.1</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40DC3656">
            <w:pPr>
              <w:keepNext w:val="0"/>
              <w:keepLines w:val="0"/>
              <w:suppressLineNumbers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接收质疑函方式</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0C462188">
            <w:pPr>
              <w:keepNext w:val="0"/>
              <w:keepLines w:val="0"/>
              <w:suppressLineNumbers w:val="0"/>
              <w:snapToGrid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以书面形式</w:t>
            </w:r>
          </w:p>
        </w:tc>
      </w:tr>
      <w:tr w14:paraId="1FC13C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75" w:type="dxa"/>
            <w:vMerge w:val="continue"/>
            <w:tcBorders>
              <w:top w:val="single" w:color="auto" w:sz="4" w:space="0"/>
              <w:left w:val="single" w:color="auto" w:sz="4" w:space="0"/>
              <w:bottom w:val="single" w:color="auto" w:sz="4" w:space="0"/>
              <w:right w:val="single" w:color="auto" w:sz="4" w:space="0"/>
            </w:tcBorders>
            <w:noWrap w:val="0"/>
            <w:vAlign w:val="center"/>
          </w:tcPr>
          <w:p w14:paraId="69F8619B">
            <w:pPr>
              <w:keepNext w:val="0"/>
              <w:keepLines w:val="0"/>
              <w:widowControl/>
              <w:suppressLineNumbers w:val="0"/>
              <w:spacing w:before="0" w:beforeAutospacing="0" w:after="0" w:afterAutospacing="0"/>
              <w:ind w:left="0" w:right="0"/>
              <w:jc w:val="left"/>
              <w:rPr>
                <w:rFonts w:hint="default" w:ascii="宋体" w:hAnsi="宋体" w:cs="Times New Roman"/>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14:paraId="6CA22D29">
            <w:pPr>
              <w:keepNext w:val="0"/>
              <w:keepLines w:val="0"/>
              <w:suppressLineNumbers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质疑联系部门及联系方式</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7F8DD239">
            <w:pPr>
              <w:keepNext w:val="0"/>
              <w:keepLines w:val="0"/>
              <w:suppressLineNumbers w:val="0"/>
              <w:snapToGrid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u w:val="single"/>
              </w:rPr>
              <w:t xml:space="preserve">（1）广西嘉达工程咨询管理有限公司    </w:t>
            </w:r>
            <w:r>
              <w:rPr>
                <w:rFonts w:hint="eastAsia" w:ascii="宋体" w:hAnsi="宋体" w:cs="Times New Roman"/>
                <w:color w:val="auto"/>
                <w:szCs w:val="21"/>
                <w:highlight w:val="none"/>
              </w:rPr>
              <w:t>；</w:t>
            </w:r>
          </w:p>
          <w:p w14:paraId="06BB4170">
            <w:pPr>
              <w:keepNext w:val="0"/>
              <w:keepLines w:val="0"/>
              <w:suppressLineNumbers w:val="0"/>
              <w:snapToGrid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联系电话：0771-5389203，</w:t>
            </w:r>
          </w:p>
          <w:p w14:paraId="72CF19A2">
            <w:pPr>
              <w:keepNext w:val="0"/>
              <w:keepLines w:val="0"/>
              <w:suppressLineNumbers w:val="0"/>
              <w:snapToGrid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通讯地址</w:t>
            </w:r>
            <w:r>
              <w:rPr>
                <w:rFonts w:hint="eastAsia" w:ascii="宋体" w:hAnsi="宋体" w:cs="仿宋_GB2312"/>
                <w:color w:val="auto"/>
                <w:szCs w:val="21"/>
                <w:highlight w:val="none"/>
              </w:rPr>
              <w:t>：</w:t>
            </w:r>
            <w:r>
              <w:rPr>
                <w:rFonts w:hint="eastAsia" w:ascii="宋体" w:hAnsi="宋体" w:cs="Times New Roman"/>
                <w:color w:val="auto"/>
                <w:szCs w:val="21"/>
                <w:highlight w:val="none"/>
                <w:u w:val="single"/>
              </w:rPr>
              <w:t>南宁市民族大道159号凤岭新新家园A区2栋8层</w:t>
            </w:r>
            <w:r>
              <w:rPr>
                <w:rFonts w:hint="eastAsia" w:ascii="宋体" w:hAnsi="宋体" w:cs="Times New Roman"/>
                <w:color w:val="auto"/>
                <w:szCs w:val="21"/>
                <w:highlight w:val="none"/>
              </w:rPr>
              <w:t xml:space="preserve"> </w:t>
            </w:r>
          </w:p>
          <w:p w14:paraId="053BB0D8">
            <w:pPr>
              <w:keepNext w:val="0"/>
              <w:keepLines w:val="0"/>
              <w:suppressLineNumbers w:val="0"/>
              <w:snapToGrid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u w:val="single"/>
              </w:rPr>
              <w:t xml:space="preserve">（2）南宁市城市规划展示馆     </w:t>
            </w:r>
            <w:r>
              <w:rPr>
                <w:rFonts w:hint="eastAsia" w:ascii="宋体" w:hAnsi="宋体" w:cs="Times New Roman"/>
                <w:color w:val="auto"/>
                <w:szCs w:val="21"/>
                <w:highlight w:val="none"/>
              </w:rPr>
              <w:t>；</w:t>
            </w:r>
          </w:p>
          <w:p w14:paraId="74F83062">
            <w:pPr>
              <w:keepNext w:val="0"/>
              <w:keepLines w:val="0"/>
              <w:suppressLineNumbers w:val="0"/>
              <w:snapToGrid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联系电话：</w:t>
            </w:r>
            <w:r>
              <w:rPr>
                <w:rFonts w:hint="eastAsia" w:ascii="宋体" w:hAnsi="宋体" w:cs="Arial"/>
                <w:bCs/>
                <w:color w:val="auto"/>
                <w:kern w:val="0"/>
                <w:szCs w:val="21"/>
                <w:highlight w:val="none"/>
                <w:u w:val="single"/>
              </w:rPr>
              <w:t xml:space="preserve">   </w:t>
            </w:r>
            <w:r>
              <w:rPr>
                <w:rFonts w:hint="eastAsia" w:ascii="Arial" w:hAnsi="Arial" w:cs="Arial"/>
                <w:bCs/>
                <w:color w:val="auto"/>
                <w:kern w:val="0"/>
                <w:szCs w:val="21"/>
                <w:highlight w:val="none"/>
                <w:u w:val="single"/>
                <w:lang w:val="en-US" w:eastAsia="zh-CN"/>
              </w:rPr>
              <w:t>0771-2529592</w:t>
            </w:r>
            <w:r>
              <w:rPr>
                <w:rFonts w:hint="eastAsia" w:ascii="宋体" w:hAnsi="宋体" w:cs="Arial"/>
                <w:bCs/>
                <w:color w:val="auto"/>
                <w:kern w:val="0"/>
                <w:szCs w:val="21"/>
                <w:highlight w:val="none"/>
                <w:u w:val="single"/>
              </w:rPr>
              <w:t xml:space="preserve"> </w:t>
            </w:r>
            <w:r>
              <w:rPr>
                <w:rFonts w:hint="default" w:ascii="宋体" w:hAnsi="宋体" w:cs="Arial"/>
                <w:bCs/>
                <w:color w:val="auto"/>
                <w:kern w:val="0"/>
                <w:szCs w:val="21"/>
                <w:highlight w:val="none"/>
                <w:u w:val="single"/>
              </w:rPr>
              <w:t xml:space="preserve"> </w:t>
            </w:r>
            <w:r>
              <w:rPr>
                <w:rFonts w:hint="eastAsia" w:ascii="宋体" w:hAnsi="宋体" w:cs="Times New Roman"/>
                <w:color w:val="auto"/>
                <w:szCs w:val="21"/>
                <w:highlight w:val="none"/>
              </w:rPr>
              <w:t xml:space="preserve"> ，</w:t>
            </w:r>
          </w:p>
          <w:p w14:paraId="3674BBE6">
            <w:pPr>
              <w:keepNext w:val="0"/>
              <w:keepLines w:val="0"/>
              <w:suppressLineNumbers w:val="0"/>
              <w:snapToGrid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通讯地址</w:t>
            </w:r>
            <w:r>
              <w:rPr>
                <w:rFonts w:hint="eastAsia" w:ascii="宋体" w:hAnsi="宋体" w:cs="仿宋_GB2312"/>
                <w:color w:val="auto"/>
                <w:szCs w:val="21"/>
                <w:highlight w:val="none"/>
              </w:rPr>
              <w:t>：</w:t>
            </w:r>
            <w:r>
              <w:rPr>
                <w:rFonts w:hint="eastAsia" w:ascii="Arial" w:hAnsi="Arial" w:cs="Arial"/>
                <w:bCs/>
                <w:color w:val="auto"/>
                <w:kern w:val="0"/>
                <w:szCs w:val="21"/>
                <w:highlight w:val="none"/>
                <w:u w:val="single"/>
                <w:lang w:eastAsia="zh-CN"/>
              </w:rPr>
              <w:t>南宁市青秀区凤岭南路</w:t>
            </w:r>
            <w:r>
              <w:rPr>
                <w:rFonts w:hint="eastAsia" w:ascii="Arial" w:hAnsi="Arial" w:cs="Arial"/>
                <w:bCs/>
                <w:color w:val="auto"/>
                <w:kern w:val="0"/>
                <w:szCs w:val="21"/>
                <w:highlight w:val="none"/>
                <w:u w:val="single"/>
                <w:lang w:val="en-US" w:eastAsia="zh-CN"/>
              </w:rPr>
              <w:t>3号</w:t>
            </w:r>
            <w:r>
              <w:rPr>
                <w:rFonts w:hint="eastAsia" w:ascii="宋体" w:hAnsi="宋体" w:cs="Times New Roman"/>
                <w:color w:val="auto"/>
                <w:szCs w:val="21"/>
                <w:highlight w:val="none"/>
              </w:rPr>
              <w:t xml:space="preserve"> </w:t>
            </w:r>
          </w:p>
        </w:tc>
      </w:tr>
      <w:tr w14:paraId="25B5E5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75" w:type="dxa"/>
            <w:vMerge w:val="continue"/>
            <w:tcBorders>
              <w:top w:val="single" w:color="auto" w:sz="4" w:space="0"/>
              <w:left w:val="single" w:color="auto" w:sz="4" w:space="0"/>
              <w:bottom w:val="single" w:color="auto" w:sz="4" w:space="0"/>
              <w:right w:val="single" w:color="auto" w:sz="4" w:space="0"/>
            </w:tcBorders>
            <w:noWrap w:val="0"/>
            <w:vAlign w:val="center"/>
          </w:tcPr>
          <w:p w14:paraId="66FB79EF">
            <w:pPr>
              <w:keepNext w:val="0"/>
              <w:keepLines w:val="0"/>
              <w:widowControl/>
              <w:suppressLineNumbers w:val="0"/>
              <w:spacing w:before="0" w:beforeAutospacing="0" w:after="0" w:afterAutospacing="0"/>
              <w:ind w:left="0" w:right="0"/>
              <w:jc w:val="left"/>
              <w:rPr>
                <w:rFonts w:hint="default" w:ascii="宋体" w:hAnsi="宋体" w:cs="Times New Roman"/>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14:paraId="30B95693">
            <w:pPr>
              <w:keepNext w:val="0"/>
              <w:keepLines w:val="0"/>
              <w:suppressLineNumbers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Times New Roman" w:hAnsi="宋体" w:cs="Times New Roman"/>
                <w:color w:val="auto"/>
                <w:highlight w:val="none"/>
              </w:rPr>
              <w:t>现场提交质疑办理业务时间</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379EB9A7">
            <w:pPr>
              <w:keepNext w:val="0"/>
              <w:keepLines w:val="0"/>
              <w:suppressLineNumbers w:val="0"/>
              <w:snapToGrid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Times New Roman" w:hAnsi="宋体" w:cs="Times New Roman"/>
                <w:color w:val="auto"/>
                <w:highlight w:val="none"/>
              </w:rPr>
              <w:t>质疑期内每个工作日</w:t>
            </w:r>
            <w:r>
              <w:rPr>
                <w:rFonts w:hint="default" w:ascii="Times New Roman" w:hAnsi="宋体" w:cs="Times New Roman"/>
                <w:color w:val="auto"/>
                <w:highlight w:val="none"/>
                <w:u w:val="single"/>
              </w:rPr>
              <w:t xml:space="preserve"> </w:t>
            </w:r>
            <w:r>
              <w:rPr>
                <w:rFonts w:hint="eastAsia" w:ascii="Times New Roman" w:hAnsi="宋体" w:cs="Times New Roman"/>
                <w:color w:val="auto"/>
                <w:highlight w:val="none"/>
                <w:u w:val="single"/>
              </w:rPr>
              <w:t>9</w:t>
            </w:r>
            <w:r>
              <w:rPr>
                <w:rFonts w:hint="default" w:ascii="Times New Roman" w:hAnsi="宋体" w:cs="Times New Roman"/>
                <w:color w:val="auto"/>
                <w:highlight w:val="none"/>
                <w:u w:val="single"/>
              </w:rPr>
              <w:t xml:space="preserve">  </w:t>
            </w:r>
            <w:r>
              <w:rPr>
                <w:rFonts w:hint="eastAsia" w:ascii="Times New Roman" w:hAnsi="宋体" w:cs="Times New Roman"/>
                <w:color w:val="auto"/>
                <w:highlight w:val="none"/>
              </w:rPr>
              <w:t>时</w:t>
            </w:r>
            <w:r>
              <w:rPr>
                <w:rFonts w:hint="default" w:ascii="Times New Roman" w:hAnsi="宋体" w:cs="Times New Roman"/>
                <w:color w:val="auto"/>
                <w:highlight w:val="none"/>
                <w:u w:val="single"/>
              </w:rPr>
              <w:t xml:space="preserve"> </w:t>
            </w:r>
            <w:r>
              <w:rPr>
                <w:rFonts w:hint="eastAsia" w:ascii="Times New Roman" w:hAnsi="宋体" w:cs="Times New Roman"/>
                <w:color w:val="auto"/>
                <w:highlight w:val="none"/>
                <w:u w:val="single"/>
              </w:rPr>
              <w:t>00</w:t>
            </w:r>
            <w:r>
              <w:rPr>
                <w:rFonts w:hint="default" w:ascii="Times New Roman" w:hAnsi="宋体" w:cs="Times New Roman"/>
                <w:color w:val="auto"/>
                <w:highlight w:val="none"/>
                <w:u w:val="single"/>
              </w:rPr>
              <w:t xml:space="preserve"> </w:t>
            </w:r>
            <w:r>
              <w:rPr>
                <w:rFonts w:hint="eastAsia" w:ascii="Times New Roman" w:hAnsi="宋体" w:cs="Times New Roman"/>
                <w:color w:val="auto"/>
                <w:highlight w:val="none"/>
              </w:rPr>
              <w:t>分到</w:t>
            </w:r>
            <w:r>
              <w:rPr>
                <w:rFonts w:hint="default" w:ascii="Times New Roman" w:hAnsi="宋体" w:cs="Times New Roman"/>
                <w:color w:val="auto"/>
                <w:highlight w:val="none"/>
                <w:u w:val="single"/>
              </w:rPr>
              <w:t xml:space="preserve"> </w:t>
            </w:r>
            <w:r>
              <w:rPr>
                <w:rFonts w:hint="eastAsia" w:ascii="Times New Roman" w:hAnsi="宋体" w:cs="Times New Roman"/>
                <w:color w:val="auto"/>
                <w:highlight w:val="none"/>
                <w:u w:val="single"/>
              </w:rPr>
              <w:t>12</w:t>
            </w:r>
            <w:r>
              <w:rPr>
                <w:rFonts w:hint="default" w:ascii="Times New Roman" w:hAnsi="宋体" w:cs="Times New Roman"/>
                <w:color w:val="auto"/>
                <w:highlight w:val="none"/>
                <w:u w:val="single"/>
              </w:rPr>
              <w:t xml:space="preserve">  </w:t>
            </w:r>
            <w:r>
              <w:rPr>
                <w:rFonts w:hint="eastAsia" w:ascii="Times New Roman" w:hAnsi="宋体" w:cs="Times New Roman"/>
                <w:color w:val="auto"/>
                <w:highlight w:val="none"/>
              </w:rPr>
              <w:t>时</w:t>
            </w:r>
            <w:r>
              <w:rPr>
                <w:rFonts w:hint="default" w:ascii="Times New Roman" w:hAnsi="宋体" w:cs="Times New Roman"/>
                <w:color w:val="auto"/>
                <w:highlight w:val="none"/>
                <w:u w:val="single"/>
              </w:rPr>
              <w:t xml:space="preserve"> </w:t>
            </w:r>
            <w:r>
              <w:rPr>
                <w:rFonts w:hint="eastAsia" w:ascii="Times New Roman" w:hAnsi="宋体" w:cs="Times New Roman"/>
                <w:color w:val="auto"/>
                <w:highlight w:val="none"/>
                <w:u w:val="single"/>
              </w:rPr>
              <w:t>00</w:t>
            </w:r>
            <w:r>
              <w:rPr>
                <w:rFonts w:hint="default" w:ascii="Times New Roman" w:hAnsi="宋体" w:cs="Times New Roman"/>
                <w:color w:val="auto"/>
                <w:highlight w:val="none"/>
                <w:u w:val="single"/>
              </w:rPr>
              <w:t xml:space="preserve">  </w:t>
            </w:r>
            <w:r>
              <w:rPr>
                <w:rFonts w:hint="eastAsia" w:ascii="Times New Roman" w:hAnsi="宋体" w:cs="Times New Roman"/>
                <w:color w:val="auto"/>
                <w:highlight w:val="none"/>
              </w:rPr>
              <w:t>分，</w:t>
            </w:r>
            <w:r>
              <w:rPr>
                <w:rFonts w:hint="default" w:ascii="Times New Roman" w:hAnsi="宋体" w:cs="Times New Roman"/>
                <w:color w:val="auto"/>
                <w:highlight w:val="none"/>
                <w:u w:val="single"/>
              </w:rPr>
              <w:t xml:space="preserve">  </w:t>
            </w:r>
            <w:r>
              <w:rPr>
                <w:rFonts w:hint="eastAsia" w:ascii="Times New Roman" w:hAnsi="宋体" w:cs="Times New Roman"/>
                <w:color w:val="auto"/>
                <w:highlight w:val="none"/>
                <w:u w:val="single"/>
              </w:rPr>
              <w:t>15</w:t>
            </w:r>
            <w:r>
              <w:rPr>
                <w:rFonts w:hint="default" w:ascii="Times New Roman" w:hAnsi="宋体" w:cs="Times New Roman"/>
                <w:color w:val="auto"/>
                <w:highlight w:val="none"/>
                <w:u w:val="single"/>
              </w:rPr>
              <w:t xml:space="preserve">  </w:t>
            </w:r>
            <w:r>
              <w:rPr>
                <w:rFonts w:hint="eastAsia" w:ascii="Times New Roman" w:hAnsi="宋体" w:cs="Times New Roman"/>
                <w:color w:val="auto"/>
                <w:highlight w:val="none"/>
              </w:rPr>
              <w:t>时</w:t>
            </w:r>
            <w:r>
              <w:rPr>
                <w:rFonts w:hint="default" w:ascii="Times New Roman" w:hAnsi="宋体" w:cs="Times New Roman"/>
                <w:color w:val="auto"/>
                <w:highlight w:val="none"/>
                <w:u w:val="single"/>
              </w:rPr>
              <w:t xml:space="preserve"> </w:t>
            </w:r>
            <w:r>
              <w:rPr>
                <w:rFonts w:hint="eastAsia" w:ascii="Times New Roman" w:hAnsi="宋体" w:cs="Times New Roman"/>
                <w:color w:val="auto"/>
                <w:highlight w:val="none"/>
                <w:u w:val="single"/>
              </w:rPr>
              <w:t>00</w:t>
            </w:r>
            <w:r>
              <w:rPr>
                <w:rFonts w:hint="default" w:ascii="Times New Roman" w:hAnsi="宋体" w:cs="Times New Roman"/>
                <w:color w:val="auto"/>
                <w:highlight w:val="none"/>
                <w:u w:val="single"/>
              </w:rPr>
              <w:t xml:space="preserve"> </w:t>
            </w:r>
            <w:r>
              <w:rPr>
                <w:rFonts w:hint="eastAsia" w:ascii="Times New Roman" w:hAnsi="宋体" w:cs="Times New Roman"/>
                <w:color w:val="auto"/>
                <w:highlight w:val="none"/>
              </w:rPr>
              <w:t>分到</w:t>
            </w:r>
            <w:r>
              <w:rPr>
                <w:rFonts w:hint="default" w:ascii="Times New Roman" w:hAnsi="宋体" w:cs="Times New Roman"/>
                <w:color w:val="auto"/>
                <w:highlight w:val="none"/>
                <w:u w:val="single"/>
              </w:rPr>
              <w:t xml:space="preserve">   </w:t>
            </w:r>
            <w:r>
              <w:rPr>
                <w:rFonts w:hint="eastAsia" w:ascii="Times New Roman" w:hAnsi="宋体" w:cs="Times New Roman"/>
                <w:color w:val="auto"/>
                <w:highlight w:val="none"/>
                <w:u w:val="single"/>
              </w:rPr>
              <w:t>18</w:t>
            </w:r>
            <w:r>
              <w:rPr>
                <w:rFonts w:hint="eastAsia" w:ascii="Times New Roman" w:hAnsi="宋体" w:cs="Times New Roman"/>
                <w:color w:val="auto"/>
                <w:highlight w:val="none"/>
              </w:rPr>
              <w:t>时</w:t>
            </w:r>
            <w:r>
              <w:rPr>
                <w:rFonts w:hint="default" w:ascii="Times New Roman" w:hAnsi="宋体" w:cs="Times New Roman"/>
                <w:color w:val="auto"/>
                <w:highlight w:val="none"/>
                <w:u w:val="single"/>
              </w:rPr>
              <w:t xml:space="preserve"> </w:t>
            </w:r>
            <w:r>
              <w:rPr>
                <w:rFonts w:hint="eastAsia" w:ascii="Times New Roman" w:hAnsi="宋体" w:cs="Times New Roman"/>
                <w:color w:val="auto"/>
                <w:highlight w:val="none"/>
                <w:u w:val="single"/>
              </w:rPr>
              <w:t>00</w:t>
            </w:r>
            <w:r>
              <w:rPr>
                <w:rFonts w:hint="default" w:ascii="Times New Roman" w:hAnsi="宋体" w:cs="Times New Roman"/>
                <w:color w:val="auto"/>
                <w:highlight w:val="none"/>
                <w:u w:val="single"/>
              </w:rPr>
              <w:t xml:space="preserve">  </w:t>
            </w:r>
            <w:r>
              <w:rPr>
                <w:rFonts w:hint="eastAsia" w:ascii="Times New Roman" w:hAnsi="宋体" w:cs="Times New Roman"/>
                <w:color w:val="auto"/>
                <w:highlight w:val="none"/>
              </w:rPr>
              <w:t>分</w:t>
            </w:r>
          </w:p>
        </w:tc>
      </w:tr>
      <w:tr w14:paraId="4E3637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75" w:type="dxa"/>
            <w:tcBorders>
              <w:top w:val="nil"/>
              <w:left w:val="single" w:color="auto" w:sz="4" w:space="0"/>
              <w:bottom w:val="single" w:color="auto" w:sz="4" w:space="0"/>
              <w:right w:val="single" w:color="auto" w:sz="4" w:space="0"/>
            </w:tcBorders>
            <w:noWrap w:val="0"/>
            <w:vAlign w:val="center"/>
          </w:tcPr>
          <w:p w14:paraId="1E953CDE">
            <w:pPr>
              <w:keepNext w:val="0"/>
              <w:keepLines w:val="0"/>
              <w:suppressLineNumbers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38.3.1</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3A259963">
            <w:pPr>
              <w:keepNext w:val="0"/>
              <w:keepLines w:val="0"/>
              <w:suppressLineNumbers w:val="0"/>
              <w:spacing w:before="0" w:beforeAutospacing="0" w:after="0" w:afterAutospacing="0" w:line="380" w:lineRule="exact"/>
              <w:ind w:left="0" w:right="0"/>
              <w:rPr>
                <w:rFonts w:hint="default" w:ascii="Times New Roman" w:hAnsi="宋体" w:cs="Times New Roman"/>
                <w:color w:val="auto"/>
                <w:highlight w:val="none"/>
              </w:rPr>
            </w:pPr>
            <w:r>
              <w:rPr>
                <w:rFonts w:hint="eastAsia" w:ascii="Times New Roman" w:hAnsi="宋体" w:cs="Times New Roman"/>
                <w:color w:val="auto"/>
                <w:highlight w:val="none"/>
              </w:rPr>
              <w:t>投诉受理方式</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401C635E">
            <w:pPr>
              <w:keepNext w:val="0"/>
              <w:keepLines w:val="0"/>
              <w:suppressLineNumbers w:val="0"/>
              <w:snapToGrid w:val="0"/>
              <w:spacing w:before="0" w:beforeAutospacing="0" w:after="0" w:afterAutospacing="0" w:line="360" w:lineRule="auto"/>
              <w:ind w:left="0" w:right="0"/>
              <w:rPr>
                <w:rFonts w:hint="default" w:ascii="Times New Roman" w:hAnsi="宋体" w:cs="Times New Roman"/>
                <w:color w:val="auto"/>
                <w:highlight w:val="none"/>
              </w:rPr>
            </w:pPr>
            <w:r>
              <w:rPr>
                <w:rFonts w:hint="default" w:ascii="Times New Roman" w:hAnsi="宋体" w:cs="Times New Roman"/>
                <w:color w:val="auto"/>
                <w:highlight w:val="none"/>
              </w:rPr>
              <w:t>1</w:t>
            </w:r>
            <w:r>
              <w:rPr>
                <w:rFonts w:hint="eastAsia" w:ascii="Times New Roman" w:hAnsi="宋体" w:cs="Times New Roman"/>
                <w:color w:val="auto"/>
                <w:highlight w:val="none"/>
              </w:rPr>
              <w:t>、受理方式：纸质方式受理，投诉书正、副本（经过质疑的事项才可投诉）。</w:t>
            </w:r>
          </w:p>
          <w:p w14:paraId="4A36BB4F">
            <w:pPr>
              <w:keepNext w:val="0"/>
              <w:keepLines w:val="0"/>
              <w:suppressLineNumbers w:val="0"/>
              <w:snapToGrid w:val="0"/>
              <w:spacing w:before="0" w:beforeAutospacing="0" w:after="0" w:afterAutospacing="0" w:line="360" w:lineRule="auto"/>
              <w:ind w:left="0" w:right="0"/>
              <w:rPr>
                <w:rFonts w:hint="default" w:ascii="Times New Roman" w:hAnsi="宋体" w:cs="Times New Roman"/>
                <w:color w:val="auto"/>
                <w:highlight w:val="none"/>
              </w:rPr>
            </w:pPr>
            <w:r>
              <w:rPr>
                <w:rFonts w:hint="default" w:ascii="Times New Roman" w:hAnsi="宋体" w:cs="Times New Roman"/>
                <w:color w:val="auto"/>
                <w:highlight w:val="none"/>
              </w:rPr>
              <w:t>2</w:t>
            </w:r>
            <w:r>
              <w:rPr>
                <w:rFonts w:hint="eastAsia" w:ascii="Times New Roman" w:hAnsi="宋体" w:cs="Times New Roman"/>
                <w:color w:val="auto"/>
                <w:highlight w:val="none"/>
              </w:rPr>
              <w:t>、邮寄地址：</w:t>
            </w:r>
          </w:p>
          <w:p w14:paraId="6808F053">
            <w:pPr>
              <w:keepNext w:val="0"/>
              <w:keepLines w:val="0"/>
              <w:suppressLineNumbers w:val="0"/>
              <w:snapToGrid w:val="0"/>
              <w:spacing w:before="0" w:beforeAutospacing="0" w:after="0" w:afterAutospacing="0" w:line="360" w:lineRule="auto"/>
              <w:ind w:left="0" w:right="0"/>
              <w:rPr>
                <w:rFonts w:hint="default" w:ascii="Times New Roman" w:hAnsi="宋体" w:cs="Times New Roman"/>
                <w:color w:val="auto"/>
                <w:highlight w:val="none"/>
              </w:rPr>
            </w:pPr>
            <w:r>
              <w:rPr>
                <w:rFonts w:hint="eastAsia" w:ascii="Times New Roman" w:hAnsi="宋体" w:cs="Times New Roman"/>
                <w:color w:val="auto"/>
                <w:highlight w:val="none"/>
              </w:rPr>
              <w:t>名称：</w:t>
            </w:r>
            <w:bookmarkStart w:id="60" w:name="PO_3000001866_PM036"/>
            <w:r>
              <w:rPr>
                <w:rFonts w:hint="eastAsia" w:ascii="Times New Roman" w:hAnsi="宋体" w:cs="Times New Roman"/>
                <w:color w:val="auto"/>
                <w:highlight w:val="none"/>
              </w:rPr>
              <w:t>南宁市财政局政府采购监督管理科</w:t>
            </w:r>
            <w:bookmarkEnd w:id="60"/>
          </w:p>
          <w:p w14:paraId="7D89D608">
            <w:pPr>
              <w:keepNext w:val="0"/>
              <w:keepLines w:val="0"/>
              <w:suppressLineNumbers w:val="0"/>
              <w:snapToGrid w:val="0"/>
              <w:spacing w:before="0" w:beforeAutospacing="0" w:after="0" w:afterAutospacing="0" w:line="360" w:lineRule="auto"/>
              <w:ind w:left="0" w:right="0"/>
              <w:rPr>
                <w:rFonts w:hint="default" w:ascii="Times New Roman" w:hAnsi="宋体" w:cs="Times New Roman"/>
                <w:color w:val="auto"/>
                <w:highlight w:val="none"/>
              </w:rPr>
            </w:pPr>
            <w:r>
              <w:rPr>
                <w:rFonts w:hint="eastAsia" w:ascii="Times New Roman" w:hAnsi="宋体" w:cs="Times New Roman"/>
                <w:color w:val="auto"/>
                <w:highlight w:val="none"/>
              </w:rPr>
              <w:t>地址：南宁市东葛路129号</w:t>
            </w:r>
          </w:p>
          <w:p w14:paraId="35C31AC3">
            <w:pPr>
              <w:keepNext w:val="0"/>
              <w:keepLines w:val="0"/>
              <w:suppressLineNumbers w:val="0"/>
              <w:snapToGrid w:val="0"/>
              <w:spacing w:before="0" w:beforeAutospacing="0" w:after="0" w:afterAutospacing="0" w:line="360" w:lineRule="auto"/>
              <w:ind w:left="0" w:right="0"/>
              <w:rPr>
                <w:rFonts w:hint="default" w:ascii="Times New Roman" w:hAnsi="宋体" w:cs="Times New Roman"/>
                <w:color w:val="auto"/>
                <w:highlight w:val="none"/>
              </w:rPr>
            </w:pPr>
            <w:r>
              <w:rPr>
                <w:rFonts w:hint="eastAsia" w:ascii="Times New Roman" w:hAnsi="宋体" w:cs="Times New Roman"/>
                <w:color w:val="auto"/>
                <w:highlight w:val="none"/>
              </w:rPr>
              <w:t>联系电话：</w:t>
            </w:r>
            <w:bookmarkStart w:id="61" w:name="PO_3000001866_PM038_1"/>
            <w:r>
              <w:rPr>
                <w:rFonts w:hint="eastAsia" w:ascii="Times New Roman" w:hAnsi="宋体" w:cs="Times New Roman"/>
                <w:color w:val="auto"/>
                <w:highlight w:val="none"/>
              </w:rPr>
              <w:t>0771-2189091</w:t>
            </w:r>
            <w:bookmarkEnd w:id="61"/>
          </w:p>
        </w:tc>
      </w:tr>
      <w:tr w14:paraId="4BF8DC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675" w:type="dxa"/>
            <w:vMerge w:val="restart"/>
            <w:tcBorders>
              <w:top w:val="single" w:color="auto" w:sz="4" w:space="0"/>
              <w:left w:val="single" w:color="auto" w:sz="4" w:space="0"/>
              <w:bottom w:val="single" w:color="auto" w:sz="4" w:space="0"/>
              <w:right w:val="single" w:color="auto" w:sz="4" w:space="0"/>
            </w:tcBorders>
            <w:noWrap w:val="0"/>
            <w:vAlign w:val="center"/>
          </w:tcPr>
          <w:p w14:paraId="233E4471">
            <w:pPr>
              <w:keepNext w:val="0"/>
              <w:keepLines w:val="0"/>
              <w:suppressLineNumbers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40</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2F37AB6F">
            <w:pPr>
              <w:keepNext w:val="0"/>
              <w:keepLines w:val="0"/>
              <w:suppressLineNumbers w:val="0"/>
              <w:spacing w:before="0" w:beforeAutospacing="0" w:after="0" w:afterAutospacing="0" w:line="380" w:lineRule="exact"/>
              <w:ind w:left="0" w:right="0"/>
              <w:rPr>
                <w:rFonts w:hint="default" w:ascii="宋体" w:hAnsi="宋体" w:cs="Times New Roman"/>
                <w:color w:val="auto"/>
                <w:szCs w:val="21"/>
                <w:highlight w:val="none"/>
              </w:rPr>
            </w:pPr>
            <w:bookmarkStart w:id="62" w:name="_42"/>
            <w:bookmarkEnd w:id="62"/>
            <w:bookmarkStart w:id="63" w:name="_41"/>
            <w:bookmarkEnd w:id="63"/>
            <w:r>
              <w:rPr>
                <w:rFonts w:hint="eastAsia" w:ascii="Times New Roman" w:hAnsi="宋体" w:cs="宋体"/>
                <w:color w:val="auto"/>
                <w:highlight w:val="none"/>
              </w:rPr>
              <w:t>采购代理费支付方式</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0AE71910">
            <w:pPr>
              <w:keepNext w:val="0"/>
              <w:keepLines w:val="0"/>
              <w:suppressLineNumbers w:val="0"/>
              <w:snapToGrid w:val="0"/>
              <w:spacing w:before="0" w:beforeAutospacing="0" w:after="0" w:afterAutospacing="0" w:line="380" w:lineRule="exact"/>
              <w:ind w:left="0" w:right="0"/>
              <w:rPr>
                <w:rFonts w:hint="default" w:ascii="宋体" w:hAnsi="宋体" w:cs="宋体"/>
                <w:color w:val="auto"/>
                <w:szCs w:val="20"/>
                <w:highlight w:val="none"/>
              </w:rPr>
            </w:pPr>
            <w:r>
              <w:rPr>
                <w:rFonts w:hint="eastAsia" w:ascii="宋体" w:hAnsi="宋体" w:cs="宋体"/>
                <w:color w:val="auto"/>
                <w:szCs w:val="20"/>
                <w:highlight w:val="none"/>
              </w:rPr>
              <w:sym w:font="Wingdings 2" w:char="0052"/>
            </w:r>
            <w:r>
              <w:rPr>
                <w:rFonts w:hint="eastAsia" w:ascii="宋体" w:hAnsi="宋体" w:cs="宋体"/>
                <w:color w:val="auto"/>
                <w:szCs w:val="20"/>
                <w:highlight w:val="none"/>
              </w:rPr>
              <w:t>本项目代理服务费由</w:t>
            </w:r>
            <w:r>
              <w:rPr>
                <w:rFonts w:hint="eastAsia" w:ascii="宋体" w:hAnsi="宋体" w:cs="宋体"/>
                <w:color w:val="auto"/>
                <w:szCs w:val="20"/>
                <w:highlight w:val="none"/>
                <w:u w:val="single"/>
              </w:rPr>
              <w:t>中标人</w:t>
            </w:r>
            <w:r>
              <w:rPr>
                <w:rFonts w:hint="eastAsia" w:ascii="宋体" w:hAnsi="宋体" w:cs="宋体"/>
                <w:color w:val="auto"/>
                <w:szCs w:val="20"/>
                <w:highlight w:val="none"/>
              </w:rPr>
              <w:t>在领取中标通知书前，一次性向采购代理机构支付。</w:t>
            </w:r>
          </w:p>
          <w:p w14:paraId="46D1463E">
            <w:pPr>
              <w:keepNext w:val="0"/>
              <w:keepLines w:val="0"/>
              <w:suppressLineNumbers w:val="0"/>
              <w:snapToGrid w:val="0"/>
              <w:spacing w:before="0" w:beforeAutospacing="0" w:after="0" w:afterAutospacing="0" w:line="380" w:lineRule="exact"/>
              <w:ind w:left="0" w:right="0"/>
              <w:rPr>
                <w:rFonts w:hint="default" w:ascii="宋体" w:hAnsi="宋体" w:cs="宋体"/>
                <w:color w:val="auto"/>
                <w:szCs w:val="20"/>
                <w:highlight w:val="none"/>
              </w:rPr>
            </w:pPr>
            <w:r>
              <w:rPr>
                <w:rFonts w:hint="eastAsia" w:ascii="宋体" w:hAnsi="宋体" w:cs="宋体"/>
                <w:color w:val="auto"/>
                <w:szCs w:val="20"/>
                <w:highlight w:val="none"/>
              </w:rPr>
              <w:t>□采购人支付。</w:t>
            </w:r>
          </w:p>
          <w:p w14:paraId="6E4D2E3C">
            <w:pPr>
              <w:keepNext w:val="0"/>
              <w:keepLines w:val="0"/>
              <w:suppressLineNumbers w:val="0"/>
              <w:snapToGrid w:val="0"/>
              <w:spacing w:before="0" w:beforeAutospacing="0" w:after="0" w:afterAutospacing="0" w:line="380" w:lineRule="exact"/>
              <w:ind w:left="0" w:right="0"/>
              <w:rPr>
                <w:rFonts w:hint="default" w:ascii="宋体" w:hAnsi="宋体" w:cs="宋体"/>
                <w:color w:val="auto"/>
                <w:szCs w:val="20"/>
                <w:highlight w:val="none"/>
              </w:rPr>
            </w:pPr>
            <w:r>
              <w:rPr>
                <w:rFonts w:hint="eastAsia" w:ascii="宋体" w:hAnsi="宋体" w:cs="宋体"/>
                <w:color w:val="auto"/>
                <w:szCs w:val="20"/>
                <w:highlight w:val="none"/>
              </w:rPr>
              <w:t>□本项目不收取代理服务费。</w:t>
            </w:r>
          </w:p>
        </w:tc>
      </w:tr>
      <w:tr w14:paraId="5D4464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02" w:hRule="atLeast"/>
        </w:trPr>
        <w:tc>
          <w:tcPr>
            <w:tcW w:w="675" w:type="dxa"/>
            <w:vMerge w:val="continue"/>
            <w:tcBorders>
              <w:top w:val="single" w:color="auto" w:sz="4" w:space="0"/>
              <w:left w:val="single" w:color="auto" w:sz="4" w:space="0"/>
              <w:bottom w:val="single" w:color="auto" w:sz="4" w:space="0"/>
              <w:right w:val="single" w:color="auto" w:sz="4" w:space="0"/>
            </w:tcBorders>
            <w:noWrap w:val="0"/>
            <w:vAlign w:val="center"/>
          </w:tcPr>
          <w:p w14:paraId="536C34E8">
            <w:pPr>
              <w:keepNext w:val="0"/>
              <w:keepLines w:val="0"/>
              <w:widowControl/>
              <w:suppressLineNumbers w:val="0"/>
              <w:spacing w:before="0" w:beforeAutospacing="0" w:after="0" w:afterAutospacing="0"/>
              <w:ind w:left="0" w:right="0"/>
              <w:jc w:val="left"/>
              <w:rPr>
                <w:rFonts w:hint="default" w:ascii="宋体" w:hAnsi="宋体" w:cs="Times New Roman"/>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14:paraId="4D5AE683">
            <w:pPr>
              <w:keepNext w:val="0"/>
              <w:keepLines w:val="0"/>
              <w:suppressLineNumbers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Times New Roman" w:hAnsi="宋体" w:cs="宋体"/>
                <w:color w:val="auto"/>
                <w:highlight w:val="none"/>
              </w:rPr>
              <w:t>采购代理费收取标准</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120F4CF8">
            <w:pPr>
              <w:keepNext w:val="0"/>
              <w:keepLines w:val="0"/>
              <w:suppressLineNumbers w:val="0"/>
              <w:snapToGrid w:val="0"/>
              <w:spacing w:before="0" w:beforeAutospacing="0" w:after="0" w:afterAutospacing="0" w:line="360" w:lineRule="auto"/>
              <w:ind w:left="0" w:right="0"/>
              <w:rPr>
                <w:rFonts w:hint="default" w:ascii="Times New Roman" w:hAnsi="宋体" w:cs="宋体"/>
                <w:color w:val="auto"/>
                <w:sz w:val="24"/>
                <w:highlight w:val="none"/>
              </w:rPr>
            </w:pPr>
            <w:r>
              <w:rPr>
                <w:rFonts w:hint="eastAsia" w:ascii="宋体" w:hAnsi="宋体" w:cs="Wingdings 2"/>
                <w:color w:val="auto"/>
                <w:szCs w:val="21"/>
                <w:highlight w:val="none"/>
                <w:lang w:bidi="ar"/>
              </w:rPr>
              <w:t>□</w:t>
            </w:r>
            <w:r>
              <w:rPr>
                <w:rFonts w:hint="eastAsia" w:ascii="宋体" w:hAnsi="宋体" w:cs="宋体"/>
                <w:color w:val="auto"/>
                <w:szCs w:val="20"/>
                <w:highlight w:val="none"/>
                <w:lang w:bidi="ar"/>
              </w:rPr>
              <w:t>以分标（</w:t>
            </w:r>
            <w:r>
              <w:rPr>
                <w:rFonts w:hint="eastAsia" w:ascii="宋体" w:hAnsi="宋体" w:cs="Wingdings 2"/>
                <w:color w:val="auto"/>
                <w:szCs w:val="21"/>
                <w:highlight w:val="none"/>
                <w:lang w:bidi="ar"/>
              </w:rPr>
              <w:t>☑</w:t>
            </w:r>
            <w:r>
              <w:rPr>
                <w:rFonts w:hint="eastAsia" w:ascii="宋体" w:hAnsi="宋体" w:cs="宋体"/>
                <w:color w:val="auto"/>
                <w:szCs w:val="20"/>
                <w:highlight w:val="none"/>
                <w:lang w:bidi="ar"/>
              </w:rPr>
              <w:t>成交金额/□采购预算/□暂定成交金额/□其他</w:t>
            </w:r>
            <w:r>
              <w:rPr>
                <w:rFonts w:hint="eastAsia" w:ascii="宋体" w:hAnsi="宋体" w:cs="宋体"/>
                <w:color w:val="auto"/>
                <w:szCs w:val="20"/>
                <w:highlight w:val="none"/>
                <w:u w:val="single"/>
                <w:lang w:bidi="ar"/>
              </w:rPr>
              <w:t xml:space="preserve">   </w:t>
            </w:r>
            <w:r>
              <w:rPr>
                <w:rFonts w:hint="eastAsia" w:ascii="宋体" w:hAnsi="宋体" w:cs="宋体"/>
                <w:color w:val="auto"/>
                <w:szCs w:val="20"/>
                <w:highlight w:val="none"/>
                <w:lang w:bidi="ar"/>
              </w:rPr>
              <w:t>）为计费额，按服务</w:t>
            </w:r>
            <w:r>
              <w:rPr>
                <w:rFonts w:hint="eastAsia" w:ascii="宋体" w:hAnsi="宋体" w:cs="宋体"/>
                <w:color w:val="auto"/>
                <w:szCs w:val="20"/>
                <w:highlight w:val="none"/>
                <w:u w:val="single"/>
                <w:lang w:bidi="ar"/>
              </w:rPr>
              <w:t>类</w:t>
            </w:r>
            <w:r>
              <w:rPr>
                <w:rFonts w:hint="eastAsia" w:ascii="宋体" w:hAnsi="宋体" w:cs="宋体"/>
                <w:color w:val="auto"/>
                <w:szCs w:val="20"/>
                <w:highlight w:val="none"/>
                <w:lang w:bidi="ar"/>
              </w:rPr>
              <w:t>采用差额定率累进法计算出收费基准价格，采购代理收费以（</w:t>
            </w:r>
            <w:r>
              <w:rPr>
                <w:rFonts w:hint="eastAsia" w:ascii="宋体" w:hAnsi="宋体" w:eastAsia="Wingdings 2" w:cs="Wingdings 2"/>
                <w:color w:val="auto"/>
                <w:szCs w:val="21"/>
                <w:highlight w:val="none"/>
                <w:lang w:bidi="ar"/>
              </w:rPr>
              <w:t>□</w:t>
            </w:r>
            <w:r>
              <w:rPr>
                <w:rFonts w:hint="eastAsia" w:ascii="宋体" w:hAnsi="宋体" w:cs="宋体"/>
                <w:color w:val="auto"/>
                <w:szCs w:val="20"/>
                <w:highlight w:val="none"/>
                <w:lang w:bidi="ar"/>
              </w:rPr>
              <w:t>收费基准价格/☑收费基准价格下浮</w:t>
            </w:r>
            <w:r>
              <w:rPr>
                <w:rFonts w:hint="eastAsia" w:ascii="宋体" w:hAnsi="宋体" w:cs="宋体"/>
                <w:color w:val="auto"/>
                <w:szCs w:val="20"/>
                <w:highlight w:val="none"/>
                <w:u w:val="single"/>
                <w:lang w:bidi="ar"/>
              </w:rPr>
              <w:t xml:space="preserve"> 20  %</w:t>
            </w:r>
            <w:r>
              <w:rPr>
                <w:rFonts w:hint="eastAsia" w:ascii="宋体" w:hAnsi="宋体" w:cs="宋体"/>
                <w:color w:val="auto"/>
                <w:szCs w:val="20"/>
                <w:highlight w:val="none"/>
                <w:lang w:bidi="ar"/>
              </w:rPr>
              <w:t>/□收费基准价格上浮</w:t>
            </w:r>
            <w:r>
              <w:rPr>
                <w:rFonts w:hint="eastAsia" w:ascii="宋体" w:hAnsi="宋体" w:cs="宋体"/>
                <w:color w:val="auto"/>
                <w:szCs w:val="20"/>
                <w:highlight w:val="none"/>
                <w:u w:val="single"/>
                <w:lang w:bidi="ar"/>
              </w:rPr>
              <w:t xml:space="preserve">   %</w:t>
            </w:r>
            <w:r>
              <w:rPr>
                <w:rFonts w:hint="eastAsia" w:ascii="宋体" w:hAnsi="宋体" w:cs="宋体"/>
                <w:color w:val="auto"/>
                <w:szCs w:val="20"/>
                <w:highlight w:val="none"/>
                <w:lang w:bidi="ar"/>
              </w:rPr>
              <w:t>）计算。</w:t>
            </w:r>
          </w:p>
          <w:p w14:paraId="4E8B5A52">
            <w:pPr>
              <w:keepNext w:val="0"/>
              <w:keepLines w:val="0"/>
              <w:suppressLineNumbers w:val="0"/>
              <w:snapToGrid w:val="0"/>
              <w:spacing w:before="0" w:beforeAutospacing="0" w:after="0" w:afterAutospacing="0" w:line="360" w:lineRule="auto"/>
              <w:ind w:left="0" w:right="0"/>
              <w:rPr>
                <w:rFonts w:hint="default" w:ascii="Times New Roman" w:hAnsi="Times New Roman" w:cs="Times New Roman"/>
                <w:color w:val="auto"/>
                <w:highlight w:val="none"/>
              </w:rPr>
            </w:pPr>
            <w:r>
              <w:rPr>
                <w:rFonts w:hint="eastAsia" w:ascii="宋体" w:hAnsi="宋体" w:cs="宋体"/>
                <w:color w:val="auto"/>
                <w:szCs w:val="20"/>
                <w:highlight w:val="none"/>
                <w:lang w:bidi="ar"/>
              </w:rPr>
              <w:t>□固定采购代理收费</w:t>
            </w:r>
            <w:r>
              <w:rPr>
                <w:rFonts w:hint="eastAsia" w:ascii="宋体" w:hAnsi="宋体" w:cs="宋体"/>
                <w:color w:val="auto"/>
                <w:szCs w:val="20"/>
                <w:highlight w:val="none"/>
                <w:u w:val="single"/>
                <w:lang w:bidi="ar"/>
              </w:rPr>
              <w:t xml:space="preserve">              。</w:t>
            </w:r>
          </w:p>
          <w:p w14:paraId="05E6FD53">
            <w:pPr>
              <w:keepNext w:val="0"/>
              <w:keepLines w:val="0"/>
              <w:widowControl/>
              <w:suppressLineNumbers w:val="0"/>
              <w:spacing w:before="0" w:beforeAutospacing="0" w:after="0" w:afterAutospacing="0" w:line="400" w:lineRule="exact"/>
              <w:ind w:left="0" w:right="100"/>
              <w:rPr>
                <w:rFonts w:hint="default" w:ascii="宋体" w:hAnsi="宋体" w:cs="宋体"/>
                <w:color w:val="auto"/>
                <w:kern w:val="0"/>
                <w:szCs w:val="21"/>
                <w:highlight w:val="none"/>
              </w:rPr>
            </w:pPr>
            <w:r>
              <w:rPr>
                <w:rFonts w:hint="eastAsia" w:ascii="宋体" w:hAnsi="宋体" w:cs="宋体"/>
                <w:b/>
                <w:bCs/>
                <w:color w:val="auto"/>
                <w:kern w:val="0"/>
                <w:szCs w:val="21"/>
                <w:highlight w:val="none"/>
              </w:rPr>
              <w:t>基准价计算标准如下</w:t>
            </w:r>
            <w:r>
              <w:rPr>
                <w:rFonts w:hint="eastAsia" w:ascii="宋体" w:hAnsi="宋体" w:cs="宋体"/>
                <w:color w:val="auto"/>
                <w:kern w:val="0"/>
                <w:szCs w:val="21"/>
                <w:highlight w:val="none"/>
              </w:rPr>
              <w:t>：</w:t>
            </w:r>
          </w:p>
          <w:p w14:paraId="407A9647">
            <w:pPr>
              <w:keepNext w:val="0"/>
              <w:keepLines w:val="0"/>
              <w:widowControl/>
              <w:suppressLineNumbers w:val="0"/>
              <w:spacing w:before="0" w:beforeAutospacing="0" w:after="0" w:afterAutospacing="0" w:line="400" w:lineRule="exact"/>
              <w:ind w:left="0" w:right="100" w:firstLine="420" w:firstLineChars="200"/>
              <w:rPr>
                <w:rFonts w:hint="default" w:ascii="宋体" w:hAnsi="宋体" w:cs="宋体"/>
                <w:color w:val="auto"/>
                <w:kern w:val="0"/>
                <w:szCs w:val="21"/>
                <w:highlight w:val="none"/>
              </w:rPr>
            </w:pPr>
            <w:r>
              <w:rPr>
                <w:rFonts w:hint="eastAsia" w:ascii="宋体" w:hAnsi="宋体" w:cs="仿宋"/>
                <w:color w:val="auto"/>
                <w:szCs w:val="20"/>
                <w:highlight w:val="none"/>
                <w:shd w:val="clear" w:color="auto" w:fill="FFFFFF"/>
              </w:rPr>
              <w:t>参照国家发展改革委关于进一步放开建设项目专业服务价格的通知发改价格〔2015〕299号文要求，采用差额定率累进法计算，按下表的标准计取代理服务基准价：</w:t>
            </w:r>
          </w:p>
          <w:p w14:paraId="1DFA342C">
            <w:pPr>
              <w:keepNext w:val="0"/>
              <w:keepLines w:val="0"/>
              <w:suppressLineNumbers w:val="0"/>
              <w:spacing w:before="0" w:beforeAutospacing="0" w:after="0" w:afterAutospacing="0"/>
              <w:ind w:left="0" w:right="0" w:firstLine="210" w:firstLineChars="100"/>
              <w:rPr>
                <w:rFonts w:hint="default" w:ascii="宋体" w:hAnsi="宋体" w:cs="宋体"/>
                <w:color w:val="auto"/>
                <w:kern w:val="0"/>
                <w:szCs w:val="21"/>
                <w:highlight w:val="none"/>
              </w:rPr>
            </w:pPr>
            <w:r>
              <w:rPr>
                <w:rFonts w:hint="eastAsia" w:ascii="宋体" w:hAnsi="宋体" w:cs="Calibri"/>
                <w:color w:val="auto"/>
                <w:szCs w:val="21"/>
                <w:highlight w:val="none"/>
              </w:rPr>
              <w:t>（1）采购项目预算金额在400万元以下（含400万元）的项目采用</w:t>
            </w:r>
            <w:r>
              <w:rPr>
                <w:rFonts w:hint="eastAsia" w:ascii="宋体" w:hAnsi="宋体" w:cs="宋体"/>
                <w:color w:val="auto"/>
                <w:kern w:val="0"/>
                <w:szCs w:val="21"/>
                <w:highlight w:val="none"/>
              </w:rPr>
              <w:t>差额定率累进法计算基准价，计算费率如下表：</w:t>
            </w:r>
          </w:p>
          <w:tbl>
            <w:tblPr>
              <w:tblStyle w:val="33"/>
              <w:tblpPr w:leftFromText="180" w:rightFromText="180" w:vertAnchor="text" w:horzAnchor="page" w:tblpX="271" w:tblpY="12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5"/>
              <w:gridCol w:w="3148"/>
            </w:tblGrid>
            <w:tr w14:paraId="4AC77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3555" w:type="dxa"/>
                  <w:tcBorders>
                    <w:tl2br w:val="single" w:color="auto" w:sz="4" w:space="0"/>
                  </w:tcBorders>
                  <w:noWrap w:val="0"/>
                  <w:vAlign w:val="top"/>
                </w:tcPr>
                <w:p w14:paraId="3E3FC90D">
                  <w:pPr>
                    <w:keepNext w:val="0"/>
                    <w:keepLines w:val="0"/>
                    <w:suppressLineNumbers w:val="0"/>
                    <w:spacing w:before="0" w:beforeAutospacing="0" w:after="0" w:afterAutospacing="0"/>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 xml:space="preserve">              </w:t>
                  </w:r>
                  <w:r>
                    <w:rPr>
                      <w:rFonts w:hint="default" w:ascii="宋体" w:hAnsi="宋体" w:cs="Times New Roman"/>
                      <w:color w:val="auto"/>
                      <w:szCs w:val="21"/>
                      <w:highlight w:val="none"/>
                    </w:rPr>
                    <w:t xml:space="preserve">          </w:t>
                  </w:r>
                  <w:r>
                    <w:rPr>
                      <w:rFonts w:hint="eastAsia" w:ascii="宋体" w:hAnsi="宋体" w:cs="Times New Roman"/>
                      <w:color w:val="auto"/>
                      <w:szCs w:val="21"/>
                      <w:highlight w:val="none"/>
                    </w:rPr>
                    <w:t xml:space="preserve"> </w:t>
                  </w:r>
                </w:p>
                <w:p w14:paraId="1FB524C8">
                  <w:pPr>
                    <w:keepNext w:val="0"/>
                    <w:keepLines w:val="0"/>
                    <w:suppressLineNumbers w:val="0"/>
                    <w:spacing w:before="0" w:beforeAutospacing="0" w:after="0" w:afterAutospacing="0"/>
                    <w:ind w:left="0" w:right="0" w:firstLine="1470" w:firstLineChars="700"/>
                    <w:rPr>
                      <w:rFonts w:hint="default" w:ascii="宋体" w:hAnsi="宋体" w:cs="Times New Roman"/>
                      <w:color w:val="auto"/>
                      <w:szCs w:val="21"/>
                      <w:highlight w:val="none"/>
                    </w:rPr>
                  </w:pPr>
                  <w:r>
                    <w:rPr>
                      <w:rFonts w:hint="eastAsia" w:ascii="宋体" w:hAnsi="宋体" w:cs="Times New Roman"/>
                      <w:color w:val="auto"/>
                      <w:szCs w:val="21"/>
                      <w:highlight w:val="none"/>
                    </w:rPr>
                    <w:t>费率</w:t>
                  </w:r>
                </w:p>
                <w:p w14:paraId="155BFA7F">
                  <w:pPr>
                    <w:keepNext w:val="0"/>
                    <w:keepLines w:val="0"/>
                    <w:suppressLineNumbers w:val="0"/>
                    <w:spacing w:before="0" w:beforeAutospacing="0" w:after="0" w:afterAutospacing="0"/>
                    <w:ind w:left="0" w:right="0" w:firstLine="420" w:firstLineChars="200"/>
                    <w:rPr>
                      <w:rFonts w:hint="default" w:ascii="宋体" w:hAnsi="宋体" w:cs="Calibri"/>
                      <w:color w:val="auto"/>
                      <w:szCs w:val="21"/>
                      <w:highlight w:val="none"/>
                    </w:rPr>
                  </w:pPr>
                </w:p>
                <w:p w14:paraId="02FFA89F">
                  <w:pPr>
                    <w:keepNext w:val="0"/>
                    <w:keepLines w:val="0"/>
                    <w:suppressLineNumbers w:val="0"/>
                    <w:spacing w:before="0" w:beforeAutospacing="0" w:after="0" w:afterAutospacing="0"/>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中标金额（或预算金额）</w:t>
                  </w:r>
                </w:p>
              </w:tc>
              <w:tc>
                <w:tcPr>
                  <w:tcW w:w="3148" w:type="dxa"/>
                  <w:noWrap w:val="0"/>
                  <w:vAlign w:val="center"/>
                </w:tcPr>
                <w:p w14:paraId="05D73822">
                  <w:pPr>
                    <w:keepNext w:val="0"/>
                    <w:keepLines w:val="0"/>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费率或金额（元）</w:t>
                  </w:r>
                </w:p>
              </w:tc>
            </w:tr>
            <w:tr w14:paraId="3ABAE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3555" w:type="dxa"/>
                  <w:noWrap w:val="0"/>
                  <w:vAlign w:val="top"/>
                </w:tcPr>
                <w:p w14:paraId="101BDFC0">
                  <w:pPr>
                    <w:keepNext w:val="0"/>
                    <w:keepLines w:val="0"/>
                    <w:suppressLineNumbers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100万元以下(含100万元）</w:t>
                  </w:r>
                </w:p>
              </w:tc>
              <w:tc>
                <w:tcPr>
                  <w:tcW w:w="3148" w:type="dxa"/>
                  <w:noWrap w:val="0"/>
                  <w:vAlign w:val="top"/>
                </w:tcPr>
                <w:p w14:paraId="659E1FE1">
                  <w:pPr>
                    <w:keepNext w:val="0"/>
                    <w:keepLines w:val="0"/>
                    <w:suppressLineNumbers w:val="0"/>
                    <w:spacing w:before="0" w:beforeAutospacing="0" w:after="0" w:afterAutospacing="0"/>
                    <w:ind w:left="0" w:right="0" w:firstLine="210" w:firstLineChars="100"/>
                    <w:rPr>
                      <w:rFonts w:hint="default" w:ascii="宋体" w:hAnsi="宋体" w:cs="Times New Roman"/>
                      <w:color w:val="auto"/>
                      <w:szCs w:val="21"/>
                      <w:highlight w:val="none"/>
                    </w:rPr>
                  </w:pPr>
                  <w:r>
                    <w:rPr>
                      <w:rFonts w:hint="eastAsia" w:ascii="宋体" w:hAnsi="宋体" w:cs="宋体"/>
                      <w:color w:val="auto"/>
                      <w:kern w:val="0"/>
                      <w:szCs w:val="21"/>
                      <w:highlight w:val="none"/>
                    </w:rPr>
                    <w:t>1.5%</w:t>
                  </w:r>
                </w:p>
              </w:tc>
            </w:tr>
            <w:tr w14:paraId="2B742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3555" w:type="dxa"/>
                  <w:noWrap w:val="0"/>
                  <w:vAlign w:val="top"/>
                </w:tcPr>
                <w:p w14:paraId="0F9C17F1">
                  <w:pPr>
                    <w:keepNext w:val="0"/>
                    <w:keepLines w:val="0"/>
                    <w:suppressLineNumbers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100～400万元（含400万元）</w:t>
                  </w:r>
                </w:p>
              </w:tc>
              <w:tc>
                <w:tcPr>
                  <w:tcW w:w="3148" w:type="dxa"/>
                  <w:noWrap w:val="0"/>
                  <w:vAlign w:val="top"/>
                </w:tcPr>
                <w:p w14:paraId="0F30FB93">
                  <w:pPr>
                    <w:keepNext w:val="0"/>
                    <w:keepLines w:val="0"/>
                    <w:suppressLineNumbers w:val="0"/>
                    <w:spacing w:before="0" w:beforeAutospacing="0" w:after="0" w:afterAutospacing="0"/>
                    <w:ind w:left="0" w:right="0" w:firstLine="210" w:firstLineChars="100"/>
                    <w:rPr>
                      <w:rFonts w:hint="default" w:ascii="宋体" w:hAnsi="宋体" w:cs="Times New Roman"/>
                      <w:color w:val="auto"/>
                      <w:szCs w:val="21"/>
                      <w:highlight w:val="none"/>
                    </w:rPr>
                  </w:pPr>
                  <w:r>
                    <w:rPr>
                      <w:rFonts w:hint="eastAsia" w:ascii="宋体" w:hAnsi="宋体" w:cs="宋体"/>
                      <w:color w:val="auto"/>
                      <w:kern w:val="0"/>
                      <w:szCs w:val="21"/>
                      <w:highlight w:val="none"/>
                    </w:rPr>
                    <w:t>0.8%</w:t>
                  </w:r>
                </w:p>
              </w:tc>
            </w:tr>
            <w:tr w14:paraId="27763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6703" w:type="dxa"/>
                  <w:gridSpan w:val="2"/>
                  <w:noWrap w:val="0"/>
                  <w:vAlign w:val="top"/>
                </w:tcPr>
                <w:p w14:paraId="31718933">
                  <w:pPr>
                    <w:keepNext w:val="0"/>
                    <w:keepLines w:val="0"/>
                    <w:suppressLineNumbers w:val="0"/>
                    <w:spacing w:before="0" w:beforeAutospacing="0" w:after="0" w:afterAutospacing="0"/>
                    <w:ind w:left="0" w:right="0" w:firstLine="210" w:firstLineChars="100"/>
                    <w:rPr>
                      <w:rFonts w:hint="default" w:ascii="宋体" w:hAnsi="宋体" w:cs="宋体"/>
                      <w:color w:val="auto"/>
                      <w:kern w:val="0"/>
                      <w:szCs w:val="21"/>
                      <w:highlight w:val="none"/>
                    </w:rPr>
                  </w:pPr>
                  <w:r>
                    <w:rPr>
                      <w:rFonts w:hint="eastAsia" w:ascii="宋体" w:hAnsi="宋体" w:cs="宋体"/>
                      <w:color w:val="auto"/>
                      <w:kern w:val="0"/>
                      <w:szCs w:val="21"/>
                      <w:highlight w:val="none"/>
                    </w:rPr>
                    <w:t>按以上费率计算不足5000.00元的，以5000.00元为基准价。</w:t>
                  </w:r>
                </w:p>
              </w:tc>
            </w:tr>
          </w:tbl>
          <w:p w14:paraId="0A65AC43">
            <w:pPr>
              <w:keepNext w:val="0"/>
              <w:keepLines w:val="0"/>
              <w:suppressLineNumbers w:val="0"/>
              <w:spacing w:before="0" w:beforeAutospacing="0" w:after="0" w:afterAutospacing="0"/>
              <w:ind w:left="0" w:right="0"/>
              <w:rPr>
                <w:rFonts w:hint="default" w:ascii="宋体" w:hAnsi="宋体" w:cs="宋体"/>
                <w:color w:val="auto"/>
                <w:kern w:val="0"/>
                <w:szCs w:val="21"/>
                <w:highlight w:val="none"/>
              </w:rPr>
            </w:pPr>
          </w:p>
          <w:p w14:paraId="2352F48B">
            <w:pPr>
              <w:keepNext w:val="0"/>
              <w:keepLines w:val="0"/>
              <w:suppressLineNumbers w:val="0"/>
              <w:spacing w:before="0" w:beforeAutospacing="0" w:after="0" w:afterAutospacing="0"/>
              <w:ind w:left="0" w:right="0" w:firstLine="210" w:firstLineChars="100"/>
              <w:rPr>
                <w:rFonts w:hint="default" w:ascii="宋体" w:hAnsi="宋体" w:cs="Calibri"/>
                <w:color w:val="auto"/>
                <w:kern w:val="0"/>
                <w:szCs w:val="21"/>
                <w:highlight w:val="none"/>
              </w:rPr>
            </w:pPr>
            <w:r>
              <w:rPr>
                <w:rFonts w:hint="eastAsia" w:ascii="宋体" w:hAnsi="宋体" w:cs="Calibri"/>
                <w:color w:val="auto"/>
                <w:szCs w:val="21"/>
                <w:highlight w:val="none"/>
              </w:rPr>
              <w:t>（2）采购项目预算金额在400万元以上的项目按定额计取基准价</w:t>
            </w:r>
          </w:p>
          <w:tbl>
            <w:tblPr>
              <w:tblStyle w:val="33"/>
              <w:tblpPr w:leftFromText="180" w:rightFromText="180" w:vertAnchor="text" w:horzAnchor="page" w:tblpX="271" w:tblpY="12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5"/>
              <w:gridCol w:w="3148"/>
            </w:tblGrid>
            <w:tr w14:paraId="187B9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3555" w:type="dxa"/>
                  <w:tcBorders>
                    <w:tl2br w:val="single" w:color="auto" w:sz="4" w:space="0"/>
                  </w:tcBorders>
                  <w:noWrap w:val="0"/>
                  <w:vAlign w:val="top"/>
                </w:tcPr>
                <w:p w14:paraId="22056BB6">
                  <w:pPr>
                    <w:keepNext w:val="0"/>
                    <w:keepLines w:val="0"/>
                    <w:suppressLineNumbers w:val="0"/>
                    <w:spacing w:before="0" w:beforeAutospacing="0" w:after="0" w:afterAutospacing="0"/>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 xml:space="preserve">              </w:t>
                  </w:r>
                  <w:r>
                    <w:rPr>
                      <w:rFonts w:hint="default" w:ascii="宋体" w:hAnsi="宋体" w:cs="Times New Roman"/>
                      <w:color w:val="auto"/>
                      <w:szCs w:val="21"/>
                      <w:highlight w:val="none"/>
                    </w:rPr>
                    <w:t xml:space="preserve">          </w:t>
                  </w:r>
                  <w:r>
                    <w:rPr>
                      <w:rFonts w:hint="eastAsia" w:ascii="宋体" w:hAnsi="宋体" w:cs="Times New Roman"/>
                      <w:color w:val="auto"/>
                      <w:szCs w:val="21"/>
                      <w:highlight w:val="none"/>
                    </w:rPr>
                    <w:t xml:space="preserve"> </w:t>
                  </w:r>
                </w:p>
                <w:p w14:paraId="5A275B5B">
                  <w:pPr>
                    <w:keepNext w:val="0"/>
                    <w:keepLines w:val="0"/>
                    <w:suppressLineNumbers w:val="0"/>
                    <w:spacing w:before="0" w:beforeAutospacing="0" w:after="0" w:afterAutospacing="0"/>
                    <w:ind w:left="0" w:right="0" w:firstLine="1470" w:firstLineChars="700"/>
                    <w:rPr>
                      <w:rFonts w:hint="default" w:ascii="宋体" w:hAnsi="宋体" w:cs="Times New Roman"/>
                      <w:color w:val="auto"/>
                      <w:szCs w:val="21"/>
                      <w:highlight w:val="none"/>
                    </w:rPr>
                  </w:pPr>
                  <w:r>
                    <w:rPr>
                      <w:rFonts w:hint="eastAsia" w:ascii="宋体" w:hAnsi="宋体" w:cs="Times New Roman"/>
                      <w:color w:val="auto"/>
                      <w:szCs w:val="21"/>
                      <w:highlight w:val="none"/>
                    </w:rPr>
                    <w:t>费率</w:t>
                  </w:r>
                </w:p>
                <w:p w14:paraId="11DAE5E0">
                  <w:pPr>
                    <w:keepNext w:val="0"/>
                    <w:keepLines w:val="0"/>
                    <w:suppressLineNumbers w:val="0"/>
                    <w:spacing w:before="0" w:beforeAutospacing="0" w:after="0" w:afterAutospacing="0"/>
                    <w:ind w:left="0" w:right="0" w:firstLine="420" w:firstLineChars="200"/>
                    <w:rPr>
                      <w:rFonts w:hint="default" w:ascii="宋体" w:hAnsi="宋体" w:cs="Calibri"/>
                      <w:color w:val="auto"/>
                      <w:szCs w:val="21"/>
                      <w:highlight w:val="none"/>
                    </w:rPr>
                  </w:pPr>
                </w:p>
                <w:p w14:paraId="06899533">
                  <w:pPr>
                    <w:keepNext w:val="0"/>
                    <w:keepLines w:val="0"/>
                    <w:suppressLineNumbers w:val="0"/>
                    <w:spacing w:before="0" w:beforeAutospacing="0" w:after="0" w:afterAutospacing="0"/>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中标金额（或预算金额）</w:t>
                  </w:r>
                </w:p>
              </w:tc>
              <w:tc>
                <w:tcPr>
                  <w:tcW w:w="3148" w:type="dxa"/>
                  <w:noWrap w:val="0"/>
                  <w:vAlign w:val="center"/>
                </w:tcPr>
                <w:p w14:paraId="1B972C57">
                  <w:pPr>
                    <w:keepNext w:val="0"/>
                    <w:keepLines w:val="0"/>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费率或金额（元）</w:t>
                  </w:r>
                </w:p>
              </w:tc>
            </w:tr>
            <w:tr w14:paraId="53348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3555" w:type="dxa"/>
                  <w:noWrap w:val="0"/>
                  <w:vAlign w:val="top"/>
                </w:tcPr>
                <w:p w14:paraId="7B25FF58">
                  <w:pPr>
                    <w:keepNext w:val="0"/>
                    <w:keepLines w:val="0"/>
                    <w:suppressLineNumbers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400～1000万元（含1000万元）</w:t>
                  </w:r>
                </w:p>
              </w:tc>
              <w:tc>
                <w:tcPr>
                  <w:tcW w:w="3148" w:type="dxa"/>
                  <w:noWrap w:val="0"/>
                  <w:vAlign w:val="top"/>
                </w:tcPr>
                <w:p w14:paraId="30257549">
                  <w:pPr>
                    <w:keepNext w:val="0"/>
                    <w:keepLines w:val="0"/>
                    <w:suppressLineNumbers w:val="0"/>
                    <w:spacing w:before="0" w:beforeAutospacing="0" w:after="0" w:afterAutospacing="0"/>
                    <w:ind w:left="0" w:right="0" w:firstLine="210" w:firstLineChars="100"/>
                    <w:rPr>
                      <w:rFonts w:hint="default" w:ascii="宋体" w:hAnsi="宋体" w:cs="Times New Roman"/>
                      <w:color w:val="auto"/>
                      <w:szCs w:val="21"/>
                      <w:highlight w:val="none"/>
                    </w:rPr>
                  </w:pPr>
                  <w:r>
                    <w:rPr>
                      <w:rFonts w:hint="eastAsia" w:ascii="宋体" w:hAnsi="宋体" w:cs="宋体"/>
                      <w:color w:val="auto"/>
                      <w:kern w:val="0"/>
                      <w:szCs w:val="21"/>
                      <w:highlight w:val="none"/>
                    </w:rPr>
                    <w:t>43000.00</w:t>
                  </w:r>
                </w:p>
              </w:tc>
            </w:tr>
            <w:tr w14:paraId="66A5F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3555" w:type="dxa"/>
                  <w:noWrap w:val="0"/>
                  <w:vAlign w:val="top"/>
                </w:tcPr>
                <w:p w14:paraId="32127333">
                  <w:pPr>
                    <w:keepNext w:val="0"/>
                    <w:keepLines w:val="0"/>
                    <w:suppressLineNumbers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1000万元</w:t>
                  </w:r>
                </w:p>
              </w:tc>
              <w:tc>
                <w:tcPr>
                  <w:tcW w:w="3148" w:type="dxa"/>
                  <w:noWrap w:val="0"/>
                  <w:vAlign w:val="top"/>
                </w:tcPr>
                <w:p w14:paraId="127A75FE">
                  <w:pPr>
                    <w:keepNext w:val="0"/>
                    <w:keepLines w:val="0"/>
                    <w:suppressLineNumbers w:val="0"/>
                    <w:spacing w:before="0" w:beforeAutospacing="0" w:after="0" w:afterAutospacing="0"/>
                    <w:ind w:left="0" w:right="0" w:firstLine="210" w:firstLineChars="100"/>
                    <w:rPr>
                      <w:rFonts w:hint="default" w:ascii="宋体" w:hAnsi="宋体" w:cs="Times New Roman"/>
                      <w:color w:val="auto"/>
                      <w:szCs w:val="21"/>
                      <w:highlight w:val="none"/>
                    </w:rPr>
                  </w:pPr>
                  <w:r>
                    <w:rPr>
                      <w:rFonts w:hint="eastAsia" w:ascii="宋体" w:hAnsi="宋体" w:cs="宋体"/>
                      <w:color w:val="auto"/>
                      <w:kern w:val="0"/>
                      <w:szCs w:val="21"/>
                      <w:highlight w:val="none"/>
                    </w:rPr>
                    <w:t>48000.00</w:t>
                  </w:r>
                </w:p>
              </w:tc>
            </w:tr>
          </w:tbl>
          <w:p w14:paraId="7CF05A35">
            <w:pPr>
              <w:keepNext w:val="0"/>
              <w:keepLines w:val="0"/>
              <w:widowControl/>
              <w:suppressLineNumbers w:val="0"/>
              <w:spacing w:before="0" w:beforeAutospacing="0" w:after="0" w:afterAutospacing="0"/>
              <w:ind w:left="0" w:right="0"/>
              <w:jc w:val="left"/>
              <w:rPr>
                <w:rFonts w:hint="default" w:ascii="Times New Roman" w:hAnsi="宋体" w:cs="宋体"/>
                <w:color w:val="auto"/>
                <w:highlight w:val="none"/>
                <w:u w:val="single"/>
              </w:rPr>
            </w:pPr>
          </w:p>
        </w:tc>
      </w:tr>
      <w:tr w14:paraId="39E044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49" w:hRule="atLeast"/>
        </w:trPr>
        <w:tc>
          <w:tcPr>
            <w:tcW w:w="675" w:type="dxa"/>
            <w:vMerge w:val="continue"/>
            <w:tcBorders>
              <w:top w:val="single" w:color="auto" w:sz="4" w:space="0"/>
              <w:left w:val="single" w:color="auto" w:sz="4" w:space="0"/>
              <w:bottom w:val="single" w:color="auto" w:sz="4" w:space="0"/>
              <w:right w:val="single" w:color="auto" w:sz="4" w:space="0"/>
            </w:tcBorders>
            <w:noWrap w:val="0"/>
            <w:vAlign w:val="center"/>
          </w:tcPr>
          <w:p w14:paraId="0E71F0EB">
            <w:pPr>
              <w:keepNext w:val="0"/>
              <w:keepLines w:val="0"/>
              <w:widowControl/>
              <w:suppressLineNumbers w:val="0"/>
              <w:spacing w:before="0" w:beforeAutospacing="0" w:after="0" w:afterAutospacing="0"/>
              <w:ind w:left="0" w:right="0"/>
              <w:jc w:val="left"/>
              <w:rPr>
                <w:rFonts w:hint="default" w:ascii="宋体" w:hAnsi="宋体" w:cs="Times New Roman"/>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14:paraId="37AABC82">
            <w:pPr>
              <w:keepNext w:val="0"/>
              <w:keepLines w:val="0"/>
              <w:suppressLineNumbers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Times New Roman" w:hAnsi="宋体" w:cs="宋体"/>
                <w:color w:val="auto"/>
                <w:highlight w:val="none"/>
              </w:rPr>
              <w:t>代理服务费收款账户信息</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5B9F52D2">
            <w:pPr>
              <w:keepNext w:val="0"/>
              <w:keepLines w:val="0"/>
              <w:suppressLineNumbers w:val="0"/>
              <w:snapToGrid w:val="0"/>
              <w:spacing w:before="0" w:beforeAutospacing="0" w:after="0" w:afterAutospacing="0" w:line="380" w:lineRule="exact"/>
              <w:ind w:left="0" w:right="0"/>
              <w:rPr>
                <w:rFonts w:hint="default" w:ascii="宋体" w:hAnsi="宋体" w:cs="宋体"/>
                <w:color w:val="auto"/>
                <w:szCs w:val="20"/>
                <w:highlight w:val="none"/>
              </w:rPr>
            </w:pPr>
            <w:r>
              <w:rPr>
                <w:rFonts w:hint="eastAsia" w:ascii="宋体" w:hAnsi="宋体" w:cs="宋体"/>
                <w:color w:val="auto"/>
                <w:szCs w:val="20"/>
                <w:highlight w:val="none"/>
              </w:rPr>
              <w:t>开户名称：广西嘉达工程咨询管理有限公司</w:t>
            </w:r>
          </w:p>
          <w:p w14:paraId="07BA5D67">
            <w:pPr>
              <w:keepNext w:val="0"/>
              <w:keepLines w:val="0"/>
              <w:suppressLineNumbers w:val="0"/>
              <w:snapToGrid w:val="0"/>
              <w:spacing w:before="0" w:beforeAutospacing="0" w:after="0" w:afterAutospacing="0" w:line="380" w:lineRule="exact"/>
              <w:ind w:left="0" w:right="0"/>
              <w:rPr>
                <w:rFonts w:hint="default" w:ascii="宋体" w:hAnsi="宋体" w:cs="宋体"/>
                <w:color w:val="auto"/>
                <w:szCs w:val="20"/>
                <w:highlight w:val="none"/>
              </w:rPr>
            </w:pPr>
            <w:r>
              <w:rPr>
                <w:rFonts w:hint="eastAsia" w:ascii="宋体" w:hAnsi="宋体" w:cs="宋体"/>
                <w:color w:val="auto"/>
                <w:szCs w:val="20"/>
                <w:highlight w:val="none"/>
              </w:rPr>
              <w:t>开户银行：中国银行南宁市邕城支行</w:t>
            </w:r>
          </w:p>
          <w:p w14:paraId="4F5120FD">
            <w:pPr>
              <w:keepNext w:val="0"/>
              <w:keepLines w:val="0"/>
              <w:suppressLineNumbers w:val="0"/>
              <w:snapToGrid w:val="0"/>
              <w:spacing w:before="0" w:beforeAutospacing="0" w:after="0" w:afterAutospacing="0" w:line="380" w:lineRule="exact"/>
              <w:ind w:left="0" w:right="0"/>
              <w:rPr>
                <w:rFonts w:hint="default" w:ascii="宋体" w:hAnsi="宋体" w:cs="宋体"/>
                <w:color w:val="auto"/>
                <w:szCs w:val="20"/>
                <w:highlight w:val="none"/>
              </w:rPr>
            </w:pPr>
            <w:r>
              <w:rPr>
                <w:rFonts w:hint="eastAsia" w:ascii="宋体" w:hAnsi="宋体" w:cs="宋体"/>
                <w:color w:val="auto"/>
                <w:szCs w:val="20"/>
                <w:highlight w:val="none"/>
              </w:rPr>
              <w:t>银行账号：6197 6860 2103</w:t>
            </w:r>
          </w:p>
        </w:tc>
      </w:tr>
      <w:tr w14:paraId="6DD578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31BEA408">
            <w:pPr>
              <w:keepNext w:val="0"/>
              <w:keepLines w:val="0"/>
              <w:suppressLineNumbers w:val="0"/>
              <w:snapToGrid w:val="0"/>
              <w:spacing w:before="0" w:beforeAutospacing="0" w:after="0" w:afterAutospacing="0" w:line="380" w:lineRule="exact"/>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41.1</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47D30D24">
            <w:pPr>
              <w:keepNext w:val="0"/>
              <w:keepLines w:val="0"/>
              <w:suppressLineNumbers w:val="0"/>
              <w:snapToGrid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解释</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4B976D45">
            <w:pPr>
              <w:keepNext w:val="0"/>
              <w:keepLines w:val="0"/>
              <w:suppressLineNumbers w:val="0"/>
              <w:snapToGrid w:val="0"/>
              <w:spacing w:before="0" w:beforeAutospacing="0" w:after="0" w:afterAutospacing="0" w:line="380" w:lineRule="exact"/>
              <w:ind w:left="0" w:right="0"/>
              <w:rPr>
                <w:rFonts w:hint="default" w:ascii="宋体" w:hAnsi="宋体" w:cs="Times New Roman"/>
                <w:b/>
                <w:color w:val="auto"/>
                <w:szCs w:val="21"/>
                <w:highlight w:val="none"/>
              </w:rPr>
            </w:pPr>
            <w:r>
              <w:rPr>
                <w:rFonts w:hint="eastAsia" w:ascii="宋体" w:hAnsi="宋体" w:cs="Times New Roman"/>
                <w:b/>
                <w:color w:val="auto"/>
                <w:szCs w:val="21"/>
                <w:highlight w:val="none"/>
              </w:rPr>
              <w:t>解释权：</w:t>
            </w:r>
            <w:r>
              <w:rPr>
                <w:rFonts w:hint="eastAsia" w:ascii="宋体" w:hAnsi="宋体" w:cs="Times New Roman"/>
                <w:color w:val="auto"/>
                <w:szCs w:val="21"/>
                <w:highlight w:val="none"/>
              </w:rPr>
              <w:t>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Pr>
                <w:rFonts w:hint="eastAsia" w:ascii="宋体" w:hAnsi="宋体" w:cs="Times New Roman"/>
                <w:b/>
                <w:color w:val="auto"/>
                <w:szCs w:val="21"/>
                <w:highlight w:val="none"/>
              </w:rPr>
              <w:t>，由采购人或者采购代理机构负责解释。</w:t>
            </w:r>
          </w:p>
          <w:p w14:paraId="6128CE17">
            <w:pPr>
              <w:keepNext w:val="0"/>
              <w:keepLines w:val="0"/>
              <w:suppressLineNumbers w:val="0"/>
              <w:snapToGrid w:val="0"/>
              <w:spacing w:before="0" w:beforeAutospacing="0" w:after="0" w:afterAutospacing="0" w:line="380" w:lineRule="exact"/>
              <w:ind w:left="0" w:right="0"/>
              <w:rPr>
                <w:rFonts w:hint="default" w:ascii="宋体" w:hAnsi="宋体" w:cs="Times New Roman"/>
                <w:b/>
                <w:color w:val="auto"/>
                <w:szCs w:val="21"/>
                <w:highlight w:val="none"/>
              </w:rPr>
            </w:pPr>
            <w:r>
              <w:rPr>
                <w:rFonts w:hint="eastAsia" w:ascii="宋体" w:hAnsi="宋体" w:cs="Times New Roman"/>
                <w:b/>
                <w:color w:val="auto"/>
                <w:szCs w:val="21"/>
                <w:highlight w:val="none"/>
              </w:rPr>
              <w:t>法律责任：</w:t>
            </w:r>
          </w:p>
          <w:p w14:paraId="31A2C7D6">
            <w:pPr>
              <w:keepNext w:val="0"/>
              <w:keepLines w:val="0"/>
              <w:suppressLineNumbers w:val="0"/>
              <w:snapToGrid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1.本采购文件根据《中华人民共和国政府采购法》、《中华人民共和国民法典》；《中华人民共和国政府采购法实施条例》等有关法律、法规编制，参与本项目的各政府采购当事人依法享有上述法律法规所赋予的权利与义务。</w:t>
            </w:r>
          </w:p>
          <w:p w14:paraId="5D278125">
            <w:pPr>
              <w:keepNext w:val="0"/>
              <w:keepLines w:val="0"/>
              <w:suppressLineNumbers w:val="0"/>
              <w:spacing w:before="0" w:beforeAutospacing="0" w:after="0" w:afterAutospacing="0" w:line="380" w:lineRule="exact"/>
              <w:ind w:left="0" w:right="0"/>
              <w:rPr>
                <w:rFonts w:hint="default" w:ascii="Times New Roman" w:hAnsi="Times New Roman" w:cs="Times New Roman"/>
                <w:color w:val="auto"/>
                <w:highlight w:val="none"/>
              </w:rPr>
            </w:pPr>
            <w:r>
              <w:rPr>
                <w:rFonts w:hint="eastAsia" w:ascii="宋体" w:hAnsi="宋体" w:cs="Times New Roman"/>
                <w:b/>
                <w:color w:val="auto"/>
                <w:szCs w:val="21"/>
                <w:highlight w:val="none"/>
              </w:rPr>
              <w:t>2.本项目采购代理机构应严格按照“政采云”平台项目采购全流程电子化电子开评标规程执行项目采购活动，代理机构在“政采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12EE6F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386610AF">
            <w:pPr>
              <w:keepNext w:val="0"/>
              <w:keepLines w:val="0"/>
              <w:suppressLineNumbers w:val="0"/>
              <w:snapToGrid w:val="0"/>
              <w:spacing w:before="0" w:beforeAutospacing="0" w:after="0" w:afterAutospacing="0" w:line="380" w:lineRule="exact"/>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41.2</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3BC3F7C4">
            <w:pPr>
              <w:keepNext w:val="0"/>
              <w:keepLines w:val="0"/>
              <w:suppressLineNumbers w:val="0"/>
              <w:snapToGrid w:val="0"/>
              <w:spacing w:before="0" w:beforeAutospacing="0" w:after="0" w:afterAutospacing="0" w:line="38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其他释义</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1EB6671E">
            <w:pPr>
              <w:keepNext w:val="0"/>
              <w:keepLines w:val="0"/>
              <w:suppressLineNumbers w:val="0"/>
              <w:snapToGrid w:val="0"/>
              <w:spacing w:before="0" w:beforeAutospacing="0" w:after="0" w:afterAutospacing="0" w:line="380" w:lineRule="exact"/>
              <w:ind w:left="0" w:right="0"/>
              <w:rPr>
                <w:rFonts w:hint="default" w:ascii="宋体" w:hAnsi="宋体" w:cs="宋体"/>
                <w:b/>
                <w:bCs/>
                <w:color w:val="auto"/>
                <w:szCs w:val="20"/>
                <w:highlight w:val="none"/>
              </w:rPr>
            </w:pPr>
            <w:r>
              <w:rPr>
                <w:rFonts w:hint="eastAsia" w:ascii="宋体" w:hAnsi="宋体" w:cs="宋体"/>
                <w:b/>
                <w:bCs/>
                <w:color w:val="auto"/>
                <w:szCs w:val="20"/>
                <w:highlight w:val="none"/>
              </w:rPr>
              <w:t>1.本招标文件中描述投标人的“公章”是指根据我国对公章的管理规定，使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14:paraId="298D46CF">
            <w:pPr>
              <w:keepNext w:val="0"/>
              <w:keepLines w:val="0"/>
              <w:suppressLineNumbers w:val="0"/>
              <w:snapToGrid w:val="0"/>
              <w:spacing w:before="0" w:beforeAutospacing="0" w:after="0" w:afterAutospacing="0" w:line="380" w:lineRule="exact"/>
              <w:ind w:left="0" w:right="0"/>
              <w:rPr>
                <w:rFonts w:hint="default" w:ascii="宋体" w:hAnsi="宋体" w:cs="宋体"/>
                <w:b/>
                <w:bCs/>
                <w:color w:val="auto"/>
                <w:szCs w:val="20"/>
                <w:highlight w:val="none"/>
              </w:rPr>
            </w:pPr>
            <w:r>
              <w:rPr>
                <w:rFonts w:hint="eastAsia" w:ascii="宋体" w:hAnsi="宋体" w:cs="宋体"/>
                <w:b/>
                <w:bCs/>
                <w:color w:val="auto"/>
                <w:szCs w:val="20"/>
                <w:highlight w:val="none"/>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14:paraId="5283CE8E">
            <w:pPr>
              <w:keepNext w:val="0"/>
              <w:keepLines w:val="0"/>
              <w:suppressLineNumbers w:val="0"/>
              <w:snapToGrid w:val="0"/>
              <w:spacing w:before="0" w:beforeAutospacing="0" w:after="0" w:afterAutospacing="0" w:line="380" w:lineRule="exact"/>
              <w:ind w:left="0" w:right="0"/>
              <w:rPr>
                <w:rFonts w:hint="default" w:ascii="宋体" w:hAnsi="宋体" w:cs="宋体"/>
                <w:b/>
                <w:bCs/>
                <w:color w:val="auto"/>
                <w:szCs w:val="20"/>
                <w:highlight w:val="none"/>
              </w:rPr>
            </w:pPr>
            <w:r>
              <w:rPr>
                <w:rFonts w:hint="eastAsia" w:ascii="宋体" w:hAnsi="宋体" w:cs="宋体"/>
                <w:b/>
                <w:bCs/>
                <w:color w:val="auto"/>
                <w:szCs w:val="20"/>
                <w:highlight w:val="none"/>
              </w:rPr>
              <w:t>3.本招标文件中描述投标人的“签字”是指投标人的法定代表人或者委托代理人亲自在文件规定签署处亲笔写上个人的名字的行为，私章、签字章、印鉴、影印等其他形式均不能代替亲笔签字。</w:t>
            </w:r>
          </w:p>
          <w:p w14:paraId="241E14AE">
            <w:pPr>
              <w:keepNext w:val="0"/>
              <w:keepLines w:val="0"/>
              <w:suppressLineNumbers w:val="0"/>
              <w:snapToGrid w:val="0"/>
              <w:spacing w:before="0" w:beforeAutospacing="0" w:after="0" w:afterAutospacing="0" w:line="380" w:lineRule="exact"/>
              <w:ind w:left="0" w:right="0"/>
              <w:rPr>
                <w:rFonts w:hint="default" w:ascii="宋体" w:hAnsi="宋体" w:cs="宋体"/>
                <w:b/>
                <w:bCs/>
                <w:color w:val="auto"/>
                <w:szCs w:val="20"/>
                <w:highlight w:val="none"/>
              </w:rPr>
            </w:pPr>
            <w:r>
              <w:rPr>
                <w:rFonts w:hint="eastAsia" w:ascii="宋体" w:hAnsi="宋体" w:cs="宋体"/>
                <w:b/>
                <w:bCs/>
                <w:color w:val="auto"/>
                <w:szCs w:val="20"/>
                <w:highlight w:val="none"/>
              </w:rPr>
              <w:t>4.自然人投标的，招标文件规定盖公章处由自然人摁手指指印。</w:t>
            </w:r>
          </w:p>
          <w:p w14:paraId="41653A8B">
            <w:pPr>
              <w:keepNext w:val="0"/>
              <w:keepLines w:val="0"/>
              <w:suppressLineNumbers w:val="0"/>
              <w:spacing w:before="0" w:beforeAutospacing="0" w:after="0" w:afterAutospacing="0" w:line="380" w:lineRule="exact"/>
              <w:ind w:left="0" w:right="0"/>
              <w:jc w:val="left"/>
              <w:rPr>
                <w:rFonts w:hint="default" w:ascii="宋体" w:hAnsi="宋体" w:cs="Times New Roman"/>
                <w:color w:val="auto"/>
                <w:szCs w:val="21"/>
                <w:highlight w:val="none"/>
              </w:rPr>
            </w:pPr>
            <w:r>
              <w:rPr>
                <w:rFonts w:hint="eastAsia" w:ascii="宋体" w:hAnsi="宋体" w:cs="宋体"/>
                <w:b/>
                <w:bCs/>
                <w:color w:val="auto"/>
                <w:szCs w:val="21"/>
                <w:highlight w:val="none"/>
              </w:rPr>
              <w:t>5.本招标文件所称的“以上”“以下”“以内”“届满”，包括本数；所称的“不满”“超过”“以外”，不包括本数。</w:t>
            </w:r>
          </w:p>
        </w:tc>
      </w:tr>
    </w:tbl>
    <w:p w14:paraId="66422606">
      <w:pPr>
        <w:widowControl/>
        <w:spacing w:line="412" w:lineRule="auto"/>
        <w:jc w:val="left"/>
        <w:rPr>
          <w:rFonts w:ascii="Arial" w:hAnsi="Arial" w:eastAsia="黑体"/>
          <w:b/>
          <w:bCs/>
          <w:color w:val="auto"/>
          <w:sz w:val="32"/>
          <w:szCs w:val="32"/>
          <w:highlight w:val="none"/>
        </w:rPr>
        <w:sectPr>
          <w:pgSz w:w="11906" w:h="16838"/>
          <w:pgMar w:top="1134" w:right="1134" w:bottom="1134" w:left="1134" w:header="720" w:footer="720" w:gutter="0"/>
          <w:cols w:space="720" w:num="1"/>
          <w:docGrid w:type="lines" w:linePitch="331" w:charSpace="0"/>
        </w:sectPr>
      </w:pPr>
    </w:p>
    <w:p w14:paraId="08C572F0">
      <w:pPr>
        <w:rPr>
          <w:rFonts w:hint="eastAsia"/>
          <w:color w:val="auto"/>
          <w:highlight w:val="none"/>
        </w:rPr>
      </w:pPr>
    </w:p>
    <w:p w14:paraId="3FD3AA90">
      <w:pPr>
        <w:keepNext/>
        <w:keepLines/>
        <w:spacing w:before="260" w:after="260" w:line="413" w:lineRule="auto"/>
        <w:jc w:val="center"/>
        <w:outlineLvl w:val="1"/>
        <w:rPr>
          <w:rFonts w:ascii="Arial" w:hAnsi="Arial" w:eastAsia="黑体"/>
          <w:b/>
          <w:bCs/>
          <w:color w:val="auto"/>
          <w:sz w:val="32"/>
          <w:szCs w:val="32"/>
          <w:highlight w:val="none"/>
        </w:rPr>
      </w:pPr>
      <w:bookmarkStart w:id="64" w:name="_Toc28823"/>
      <w:r>
        <w:rPr>
          <w:rFonts w:hint="eastAsia" w:ascii="Arial" w:hAnsi="Arial" w:eastAsia="黑体"/>
          <w:b/>
          <w:bCs/>
          <w:color w:val="auto"/>
          <w:sz w:val="32"/>
          <w:szCs w:val="32"/>
          <w:highlight w:val="none"/>
        </w:rPr>
        <w:t>第二节</w:t>
      </w:r>
      <w:r>
        <w:rPr>
          <w:rFonts w:ascii="Arial" w:hAnsi="Arial" w:eastAsia="黑体"/>
          <w:b/>
          <w:bCs/>
          <w:color w:val="auto"/>
          <w:sz w:val="32"/>
          <w:szCs w:val="32"/>
          <w:highlight w:val="none"/>
        </w:rPr>
        <w:t xml:space="preserve"> </w:t>
      </w:r>
      <w:r>
        <w:rPr>
          <w:rFonts w:hint="eastAsia" w:ascii="Arial" w:hAnsi="Arial" w:eastAsia="黑体"/>
          <w:b/>
          <w:bCs/>
          <w:color w:val="auto"/>
          <w:sz w:val="32"/>
          <w:szCs w:val="32"/>
          <w:highlight w:val="none"/>
        </w:rPr>
        <w:t>投标人须知正文</w:t>
      </w:r>
      <w:bookmarkEnd w:id="64"/>
    </w:p>
    <w:p w14:paraId="27925962">
      <w:pPr>
        <w:pStyle w:val="4"/>
        <w:keepNext w:val="0"/>
        <w:keepLines w:val="0"/>
        <w:spacing w:line="400" w:lineRule="exact"/>
        <w:jc w:val="center"/>
        <w:rPr>
          <w:color w:val="auto"/>
          <w:highlight w:val="none"/>
        </w:rPr>
      </w:pPr>
      <w:bookmarkStart w:id="65" w:name="_Toc3625"/>
      <w:r>
        <w:rPr>
          <w:rFonts w:hint="eastAsia"/>
          <w:color w:val="auto"/>
          <w:highlight w:val="none"/>
        </w:rPr>
        <w:t>一、总</w:t>
      </w:r>
      <w:r>
        <w:rPr>
          <w:color w:val="auto"/>
          <w:highlight w:val="none"/>
        </w:rPr>
        <w:t xml:space="preserve">  </w:t>
      </w:r>
      <w:r>
        <w:rPr>
          <w:rFonts w:hint="eastAsia"/>
          <w:color w:val="auto"/>
          <w:highlight w:val="none"/>
        </w:rPr>
        <w:t>则</w:t>
      </w:r>
      <w:bookmarkEnd w:id="65"/>
    </w:p>
    <w:p w14:paraId="1445FC3D">
      <w:pPr>
        <w:spacing w:line="360" w:lineRule="auto"/>
        <w:ind w:firstLine="480" w:firstLineChars="200"/>
        <w:rPr>
          <w:rFonts w:ascii="黑体" w:hAnsi="黑体" w:eastAsia="黑体"/>
          <w:color w:val="auto"/>
          <w:sz w:val="24"/>
          <w:highlight w:val="none"/>
        </w:rPr>
      </w:pPr>
      <w:bookmarkStart w:id="66" w:name="_Toc254970527"/>
      <w:bookmarkStart w:id="67" w:name="_Toc254970668"/>
      <w:r>
        <w:rPr>
          <w:rFonts w:hint="eastAsia" w:ascii="黑体" w:hAnsi="黑体" w:eastAsia="黑体"/>
          <w:color w:val="auto"/>
          <w:sz w:val="24"/>
          <w:highlight w:val="none"/>
        </w:rPr>
        <w:t>1.适用范围</w:t>
      </w:r>
      <w:bookmarkEnd w:id="66"/>
      <w:bookmarkEnd w:id="67"/>
    </w:p>
    <w:p w14:paraId="4EAEE9D6">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610B1EF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1.2本招标文件</w:t>
      </w:r>
      <w:r>
        <w:rPr>
          <w:rFonts w:hint="eastAsia" w:ascii="宋体" w:hAnsi="宋体" w:cs="宋体"/>
          <w:color w:val="auto"/>
          <w:spacing w:val="-6"/>
          <w:szCs w:val="21"/>
          <w:highlight w:val="none"/>
        </w:rPr>
        <w:t>适用于本项目的所有采购程序和环节（法律、法规另有规定的，从其规定）。</w:t>
      </w:r>
    </w:p>
    <w:p w14:paraId="49CAE480">
      <w:pPr>
        <w:spacing w:line="360" w:lineRule="auto"/>
        <w:ind w:firstLine="480" w:firstLineChars="200"/>
        <w:rPr>
          <w:rFonts w:hint="eastAsia" w:ascii="黑体" w:hAnsi="黑体" w:eastAsia="黑体"/>
          <w:color w:val="auto"/>
          <w:sz w:val="24"/>
          <w:highlight w:val="none"/>
        </w:rPr>
      </w:pPr>
      <w:bookmarkStart w:id="68" w:name="_Toc254970669"/>
      <w:bookmarkStart w:id="69" w:name="_Toc254970528"/>
      <w:r>
        <w:rPr>
          <w:rFonts w:hint="eastAsia" w:ascii="黑体" w:hAnsi="黑体" w:eastAsia="黑体"/>
          <w:color w:val="auto"/>
          <w:sz w:val="24"/>
          <w:highlight w:val="none"/>
        </w:rPr>
        <w:t>2.定义</w:t>
      </w:r>
      <w:bookmarkEnd w:id="68"/>
      <w:bookmarkEnd w:id="69"/>
    </w:p>
    <w:p w14:paraId="0C2967B6">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2.1“采购人”是指依法进行政府采购的国家机关、事业单位、团体组织。</w:t>
      </w:r>
    </w:p>
    <w:p w14:paraId="2C18AA4A">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2.2“采购代理机构” 指政府采购集中采购机构和集中采购机构以外的采购代理机构。</w:t>
      </w:r>
    </w:p>
    <w:p w14:paraId="3A7DAA09">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2.3“供应商”是指向采购人提供货物、工程或者服务的法人、其他组织或者自然人。</w:t>
      </w:r>
    </w:p>
    <w:p w14:paraId="07438419">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2.4“投标人”是指响应招标、参加投标竞争的法人、非法人组织或者自然人。</w:t>
      </w:r>
    </w:p>
    <w:p w14:paraId="145D605C">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2.5“服务”是指除货物和工程以外的其他政府采购对象。</w:t>
      </w:r>
    </w:p>
    <w:p w14:paraId="482D01F0">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2.6“书面形式”是指合同书、信件和数据电文（包括电报、电传、传真、短信、电子数据交换和电子邮件）等可以有形地表现所载内容的形式。</w:t>
      </w:r>
    </w:p>
    <w:p w14:paraId="6CFE7B45">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2.7“实质性要求”是指招标文件中已经指明不满足则投标无效的条款，或者不能负偏离的条款，或者采购需求中带“</w:t>
      </w:r>
      <w:r>
        <w:rPr>
          <w:rFonts w:hint="eastAsia" w:ascii="宋体" w:hAnsi="宋体"/>
          <w:b/>
          <w:bCs/>
          <w:color w:val="auto"/>
          <w:szCs w:val="21"/>
          <w:highlight w:val="none"/>
        </w:rPr>
        <w:t>▲</w:t>
      </w:r>
      <w:r>
        <w:rPr>
          <w:rFonts w:hint="eastAsia" w:ascii="宋体" w:hAnsi="宋体"/>
          <w:b/>
          <w:color w:val="auto"/>
          <w:szCs w:val="21"/>
          <w:highlight w:val="none"/>
        </w:rPr>
        <w:t>”的条款。</w:t>
      </w:r>
    </w:p>
    <w:p w14:paraId="4B198D7F">
      <w:pPr>
        <w:spacing w:line="360" w:lineRule="auto"/>
        <w:ind w:firstLine="420" w:firstLineChars="200"/>
        <w:rPr>
          <w:rFonts w:hint="eastAsia" w:ascii="宋体" w:hAnsi="宋体" w:cs="宋体"/>
          <w:color w:val="auto"/>
          <w:szCs w:val="21"/>
          <w:highlight w:val="none"/>
        </w:rPr>
      </w:pPr>
      <w:r>
        <w:rPr>
          <w:rFonts w:hint="eastAsia" w:ascii="宋体" w:hAnsi="宋体"/>
          <w:color w:val="auto"/>
          <w:szCs w:val="21"/>
          <w:highlight w:val="none"/>
        </w:rPr>
        <w:t>2.8</w:t>
      </w:r>
      <w:r>
        <w:rPr>
          <w:rFonts w:hint="eastAsia" w:ascii="宋体" w:hAnsi="宋体" w:cs="宋体"/>
          <w:color w:val="auto"/>
          <w:szCs w:val="21"/>
          <w:highlight w:val="none"/>
        </w:rPr>
        <w:t>“正偏离”，是指投标文件对招标文件“采购需求”中有关条款作出的响应优于条款要求并有利于采购人的情形。</w:t>
      </w:r>
    </w:p>
    <w:p w14:paraId="4214FE3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2.9“负偏离”，是指投标文件对招标文件“采购需求”中有关条款作出的响应不满足条款要求，导致采购人要求不能得到满足的情形。</w:t>
      </w:r>
    </w:p>
    <w:p w14:paraId="736F3816">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2.10</w:t>
      </w:r>
      <w:r>
        <w:rPr>
          <w:rFonts w:hint="eastAsia" w:ascii="宋体" w:hAnsi="宋体" w:cs="宋体"/>
          <w:color w:val="auto"/>
          <w:szCs w:val="21"/>
          <w:highlight w:val="none"/>
        </w:rPr>
        <w:t>“允许负偏离的条款”是指采购需求中的不属于“实质性要求”的条款。</w:t>
      </w:r>
      <w:bookmarkStart w:id="70" w:name="_Toc254970670"/>
      <w:bookmarkStart w:id="71" w:name="_Toc254970529"/>
    </w:p>
    <w:p w14:paraId="557CD164">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3.</w:t>
      </w:r>
      <w:bookmarkEnd w:id="70"/>
      <w:bookmarkEnd w:id="71"/>
      <w:r>
        <w:rPr>
          <w:rFonts w:hint="eastAsia" w:ascii="黑体" w:hAnsi="黑体" w:eastAsia="黑体"/>
          <w:color w:val="auto"/>
          <w:sz w:val="24"/>
          <w:highlight w:val="none"/>
        </w:rPr>
        <w:t>投标人的资格要求</w:t>
      </w:r>
    </w:p>
    <w:p w14:paraId="4CE05828">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投标人的资格要求详见“招标公告”。</w:t>
      </w:r>
    </w:p>
    <w:p w14:paraId="66CF5E6F">
      <w:pPr>
        <w:spacing w:line="360" w:lineRule="auto"/>
        <w:ind w:firstLine="480" w:firstLineChars="200"/>
        <w:rPr>
          <w:rFonts w:hint="eastAsia" w:ascii="黑体" w:hAnsi="黑体" w:eastAsia="黑体"/>
          <w:color w:val="auto"/>
          <w:sz w:val="24"/>
          <w:highlight w:val="none"/>
        </w:rPr>
      </w:pPr>
      <w:bookmarkStart w:id="72" w:name="_Toc254970671"/>
      <w:bookmarkStart w:id="73" w:name="_Toc254970530"/>
      <w:r>
        <w:rPr>
          <w:rFonts w:hint="eastAsia" w:ascii="黑体" w:hAnsi="黑体" w:eastAsia="黑体"/>
          <w:color w:val="auto"/>
          <w:sz w:val="24"/>
          <w:highlight w:val="none"/>
        </w:rPr>
        <w:t>4.投标委托</w:t>
      </w:r>
      <w:bookmarkEnd w:id="72"/>
      <w:bookmarkEnd w:id="73"/>
    </w:p>
    <w:p w14:paraId="518B3EEE">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投标人代表参加投标活动过程中必须携带个人有效身份证件。如投标人代表不是法定代表人，须持有法定代表人授权委托书（正本用原件，副本用复印件，按第六章要求格式填写）。</w:t>
      </w:r>
    </w:p>
    <w:p w14:paraId="73F4DA9D">
      <w:pPr>
        <w:spacing w:line="360" w:lineRule="auto"/>
        <w:ind w:firstLine="480" w:firstLineChars="200"/>
        <w:rPr>
          <w:rFonts w:hint="eastAsia" w:ascii="黑体" w:hAnsi="黑体" w:eastAsia="黑体"/>
          <w:color w:val="auto"/>
          <w:sz w:val="24"/>
          <w:highlight w:val="none"/>
        </w:rPr>
      </w:pPr>
      <w:bookmarkStart w:id="74" w:name="_5.投标费用"/>
      <w:bookmarkEnd w:id="74"/>
      <w:bookmarkStart w:id="75" w:name="_Toc254970672"/>
      <w:bookmarkStart w:id="76" w:name="_Toc254970531"/>
      <w:r>
        <w:rPr>
          <w:rFonts w:hint="eastAsia" w:ascii="黑体" w:hAnsi="黑体" w:eastAsia="黑体"/>
          <w:color w:val="auto"/>
          <w:sz w:val="24"/>
          <w:highlight w:val="none"/>
        </w:rPr>
        <w:t>5.投标费用</w:t>
      </w:r>
      <w:bookmarkEnd w:id="75"/>
      <w:bookmarkEnd w:id="76"/>
    </w:p>
    <w:p w14:paraId="030702BA">
      <w:pPr>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投标费用：投标人应承担参与本次采购活动有关的所有费用，包括但不限于勘查现场、编制投标文件、参加澄清说明、签订合同等，不论投标结果如何，均应自行承担。</w:t>
      </w:r>
    </w:p>
    <w:p w14:paraId="1C7AB82D">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6.联合体投标</w:t>
      </w:r>
    </w:p>
    <w:p w14:paraId="6536A7D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6.1本项目是否接受联合体投标，详见“投标人须知前附表”。</w:t>
      </w:r>
    </w:p>
    <w:p w14:paraId="2B06FC1F">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6.2如接受联合体投标，联合体投标要求详见“投标人须知前附表”。本项目不允许违法分包。</w:t>
      </w:r>
    </w:p>
    <w:p w14:paraId="306BFFD2">
      <w:pPr>
        <w:spacing w:line="360" w:lineRule="auto"/>
        <w:ind w:firstLine="420" w:firstLineChars="200"/>
        <w:rPr>
          <w:rFonts w:hint="eastAsia" w:ascii="Helvetica Neue"/>
          <w:color w:val="auto"/>
          <w:sz w:val="24"/>
          <w:highlight w:val="none"/>
          <w:shd w:val="clear" w:color="auto" w:fill="FFFFFF"/>
        </w:rPr>
      </w:pPr>
      <w:r>
        <w:rPr>
          <w:rFonts w:hint="eastAsia" w:ascii="宋体" w:hAnsi="宋体"/>
          <w:bCs/>
          <w:color w:val="auto"/>
          <w:szCs w:val="21"/>
          <w:highlight w:val="none"/>
        </w:rPr>
        <w:t>6.3根据《政府采购促进中小企业发展管理办法》（财库[2020]46号）第九条、《广西壮族自治区财政厅关于进一步发挥政府采购政策功能促进企业发展的通知》（桂财采〔2022〕30号）及《广西壮族自治区财政厅 广西壮族自治区工业和信息化厅转发财政部 工业和信息化部政府采购促进中小企业发展管理办法的通知》（桂财采〔2021〕70号）规定，接受大中型企业与小微企业组成联合体的采购项目，对于联合协议约定小微企业的合同份额占到合同总金额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p>
    <w:p w14:paraId="370EB0A5">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 xml:space="preserve">7.转包与分包             </w:t>
      </w:r>
    </w:p>
    <w:p w14:paraId="1A6329E7">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7.1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14:paraId="751487B3">
      <w:pPr>
        <w:spacing w:line="360" w:lineRule="auto"/>
        <w:ind w:firstLine="440" w:firstLineChars="200"/>
        <w:rPr>
          <w:rFonts w:hint="eastAsia" w:ascii="宋体" w:hAnsi="宋体" w:cs="宋体"/>
          <w:color w:val="auto"/>
          <w:sz w:val="22"/>
          <w:szCs w:val="22"/>
          <w:highlight w:val="none"/>
        </w:rPr>
      </w:pPr>
      <w:bookmarkStart w:id="77" w:name="_Toc254970673"/>
      <w:bookmarkStart w:id="78" w:name="_Toc254970532"/>
      <w:r>
        <w:rPr>
          <w:rFonts w:hint="eastAsia" w:ascii="宋体" w:hAnsi="宋体" w:cs="宋体"/>
          <w:color w:val="auto"/>
          <w:sz w:val="22"/>
          <w:szCs w:val="22"/>
          <w:highlight w:val="none"/>
        </w:rPr>
        <w:t>7.2根据《政府采购促进中小企业发展管理办法》（财库[2020]46号）第九条及《广西壮族自治区财政厅关于进一步发挥政府采购政策功能促进企业发展的通知》（桂财采〔2022〕30号）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14:paraId="6E66E69E">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8.特别说明：</w:t>
      </w:r>
      <w:bookmarkEnd w:id="77"/>
      <w:bookmarkEnd w:id="78"/>
      <w:bookmarkStart w:id="79" w:name="_8.1提供相同品牌产品且通过资格审查、符合性审查的不同投标人参加同一合"/>
      <w:bookmarkEnd w:id="79"/>
    </w:p>
    <w:p w14:paraId="09661E8E">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8.1如果本招标文件要求投标人提供资格、信誉、荣誉、业绩与企业认证等材料的，则投标人所提供的以上材料必须为投标人所拥有。</w:t>
      </w:r>
    </w:p>
    <w:p w14:paraId="04916739">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8.2投标人应仔细阅读招标文件的所有内容，按照招标文件的要求提交投标文件，并对所提供的全部资料的真实性承担法律责任。</w:t>
      </w:r>
    </w:p>
    <w:p w14:paraId="79D84688">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8.3投标人在投标活动中提供任何虚假材料，将报监管部门查处；中标后发现的，中标人须依照《中华人民共和国消费者权益保护法》规定赔偿采购人，且民事赔偿并不免除违法投标人的行政与刑事责任。</w:t>
      </w:r>
    </w:p>
    <w:p w14:paraId="2AEF25D9">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9.回避与串通投标</w:t>
      </w:r>
    </w:p>
    <w:p w14:paraId="2526F8C9">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9.1在政府采购活动中，采购人员及相关人员与供应商有下列利害关系之一的，应当回避：</w:t>
      </w:r>
    </w:p>
    <w:p w14:paraId="79CB6032">
      <w:pPr>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1</w:t>
      </w:r>
      <w:r>
        <w:rPr>
          <w:rFonts w:hint="eastAsia" w:hAnsi="宋体"/>
          <w:color w:val="auto"/>
          <w:highlight w:val="none"/>
        </w:rPr>
        <w:t>）参加采购活动前</w:t>
      </w:r>
      <w:r>
        <w:rPr>
          <w:rFonts w:hAnsi="宋体"/>
          <w:color w:val="auto"/>
          <w:highlight w:val="none"/>
        </w:rPr>
        <w:t>3</w:t>
      </w:r>
      <w:r>
        <w:rPr>
          <w:rFonts w:hint="eastAsia" w:hAnsi="宋体"/>
          <w:color w:val="auto"/>
          <w:highlight w:val="none"/>
        </w:rPr>
        <w:t>年内与供应商存在劳动关系；</w:t>
      </w:r>
    </w:p>
    <w:p w14:paraId="6F4C4174">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2</w:t>
      </w:r>
      <w:r>
        <w:rPr>
          <w:rFonts w:hint="eastAsia" w:hAnsi="宋体"/>
          <w:color w:val="auto"/>
          <w:highlight w:val="none"/>
        </w:rPr>
        <w:t>）参加采购活动前</w:t>
      </w:r>
      <w:r>
        <w:rPr>
          <w:rFonts w:hAnsi="宋体"/>
          <w:color w:val="auto"/>
          <w:highlight w:val="none"/>
        </w:rPr>
        <w:t>3</w:t>
      </w:r>
      <w:r>
        <w:rPr>
          <w:rFonts w:hint="eastAsia" w:hAnsi="宋体"/>
          <w:color w:val="auto"/>
          <w:highlight w:val="none"/>
        </w:rPr>
        <w:t>年内担任供应商的董事、监事；</w:t>
      </w:r>
    </w:p>
    <w:p w14:paraId="32ADADDB">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3</w:t>
      </w:r>
      <w:r>
        <w:rPr>
          <w:rFonts w:hint="eastAsia" w:hAnsi="宋体"/>
          <w:color w:val="auto"/>
          <w:highlight w:val="none"/>
        </w:rPr>
        <w:t>）参加采购活动前</w:t>
      </w:r>
      <w:r>
        <w:rPr>
          <w:rFonts w:hAnsi="宋体"/>
          <w:color w:val="auto"/>
          <w:highlight w:val="none"/>
        </w:rPr>
        <w:t>3</w:t>
      </w:r>
      <w:r>
        <w:rPr>
          <w:rFonts w:hint="eastAsia" w:hAnsi="宋体"/>
          <w:color w:val="auto"/>
          <w:highlight w:val="none"/>
        </w:rPr>
        <w:t>年内是供应商的控股股东或者实际控制人；</w:t>
      </w:r>
    </w:p>
    <w:p w14:paraId="2C9D0530">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4</w:t>
      </w:r>
      <w:r>
        <w:rPr>
          <w:rFonts w:hint="eastAsia" w:hAnsi="宋体"/>
          <w:color w:val="auto"/>
          <w:highlight w:val="none"/>
        </w:rPr>
        <w:t>）与供应商的法定代表人或者负责人有夫妻、直系血亲、三代以内旁系血亲或者近姻亲关系；</w:t>
      </w:r>
    </w:p>
    <w:p w14:paraId="2516D4B7">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5</w:t>
      </w:r>
      <w:r>
        <w:rPr>
          <w:rFonts w:hint="eastAsia" w:hAnsi="宋体"/>
          <w:color w:val="auto"/>
          <w:highlight w:val="none"/>
        </w:rPr>
        <w:t>）与供应商有其他可能影响政府采购活动公平、公正进行的关系。</w:t>
      </w:r>
    </w:p>
    <w:p w14:paraId="19B7D330">
      <w:pPr>
        <w:spacing w:line="360" w:lineRule="auto"/>
        <w:ind w:firstLine="420" w:firstLineChars="200"/>
        <w:rPr>
          <w:rFonts w:hAnsi="宋体"/>
          <w:color w:val="auto"/>
          <w:highlight w:val="none"/>
        </w:rPr>
      </w:pPr>
      <w:r>
        <w:rPr>
          <w:rFonts w:hint="eastAsia" w:hAnsi="宋体"/>
          <w:color w:val="auto"/>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37A8242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9.2有下列情形之一的视为投标人相互串通投标，投标文件将被视为无效：</w:t>
      </w:r>
    </w:p>
    <w:p w14:paraId="617555C4">
      <w:pPr>
        <w:spacing w:line="360" w:lineRule="auto"/>
        <w:ind w:firstLine="422" w:firstLineChars="200"/>
        <w:rPr>
          <w:rFonts w:hint="eastAsia" w:hAnsi="宋体"/>
          <w:b/>
          <w:color w:val="auto"/>
          <w:highlight w:val="none"/>
        </w:rPr>
      </w:pPr>
      <w:r>
        <w:rPr>
          <w:rFonts w:hint="eastAsia" w:hAnsi="宋体"/>
          <w:b/>
          <w:color w:val="auto"/>
          <w:highlight w:val="none"/>
        </w:rPr>
        <w:t>（</w:t>
      </w:r>
      <w:r>
        <w:rPr>
          <w:rFonts w:hAnsi="宋体"/>
          <w:b/>
          <w:color w:val="auto"/>
          <w:highlight w:val="none"/>
        </w:rPr>
        <w:t>1</w:t>
      </w:r>
      <w:r>
        <w:rPr>
          <w:rFonts w:hint="eastAsia" w:hAnsi="宋体"/>
          <w:b/>
          <w:color w:val="auto"/>
          <w:highlight w:val="none"/>
        </w:rPr>
        <w:t>）不同投标人的投标文件由同一单位或者个人编制；或者不同投标人报名的</w:t>
      </w:r>
      <w:r>
        <w:rPr>
          <w:rFonts w:hAnsi="宋体"/>
          <w:b/>
          <w:color w:val="auto"/>
          <w:highlight w:val="none"/>
        </w:rPr>
        <w:t>IP</w:t>
      </w:r>
      <w:r>
        <w:rPr>
          <w:rFonts w:hint="eastAsia" w:hAnsi="宋体"/>
          <w:b/>
          <w:color w:val="auto"/>
          <w:highlight w:val="none"/>
        </w:rPr>
        <w:t>地址一致的；或者编制标书硬件设备</w:t>
      </w:r>
      <w:r>
        <w:rPr>
          <w:rFonts w:hAnsi="宋体"/>
          <w:b/>
          <w:color w:val="auto"/>
          <w:highlight w:val="none"/>
        </w:rPr>
        <w:t>CPU</w:t>
      </w:r>
      <w:r>
        <w:rPr>
          <w:rFonts w:hint="eastAsia" w:hAnsi="宋体"/>
          <w:b/>
          <w:color w:val="auto"/>
          <w:highlight w:val="none"/>
        </w:rPr>
        <w:t>编号、硬盘编号、网卡地址一致的情况。</w:t>
      </w:r>
    </w:p>
    <w:p w14:paraId="0DD30078">
      <w:pPr>
        <w:spacing w:line="360" w:lineRule="auto"/>
        <w:ind w:firstLine="422" w:firstLineChars="200"/>
        <w:rPr>
          <w:rFonts w:hAnsi="宋体"/>
          <w:b/>
          <w:color w:val="auto"/>
          <w:highlight w:val="none"/>
        </w:rPr>
      </w:pPr>
      <w:r>
        <w:rPr>
          <w:rFonts w:hint="eastAsia" w:hAnsi="宋体"/>
          <w:b/>
          <w:color w:val="auto"/>
          <w:highlight w:val="none"/>
        </w:rPr>
        <w:t>（</w:t>
      </w:r>
      <w:r>
        <w:rPr>
          <w:rFonts w:hAnsi="宋体"/>
          <w:b/>
          <w:color w:val="auto"/>
          <w:highlight w:val="none"/>
        </w:rPr>
        <w:t>2</w:t>
      </w:r>
      <w:r>
        <w:rPr>
          <w:rFonts w:hint="eastAsia" w:hAnsi="宋体"/>
          <w:b/>
          <w:color w:val="auto"/>
          <w:highlight w:val="none"/>
        </w:rPr>
        <w:t>）不同投标人委托同一单位或者个人办理投标事宜；</w:t>
      </w:r>
    </w:p>
    <w:p w14:paraId="5B1AD864">
      <w:pPr>
        <w:spacing w:line="360" w:lineRule="auto"/>
        <w:ind w:firstLine="422" w:firstLineChars="200"/>
        <w:rPr>
          <w:rFonts w:hAnsi="宋体"/>
          <w:b/>
          <w:color w:val="auto"/>
          <w:highlight w:val="none"/>
        </w:rPr>
      </w:pPr>
      <w:r>
        <w:rPr>
          <w:rFonts w:hint="eastAsia" w:hAnsi="宋体"/>
          <w:b/>
          <w:color w:val="auto"/>
          <w:highlight w:val="none"/>
        </w:rPr>
        <w:t>（</w:t>
      </w:r>
      <w:r>
        <w:rPr>
          <w:rFonts w:hAnsi="宋体"/>
          <w:b/>
          <w:color w:val="auto"/>
          <w:highlight w:val="none"/>
        </w:rPr>
        <w:t>3</w:t>
      </w:r>
      <w:r>
        <w:rPr>
          <w:rFonts w:hint="eastAsia" w:hAnsi="宋体"/>
          <w:b/>
          <w:color w:val="auto"/>
          <w:highlight w:val="none"/>
        </w:rPr>
        <w:t>）不同的投标人的投标文件载明的项目管理员为同一个人；</w:t>
      </w:r>
    </w:p>
    <w:p w14:paraId="604E3643">
      <w:pPr>
        <w:spacing w:line="360" w:lineRule="auto"/>
        <w:ind w:firstLine="422" w:firstLineChars="200"/>
        <w:rPr>
          <w:rFonts w:hAnsi="宋体"/>
          <w:b/>
          <w:color w:val="auto"/>
          <w:highlight w:val="none"/>
        </w:rPr>
      </w:pPr>
      <w:r>
        <w:rPr>
          <w:rFonts w:hint="eastAsia" w:hAnsi="宋体"/>
          <w:b/>
          <w:color w:val="auto"/>
          <w:highlight w:val="none"/>
        </w:rPr>
        <w:t>（</w:t>
      </w:r>
      <w:r>
        <w:rPr>
          <w:rFonts w:hAnsi="宋体"/>
          <w:b/>
          <w:color w:val="auto"/>
          <w:highlight w:val="none"/>
        </w:rPr>
        <w:t>4</w:t>
      </w:r>
      <w:r>
        <w:rPr>
          <w:rFonts w:hint="eastAsia" w:hAnsi="宋体"/>
          <w:b/>
          <w:color w:val="auto"/>
          <w:highlight w:val="none"/>
        </w:rPr>
        <w:t>）不同投标人的电子或纸质投标文件异常一致或者投标报价呈规律性差异；</w:t>
      </w:r>
    </w:p>
    <w:p w14:paraId="3999AAE8">
      <w:pPr>
        <w:spacing w:line="360" w:lineRule="auto"/>
        <w:ind w:firstLine="422" w:firstLineChars="200"/>
        <w:rPr>
          <w:rFonts w:hAnsi="宋体"/>
          <w:b/>
          <w:color w:val="auto"/>
          <w:highlight w:val="none"/>
        </w:rPr>
      </w:pPr>
      <w:r>
        <w:rPr>
          <w:rFonts w:hint="eastAsia" w:hAnsi="宋体"/>
          <w:b/>
          <w:color w:val="auto"/>
          <w:highlight w:val="none"/>
        </w:rPr>
        <w:t>（</w:t>
      </w:r>
      <w:r>
        <w:rPr>
          <w:rFonts w:hAnsi="宋体"/>
          <w:b/>
          <w:color w:val="auto"/>
          <w:highlight w:val="none"/>
        </w:rPr>
        <w:t>5</w:t>
      </w:r>
      <w:r>
        <w:rPr>
          <w:rFonts w:hint="eastAsia" w:hAnsi="宋体"/>
          <w:b/>
          <w:color w:val="auto"/>
          <w:highlight w:val="none"/>
        </w:rPr>
        <w:t>）不同投标人的纸质投标文件相互混装；</w:t>
      </w:r>
    </w:p>
    <w:p w14:paraId="1F77429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9.3供应商有下列情形之一的，属于恶意串通行为，将报同级监督管理部门：</w:t>
      </w:r>
    </w:p>
    <w:p w14:paraId="61FAD0E6">
      <w:pPr>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1</w:t>
      </w:r>
      <w:r>
        <w:rPr>
          <w:rFonts w:hint="eastAsia" w:hAnsi="宋体"/>
          <w:color w:val="auto"/>
          <w:highlight w:val="none"/>
        </w:rPr>
        <w:t>）供应商直接或者间接从采购人或者采购代理机构处获得其他供应商的相关信息并修改其投标文件或者投标文件；</w:t>
      </w:r>
    </w:p>
    <w:p w14:paraId="54797E09">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2</w:t>
      </w:r>
      <w:r>
        <w:rPr>
          <w:rFonts w:hint="eastAsia" w:hAnsi="宋体"/>
          <w:color w:val="auto"/>
          <w:highlight w:val="none"/>
        </w:rPr>
        <w:t>）供应商按照采购人或者采购代理机构的授意撤换、修改投标文件或者投标文件；</w:t>
      </w:r>
    </w:p>
    <w:p w14:paraId="4E7D61BA">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3</w:t>
      </w:r>
      <w:r>
        <w:rPr>
          <w:rFonts w:hint="eastAsia" w:hAnsi="宋体"/>
          <w:color w:val="auto"/>
          <w:highlight w:val="none"/>
        </w:rPr>
        <w:t>）供应商之间协商报价、技术方案等投标文件或者投标文件的实质性内容；</w:t>
      </w:r>
    </w:p>
    <w:p w14:paraId="488CAF4A">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4</w:t>
      </w:r>
      <w:r>
        <w:rPr>
          <w:rFonts w:hint="eastAsia" w:hAnsi="宋体"/>
          <w:color w:val="auto"/>
          <w:highlight w:val="none"/>
        </w:rPr>
        <w:t>）属于同一集团、协会、商会等组织成员的供应商按照该组织要求协同参加政府采购活动；</w:t>
      </w:r>
    </w:p>
    <w:p w14:paraId="16ABCD7D">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5</w:t>
      </w:r>
      <w:r>
        <w:rPr>
          <w:rFonts w:hint="eastAsia" w:hAnsi="宋体"/>
          <w:color w:val="auto"/>
          <w:highlight w:val="none"/>
        </w:rPr>
        <w:t>）供应商之间事先约定一致抬高或者压低投标报价，或者在招标项目中事先约定轮流以高价位或者低价位中标，或者事先约定由某一特定供应商中标，然后再参加投标；</w:t>
      </w:r>
    </w:p>
    <w:p w14:paraId="5960411F">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6</w:t>
      </w:r>
      <w:r>
        <w:rPr>
          <w:rFonts w:hint="eastAsia" w:hAnsi="宋体"/>
          <w:color w:val="auto"/>
          <w:highlight w:val="none"/>
        </w:rPr>
        <w:t>）供应商之间商定部分供应商放弃参加政府采购活动或者放弃中标；</w:t>
      </w:r>
    </w:p>
    <w:p w14:paraId="655FE568">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7</w:t>
      </w:r>
      <w:r>
        <w:rPr>
          <w:rFonts w:hint="eastAsia" w:hAnsi="宋体"/>
          <w:color w:val="auto"/>
          <w:highlight w:val="none"/>
        </w:rPr>
        <w:t>）供应商与采购人或者采购代理机构之间、供应商相互之间，为谋求特定供应商中标或者排斥其他供应商的其他串通行为。</w:t>
      </w:r>
    </w:p>
    <w:p w14:paraId="2ECBEC9C">
      <w:pPr>
        <w:snapToGrid w:val="0"/>
        <w:spacing w:line="360" w:lineRule="auto"/>
        <w:ind w:left="2" w:leftChars="1" w:firstLine="422" w:firstLineChars="200"/>
        <w:rPr>
          <w:rFonts w:ascii="宋体" w:hAnsi="宋体"/>
          <w:b/>
          <w:color w:val="auto"/>
          <w:szCs w:val="20"/>
          <w:highlight w:val="none"/>
        </w:rPr>
      </w:pPr>
    </w:p>
    <w:p w14:paraId="6C223270">
      <w:pPr>
        <w:pStyle w:val="4"/>
        <w:keepNext w:val="0"/>
        <w:keepLines w:val="0"/>
        <w:spacing w:line="400" w:lineRule="exact"/>
        <w:jc w:val="center"/>
        <w:rPr>
          <w:rFonts w:hint="eastAsia"/>
          <w:color w:val="auto"/>
          <w:highlight w:val="none"/>
        </w:rPr>
      </w:pPr>
      <w:bookmarkStart w:id="80" w:name="_Toc254970675"/>
      <w:bookmarkStart w:id="81" w:name="_Toc15217"/>
      <w:bookmarkStart w:id="82" w:name="_Toc254970534"/>
      <w:r>
        <w:rPr>
          <w:rFonts w:hint="eastAsia"/>
          <w:color w:val="auto"/>
          <w:highlight w:val="none"/>
        </w:rPr>
        <w:t>二、招标文件</w:t>
      </w:r>
      <w:bookmarkEnd w:id="80"/>
      <w:bookmarkEnd w:id="81"/>
      <w:bookmarkEnd w:id="82"/>
    </w:p>
    <w:p w14:paraId="270F7474">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10.招标文件的组成</w:t>
      </w:r>
    </w:p>
    <w:p w14:paraId="6A4C1A42">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第一章 招标公告；</w:t>
      </w:r>
    </w:p>
    <w:p w14:paraId="74BEE43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第二章 采购需求； </w:t>
      </w:r>
    </w:p>
    <w:p w14:paraId="4F48D4A4">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第三章 投标人须知；</w:t>
      </w:r>
    </w:p>
    <w:p w14:paraId="27CAD052">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第四章 评标方法及评标标准；</w:t>
      </w:r>
    </w:p>
    <w:p w14:paraId="4BAC579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第五章 拟签订的合同文本；</w:t>
      </w:r>
    </w:p>
    <w:p w14:paraId="71F268E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第六章 投标文件格式；</w:t>
      </w:r>
    </w:p>
    <w:p w14:paraId="6B29CB67">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第七章 质疑、投诉材料格式</w:t>
      </w:r>
    </w:p>
    <w:p w14:paraId="3730301F">
      <w:pPr>
        <w:spacing w:line="360" w:lineRule="auto"/>
        <w:ind w:firstLine="420" w:firstLineChars="200"/>
        <w:rPr>
          <w:rFonts w:hint="eastAsia" w:hAnsi="宋体"/>
          <w:color w:val="auto"/>
          <w:highlight w:val="none"/>
        </w:rPr>
      </w:pPr>
      <w:r>
        <w:rPr>
          <w:rFonts w:hint="eastAsia" w:hAnsi="宋体"/>
          <w:color w:val="auto"/>
          <w:highlight w:val="none"/>
        </w:rPr>
        <w:t>根据本章第</w:t>
      </w:r>
      <w:r>
        <w:rPr>
          <w:rFonts w:hAnsi="宋体"/>
          <w:color w:val="auto"/>
          <w:highlight w:val="none"/>
        </w:rPr>
        <w:t>11.1</w:t>
      </w:r>
      <w:r>
        <w:rPr>
          <w:rFonts w:hint="eastAsia" w:hAnsi="宋体"/>
          <w:color w:val="auto"/>
          <w:highlight w:val="none"/>
        </w:rPr>
        <w:t>项的规定对公开招标文件所做的澄清、修改，构成招标文件的组成部分。当公开招标文件与招标文件的澄清和修改就同一内容的表述不一致时，</w:t>
      </w:r>
      <w:r>
        <w:rPr>
          <w:rFonts w:hint="eastAsia"/>
          <w:color w:val="auto"/>
          <w:highlight w:val="none"/>
        </w:rPr>
        <w:t>以最后澄清或修改公告为准。</w:t>
      </w:r>
    </w:p>
    <w:p w14:paraId="34D6282D">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11.招标文件的澄清、修改 、现场考察和答疑会</w:t>
      </w:r>
    </w:p>
    <w:p w14:paraId="7CB86E0B">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5772F5E3">
      <w:pPr>
        <w:spacing w:line="360" w:lineRule="auto"/>
        <w:ind w:firstLine="420" w:firstLineChars="200"/>
        <w:rPr>
          <w:rFonts w:hint="eastAsia" w:hAnsi="宋体"/>
          <w:color w:val="auto"/>
          <w:highlight w:val="none"/>
        </w:rPr>
      </w:pPr>
      <w:r>
        <w:rPr>
          <w:rFonts w:hAnsi="宋体"/>
          <w:color w:val="auto"/>
          <w:highlight w:val="none"/>
        </w:rPr>
        <w:t xml:space="preserve">11.2 </w:t>
      </w:r>
      <w:r>
        <w:rPr>
          <w:rFonts w:hint="eastAsia" w:hAnsi="宋体"/>
          <w:color w:val="auto"/>
          <w:highlight w:val="none"/>
        </w:rPr>
        <w:t>投标人应认真审阅本公开招标文件，如有疑问，或发现其中有误或有要求不合理的，应在投标人须知前附表规定的</w:t>
      </w:r>
      <w:r>
        <w:rPr>
          <w:rFonts w:hint="eastAsia" w:cs="宋体"/>
          <w:color w:val="auto"/>
          <w:kern w:val="0"/>
          <w:szCs w:val="21"/>
          <w:highlight w:val="none"/>
        </w:rPr>
        <w:t>投标截止时间</w:t>
      </w:r>
      <w:r>
        <w:rPr>
          <w:rFonts w:hint="eastAsia" w:hAnsi="宋体"/>
          <w:color w:val="auto"/>
          <w:highlight w:val="none"/>
        </w:rPr>
        <w:t>前以书面形式要求采购人或采购代理机构对招标文件予以澄清；否则，由此产生的后果由投标人自行负责。</w:t>
      </w:r>
    </w:p>
    <w:p w14:paraId="2AA354DB">
      <w:pPr>
        <w:spacing w:line="360" w:lineRule="auto"/>
        <w:ind w:firstLine="420" w:firstLineChars="200"/>
        <w:rPr>
          <w:color w:val="auto"/>
          <w:highlight w:val="none"/>
        </w:rPr>
      </w:pPr>
      <w:r>
        <w:rPr>
          <w:rFonts w:hAnsi="宋体"/>
          <w:color w:val="auto"/>
          <w:highlight w:val="none"/>
        </w:rPr>
        <w:t xml:space="preserve">11.3 </w:t>
      </w:r>
      <w:r>
        <w:rPr>
          <w:rFonts w:hint="eastAsia" w:hAnsi="宋体"/>
          <w:color w:val="auto"/>
          <w:highlight w:val="none"/>
        </w:rPr>
        <w:t>采购人或者采购代理机构可以对已发出的招标文件进行必要的澄清或者修改。澄清或者修改的内容可能影响投标文件编制的，采购人或者采购代理机构应当在投标截止时间至少</w:t>
      </w:r>
      <w:r>
        <w:rPr>
          <w:rFonts w:hAnsi="宋体"/>
          <w:color w:val="auto"/>
          <w:highlight w:val="none"/>
        </w:rPr>
        <w:t>15</w:t>
      </w:r>
      <w:r>
        <w:rPr>
          <w:rFonts w:hint="eastAsia" w:hAnsi="宋体"/>
          <w:color w:val="auto"/>
          <w:highlight w:val="none"/>
        </w:rPr>
        <w:t>日前，以书面形式通知</w:t>
      </w:r>
      <w:r>
        <w:rPr>
          <w:rFonts w:hAnsi="宋体"/>
          <w:color w:val="auto"/>
          <w:highlight w:val="none"/>
        </w:rPr>
        <w:t>(</w:t>
      </w:r>
      <w:r>
        <w:rPr>
          <w:rFonts w:hint="eastAsia" w:hAnsi="宋体"/>
          <w:color w:val="auto"/>
          <w:highlight w:val="none"/>
        </w:rPr>
        <w:t>在“</w:t>
      </w:r>
      <w:r>
        <w:rPr>
          <w:rFonts w:hint="eastAsia" w:hAnsi="宋体"/>
          <w:color w:val="auto"/>
          <w:szCs w:val="21"/>
          <w:highlight w:val="none"/>
        </w:rPr>
        <w:t>投标人须知前附表”</w:t>
      </w:r>
      <w:r>
        <w:rPr>
          <w:rFonts w:hint="eastAsia" w:hAnsi="宋体"/>
          <w:color w:val="auto"/>
          <w:highlight w:val="none"/>
        </w:rPr>
        <w:t>规定的政府采购信息发布媒体上发布更正公告及平台短信通知</w:t>
      </w:r>
      <w:r>
        <w:rPr>
          <w:rFonts w:hAnsi="宋体"/>
          <w:color w:val="auto"/>
          <w:highlight w:val="none"/>
        </w:rPr>
        <w:t>)</w:t>
      </w:r>
      <w:r>
        <w:rPr>
          <w:rFonts w:hint="eastAsia" w:hAnsi="宋体"/>
          <w:color w:val="auto"/>
          <w:highlight w:val="none"/>
        </w:rPr>
        <w:t>所有获取招标文件的潜在投标人；不足</w:t>
      </w:r>
      <w:r>
        <w:rPr>
          <w:rFonts w:hAnsi="宋体"/>
          <w:color w:val="auto"/>
          <w:highlight w:val="none"/>
        </w:rPr>
        <w:t>15</w:t>
      </w:r>
      <w:r>
        <w:rPr>
          <w:rFonts w:hint="eastAsia" w:hAnsi="宋体"/>
          <w:color w:val="auto"/>
          <w:highlight w:val="none"/>
        </w:rPr>
        <w:t>日的，采购人或者采购代理机构应当顺延提交投标文件的截止时间。发出的澄清或者修改不影响投标文件编制的也应在截标前</w:t>
      </w:r>
      <w:r>
        <w:rPr>
          <w:rFonts w:hAnsi="宋体"/>
          <w:color w:val="auto"/>
          <w:highlight w:val="none"/>
        </w:rPr>
        <w:t>3</w:t>
      </w:r>
      <w:r>
        <w:rPr>
          <w:rFonts w:hint="eastAsia" w:hAnsi="宋体"/>
          <w:color w:val="auto"/>
          <w:highlight w:val="none"/>
        </w:rPr>
        <w:t>日发出。</w:t>
      </w:r>
    </w:p>
    <w:p w14:paraId="10213BC9">
      <w:pPr>
        <w:spacing w:line="360" w:lineRule="auto"/>
        <w:ind w:firstLine="420" w:firstLineChars="200"/>
        <w:rPr>
          <w:color w:val="auto"/>
          <w:highlight w:val="none"/>
        </w:rPr>
      </w:pPr>
      <w:r>
        <w:rPr>
          <w:rFonts w:hAnsi="宋体"/>
          <w:color w:val="auto"/>
          <w:highlight w:val="none"/>
        </w:rPr>
        <w:t xml:space="preserve">11.4 </w:t>
      </w:r>
      <w:r>
        <w:rPr>
          <w:rFonts w:hint="eastAsia"/>
          <w:color w:val="auto"/>
          <w:highlight w:val="none"/>
        </w:rPr>
        <w:t>采购人和采购代理机构可以视采购具体情况，变更投标截止时间和开标时间，将变更时间将在</w:t>
      </w:r>
      <w:r>
        <w:rPr>
          <w:rFonts w:hint="eastAsia" w:hAnsi="宋体"/>
          <w:color w:val="auto"/>
          <w:highlight w:val="none"/>
        </w:rPr>
        <w:t>“</w:t>
      </w:r>
      <w:r>
        <w:rPr>
          <w:rFonts w:hint="eastAsia" w:hAnsi="宋体"/>
          <w:color w:val="auto"/>
          <w:szCs w:val="21"/>
          <w:highlight w:val="none"/>
        </w:rPr>
        <w:t>投标人须知前附表”</w:t>
      </w:r>
      <w:r>
        <w:rPr>
          <w:rFonts w:hint="eastAsia" w:cs="宋体"/>
          <w:color w:val="auto"/>
          <w:kern w:val="0"/>
          <w:szCs w:val="21"/>
          <w:highlight w:val="none"/>
        </w:rPr>
        <w:t>规定的政府采购信息发布媒体上</w:t>
      </w:r>
      <w:r>
        <w:rPr>
          <w:rFonts w:hint="eastAsia"/>
          <w:color w:val="auto"/>
          <w:highlight w:val="none"/>
        </w:rPr>
        <w:t>发布更正公告。</w:t>
      </w:r>
    </w:p>
    <w:p w14:paraId="65FFDA65">
      <w:pPr>
        <w:spacing w:line="360" w:lineRule="auto"/>
        <w:ind w:firstLine="420" w:firstLineChars="200"/>
        <w:rPr>
          <w:rFonts w:hAnsi="宋体"/>
          <w:color w:val="auto"/>
          <w:highlight w:val="none"/>
        </w:rPr>
      </w:pPr>
      <w:r>
        <w:rPr>
          <w:rFonts w:hAnsi="宋体"/>
          <w:color w:val="auto"/>
          <w:highlight w:val="none"/>
        </w:rPr>
        <w:t>11.</w:t>
      </w:r>
      <w:bookmarkStart w:id="83" w:name="_Hlk53134511"/>
      <w:r>
        <w:rPr>
          <w:rFonts w:hAnsi="宋体"/>
          <w:color w:val="auto"/>
          <w:highlight w:val="none"/>
        </w:rPr>
        <w:t>5</w:t>
      </w:r>
      <w:r>
        <w:rPr>
          <w:rFonts w:hint="eastAsia" w:hAnsi="宋体"/>
          <w:color w:val="auto"/>
          <w:highlight w:val="none"/>
        </w:rPr>
        <w:t>采购人或者采购代理机构可以在招标文件提供期限截止后，组织已获取招标文件的潜在投标人现场考察或者召开开标前答疑会，具体详见“投标人须知前附表”。</w:t>
      </w:r>
    </w:p>
    <w:bookmarkEnd w:id="83"/>
    <w:p w14:paraId="72FD2794">
      <w:pPr>
        <w:pStyle w:val="4"/>
        <w:keepNext w:val="0"/>
        <w:keepLines w:val="0"/>
        <w:spacing w:line="400" w:lineRule="exact"/>
        <w:jc w:val="center"/>
        <w:rPr>
          <w:color w:val="auto"/>
          <w:highlight w:val="none"/>
        </w:rPr>
      </w:pPr>
      <w:bookmarkStart w:id="84" w:name="_Toc254970535"/>
      <w:bookmarkStart w:id="85" w:name="_Toc254970676"/>
      <w:bookmarkStart w:id="86" w:name="_Toc12562"/>
      <w:r>
        <w:rPr>
          <w:rFonts w:hint="eastAsia"/>
          <w:color w:val="auto"/>
          <w:highlight w:val="none"/>
        </w:rPr>
        <w:t>三、投标文件的编制</w:t>
      </w:r>
      <w:bookmarkEnd w:id="84"/>
      <w:bookmarkEnd w:id="85"/>
      <w:bookmarkEnd w:id="86"/>
    </w:p>
    <w:p w14:paraId="7A980E1E">
      <w:pPr>
        <w:spacing w:line="360" w:lineRule="auto"/>
        <w:ind w:firstLine="480" w:firstLineChars="200"/>
        <w:rPr>
          <w:rFonts w:ascii="黑体" w:hAnsi="黑体" w:eastAsia="黑体"/>
          <w:color w:val="auto"/>
          <w:sz w:val="24"/>
          <w:highlight w:val="none"/>
        </w:rPr>
      </w:pPr>
      <w:bookmarkStart w:id="87" w:name="_Toc254970677"/>
      <w:bookmarkStart w:id="88" w:name="_Toc254970536"/>
      <w:r>
        <w:rPr>
          <w:rFonts w:hint="eastAsia" w:ascii="黑体" w:hAnsi="黑体" w:eastAsia="黑体"/>
          <w:color w:val="auto"/>
          <w:sz w:val="24"/>
          <w:highlight w:val="none"/>
        </w:rPr>
        <w:t>12.投标文件的编制原则</w:t>
      </w:r>
    </w:p>
    <w:p w14:paraId="3701C812">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12.1投标人必须按照招标文件的要求编制投标文件。投标文件必须对招标文件提出的要求和条件作出明确响应。</w:t>
      </w:r>
    </w:p>
    <w:p w14:paraId="78A5AFC8">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14:paraId="4A172371">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13.投标文件的组成</w:t>
      </w:r>
      <w:bookmarkEnd w:id="87"/>
      <w:bookmarkEnd w:id="88"/>
    </w:p>
    <w:p w14:paraId="3A7C2F5E">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13.1投标文件由报价文件、资格证明文件、商务文件、技术文件四部分组成。</w:t>
      </w:r>
    </w:p>
    <w:p w14:paraId="1CDA69DD">
      <w:pPr>
        <w:spacing w:line="360" w:lineRule="auto"/>
        <w:ind w:firstLine="420" w:firstLineChars="200"/>
        <w:rPr>
          <w:rFonts w:hint="eastAsia" w:ascii="宋体" w:hAnsi="宋体"/>
          <w:bCs/>
          <w:color w:val="auto"/>
          <w:szCs w:val="21"/>
          <w:highlight w:val="none"/>
        </w:rPr>
      </w:pPr>
      <w:bookmarkStart w:id="89" w:name="_13.2资格证明文件：具体材料见“投标人须知前附表”。"/>
      <w:bookmarkEnd w:id="89"/>
      <w:bookmarkStart w:id="90" w:name="_13.1报价文件:_具体材料见“投标人须知前附表”。"/>
      <w:bookmarkEnd w:id="90"/>
      <w:r>
        <w:rPr>
          <w:rFonts w:hint="eastAsia" w:ascii="宋体" w:hAnsi="宋体"/>
          <w:bCs/>
          <w:color w:val="auto"/>
          <w:szCs w:val="21"/>
          <w:highlight w:val="none"/>
        </w:rPr>
        <w:t>（1）资格证明文件：具体材料见“投标人须知前附表”。</w:t>
      </w:r>
    </w:p>
    <w:p w14:paraId="357036C0">
      <w:pPr>
        <w:spacing w:line="360" w:lineRule="auto"/>
        <w:ind w:firstLine="420" w:firstLineChars="200"/>
        <w:rPr>
          <w:rFonts w:hint="eastAsia" w:ascii="宋体" w:hAnsi="宋体"/>
          <w:bCs/>
          <w:color w:val="auto"/>
          <w:szCs w:val="21"/>
          <w:highlight w:val="none"/>
        </w:rPr>
      </w:pPr>
      <w:bookmarkStart w:id="91" w:name="_13.3商务文件:_具体材料见“投标人须知前附表”。"/>
      <w:bookmarkEnd w:id="91"/>
      <w:r>
        <w:rPr>
          <w:rFonts w:hint="eastAsia" w:ascii="宋体" w:hAnsi="宋体"/>
          <w:bCs/>
          <w:color w:val="auto"/>
          <w:szCs w:val="21"/>
          <w:highlight w:val="none"/>
        </w:rPr>
        <w:t>（2）商务文件：具体材料见“投标人须知前附表”。</w:t>
      </w:r>
    </w:p>
    <w:p w14:paraId="1352120B">
      <w:pPr>
        <w:spacing w:line="360" w:lineRule="auto"/>
        <w:ind w:firstLine="420" w:firstLineChars="200"/>
        <w:rPr>
          <w:rFonts w:hint="eastAsia" w:ascii="宋体" w:hAnsi="宋体"/>
          <w:bCs/>
          <w:color w:val="auto"/>
          <w:szCs w:val="21"/>
          <w:highlight w:val="none"/>
        </w:rPr>
      </w:pPr>
      <w:bookmarkStart w:id="92" w:name="_13.4技术文件：具体材料见“投标人须知前附表”。"/>
      <w:bookmarkEnd w:id="92"/>
      <w:r>
        <w:rPr>
          <w:rFonts w:hint="eastAsia" w:ascii="宋体" w:hAnsi="宋体"/>
          <w:bCs/>
          <w:color w:val="auto"/>
          <w:szCs w:val="21"/>
          <w:highlight w:val="none"/>
        </w:rPr>
        <w:t xml:space="preserve">（3）技术文件：具体材料见“投标人须知前附表”。 </w:t>
      </w:r>
    </w:p>
    <w:p w14:paraId="1F624342">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（4）报价文件： 具体材料见“投标人须知前附表”。</w:t>
      </w:r>
    </w:p>
    <w:p w14:paraId="527E29AC">
      <w:pPr>
        <w:spacing w:line="360" w:lineRule="auto"/>
        <w:ind w:firstLine="420" w:firstLineChars="200"/>
        <w:rPr>
          <w:rFonts w:hint="eastAsia" w:ascii="宋体" w:hAnsi="宋体"/>
          <w:bCs/>
          <w:color w:val="auto"/>
          <w:szCs w:val="21"/>
          <w:highlight w:val="none"/>
        </w:rPr>
      </w:pPr>
      <w:bookmarkStart w:id="93" w:name="_13.5投标文件电子版：具体材料见“投标人须知前附表”。"/>
      <w:bookmarkEnd w:id="93"/>
      <w:r>
        <w:rPr>
          <w:rFonts w:hint="eastAsia" w:ascii="宋体" w:hAnsi="宋体"/>
          <w:bCs/>
          <w:color w:val="auto"/>
          <w:szCs w:val="21"/>
          <w:highlight w:val="none"/>
        </w:rPr>
        <w:t>13.2投标文件电子版：具体要求见本节19.投标文件编制。</w:t>
      </w:r>
    </w:p>
    <w:p w14:paraId="49D6F628">
      <w:pPr>
        <w:spacing w:line="360" w:lineRule="auto"/>
        <w:ind w:firstLine="480" w:firstLineChars="200"/>
        <w:rPr>
          <w:rFonts w:hint="eastAsia" w:ascii="黑体" w:hAnsi="黑体" w:eastAsia="黑体"/>
          <w:color w:val="auto"/>
          <w:sz w:val="24"/>
          <w:highlight w:val="none"/>
        </w:rPr>
      </w:pPr>
      <w:bookmarkStart w:id="94" w:name="_Toc254970537"/>
      <w:bookmarkStart w:id="95" w:name="_Toc254970678"/>
      <w:r>
        <w:rPr>
          <w:rFonts w:hint="eastAsia" w:ascii="黑体" w:hAnsi="黑体" w:eastAsia="黑体"/>
          <w:color w:val="auto"/>
          <w:sz w:val="24"/>
          <w:highlight w:val="none"/>
        </w:rPr>
        <w:t>14.投标文件的语言及计量</w:t>
      </w:r>
      <w:bookmarkEnd w:id="94"/>
      <w:bookmarkEnd w:id="95"/>
    </w:p>
    <w:p w14:paraId="68AEF183">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14.1语言文字</w:t>
      </w:r>
    </w:p>
    <w:p w14:paraId="1B03B3B5">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0297215D">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14.2投标计量单位</w:t>
      </w:r>
    </w:p>
    <w:p w14:paraId="2966B7C7">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招标文件已有明确规定的，使用招标文件规定的计量单位；招标文件没有规定的，应采用中华人民共和国法定计量单位，货币种类为人民币，否则视同未响应。</w:t>
      </w:r>
    </w:p>
    <w:p w14:paraId="7317A2E1">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15.投标的风险</w:t>
      </w:r>
    </w:p>
    <w:p w14:paraId="1E8F3A8F">
      <w:pPr>
        <w:spacing w:line="360" w:lineRule="auto"/>
        <w:ind w:firstLine="420" w:firstLineChars="200"/>
        <w:rPr>
          <w:rFonts w:hint="eastAsia" w:hAnsi="宋体"/>
          <w:b/>
          <w:bCs/>
          <w:color w:val="auto"/>
          <w:highlight w:val="none"/>
        </w:rPr>
      </w:pPr>
      <w:r>
        <w:rPr>
          <w:rFonts w:hint="eastAsia" w:hAnsi="宋体"/>
          <w:color w:val="auto"/>
          <w:highlight w:val="none"/>
        </w:rPr>
        <w:t>投标文件分为资格文件、商务文件、技术文件、报价文件四部分（其中：商务文件与技术文件合并编辑成一个电子文档）。各投标人在编制投标文件时请按照招标文件规定的格式进行，</w:t>
      </w:r>
      <w:r>
        <w:rPr>
          <w:rFonts w:hint="eastAsia" w:hAnsi="宋体"/>
          <w:b/>
          <w:bCs/>
          <w:color w:val="auto"/>
          <w:highlight w:val="none"/>
        </w:rPr>
        <w:t>没有对招标文件作出实质性响应，投标无效；</w:t>
      </w:r>
    </w:p>
    <w:p w14:paraId="542FCD16">
      <w:pPr>
        <w:spacing w:line="360" w:lineRule="auto"/>
        <w:ind w:firstLine="480" w:firstLineChars="200"/>
        <w:rPr>
          <w:rFonts w:ascii="黑体" w:hAnsi="黑体" w:eastAsia="黑体"/>
          <w:color w:val="auto"/>
          <w:sz w:val="24"/>
          <w:highlight w:val="none"/>
        </w:rPr>
      </w:pPr>
      <w:bookmarkStart w:id="96" w:name="_Toc254970538"/>
      <w:bookmarkStart w:id="97" w:name="_Toc254970679"/>
      <w:r>
        <w:rPr>
          <w:rFonts w:hint="eastAsia" w:ascii="黑体" w:hAnsi="黑体" w:eastAsia="黑体"/>
          <w:color w:val="auto"/>
          <w:sz w:val="24"/>
          <w:highlight w:val="none"/>
        </w:rPr>
        <w:t>16.投标报价</w:t>
      </w:r>
      <w:bookmarkEnd w:id="96"/>
      <w:bookmarkEnd w:id="97"/>
    </w:p>
    <w:p w14:paraId="750AEDF1">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16.1投标报价应</w:t>
      </w:r>
      <w:r>
        <w:rPr>
          <w:rFonts w:hint="eastAsia" w:ascii="宋体" w:hAnsi="宋体"/>
          <w:bCs/>
          <w:color w:val="auto"/>
          <w:szCs w:val="20"/>
          <w:highlight w:val="none"/>
        </w:rPr>
        <w:t>按“第六章　投标文件格式”中“开标一览表”格式填写。</w:t>
      </w:r>
    </w:p>
    <w:p w14:paraId="5472A435">
      <w:pPr>
        <w:spacing w:line="360" w:lineRule="auto"/>
        <w:ind w:firstLine="420" w:firstLineChars="200"/>
        <w:rPr>
          <w:rFonts w:hint="eastAsia" w:ascii="宋体" w:hAnsi="宋体"/>
          <w:bCs/>
          <w:color w:val="auto"/>
          <w:szCs w:val="21"/>
          <w:highlight w:val="none"/>
        </w:rPr>
      </w:pPr>
      <w:bookmarkStart w:id="98" w:name="_16.2投标报价具体定义见投标人须知前附表。"/>
      <w:bookmarkEnd w:id="98"/>
      <w:r>
        <w:rPr>
          <w:rFonts w:hint="eastAsia" w:ascii="宋体" w:hAnsi="宋体"/>
          <w:bCs/>
          <w:color w:val="auto"/>
          <w:szCs w:val="21"/>
          <w:highlight w:val="none"/>
        </w:rPr>
        <w:t>16.2投标报价具体包括内容详见“投标人须知前附表”。</w:t>
      </w:r>
    </w:p>
    <w:p w14:paraId="0C303E0C">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16.3投标人必须就所投每个分标的全部内容分别作完整唯一总价报价，不得存在漏项报价；投标人必须就所投分标的单项内容作唯一报价。</w:t>
      </w:r>
    </w:p>
    <w:p w14:paraId="5B8E22F0">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17.投标有效期</w:t>
      </w:r>
    </w:p>
    <w:p w14:paraId="3D16B420">
      <w:pPr>
        <w:spacing w:line="360" w:lineRule="auto"/>
        <w:ind w:firstLine="420" w:firstLineChars="200"/>
        <w:rPr>
          <w:rFonts w:hint="eastAsia" w:ascii="宋体" w:hAnsi="宋体"/>
          <w:bCs/>
          <w:color w:val="auto"/>
          <w:szCs w:val="21"/>
          <w:highlight w:val="none"/>
        </w:rPr>
      </w:pPr>
      <w:bookmarkStart w:id="99" w:name="_17.1投标有效期应按“投标人须知中的前附表”规定的期限。"/>
      <w:bookmarkEnd w:id="99"/>
      <w:r>
        <w:rPr>
          <w:rFonts w:hint="eastAsia" w:ascii="宋体" w:hAnsi="宋体"/>
          <w:bCs/>
          <w:color w:val="auto"/>
          <w:szCs w:val="21"/>
          <w:highlight w:val="none"/>
        </w:rPr>
        <w:t>17.1投标有效期是指为保证采购人有足够的时间在开标后完成评标、定标、合同签订等工作而要求投标人提交的投标文件在一定时间内保持有效的期限。</w:t>
      </w:r>
    </w:p>
    <w:p w14:paraId="7032F4F0">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17.2</w:t>
      </w:r>
      <w:bookmarkStart w:id="100" w:name="_Toc254970540"/>
      <w:bookmarkStart w:id="101" w:name="_Toc254970681"/>
      <w:r>
        <w:rPr>
          <w:rFonts w:hint="eastAsia" w:ascii="宋体" w:hAnsi="宋体"/>
          <w:bCs/>
          <w:color w:val="auto"/>
          <w:szCs w:val="21"/>
          <w:highlight w:val="none"/>
        </w:rPr>
        <w:t xml:space="preserve"> 投标有效期应按规定的期限作出承诺，具体详见“投标人须知前附表”。</w:t>
      </w:r>
    </w:p>
    <w:p w14:paraId="4A6B3F81">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17.3投标人的投标文件在投标有效期内均保持有效。</w:t>
      </w:r>
      <w:bookmarkEnd w:id="100"/>
      <w:bookmarkEnd w:id="101"/>
    </w:p>
    <w:p w14:paraId="4A6EC352">
      <w:pPr>
        <w:spacing w:line="360" w:lineRule="auto"/>
        <w:ind w:firstLine="480" w:firstLineChars="200"/>
        <w:rPr>
          <w:rFonts w:hint="eastAsia" w:ascii="黑体" w:hAnsi="黑体" w:eastAsia="黑体"/>
          <w:color w:val="auto"/>
          <w:sz w:val="24"/>
          <w:highlight w:val="none"/>
        </w:rPr>
      </w:pPr>
      <w:bookmarkStart w:id="102" w:name="_18.投标保证金"/>
      <w:bookmarkEnd w:id="102"/>
      <w:bookmarkStart w:id="103" w:name="_Toc254970541"/>
      <w:bookmarkStart w:id="104" w:name="_Toc254970682"/>
      <w:r>
        <w:rPr>
          <w:rFonts w:hint="eastAsia" w:ascii="黑体" w:hAnsi="黑体" w:eastAsia="黑体"/>
          <w:color w:val="auto"/>
          <w:sz w:val="24"/>
          <w:highlight w:val="none"/>
        </w:rPr>
        <w:t>18.投标保证金</w:t>
      </w:r>
      <w:bookmarkEnd w:id="103"/>
      <w:bookmarkEnd w:id="104"/>
    </w:p>
    <w:p w14:paraId="5867EF73">
      <w:pPr>
        <w:spacing w:line="360" w:lineRule="auto"/>
        <w:ind w:firstLine="420" w:firstLineChars="200"/>
        <w:rPr>
          <w:rFonts w:hint="eastAsia" w:hAnsi="宋体"/>
          <w:color w:val="auto"/>
          <w:szCs w:val="21"/>
          <w:highlight w:val="none"/>
        </w:rPr>
      </w:pPr>
      <w:bookmarkStart w:id="105" w:name="_Toc254970542"/>
      <w:bookmarkStart w:id="106" w:name="_Toc254970683"/>
      <w:r>
        <w:rPr>
          <w:rFonts w:hint="eastAsia" w:hAnsi="宋体"/>
          <w:color w:val="auto"/>
          <w:szCs w:val="21"/>
          <w:highlight w:val="none"/>
        </w:rPr>
        <w:t>见“投标人须知前附表”。</w:t>
      </w:r>
    </w:p>
    <w:p w14:paraId="00B631AE">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19.投标文件的</w:t>
      </w:r>
      <w:bookmarkEnd w:id="105"/>
      <w:bookmarkEnd w:id="106"/>
      <w:r>
        <w:rPr>
          <w:rFonts w:hint="eastAsia" w:ascii="黑体" w:hAnsi="黑体" w:eastAsia="黑体"/>
          <w:color w:val="auto"/>
          <w:sz w:val="24"/>
          <w:highlight w:val="none"/>
        </w:rPr>
        <w:t>编制</w:t>
      </w:r>
    </w:p>
    <w:p w14:paraId="3110C235">
      <w:pPr>
        <w:spacing w:line="360" w:lineRule="auto"/>
        <w:ind w:firstLine="422" w:firstLineChars="200"/>
        <w:rPr>
          <w:rFonts w:hint="eastAsia" w:hAnsi="宋体"/>
          <w:color w:val="auto"/>
          <w:szCs w:val="21"/>
          <w:highlight w:val="none"/>
        </w:rPr>
      </w:pPr>
      <w:r>
        <w:rPr>
          <w:rFonts w:hint="eastAsia" w:ascii="宋体" w:hAnsi="宋体"/>
          <w:b/>
          <w:color w:val="auto"/>
          <w:szCs w:val="21"/>
          <w:highlight w:val="none"/>
        </w:rPr>
        <w:t xml:space="preserve"> </w:t>
      </w:r>
      <w:r>
        <w:rPr>
          <w:rFonts w:hAnsi="宋体"/>
          <w:color w:val="auto"/>
          <w:szCs w:val="21"/>
          <w:highlight w:val="none"/>
        </w:rPr>
        <w:t>19.1</w:t>
      </w:r>
      <w:r>
        <w:rPr>
          <w:rFonts w:hint="eastAsia" w:hAnsi="宋体"/>
          <w:color w:val="auto"/>
          <w:szCs w:val="21"/>
          <w:highlight w:val="none"/>
        </w:rPr>
        <w:t>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107" w:name="_19.2投标文件应按报价文件、资格证明文件、商务文件、技术文件分别编制"/>
      <w:bookmarkEnd w:id="107"/>
      <w:r>
        <w:rPr>
          <w:rFonts w:hAnsi="宋体"/>
          <w:color w:val="auto"/>
          <w:szCs w:val="21"/>
          <w:highlight w:val="none"/>
        </w:rPr>
        <w:t xml:space="preserve"> </w:t>
      </w:r>
    </w:p>
    <w:p w14:paraId="4F00E945">
      <w:pPr>
        <w:pStyle w:val="85"/>
        <w:snapToGrid w:val="0"/>
        <w:spacing w:before="0"/>
        <w:ind w:firstLine="420"/>
        <w:rPr>
          <w:rFonts w:hAnsi="宋体"/>
          <w:color w:val="auto"/>
          <w:sz w:val="21"/>
          <w:szCs w:val="21"/>
          <w:highlight w:val="none"/>
        </w:rPr>
      </w:pPr>
      <w:r>
        <w:rPr>
          <w:rFonts w:hAnsi="宋体"/>
          <w:color w:val="auto"/>
          <w:sz w:val="21"/>
          <w:szCs w:val="21"/>
          <w:highlight w:val="none"/>
        </w:rPr>
        <w:t>19.2</w:t>
      </w:r>
      <w:r>
        <w:rPr>
          <w:rFonts w:hint="eastAsia" w:hAnsi="宋体"/>
          <w:color w:val="auto"/>
          <w:sz w:val="21"/>
          <w:szCs w:val="21"/>
          <w:highlight w:val="none"/>
        </w:rPr>
        <w:t>投标文件按照招标文件第六章格式要求在规定位置进行签署、盖章。投标人的投标文件未按照招标文件要求签署、盖章的，</w:t>
      </w:r>
      <w:r>
        <w:rPr>
          <w:rFonts w:hint="eastAsia" w:hAnsi="宋体"/>
          <w:b/>
          <w:color w:val="auto"/>
          <w:sz w:val="21"/>
          <w:szCs w:val="21"/>
          <w:highlight w:val="none"/>
        </w:rPr>
        <w:t>其投标无效。</w:t>
      </w:r>
      <w:r>
        <w:rPr>
          <w:rFonts w:hint="eastAsia" w:hAnsi="宋体"/>
          <w:color w:val="auto"/>
          <w:sz w:val="21"/>
          <w:szCs w:val="21"/>
          <w:highlight w:val="none"/>
        </w:rPr>
        <w:t>骑缝盖公章不视为在规定位置盖章。</w:t>
      </w:r>
    </w:p>
    <w:p w14:paraId="165EC466">
      <w:pPr>
        <w:pStyle w:val="85"/>
        <w:snapToGrid w:val="0"/>
        <w:spacing w:before="0"/>
        <w:ind w:firstLine="420"/>
        <w:rPr>
          <w:rFonts w:hAnsi="宋体"/>
          <w:color w:val="auto"/>
          <w:sz w:val="21"/>
          <w:szCs w:val="21"/>
          <w:highlight w:val="none"/>
        </w:rPr>
      </w:pPr>
      <w:r>
        <w:rPr>
          <w:rFonts w:hAnsi="宋体"/>
          <w:color w:val="auto"/>
          <w:sz w:val="21"/>
          <w:szCs w:val="21"/>
          <w:highlight w:val="none"/>
        </w:rPr>
        <w:t>19.3</w:t>
      </w:r>
      <w:r>
        <w:rPr>
          <w:rFonts w:hint="eastAsia" w:hAnsi="宋体"/>
          <w:color w:val="auto"/>
          <w:sz w:val="21"/>
          <w:szCs w:val="21"/>
          <w:highlight w:val="none"/>
        </w:rPr>
        <w:t>为确保网上操作合法、有效和安全，投标人应当在投标截止时间前完成在“政采云”平台的身份认证，确保在电子投标过程中能够对相关数据电文进行加密和使用电子签名。</w:t>
      </w:r>
    </w:p>
    <w:p w14:paraId="0D8E0F17">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19.4投标文件中标注的投标人名称应与主体资格证明（如营业执照、事业单位法人证书、执业许可证、自然人身份证等）及公章一致，</w:t>
      </w:r>
      <w:r>
        <w:rPr>
          <w:rFonts w:hint="eastAsia" w:ascii="宋体" w:hAnsi="宋体"/>
          <w:color w:val="auto"/>
          <w:szCs w:val="21"/>
          <w:highlight w:val="none"/>
        </w:rPr>
        <w:t>否则作无效投标处理</w:t>
      </w:r>
      <w:r>
        <w:rPr>
          <w:rFonts w:hint="eastAsia" w:ascii="宋体" w:hAnsi="宋体"/>
          <w:b/>
          <w:color w:val="auto"/>
          <w:szCs w:val="21"/>
          <w:highlight w:val="none"/>
        </w:rPr>
        <w:t>。</w:t>
      </w:r>
    </w:p>
    <w:p w14:paraId="46CFCE02">
      <w:pPr>
        <w:spacing w:line="360" w:lineRule="auto"/>
        <w:ind w:firstLine="420" w:firstLineChars="200"/>
        <w:rPr>
          <w:rFonts w:hint="eastAsia" w:ascii="宋体" w:hAnsi="宋体" w:cs="宋体"/>
          <w:color w:val="auto"/>
          <w:szCs w:val="21"/>
          <w:highlight w:val="none"/>
        </w:rPr>
      </w:pPr>
      <w:r>
        <w:rPr>
          <w:rFonts w:hAnsi="宋体"/>
          <w:color w:val="auto"/>
          <w:szCs w:val="21"/>
          <w:highlight w:val="none"/>
        </w:rPr>
        <w:t xml:space="preserve"> 19.5</w:t>
      </w:r>
      <w:r>
        <w:rPr>
          <w:rFonts w:hint="eastAsia" w:hAnsi="宋体"/>
          <w:color w:val="auto"/>
          <w:szCs w:val="21"/>
          <w:highlight w:val="none"/>
        </w:rPr>
        <w:t>投标文件应避免涂改、行间插字或者删除，</w:t>
      </w:r>
      <w:r>
        <w:rPr>
          <w:rFonts w:hint="eastAsia" w:ascii="宋体" w:hAnsi="宋体" w:cs="宋体"/>
          <w:b/>
          <w:color w:val="auto"/>
          <w:szCs w:val="21"/>
          <w:highlight w:val="none"/>
        </w:rPr>
        <w:t>否则其投标无效。</w:t>
      </w:r>
    </w:p>
    <w:p w14:paraId="37092D7C">
      <w:pPr>
        <w:spacing w:line="360" w:lineRule="auto"/>
        <w:ind w:firstLine="525" w:firstLineChars="250"/>
        <w:rPr>
          <w:rFonts w:hint="eastAsia" w:hAnsi="宋体"/>
          <w:color w:val="auto"/>
          <w:highlight w:val="none"/>
        </w:rPr>
      </w:pPr>
      <w:r>
        <w:rPr>
          <w:rFonts w:hAnsi="宋体"/>
          <w:color w:val="auto"/>
          <w:highlight w:val="none"/>
        </w:rPr>
        <w:t xml:space="preserve">19.6 </w:t>
      </w:r>
      <w:r>
        <w:rPr>
          <w:rFonts w:hint="eastAsia" w:hAnsi="宋体"/>
          <w:color w:val="auto"/>
          <w:highlight w:val="none"/>
        </w:rPr>
        <w:t>对招标文件的实质性要求和条件作出响应是指投标人必须对招标文件中标注为实质性要求和条件的</w:t>
      </w:r>
      <w:r>
        <w:rPr>
          <w:rFonts w:hint="eastAsia"/>
          <w:color w:val="auto"/>
          <w:szCs w:val="21"/>
          <w:highlight w:val="none"/>
        </w:rPr>
        <w:t>服务内容及要求</w:t>
      </w:r>
      <w:r>
        <w:rPr>
          <w:rFonts w:hint="eastAsia" w:hAnsi="宋体"/>
          <w:color w:val="auto"/>
          <w:highlight w:val="none"/>
        </w:rPr>
        <w:t>、商务条款及其它内容</w:t>
      </w:r>
      <w:r>
        <w:rPr>
          <w:rFonts w:hint="eastAsia"/>
          <w:b/>
          <w:color w:val="auto"/>
          <w:highlight w:val="none"/>
        </w:rPr>
        <w:t>作出满足或者优于原要求和条件的承诺</w:t>
      </w:r>
      <w:r>
        <w:rPr>
          <w:rFonts w:hint="eastAsia"/>
          <w:color w:val="auto"/>
          <w:highlight w:val="none"/>
        </w:rPr>
        <w:t>。</w:t>
      </w:r>
    </w:p>
    <w:p w14:paraId="45D33BAE">
      <w:pPr>
        <w:spacing w:line="360" w:lineRule="auto"/>
        <w:ind w:firstLine="422" w:firstLineChars="200"/>
        <w:rPr>
          <w:rFonts w:ascii="宋体" w:hAnsi="宋体"/>
          <w:b/>
          <w:color w:val="auto"/>
          <w:szCs w:val="21"/>
          <w:highlight w:val="none"/>
          <w:u w:val="single"/>
        </w:rPr>
      </w:pPr>
      <w:r>
        <w:rPr>
          <w:rFonts w:hint="eastAsia" w:ascii="宋体" w:hAnsi="宋体"/>
          <w:b/>
          <w:color w:val="auto"/>
          <w:szCs w:val="21"/>
          <w:highlight w:val="none"/>
          <w:u w:val="single"/>
        </w:rPr>
        <w:t>19.7本项目为南宁市全流程电子化项目，异常情况见“第二节 投标人须知正文”中“四、24.2开标程序。</w:t>
      </w:r>
    </w:p>
    <w:p w14:paraId="1E07F460">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20.备份投标文件</w:t>
      </w:r>
    </w:p>
    <w:p w14:paraId="4031D433">
      <w:pPr>
        <w:spacing w:line="360" w:lineRule="auto"/>
        <w:ind w:firstLine="420" w:firstLineChars="200"/>
        <w:rPr>
          <w:rFonts w:hint="eastAsia" w:ascii="黑体" w:hAnsi="黑体" w:eastAsia="黑体"/>
          <w:color w:val="auto"/>
          <w:sz w:val="24"/>
          <w:highlight w:val="none"/>
        </w:rPr>
      </w:pPr>
      <w:r>
        <w:rPr>
          <w:rFonts w:hint="eastAsia" w:hAnsi="宋体"/>
          <w:bCs/>
          <w:color w:val="auto"/>
          <w:szCs w:val="21"/>
          <w:highlight w:val="none"/>
        </w:rPr>
        <w:t>详见在“投标人须知前附表”。</w:t>
      </w:r>
    </w:p>
    <w:p w14:paraId="4ED4861C">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21.投标文件的提交</w:t>
      </w:r>
    </w:p>
    <w:p w14:paraId="3DFD866E">
      <w:pPr>
        <w:spacing w:line="360" w:lineRule="auto"/>
        <w:ind w:firstLine="420" w:firstLineChars="200"/>
        <w:rPr>
          <w:rFonts w:hint="eastAsia" w:hAnsi="宋体"/>
          <w:b/>
          <w:color w:val="auto"/>
          <w:highlight w:val="none"/>
        </w:rPr>
      </w:pPr>
      <w:bookmarkStart w:id="108" w:name="_21.1投标人必须在“投标人须知中的前附表”规定的投标文件接收时间和投"/>
      <w:bookmarkEnd w:id="108"/>
      <w:r>
        <w:rPr>
          <w:rFonts w:hAnsi="宋体"/>
          <w:bCs/>
          <w:color w:val="auto"/>
          <w:szCs w:val="21"/>
          <w:highlight w:val="none"/>
        </w:rPr>
        <w:t>21.1</w:t>
      </w:r>
      <w:r>
        <w:rPr>
          <w:rFonts w:hint="eastAsia" w:hAnsi="宋体"/>
          <w:bCs/>
          <w:color w:val="auto"/>
          <w:szCs w:val="21"/>
          <w:highlight w:val="none"/>
        </w:rPr>
        <w:t>投标人必须在“投标人须知前附表”规定的投标文件接收时间和投标地点提交电子版投标文件。电子投标文件应在制作完成后，在投标截止时间前通过有效数字证书（</w:t>
      </w:r>
      <w:r>
        <w:rPr>
          <w:rFonts w:hAnsi="宋体"/>
          <w:bCs/>
          <w:color w:val="auto"/>
          <w:szCs w:val="21"/>
          <w:highlight w:val="none"/>
        </w:rPr>
        <w:t>CA</w:t>
      </w:r>
      <w:r>
        <w:rPr>
          <w:rFonts w:hint="eastAsia" w:hAnsi="宋体"/>
          <w:bCs/>
          <w:color w:val="auto"/>
          <w:szCs w:val="21"/>
          <w:highlight w:val="none"/>
        </w:rPr>
        <w:t>认证锁）进行电子签章、加密，然后通过网络将加密的电子投标文件递交至“南宁市政采云平台”。</w:t>
      </w:r>
      <w:r>
        <w:rPr>
          <w:rFonts w:hAnsi="宋体"/>
          <w:bCs/>
          <w:color w:val="auto"/>
          <w:szCs w:val="21"/>
          <w:highlight w:val="none"/>
        </w:rPr>
        <w:t xml:space="preserve"> </w:t>
      </w:r>
      <w:r>
        <w:rPr>
          <w:rFonts w:hAnsi="宋体"/>
          <w:b/>
          <w:color w:val="auto"/>
          <w:highlight w:val="none"/>
        </w:rPr>
        <w:t xml:space="preserve"> </w:t>
      </w:r>
    </w:p>
    <w:p w14:paraId="5D65107E">
      <w:pPr>
        <w:spacing w:line="360" w:lineRule="auto"/>
        <w:ind w:firstLine="422" w:firstLineChars="200"/>
        <w:rPr>
          <w:rFonts w:ascii="宋体" w:hAnsi="宋体"/>
          <w:b/>
          <w:color w:val="auto"/>
          <w:szCs w:val="20"/>
          <w:highlight w:val="none"/>
        </w:rPr>
      </w:pPr>
      <w:r>
        <w:rPr>
          <w:rFonts w:hint="eastAsia" w:ascii="宋体" w:hAnsi="宋体"/>
          <w:b/>
          <w:color w:val="auto"/>
          <w:szCs w:val="21"/>
          <w:highlight w:val="none"/>
        </w:rPr>
        <w:t>21.2未在规定时间内提交或者未按照招标文件要求密封或者标记的电子投标文件，“政采云”平台将拒收。</w:t>
      </w:r>
    </w:p>
    <w:p w14:paraId="15D056C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21.3电子版投标文件提交方式见“招标公告”中“四、提交投标文件截止时间、开标时间和地点”</w:t>
      </w:r>
      <w:r>
        <w:rPr>
          <w:rFonts w:hint="eastAsia" w:ascii="宋体" w:hAnsi="宋体"/>
          <w:b/>
          <w:color w:val="auto"/>
          <w:szCs w:val="21"/>
          <w:highlight w:val="none"/>
        </w:rPr>
        <w:t xml:space="preserve"> 。</w:t>
      </w:r>
    </w:p>
    <w:p w14:paraId="7DA02AFB">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22. 投标文件的补充、修改、撤回与退回</w:t>
      </w:r>
      <w:bookmarkStart w:id="109" w:name="_Toc254970684"/>
      <w:bookmarkStart w:id="110" w:name="_Toc254970543"/>
    </w:p>
    <w:p w14:paraId="3B69D512">
      <w:pPr>
        <w:spacing w:line="360" w:lineRule="auto"/>
        <w:ind w:firstLine="420" w:firstLineChars="200"/>
        <w:rPr>
          <w:rFonts w:hint="eastAsia" w:ascii="黑体" w:hAnsi="黑体" w:eastAsia="黑体"/>
          <w:color w:val="auto"/>
          <w:sz w:val="24"/>
          <w:highlight w:val="none"/>
        </w:rPr>
      </w:pPr>
      <w:r>
        <w:rPr>
          <w:rFonts w:hint="eastAsia" w:ascii="宋体" w:hAnsi="宋体" w:cs="宋体"/>
          <w:color w:val="auto"/>
          <w:szCs w:val="21"/>
          <w:highlight w:val="none"/>
        </w:rPr>
        <w:t>22.1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政采云”平台将拒收。（补充、修改或者撤回方式见公告附件“电子投标文件制作与投送教程”）</w:t>
      </w:r>
    </w:p>
    <w:p w14:paraId="6FECDB0D">
      <w:pPr>
        <w:pStyle w:val="85"/>
        <w:spacing w:before="0"/>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22.2“政采云”平台收到投标文件，将妥善保存并即时向供应商发出确认回执通知。在投标截止时间前，除供应商补充、修改或者撤回投标文件外，任何单位和个人不得解密或提取投标文件。</w:t>
      </w:r>
    </w:p>
    <w:bookmarkEnd w:id="109"/>
    <w:bookmarkEnd w:id="110"/>
    <w:p w14:paraId="2841DF3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22.3在投标截止时间止提交电子版投标文件的投标人不足3家时，电子版投标文件由代理机构在“政采云”平台操作退回，除此之外采购人和采购代理机构对已提交的投标文件概不退回。</w:t>
      </w:r>
    </w:p>
    <w:p w14:paraId="652F3B88">
      <w:pPr>
        <w:snapToGrid w:val="0"/>
        <w:spacing w:line="400" w:lineRule="exact"/>
        <w:ind w:firstLine="739"/>
        <w:rPr>
          <w:rFonts w:hint="eastAsia" w:ascii="宋体" w:hAnsi="宋体"/>
          <w:snapToGrid w:val="0"/>
          <w:color w:val="auto"/>
          <w:spacing w:val="-4"/>
          <w:szCs w:val="21"/>
          <w:highlight w:val="none"/>
        </w:rPr>
      </w:pPr>
    </w:p>
    <w:p w14:paraId="042838B5">
      <w:pPr>
        <w:pStyle w:val="4"/>
        <w:keepNext w:val="0"/>
        <w:keepLines w:val="0"/>
        <w:spacing w:line="400" w:lineRule="exact"/>
        <w:jc w:val="center"/>
        <w:rPr>
          <w:rFonts w:hint="eastAsia"/>
          <w:color w:val="auto"/>
          <w:highlight w:val="none"/>
        </w:rPr>
      </w:pPr>
      <w:bookmarkStart w:id="111" w:name="_Toc254970544"/>
      <w:bookmarkStart w:id="112" w:name="_Toc254970685"/>
      <w:bookmarkStart w:id="113" w:name="_Toc26996"/>
      <w:r>
        <w:rPr>
          <w:rFonts w:hint="eastAsia"/>
          <w:color w:val="auto"/>
          <w:highlight w:val="none"/>
        </w:rPr>
        <w:t>四、开</w:t>
      </w:r>
      <w:r>
        <w:rPr>
          <w:color w:val="auto"/>
          <w:highlight w:val="none"/>
        </w:rPr>
        <w:t xml:space="preserve">    </w:t>
      </w:r>
      <w:r>
        <w:rPr>
          <w:rFonts w:hint="eastAsia"/>
          <w:color w:val="auto"/>
          <w:highlight w:val="none"/>
        </w:rPr>
        <w:t>标</w:t>
      </w:r>
      <w:bookmarkEnd w:id="111"/>
      <w:bookmarkEnd w:id="112"/>
      <w:bookmarkEnd w:id="113"/>
    </w:p>
    <w:p w14:paraId="6BED56D9">
      <w:pPr>
        <w:spacing w:line="360" w:lineRule="auto"/>
        <w:ind w:firstLine="480" w:firstLineChars="200"/>
        <w:rPr>
          <w:rFonts w:ascii="黑体" w:hAnsi="黑体" w:eastAsia="黑体"/>
          <w:color w:val="auto"/>
          <w:sz w:val="24"/>
          <w:highlight w:val="none"/>
        </w:rPr>
      </w:pPr>
      <w:bookmarkStart w:id="114" w:name="_23.开标时间和地点"/>
      <w:bookmarkEnd w:id="114"/>
      <w:r>
        <w:rPr>
          <w:rFonts w:hint="eastAsia" w:ascii="黑体" w:hAnsi="黑体" w:eastAsia="黑体"/>
          <w:color w:val="auto"/>
          <w:sz w:val="24"/>
          <w:highlight w:val="none"/>
        </w:rPr>
        <w:t>23.开标时间和地点</w:t>
      </w:r>
    </w:p>
    <w:p w14:paraId="3E65B1A3">
      <w:pPr>
        <w:spacing w:line="360" w:lineRule="auto"/>
        <w:ind w:firstLine="420" w:firstLineChars="200"/>
        <w:rPr>
          <w:rFonts w:hint="eastAsia" w:hAnsi="宋体"/>
          <w:bCs/>
          <w:color w:val="auto"/>
          <w:highlight w:val="none"/>
        </w:rPr>
      </w:pPr>
      <w:r>
        <w:rPr>
          <w:rFonts w:hAnsi="宋体"/>
          <w:bCs/>
          <w:color w:val="auto"/>
          <w:highlight w:val="none"/>
        </w:rPr>
        <w:t>23.1</w:t>
      </w:r>
      <w:r>
        <w:rPr>
          <w:rFonts w:hint="eastAsia" w:hAnsi="宋体"/>
          <w:bCs/>
          <w:color w:val="auto"/>
          <w:highlight w:val="none"/>
        </w:rPr>
        <w:t>开标时间及地点详见“投标人须知前附表”</w:t>
      </w:r>
    </w:p>
    <w:p w14:paraId="26DEA2F2">
      <w:pPr>
        <w:spacing w:line="360" w:lineRule="auto"/>
        <w:ind w:firstLine="420" w:firstLineChars="200"/>
        <w:rPr>
          <w:color w:val="auto"/>
          <w:highlight w:val="none"/>
        </w:rPr>
      </w:pPr>
      <w:r>
        <w:rPr>
          <w:rFonts w:hAnsi="宋体"/>
          <w:color w:val="auto"/>
          <w:highlight w:val="none"/>
        </w:rPr>
        <w:t>23.2</w:t>
      </w:r>
      <w:r>
        <w:rPr>
          <w:rFonts w:hint="eastAsia" w:hAnsi="宋体"/>
          <w:color w:val="auto"/>
          <w:highlight w:val="none"/>
        </w:rPr>
        <w:t>如</w:t>
      </w:r>
      <w:r>
        <w:rPr>
          <w:rFonts w:hint="eastAsia" w:hAnsi="宋体"/>
          <w:bCs/>
          <w:color w:val="auto"/>
          <w:highlight w:val="none"/>
        </w:rPr>
        <w:t>投标人成功解密投标文件，但未在“政采云”电子开标大厅参加开标的，视同认可开标过程和结果，</w:t>
      </w:r>
      <w:r>
        <w:rPr>
          <w:rFonts w:hint="eastAsia" w:hAnsi="宋体"/>
          <w:color w:val="auto"/>
          <w:highlight w:val="none"/>
        </w:rPr>
        <w:t>由此产生的后果由投标人自行负责。</w:t>
      </w:r>
      <w:r>
        <w:rPr>
          <w:rFonts w:hAnsi="宋体"/>
          <w:color w:val="auto"/>
          <w:highlight w:val="none"/>
        </w:rPr>
        <w:t xml:space="preserve"> </w:t>
      </w:r>
      <w:r>
        <w:rPr>
          <w:rFonts w:hint="eastAsia"/>
          <w:color w:val="auto"/>
          <w:highlight w:val="none"/>
        </w:rPr>
        <w:t>投标人不足</w:t>
      </w:r>
      <w:r>
        <w:rPr>
          <w:color w:val="auto"/>
          <w:highlight w:val="none"/>
        </w:rPr>
        <w:t>3</w:t>
      </w:r>
      <w:r>
        <w:rPr>
          <w:rFonts w:hint="eastAsia"/>
          <w:color w:val="auto"/>
          <w:highlight w:val="none"/>
        </w:rPr>
        <w:t>家的，不得开标。</w:t>
      </w:r>
    </w:p>
    <w:p w14:paraId="312C3BB1">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24.开标程序</w:t>
      </w:r>
    </w:p>
    <w:p w14:paraId="0FF368E2">
      <w:pPr>
        <w:autoSpaceDE w:val="0"/>
        <w:autoSpaceDN w:val="0"/>
        <w:adjustRightInd w:val="0"/>
        <w:spacing w:line="440" w:lineRule="exact"/>
        <w:ind w:firstLine="420" w:firstLineChars="200"/>
        <w:rPr>
          <w:rFonts w:hint="eastAsia" w:ascii="宋体" w:hAnsi="宋体"/>
          <w:color w:val="auto"/>
          <w:kern w:val="0"/>
          <w:szCs w:val="21"/>
          <w:highlight w:val="none"/>
        </w:rPr>
      </w:pPr>
      <w:r>
        <w:rPr>
          <w:rFonts w:hint="eastAsia" w:ascii="宋体" w:hAnsi="宋体"/>
          <w:bCs/>
          <w:color w:val="auto"/>
          <w:szCs w:val="21"/>
          <w:highlight w:val="none"/>
        </w:rPr>
        <w:t>24.1</w:t>
      </w:r>
      <w:r>
        <w:rPr>
          <w:rFonts w:hint="eastAsia" w:ascii="宋体" w:hAnsi="宋体"/>
          <w:color w:val="auto"/>
          <w:kern w:val="0"/>
          <w:szCs w:val="21"/>
          <w:highlight w:val="none"/>
        </w:rPr>
        <w:t>开标形式：</w:t>
      </w:r>
    </w:p>
    <w:p w14:paraId="250E91C9">
      <w:pPr>
        <w:autoSpaceDE w:val="0"/>
        <w:autoSpaceDN w:val="0"/>
        <w:adjustRightInd w:val="0"/>
        <w:spacing w:line="440" w:lineRule="exact"/>
        <w:ind w:firstLine="420" w:firstLineChars="200"/>
        <w:rPr>
          <w:rFonts w:hint="eastAsia" w:ascii="宋体" w:hAnsi="宋体"/>
          <w:bCs/>
          <w:color w:val="auto"/>
          <w:szCs w:val="21"/>
          <w:highlight w:val="none"/>
        </w:rPr>
      </w:pPr>
      <w:r>
        <w:rPr>
          <w:rFonts w:hint="eastAsia" w:ascii="宋体" w:hAnsi="宋体"/>
          <w:color w:val="auto"/>
          <w:szCs w:val="21"/>
          <w:highlight w:val="none"/>
        </w:rPr>
        <w:t>（1）</w:t>
      </w:r>
      <w:r>
        <w:rPr>
          <w:rFonts w:hint="eastAsia" w:ascii="宋体" w:hAnsi="宋体"/>
          <w:bCs/>
          <w:color w:val="auto"/>
          <w:szCs w:val="21"/>
          <w:highlight w:val="none"/>
        </w:rPr>
        <w:t>开标的准备工作由采购代理机构负责落实，采购代理机构必须基于“政采云”平台选取评审专家，如采购代理机构未按规定选取专家的，视为本次开评标无效，应当重新采购；</w:t>
      </w:r>
    </w:p>
    <w:p w14:paraId="19B5DAD7">
      <w:pPr>
        <w:autoSpaceDE w:val="0"/>
        <w:autoSpaceDN w:val="0"/>
        <w:adjustRightInd w:val="0"/>
        <w:spacing w:line="44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2）采购代理机构将按照招标文件规定的时间通过“政采云”平台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14:paraId="2C0F4790">
      <w:pPr>
        <w:autoSpaceDE w:val="0"/>
        <w:autoSpaceDN w:val="0"/>
        <w:adjustRightInd w:val="0"/>
        <w:spacing w:line="44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24.2开标程序：</w:t>
      </w:r>
    </w:p>
    <w:p w14:paraId="34802084">
      <w:pPr>
        <w:snapToGrid w:val="0"/>
        <w:spacing w:line="440" w:lineRule="exact"/>
        <w:ind w:firstLine="422" w:firstLineChars="200"/>
        <w:rPr>
          <w:rFonts w:hint="eastAsia" w:ascii="宋体" w:hAnsi="宋体"/>
          <w:color w:val="auto"/>
          <w:szCs w:val="21"/>
          <w:highlight w:val="none"/>
        </w:rPr>
      </w:pPr>
      <w:r>
        <w:rPr>
          <w:rFonts w:hint="eastAsia" w:ascii="宋体" w:hAnsi="宋体"/>
          <w:b/>
          <w:color w:val="auto"/>
          <w:szCs w:val="21"/>
          <w:highlight w:val="none"/>
        </w:rPr>
        <w:t>（1）解密电子投标文件。</w:t>
      </w:r>
      <w:r>
        <w:rPr>
          <w:rFonts w:hint="eastAsia" w:ascii="宋体" w:hAnsi="宋体" w:cs="仿宋_GB2312"/>
          <w:b/>
          <w:color w:val="auto"/>
          <w:szCs w:val="21"/>
          <w:highlight w:val="none"/>
        </w:rPr>
        <w:t>“</w:t>
      </w:r>
      <w:r>
        <w:rPr>
          <w:rFonts w:hint="eastAsia" w:ascii="宋体" w:hAnsi="宋体" w:cs="仿宋_GB2312"/>
          <w:color w:val="auto"/>
          <w:szCs w:val="21"/>
          <w:highlight w:val="none"/>
        </w:rPr>
        <w:t>政采云”平台按开标时间自动提取所有投标文件。采购代理机构依托“政采云”平台</w:t>
      </w:r>
      <w:r>
        <w:rPr>
          <w:rFonts w:hint="eastAsia" w:ascii="宋体" w:hAnsi="宋体"/>
          <w:color w:val="auto"/>
          <w:szCs w:val="21"/>
          <w:highlight w:val="none"/>
        </w:rPr>
        <w:t>向各投标人发出电子加密投标文件【开始解密】通知，由投标人按招标文件规定的时间内自行进行投标文件解密。投标人的法定代表人或其委托代理人</w:t>
      </w:r>
      <w:r>
        <w:rPr>
          <w:rFonts w:hint="eastAsia" w:ascii="宋体" w:hAnsi="宋体"/>
          <w:b/>
          <w:color w:val="auto"/>
          <w:szCs w:val="21"/>
          <w:highlight w:val="none"/>
        </w:rPr>
        <w:t>须携带加密时所用的CA锁准时登录到“政采云”平台电子开标大厅签到并对电子投标文件解密</w:t>
      </w:r>
      <w:r>
        <w:rPr>
          <w:rFonts w:hint="eastAsia" w:ascii="宋体" w:hAnsi="宋体"/>
          <w:color w:val="auto"/>
          <w:szCs w:val="21"/>
          <w:highlight w:val="none"/>
        </w:rPr>
        <w:t>。开标后5分钟投标人还未进行解密的，代理机构要通知投标人。通知后，</w:t>
      </w:r>
      <w:r>
        <w:rPr>
          <w:rFonts w:hint="eastAsia" w:ascii="宋体" w:hAnsi="宋体" w:cs="仿宋_GB2312"/>
          <w:color w:val="auto"/>
          <w:szCs w:val="21"/>
          <w:highlight w:val="none"/>
        </w:rPr>
        <w:t>投标文件仍未按时解密，</w:t>
      </w:r>
      <w:r>
        <w:rPr>
          <w:rFonts w:hint="eastAsia" w:ascii="宋体" w:hAnsi="宋体"/>
          <w:color w:val="auto"/>
          <w:szCs w:val="21"/>
          <w:highlight w:val="none"/>
        </w:rPr>
        <w:t>或者投标人没预留联系方式或预留联系方式无效，导致代理机构无法联系到投标人进行解密的，</w:t>
      </w:r>
      <w:r>
        <w:rPr>
          <w:rFonts w:hint="eastAsia" w:ascii="宋体" w:hAnsi="宋体"/>
          <w:b/>
          <w:color w:val="auto"/>
          <w:szCs w:val="21"/>
          <w:highlight w:val="none"/>
        </w:rPr>
        <w:t>均视为无效投标。</w:t>
      </w:r>
    </w:p>
    <w:p w14:paraId="7FF721D5">
      <w:pPr>
        <w:snapToGrid w:val="0"/>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（解密</w:t>
      </w:r>
      <w:r>
        <w:rPr>
          <w:rFonts w:hint="eastAsia" w:ascii="宋体" w:hAnsi="宋体"/>
          <w:bCs/>
          <w:color w:val="auto"/>
          <w:szCs w:val="21"/>
          <w:highlight w:val="none"/>
        </w:rPr>
        <w:t>异常情况处理：详见本章</w:t>
      </w:r>
      <w:r>
        <w:rPr>
          <w:rFonts w:hint="eastAsia" w:ascii="宋体" w:hAnsi="宋体"/>
          <w:color w:val="auto"/>
          <w:szCs w:val="20"/>
          <w:highlight w:val="none"/>
        </w:rPr>
        <w:t>29.3 电子交易活动的中止。</w:t>
      </w:r>
      <w:r>
        <w:rPr>
          <w:rFonts w:hint="eastAsia" w:ascii="宋体" w:hAnsi="宋体"/>
          <w:color w:val="auto"/>
          <w:szCs w:val="21"/>
          <w:highlight w:val="none"/>
        </w:rPr>
        <w:t>）</w:t>
      </w:r>
    </w:p>
    <w:p w14:paraId="4FF51584">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b/>
          <w:color w:val="auto"/>
          <w:szCs w:val="21"/>
          <w:highlight w:val="none"/>
        </w:rPr>
        <w:t>电子唱标。</w:t>
      </w:r>
      <w:r>
        <w:rPr>
          <w:rFonts w:hint="eastAsia" w:ascii="宋体" w:hAnsi="宋体"/>
          <w:color w:val="auto"/>
          <w:szCs w:val="21"/>
          <w:highlight w:val="none"/>
        </w:rPr>
        <w:t>投标文件解密结束，各投标供应商报价均在“政采云”平台远程不见面开标大厅展示；</w:t>
      </w:r>
    </w:p>
    <w:p w14:paraId="1A813BA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w:t>
      </w:r>
      <w:r>
        <w:rPr>
          <w:rFonts w:hint="eastAsia" w:ascii="宋体" w:hAnsi="宋体"/>
          <w:b/>
          <w:color w:val="auto"/>
          <w:szCs w:val="21"/>
          <w:highlight w:val="none"/>
        </w:rPr>
        <w:t>签署电子《政府采购活动现场确认声明书》。</w:t>
      </w:r>
      <w:r>
        <w:rPr>
          <w:rFonts w:hint="eastAsia" w:ascii="宋体" w:hAnsi="宋体"/>
          <w:color w:val="auto"/>
          <w:szCs w:val="21"/>
          <w:highlight w:val="none"/>
        </w:rPr>
        <w:t>通过邮件形式在远程不见面开标大厅发送各投标人签署电子《政府采购活动现场确认声明书》。</w:t>
      </w:r>
    </w:p>
    <w:p w14:paraId="7A1D594F">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（4）开标过程由采购代理机构如实记录，并电子留痕，由参加电子开标的各投标人代表对电子开标记录在开标记录公布后15分钟内进行当场校核及勘误，并线上确认，未确认的视同认可开标结果。</w:t>
      </w:r>
    </w:p>
    <w:p w14:paraId="166ABA15">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2A3F7107">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（6）开标结束。</w:t>
      </w:r>
    </w:p>
    <w:p w14:paraId="006C7E5D">
      <w:pPr>
        <w:snapToGrid w:val="0"/>
        <w:spacing w:line="440" w:lineRule="exact"/>
        <w:ind w:firstLine="422" w:firstLineChars="200"/>
        <w:rPr>
          <w:rFonts w:hint="eastAsia" w:ascii="宋体" w:hAnsi="宋体"/>
          <w:color w:val="auto"/>
          <w:szCs w:val="21"/>
          <w:highlight w:val="none"/>
        </w:rPr>
      </w:pPr>
      <w:r>
        <w:rPr>
          <w:rFonts w:hint="eastAsia" w:ascii="宋体" w:hAnsi="宋体"/>
          <w:b/>
          <w:bCs/>
          <w:color w:val="auto"/>
          <w:szCs w:val="21"/>
          <w:highlight w:val="none"/>
        </w:rPr>
        <w:t>特别说明：</w:t>
      </w:r>
      <w:r>
        <w:rPr>
          <w:rFonts w:hint="eastAsia" w:ascii="宋体" w:hAnsi="宋体"/>
          <w:color w:val="auto"/>
          <w:szCs w:val="21"/>
          <w:highlight w:val="none"/>
        </w:rPr>
        <w:t>如遇“政采云”平台电子化开标或评审程序调整的，按调整后执行。</w:t>
      </w:r>
    </w:p>
    <w:p w14:paraId="7BE74CC2">
      <w:pPr>
        <w:snapToGrid w:val="0"/>
        <w:spacing w:line="400" w:lineRule="exact"/>
        <w:ind w:left="689" w:leftChars="228" w:hanging="210" w:hangingChars="100"/>
        <w:rPr>
          <w:rFonts w:hint="eastAsia" w:ascii="宋体" w:hAnsi="宋体"/>
          <w:color w:val="auto"/>
          <w:szCs w:val="20"/>
          <w:highlight w:val="none"/>
        </w:rPr>
      </w:pPr>
    </w:p>
    <w:p w14:paraId="62CC942B">
      <w:pPr>
        <w:pStyle w:val="4"/>
        <w:keepNext w:val="0"/>
        <w:keepLines w:val="0"/>
        <w:spacing w:line="400" w:lineRule="exact"/>
        <w:jc w:val="center"/>
        <w:rPr>
          <w:rFonts w:hint="eastAsia"/>
          <w:color w:val="auto"/>
          <w:highlight w:val="none"/>
        </w:rPr>
      </w:pPr>
      <w:bookmarkStart w:id="115" w:name="_Toc32620"/>
      <w:r>
        <w:rPr>
          <w:rFonts w:hint="eastAsia"/>
          <w:color w:val="auto"/>
          <w:highlight w:val="none"/>
        </w:rPr>
        <w:t>五、资格审查</w:t>
      </w:r>
      <w:bookmarkEnd w:id="115"/>
    </w:p>
    <w:p w14:paraId="4B025FD8">
      <w:pPr>
        <w:pStyle w:val="6"/>
        <w:keepNext w:val="0"/>
        <w:keepLines w:val="0"/>
        <w:spacing w:before="0" w:after="0" w:line="360" w:lineRule="auto"/>
        <w:ind w:firstLine="482" w:firstLineChars="200"/>
        <w:rPr>
          <w:rFonts w:ascii="黑体" w:hAnsi="黑体" w:eastAsia="黑体"/>
          <w:color w:val="auto"/>
          <w:sz w:val="24"/>
          <w:highlight w:val="none"/>
        </w:rPr>
      </w:pPr>
      <w:r>
        <w:rPr>
          <w:rFonts w:hint="eastAsia" w:ascii="黑体" w:hAnsi="黑体" w:eastAsia="黑体"/>
          <w:color w:val="auto"/>
          <w:sz w:val="24"/>
          <w:highlight w:val="none"/>
        </w:rPr>
        <w:t>25.资格审查</w:t>
      </w:r>
    </w:p>
    <w:p w14:paraId="6EB770FF">
      <w:pPr>
        <w:spacing w:line="360" w:lineRule="auto"/>
        <w:ind w:firstLine="422" w:firstLineChars="200"/>
        <w:rPr>
          <w:rFonts w:hint="eastAsia" w:ascii="宋体" w:hAnsi="宋体"/>
          <w:b/>
          <w:bCs/>
          <w:color w:val="auto"/>
          <w:szCs w:val="20"/>
          <w:highlight w:val="none"/>
        </w:rPr>
      </w:pPr>
      <w:r>
        <w:rPr>
          <w:rFonts w:hint="eastAsia" w:ascii="宋体" w:hAnsi="宋体"/>
          <w:b/>
          <w:bCs/>
          <w:color w:val="auto"/>
          <w:szCs w:val="20"/>
          <w:highlight w:val="none"/>
        </w:rPr>
        <w:t xml:space="preserve"> 25.1开标结束后，采购人或采购机构依法通过电子投标文件对投标人的资格进行线上审查。</w:t>
      </w:r>
    </w:p>
    <w:p w14:paraId="51D54612">
      <w:pPr>
        <w:spacing w:line="360" w:lineRule="auto"/>
        <w:ind w:firstLine="422" w:firstLineChars="200"/>
        <w:rPr>
          <w:rFonts w:hint="eastAsia" w:ascii="宋体" w:hAnsi="宋体"/>
          <w:b/>
          <w:bCs/>
          <w:color w:val="auto"/>
          <w:szCs w:val="20"/>
          <w:highlight w:val="none"/>
        </w:rPr>
      </w:pPr>
      <w:r>
        <w:rPr>
          <w:rFonts w:hint="eastAsia" w:ascii="宋体" w:hAnsi="宋体"/>
          <w:b/>
          <w:bCs/>
          <w:color w:val="auto"/>
          <w:szCs w:val="20"/>
          <w:highlight w:val="none"/>
        </w:rPr>
        <w:t xml:space="preserve"> 25.2采购人或采购机构依据法律法规和招标文件的规定，对投标人的基本资格条件、特定资格条件进行审查。</w:t>
      </w:r>
    </w:p>
    <w:p w14:paraId="3CD6B7F2">
      <w:pPr>
        <w:spacing w:line="360" w:lineRule="auto"/>
        <w:ind w:firstLine="420" w:firstLineChars="200"/>
        <w:rPr>
          <w:rFonts w:hint="eastAsia" w:ascii="宋体" w:hAnsi="宋体"/>
          <w:color w:val="auto"/>
          <w:highlight w:val="none"/>
        </w:rPr>
      </w:pPr>
      <w:r>
        <w:rPr>
          <w:rFonts w:hint="eastAsia" w:ascii="宋体" w:hAnsi="宋体"/>
          <w:color w:val="auto"/>
          <w:highlight w:val="none"/>
        </w:rPr>
        <w:t>25.3资格审查标准为本“招标文件”中“投标人须知前附表”13.1点载明对投标人资格要求的条件。本项目资格审查采用合格制，凡符合招标文件规定的投标人资格要求的投标人均通过资格审查。</w:t>
      </w:r>
    </w:p>
    <w:p w14:paraId="1D89FB67">
      <w:pPr>
        <w:spacing w:line="360" w:lineRule="auto"/>
        <w:ind w:firstLine="422" w:firstLineChars="200"/>
        <w:rPr>
          <w:rFonts w:hint="eastAsia" w:ascii="宋体" w:hAnsi="宋体"/>
          <w:b/>
          <w:bCs/>
          <w:color w:val="auto"/>
          <w:szCs w:val="20"/>
          <w:highlight w:val="none"/>
        </w:rPr>
      </w:pPr>
      <w:bookmarkStart w:id="116" w:name="_25.3_投标人有下列情形之一的，资格审查不通过而导致其投标无效："/>
      <w:bookmarkEnd w:id="116"/>
      <w:r>
        <w:rPr>
          <w:rFonts w:hint="eastAsia" w:ascii="宋体" w:hAnsi="宋体"/>
          <w:b/>
          <w:bCs/>
          <w:color w:val="auto"/>
          <w:szCs w:val="20"/>
          <w:highlight w:val="none"/>
        </w:rPr>
        <w:t>25.4投标人有下列情形之一的，资格审查不通过，作无效投标处理：</w:t>
      </w:r>
    </w:p>
    <w:p w14:paraId="565912AC">
      <w:pPr>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1</w:t>
      </w:r>
      <w:r>
        <w:rPr>
          <w:rFonts w:hint="eastAsia" w:hAnsi="宋体"/>
          <w:color w:val="auto"/>
          <w:highlight w:val="none"/>
        </w:rPr>
        <w:t>）不具备招标文件中规定的资格要求的；（注：其中信用查询规则见“投标人须知前附表”，“政采云”平台已与“信用中国”平台做接口，审查专家可直接在线查询）</w:t>
      </w:r>
    </w:p>
    <w:p w14:paraId="535654B6">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2</w:t>
      </w:r>
      <w:r>
        <w:rPr>
          <w:rFonts w:hint="eastAsia" w:hAnsi="宋体"/>
          <w:color w:val="auto"/>
          <w:highlight w:val="none"/>
        </w:rPr>
        <w:t>）投标文件未提供任一项“投标人须知前附表”资格证明文件规定的“必须提供”的文件资料的；</w:t>
      </w:r>
    </w:p>
    <w:p w14:paraId="196FB980">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3</w:t>
      </w:r>
      <w:r>
        <w:rPr>
          <w:rFonts w:hint="eastAsia" w:hAnsi="宋体"/>
          <w:color w:val="auto"/>
          <w:highlight w:val="none"/>
        </w:rPr>
        <w:t>）投标文件提供的资格证明文件出现任一项不符合“投标人须知前附表”资格证明文件规定的“必须提供”的文件资料要求或者无效的。</w:t>
      </w:r>
    </w:p>
    <w:p w14:paraId="70630959">
      <w:pPr>
        <w:pStyle w:val="6"/>
        <w:keepNext w:val="0"/>
        <w:keepLines w:val="0"/>
        <w:spacing w:before="0" w:after="0" w:line="360" w:lineRule="auto"/>
        <w:ind w:firstLine="420" w:firstLineChars="200"/>
        <w:rPr>
          <w:rFonts w:ascii="宋体" w:hAnsi="宋体"/>
          <w:b w:val="0"/>
          <w:bCs w:val="0"/>
          <w:color w:val="auto"/>
          <w:sz w:val="21"/>
          <w:szCs w:val="20"/>
          <w:highlight w:val="none"/>
        </w:rPr>
      </w:pPr>
      <w:r>
        <w:rPr>
          <w:rFonts w:hint="eastAsia" w:ascii="宋体" w:hAnsi="宋体"/>
          <w:b w:val="0"/>
          <w:bCs w:val="0"/>
          <w:color w:val="auto"/>
          <w:sz w:val="21"/>
          <w:szCs w:val="20"/>
          <w:highlight w:val="none"/>
        </w:rPr>
        <w:t>25.5资格审查的合格投标人不足3家的，不得评标。</w:t>
      </w:r>
    </w:p>
    <w:p w14:paraId="67A54E17">
      <w:pPr>
        <w:pStyle w:val="4"/>
        <w:keepNext w:val="0"/>
        <w:keepLines w:val="0"/>
        <w:spacing w:line="360" w:lineRule="auto"/>
        <w:jc w:val="center"/>
        <w:rPr>
          <w:rFonts w:hint="eastAsia"/>
          <w:color w:val="auto"/>
          <w:highlight w:val="none"/>
        </w:rPr>
      </w:pPr>
      <w:bookmarkStart w:id="117" w:name="_Toc8027"/>
      <w:r>
        <w:rPr>
          <w:rFonts w:hint="eastAsia"/>
          <w:color w:val="auto"/>
          <w:highlight w:val="none"/>
        </w:rPr>
        <w:t>六、评</w:t>
      </w:r>
      <w:r>
        <w:rPr>
          <w:color w:val="auto"/>
          <w:highlight w:val="none"/>
        </w:rPr>
        <w:t xml:space="preserve">   </w:t>
      </w:r>
      <w:r>
        <w:rPr>
          <w:rFonts w:hint="eastAsia"/>
          <w:color w:val="auto"/>
          <w:highlight w:val="none"/>
        </w:rPr>
        <w:t>标</w:t>
      </w:r>
      <w:bookmarkEnd w:id="117"/>
    </w:p>
    <w:p w14:paraId="0B8C2E88">
      <w:pPr>
        <w:spacing w:line="360" w:lineRule="auto"/>
        <w:ind w:firstLine="480" w:firstLineChars="200"/>
        <w:rPr>
          <w:rFonts w:ascii="黑体" w:hAnsi="黑体" w:eastAsia="黑体"/>
          <w:color w:val="auto"/>
          <w:sz w:val="24"/>
          <w:highlight w:val="none"/>
        </w:rPr>
      </w:pPr>
      <w:bookmarkStart w:id="118" w:name="_26.组建评标委员会"/>
      <w:bookmarkEnd w:id="118"/>
      <w:r>
        <w:rPr>
          <w:rFonts w:hint="eastAsia" w:ascii="黑体" w:hAnsi="黑体" w:eastAsia="黑体"/>
          <w:color w:val="auto"/>
          <w:sz w:val="24"/>
          <w:highlight w:val="none"/>
        </w:rPr>
        <w:t>26.组建评标委员会</w:t>
      </w:r>
    </w:p>
    <w:p w14:paraId="51FC4313">
      <w:pPr>
        <w:spacing w:line="360" w:lineRule="auto"/>
        <w:ind w:firstLine="420" w:firstLineChars="200"/>
        <w:rPr>
          <w:rFonts w:hint="eastAsia" w:hAnsi="宋体"/>
          <w:color w:val="auto"/>
          <w:highlight w:val="none"/>
        </w:rPr>
      </w:pPr>
      <w:r>
        <w:rPr>
          <w:rFonts w:hint="eastAsia" w:hAnsi="宋体"/>
          <w:color w:val="auto"/>
          <w:highlight w:val="none"/>
        </w:rPr>
        <w:t>评标委员会由采购人代表和评审专家组成，人数为</w:t>
      </w:r>
      <w:r>
        <w:rPr>
          <w:rFonts w:hAnsi="宋体"/>
          <w:color w:val="auto"/>
          <w:highlight w:val="none"/>
        </w:rPr>
        <w:t>5</w:t>
      </w:r>
      <w:r>
        <w:rPr>
          <w:rFonts w:hint="eastAsia" w:hAnsi="宋体"/>
          <w:color w:val="auto"/>
          <w:highlight w:val="none"/>
        </w:rPr>
        <w:t>人以上单数，其中评审专家不得少于成员总数的三分之二。</w:t>
      </w:r>
    </w:p>
    <w:p w14:paraId="7ADF2246">
      <w:pPr>
        <w:spacing w:line="360" w:lineRule="auto"/>
        <w:ind w:firstLine="420" w:firstLineChars="200"/>
        <w:rPr>
          <w:rFonts w:hAnsi="宋体"/>
          <w:color w:val="auto"/>
          <w:highlight w:val="none"/>
        </w:rPr>
      </w:pPr>
      <w:r>
        <w:rPr>
          <w:rFonts w:hint="eastAsia" w:hAnsi="宋体"/>
          <w:color w:val="auto"/>
          <w:highlight w:val="none"/>
        </w:rPr>
        <w:t>参加过采购项目前期咨询论证的专家，不得参加该采购项目的评审活动。</w:t>
      </w:r>
    </w:p>
    <w:p w14:paraId="2E112D2A">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27.评标的依据</w:t>
      </w:r>
    </w:p>
    <w:p w14:paraId="692FDC15">
      <w:pPr>
        <w:spacing w:line="360" w:lineRule="auto"/>
        <w:ind w:firstLine="420" w:firstLineChars="200"/>
        <w:rPr>
          <w:rFonts w:hint="eastAsia" w:hAnsi="宋体"/>
          <w:color w:val="auto"/>
          <w:highlight w:val="none"/>
        </w:rPr>
      </w:pPr>
      <w:r>
        <w:rPr>
          <w:rFonts w:hint="eastAsia" w:hAnsi="宋体"/>
          <w:color w:val="auto"/>
          <w:highlight w:val="none"/>
        </w:rPr>
        <w:t>评标委员会以招标文件为依据对投标文件进行评审，</w:t>
      </w:r>
      <w:r>
        <w:rPr>
          <w:rFonts w:hint="eastAsia" w:hAnsi="宋体" w:cs="宋体"/>
          <w:color w:val="auto"/>
          <w:highlight w:val="none"/>
        </w:rPr>
        <w:t>“第四章</w:t>
      </w:r>
      <w:r>
        <w:rPr>
          <w:rFonts w:hAnsi="宋体" w:cs="宋体"/>
          <w:color w:val="auto"/>
          <w:highlight w:val="none"/>
        </w:rPr>
        <w:t xml:space="preserve"> </w:t>
      </w:r>
      <w:r>
        <w:rPr>
          <w:rFonts w:hint="eastAsia" w:hAnsi="宋体" w:cs="宋体"/>
          <w:color w:val="auto"/>
          <w:highlight w:val="none"/>
        </w:rPr>
        <w:t>评标方法和评标标准”</w:t>
      </w:r>
      <w:r>
        <w:rPr>
          <w:rFonts w:hint="eastAsia" w:hAnsi="宋体"/>
          <w:color w:val="auto"/>
          <w:highlight w:val="none"/>
        </w:rPr>
        <w:t>没有规定的方法、评审因素和标准，不作为评标依据。</w:t>
      </w:r>
    </w:p>
    <w:p w14:paraId="0C3DDC66">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28.评标原则</w:t>
      </w:r>
    </w:p>
    <w:p w14:paraId="023A7E0E">
      <w:pPr>
        <w:spacing w:line="360" w:lineRule="auto"/>
        <w:ind w:firstLine="420" w:firstLineChars="200"/>
        <w:rPr>
          <w:rFonts w:hint="eastAsia" w:hAnsi="宋体"/>
          <w:color w:val="auto"/>
          <w:highlight w:val="none"/>
        </w:rPr>
      </w:pPr>
      <w:r>
        <w:rPr>
          <w:rFonts w:hAnsi="宋体"/>
          <w:color w:val="auto"/>
          <w:highlight w:val="none"/>
        </w:rPr>
        <w:t>28.1</w:t>
      </w:r>
      <w:r>
        <w:rPr>
          <w:rFonts w:hint="eastAsia" w:hAnsi="宋体"/>
          <w:color w:val="auto"/>
          <w:highlight w:val="none"/>
        </w:rPr>
        <w:t>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7A9E54CE">
      <w:pPr>
        <w:spacing w:line="360" w:lineRule="auto"/>
        <w:ind w:firstLine="420" w:firstLineChars="200"/>
        <w:rPr>
          <w:rFonts w:hAnsi="宋体"/>
          <w:color w:val="auto"/>
          <w:highlight w:val="none"/>
        </w:rPr>
      </w:pPr>
      <w:r>
        <w:rPr>
          <w:rFonts w:hAnsi="宋体"/>
          <w:color w:val="auto"/>
          <w:highlight w:val="none"/>
        </w:rPr>
        <w:t>28.2</w:t>
      </w:r>
      <w:r>
        <w:rPr>
          <w:rFonts w:hint="eastAsia" w:hAnsi="宋体"/>
          <w:color w:val="auto"/>
          <w:highlight w:val="none"/>
        </w:rPr>
        <w:t>评委表决。在评标过程中出现法律法规和招标文件均没有明确规定的情形时，由评标委员会现场协商解决，协商不一致的，由全体评委投票表决，以得票率二分之一以上专家的意见为准并由采购代理机构作记录。</w:t>
      </w:r>
      <w:bookmarkStart w:id="119" w:name="_28.3评标方法。本项目将按须知前附表规定的评标办法进行评标，具体评标"/>
      <w:bookmarkEnd w:id="119"/>
    </w:p>
    <w:p w14:paraId="0DF952E8">
      <w:pPr>
        <w:spacing w:line="360" w:lineRule="auto"/>
        <w:ind w:firstLine="420" w:firstLineChars="200"/>
        <w:rPr>
          <w:rFonts w:hAnsi="宋体"/>
          <w:color w:val="auto"/>
          <w:highlight w:val="none"/>
        </w:rPr>
      </w:pPr>
      <w:r>
        <w:rPr>
          <w:rFonts w:hAnsi="宋体"/>
          <w:color w:val="auto"/>
          <w:highlight w:val="none"/>
        </w:rPr>
        <w:t>28.3</w:t>
      </w:r>
      <w:r>
        <w:rPr>
          <w:rFonts w:hint="eastAsia" w:hAnsi="宋体"/>
          <w:color w:val="auto"/>
          <w:highlight w:val="none"/>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756C1CD5">
      <w:pPr>
        <w:spacing w:line="360" w:lineRule="auto"/>
        <w:ind w:firstLine="420" w:firstLineChars="200"/>
        <w:rPr>
          <w:rFonts w:hAnsi="宋体"/>
          <w:color w:val="auto"/>
          <w:highlight w:val="none"/>
        </w:rPr>
      </w:pPr>
      <w:r>
        <w:rPr>
          <w:rFonts w:hAnsi="宋体"/>
          <w:color w:val="auto"/>
          <w:highlight w:val="none"/>
        </w:rPr>
        <w:t>28.4</w:t>
      </w:r>
      <w:r>
        <w:rPr>
          <w:rFonts w:hint="eastAsia" w:hAnsi="宋体"/>
          <w:color w:val="auto"/>
          <w:highlight w:val="none"/>
        </w:rPr>
        <w:t>评标过程的监控。本项目电子评标过程实行网上留痕、全程录音、录像监控，投标人在评标过程中所进行的试图影响评标结果的不公正活动，可能导致其投标按无效处理。</w:t>
      </w:r>
    </w:p>
    <w:p w14:paraId="2E1A19C0">
      <w:pPr>
        <w:widowControl/>
        <w:spacing w:line="560" w:lineRule="exact"/>
        <w:ind w:firstLine="420" w:firstLineChars="200"/>
        <w:jc w:val="left"/>
        <w:textAlignment w:val="baseline"/>
        <w:rPr>
          <w:rFonts w:hint="eastAsia" w:hAnsi="宋体"/>
          <w:color w:val="auto"/>
          <w:highlight w:val="none"/>
        </w:rPr>
      </w:pPr>
      <w:r>
        <w:rPr>
          <w:rFonts w:hAnsi="宋体"/>
          <w:color w:val="auto"/>
          <w:highlight w:val="none"/>
        </w:rPr>
        <w:t>28.5</w:t>
      </w:r>
      <w:r>
        <w:rPr>
          <w:rFonts w:hint="eastAsia" w:hAnsi="宋体"/>
          <w:color w:val="auto"/>
          <w:highlight w:val="none"/>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450E1DA6">
      <w:pPr>
        <w:widowControl/>
        <w:spacing w:line="560" w:lineRule="exact"/>
        <w:ind w:firstLine="420" w:firstLineChars="200"/>
        <w:jc w:val="left"/>
        <w:textAlignment w:val="baseline"/>
        <w:rPr>
          <w:rFonts w:hAnsi="宋体"/>
          <w:color w:val="auto"/>
          <w:highlight w:val="none"/>
        </w:rPr>
      </w:pPr>
      <w:r>
        <w:rPr>
          <w:rFonts w:hAnsi="宋体"/>
          <w:color w:val="auto"/>
          <w:highlight w:val="none"/>
        </w:rPr>
        <w:t xml:space="preserve">28.6  </w:t>
      </w:r>
      <w:r>
        <w:rPr>
          <w:rFonts w:hint="eastAsia" w:hAnsi="宋体"/>
          <w:color w:val="auto"/>
          <w:highlight w:val="none"/>
        </w:rPr>
        <w:t>在招标采购中，出现下列情形之一的，应予废标：</w:t>
      </w:r>
    </w:p>
    <w:p w14:paraId="6281578D">
      <w:pPr>
        <w:widowControl/>
        <w:spacing w:line="560" w:lineRule="exact"/>
        <w:ind w:firstLine="420" w:firstLineChars="200"/>
        <w:jc w:val="left"/>
        <w:textAlignment w:val="baseline"/>
        <w:rPr>
          <w:rFonts w:hAnsi="宋体"/>
          <w:color w:val="auto"/>
          <w:highlight w:val="none"/>
        </w:rPr>
      </w:pPr>
      <w:r>
        <w:rPr>
          <w:rFonts w:hAnsi="宋体"/>
          <w:color w:val="auto"/>
          <w:highlight w:val="none"/>
        </w:rPr>
        <w:t xml:space="preserve">  </w:t>
      </w:r>
      <w:r>
        <w:rPr>
          <w:rFonts w:hint="eastAsia" w:hAnsi="宋体"/>
          <w:color w:val="auto"/>
          <w:highlight w:val="none"/>
        </w:rPr>
        <w:t>（一）符合专业条件的供应商或者对招标文件作实质响应的供应商不足三家的；</w:t>
      </w:r>
    </w:p>
    <w:p w14:paraId="1DFD56B6">
      <w:pPr>
        <w:widowControl/>
        <w:spacing w:line="560" w:lineRule="exact"/>
        <w:ind w:firstLine="420" w:firstLineChars="200"/>
        <w:jc w:val="left"/>
        <w:textAlignment w:val="baseline"/>
        <w:rPr>
          <w:rFonts w:hAnsi="宋体"/>
          <w:color w:val="auto"/>
          <w:highlight w:val="none"/>
        </w:rPr>
      </w:pPr>
      <w:r>
        <w:rPr>
          <w:rFonts w:hAnsi="宋体"/>
          <w:color w:val="auto"/>
          <w:highlight w:val="none"/>
        </w:rPr>
        <w:t xml:space="preserve">  </w:t>
      </w:r>
      <w:r>
        <w:rPr>
          <w:rFonts w:hint="eastAsia" w:hAnsi="宋体"/>
          <w:color w:val="auto"/>
          <w:highlight w:val="none"/>
        </w:rPr>
        <w:t>（二）出现影响采购公正的违法、违规行为的；</w:t>
      </w:r>
    </w:p>
    <w:p w14:paraId="777392B3">
      <w:pPr>
        <w:widowControl/>
        <w:spacing w:line="560" w:lineRule="exact"/>
        <w:ind w:firstLine="420" w:firstLineChars="200"/>
        <w:jc w:val="left"/>
        <w:textAlignment w:val="baseline"/>
        <w:rPr>
          <w:rFonts w:hAnsi="宋体"/>
          <w:color w:val="auto"/>
          <w:highlight w:val="none"/>
        </w:rPr>
      </w:pPr>
      <w:r>
        <w:rPr>
          <w:rFonts w:hAnsi="宋体"/>
          <w:color w:val="auto"/>
          <w:highlight w:val="none"/>
        </w:rPr>
        <w:t xml:space="preserve">  </w:t>
      </w:r>
      <w:r>
        <w:rPr>
          <w:rFonts w:hint="eastAsia" w:hAnsi="宋体"/>
          <w:color w:val="auto"/>
          <w:highlight w:val="none"/>
        </w:rPr>
        <w:t>（三）投标人的报价均超过了采购预算，采购人不能支付的；</w:t>
      </w:r>
    </w:p>
    <w:p w14:paraId="04B3A353">
      <w:pPr>
        <w:widowControl/>
        <w:spacing w:line="560" w:lineRule="exact"/>
        <w:ind w:firstLine="420" w:firstLineChars="200"/>
        <w:jc w:val="left"/>
        <w:textAlignment w:val="baseline"/>
        <w:rPr>
          <w:rFonts w:hAnsi="宋体"/>
          <w:color w:val="auto"/>
          <w:highlight w:val="none"/>
        </w:rPr>
      </w:pPr>
      <w:r>
        <w:rPr>
          <w:rFonts w:hAnsi="宋体"/>
          <w:color w:val="auto"/>
          <w:highlight w:val="none"/>
        </w:rPr>
        <w:t xml:space="preserve">  </w:t>
      </w:r>
      <w:r>
        <w:rPr>
          <w:rFonts w:hint="eastAsia" w:hAnsi="宋体"/>
          <w:color w:val="auto"/>
          <w:highlight w:val="none"/>
        </w:rPr>
        <w:t>（四）因重大变故，采购任务取消的。</w:t>
      </w:r>
    </w:p>
    <w:p w14:paraId="06F52FE4">
      <w:pPr>
        <w:shd w:val="clear" w:color="auto" w:fill="FFFFFF"/>
        <w:spacing w:line="480" w:lineRule="atLeast"/>
        <w:ind w:firstLine="420" w:firstLineChars="200"/>
        <w:rPr>
          <w:rFonts w:hAnsi="宋体"/>
          <w:color w:val="auto"/>
          <w:highlight w:val="none"/>
        </w:rPr>
      </w:pPr>
      <w:r>
        <w:rPr>
          <w:rFonts w:hAnsi="宋体"/>
          <w:color w:val="auto"/>
          <w:highlight w:val="none"/>
        </w:rPr>
        <w:t xml:space="preserve">28.7 </w:t>
      </w:r>
      <w:r>
        <w:rPr>
          <w:rFonts w:hint="eastAsia" w:hAnsi="宋体"/>
          <w:color w:val="auto"/>
          <w:highlight w:val="none"/>
        </w:rPr>
        <w:t>政府采购评审中出现下列情形之一的，评审委员会应当启动异常低价投标（响应）审查程序：</w:t>
      </w:r>
    </w:p>
    <w:p w14:paraId="4FD5F8A3">
      <w:pPr>
        <w:widowControl/>
        <w:shd w:val="clear" w:color="auto" w:fill="FFFFFF"/>
        <w:spacing w:line="480" w:lineRule="atLeast"/>
        <w:ind w:firstLine="640"/>
        <w:rPr>
          <w:rFonts w:hAnsi="宋体"/>
          <w:color w:val="auto"/>
          <w:highlight w:val="none"/>
        </w:rPr>
      </w:pPr>
      <w:r>
        <w:rPr>
          <w:rFonts w:hint="eastAsia" w:hAnsi="宋体"/>
          <w:color w:val="auto"/>
          <w:highlight w:val="none"/>
        </w:rPr>
        <w:t>（一）投标（响应）报价低于全部通过符合性审查供应商投标（响应）报价平均值</w:t>
      </w:r>
      <w:r>
        <w:rPr>
          <w:rFonts w:hAnsi="宋体"/>
          <w:color w:val="auto"/>
          <w:highlight w:val="none"/>
        </w:rPr>
        <w:t>50%</w:t>
      </w:r>
      <w:r>
        <w:rPr>
          <w:rFonts w:hint="eastAsia" w:hAnsi="宋体"/>
          <w:color w:val="auto"/>
          <w:highlight w:val="none"/>
        </w:rPr>
        <w:t>的，即投标（响应）报价</w:t>
      </w:r>
      <w:r>
        <w:rPr>
          <w:rFonts w:hAnsi="宋体"/>
          <w:color w:val="auto"/>
          <w:highlight w:val="none"/>
        </w:rPr>
        <w:t>&lt;</w:t>
      </w:r>
      <w:r>
        <w:rPr>
          <w:rFonts w:hint="eastAsia" w:hAnsi="宋体"/>
          <w:color w:val="auto"/>
          <w:highlight w:val="none"/>
        </w:rPr>
        <w:t>全部通过符合性审查供应商投标（响应）报价平均值×</w:t>
      </w:r>
      <w:r>
        <w:rPr>
          <w:rFonts w:hAnsi="宋体"/>
          <w:color w:val="auto"/>
          <w:highlight w:val="none"/>
        </w:rPr>
        <w:t>50%</w:t>
      </w:r>
      <w:r>
        <w:rPr>
          <w:rFonts w:hint="eastAsia" w:hAnsi="宋体"/>
          <w:color w:val="auto"/>
          <w:highlight w:val="none"/>
        </w:rPr>
        <w:t>；</w:t>
      </w:r>
    </w:p>
    <w:p w14:paraId="20B4B45A">
      <w:pPr>
        <w:widowControl/>
        <w:shd w:val="clear" w:color="auto" w:fill="FFFFFF"/>
        <w:spacing w:line="480" w:lineRule="atLeast"/>
        <w:ind w:firstLine="640"/>
        <w:rPr>
          <w:rFonts w:hAnsi="宋体"/>
          <w:color w:val="auto"/>
          <w:highlight w:val="none"/>
        </w:rPr>
      </w:pPr>
      <w:r>
        <w:rPr>
          <w:rFonts w:hint="eastAsia" w:hAnsi="宋体"/>
          <w:color w:val="auto"/>
          <w:highlight w:val="none"/>
        </w:rPr>
        <w:t>（二）投标（响应）报价低于通过符合性审查的次低报价供应商投标（响应）报价</w:t>
      </w:r>
      <w:r>
        <w:rPr>
          <w:rFonts w:hAnsi="宋体"/>
          <w:color w:val="auto"/>
          <w:highlight w:val="none"/>
        </w:rPr>
        <w:t>50%</w:t>
      </w:r>
      <w:r>
        <w:rPr>
          <w:rFonts w:hint="eastAsia" w:hAnsi="宋体"/>
          <w:color w:val="auto"/>
          <w:highlight w:val="none"/>
        </w:rPr>
        <w:t>的，即投标（响应）报价</w:t>
      </w:r>
      <w:r>
        <w:rPr>
          <w:rFonts w:hAnsi="宋体"/>
          <w:color w:val="auto"/>
          <w:highlight w:val="none"/>
        </w:rPr>
        <w:t>&lt;</w:t>
      </w:r>
      <w:r>
        <w:rPr>
          <w:rFonts w:hint="eastAsia" w:hAnsi="宋体"/>
          <w:color w:val="auto"/>
          <w:highlight w:val="none"/>
        </w:rPr>
        <w:t>通过符合性审查的次低报价供应商投标（响应）报价×</w:t>
      </w:r>
      <w:r>
        <w:rPr>
          <w:rFonts w:hAnsi="宋体"/>
          <w:color w:val="auto"/>
          <w:highlight w:val="none"/>
        </w:rPr>
        <w:t>50%</w:t>
      </w:r>
      <w:r>
        <w:rPr>
          <w:rFonts w:hint="eastAsia" w:hAnsi="宋体"/>
          <w:color w:val="auto"/>
          <w:highlight w:val="none"/>
        </w:rPr>
        <w:t>；</w:t>
      </w:r>
    </w:p>
    <w:p w14:paraId="2FD6B9B4">
      <w:pPr>
        <w:widowControl/>
        <w:shd w:val="clear" w:color="auto" w:fill="FFFFFF"/>
        <w:spacing w:line="480" w:lineRule="atLeast"/>
        <w:ind w:firstLine="640"/>
        <w:rPr>
          <w:rFonts w:hAnsi="宋体"/>
          <w:color w:val="auto"/>
          <w:highlight w:val="none"/>
        </w:rPr>
      </w:pPr>
      <w:r>
        <w:rPr>
          <w:rFonts w:hint="eastAsia" w:hAnsi="宋体"/>
          <w:color w:val="auto"/>
          <w:highlight w:val="none"/>
        </w:rPr>
        <w:t>（三）投标（响应）报价低于采购项目最高限价</w:t>
      </w:r>
      <w:r>
        <w:rPr>
          <w:rFonts w:hAnsi="宋体"/>
          <w:color w:val="auto"/>
          <w:highlight w:val="none"/>
        </w:rPr>
        <w:t>45%</w:t>
      </w:r>
      <w:r>
        <w:rPr>
          <w:rFonts w:hint="eastAsia" w:hAnsi="宋体"/>
          <w:color w:val="auto"/>
          <w:highlight w:val="none"/>
        </w:rPr>
        <w:t>的，即投标（响应）报价</w:t>
      </w:r>
      <w:r>
        <w:rPr>
          <w:rFonts w:hAnsi="宋体"/>
          <w:color w:val="auto"/>
          <w:highlight w:val="none"/>
        </w:rPr>
        <w:t>&lt;</w:t>
      </w:r>
      <w:r>
        <w:rPr>
          <w:rFonts w:hint="eastAsia" w:hAnsi="宋体"/>
          <w:color w:val="auto"/>
          <w:highlight w:val="none"/>
        </w:rPr>
        <w:t>采购项目最高限价×</w:t>
      </w:r>
      <w:r>
        <w:rPr>
          <w:rFonts w:hAnsi="宋体"/>
          <w:color w:val="auto"/>
          <w:highlight w:val="none"/>
        </w:rPr>
        <w:t>45%</w:t>
      </w:r>
      <w:r>
        <w:rPr>
          <w:rFonts w:hint="eastAsia" w:hAnsi="宋体"/>
          <w:color w:val="auto"/>
          <w:highlight w:val="none"/>
        </w:rPr>
        <w:t>；</w:t>
      </w:r>
    </w:p>
    <w:p w14:paraId="4538400F">
      <w:pPr>
        <w:widowControl/>
        <w:shd w:val="clear" w:color="auto" w:fill="FFFFFF"/>
        <w:spacing w:line="480" w:lineRule="atLeast"/>
        <w:ind w:firstLine="640"/>
        <w:rPr>
          <w:rFonts w:hAnsi="宋体"/>
          <w:color w:val="auto"/>
          <w:highlight w:val="none"/>
        </w:rPr>
      </w:pPr>
      <w:r>
        <w:rPr>
          <w:rFonts w:hint="eastAsia" w:hAnsi="宋体"/>
          <w:color w:val="auto"/>
          <w:highlight w:val="none"/>
        </w:rPr>
        <w:t>（四）评审委员会基于专业判断，认为供应商报价过低，有可能影响产品质量或者不能诚信履约的其他情形。</w:t>
      </w:r>
    </w:p>
    <w:p w14:paraId="286A3779">
      <w:pPr>
        <w:widowControl/>
        <w:spacing w:line="560" w:lineRule="exact"/>
        <w:ind w:firstLine="420" w:firstLineChars="200"/>
        <w:jc w:val="left"/>
        <w:textAlignment w:val="baseline"/>
        <w:rPr>
          <w:rFonts w:hAnsi="宋体"/>
          <w:color w:val="auto"/>
          <w:highlight w:val="none"/>
        </w:rPr>
      </w:pPr>
      <w:r>
        <w:rPr>
          <w:rFonts w:hint="eastAsia" w:hAnsi="宋体"/>
          <w:color w:val="auto"/>
          <w:highlight w:val="none"/>
        </w:rPr>
        <w:t>评审委员会启动异常低价投标（响应）审查后，属于前述第（一）项至第（四）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w:t>
      </w:r>
      <w:r>
        <w:rPr>
          <w:rFonts w:hAnsi="宋体"/>
          <w:color w:val="auto"/>
          <w:highlight w:val="none"/>
        </w:rPr>
        <w:t>30</w:t>
      </w:r>
      <w:r>
        <w:rPr>
          <w:rFonts w:hint="eastAsia" w:hAnsi="宋体"/>
          <w:color w:val="auto"/>
          <w:highlight w:val="none"/>
        </w:rPr>
        <w:t>分钟。其中，属于第（三）项情形，供应商已随投标（响应）文件一并提交相关书面说明及必要的证明材料的，在评审现场可不再重复提交。</w:t>
      </w:r>
    </w:p>
    <w:p w14:paraId="5E092981">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29.评标方法及评标标准</w:t>
      </w:r>
    </w:p>
    <w:p w14:paraId="0F50B31E">
      <w:pPr>
        <w:spacing w:line="360" w:lineRule="auto"/>
        <w:ind w:firstLine="420" w:firstLineChars="200"/>
        <w:rPr>
          <w:rFonts w:hint="eastAsia" w:hAnsi="宋体"/>
          <w:color w:val="auto"/>
          <w:highlight w:val="none"/>
        </w:rPr>
      </w:pPr>
      <w:r>
        <w:rPr>
          <w:rFonts w:hAnsi="宋体"/>
          <w:color w:val="auto"/>
          <w:highlight w:val="none"/>
        </w:rPr>
        <w:t>29.1</w:t>
      </w:r>
      <w:r>
        <w:rPr>
          <w:rFonts w:hint="eastAsia" w:hAnsi="宋体"/>
          <w:color w:val="auto"/>
          <w:highlight w:val="none"/>
        </w:rPr>
        <w:t>本项目的评标方法详见“投标人须知前附表”。</w:t>
      </w:r>
    </w:p>
    <w:p w14:paraId="2B9972E2">
      <w:pPr>
        <w:spacing w:line="360" w:lineRule="auto"/>
        <w:ind w:firstLine="420" w:firstLineChars="200"/>
        <w:rPr>
          <w:rFonts w:hAnsi="宋体"/>
          <w:color w:val="auto"/>
          <w:highlight w:val="none"/>
        </w:rPr>
      </w:pPr>
      <w:r>
        <w:rPr>
          <w:rFonts w:hAnsi="宋体"/>
          <w:color w:val="auto"/>
          <w:highlight w:val="none"/>
        </w:rPr>
        <w:t>29.2</w:t>
      </w:r>
      <w:r>
        <w:rPr>
          <w:rFonts w:hAnsi="宋体" w:cs="宋体"/>
          <w:color w:val="auto"/>
          <w:highlight w:val="none"/>
        </w:rPr>
        <w:t xml:space="preserve"> </w:t>
      </w:r>
      <w:r>
        <w:rPr>
          <w:rFonts w:hint="eastAsia" w:hAnsi="宋体"/>
          <w:color w:val="auto"/>
          <w:highlight w:val="none"/>
        </w:rPr>
        <w:t>评标委员会按照</w:t>
      </w:r>
      <w:r>
        <w:rPr>
          <w:rFonts w:hint="eastAsia" w:hAnsi="宋体" w:cs="宋体"/>
          <w:b/>
          <w:color w:val="auto"/>
          <w:highlight w:val="none"/>
        </w:rPr>
        <w:t>“第四章</w:t>
      </w:r>
      <w:r>
        <w:rPr>
          <w:rFonts w:hAnsi="宋体" w:cs="宋体"/>
          <w:b/>
          <w:color w:val="auto"/>
          <w:highlight w:val="none"/>
        </w:rPr>
        <w:t xml:space="preserve"> </w:t>
      </w:r>
      <w:r>
        <w:rPr>
          <w:rFonts w:hint="eastAsia" w:hAnsi="宋体" w:cs="宋体"/>
          <w:b/>
          <w:color w:val="auto"/>
          <w:highlight w:val="none"/>
        </w:rPr>
        <w:t>评标方法和评标标准”</w:t>
      </w:r>
      <w:r>
        <w:rPr>
          <w:rFonts w:hint="eastAsia" w:hAnsi="宋体"/>
          <w:color w:val="auto"/>
          <w:highlight w:val="none"/>
        </w:rPr>
        <w:t>规定的方法、评审因素、标准和程序对投标文件进行评审。</w:t>
      </w:r>
    </w:p>
    <w:p w14:paraId="3A8A4D57">
      <w:pPr>
        <w:spacing w:line="360" w:lineRule="auto"/>
        <w:ind w:firstLine="420" w:firstLineChars="200"/>
        <w:rPr>
          <w:rFonts w:hAnsi="宋体"/>
          <w:color w:val="auto"/>
          <w:highlight w:val="none"/>
        </w:rPr>
      </w:pPr>
      <w:r>
        <w:rPr>
          <w:rFonts w:hAnsi="宋体"/>
          <w:color w:val="auto"/>
          <w:highlight w:val="none"/>
        </w:rPr>
        <w:t xml:space="preserve">29.3 </w:t>
      </w:r>
      <w:r>
        <w:rPr>
          <w:rFonts w:hint="eastAsia" w:hAnsi="宋体"/>
          <w:color w:val="auto"/>
          <w:highlight w:val="none"/>
        </w:rPr>
        <w:t>电子交易活动的中止。采购过程中出现以下情形，导致电子交易平台无法正常运行，或者无法保证电子交易的公平、公正和安全时，采购机构可中止电子交易活动：</w:t>
      </w:r>
    </w:p>
    <w:p w14:paraId="6300233D">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1</w:t>
      </w:r>
      <w:r>
        <w:rPr>
          <w:rFonts w:hint="eastAsia" w:hAnsi="宋体"/>
          <w:color w:val="auto"/>
          <w:highlight w:val="none"/>
        </w:rPr>
        <w:t>）电子交易平台发生故障而无法登录访问的；</w:t>
      </w:r>
      <w:r>
        <w:rPr>
          <w:rFonts w:hAnsi="宋体"/>
          <w:color w:val="auto"/>
          <w:highlight w:val="none"/>
        </w:rPr>
        <w:t xml:space="preserve"> </w:t>
      </w:r>
    </w:p>
    <w:p w14:paraId="34485467">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2</w:t>
      </w:r>
      <w:r>
        <w:rPr>
          <w:rFonts w:hint="eastAsia" w:hAnsi="宋体"/>
          <w:color w:val="auto"/>
          <w:highlight w:val="none"/>
        </w:rPr>
        <w:t>）电子交易平台应用或数据库出现错误，不能进行正常操作的；</w:t>
      </w:r>
    </w:p>
    <w:p w14:paraId="533C6BC5">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3</w:t>
      </w:r>
      <w:r>
        <w:rPr>
          <w:rFonts w:hint="eastAsia" w:hAnsi="宋体"/>
          <w:color w:val="auto"/>
          <w:highlight w:val="none"/>
        </w:rPr>
        <w:t>）电子交易平台发现严重安全漏洞，有潜在泄密危险的；</w:t>
      </w:r>
    </w:p>
    <w:p w14:paraId="42931C44">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4</w:t>
      </w:r>
      <w:r>
        <w:rPr>
          <w:rFonts w:hint="eastAsia" w:hAnsi="宋体"/>
          <w:color w:val="auto"/>
          <w:highlight w:val="none"/>
        </w:rPr>
        <w:t>）病毒发作导致不能进行正常操作的；</w:t>
      </w:r>
      <w:r>
        <w:rPr>
          <w:rFonts w:hAnsi="宋体"/>
          <w:color w:val="auto"/>
          <w:highlight w:val="none"/>
        </w:rPr>
        <w:t xml:space="preserve"> </w:t>
      </w:r>
    </w:p>
    <w:p w14:paraId="0E27E0AC">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4</w:t>
      </w:r>
      <w:r>
        <w:rPr>
          <w:rFonts w:hint="eastAsia" w:hAnsi="宋体"/>
          <w:color w:val="auto"/>
          <w:highlight w:val="none"/>
        </w:rPr>
        <w:t>）其他无法保证电子交易的公平、公正和安全的情况。</w:t>
      </w:r>
    </w:p>
    <w:p w14:paraId="7238CD1E">
      <w:pPr>
        <w:spacing w:line="360" w:lineRule="auto"/>
        <w:ind w:firstLine="420" w:firstLineChars="200"/>
        <w:rPr>
          <w:rFonts w:hAnsi="宋体"/>
          <w:color w:val="auto"/>
          <w:highlight w:val="none"/>
        </w:rPr>
      </w:pPr>
      <w:r>
        <w:rPr>
          <w:rFonts w:hAnsi="宋体"/>
          <w:color w:val="auto"/>
          <w:highlight w:val="none"/>
        </w:rPr>
        <w:t>29.4</w:t>
      </w:r>
      <w:r>
        <w:rPr>
          <w:rFonts w:hint="eastAsia" w:hAnsi="宋体"/>
          <w:color w:val="auto"/>
          <w:highlight w:val="none"/>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18BF84FA">
      <w:pPr>
        <w:snapToGrid w:val="0"/>
        <w:spacing w:line="400" w:lineRule="exact"/>
        <w:ind w:firstLine="420" w:firstLineChars="200"/>
        <w:rPr>
          <w:rFonts w:ascii="宋体" w:hAnsi="宋体"/>
          <w:color w:val="auto"/>
          <w:szCs w:val="20"/>
          <w:highlight w:val="none"/>
        </w:rPr>
      </w:pPr>
    </w:p>
    <w:p w14:paraId="347331EC">
      <w:pPr>
        <w:pStyle w:val="4"/>
        <w:keepNext w:val="0"/>
        <w:keepLines w:val="0"/>
        <w:spacing w:line="400" w:lineRule="exact"/>
        <w:jc w:val="center"/>
        <w:rPr>
          <w:rFonts w:hint="eastAsia"/>
          <w:color w:val="auto"/>
          <w:highlight w:val="none"/>
        </w:rPr>
      </w:pPr>
      <w:bookmarkStart w:id="120" w:name="_Toc254970687"/>
      <w:bookmarkStart w:id="121" w:name="_Toc254970546"/>
      <w:bookmarkStart w:id="122" w:name="_Toc31867"/>
      <w:r>
        <w:rPr>
          <w:rFonts w:hint="eastAsia"/>
          <w:color w:val="auto"/>
          <w:highlight w:val="none"/>
        </w:rPr>
        <w:t>七、</w:t>
      </w:r>
      <w:bookmarkEnd w:id="120"/>
      <w:bookmarkEnd w:id="121"/>
      <w:r>
        <w:rPr>
          <w:rFonts w:hint="eastAsia"/>
          <w:color w:val="auto"/>
          <w:highlight w:val="none"/>
        </w:rPr>
        <w:t>中标和合同</w:t>
      </w:r>
      <w:bookmarkEnd w:id="122"/>
    </w:p>
    <w:p w14:paraId="06C9BFAA">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30.确定中标人</w:t>
      </w:r>
    </w:p>
    <w:p w14:paraId="2590A592">
      <w:pPr>
        <w:spacing w:line="360" w:lineRule="auto"/>
        <w:ind w:firstLine="422" w:firstLineChars="200"/>
        <w:rPr>
          <w:rFonts w:hint="eastAsia" w:ascii="宋体" w:hAnsi="宋体" w:cs="Courier New"/>
          <w:b/>
          <w:bCs/>
          <w:color w:val="auto"/>
          <w:szCs w:val="21"/>
          <w:highlight w:val="none"/>
        </w:rPr>
      </w:pPr>
      <w:r>
        <w:rPr>
          <w:rFonts w:hint="eastAsia" w:ascii="宋体" w:hAnsi="宋体" w:cs="Courier New"/>
          <w:b/>
          <w:bCs/>
          <w:color w:val="auto"/>
          <w:szCs w:val="21"/>
          <w:highlight w:val="none"/>
        </w:rPr>
        <w:t>30.1本项目授权评标委员会直接按第四章“评标方法及标准”的规定排列中标候选人顺序，并依照次序确定中标人。</w:t>
      </w:r>
    </w:p>
    <w:p w14:paraId="667CC2BB">
      <w:pPr>
        <w:spacing w:line="360" w:lineRule="auto"/>
        <w:ind w:firstLine="420" w:firstLineChars="200"/>
        <w:rPr>
          <w:rFonts w:hint="eastAsia" w:ascii="宋体" w:hAnsi="宋体" w:cs="Courier New"/>
          <w:color w:val="auto"/>
          <w:szCs w:val="21"/>
          <w:highlight w:val="none"/>
        </w:rPr>
      </w:pPr>
      <w:r>
        <w:rPr>
          <w:rFonts w:hint="eastAsia" w:ascii="宋体" w:hAnsi="宋体" w:cs="Courier New"/>
          <w:color w:val="auto"/>
          <w:szCs w:val="21"/>
          <w:highlight w:val="none"/>
        </w:rPr>
        <w:t>30.2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14:paraId="7CCA5550">
      <w:pPr>
        <w:spacing w:line="360" w:lineRule="auto"/>
        <w:ind w:firstLine="420" w:firstLineChars="200"/>
        <w:rPr>
          <w:rFonts w:hint="eastAsia" w:ascii="宋体" w:hAnsi="宋体" w:cs="Courier New"/>
          <w:color w:val="auto"/>
          <w:szCs w:val="21"/>
          <w:highlight w:val="none"/>
        </w:rPr>
      </w:pPr>
      <w:r>
        <w:rPr>
          <w:rFonts w:hint="eastAsia" w:ascii="宋体" w:hAnsi="宋体" w:cs="Courier New"/>
          <w:color w:val="auto"/>
          <w:szCs w:val="21"/>
          <w:highlight w:val="none"/>
        </w:rPr>
        <w:t>30.3中标供应商无正当理由拒签合同的，根据《中华人民共和国政府采购法》第七十七条第一款规定处理。</w:t>
      </w:r>
    </w:p>
    <w:p w14:paraId="5AD6DE75">
      <w:pPr>
        <w:spacing w:line="360" w:lineRule="auto"/>
        <w:ind w:firstLine="420" w:firstLineChars="200"/>
        <w:rPr>
          <w:rFonts w:hint="eastAsia" w:ascii="宋体" w:hAnsi="宋体" w:cs="Courier New"/>
          <w:color w:val="auto"/>
          <w:szCs w:val="21"/>
          <w:highlight w:val="none"/>
        </w:rPr>
      </w:pPr>
      <w:r>
        <w:rPr>
          <w:rFonts w:hint="eastAsia" w:ascii="宋体" w:hAnsi="宋体" w:cs="Courier New"/>
          <w:color w:val="auto"/>
          <w:szCs w:val="21"/>
          <w:highlight w:val="none"/>
        </w:rPr>
        <w:t>30.4根据《中华人民共和国民法典》</w:t>
      </w:r>
      <w:r>
        <w:rPr>
          <w:rFonts w:hint="eastAsia"/>
          <w:color w:val="auto"/>
          <w:sz w:val="19"/>
          <w:szCs w:val="19"/>
          <w:highlight w:val="none"/>
        </w:rPr>
        <w:t>第五百六十三条</w:t>
      </w:r>
      <w:r>
        <w:rPr>
          <w:rFonts w:hint="eastAsia" w:ascii="宋体" w:hAnsi="宋体" w:cs="Courier New"/>
          <w:color w:val="auto"/>
          <w:szCs w:val="21"/>
          <w:highlight w:val="none"/>
        </w:rPr>
        <w:t>，因不可抗力致使不能实现合同目的的，当事人可以解除合同。</w:t>
      </w:r>
    </w:p>
    <w:p w14:paraId="10EBF1CE">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31. 结果公告</w:t>
      </w:r>
    </w:p>
    <w:p w14:paraId="6F8DA8B3">
      <w:pPr>
        <w:spacing w:line="360" w:lineRule="auto"/>
        <w:ind w:firstLine="420" w:firstLineChars="200"/>
        <w:rPr>
          <w:rFonts w:hint="eastAsia" w:hAnsi="宋体" w:cs="宋体"/>
          <w:color w:val="auto"/>
          <w:highlight w:val="none"/>
        </w:rPr>
      </w:pPr>
      <w:r>
        <w:rPr>
          <w:rFonts w:hAnsi="宋体"/>
          <w:color w:val="auto"/>
          <w:szCs w:val="21"/>
          <w:highlight w:val="none"/>
        </w:rPr>
        <w:t>31.1</w:t>
      </w:r>
      <w:r>
        <w:rPr>
          <w:rFonts w:hint="eastAsia" w:hAnsi="宋体" w:cs="宋体"/>
          <w:color w:val="auto"/>
          <w:highlight w:val="none"/>
        </w:rPr>
        <w:t>在中标供应商</w:t>
      </w:r>
      <w:r>
        <w:rPr>
          <w:rFonts w:hint="eastAsia" w:hAnsi="宋体" w:cs="Arial"/>
          <w:color w:val="auto"/>
          <w:highlight w:val="none"/>
        </w:rPr>
        <w:t>确定之日起</w:t>
      </w:r>
      <w:r>
        <w:rPr>
          <w:rFonts w:hAnsi="宋体" w:cs="宋体"/>
          <w:color w:val="auto"/>
          <w:highlight w:val="none"/>
        </w:rPr>
        <w:t>2</w:t>
      </w:r>
      <w:r>
        <w:rPr>
          <w:rFonts w:hint="eastAsia" w:hAnsi="宋体" w:cs="宋体"/>
          <w:color w:val="auto"/>
          <w:highlight w:val="none"/>
        </w:rPr>
        <w:t>个工作日内，由采购代理机构</w:t>
      </w:r>
      <w:r>
        <w:rPr>
          <w:rFonts w:hint="eastAsia" w:hAnsi="宋体"/>
          <w:b/>
          <w:color w:val="auto"/>
          <w:szCs w:val="21"/>
          <w:highlight w:val="none"/>
        </w:rPr>
        <w:t>在招标公告发布媒体上</w:t>
      </w:r>
      <w:r>
        <w:rPr>
          <w:rFonts w:hint="eastAsia" w:hAnsi="宋体" w:cs="宋体"/>
          <w:color w:val="auto"/>
          <w:highlight w:val="none"/>
        </w:rPr>
        <w:t>发布中标结果公告，中标结果公告期限为</w:t>
      </w:r>
      <w:r>
        <w:rPr>
          <w:rFonts w:hAnsi="宋体" w:cs="宋体"/>
          <w:color w:val="auto"/>
          <w:highlight w:val="none"/>
        </w:rPr>
        <w:t>1</w:t>
      </w:r>
      <w:r>
        <w:rPr>
          <w:rFonts w:hint="eastAsia" w:hAnsi="宋体" w:cs="宋体"/>
          <w:color w:val="auto"/>
          <w:highlight w:val="none"/>
        </w:rPr>
        <w:t>个工作日，发布中标结果公告的同时向中标供应商发出中标通知书。</w:t>
      </w:r>
      <w:r>
        <w:rPr>
          <w:rFonts w:hint="eastAsia" w:hAnsi="宋体"/>
          <w:b/>
          <w:color w:val="auto"/>
          <w:szCs w:val="21"/>
          <w:highlight w:val="none"/>
        </w:rPr>
        <w:t>采购代理机构发出中标通知书前，应当对中标人信用进行核实，对列入失信被执行人、重大税收违法案件当事人名单、政府采购严重违法失信行为记录名单及其他不符合《中华人民共和国政府采购法》第二十二条规定条件的投标人，取消其中标资格，并确定排名第二的中标候选人为中标人。</w:t>
      </w:r>
      <w:r>
        <w:rPr>
          <w:rFonts w:hint="eastAsia" w:hAnsi="宋体"/>
          <w:color w:val="auto"/>
          <w:szCs w:val="21"/>
          <w:highlight w:val="none"/>
        </w:rPr>
        <w:t>排名第二的中标候选人因前款规定的同样原因被取消中标资格的，</w:t>
      </w:r>
      <w:r>
        <w:rPr>
          <w:rFonts w:hint="eastAsia" w:hAnsi="宋体" w:cs="Courier New"/>
          <w:color w:val="auto"/>
          <w:szCs w:val="21"/>
          <w:highlight w:val="none"/>
        </w:rPr>
        <w:t>授权的评标委员会</w:t>
      </w:r>
      <w:r>
        <w:rPr>
          <w:rFonts w:hint="eastAsia" w:hAnsi="宋体"/>
          <w:color w:val="auto"/>
          <w:szCs w:val="21"/>
          <w:highlight w:val="none"/>
        </w:rPr>
        <w:t>可以确定排名第三的中标候选人为中标人，以此类推。</w:t>
      </w:r>
    </w:p>
    <w:p w14:paraId="335B1C0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以上信息查询记录及相关证据与采购文件一并保存。</w:t>
      </w:r>
    </w:p>
    <w:p w14:paraId="355D64E9">
      <w:pPr>
        <w:spacing w:line="360" w:lineRule="auto"/>
        <w:ind w:firstLine="420" w:firstLineChars="200"/>
        <w:rPr>
          <w:rFonts w:hint="eastAsia" w:ascii="宋体" w:hAnsi="宋体" w:cs="Courier New"/>
          <w:color w:val="auto"/>
          <w:szCs w:val="21"/>
          <w:highlight w:val="none"/>
        </w:rPr>
      </w:pPr>
      <w:r>
        <w:rPr>
          <w:rFonts w:hint="eastAsia" w:ascii="宋体" w:hAnsi="宋体" w:cs="Courier New"/>
          <w:color w:val="auto"/>
          <w:szCs w:val="21"/>
          <w:highlight w:val="none"/>
        </w:rPr>
        <w:t>31.2中小企业在政府采购活动过程中，请根据企业的真实情况出具《中小企业声明函》。依法享受中小企业优惠政策的，采购人或者采购代理机构在公告中标结果时，同时公告其《中小企业声明函》，接受社会监督。</w:t>
      </w:r>
    </w:p>
    <w:p w14:paraId="32A8DE78">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32.发出中标通知书</w:t>
      </w:r>
    </w:p>
    <w:p w14:paraId="60678FB1">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32.1在发布中标公告的同时，采购代理机构向中标人通过“政采云”平台发出电子中标通知书。</w:t>
      </w:r>
    </w:p>
    <w:p w14:paraId="18B690AC">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32.2对未通过资格审查的投标人，采购人或采购机构应当告知其未通过的原因；采用综合评分办法评审的，采购人或采购机构还应当告知未中标人本人的评审得分与排序。</w:t>
      </w:r>
    </w:p>
    <w:p w14:paraId="43662402">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33. 无义务解释未中标原因</w:t>
      </w:r>
    </w:p>
    <w:p w14:paraId="5A9C337D">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采购代理机构无义务向未中标的投标人解释未中标原因和退还投标文件。</w:t>
      </w:r>
    </w:p>
    <w:p w14:paraId="37075C1B">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34.合同授予标准</w:t>
      </w:r>
    </w:p>
    <w:p w14:paraId="6D2CF716">
      <w:pPr>
        <w:spacing w:line="360" w:lineRule="auto"/>
        <w:ind w:firstLine="420" w:firstLineChars="200"/>
        <w:rPr>
          <w:rFonts w:hint="eastAsia" w:ascii="宋体" w:hAnsi="宋体"/>
          <w:color w:val="auto"/>
          <w:szCs w:val="21"/>
          <w:highlight w:val="none"/>
        </w:rPr>
      </w:pPr>
      <w:r>
        <w:rPr>
          <w:rFonts w:hint="eastAsia" w:ascii="宋体" w:hAnsi="宋体" w:cs="Courier New"/>
          <w:color w:val="auto"/>
          <w:szCs w:val="21"/>
          <w:highlight w:val="none"/>
        </w:rPr>
        <w:t>合同将授予被确定实质上响应招标文件要求，具备履行合同能力的中标人（招标文件另有约定多名中标人的除外）。</w:t>
      </w:r>
    </w:p>
    <w:p w14:paraId="437C173D">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35.履约保证金</w:t>
      </w:r>
    </w:p>
    <w:p w14:paraId="0D44BFFA">
      <w:pPr>
        <w:spacing w:line="360" w:lineRule="auto"/>
        <w:ind w:firstLine="420" w:firstLineChars="200"/>
        <w:rPr>
          <w:rFonts w:hint="eastAsia" w:ascii="宋体" w:hAnsi="宋体" w:cs="仿宋_GB2312"/>
          <w:color w:val="auto"/>
          <w:szCs w:val="21"/>
          <w:highlight w:val="none"/>
        </w:rPr>
      </w:pPr>
      <w:bookmarkStart w:id="123" w:name="_39.1中标人须于签订合同前按本须知前附表规定的金额转账或电汇到指定账"/>
      <w:bookmarkEnd w:id="123"/>
      <w:r>
        <w:rPr>
          <w:rFonts w:hint="eastAsia" w:ascii="宋体" w:hAnsi="宋体" w:cs="仿宋_GB2312"/>
          <w:color w:val="auto"/>
          <w:szCs w:val="21"/>
          <w:highlight w:val="none"/>
        </w:rPr>
        <w:t>见“投标人须知前附表”。</w:t>
      </w:r>
    </w:p>
    <w:p w14:paraId="1B7447A4">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36.签订合同</w:t>
      </w:r>
    </w:p>
    <w:p w14:paraId="476C5D6E">
      <w:pPr>
        <w:pStyle w:val="85"/>
        <w:snapToGrid w:val="0"/>
        <w:spacing w:before="0"/>
        <w:ind w:firstLine="422"/>
        <w:rPr>
          <w:rFonts w:hint="eastAsia" w:ascii="宋体" w:hAnsi="宋体"/>
          <w:color w:val="auto"/>
          <w:kern w:val="0"/>
          <w:sz w:val="21"/>
          <w:szCs w:val="21"/>
          <w:highlight w:val="none"/>
          <w:lang w:val="zh-CN"/>
        </w:rPr>
      </w:pPr>
      <w:bookmarkStart w:id="124" w:name="_40.1投标人接到中标通知书后，按须知前附表规定向采购人出示相关资格证"/>
      <w:bookmarkEnd w:id="124"/>
      <w:r>
        <w:rPr>
          <w:rFonts w:hint="eastAsia" w:ascii="宋体" w:hAnsi="宋体"/>
          <w:b/>
          <w:color w:val="auto"/>
          <w:sz w:val="21"/>
          <w:szCs w:val="21"/>
          <w:highlight w:val="none"/>
        </w:rPr>
        <w:t xml:space="preserve"> 36.1中标人领取电子中标通知书后，</w:t>
      </w:r>
      <w:r>
        <w:rPr>
          <w:rFonts w:hint="eastAsia" w:ascii="宋体" w:hAnsi="宋体"/>
          <w:color w:val="auto"/>
          <w:kern w:val="0"/>
          <w:sz w:val="21"/>
          <w:szCs w:val="21"/>
          <w:highlight w:val="none"/>
          <w:lang w:val="zh-CN"/>
        </w:rPr>
        <w:t>按规定的日期、时间、地点，由法定代表人或其授权代表与采购人代表签订电子采购合同。如中标人为联合体的，由联合体成员各方法定代表人或其授权代表与采购人代表签订合同，签订携带资料详见“投标人须知前附表”。</w:t>
      </w:r>
    </w:p>
    <w:p w14:paraId="1CD71717">
      <w:pPr>
        <w:pStyle w:val="85"/>
        <w:snapToGrid w:val="0"/>
        <w:spacing w:before="0"/>
        <w:ind w:firstLine="420"/>
        <w:rPr>
          <w:rFonts w:hint="eastAsia" w:ascii="宋体" w:hAnsi="宋体"/>
          <w:color w:val="auto"/>
          <w:kern w:val="0"/>
          <w:sz w:val="21"/>
          <w:szCs w:val="21"/>
          <w:highlight w:val="none"/>
          <w:lang w:val="zh-CN"/>
        </w:rPr>
      </w:pPr>
      <w:r>
        <w:rPr>
          <w:rFonts w:hint="eastAsia" w:ascii="宋体" w:hAnsi="宋体"/>
          <w:color w:val="auto"/>
          <w:kern w:val="0"/>
          <w:sz w:val="21"/>
          <w:szCs w:val="21"/>
          <w:highlight w:val="none"/>
          <w:lang w:val="zh-CN"/>
        </w:rPr>
        <w:t>36.2</w:t>
      </w:r>
      <w:r>
        <w:rPr>
          <w:rFonts w:hint="eastAsia" w:ascii="宋体" w:hAnsi="宋体" w:cs="仿宋_GB2312"/>
          <w:color w:val="auto"/>
          <w:sz w:val="21"/>
          <w:szCs w:val="21"/>
          <w:highlight w:val="none"/>
        </w:rPr>
        <w:t>采购合同由采购人与中标供应商根据招标文件、投标文件等内容通过政府采购电子交易平台在线签订，自动备案。</w:t>
      </w:r>
    </w:p>
    <w:p w14:paraId="679F4371">
      <w:pPr>
        <w:pStyle w:val="85"/>
        <w:snapToGrid w:val="0"/>
        <w:spacing w:before="0"/>
        <w:ind w:firstLine="420"/>
        <w:rPr>
          <w:rFonts w:hint="eastAsia" w:ascii="宋体" w:hAnsi="宋体" w:cs="仿宋_GB2312"/>
          <w:color w:val="auto"/>
          <w:sz w:val="21"/>
          <w:szCs w:val="21"/>
          <w:highlight w:val="none"/>
        </w:rPr>
      </w:pPr>
      <w:r>
        <w:rPr>
          <w:rFonts w:hint="eastAsia" w:ascii="宋体" w:hAnsi="宋体"/>
          <w:color w:val="auto"/>
          <w:sz w:val="21"/>
          <w:szCs w:val="21"/>
          <w:highlight w:val="none"/>
        </w:rPr>
        <w:t>36.3签订合同时间：按中标通知书规定的时间与采购人签订合同（最长不能超过25日）。</w:t>
      </w:r>
    </w:p>
    <w:p w14:paraId="0E37751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36.4中标人拒绝与采购人签订合同的，采购人可以按照评审报告推荐的中标候选人名单排序，确定下一候选人为中标人，也可以重新开展政府采购活动。如采购人无正当理由拒签合同的，给中标供应商造成损失的，中标供应商可追究采购人承担相应的法律责任。</w:t>
      </w:r>
    </w:p>
    <w:p w14:paraId="3DEB857A">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36.5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7BB12BBF">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36.6采购人或中标供应商不得单方面向合同另一方提出任何招标文件没有约定的条件或不合理的要求，作为签订合同的条件；也不得协商另行订立背离招标文件和合同实质性内容的协议。</w:t>
      </w:r>
    </w:p>
    <w:p w14:paraId="47A54654">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36.7</w:t>
      </w:r>
      <w:r>
        <w:rPr>
          <w:rFonts w:hint="eastAsia" w:ascii="宋体" w:hAnsi="宋体" w:cs="仿宋_GB2312"/>
          <w:color w:val="auto"/>
          <w:szCs w:val="21"/>
          <w:highlight w:val="none"/>
        </w:rPr>
        <w:t>如签订合同并生效后，供应商无故拒绝或延期，除按照合同条款处理外，将承担相应的法律责任。</w:t>
      </w:r>
    </w:p>
    <w:p w14:paraId="54811873">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36.8采购人需追加与合同标的相同的货物或者服务的，在不改变原合同条款且已报财政部门批准落实资金的前提下，可从原中标供应商处添购， 所签订的补充添置合同的采购资金总额不超过原采购合同金额的10%。</w:t>
      </w:r>
    </w:p>
    <w:p w14:paraId="01019E6C">
      <w:pPr>
        <w:pStyle w:val="22"/>
        <w:ind w:firstLine="422" w:firstLineChars="200"/>
        <w:rPr>
          <w:rFonts w:hint="eastAsia"/>
          <w:color w:val="auto"/>
          <w:highlight w:val="none"/>
        </w:rPr>
      </w:pPr>
      <w:r>
        <w:rPr>
          <w:rFonts w:hint="eastAsia" w:ascii="宋体" w:hAnsi="宋体"/>
          <w:b/>
          <w:color w:val="auto"/>
          <w:sz w:val="21"/>
          <w:szCs w:val="21"/>
          <w:highlight w:val="none"/>
        </w:rPr>
        <w:t>36.9 合同签订不接受合同专用章。</w:t>
      </w:r>
    </w:p>
    <w:p w14:paraId="6BCCF2E2">
      <w:pPr>
        <w:spacing w:line="360" w:lineRule="auto"/>
        <w:ind w:firstLine="480" w:firstLineChars="200"/>
        <w:rPr>
          <w:rFonts w:hint="eastAsia" w:ascii="黑体" w:hAnsi="黑体" w:eastAsia="黑体"/>
          <w:color w:val="auto"/>
          <w:sz w:val="24"/>
          <w:highlight w:val="none"/>
        </w:rPr>
      </w:pPr>
      <w:bookmarkStart w:id="125" w:name="_41.政府采购合同公告"/>
      <w:bookmarkEnd w:id="125"/>
      <w:r>
        <w:rPr>
          <w:rFonts w:hint="eastAsia" w:ascii="黑体" w:hAnsi="黑体" w:eastAsia="黑体"/>
          <w:color w:val="auto"/>
          <w:sz w:val="24"/>
          <w:highlight w:val="none"/>
        </w:rPr>
        <w:t>37.政府采购合同公告</w:t>
      </w:r>
    </w:p>
    <w:p w14:paraId="139E21BF">
      <w:pPr>
        <w:spacing w:line="360" w:lineRule="auto"/>
        <w:ind w:firstLine="420" w:firstLineChars="200"/>
        <w:rPr>
          <w:rFonts w:hint="eastAsia" w:ascii="宋体" w:hAnsi="宋体"/>
          <w:color w:val="auto"/>
          <w:highlight w:val="none"/>
        </w:rPr>
      </w:pPr>
      <w:r>
        <w:rPr>
          <w:rFonts w:hint="eastAsia" w:hAnsi="宋体"/>
          <w:color w:val="auto"/>
          <w:highlight w:val="none"/>
        </w:rPr>
        <w:t>采购人或者受托采购代理机构应当自政府采购合同签订之日起</w:t>
      </w:r>
      <w:r>
        <w:rPr>
          <w:rFonts w:hAnsi="宋体"/>
          <w:color w:val="auto"/>
          <w:highlight w:val="none"/>
        </w:rPr>
        <w:t>2</w:t>
      </w:r>
      <w:r>
        <w:rPr>
          <w:rFonts w:hint="eastAsia" w:hAnsi="宋体"/>
          <w:color w:val="auto"/>
          <w:highlight w:val="none"/>
        </w:rPr>
        <w:t>个工作日内，将政府采购合同</w:t>
      </w:r>
      <w:r>
        <w:rPr>
          <w:rFonts w:hint="eastAsia" w:ascii="宋体" w:hAnsi="宋体"/>
          <w:bCs/>
          <w:color w:val="auto"/>
          <w:highlight w:val="none"/>
        </w:rPr>
        <w:t>在以下媒体上发布</w:t>
      </w:r>
      <w:r>
        <w:rPr>
          <w:rFonts w:hint="eastAsia" w:ascii="宋体" w:hAnsi="宋体" w:cs="宋体"/>
          <w:color w:val="auto"/>
          <w:kern w:val="0"/>
          <w:szCs w:val="21"/>
          <w:highlight w:val="none"/>
        </w:rPr>
        <w:t xml:space="preserve"> “广西政府采购网”（http://zfcg.gxzf.gov.cn）</w:t>
      </w:r>
      <w:r>
        <w:rPr>
          <w:rFonts w:hint="eastAsia" w:hAnsi="宋体"/>
          <w:color w:val="auto"/>
          <w:highlight w:val="none"/>
        </w:rPr>
        <w:t>上公告，但政府采购合同中涉及国家秘密、商业秘密的内容除外。</w:t>
      </w:r>
    </w:p>
    <w:p w14:paraId="7441B356">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38. 询问、质疑和投诉</w:t>
      </w:r>
    </w:p>
    <w:p w14:paraId="513360F3">
      <w:pPr>
        <w:spacing w:line="360" w:lineRule="auto"/>
        <w:ind w:firstLine="422" w:firstLineChars="200"/>
        <w:rPr>
          <w:rFonts w:hint="eastAsia" w:hAnsi="宋体"/>
          <w:b/>
          <w:color w:val="auto"/>
          <w:szCs w:val="21"/>
          <w:highlight w:val="none"/>
        </w:rPr>
      </w:pPr>
      <w:r>
        <w:rPr>
          <w:rFonts w:hAnsi="宋体"/>
          <w:b/>
          <w:color w:val="auto"/>
          <w:szCs w:val="21"/>
          <w:highlight w:val="none"/>
        </w:rPr>
        <w:t>38.1</w:t>
      </w:r>
      <w:r>
        <w:rPr>
          <w:rFonts w:hint="eastAsia" w:hAnsi="宋体"/>
          <w:b/>
          <w:color w:val="auto"/>
          <w:szCs w:val="21"/>
          <w:highlight w:val="none"/>
        </w:rPr>
        <w:t>询问</w:t>
      </w:r>
    </w:p>
    <w:p w14:paraId="04897C8A">
      <w:pPr>
        <w:spacing w:line="360" w:lineRule="auto"/>
        <w:ind w:firstLine="420" w:firstLineChars="200"/>
        <w:rPr>
          <w:rFonts w:hAnsi="宋体"/>
          <w:bCs/>
          <w:color w:val="auto"/>
          <w:szCs w:val="21"/>
          <w:highlight w:val="none"/>
        </w:rPr>
      </w:pPr>
      <w:r>
        <w:rPr>
          <w:rFonts w:hAnsi="宋体"/>
          <w:bCs/>
          <w:color w:val="auto"/>
          <w:szCs w:val="21"/>
          <w:highlight w:val="none"/>
        </w:rPr>
        <w:t>38.1.1</w:t>
      </w:r>
      <w:r>
        <w:rPr>
          <w:rFonts w:hint="eastAsia" w:hAnsi="宋体"/>
          <w:bCs/>
          <w:color w:val="auto"/>
          <w:szCs w:val="21"/>
          <w:highlight w:val="none"/>
        </w:rPr>
        <w:t>供应商在开标前对政府采购活动事项有疑问的，可以向采购人或采购代理机构项目负责人提出询问。</w:t>
      </w:r>
    </w:p>
    <w:p w14:paraId="40D5118F">
      <w:pPr>
        <w:spacing w:line="360" w:lineRule="auto"/>
        <w:ind w:firstLine="420" w:firstLineChars="200"/>
        <w:rPr>
          <w:rFonts w:hAnsi="宋体"/>
          <w:bCs/>
          <w:color w:val="auto"/>
          <w:szCs w:val="21"/>
          <w:highlight w:val="none"/>
        </w:rPr>
      </w:pPr>
      <w:r>
        <w:rPr>
          <w:rFonts w:hAnsi="宋体"/>
          <w:bCs/>
          <w:color w:val="auto"/>
          <w:szCs w:val="21"/>
          <w:highlight w:val="none"/>
        </w:rPr>
        <w:t>38.1.2</w:t>
      </w:r>
      <w:r>
        <w:rPr>
          <w:rFonts w:hint="eastAsia" w:hAnsi="宋体"/>
          <w:bCs/>
          <w:color w:val="auto"/>
          <w:szCs w:val="21"/>
          <w:highlight w:val="none"/>
        </w:rPr>
        <w:t>采购人或采购人委托的采购代理机构自受理询问之日起</w:t>
      </w:r>
      <w:r>
        <w:rPr>
          <w:rFonts w:hAnsi="宋体"/>
          <w:bCs/>
          <w:color w:val="auto"/>
          <w:szCs w:val="21"/>
          <w:highlight w:val="none"/>
        </w:rPr>
        <w:t>3</w:t>
      </w:r>
      <w:r>
        <w:rPr>
          <w:rFonts w:hint="eastAsia" w:hAnsi="宋体"/>
          <w:bCs/>
          <w:color w:val="auto"/>
          <w:szCs w:val="21"/>
          <w:highlight w:val="none"/>
        </w:rPr>
        <w:t>个工作日内对供应商依法提出的询问作出答复，</w:t>
      </w:r>
      <w:r>
        <w:rPr>
          <w:rFonts w:hint="eastAsia"/>
          <w:color w:val="auto"/>
          <w:highlight w:val="none"/>
        </w:rPr>
        <w:t>但答复内容不得涉及商业秘密</w:t>
      </w:r>
      <w:r>
        <w:rPr>
          <w:rFonts w:hint="eastAsia" w:hAnsi="宋体"/>
          <w:bCs/>
          <w:color w:val="auto"/>
          <w:szCs w:val="21"/>
          <w:highlight w:val="none"/>
        </w:rPr>
        <w:t>。</w:t>
      </w:r>
    </w:p>
    <w:p w14:paraId="2C45F401">
      <w:pPr>
        <w:spacing w:line="360" w:lineRule="auto"/>
        <w:ind w:firstLine="420" w:firstLineChars="200"/>
        <w:rPr>
          <w:rFonts w:hAnsi="宋体"/>
          <w:bCs/>
          <w:color w:val="auto"/>
          <w:szCs w:val="21"/>
          <w:highlight w:val="none"/>
        </w:rPr>
      </w:pPr>
      <w:r>
        <w:rPr>
          <w:rFonts w:hAnsi="宋体"/>
          <w:bCs/>
          <w:color w:val="auto"/>
          <w:szCs w:val="21"/>
          <w:highlight w:val="none"/>
        </w:rPr>
        <w:t xml:space="preserve">38.1.3 </w:t>
      </w:r>
      <w:r>
        <w:rPr>
          <w:rFonts w:hint="eastAsia" w:hAnsi="宋体"/>
          <w:bCs/>
          <w:color w:val="auto"/>
          <w:szCs w:val="21"/>
          <w:highlight w:val="none"/>
        </w:rPr>
        <w:t>询问事项可能影响中标、成交结果的，采购人应当暂停签订合同，已经签订合同的，应当中止履行合同。</w:t>
      </w:r>
    </w:p>
    <w:p w14:paraId="71A2C680">
      <w:pPr>
        <w:spacing w:line="360" w:lineRule="auto"/>
        <w:ind w:firstLine="422" w:firstLineChars="200"/>
        <w:rPr>
          <w:rFonts w:ascii="宋体" w:hAnsi="宋体"/>
          <w:color w:val="auto"/>
          <w:szCs w:val="21"/>
          <w:highlight w:val="none"/>
        </w:rPr>
      </w:pPr>
      <w:r>
        <w:rPr>
          <w:rFonts w:hint="eastAsia" w:ascii="宋体" w:hAnsi="宋体"/>
          <w:b/>
          <w:color w:val="auto"/>
          <w:szCs w:val="21"/>
          <w:highlight w:val="none"/>
        </w:rPr>
        <w:t xml:space="preserve"> </w:t>
      </w:r>
      <w:r>
        <w:rPr>
          <w:rFonts w:hint="eastAsia" w:ascii="宋体" w:hAnsi="宋体"/>
          <w:color w:val="auto"/>
          <w:szCs w:val="21"/>
          <w:highlight w:val="none"/>
        </w:rPr>
        <w:t>38.2质疑</w:t>
      </w:r>
    </w:p>
    <w:p w14:paraId="329B1654">
      <w:pPr>
        <w:spacing w:line="360" w:lineRule="auto"/>
        <w:ind w:firstLine="420" w:firstLineChars="200"/>
        <w:rPr>
          <w:rFonts w:hint="eastAsia" w:ascii="宋体" w:hAnsi="宋体"/>
          <w:b/>
          <w:color w:val="auto"/>
          <w:szCs w:val="21"/>
          <w:highlight w:val="none"/>
        </w:rPr>
      </w:pPr>
      <w:r>
        <w:rPr>
          <w:rFonts w:hint="eastAsia" w:ascii="宋体" w:hAnsi="宋体"/>
          <w:color w:val="auto"/>
          <w:szCs w:val="21"/>
          <w:highlight w:val="none"/>
        </w:rPr>
        <w:t>38.2.1</w:t>
      </w:r>
      <w:r>
        <w:rPr>
          <w:rFonts w:hint="eastAsia" w:ascii="宋体" w:hAnsi="宋体"/>
          <w:b/>
          <w:color w:val="auto"/>
          <w:szCs w:val="21"/>
          <w:highlight w:val="none"/>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14:paraId="7E11BEF2">
      <w:pPr>
        <w:spacing w:line="360" w:lineRule="auto"/>
        <w:ind w:firstLine="420" w:firstLineChars="200"/>
        <w:rPr>
          <w:rFonts w:hint="eastAsia" w:hAnsi="宋体"/>
          <w:bCs/>
          <w:color w:val="auto"/>
          <w:highlight w:val="none"/>
        </w:rPr>
      </w:pPr>
      <w:r>
        <w:rPr>
          <w:rFonts w:hint="eastAsia" w:hAnsi="宋体"/>
          <w:bCs/>
          <w:color w:val="auto"/>
          <w:highlight w:val="none"/>
        </w:rPr>
        <w:t>（</w:t>
      </w:r>
      <w:r>
        <w:rPr>
          <w:rFonts w:hAnsi="宋体"/>
          <w:bCs/>
          <w:color w:val="auto"/>
          <w:highlight w:val="none"/>
        </w:rPr>
        <w:t>1</w:t>
      </w:r>
      <w:r>
        <w:rPr>
          <w:rFonts w:hint="eastAsia" w:hAnsi="宋体"/>
          <w:bCs/>
          <w:color w:val="auto"/>
          <w:highlight w:val="none"/>
        </w:rPr>
        <w:t>）潜在供应商依法获取公开招标文件后，认为采购文件使自己的权益受到损害的，应当在公开招标文件公告期限届满之日起</w:t>
      </w:r>
      <w:r>
        <w:rPr>
          <w:rFonts w:hAnsi="宋体"/>
          <w:bCs/>
          <w:color w:val="auto"/>
          <w:highlight w:val="none"/>
        </w:rPr>
        <w:t>7</w:t>
      </w:r>
      <w:r>
        <w:rPr>
          <w:rFonts w:hint="eastAsia" w:hAnsi="宋体"/>
          <w:bCs/>
          <w:color w:val="auto"/>
          <w:highlight w:val="none"/>
        </w:rPr>
        <w:t>个工作日内提出质疑。</w:t>
      </w:r>
      <w:r>
        <w:rPr>
          <w:rFonts w:hint="eastAsia"/>
          <w:color w:val="auto"/>
          <w:highlight w:val="none"/>
        </w:rPr>
        <w:t>委托代理协议无特殊约定的，</w:t>
      </w:r>
      <w:r>
        <w:rPr>
          <w:rFonts w:hint="eastAsia" w:hAnsi="宋体"/>
          <w:bCs/>
          <w:color w:val="auto"/>
          <w:highlight w:val="none"/>
        </w:rPr>
        <w:t>对公开招标文件中采购需求（含资格要求、采购预算和评分办法）的质疑由采购人受理并负责答复；对公开招标文件中的采购执行程序的质疑由采购代理机构受理并负责答复。</w:t>
      </w:r>
    </w:p>
    <w:p w14:paraId="7884B2C1">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2</w:t>
      </w:r>
      <w:r>
        <w:rPr>
          <w:rFonts w:hint="eastAsia" w:hAnsi="宋体"/>
          <w:bCs/>
          <w:color w:val="auto"/>
          <w:highlight w:val="none"/>
        </w:rPr>
        <w:t>）供应商认为采购过程使自己的权益受到损害的，应当在各采购程序环节结束之日起</w:t>
      </w:r>
      <w:r>
        <w:rPr>
          <w:rFonts w:hAnsi="宋体"/>
          <w:bCs/>
          <w:color w:val="auto"/>
          <w:highlight w:val="none"/>
        </w:rPr>
        <w:t>7</w:t>
      </w:r>
      <w:r>
        <w:rPr>
          <w:rFonts w:hint="eastAsia" w:hAnsi="宋体"/>
          <w:bCs/>
          <w:color w:val="auto"/>
          <w:highlight w:val="none"/>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775FB711">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3</w:t>
      </w:r>
      <w:r>
        <w:rPr>
          <w:rFonts w:hint="eastAsia" w:hAnsi="宋体"/>
          <w:bCs/>
          <w:color w:val="auto"/>
          <w:highlight w:val="none"/>
        </w:rPr>
        <w:t>）供应商认为中标或者成交结果使自己的权益受到损害的，应当在中标或者成交结果公告期限届满之日起</w:t>
      </w:r>
      <w:r>
        <w:rPr>
          <w:rFonts w:hAnsi="宋体"/>
          <w:bCs/>
          <w:color w:val="auto"/>
          <w:highlight w:val="none"/>
        </w:rPr>
        <w:t>7</w:t>
      </w:r>
      <w:r>
        <w:rPr>
          <w:rFonts w:hint="eastAsia" w:hAnsi="宋体"/>
          <w:bCs/>
          <w:color w:val="auto"/>
          <w:highlight w:val="none"/>
        </w:rPr>
        <w:t>个工作日内提出质疑，由采购人受理并负责答复。</w:t>
      </w:r>
    </w:p>
    <w:p w14:paraId="146A9AC9">
      <w:pPr>
        <w:spacing w:line="360" w:lineRule="auto"/>
        <w:ind w:firstLine="422" w:firstLineChars="200"/>
        <w:rPr>
          <w:rFonts w:hAnsi="宋体"/>
          <w:bCs/>
          <w:color w:val="auto"/>
          <w:szCs w:val="21"/>
          <w:highlight w:val="none"/>
        </w:rPr>
      </w:pPr>
      <w:r>
        <w:rPr>
          <w:rFonts w:hAnsi="宋体"/>
          <w:b/>
          <w:bCs/>
          <w:color w:val="auto"/>
          <w:szCs w:val="21"/>
          <w:highlight w:val="none"/>
        </w:rPr>
        <w:t>38.2.2</w:t>
      </w:r>
      <w:r>
        <w:rPr>
          <w:rFonts w:hint="eastAsia" w:hAnsi="宋体"/>
          <w:bCs/>
          <w:color w:val="auto"/>
          <w:szCs w:val="21"/>
          <w:highlight w:val="none"/>
        </w:rPr>
        <w:t>供应商质疑实行实名制，其质疑应当有具体的质疑事项及事实根据，质疑应当坚持依法依规、诚实信用原则，不得进行虚假、恶意质疑。</w:t>
      </w:r>
    </w:p>
    <w:p w14:paraId="72E32170">
      <w:pPr>
        <w:spacing w:line="360" w:lineRule="auto"/>
        <w:ind w:firstLine="422" w:firstLineChars="200"/>
        <w:rPr>
          <w:rFonts w:hAnsi="宋体"/>
          <w:bCs/>
          <w:color w:val="auto"/>
          <w:highlight w:val="none"/>
        </w:rPr>
      </w:pPr>
      <w:r>
        <w:rPr>
          <w:rFonts w:hAnsi="宋体"/>
          <w:b/>
          <w:bCs/>
          <w:color w:val="auto"/>
          <w:highlight w:val="none"/>
        </w:rPr>
        <w:t>38.2.3</w:t>
      </w:r>
      <w:r>
        <w:rPr>
          <w:rFonts w:hAnsi="宋体"/>
          <w:bCs/>
          <w:color w:val="auto"/>
          <w:highlight w:val="none"/>
        </w:rPr>
        <w:t xml:space="preserve"> </w:t>
      </w:r>
      <w:r>
        <w:rPr>
          <w:rFonts w:hint="eastAsia" w:hAnsi="宋体"/>
          <w:bCs/>
          <w:color w:val="auto"/>
          <w:highlight w:val="none"/>
        </w:rPr>
        <w:t>质疑供应商可以委托代理人办理质疑事务。委托代理人应熟悉相关业务情况。代理人办理质疑事务时，除提交质疑书外，还应当提交质疑供应商的授权委托书和委托代理人身份证明复印件</w:t>
      </w:r>
      <w:r>
        <w:rPr>
          <w:rFonts w:hint="eastAsia" w:hAnsi="宋体"/>
          <w:color w:val="auto"/>
          <w:highlight w:val="none"/>
        </w:rPr>
        <w:t>。</w:t>
      </w:r>
    </w:p>
    <w:p w14:paraId="0DC18145">
      <w:pPr>
        <w:spacing w:line="360" w:lineRule="auto"/>
        <w:ind w:firstLine="422" w:firstLineChars="200"/>
        <w:rPr>
          <w:rFonts w:hAnsi="宋体"/>
          <w:b/>
          <w:bCs/>
          <w:color w:val="auto"/>
          <w:highlight w:val="none"/>
        </w:rPr>
      </w:pPr>
      <w:r>
        <w:rPr>
          <w:rFonts w:hAnsi="宋体"/>
          <w:b/>
          <w:bCs/>
          <w:color w:val="auto"/>
          <w:highlight w:val="none"/>
        </w:rPr>
        <w:t xml:space="preserve">38.2.4 </w:t>
      </w:r>
      <w:r>
        <w:rPr>
          <w:rFonts w:hint="eastAsia" w:hAnsi="宋体"/>
          <w:b/>
          <w:bCs/>
          <w:color w:val="auto"/>
          <w:highlight w:val="none"/>
        </w:rPr>
        <w:t>质疑供应商提起质疑应当符合下列条件：</w:t>
      </w:r>
    </w:p>
    <w:p w14:paraId="62E537A5">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1</w:t>
      </w:r>
      <w:r>
        <w:rPr>
          <w:rFonts w:hint="eastAsia" w:hAnsi="宋体"/>
          <w:bCs/>
          <w:color w:val="auto"/>
          <w:highlight w:val="none"/>
        </w:rPr>
        <w:t>）质疑供应商是参与所质疑</w:t>
      </w:r>
      <w:r>
        <w:rPr>
          <w:rFonts w:hint="eastAsia" w:hAnsi="宋体"/>
          <w:bCs/>
          <w:color w:val="auto"/>
          <w:szCs w:val="21"/>
          <w:highlight w:val="none"/>
        </w:rPr>
        <w:t>项目</w:t>
      </w:r>
      <w:r>
        <w:rPr>
          <w:rFonts w:hint="eastAsia" w:hAnsi="宋体"/>
          <w:bCs/>
          <w:color w:val="auto"/>
          <w:highlight w:val="none"/>
        </w:rPr>
        <w:t>采购活动的供应商（潜在供应商已依法获取可质疑的采购文件的，可以对该采购文件质疑）；</w:t>
      </w:r>
    </w:p>
    <w:p w14:paraId="17547E64">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2</w:t>
      </w:r>
      <w:r>
        <w:rPr>
          <w:rFonts w:hint="eastAsia" w:hAnsi="宋体"/>
          <w:bCs/>
          <w:color w:val="auto"/>
          <w:highlight w:val="none"/>
        </w:rPr>
        <w:t>）质疑函内容符合本章第</w:t>
      </w:r>
      <w:r>
        <w:rPr>
          <w:rFonts w:hAnsi="宋体"/>
          <w:bCs/>
          <w:color w:val="auto"/>
          <w:highlight w:val="none"/>
        </w:rPr>
        <w:t>38.2.5</w:t>
      </w:r>
      <w:r>
        <w:rPr>
          <w:rFonts w:hint="eastAsia" w:hAnsi="宋体"/>
          <w:bCs/>
          <w:color w:val="auto"/>
          <w:highlight w:val="none"/>
        </w:rPr>
        <w:t>项的规定；</w:t>
      </w:r>
    </w:p>
    <w:p w14:paraId="55FF9770">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3</w:t>
      </w:r>
      <w:r>
        <w:rPr>
          <w:rFonts w:hint="eastAsia" w:hAnsi="宋体"/>
          <w:bCs/>
          <w:color w:val="auto"/>
          <w:highlight w:val="none"/>
        </w:rPr>
        <w:t>）在质疑有效期限内提起质疑；</w:t>
      </w:r>
    </w:p>
    <w:p w14:paraId="7764BB35">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4</w:t>
      </w:r>
      <w:r>
        <w:rPr>
          <w:rFonts w:hint="eastAsia" w:hAnsi="宋体"/>
          <w:bCs/>
          <w:color w:val="auto"/>
          <w:highlight w:val="none"/>
        </w:rPr>
        <w:t>）属于所质疑的采购人或采购人委托的采购代理机构组织的采购活动；</w:t>
      </w:r>
    </w:p>
    <w:p w14:paraId="66291369">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5</w:t>
      </w:r>
      <w:r>
        <w:rPr>
          <w:rFonts w:hint="eastAsia" w:hAnsi="宋体"/>
          <w:bCs/>
          <w:color w:val="auto"/>
          <w:highlight w:val="none"/>
        </w:rPr>
        <w:t>）同一质疑事项未经采购人或采购人委托的采购代理机构质疑处理；</w:t>
      </w:r>
      <w:r>
        <w:rPr>
          <w:rFonts w:hAnsi="宋体"/>
          <w:bCs/>
          <w:color w:val="auto"/>
          <w:highlight w:val="none"/>
        </w:rPr>
        <w:t xml:space="preserve"> </w:t>
      </w:r>
    </w:p>
    <w:p w14:paraId="6B6913DD">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6</w:t>
      </w:r>
      <w:r>
        <w:rPr>
          <w:rFonts w:hint="eastAsia" w:hAnsi="宋体"/>
          <w:bCs/>
          <w:color w:val="auto"/>
          <w:highlight w:val="none"/>
        </w:rPr>
        <w:t>）供应商对同一采购程序环节的质疑应当在质疑有效期内一次性提出；</w:t>
      </w:r>
    </w:p>
    <w:p w14:paraId="7455C80B">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7</w:t>
      </w:r>
      <w:r>
        <w:rPr>
          <w:rFonts w:hint="eastAsia" w:hAnsi="宋体"/>
          <w:bCs/>
          <w:color w:val="auto"/>
          <w:highlight w:val="none"/>
        </w:rPr>
        <w:t>）供应商提交质疑应当提交必要的证明材料，证明材料应以合法手段取得；</w:t>
      </w:r>
    </w:p>
    <w:p w14:paraId="40BAEB89">
      <w:pPr>
        <w:spacing w:line="360" w:lineRule="auto"/>
        <w:ind w:firstLine="420" w:firstLineChars="200"/>
        <w:rPr>
          <w:color w:val="auto"/>
          <w:highlight w:val="none"/>
        </w:rPr>
      </w:pPr>
      <w:r>
        <w:rPr>
          <w:rFonts w:hint="eastAsia" w:hAnsi="宋体"/>
          <w:bCs/>
          <w:color w:val="auto"/>
          <w:highlight w:val="none"/>
        </w:rPr>
        <w:t>（</w:t>
      </w:r>
      <w:r>
        <w:rPr>
          <w:rFonts w:hAnsi="宋体"/>
          <w:bCs/>
          <w:color w:val="auto"/>
          <w:highlight w:val="none"/>
        </w:rPr>
        <w:t>8</w:t>
      </w:r>
      <w:r>
        <w:rPr>
          <w:rFonts w:hint="eastAsia" w:hAnsi="宋体"/>
          <w:bCs/>
          <w:color w:val="auto"/>
          <w:highlight w:val="none"/>
        </w:rPr>
        <w:t>）财政部门规定的其他条件。</w:t>
      </w:r>
    </w:p>
    <w:p w14:paraId="3D5A80A3">
      <w:pPr>
        <w:spacing w:line="360" w:lineRule="auto"/>
        <w:ind w:firstLine="420" w:firstLineChars="200"/>
        <w:rPr>
          <w:rFonts w:ascii="宋体" w:hAnsi="宋体"/>
          <w:b/>
          <w:color w:val="auto"/>
          <w:szCs w:val="21"/>
          <w:highlight w:val="none"/>
        </w:rPr>
      </w:pPr>
      <w:bookmarkStart w:id="126" w:name="_9.2质疑、投诉应当采用书面形式，质疑函、投诉书均应明确阐述招标文件、"/>
      <w:bookmarkEnd w:id="126"/>
      <w:r>
        <w:rPr>
          <w:rFonts w:hint="eastAsia" w:ascii="宋体" w:hAnsi="宋体"/>
          <w:color w:val="auto"/>
          <w:szCs w:val="21"/>
          <w:highlight w:val="none"/>
        </w:rPr>
        <w:t xml:space="preserve"> 38.2.5 </w:t>
      </w:r>
      <w:r>
        <w:rPr>
          <w:rFonts w:hint="eastAsia" w:hAnsi="宋体"/>
          <w:bCs/>
          <w:color w:val="auto"/>
          <w:highlight w:val="none"/>
        </w:rPr>
        <w:t>供应商提出质疑应当提交质疑函和必要的证明材料，针对同一采购程序环节的质疑必须在法定质疑期内一次性提出。质疑函应当包括下列内容（质疑函格式后附）：</w:t>
      </w:r>
    </w:p>
    <w:p w14:paraId="1F32D62E">
      <w:pPr>
        <w:spacing w:line="360" w:lineRule="auto"/>
        <w:ind w:firstLine="420" w:firstLineChars="200"/>
        <w:rPr>
          <w:rFonts w:hint="eastAsia" w:hAnsi="宋体"/>
          <w:bCs/>
          <w:color w:val="auto"/>
          <w:highlight w:val="none"/>
        </w:rPr>
      </w:pPr>
      <w:r>
        <w:rPr>
          <w:rFonts w:hint="eastAsia" w:hAnsi="宋体"/>
          <w:bCs/>
          <w:color w:val="auto"/>
          <w:highlight w:val="none"/>
        </w:rPr>
        <w:t>（</w:t>
      </w:r>
      <w:r>
        <w:rPr>
          <w:rFonts w:hAnsi="宋体"/>
          <w:bCs/>
          <w:color w:val="auto"/>
          <w:highlight w:val="none"/>
        </w:rPr>
        <w:t>1</w:t>
      </w:r>
      <w:r>
        <w:rPr>
          <w:rFonts w:hint="eastAsia" w:hAnsi="宋体"/>
          <w:bCs/>
          <w:color w:val="auto"/>
          <w:highlight w:val="none"/>
        </w:rPr>
        <w:t>）供应商的姓名或者名称、地址、邮编、联系人及联系电话；</w:t>
      </w:r>
    </w:p>
    <w:p w14:paraId="29D39CD1">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2</w:t>
      </w:r>
      <w:r>
        <w:rPr>
          <w:rFonts w:hint="eastAsia" w:hAnsi="宋体"/>
          <w:bCs/>
          <w:color w:val="auto"/>
          <w:highlight w:val="none"/>
        </w:rPr>
        <w:t>）质疑项目的名称、编号；</w:t>
      </w:r>
    </w:p>
    <w:p w14:paraId="5F0E2177">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3</w:t>
      </w:r>
      <w:r>
        <w:rPr>
          <w:rFonts w:hint="eastAsia" w:hAnsi="宋体"/>
          <w:bCs/>
          <w:color w:val="auto"/>
          <w:highlight w:val="none"/>
        </w:rPr>
        <w:t>）具体、明确的质疑事项和与质疑事项相关的请求；</w:t>
      </w:r>
    </w:p>
    <w:p w14:paraId="7986C196">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4</w:t>
      </w:r>
      <w:r>
        <w:rPr>
          <w:rFonts w:hint="eastAsia" w:hAnsi="宋体"/>
          <w:bCs/>
          <w:color w:val="auto"/>
          <w:highlight w:val="none"/>
        </w:rPr>
        <w:t>）事实依据（列明权益受到损害的事实和理由）；</w:t>
      </w:r>
    </w:p>
    <w:p w14:paraId="0D05F1EC">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5</w:t>
      </w:r>
      <w:r>
        <w:rPr>
          <w:rFonts w:hint="eastAsia" w:hAnsi="宋体"/>
          <w:bCs/>
          <w:color w:val="auto"/>
          <w:highlight w:val="none"/>
        </w:rPr>
        <w:t>）必要的法律依据；</w:t>
      </w:r>
    </w:p>
    <w:p w14:paraId="1E8F6179">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6</w:t>
      </w:r>
      <w:r>
        <w:rPr>
          <w:rFonts w:hint="eastAsia" w:hAnsi="宋体"/>
          <w:bCs/>
          <w:color w:val="auto"/>
          <w:highlight w:val="none"/>
        </w:rPr>
        <w:t>）提出质疑的日期。</w:t>
      </w:r>
    </w:p>
    <w:p w14:paraId="2C719076">
      <w:pPr>
        <w:spacing w:line="360" w:lineRule="auto"/>
        <w:ind w:firstLine="420" w:firstLineChars="200"/>
        <w:rPr>
          <w:rFonts w:hAnsi="宋体"/>
          <w:bCs/>
          <w:color w:val="auto"/>
          <w:highlight w:val="none"/>
        </w:rPr>
      </w:pPr>
      <w:r>
        <w:rPr>
          <w:rFonts w:hint="eastAsia" w:hAnsi="宋体"/>
          <w:bCs/>
          <w:color w:val="auto"/>
          <w:highlight w:val="none"/>
        </w:rPr>
        <w:t>供应商为自然人的，应当由本人签字；供应商为法人或者其他组织的，应当由法定代表人、主要负责人，或者其委托代理人签字或者盖章，并加盖公章。</w:t>
      </w:r>
    </w:p>
    <w:p w14:paraId="64893CF6">
      <w:pPr>
        <w:spacing w:line="360" w:lineRule="auto"/>
        <w:ind w:firstLine="422" w:firstLineChars="200"/>
        <w:rPr>
          <w:rFonts w:ascii="宋体" w:hAnsi="宋体"/>
          <w:b/>
          <w:color w:val="auto"/>
          <w:szCs w:val="20"/>
          <w:highlight w:val="none"/>
        </w:rPr>
      </w:pPr>
      <w:r>
        <w:rPr>
          <w:rFonts w:hint="eastAsia" w:ascii="宋体" w:hAnsi="宋体"/>
          <w:b/>
          <w:color w:val="auto"/>
          <w:szCs w:val="20"/>
          <w:highlight w:val="none"/>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p>
    <w:p w14:paraId="4104E2E2">
      <w:pPr>
        <w:spacing w:line="360" w:lineRule="auto"/>
        <w:ind w:firstLine="420" w:firstLineChars="200"/>
        <w:rPr>
          <w:rFonts w:hint="eastAsia" w:ascii="宋体" w:hAnsi="宋体"/>
          <w:bCs/>
          <w:color w:val="auto"/>
          <w:szCs w:val="21"/>
          <w:highlight w:val="none"/>
        </w:rPr>
      </w:pPr>
      <w:r>
        <w:rPr>
          <w:rFonts w:hint="eastAsia" w:ascii="宋体" w:hAnsi="宋体"/>
          <w:color w:val="auto"/>
          <w:szCs w:val="21"/>
          <w:highlight w:val="none"/>
        </w:rPr>
        <w:t>3</w:t>
      </w:r>
      <w:r>
        <w:rPr>
          <w:rFonts w:hint="eastAsia" w:ascii="宋体" w:hAnsi="宋体"/>
          <w:bCs/>
          <w:color w:val="auto"/>
          <w:szCs w:val="21"/>
          <w:highlight w:val="none"/>
        </w:rPr>
        <w:t>8.2.7采购人、采购代理机构认为供应商质疑不成立，或者成立但未对中标结果构成影响的，继续开展采购活动；认为供应商质疑成立且影响或者可能影响中标结果的，按照下列情况处理：</w:t>
      </w:r>
    </w:p>
    <w:p w14:paraId="04098E7C">
      <w:pPr>
        <w:spacing w:line="360" w:lineRule="auto"/>
        <w:ind w:firstLine="420" w:firstLineChars="200"/>
        <w:rPr>
          <w:rFonts w:hint="eastAsia" w:hAnsi="宋体"/>
          <w:bCs/>
          <w:color w:val="auto"/>
          <w:highlight w:val="none"/>
        </w:rPr>
      </w:pPr>
      <w:r>
        <w:rPr>
          <w:rFonts w:hint="eastAsia" w:hAnsi="宋体"/>
          <w:bCs/>
          <w:color w:val="auto"/>
          <w:highlight w:val="none"/>
        </w:rPr>
        <w:t>　　（一）对招标文件提出的质疑，依法通过澄清或者修改可以继续开展采购活动的，澄清或者修改招标文件后继续开展采购活动；否则应当修改招标文件后重新开展采购活动。</w:t>
      </w:r>
    </w:p>
    <w:p w14:paraId="66E2050F">
      <w:pPr>
        <w:spacing w:line="360" w:lineRule="auto"/>
        <w:ind w:firstLine="420" w:firstLineChars="200"/>
        <w:rPr>
          <w:rFonts w:hAnsi="宋体"/>
          <w:bCs/>
          <w:color w:val="auto"/>
          <w:highlight w:val="none"/>
        </w:rPr>
      </w:pPr>
      <w:r>
        <w:rPr>
          <w:rFonts w:hint="eastAsia" w:hAnsi="宋体"/>
          <w:bCs/>
          <w:color w:val="auto"/>
          <w:highlight w:val="none"/>
        </w:rPr>
        <w:t>　　（二）对采购过程、中标结果提出的质疑，合格供应商符合法定数量时，可以从合格的中标候选人中另行确定中标供应商的，应当依法另行确定中标供应商；否则应当重新开展采购活动。</w:t>
      </w:r>
    </w:p>
    <w:p w14:paraId="573C5DB9">
      <w:pPr>
        <w:spacing w:line="360" w:lineRule="auto"/>
        <w:ind w:firstLine="420" w:firstLineChars="200"/>
        <w:rPr>
          <w:rFonts w:hAnsi="宋体"/>
          <w:bCs/>
          <w:color w:val="auto"/>
          <w:highlight w:val="none"/>
        </w:rPr>
      </w:pPr>
      <w:r>
        <w:rPr>
          <w:rFonts w:hint="eastAsia" w:hAnsi="宋体"/>
          <w:bCs/>
          <w:color w:val="auto"/>
          <w:highlight w:val="none"/>
        </w:rPr>
        <w:t>质疑答复导致中标结果改变的，采购人或者采购代理机构应当将有关情况书面报告本级财政部门。</w:t>
      </w:r>
    </w:p>
    <w:p w14:paraId="56C481FA">
      <w:pPr>
        <w:spacing w:line="360" w:lineRule="auto"/>
        <w:ind w:firstLine="422" w:firstLineChars="200"/>
        <w:rPr>
          <w:rFonts w:hAnsi="宋体"/>
          <w:b/>
          <w:color w:val="auto"/>
          <w:highlight w:val="none"/>
        </w:rPr>
      </w:pPr>
      <w:r>
        <w:rPr>
          <w:rFonts w:hAnsi="宋体"/>
          <w:b/>
          <w:color w:val="auto"/>
          <w:highlight w:val="none"/>
        </w:rPr>
        <w:t>38.3</w:t>
      </w:r>
      <w:r>
        <w:rPr>
          <w:rFonts w:hint="eastAsia" w:hAnsi="宋体"/>
          <w:b/>
          <w:color w:val="auto"/>
          <w:highlight w:val="none"/>
        </w:rPr>
        <w:t>投诉</w:t>
      </w:r>
    </w:p>
    <w:p w14:paraId="30A8E3CB">
      <w:pPr>
        <w:spacing w:line="360" w:lineRule="auto"/>
        <w:ind w:firstLine="422" w:firstLineChars="200"/>
        <w:rPr>
          <w:rFonts w:hAnsi="宋体"/>
          <w:bCs/>
          <w:color w:val="auto"/>
          <w:highlight w:val="none"/>
        </w:rPr>
      </w:pPr>
      <w:r>
        <w:rPr>
          <w:rFonts w:hAnsi="宋体"/>
          <w:b/>
          <w:color w:val="auto"/>
          <w:highlight w:val="none"/>
        </w:rPr>
        <w:t>38.3</w:t>
      </w:r>
      <w:r>
        <w:rPr>
          <w:rFonts w:hAnsi="宋体"/>
          <w:bCs/>
          <w:color w:val="auto"/>
          <w:highlight w:val="none"/>
        </w:rPr>
        <w:t>.</w:t>
      </w:r>
      <w:r>
        <w:rPr>
          <w:rFonts w:hAnsi="宋体"/>
          <w:b/>
          <w:bCs/>
          <w:color w:val="auto"/>
          <w:highlight w:val="none"/>
        </w:rPr>
        <w:t xml:space="preserve">1 </w:t>
      </w:r>
      <w:r>
        <w:rPr>
          <w:rFonts w:hAnsi="宋体"/>
          <w:bCs/>
          <w:color w:val="auto"/>
          <w:highlight w:val="none"/>
        </w:rPr>
        <w:t xml:space="preserve"> </w:t>
      </w:r>
      <w:r>
        <w:rPr>
          <w:rFonts w:hint="eastAsia" w:hAnsi="宋体"/>
          <w:bCs/>
          <w:color w:val="auto"/>
          <w:highlight w:val="none"/>
        </w:rPr>
        <w:t>供应商认为采购文件、采购过程、中标和成交结果使自己的合法权益受到损害的，应当首先依法向采购人或采购人委托的</w:t>
      </w:r>
      <w:r>
        <w:rPr>
          <w:rFonts w:hint="eastAsia" w:hAnsi="宋体"/>
          <w:color w:val="auto"/>
          <w:highlight w:val="none"/>
        </w:rPr>
        <w:t>采购代理机构</w:t>
      </w:r>
      <w:r>
        <w:rPr>
          <w:rFonts w:hint="eastAsia" w:hAnsi="宋体"/>
          <w:bCs/>
          <w:color w:val="auto"/>
          <w:highlight w:val="none"/>
        </w:rPr>
        <w:t>提出质疑。对采购人、</w:t>
      </w:r>
      <w:r>
        <w:rPr>
          <w:rFonts w:hint="eastAsia" w:hAnsi="宋体"/>
          <w:color w:val="auto"/>
          <w:highlight w:val="none"/>
        </w:rPr>
        <w:t>采购代理机构</w:t>
      </w:r>
      <w:r>
        <w:rPr>
          <w:rFonts w:hint="eastAsia" w:hAnsi="宋体"/>
          <w:bCs/>
          <w:color w:val="auto"/>
          <w:highlight w:val="none"/>
        </w:rPr>
        <w:t>的答复不满意，或者采购人、</w:t>
      </w:r>
      <w:r>
        <w:rPr>
          <w:rFonts w:hint="eastAsia" w:hAnsi="宋体"/>
          <w:color w:val="auto"/>
          <w:highlight w:val="none"/>
        </w:rPr>
        <w:t>采购代理机构</w:t>
      </w:r>
      <w:r>
        <w:rPr>
          <w:rFonts w:hint="eastAsia" w:hAnsi="宋体"/>
          <w:bCs/>
          <w:color w:val="auto"/>
          <w:highlight w:val="none"/>
        </w:rPr>
        <w:t>未在规定期限内做出答复的，供应商可以在答复期满后</w:t>
      </w:r>
      <w:r>
        <w:rPr>
          <w:rFonts w:hAnsi="宋体"/>
          <w:bCs/>
          <w:color w:val="auto"/>
          <w:highlight w:val="none"/>
        </w:rPr>
        <w:t>15</w:t>
      </w:r>
      <w:r>
        <w:rPr>
          <w:rFonts w:hint="eastAsia" w:hAnsi="宋体"/>
          <w:bCs/>
          <w:color w:val="auto"/>
          <w:highlight w:val="none"/>
        </w:rPr>
        <w:t>个工作日内向南宁市政府采购监督管理部门提起投诉，投诉方式见“投标人须知前附表”。</w:t>
      </w:r>
    </w:p>
    <w:p w14:paraId="3D4D2933">
      <w:pPr>
        <w:spacing w:line="360" w:lineRule="auto"/>
        <w:ind w:firstLine="422" w:firstLineChars="200"/>
        <w:rPr>
          <w:rFonts w:hAnsi="宋体"/>
          <w:bCs/>
          <w:color w:val="auto"/>
          <w:highlight w:val="none"/>
        </w:rPr>
      </w:pPr>
      <w:r>
        <w:rPr>
          <w:rFonts w:hAnsi="宋体"/>
          <w:b/>
          <w:color w:val="auto"/>
          <w:highlight w:val="none"/>
        </w:rPr>
        <w:t>38.3</w:t>
      </w:r>
      <w:r>
        <w:rPr>
          <w:b/>
          <w:color w:val="auto"/>
          <w:highlight w:val="none"/>
        </w:rPr>
        <w:t xml:space="preserve">.2 </w:t>
      </w:r>
      <w:r>
        <w:rPr>
          <w:color w:val="auto"/>
          <w:highlight w:val="none"/>
        </w:rPr>
        <w:t xml:space="preserve"> </w:t>
      </w:r>
      <w:r>
        <w:rPr>
          <w:rFonts w:hint="eastAsia"/>
          <w:color w:val="auto"/>
          <w:highlight w:val="none"/>
        </w:rPr>
        <w:t>投诉人投诉时，应当提交投诉书，并按照被投诉采购人、</w:t>
      </w:r>
      <w:r>
        <w:rPr>
          <w:rFonts w:hint="eastAsia" w:hAnsi="宋体"/>
          <w:color w:val="auto"/>
          <w:highlight w:val="none"/>
        </w:rPr>
        <w:t>采购代理机构</w:t>
      </w:r>
      <w:r>
        <w:rPr>
          <w:rFonts w:hint="eastAsia"/>
          <w:color w:val="auto"/>
          <w:highlight w:val="none"/>
        </w:rPr>
        <w:t>和与投诉事项有关的供应商数量提供投诉书的副本。投诉书</w:t>
      </w:r>
      <w:r>
        <w:rPr>
          <w:rFonts w:hint="eastAsia"/>
          <w:color w:val="auto"/>
          <w:szCs w:val="21"/>
          <w:highlight w:val="none"/>
        </w:rPr>
        <w:t>应当包括下列主要内容</w:t>
      </w:r>
      <w:r>
        <w:rPr>
          <w:rFonts w:hint="eastAsia"/>
          <w:color w:val="auto"/>
          <w:highlight w:val="none"/>
        </w:rPr>
        <w:t>（如材料中有外文资料应同时附上对应的中文译本）</w:t>
      </w:r>
      <w:r>
        <w:rPr>
          <w:rFonts w:hint="eastAsia" w:hAnsi="宋体"/>
          <w:bCs/>
          <w:color w:val="auto"/>
          <w:highlight w:val="none"/>
        </w:rPr>
        <w:t>（投诉书格式后附）</w:t>
      </w:r>
      <w:r>
        <w:rPr>
          <w:rFonts w:hint="eastAsia"/>
          <w:color w:val="auto"/>
          <w:szCs w:val="21"/>
          <w:highlight w:val="none"/>
        </w:rPr>
        <w:t>：</w:t>
      </w:r>
    </w:p>
    <w:p w14:paraId="7DDC2535">
      <w:pPr>
        <w:spacing w:line="360" w:lineRule="auto"/>
        <w:ind w:firstLine="420" w:firstLineChars="200"/>
        <w:rPr>
          <w:color w:val="auto"/>
          <w:highlight w:val="none"/>
        </w:rPr>
      </w:pPr>
      <w:r>
        <w:rPr>
          <w:rFonts w:hint="eastAsia" w:hAnsi="宋体"/>
          <w:color w:val="auto"/>
          <w:highlight w:val="none"/>
        </w:rPr>
        <w:t>（</w:t>
      </w:r>
      <w:r>
        <w:rPr>
          <w:rFonts w:hAnsi="宋体"/>
          <w:color w:val="auto"/>
          <w:highlight w:val="none"/>
        </w:rPr>
        <w:t>1</w:t>
      </w:r>
      <w:r>
        <w:rPr>
          <w:rFonts w:hint="eastAsia" w:hAnsi="宋体"/>
          <w:color w:val="auto"/>
          <w:highlight w:val="none"/>
        </w:rPr>
        <w:t>）投诉人和被投诉人的名称、地址、邮编、联系人及联系电话等；</w:t>
      </w:r>
      <w:r>
        <w:rPr>
          <w:rFonts w:hAnsi="宋体"/>
          <w:color w:val="auto"/>
          <w:highlight w:val="none"/>
        </w:rPr>
        <w:t xml:space="preserve"> </w:t>
      </w:r>
    </w:p>
    <w:p w14:paraId="11ED1F8B">
      <w:pPr>
        <w:spacing w:line="360" w:lineRule="auto"/>
        <w:ind w:firstLine="420" w:firstLineChars="200"/>
        <w:rPr>
          <w:color w:val="auto"/>
          <w:highlight w:val="none"/>
        </w:rPr>
      </w:pPr>
      <w:r>
        <w:rPr>
          <w:rFonts w:hint="eastAsia" w:hAnsi="宋体"/>
          <w:color w:val="auto"/>
          <w:highlight w:val="none"/>
        </w:rPr>
        <w:t>（</w:t>
      </w:r>
      <w:r>
        <w:rPr>
          <w:rFonts w:hAnsi="宋体"/>
          <w:color w:val="auto"/>
          <w:highlight w:val="none"/>
        </w:rPr>
        <w:t>2</w:t>
      </w:r>
      <w:r>
        <w:rPr>
          <w:rFonts w:hint="eastAsia" w:hAnsi="宋体"/>
          <w:color w:val="auto"/>
          <w:highlight w:val="none"/>
        </w:rPr>
        <w:t>）质疑和质疑答复情况及相关证明材料；</w:t>
      </w:r>
      <w:r>
        <w:rPr>
          <w:color w:val="auto"/>
          <w:highlight w:val="none"/>
        </w:rPr>
        <w:t xml:space="preserve"> </w:t>
      </w:r>
    </w:p>
    <w:p w14:paraId="2F1F18A8">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3</w:t>
      </w:r>
      <w:r>
        <w:rPr>
          <w:rFonts w:hint="eastAsia" w:hAnsi="宋体"/>
          <w:color w:val="auto"/>
          <w:highlight w:val="none"/>
        </w:rPr>
        <w:t>）具体、明确的投诉事项和与投诉事项相关的投诉请求；</w:t>
      </w:r>
    </w:p>
    <w:p w14:paraId="67FFC9C3">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4</w:t>
      </w:r>
      <w:r>
        <w:rPr>
          <w:rFonts w:hint="eastAsia" w:hAnsi="宋体"/>
          <w:color w:val="auto"/>
          <w:highlight w:val="none"/>
        </w:rPr>
        <w:t>）事实依据；</w:t>
      </w:r>
    </w:p>
    <w:p w14:paraId="50780072">
      <w:pPr>
        <w:spacing w:line="360" w:lineRule="auto"/>
        <w:ind w:firstLine="420" w:firstLineChars="200"/>
        <w:rPr>
          <w:color w:val="auto"/>
          <w:highlight w:val="none"/>
        </w:rPr>
      </w:pPr>
      <w:r>
        <w:rPr>
          <w:rFonts w:hint="eastAsia" w:hAnsi="宋体"/>
          <w:color w:val="auto"/>
          <w:highlight w:val="none"/>
        </w:rPr>
        <w:t>（</w:t>
      </w:r>
      <w:r>
        <w:rPr>
          <w:rFonts w:hAnsi="宋体"/>
          <w:color w:val="auto"/>
          <w:highlight w:val="none"/>
        </w:rPr>
        <w:t>5</w:t>
      </w:r>
      <w:r>
        <w:rPr>
          <w:rFonts w:hint="eastAsia" w:hAnsi="宋体"/>
          <w:color w:val="auto"/>
          <w:highlight w:val="none"/>
        </w:rPr>
        <w:t>）法律依据；</w:t>
      </w:r>
    </w:p>
    <w:p w14:paraId="5CBB7B4A">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6</w:t>
      </w:r>
      <w:r>
        <w:rPr>
          <w:rFonts w:hint="eastAsia" w:hAnsi="宋体"/>
          <w:color w:val="auto"/>
          <w:highlight w:val="none"/>
        </w:rPr>
        <w:t>）提起投诉的日期。</w:t>
      </w:r>
    </w:p>
    <w:p w14:paraId="38B1C826">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7</w:t>
      </w:r>
      <w:r>
        <w:rPr>
          <w:rFonts w:hint="eastAsia" w:hAnsi="宋体"/>
          <w:color w:val="auto"/>
          <w:highlight w:val="none"/>
        </w:rPr>
        <w:t>）附件材料：营业执照副本内页复印件（要求证件有效并清晰反映企业法人经营范围；近期连续三个月依法缴纳税收和在职职工社会保障资金证明材料（复印件）。</w:t>
      </w:r>
      <w:r>
        <w:rPr>
          <w:rFonts w:hAnsi="宋体"/>
          <w:color w:val="auto"/>
          <w:highlight w:val="none"/>
        </w:rPr>
        <w:tab/>
      </w:r>
    </w:p>
    <w:p w14:paraId="126F675A">
      <w:pPr>
        <w:spacing w:line="360" w:lineRule="auto"/>
        <w:ind w:firstLine="422" w:firstLineChars="200"/>
        <w:rPr>
          <w:rFonts w:hAnsi="宋体"/>
          <w:bCs/>
          <w:color w:val="auto"/>
          <w:highlight w:val="none"/>
        </w:rPr>
      </w:pPr>
      <w:r>
        <w:rPr>
          <w:rFonts w:hAnsi="宋体"/>
          <w:b/>
          <w:color w:val="auto"/>
          <w:highlight w:val="none"/>
        </w:rPr>
        <w:t>38.3</w:t>
      </w:r>
      <w:r>
        <w:rPr>
          <w:b/>
          <w:color w:val="auto"/>
          <w:highlight w:val="none"/>
        </w:rPr>
        <w:t xml:space="preserve">.3  </w:t>
      </w:r>
      <w:r>
        <w:rPr>
          <w:rFonts w:hint="eastAsia"/>
          <w:color w:val="auto"/>
          <w:highlight w:val="none"/>
        </w:rPr>
        <w:t>投诉人可以委托代理人办理投诉事务。</w:t>
      </w:r>
      <w:r>
        <w:rPr>
          <w:rFonts w:hint="eastAsia" w:hAnsi="宋体"/>
          <w:bCs/>
          <w:color w:val="auto"/>
          <w:highlight w:val="none"/>
        </w:rPr>
        <w:t>委托代理人应熟悉相关业务情况。</w:t>
      </w:r>
      <w:r>
        <w:rPr>
          <w:rFonts w:hint="eastAsia"/>
          <w:color w:val="auto"/>
          <w:highlight w:val="none"/>
        </w:rPr>
        <w:t>代理人办理投诉事务时，除提交投诉书外，还应当提交投诉人的授权委托书和</w:t>
      </w:r>
      <w:r>
        <w:rPr>
          <w:rFonts w:hint="eastAsia" w:hAnsi="宋体"/>
          <w:color w:val="auto"/>
          <w:highlight w:val="none"/>
        </w:rPr>
        <w:t>委托代理人身份证明复印件。</w:t>
      </w:r>
    </w:p>
    <w:p w14:paraId="1F9B344B">
      <w:pPr>
        <w:spacing w:line="360" w:lineRule="auto"/>
        <w:ind w:firstLine="422" w:firstLineChars="200"/>
        <w:rPr>
          <w:rFonts w:hAnsi="宋体"/>
          <w:color w:val="auto"/>
          <w:highlight w:val="none"/>
        </w:rPr>
      </w:pPr>
      <w:r>
        <w:rPr>
          <w:rFonts w:hAnsi="宋体"/>
          <w:b/>
          <w:color w:val="auto"/>
          <w:highlight w:val="none"/>
        </w:rPr>
        <w:t>38.3</w:t>
      </w:r>
      <w:r>
        <w:rPr>
          <w:b/>
          <w:color w:val="auto"/>
          <w:highlight w:val="none"/>
        </w:rPr>
        <w:t>.4</w:t>
      </w:r>
      <w:r>
        <w:rPr>
          <w:color w:val="auto"/>
          <w:highlight w:val="none"/>
        </w:rPr>
        <w:t xml:space="preserve">  </w:t>
      </w:r>
      <w:r>
        <w:rPr>
          <w:rFonts w:hint="eastAsia"/>
          <w:color w:val="auto"/>
          <w:highlight w:val="none"/>
        </w:rPr>
        <w:t>投诉人提起投诉应当符合下列条件：</w:t>
      </w:r>
    </w:p>
    <w:p w14:paraId="15E2791E">
      <w:pPr>
        <w:spacing w:line="360" w:lineRule="auto"/>
        <w:ind w:firstLine="420" w:firstLineChars="200"/>
        <w:rPr>
          <w:rFonts w:ascii="宋体" w:hAnsi="宋体"/>
          <w:color w:val="auto"/>
          <w:highlight w:val="none"/>
        </w:rPr>
      </w:pPr>
      <w:r>
        <w:rPr>
          <w:rFonts w:hint="eastAsia" w:ascii="宋体" w:hAnsi="宋体"/>
          <w:color w:val="auto"/>
          <w:highlight w:val="none"/>
        </w:rPr>
        <w:t>（1）投诉人是参与所投诉政府采购活动的供应商；</w:t>
      </w:r>
    </w:p>
    <w:p w14:paraId="6B2ADC11">
      <w:pPr>
        <w:spacing w:line="360" w:lineRule="auto"/>
        <w:ind w:firstLine="420" w:firstLineChars="200"/>
        <w:rPr>
          <w:rFonts w:hint="eastAsia" w:ascii="宋体" w:hAnsi="宋体"/>
          <w:color w:val="auto"/>
          <w:highlight w:val="none"/>
        </w:rPr>
      </w:pPr>
      <w:r>
        <w:rPr>
          <w:rFonts w:hint="eastAsia" w:ascii="宋体" w:hAnsi="宋体"/>
          <w:color w:val="auto"/>
          <w:highlight w:val="none"/>
        </w:rPr>
        <w:t>（2）提起投诉前已依法进行质疑；</w:t>
      </w:r>
    </w:p>
    <w:p w14:paraId="79402E70">
      <w:pPr>
        <w:spacing w:line="360" w:lineRule="auto"/>
        <w:ind w:firstLine="420" w:firstLineChars="200"/>
        <w:rPr>
          <w:rFonts w:hint="eastAsia" w:ascii="宋体" w:hAnsi="宋体"/>
          <w:color w:val="auto"/>
          <w:highlight w:val="none"/>
        </w:rPr>
      </w:pPr>
      <w:r>
        <w:rPr>
          <w:rFonts w:hint="eastAsia" w:ascii="宋体" w:hAnsi="宋体"/>
          <w:color w:val="auto"/>
          <w:highlight w:val="none"/>
        </w:rPr>
        <w:t>（3）投诉书内容符合本章第38.3.2项的规定；</w:t>
      </w:r>
    </w:p>
    <w:p w14:paraId="6ED8CA92">
      <w:pPr>
        <w:spacing w:line="360" w:lineRule="auto"/>
        <w:ind w:firstLine="420" w:firstLineChars="200"/>
        <w:rPr>
          <w:rFonts w:hint="eastAsia" w:ascii="宋体" w:hAnsi="宋体"/>
          <w:color w:val="auto"/>
          <w:highlight w:val="none"/>
        </w:rPr>
      </w:pPr>
      <w:r>
        <w:rPr>
          <w:rFonts w:hint="eastAsia" w:ascii="宋体" w:hAnsi="宋体"/>
          <w:color w:val="auto"/>
          <w:highlight w:val="none"/>
        </w:rPr>
        <w:t>（4）在投诉有效期限内提起投诉；</w:t>
      </w:r>
    </w:p>
    <w:p w14:paraId="71082C78">
      <w:pPr>
        <w:spacing w:line="360" w:lineRule="auto"/>
        <w:ind w:firstLine="420" w:firstLineChars="200"/>
        <w:rPr>
          <w:rFonts w:hint="eastAsia" w:ascii="宋体" w:hAnsi="宋体"/>
          <w:color w:val="auto"/>
          <w:highlight w:val="none"/>
        </w:rPr>
      </w:pPr>
      <w:r>
        <w:rPr>
          <w:rFonts w:hint="eastAsia" w:ascii="宋体" w:hAnsi="宋体"/>
          <w:color w:val="auto"/>
          <w:highlight w:val="none"/>
        </w:rPr>
        <w:t>（5）属于南宁市政府采购监督管理部门管辖；</w:t>
      </w:r>
    </w:p>
    <w:p w14:paraId="2AD78034">
      <w:pPr>
        <w:spacing w:line="360" w:lineRule="auto"/>
        <w:ind w:firstLine="420" w:firstLineChars="200"/>
        <w:rPr>
          <w:rFonts w:hint="eastAsia" w:ascii="宋体" w:hAnsi="宋体"/>
          <w:color w:val="auto"/>
          <w:highlight w:val="none"/>
        </w:rPr>
      </w:pPr>
      <w:r>
        <w:rPr>
          <w:rFonts w:hint="eastAsia" w:ascii="宋体" w:hAnsi="宋体"/>
          <w:color w:val="auto"/>
          <w:highlight w:val="none"/>
        </w:rPr>
        <w:t>（6）同一投诉事项未经</w:t>
      </w:r>
      <w:r>
        <w:rPr>
          <w:rFonts w:hint="eastAsia" w:ascii="宋体" w:hAnsi="宋体"/>
          <w:bCs/>
          <w:color w:val="auto"/>
          <w:highlight w:val="none"/>
        </w:rPr>
        <w:t>南宁市政府采购监督管理部门</w:t>
      </w:r>
      <w:r>
        <w:rPr>
          <w:rFonts w:hint="eastAsia" w:ascii="宋体" w:hAnsi="宋体"/>
          <w:color w:val="auto"/>
          <w:highlight w:val="none"/>
        </w:rPr>
        <w:t>投诉处理；</w:t>
      </w:r>
    </w:p>
    <w:p w14:paraId="6F7CCCB8">
      <w:pPr>
        <w:spacing w:line="360" w:lineRule="auto"/>
        <w:ind w:firstLine="420" w:firstLineChars="200"/>
        <w:rPr>
          <w:rFonts w:hint="eastAsia" w:ascii="宋体"/>
          <w:color w:val="auto"/>
          <w:highlight w:val="none"/>
        </w:rPr>
      </w:pPr>
      <w:r>
        <w:rPr>
          <w:rFonts w:hint="eastAsia" w:ascii="宋体"/>
          <w:color w:val="auto"/>
          <w:highlight w:val="none"/>
        </w:rPr>
        <w:t>（7）国务院财政部门规定的其他条件。</w:t>
      </w:r>
    </w:p>
    <w:p w14:paraId="17E72641">
      <w:pPr>
        <w:spacing w:line="360" w:lineRule="auto"/>
        <w:ind w:firstLine="422" w:firstLineChars="200"/>
        <w:rPr>
          <w:rFonts w:hint="eastAsia"/>
          <w:color w:val="auto"/>
          <w:highlight w:val="none"/>
        </w:rPr>
      </w:pPr>
      <w:r>
        <w:rPr>
          <w:rFonts w:hAnsi="宋体"/>
          <w:b/>
          <w:color w:val="auto"/>
          <w:highlight w:val="none"/>
        </w:rPr>
        <w:t>38.3</w:t>
      </w:r>
      <w:r>
        <w:rPr>
          <w:rFonts w:hint="eastAsia" w:ascii="宋体"/>
          <w:b/>
          <w:color w:val="auto"/>
          <w:highlight w:val="none"/>
        </w:rPr>
        <w:t>.5</w:t>
      </w:r>
      <w:r>
        <w:rPr>
          <w:rFonts w:hint="eastAsia" w:ascii="宋体"/>
          <w:color w:val="auto"/>
          <w:highlight w:val="none"/>
        </w:rPr>
        <w:t xml:space="preserve">  南宁市政府采购监督管理部门</w:t>
      </w:r>
      <w:r>
        <w:rPr>
          <w:rFonts w:hint="eastAsia"/>
          <w:color w:val="auto"/>
          <w:highlight w:val="none"/>
        </w:rPr>
        <w:t>自受理投诉之日起</w:t>
      </w:r>
      <w:r>
        <w:rPr>
          <w:color w:val="auto"/>
          <w:highlight w:val="none"/>
        </w:rPr>
        <w:t>30</w:t>
      </w:r>
      <w:r>
        <w:rPr>
          <w:rFonts w:hint="eastAsia"/>
          <w:color w:val="auto"/>
          <w:highlight w:val="none"/>
        </w:rPr>
        <w:t>个工作日内，对投诉事项作出处理决定，并以书面形式通知投诉人、被投诉人及其他与投诉处理结果有利害关系的政府采购当</w:t>
      </w:r>
      <w:r>
        <w:rPr>
          <w:rFonts w:hint="eastAsia" w:ascii="宋体"/>
          <w:color w:val="auto"/>
          <w:highlight w:val="none"/>
        </w:rPr>
        <w:t>事人</w:t>
      </w:r>
      <w:r>
        <w:rPr>
          <w:rFonts w:hint="eastAsia"/>
          <w:color w:val="auto"/>
          <w:highlight w:val="none"/>
        </w:rPr>
        <w:t>。并将投诉结果在</w:t>
      </w:r>
      <w:r>
        <w:rPr>
          <w:rFonts w:hint="eastAsia" w:ascii="宋体" w:hAnsi="宋体" w:cs="宋体"/>
          <w:color w:val="auto"/>
          <w:kern w:val="0"/>
          <w:szCs w:val="21"/>
          <w:highlight w:val="none"/>
        </w:rPr>
        <w:t>“广西政府采购网”（http://zfcg.gxzf.gov.cn）</w:t>
      </w:r>
      <w:r>
        <w:rPr>
          <w:rFonts w:hint="eastAsia"/>
          <w:color w:val="auto"/>
          <w:highlight w:val="none"/>
        </w:rPr>
        <w:t>发布。</w:t>
      </w:r>
    </w:p>
    <w:p w14:paraId="1E6825D0">
      <w:pPr>
        <w:spacing w:line="360" w:lineRule="auto"/>
        <w:ind w:firstLine="422" w:firstLineChars="200"/>
        <w:rPr>
          <w:rFonts w:ascii="宋体"/>
          <w:color w:val="auto"/>
          <w:highlight w:val="none"/>
        </w:rPr>
      </w:pPr>
      <w:r>
        <w:rPr>
          <w:rFonts w:hAnsi="宋体"/>
          <w:b/>
          <w:color w:val="auto"/>
          <w:highlight w:val="none"/>
        </w:rPr>
        <w:t>38.3</w:t>
      </w:r>
      <w:r>
        <w:rPr>
          <w:rFonts w:hint="eastAsia" w:ascii="宋体"/>
          <w:b/>
          <w:color w:val="auto"/>
          <w:highlight w:val="none"/>
        </w:rPr>
        <w:t>.6</w:t>
      </w:r>
      <w:r>
        <w:rPr>
          <w:rFonts w:hint="eastAsia" w:ascii="宋体"/>
          <w:color w:val="auto"/>
          <w:highlight w:val="none"/>
        </w:rPr>
        <w:t xml:space="preserve">  南宁市政府采购监督管理部门在处理投诉事项期间，可以视具体情况暂停采购活动。</w:t>
      </w:r>
    </w:p>
    <w:p w14:paraId="7A924D44">
      <w:pPr>
        <w:snapToGrid w:val="0"/>
        <w:spacing w:line="360" w:lineRule="auto"/>
        <w:ind w:left="120" w:leftChars="57" w:firstLine="482" w:firstLineChars="150"/>
        <w:jc w:val="center"/>
        <w:rPr>
          <w:rFonts w:hint="eastAsia"/>
          <w:b/>
          <w:bCs/>
          <w:color w:val="auto"/>
          <w:sz w:val="32"/>
          <w:szCs w:val="32"/>
          <w:highlight w:val="none"/>
        </w:rPr>
      </w:pPr>
      <w:r>
        <w:rPr>
          <w:rFonts w:hint="eastAsia"/>
          <w:b/>
          <w:bCs/>
          <w:color w:val="auto"/>
          <w:sz w:val="32"/>
          <w:szCs w:val="32"/>
          <w:highlight w:val="none"/>
        </w:rPr>
        <w:t>八、验收</w:t>
      </w:r>
    </w:p>
    <w:p w14:paraId="5CBDC38D">
      <w:pPr>
        <w:spacing w:line="360" w:lineRule="auto"/>
        <w:ind w:firstLine="422" w:firstLineChars="200"/>
        <w:rPr>
          <w:rFonts w:hAnsi="宋体"/>
          <w:b/>
          <w:color w:val="auto"/>
          <w:highlight w:val="none"/>
        </w:rPr>
      </w:pPr>
      <w:r>
        <w:rPr>
          <w:rFonts w:hAnsi="宋体"/>
          <w:b/>
          <w:color w:val="auto"/>
          <w:highlight w:val="none"/>
        </w:rPr>
        <w:t>39.</w:t>
      </w:r>
      <w:r>
        <w:rPr>
          <w:rFonts w:hint="eastAsia" w:hAnsi="宋体"/>
          <w:b/>
          <w:color w:val="auto"/>
          <w:highlight w:val="none"/>
        </w:rPr>
        <w:t>验收</w:t>
      </w:r>
    </w:p>
    <w:p w14:paraId="61D8857E">
      <w:pPr>
        <w:tabs>
          <w:tab w:val="left" w:pos="0"/>
        </w:tabs>
        <w:spacing w:line="360" w:lineRule="auto"/>
        <w:ind w:firstLine="480"/>
        <w:rPr>
          <w:rFonts w:hAnsi="宋体"/>
          <w:color w:val="auto"/>
          <w:highlight w:val="none"/>
        </w:rPr>
      </w:pPr>
      <w:r>
        <w:rPr>
          <w:rFonts w:hAnsi="宋体"/>
          <w:color w:val="auto"/>
          <w:highlight w:val="none"/>
        </w:rPr>
        <w:t>39.1</w:t>
      </w:r>
      <w:r>
        <w:rPr>
          <w:rFonts w:hint="eastAsia" w:hAnsi="宋体"/>
          <w:color w:val="auto"/>
          <w:highlight w:val="none"/>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05BFB0FF">
      <w:pPr>
        <w:tabs>
          <w:tab w:val="left" w:pos="0"/>
        </w:tabs>
        <w:spacing w:line="360" w:lineRule="auto"/>
        <w:ind w:firstLine="480"/>
        <w:rPr>
          <w:rFonts w:hAnsi="宋体"/>
          <w:color w:val="auto"/>
          <w:highlight w:val="none"/>
        </w:rPr>
      </w:pPr>
      <w:r>
        <w:rPr>
          <w:rFonts w:hAnsi="宋体"/>
          <w:color w:val="auto"/>
          <w:highlight w:val="none"/>
        </w:rPr>
        <w:t>39.2</w:t>
      </w:r>
      <w:r>
        <w:rPr>
          <w:rFonts w:hint="eastAsia" w:hAnsi="宋体"/>
          <w:color w:val="auto"/>
          <w:highlight w:val="none"/>
        </w:rPr>
        <w:t>采购人可以邀请参加本项目的其他投标人或者第三方机构参与验收。参与验收的投标人或者第三方机构的意见作为验收书的参考资料一并存档。</w:t>
      </w:r>
    </w:p>
    <w:p w14:paraId="25EC5781">
      <w:pPr>
        <w:tabs>
          <w:tab w:val="left" w:pos="0"/>
        </w:tabs>
        <w:spacing w:line="360" w:lineRule="auto"/>
        <w:ind w:firstLine="480"/>
        <w:rPr>
          <w:rFonts w:hAnsi="宋体"/>
          <w:color w:val="auto"/>
          <w:highlight w:val="none"/>
        </w:rPr>
      </w:pPr>
      <w:r>
        <w:rPr>
          <w:rFonts w:hAnsi="宋体"/>
          <w:color w:val="auto"/>
          <w:highlight w:val="none"/>
        </w:rPr>
        <w:t>39.3</w:t>
      </w:r>
      <w:r>
        <w:rPr>
          <w:rFonts w:hint="eastAsia" w:hAnsi="宋体"/>
          <w:color w:val="auto"/>
          <w:highlight w:val="none"/>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4140CA5C">
      <w:pPr>
        <w:tabs>
          <w:tab w:val="left" w:pos="0"/>
        </w:tabs>
        <w:spacing w:line="360" w:lineRule="auto"/>
        <w:ind w:firstLine="480"/>
        <w:rPr>
          <w:rFonts w:hAnsi="宋体"/>
          <w:color w:val="auto"/>
          <w:highlight w:val="none"/>
        </w:rPr>
      </w:pPr>
      <w:r>
        <w:rPr>
          <w:rFonts w:hAnsi="宋体"/>
          <w:color w:val="auto"/>
          <w:highlight w:val="none"/>
        </w:rPr>
        <w:t>39.4</w:t>
      </w:r>
      <w:r>
        <w:rPr>
          <w:rFonts w:hint="eastAsia" w:hAnsi="宋体"/>
          <w:color w:val="auto"/>
          <w:highlight w:val="none"/>
        </w:rPr>
        <w:t>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104FC0EB">
      <w:pPr>
        <w:snapToGrid w:val="0"/>
        <w:spacing w:line="400" w:lineRule="exact"/>
        <w:rPr>
          <w:rFonts w:ascii="宋体" w:hAnsi="宋体"/>
          <w:color w:val="auto"/>
          <w:szCs w:val="20"/>
          <w:highlight w:val="none"/>
        </w:rPr>
      </w:pPr>
    </w:p>
    <w:p w14:paraId="04E6B3E3">
      <w:pPr>
        <w:pStyle w:val="4"/>
        <w:keepNext w:val="0"/>
        <w:keepLines w:val="0"/>
        <w:spacing w:line="360" w:lineRule="auto"/>
        <w:jc w:val="center"/>
        <w:rPr>
          <w:rFonts w:hint="eastAsia"/>
          <w:color w:val="auto"/>
          <w:highlight w:val="none"/>
        </w:rPr>
      </w:pPr>
      <w:bookmarkStart w:id="127" w:name="_八、其他事项"/>
      <w:bookmarkEnd w:id="127"/>
      <w:bookmarkStart w:id="128" w:name="_Toc18177"/>
      <w:r>
        <w:rPr>
          <w:rFonts w:hint="eastAsia"/>
          <w:color w:val="auto"/>
          <w:highlight w:val="none"/>
        </w:rPr>
        <w:t>九、其他事项</w:t>
      </w:r>
      <w:bookmarkEnd w:id="128"/>
    </w:p>
    <w:p w14:paraId="7A4F5DD8">
      <w:pPr>
        <w:spacing w:line="360" w:lineRule="auto"/>
        <w:ind w:firstLine="480" w:firstLineChars="200"/>
        <w:rPr>
          <w:rFonts w:ascii="黑体" w:hAnsi="黑体" w:eastAsia="黑体"/>
          <w:color w:val="auto"/>
          <w:sz w:val="24"/>
          <w:highlight w:val="none"/>
        </w:rPr>
      </w:pPr>
      <w:bookmarkStart w:id="129" w:name="_42.代理服务费"/>
      <w:bookmarkEnd w:id="129"/>
      <w:r>
        <w:rPr>
          <w:rFonts w:hint="eastAsia" w:ascii="黑体" w:hAnsi="黑体" w:eastAsia="黑体"/>
          <w:color w:val="auto"/>
          <w:sz w:val="24"/>
          <w:highlight w:val="none"/>
        </w:rPr>
        <w:t>40.代理服务费</w:t>
      </w:r>
    </w:p>
    <w:p w14:paraId="2D7FBBC2">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代理服务收费标准及缴费账户详见“投标人须知前附表”，投标人为联合体的，可以由联合体中的一方或者多方共同交纳代理服务费。</w:t>
      </w:r>
    </w:p>
    <w:p w14:paraId="26984FD9">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41. 需要补充的其他内容</w:t>
      </w:r>
    </w:p>
    <w:p w14:paraId="1F86B55C">
      <w:pPr>
        <w:spacing w:line="360" w:lineRule="auto"/>
        <w:ind w:firstLine="420" w:firstLineChars="200"/>
        <w:rPr>
          <w:rFonts w:hint="eastAsia" w:hAnsi="宋体"/>
          <w:color w:val="auto"/>
          <w:highlight w:val="none"/>
        </w:rPr>
      </w:pPr>
      <w:r>
        <w:rPr>
          <w:rFonts w:hAnsi="宋体"/>
          <w:color w:val="auto"/>
          <w:highlight w:val="none"/>
        </w:rPr>
        <w:t>41.1</w:t>
      </w:r>
      <w:r>
        <w:rPr>
          <w:rFonts w:hint="eastAsia" w:hAnsi="宋体" w:cs="宋体"/>
          <w:color w:val="auto"/>
          <w:highlight w:val="none"/>
        </w:rPr>
        <w:t>本招标文件解释规则详见</w:t>
      </w:r>
      <w:r>
        <w:rPr>
          <w:rFonts w:hint="eastAsia" w:hAnsi="宋体"/>
          <w:color w:val="auto"/>
          <w:highlight w:val="none"/>
        </w:rPr>
        <w:t>“投标人须知前附表”。</w:t>
      </w:r>
    </w:p>
    <w:p w14:paraId="43C49931">
      <w:pPr>
        <w:spacing w:line="360" w:lineRule="auto"/>
        <w:ind w:firstLine="420" w:firstLineChars="200"/>
        <w:rPr>
          <w:rFonts w:hAnsi="宋体"/>
          <w:color w:val="auto"/>
          <w:highlight w:val="none"/>
        </w:rPr>
      </w:pPr>
      <w:r>
        <w:rPr>
          <w:rFonts w:hAnsi="宋体" w:cs="宋体"/>
          <w:color w:val="auto"/>
          <w:highlight w:val="none"/>
        </w:rPr>
        <w:t xml:space="preserve">41.2 </w:t>
      </w:r>
      <w:r>
        <w:rPr>
          <w:rFonts w:hint="eastAsia" w:hAnsi="宋体"/>
          <w:color w:val="auto"/>
          <w:highlight w:val="none"/>
        </w:rPr>
        <w:t>其他事项详见“投标人须知前附表”。</w:t>
      </w:r>
    </w:p>
    <w:p w14:paraId="000382A8">
      <w:pPr>
        <w:spacing w:line="360" w:lineRule="auto"/>
        <w:ind w:firstLine="420" w:firstLineChars="200"/>
        <w:rPr>
          <w:rFonts w:hAnsi="宋体"/>
          <w:color w:val="auto"/>
          <w:highlight w:val="none"/>
        </w:rPr>
      </w:pPr>
      <w:r>
        <w:rPr>
          <w:rFonts w:hAnsi="宋体"/>
          <w:color w:val="auto"/>
          <w:highlight w:val="none"/>
        </w:rPr>
        <w:t>41.3</w:t>
      </w:r>
      <w:r>
        <w:rPr>
          <w:rFonts w:hint="eastAsia" w:hAnsi="宋体"/>
          <w:color w:val="auto"/>
          <w:highlight w:val="none"/>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服务的人员为中小企业依照《中华人民共和国劳动合同法》订立劳动合同的从业人员，</w:t>
      </w:r>
      <w:r>
        <w:rPr>
          <w:rFonts w:hint="eastAsia"/>
          <w:color w:val="auto"/>
          <w:highlight w:val="none"/>
        </w:rPr>
        <w:t>不对其中涉及的货物的制造商和工程承建商作出要求的，</w:t>
      </w:r>
      <w:r>
        <w:rPr>
          <w:rFonts w:hint="eastAsia" w:hAnsi="宋体"/>
          <w:color w:val="auto"/>
          <w:highlight w:val="none"/>
        </w:rPr>
        <w:t>享受本文件规定的中小企业扶持政策。</w:t>
      </w:r>
    </w:p>
    <w:p w14:paraId="22942F6F">
      <w:pPr>
        <w:spacing w:line="360" w:lineRule="auto"/>
        <w:ind w:firstLine="420" w:firstLineChars="200"/>
        <w:rPr>
          <w:rFonts w:hAnsi="宋体"/>
          <w:color w:val="auto"/>
          <w:highlight w:val="none"/>
        </w:rPr>
      </w:pPr>
      <w:r>
        <w:rPr>
          <w:rFonts w:hint="eastAsia" w:hAnsi="宋体"/>
          <w:color w:val="auto"/>
          <w:highlight w:val="none"/>
        </w:rPr>
        <w:t>以联合体形式参加政府采购活动，联合体各方均为中小企业的，联合体视同中小企业。其中，联合体各方均为小微企业的，联合体视同小微企业。</w:t>
      </w:r>
    </w:p>
    <w:p w14:paraId="4011FD81">
      <w:pPr>
        <w:spacing w:line="360" w:lineRule="auto"/>
        <w:ind w:firstLine="420" w:firstLineChars="200"/>
        <w:rPr>
          <w:rFonts w:hAnsi="宋体"/>
          <w:color w:val="auto"/>
          <w:highlight w:val="none"/>
        </w:rPr>
      </w:pPr>
      <w:r>
        <w:rPr>
          <w:rFonts w:hint="eastAsia" w:hAnsi="宋体"/>
          <w:color w:val="auto"/>
          <w:highlight w:val="none"/>
        </w:rPr>
        <w:t>依据本文件规定享受扶持政策获得政府采购合同的，小微企业不得将合同分包给大中型企业，中型企业不得将合同分包给大型企业。</w:t>
      </w:r>
    </w:p>
    <w:p w14:paraId="553ECC0D">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42. 政采贷相关说明</w:t>
      </w:r>
    </w:p>
    <w:p w14:paraId="5F32427E">
      <w:pPr>
        <w:spacing w:line="360" w:lineRule="auto"/>
        <w:ind w:firstLine="420" w:firstLineChars="200"/>
        <w:jc w:val="left"/>
        <w:rPr>
          <w:rFonts w:hint="eastAsia" w:hAnsi="宋体"/>
          <w:color w:val="auto"/>
          <w:highlight w:val="none"/>
        </w:rPr>
      </w:pPr>
      <w:r>
        <w:rPr>
          <w:rFonts w:hint="eastAsia" w:hAnsi="宋体"/>
          <w:color w:val="auto"/>
          <w:highlight w:val="none"/>
        </w:rPr>
        <w:t>为优化政府采购营商环境，缓解供应商资金难题，南宁市政府采购试行政府采购信用融资制度，中标供应商如有融资需求，可凭政府采购合同通过以下方式申请政府采购信用融资贷款：</w:t>
      </w:r>
    </w:p>
    <w:p w14:paraId="3B00DF36">
      <w:pPr>
        <w:numPr>
          <w:ilvl w:val="0"/>
          <w:numId w:val="4"/>
        </w:numPr>
        <w:spacing w:line="360" w:lineRule="auto"/>
        <w:ind w:firstLine="420" w:firstLineChars="200"/>
        <w:jc w:val="left"/>
        <w:rPr>
          <w:rFonts w:hint="eastAsia" w:hAnsi="宋体"/>
          <w:color w:val="auto"/>
          <w:highlight w:val="none"/>
        </w:rPr>
      </w:pPr>
      <w:r>
        <w:rPr>
          <w:rFonts w:hint="eastAsia" w:hAnsi="宋体"/>
          <w:color w:val="auto"/>
          <w:highlight w:val="none"/>
        </w:rPr>
        <w:t>线下渠道：在“南宁市公共资源交易中心”官网（网址：</w:t>
      </w:r>
      <w:r>
        <w:rPr>
          <w:rFonts w:hAnsi="宋体"/>
          <w:color w:val="auto"/>
          <w:highlight w:val="none"/>
        </w:rPr>
        <w:fldChar w:fldCharType="begin"/>
      </w:r>
      <w:r>
        <w:rPr>
          <w:rFonts w:hAnsi="宋体"/>
          <w:color w:val="auto"/>
          <w:highlight w:val="none"/>
        </w:rPr>
        <w:instrText xml:space="preserve"> HYPERLINK "http://www.nnggzy.org.cn）\“交易信息-政府采购-政府采购信用融资\”中融资银行和南宁市企业融资服务中心专栏信息申请政府采购信用融资。" </w:instrText>
      </w:r>
      <w:r>
        <w:rPr>
          <w:rFonts w:hAnsi="宋体"/>
          <w:color w:val="auto"/>
          <w:highlight w:val="none"/>
        </w:rPr>
        <w:fldChar w:fldCharType="separate"/>
      </w:r>
      <w:r>
        <w:rPr>
          <w:rFonts w:hint="eastAsia" w:hAnsi="宋体"/>
          <w:color w:val="auto"/>
          <w:highlight w:val="none"/>
        </w:rPr>
        <w:t>http:</w:t>
      </w:r>
      <w:r>
        <w:rPr>
          <w:rStyle w:val="38"/>
          <w:rFonts w:hAnsi="宋体"/>
          <w:color w:val="auto"/>
          <w:highlight w:val="none"/>
        </w:rPr>
        <w:t>//www.nnggzy.org.cn</w:t>
      </w:r>
      <w:r>
        <w:rPr>
          <w:rStyle w:val="38"/>
          <w:rFonts w:hint="eastAsia" w:hAnsi="宋体"/>
          <w:color w:val="auto"/>
          <w:highlight w:val="none"/>
        </w:rPr>
        <w:t>）“交易信息</w:t>
      </w:r>
      <w:r>
        <w:rPr>
          <w:rStyle w:val="38"/>
          <w:rFonts w:hAnsi="宋体"/>
          <w:color w:val="auto"/>
          <w:highlight w:val="none"/>
        </w:rPr>
        <w:t>-</w:t>
      </w:r>
      <w:r>
        <w:rPr>
          <w:rStyle w:val="38"/>
          <w:rFonts w:hint="eastAsia" w:hAnsi="宋体"/>
          <w:color w:val="auto"/>
          <w:highlight w:val="none"/>
        </w:rPr>
        <w:t>政府采购</w:t>
      </w:r>
      <w:r>
        <w:rPr>
          <w:rStyle w:val="38"/>
          <w:rFonts w:hAnsi="宋体"/>
          <w:color w:val="auto"/>
          <w:highlight w:val="none"/>
        </w:rPr>
        <w:t>-</w:t>
      </w:r>
      <w:r>
        <w:rPr>
          <w:rStyle w:val="38"/>
          <w:rFonts w:hint="eastAsia" w:hAnsi="宋体"/>
          <w:color w:val="auto"/>
          <w:highlight w:val="none"/>
        </w:rPr>
        <w:t>政府采购信用融资”中融资银行和南宁市企业融资服务中心专栏信息申请政府采购信用融资。</w:t>
      </w:r>
      <w:r>
        <w:rPr>
          <w:rFonts w:hAnsi="宋体"/>
          <w:color w:val="auto"/>
          <w:highlight w:val="none"/>
        </w:rPr>
        <w:fldChar w:fldCharType="end"/>
      </w:r>
    </w:p>
    <w:p w14:paraId="3D68BFF2">
      <w:pPr>
        <w:spacing w:line="360" w:lineRule="auto"/>
        <w:ind w:firstLine="420" w:firstLineChars="200"/>
        <w:rPr>
          <w:rFonts w:hint="eastAsia" w:hAnsi="宋体"/>
          <w:color w:val="auto"/>
          <w:highlight w:val="none"/>
        </w:rPr>
      </w:pPr>
      <w:r>
        <w:rPr>
          <w:rFonts w:hint="eastAsia" w:hAnsi="宋体"/>
          <w:color w:val="auto"/>
          <w:highlight w:val="none"/>
        </w:rPr>
        <w:t>（2）线上渠道：登录中征营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Ansi="宋体"/>
          <w:color w:val="auto"/>
          <w:highlight w:val="none"/>
        </w:rPr>
        <w:br w:type="page"/>
      </w:r>
      <w:bookmarkStart w:id="130" w:name="_Toc532545043"/>
    </w:p>
    <w:p w14:paraId="19E21766">
      <w:pPr>
        <w:jc w:val="center"/>
        <w:outlineLvl w:val="0"/>
        <w:rPr>
          <w:b/>
          <w:color w:val="auto"/>
          <w:sz w:val="36"/>
          <w:szCs w:val="20"/>
          <w:highlight w:val="none"/>
        </w:rPr>
      </w:pPr>
      <w:bookmarkStart w:id="131" w:name="_Toc14255"/>
      <w:r>
        <w:rPr>
          <w:rFonts w:hint="eastAsia"/>
          <w:b/>
          <w:color w:val="auto"/>
          <w:sz w:val="36"/>
          <w:szCs w:val="20"/>
          <w:highlight w:val="none"/>
        </w:rPr>
        <w:t>第四章</w:t>
      </w:r>
      <w:r>
        <w:rPr>
          <w:b/>
          <w:color w:val="auto"/>
          <w:sz w:val="36"/>
          <w:szCs w:val="20"/>
          <w:highlight w:val="none"/>
        </w:rPr>
        <w:t xml:space="preserve">  </w:t>
      </w:r>
      <w:r>
        <w:rPr>
          <w:rFonts w:hint="eastAsia"/>
          <w:b/>
          <w:color w:val="auto"/>
          <w:sz w:val="36"/>
          <w:szCs w:val="20"/>
          <w:highlight w:val="none"/>
        </w:rPr>
        <w:t>评标方法</w:t>
      </w:r>
      <w:bookmarkEnd w:id="130"/>
      <w:r>
        <w:rPr>
          <w:rFonts w:hint="eastAsia"/>
          <w:b/>
          <w:color w:val="auto"/>
          <w:sz w:val="36"/>
          <w:szCs w:val="20"/>
          <w:highlight w:val="none"/>
        </w:rPr>
        <w:t>及评分标准</w:t>
      </w:r>
      <w:bookmarkEnd w:id="131"/>
    </w:p>
    <w:p w14:paraId="7BA9991D">
      <w:pPr>
        <w:jc w:val="center"/>
        <w:outlineLvl w:val="1"/>
        <w:rPr>
          <w:b/>
          <w:bCs/>
          <w:color w:val="auto"/>
          <w:sz w:val="32"/>
          <w:szCs w:val="32"/>
          <w:highlight w:val="none"/>
        </w:rPr>
      </w:pPr>
      <w:bookmarkStart w:id="132" w:name="_Toc21264"/>
      <w:r>
        <w:rPr>
          <w:rFonts w:hint="eastAsia"/>
          <w:b/>
          <w:bCs/>
          <w:color w:val="auto"/>
          <w:sz w:val="32"/>
          <w:szCs w:val="32"/>
          <w:highlight w:val="none"/>
        </w:rPr>
        <w:t>第一节</w:t>
      </w:r>
      <w:r>
        <w:rPr>
          <w:b/>
          <w:bCs/>
          <w:color w:val="auto"/>
          <w:sz w:val="32"/>
          <w:szCs w:val="32"/>
          <w:highlight w:val="none"/>
        </w:rPr>
        <w:t xml:space="preserve"> </w:t>
      </w:r>
      <w:r>
        <w:rPr>
          <w:rFonts w:hint="eastAsia"/>
          <w:b/>
          <w:bCs/>
          <w:color w:val="auto"/>
          <w:sz w:val="32"/>
          <w:szCs w:val="32"/>
          <w:highlight w:val="none"/>
        </w:rPr>
        <w:t>评标方法</w:t>
      </w:r>
      <w:bookmarkEnd w:id="132"/>
    </w:p>
    <w:p w14:paraId="072435A8">
      <w:pPr>
        <w:tabs>
          <w:tab w:val="left" w:pos="2472"/>
        </w:tabs>
        <w:spacing w:line="460" w:lineRule="exact"/>
        <w:ind w:firstLine="420" w:firstLineChars="200"/>
        <w:rPr>
          <w:rFonts w:ascii="宋体" w:hAnsi="Courier New"/>
          <w:color w:val="auto"/>
          <w:szCs w:val="21"/>
          <w:highlight w:val="none"/>
        </w:rPr>
      </w:pPr>
      <w:r>
        <w:rPr>
          <w:rFonts w:hint="eastAsia" w:ascii="宋体" w:hAnsi="宋体" w:cs="宋体"/>
          <w:color w:val="auto"/>
          <w:szCs w:val="21"/>
          <w:highlight w:val="none"/>
        </w:rPr>
        <w:t>本项目采用</w:t>
      </w:r>
      <w:r>
        <w:rPr>
          <w:rFonts w:hint="eastAsia" w:ascii="宋体" w:hAnsi="宋体" w:cs="宋体"/>
          <w:color w:val="auto"/>
          <w:szCs w:val="21"/>
          <w:highlight w:val="none"/>
          <w:u w:val="single"/>
        </w:rPr>
        <w:t xml:space="preserve"> 以下勾选的方式</w:t>
      </w:r>
      <w:r>
        <w:rPr>
          <w:rFonts w:hint="eastAsia" w:ascii="宋体" w:hAnsi="宋体" w:cs="宋体"/>
          <w:color w:val="auto"/>
          <w:szCs w:val="21"/>
          <w:highlight w:val="none"/>
        </w:rPr>
        <w:t>进行评审。</w:t>
      </w:r>
    </w:p>
    <w:p w14:paraId="6959C8E3">
      <w:pPr>
        <w:spacing w:line="360" w:lineRule="auto"/>
        <w:ind w:firstLine="420"/>
        <w:rPr>
          <w:rFonts w:hint="eastAsia" w:ascii="宋体" w:hAnsi="宋体"/>
          <w:color w:val="auto"/>
          <w:szCs w:val="20"/>
          <w:highlight w:val="none"/>
        </w:rPr>
      </w:pPr>
      <w:r>
        <w:rPr>
          <w:rFonts w:hint="eastAsia" w:ascii="宋体" w:hAnsi="宋体"/>
          <w:color w:val="auto"/>
          <w:szCs w:val="21"/>
          <w:highlight w:val="none"/>
        </w:rPr>
        <w:t>□最低评标价法，是指投标文件满足招标文件</w:t>
      </w:r>
      <w:r>
        <w:rPr>
          <w:rFonts w:hint="eastAsia" w:ascii="宋体" w:hAnsi="宋体"/>
          <w:color w:val="auto"/>
          <w:szCs w:val="20"/>
          <w:highlight w:val="none"/>
        </w:rPr>
        <w:t>全部实质性要求，且投标报价最低的投标人为中标候选人的评标方法。</w:t>
      </w:r>
    </w:p>
    <w:p w14:paraId="6A2CDA41">
      <w:pPr>
        <w:autoSpaceDE w:val="0"/>
        <w:autoSpaceDN w:val="0"/>
        <w:adjustRightInd w:val="0"/>
        <w:spacing w:line="440" w:lineRule="exact"/>
        <w:ind w:firstLine="420" w:firstLineChars="200"/>
        <w:rPr>
          <w:rFonts w:hint="eastAsia" w:ascii="宋体" w:hAnsi="宋体"/>
          <w:color w:val="auto"/>
          <w:sz w:val="24"/>
          <w:highlight w:val="none"/>
        </w:rPr>
      </w:pPr>
      <w:r>
        <w:rPr>
          <w:rFonts w:hint="eastAsia" w:hAnsi="宋体"/>
          <w:color w:val="auto"/>
          <w:highlight w:val="none"/>
        </w:rPr>
        <w:t>☑综合评分法，</w:t>
      </w:r>
      <w:r>
        <w:rPr>
          <w:rFonts w:hint="eastAsia" w:ascii="宋体" w:hAnsi="宋体"/>
          <w:color w:val="auto"/>
          <w:szCs w:val="20"/>
          <w:highlight w:val="none"/>
        </w:rPr>
        <w:t xml:space="preserve">是指投标文件满足招标文件全部实质性要求，且按照评审因素的量化指标评审得分最高的投标人为中标候选人的评标方法。评标委员会将对各投标人的投标报价、技术和服务方案、投标人的企业实力及资质等方面进行综合评审，对实质上响应招标文件的投标人，由各评委独立记名打分。经统计，得出各投标人的综合得分,按综合得分由高到低顺序排列。若综合得分相同的，按投标报价由低到高顺序排列。若综合得分且投标报价相同的，货物类采购项目以技术性能得分较高者为先，服务类采购项目以实力信誉及业绩得分较高者为先。 </w:t>
      </w:r>
    </w:p>
    <w:p w14:paraId="557B7DA3">
      <w:pPr>
        <w:spacing w:line="360" w:lineRule="auto"/>
        <w:ind w:firstLine="420"/>
        <w:rPr>
          <w:rFonts w:hint="eastAsia" w:ascii="宋体" w:hAnsi="宋体"/>
          <w:color w:val="auto"/>
          <w:szCs w:val="20"/>
          <w:highlight w:val="none"/>
        </w:rPr>
      </w:pPr>
    </w:p>
    <w:p w14:paraId="7A062352">
      <w:pPr>
        <w:tabs>
          <w:tab w:val="left" w:pos="2472"/>
        </w:tabs>
        <w:spacing w:line="460" w:lineRule="exact"/>
        <w:jc w:val="center"/>
        <w:outlineLvl w:val="1"/>
        <w:rPr>
          <w:rFonts w:hint="eastAsia"/>
          <w:b/>
          <w:bCs/>
          <w:color w:val="auto"/>
          <w:sz w:val="32"/>
          <w:szCs w:val="32"/>
          <w:highlight w:val="none"/>
        </w:rPr>
      </w:pPr>
      <w:bookmarkStart w:id="133" w:name="_Toc24093"/>
      <w:r>
        <w:rPr>
          <w:rFonts w:hint="eastAsia"/>
          <w:b/>
          <w:bCs/>
          <w:color w:val="auto"/>
          <w:sz w:val="32"/>
          <w:szCs w:val="32"/>
          <w:highlight w:val="none"/>
        </w:rPr>
        <w:t>第二节</w:t>
      </w:r>
      <w:r>
        <w:rPr>
          <w:b/>
          <w:bCs/>
          <w:color w:val="auto"/>
          <w:sz w:val="32"/>
          <w:szCs w:val="32"/>
          <w:highlight w:val="none"/>
        </w:rPr>
        <w:t xml:space="preserve"> </w:t>
      </w:r>
      <w:r>
        <w:rPr>
          <w:rFonts w:hint="eastAsia"/>
          <w:b/>
          <w:bCs/>
          <w:color w:val="auto"/>
          <w:sz w:val="32"/>
          <w:szCs w:val="32"/>
          <w:highlight w:val="none"/>
        </w:rPr>
        <w:t>评标程序</w:t>
      </w:r>
      <w:bookmarkEnd w:id="133"/>
    </w:p>
    <w:p w14:paraId="613877B7">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1.符合性审查</w:t>
      </w:r>
    </w:p>
    <w:p w14:paraId="699B0C7E">
      <w:pPr>
        <w:spacing w:line="360" w:lineRule="auto"/>
        <w:ind w:firstLine="420" w:firstLineChars="200"/>
        <w:rPr>
          <w:rFonts w:hint="eastAsia" w:hAnsi="宋体"/>
          <w:color w:val="auto"/>
          <w:highlight w:val="none"/>
        </w:rPr>
      </w:pPr>
      <w:r>
        <w:rPr>
          <w:rFonts w:hint="eastAsia" w:hAnsi="宋体"/>
          <w:color w:val="auto"/>
          <w:highlight w:val="none"/>
        </w:rPr>
        <w:t>评标委员会应当对符合资格的投标人的投标文件进行投标报价、商务、技术等实质性内容符合性审查，以确定其是否满足招标文件的实质性要求。</w:t>
      </w:r>
    </w:p>
    <w:p w14:paraId="1B43A4E9">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2.符合性审查不通过而导致投标无效的情形</w:t>
      </w:r>
    </w:p>
    <w:p w14:paraId="473FBD64">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投标人的投标文件中存在对招标文件的任何实质性要求和条件的负偏离，将被视为投标无效。</w:t>
      </w:r>
    </w:p>
    <w:p w14:paraId="3FBF2D0B">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2.1在报价评审时，如发现下列情形之一的，将被视为投标无效：</w:t>
      </w:r>
    </w:p>
    <w:p w14:paraId="6A3D082D">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（1）投标文件未提供“投标人须知前附表”第13.1条规定中“必须提供”的文件资料的;</w:t>
      </w:r>
    </w:p>
    <w:p w14:paraId="1DBC6926">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（2）未采用人民币报价或者未按照招标文件标明的币种报价的；</w:t>
      </w:r>
    </w:p>
    <w:p w14:paraId="6DAFFBD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（3）报价超出招标文件规定最高限价，或者超出采购预算金额（包括分项预算）的；</w:t>
      </w:r>
    </w:p>
    <w:p w14:paraId="3AC2C76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投标人未就所投分标进行报价或者存在漏项报价；投标人未就所投分标的单项内容作唯一报价；投标人未就所投分标的全部内容作唯一总价报价；存在有选择、有条件报价的（招标文件允许有备选方案或者其他约定的除外）；</w:t>
      </w:r>
    </w:p>
    <w:p w14:paraId="0C0824E9">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（5）修正后的报价，投标人不确认的；</w:t>
      </w:r>
    </w:p>
    <w:p w14:paraId="5FD7FA72">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（6）投标人属于本章第5条第（2）项情形的。</w:t>
      </w:r>
    </w:p>
    <w:p w14:paraId="0A67E9BB">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2.2在商务评审时，如发现下列情形之一的，将被视为投标无效：</w:t>
      </w:r>
    </w:p>
    <w:p w14:paraId="18C69F2A">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（1）投标文件未按招标文件要求签署、盖章的；</w:t>
      </w:r>
    </w:p>
    <w:p w14:paraId="20AF28B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（2）委托代理人未能出具有效身份证明或者出具的身份证明与授权委托书中的信息不符的； </w:t>
      </w:r>
    </w:p>
    <w:p w14:paraId="3DACEEE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（3）投标文件未提供“投标人须知前附表”第13.1条规定中“必须提供”或者“委托时必须提供”的文件资料的;</w:t>
      </w:r>
    </w:p>
    <w:p w14:paraId="4A7D2C98">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（4）投标有效期、项目完成时间（交货时间、服务完成时间或者服务期等）、质保期、售后服务等招标文件中标“▲”的商务条款发生负偏离的；</w:t>
      </w:r>
    </w:p>
    <w:p w14:paraId="7FA528A6">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（5）商务条款评审允许负偏离的条款数超过“投标人须知前附表”规定项数的。</w:t>
      </w:r>
    </w:p>
    <w:p w14:paraId="0810B1D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（6）投标文件的实质性内容未使用中文表述、使用计量单位不符合招标文件要求的；</w:t>
      </w:r>
    </w:p>
    <w:p w14:paraId="2CFF11E7">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（7）投标文件中的文件资料因填写不齐全或者内容虚假或者出现其他情形而导致被评标委员会认定无效的；</w:t>
      </w:r>
    </w:p>
    <w:p w14:paraId="4FD5790A">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（8）投标文件含有采购人不能接受的附加条件的；</w:t>
      </w:r>
    </w:p>
    <w:p w14:paraId="68E0BD97">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（9）未响应招标文件实质性要求的；</w:t>
      </w:r>
    </w:p>
    <w:p w14:paraId="4555F36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（10）属于投标人须知正文第9.2条情形的；</w:t>
      </w:r>
    </w:p>
    <w:p w14:paraId="6C4A633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（11）法律、法规和招标文件规定的其他无效情形。</w:t>
      </w:r>
    </w:p>
    <w:p w14:paraId="1042365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2.3在技术评审时，如发现下列情形之一的，将被视为投标无效：</w:t>
      </w:r>
    </w:p>
    <w:p w14:paraId="4F8D0584">
      <w:pPr>
        <w:spacing w:line="360" w:lineRule="auto"/>
        <w:ind w:firstLine="420" w:firstLineChars="200"/>
        <w:rPr>
          <w:rFonts w:hint="eastAsia" w:hAnsi="宋体"/>
          <w:color w:val="auto"/>
          <w:szCs w:val="21"/>
          <w:highlight w:val="none"/>
        </w:rPr>
      </w:pPr>
      <w:r>
        <w:rPr>
          <w:rFonts w:hint="eastAsia" w:hAnsi="宋体"/>
          <w:color w:val="auto"/>
          <w:szCs w:val="21"/>
          <w:highlight w:val="none"/>
        </w:rPr>
        <w:t>（</w:t>
      </w:r>
      <w:r>
        <w:rPr>
          <w:rFonts w:hAnsi="宋体"/>
          <w:color w:val="auto"/>
          <w:szCs w:val="21"/>
          <w:highlight w:val="none"/>
        </w:rPr>
        <w:t>1</w:t>
      </w:r>
      <w:r>
        <w:rPr>
          <w:rFonts w:hint="eastAsia" w:hAnsi="宋体"/>
          <w:color w:val="auto"/>
          <w:szCs w:val="21"/>
          <w:highlight w:val="none"/>
        </w:rPr>
        <w:t>）不满足招标文件要求的服务内容、技术要求、安全、质量标准，或者与招标文件中标“▲”的技术需求发生负偏离的；</w:t>
      </w:r>
    </w:p>
    <w:p w14:paraId="28234E56">
      <w:pPr>
        <w:spacing w:line="360" w:lineRule="auto"/>
        <w:ind w:firstLine="420" w:firstLineChars="200"/>
        <w:rPr>
          <w:rFonts w:hAnsi="宋体"/>
          <w:color w:val="auto"/>
          <w:szCs w:val="21"/>
          <w:highlight w:val="none"/>
        </w:rPr>
      </w:pP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）技术需求评审允许负偏离的条款数超过“投标人须知前附表”规定项数的；</w:t>
      </w:r>
    </w:p>
    <w:p w14:paraId="6C59AA97">
      <w:pPr>
        <w:spacing w:line="360" w:lineRule="auto"/>
        <w:ind w:firstLine="420" w:firstLineChars="200"/>
        <w:rPr>
          <w:rFonts w:hAnsi="宋体"/>
          <w:color w:val="auto"/>
          <w:szCs w:val="21"/>
          <w:highlight w:val="none"/>
        </w:rPr>
      </w:pPr>
      <w:r>
        <w:rPr>
          <w:rFonts w:hint="eastAsia" w:hAnsi="宋体"/>
          <w:color w:val="auto"/>
          <w:szCs w:val="21"/>
          <w:highlight w:val="none"/>
        </w:rPr>
        <w:t>（</w:t>
      </w:r>
      <w:r>
        <w:rPr>
          <w:rFonts w:hAnsi="宋体"/>
          <w:color w:val="auto"/>
          <w:szCs w:val="21"/>
          <w:highlight w:val="none"/>
        </w:rPr>
        <w:t>3</w:t>
      </w:r>
      <w:r>
        <w:rPr>
          <w:rFonts w:hint="eastAsia" w:hAnsi="宋体"/>
          <w:color w:val="auto"/>
          <w:szCs w:val="21"/>
          <w:highlight w:val="none"/>
        </w:rPr>
        <w:t>）投标文件未提供“投标人须知前附表”第</w:t>
      </w:r>
      <w:r>
        <w:rPr>
          <w:rFonts w:hAnsi="宋体"/>
          <w:color w:val="auto"/>
          <w:szCs w:val="21"/>
          <w:highlight w:val="none"/>
        </w:rPr>
        <w:t>13.1</w:t>
      </w:r>
      <w:r>
        <w:rPr>
          <w:rFonts w:hint="eastAsia" w:hAnsi="宋体"/>
          <w:color w:val="auto"/>
          <w:szCs w:val="21"/>
          <w:highlight w:val="none"/>
        </w:rPr>
        <w:t>条规定中“必须提供”的文件资料的</w:t>
      </w:r>
      <w:r>
        <w:rPr>
          <w:rFonts w:hAnsi="宋体"/>
          <w:color w:val="auto"/>
          <w:szCs w:val="21"/>
          <w:highlight w:val="none"/>
        </w:rPr>
        <w:t>;</w:t>
      </w:r>
    </w:p>
    <w:p w14:paraId="67C584CC">
      <w:pPr>
        <w:spacing w:line="360" w:lineRule="auto"/>
        <w:ind w:firstLine="420" w:firstLineChars="200"/>
        <w:rPr>
          <w:rFonts w:hAnsi="宋体"/>
          <w:color w:val="auto"/>
          <w:szCs w:val="21"/>
          <w:highlight w:val="none"/>
        </w:rPr>
      </w:pPr>
      <w:r>
        <w:rPr>
          <w:rFonts w:hint="eastAsia" w:hAnsi="宋体"/>
          <w:color w:val="auto"/>
          <w:szCs w:val="21"/>
          <w:highlight w:val="none"/>
        </w:rPr>
        <w:t>（</w:t>
      </w:r>
      <w:r>
        <w:rPr>
          <w:rFonts w:hAnsi="宋体"/>
          <w:color w:val="auto"/>
          <w:szCs w:val="21"/>
          <w:highlight w:val="none"/>
        </w:rPr>
        <w:t>4</w:t>
      </w:r>
      <w:r>
        <w:rPr>
          <w:rFonts w:hint="eastAsia" w:hAnsi="宋体"/>
          <w:color w:val="auto"/>
          <w:szCs w:val="21"/>
          <w:highlight w:val="none"/>
        </w:rPr>
        <w:t>）虚假投标，或者出现其他情形而导致被评标委员会认定无效的；</w:t>
      </w:r>
    </w:p>
    <w:p w14:paraId="216228EE">
      <w:pPr>
        <w:spacing w:line="360" w:lineRule="auto"/>
        <w:ind w:firstLine="420" w:firstLineChars="200"/>
        <w:rPr>
          <w:rFonts w:hAnsi="宋体"/>
          <w:color w:val="auto"/>
          <w:szCs w:val="21"/>
          <w:highlight w:val="none"/>
        </w:rPr>
      </w:pPr>
      <w:r>
        <w:rPr>
          <w:rFonts w:hint="eastAsia" w:hAnsi="宋体"/>
          <w:color w:val="auto"/>
          <w:szCs w:val="21"/>
          <w:highlight w:val="none"/>
        </w:rPr>
        <w:t>（</w:t>
      </w:r>
      <w:r>
        <w:rPr>
          <w:rFonts w:hAnsi="宋体"/>
          <w:color w:val="auto"/>
          <w:szCs w:val="21"/>
          <w:highlight w:val="none"/>
        </w:rPr>
        <w:t>5</w:t>
      </w:r>
      <w:r>
        <w:rPr>
          <w:rFonts w:hint="eastAsia" w:hAnsi="宋体"/>
          <w:color w:val="auto"/>
          <w:szCs w:val="21"/>
          <w:highlight w:val="none"/>
        </w:rPr>
        <w:t>）如招标文件需要提供技术方案的，投标技术方案不明确，招标文件未允许但存在一个或者一个以上备选（替代）投标方案的。</w:t>
      </w:r>
    </w:p>
    <w:p w14:paraId="13652475">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3.澄清补正、说明或者补正</w:t>
      </w:r>
    </w:p>
    <w:p w14:paraId="7F710732">
      <w:pPr>
        <w:spacing w:line="360" w:lineRule="auto"/>
        <w:ind w:firstLine="420" w:firstLineChars="200"/>
        <w:rPr>
          <w:rFonts w:hint="eastAsia" w:ascii="宋体" w:hAnsi="宋体" w:cs="Courier New"/>
          <w:color w:val="auto"/>
          <w:szCs w:val="21"/>
          <w:highlight w:val="none"/>
        </w:rPr>
      </w:pPr>
      <w:r>
        <w:rPr>
          <w:rFonts w:hint="eastAsia" w:ascii="宋体" w:hAnsi="宋体" w:cs="Courier New"/>
          <w:color w:val="auto"/>
          <w:szCs w:val="21"/>
          <w:highlight w:val="none"/>
        </w:rPr>
        <w:t>对投标文件中含义不明确、同类问题表述不一致或者有明显文字和计算错误的内容，评标委员会应在“政采云”平台发布电子澄清函，要求投标人在规定时间内作出必要的澄清、说明或者补正。投标人在“政采云”平台接收到电子澄清函后根据澄清函内容上传PDF格式回函，电子澄清答复函使用CA证书加盖单位公章后在线上传至评标委员会。投标人的澄清、说明或者补正不得超出投标文件的范围或者改变投标文件的实质性内容。投标人未在规定时间内进行澄清、说明或者补正的，按无效投标处理。</w:t>
      </w:r>
    </w:p>
    <w:p w14:paraId="19582D37">
      <w:pPr>
        <w:spacing w:line="360" w:lineRule="auto"/>
        <w:ind w:firstLine="420" w:firstLineChars="200"/>
        <w:rPr>
          <w:rFonts w:hint="eastAsia" w:ascii="宋体" w:hAnsi="宋体" w:cs="Courier New"/>
          <w:color w:val="auto"/>
          <w:szCs w:val="21"/>
          <w:highlight w:val="none"/>
        </w:rPr>
      </w:pPr>
      <w:r>
        <w:rPr>
          <w:rFonts w:hint="eastAsia" w:ascii="宋体" w:hAnsi="宋体" w:cs="Courier New"/>
          <w:color w:val="auto"/>
          <w:szCs w:val="21"/>
          <w:highlight w:val="none"/>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298C3E8D">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4.投标文件修正</w:t>
      </w:r>
    </w:p>
    <w:p w14:paraId="69F08D1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4.1投标文件报价出现前后不一致的，按照下列规定修正： </w:t>
      </w:r>
    </w:p>
    <w:p w14:paraId="220C980E">
      <w:pPr>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1</w:t>
      </w:r>
      <w:r>
        <w:rPr>
          <w:rFonts w:hint="eastAsia" w:hAnsi="宋体"/>
          <w:color w:val="auto"/>
          <w:highlight w:val="none"/>
        </w:rPr>
        <w:t>）报价文件中“开标一览表”内容与投标文件中相应内容不一致的，以“开标一览表”为准；</w:t>
      </w:r>
    </w:p>
    <w:p w14:paraId="13A943E9">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2</w:t>
      </w:r>
      <w:r>
        <w:rPr>
          <w:rFonts w:hint="eastAsia" w:hAnsi="宋体"/>
          <w:color w:val="auto"/>
          <w:highlight w:val="none"/>
        </w:rPr>
        <w:t>）大写金额和小写金额不一致的，以大写金额为准；</w:t>
      </w:r>
    </w:p>
    <w:p w14:paraId="2B3AF998">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3</w:t>
      </w:r>
      <w:r>
        <w:rPr>
          <w:rFonts w:hint="eastAsia" w:hAnsi="宋体"/>
          <w:color w:val="auto"/>
          <w:highlight w:val="none"/>
        </w:rPr>
        <w:t>）单价金额小数点或者百分比有明显错位的，以开标一览表的总价为准，并修改单价；</w:t>
      </w:r>
    </w:p>
    <w:p w14:paraId="26831EEA">
      <w:pPr>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4</w:t>
      </w:r>
      <w:r>
        <w:rPr>
          <w:rFonts w:hint="eastAsia" w:hAnsi="宋体"/>
          <w:color w:val="auto"/>
          <w:highlight w:val="none"/>
        </w:rPr>
        <w:t>）总价金额与按单价汇总金额不一致的，以单价金额计算结果为准。</w:t>
      </w:r>
    </w:p>
    <w:p w14:paraId="286FD0A1">
      <w:pPr>
        <w:spacing w:line="360" w:lineRule="auto"/>
        <w:ind w:firstLine="420" w:firstLineChars="200"/>
        <w:rPr>
          <w:rFonts w:hAnsi="宋体"/>
          <w:color w:val="auto"/>
          <w:highlight w:val="none"/>
        </w:rPr>
      </w:pPr>
      <w:r>
        <w:rPr>
          <w:rFonts w:hint="eastAsia" w:hAnsi="宋体"/>
          <w:color w:val="auto"/>
          <w:highlight w:val="none"/>
        </w:rPr>
        <w:t>同时出现两种以上不一致的，按照以上（</w:t>
      </w:r>
      <w:r>
        <w:rPr>
          <w:rFonts w:hAnsi="宋体"/>
          <w:color w:val="auto"/>
          <w:highlight w:val="none"/>
        </w:rPr>
        <w:t>1</w:t>
      </w:r>
      <w:r>
        <w:rPr>
          <w:rFonts w:hint="eastAsia" w:hAnsi="宋体"/>
          <w:color w:val="auto"/>
          <w:highlight w:val="none"/>
        </w:rPr>
        <w:t>）</w:t>
      </w:r>
      <w:r>
        <w:rPr>
          <w:rFonts w:hAnsi="宋体"/>
          <w:color w:val="auto"/>
          <w:highlight w:val="none"/>
        </w:rPr>
        <w:t>-</w:t>
      </w:r>
      <w:r>
        <w:rPr>
          <w:rFonts w:hint="eastAsia" w:hAnsi="宋体"/>
          <w:color w:val="auto"/>
          <w:highlight w:val="none"/>
        </w:rPr>
        <w:t>（</w:t>
      </w:r>
      <w:r>
        <w:rPr>
          <w:rFonts w:hAnsi="宋体"/>
          <w:color w:val="auto"/>
          <w:highlight w:val="none"/>
        </w:rPr>
        <w:t>4</w:t>
      </w:r>
      <w:r>
        <w:rPr>
          <w:rFonts w:hint="eastAsia" w:hAnsi="宋体"/>
          <w:color w:val="auto"/>
          <w:highlight w:val="none"/>
        </w:rPr>
        <w:t>）规定的顺序修正。修正后的报价经投标人确认后产生约束力，投标人不确认的，其投标无效。</w:t>
      </w:r>
    </w:p>
    <w:p w14:paraId="4FE5892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4.2经投标人确认修正后的报价若超过采购预算金额或者最高限价，投标人的投标文件作无效投标处理。</w:t>
      </w:r>
    </w:p>
    <w:p w14:paraId="43F6DDEB">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4.3经投标人确认修正后的报价作为签订合同的依据，并以此报价计算价格分。</w:t>
      </w:r>
    </w:p>
    <w:p w14:paraId="0346D58B">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5.比较与评价</w:t>
      </w:r>
    </w:p>
    <w:p w14:paraId="6A582CF7">
      <w:pPr>
        <w:spacing w:line="360" w:lineRule="auto"/>
        <w:ind w:firstLine="420" w:firstLineChars="200"/>
        <w:rPr>
          <w:rFonts w:hint="eastAsia" w:hAnsi="宋体"/>
          <w:color w:val="auto"/>
          <w:highlight w:val="none"/>
        </w:rPr>
      </w:pPr>
      <w:r>
        <w:rPr>
          <w:rFonts w:hAnsi="宋体"/>
          <w:color w:val="auto"/>
          <w:highlight w:val="none"/>
        </w:rPr>
        <w:t>5.1</w:t>
      </w:r>
      <w:r>
        <w:rPr>
          <w:rFonts w:hint="eastAsia" w:hAnsi="宋体"/>
          <w:color w:val="auto"/>
          <w:highlight w:val="none"/>
        </w:rPr>
        <w:t>评标委员会按照招标文件中规定的评标方法和评标标准，对符合性审查合格的投标文件进行商务和技术评估，综合比较与评价。</w:t>
      </w:r>
    </w:p>
    <w:p w14:paraId="4EF97D66">
      <w:pPr>
        <w:spacing w:line="360" w:lineRule="auto"/>
        <w:ind w:firstLine="420" w:firstLineChars="200"/>
        <w:rPr>
          <w:rFonts w:hAnsi="宋体"/>
          <w:color w:val="auto"/>
          <w:highlight w:val="none"/>
        </w:rPr>
      </w:pPr>
      <w:r>
        <w:rPr>
          <w:rFonts w:hAnsi="宋体"/>
          <w:color w:val="auto"/>
          <w:highlight w:val="none"/>
        </w:rPr>
        <w:t>5.2</w:t>
      </w:r>
      <w:r>
        <w:rPr>
          <w:rFonts w:hint="eastAsia" w:hAnsi="宋体"/>
          <w:color w:val="auto"/>
          <w:highlight w:val="none"/>
        </w:rPr>
        <w:t>评标委员会独立对每个投标人的投标文件进行评价，并汇总每个投标人的得分。</w:t>
      </w:r>
    </w:p>
    <w:p w14:paraId="49EB1802">
      <w:pPr>
        <w:widowControl/>
        <w:numPr>
          <w:ilvl w:val="0"/>
          <w:numId w:val="5"/>
        </w:numPr>
        <w:spacing w:after="150" w:line="480" w:lineRule="auto"/>
        <w:ind w:firstLine="420" w:firstLineChars="200"/>
        <w:jc w:val="left"/>
        <w:rPr>
          <w:rFonts w:hAnsi="宋体"/>
          <w:color w:val="auto"/>
          <w:highlight w:val="none"/>
        </w:rPr>
      </w:pPr>
      <w:r>
        <w:rPr>
          <w:rFonts w:hint="eastAsia" w:hAnsi="宋体"/>
          <w:color w:val="auto"/>
          <w:highlight w:val="none"/>
        </w:rPr>
        <w:t>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4EE57C0F">
      <w:pPr>
        <w:widowControl/>
        <w:numPr>
          <w:ilvl w:val="0"/>
          <w:numId w:val="5"/>
        </w:numPr>
        <w:spacing w:after="150" w:line="480" w:lineRule="auto"/>
        <w:ind w:firstLine="420" w:firstLineChars="200"/>
        <w:jc w:val="left"/>
        <w:rPr>
          <w:rFonts w:hAnsi="宋体"/>
          <w:color w:val="auto"/>
          <w:highlight w:val="none"/>
        </w:rPr>
      </w:pPr>
      <w:r>
        <w:rPr>
          <w:rFonts w:hint="eastAsia" w:hAnsi="宋体"/>
          <w:color w:val="auto"/>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将其作为无效投标处理。</w:t>
      </w:r>
    </w:p>
    <w:p w14:paraId="1886A06A">
      <w:pPr>
        <w:spacing w:line="360" w:lineRule="auto"/>
        <w:ind w:firstLine="420" w:firstLineChars="200"/>
        <w:rPr>
          <w:rFonts w:hAnsi="宋体"/>
          <w:color w:val="auto"/>
          <w:highlight w:val="none"/>
        </w:rPr>
      </w:pPr>
      <w:r>
        <w:rPr>
          <w:rFonts w:hAnsi="宋体"/>
          <w:color w:val="auto"/>
          <w:highlight w:val="none"/>
        </w:rPr>
        <w:t>5.3</w:t>
      </w:r>
      <w:r>
        <w:rPr>
          <w:rFonts w:hint="eastAsia" w:hAnsi="宋体"/>
          <w:color w:val="auto"/>
          <w:highlight w:val="none"/>
        </w:rPr>
        <w:t>评标委员会按照招标文件中规定的评标方法和标准计算各投标人的报价得分。在计算过程中，不得去掉最高报价或者最低报价。</w:t>
      </w:r>
    </w:p>
    <w:p w14:paraId="699BF5E5">
      <w:pPr>
        <w:spacing w:line="360" w:lineRule="auto"/>
        <w:ind w:firstLine="420" w:firstLineChars="200"/>
        <w:rPr>
          <w:rFonts w:hAnsi="宋体"/>
          <w:color w:val="auto"/>
          <w:highlight w:val="none"/>
        </w:rPr>
      </w:pPr>
      <w:r>
        <w:rPr>
          <w:rFonts w:hAnsi="宋体"/>
          <w:color w:val="auto"/>
          <w:highlight w:val="none"/>
        </w:rPr>
        <w:t>5.4</w:t>
      </w:r>
      <w:r>
        <w:rPr>
          <w:rFonts w:hint="eastAsia" w:hAnsi="宋体"/>
          <w:color w:val="auto"/>
          <w:highlight w:val="none"/>
        </w:rPr>
        <w:t>各投标人的得分为所有评委的有效评分的算术平均数。</w:t>
      </w:r>
    </w:p>
    <w:p w14:paraId="7EBE170A">
      <w:pPr>
        <w:spacing w:line="360" w:lineRule="auto"/>
        <w:ind w:firstLine="420" w:firstLineChars="200"/>
        <w:rPr>
          <w:rFonts w:hAnsi="宋体"/>
          <w:color w:val="auto"/>
          <w:highlight w:val="none"/>
        </w:rPr>
      </w:pPr>
      <w:r>
        <w:rPr>
          <w:rFonts w:hAnsi="宋体"/>
          <w:color w:val="auto"/>
          <w:highlight w:val="none"/>
        </w:rPr>
        <w:t>5.5</w:t>
      </w:r>
      <w:r>
        <w:rPr>
          <w:rFonts w:hint="eastAsia" w:hAnsi="宋体"/>
          <w:color w:val="auto"/>
          <w:highlight w:val="none"/>
        </w:rPr>
        <w:t>评标委员会按照招标文件中的规定推荐中标候选人。</w:t>
      </w:r>
    </w:p>
    <w:p w14:paraId="08C1A45F">
      <w:pPr>
        <w:spacing w:line="360" w:lineRule="auto"/>
        <w:ind w:firstLine="420" w:firstLineChars="200"/>
        <w:rPr>
          <w:rFonts w:hAnsi="宋体"/>
          <w:color w:val="auto"/>
          <w:highlight w:val="none"/>
        </w:rPr>
      </w:pPr>
      <w:r>
        <w:rPr>
          <w:rFonts w:hAnsi="宋体"/>
          <w:color w:val="auto"/>
          <w:highlight w:val="none"/>
        </w:rPr>
        <w:t>5.6</w:t>
      </w:r>
      <w:r>
        <w:rPr>
          <w:rFonts w:hint="eastAsia" w:hAnsi="宋体"/>
          <w:color w:val="auto"/>
          <w:highlight w:val="none"/>
        </w:rPr>
        <w:t>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14:paraId="2F674F6E">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6.评审复核</w:t>
      </w:r>
    </w:p>
    <w:p w14:paraId="4F5560AE">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6.1评标报告签署前，评标委员会要对评审结果进行复核，复核意见要体现在评标报告中。</w:t>
      </w:r>
    </w:p>
    <w:p w14:paraId="3F9948C3">
      <w:pPr>
        <w:widowControl/>
        <w:spacing w:line="560" w:lineRule="exact"/>
        <w:ind w:firstLine="420" w:firstLineChars="200"/>
        <w:jc w:val="left"/>
        <w:textAlignment w:val="baseline"/>
        <w:rPr>
          <w:rFonts w:hint="eastAsia" w:hAnsi="宋体"/>
          <w:color w:val="auto"/>
          <w:highlight w:val="none"/>
        </w:rPr>
      </w:pPr>
      <w:r>
        <w:rPr>
          <w:rFonts w:hAnsi="宋体"/>
          <w:color w:val="auto"/>
          <w:highlight w:val="none"/>
        </w:rPr>
        <w:t>6.2</w:t>
      </w:r>
      <w:r>
        <w:rPr>
          <w:rFonts w:hint="eastAsia" w:hAnsi="宋体"/>
          <w:color w:val="auto"/>
          <w:highlight w:val="none"/>
        </w:rPr>
        <w:t>评标结果汇总完成后，除下列情形外，任何人不得修改评标结果：</w:t>
      </w:r>
    </w:p>
    <w:p w14:paraId="7F64323D">
      <w:pPr>
        <w:widowControl/>
        <w:spacing w:line="560" w:lineRule="exact"/>
        <w:jc w:val="left"/>
        <w:textAlignment w:val="baseline"/>
        <w:rPr>
          <w:rFonts w:hAnsi="宋体"/>
          <w:color w:val="auto"/>
          <w:highlight w:val="none"/>
        </w:rPr>
      </w:pPr>
      <w:r>
        <w:rPr>
          <w:rFonts w:hint="eastAsia" w:hAnsi="宋体"/>
          <w:color w:val="auto"/>
          <w:highlight w:val="none"/>
        </w:rPr>
        <w:t>　　（一）分值汇总计算错误的；</w:t>
      </w:r>
    </w:p>
    <w:p w14:paraId="4B073BAE">
      <w:pPr>
        <w:widowControl/>
        <w:spacing w:line="560" w:lineRule="exact"/>
        <w:jc w:val="left"/>
        <w:textAlignment w:val="baseline"/>
        <w:rPr>
          <w:rFonts w:hAnsi="宋体"/>
          <w:color w:val="auto"/>
          <w:highlight w:val="none"/>
        </w:rPr>
      </w:pPr>
      <w:r>
        <w:rPr>
          <w:rFonts w:hint="eastAsia" w:hAnsi="宋体"/>
          <w:color w:val="auto"/>
          <w:highlight w:val="none"/>
        </w:rPr>
        <w:t>　　（二）分项评分超出评分标准范围的；</w:t>
      </w:r>
    </w:p>
    <w:p w14:paraId="67723E21">
      <w:pPr>
        <w:widowControl/>
        <w:spacing w:line="560" w:lineRule="exact"/>
        <w:jc w:val="left"/>
        <w:textAlignment w:val="baseline"/>
        <w:rPr>
          <w:rFonts w:hAnsi="宋体"/>
          <w:color w:val="auto"/>
          <w:highlight w:val="none"/>
        </w:rPr>
      </w:pPr>
      <w:r>
        <w:rPr>
          <w:rFonts w:hint="eastAsia" w:hAnsi="宋体"/>
          <w:color w:val="auto"/>
          <w:highlight w:val="none"/>
        </w:rPr>
        <w:t>　　（三）评标委员会成员对客观评审因素评分不一致的；</w:t>
      </w:r>
    </w:p>
    <w:p w14:paraId="7ACCA4DD">
      <w:pPr>
        <w:widowControl/>
        <w:spacing w:line="560" w:lineRule="exact"/>
        <w:jc w:val="left"/>
        <w:textAlignment w:val="baseline"/>
        <w:rPr>
          <w:rFonts w:hAnsi="宋体"/>
          <w:color w:val="auto"/>
          <w:highlight w:val="none"/>
        </w:rPr>
      </w:pPr>
      <w:r>
        <w:rPr>
          <w:rFonts w:hint="eastAsia" w:hAnsi="宋体"/>
          <w:color w:val="auto"/>
          <w:highlight w:val="none"/>
        </w:rPr>
        <w:t>　　（四）经评标委员会认定评分畸高、畸低的。</w:t>
      </w:r>
    </w:p>
    <w:p w14:paraId="1AA18D1F">
      <w:pPr>
        <w:spacing w:line="360" w:lineRule="auto"/>
        <w:ind w:firstLine="420" w:firstLineChars="200"/>
        <w:rPr>
          <w:rFonts w:hAnsi="宋体"/>
          <w:color w:val="auto"/>
          <w:highlight w:val="none"/>
        </w:rPr>
      </w:pPr>
      <w:r>
        <w:rPr>
          <w:rFonts w:hint="eastAsia" w:hAnsi="宋体"/>
          <w:color w:val="auto"/>
          <w:highlight w:val="none"/>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293F9114">
      <w:pPr>
        <w:keepNext/>
        <w:keepLines/>
        <w:spacing w:before="260" w:after="260" w:line="413" w:lineRule="auto"/>
        <w:jc w:val="center"/>
        <w:outlineLvl w:val="1"/>
        <w:rPr>
          <w:rFonts w:ascii="Arial" w:hAnsi="Arial" w:eastAsia="黑体"/>
          <w:bCs/>
          <w:color w:val="auto"/>
          <w:sz w:val="30"/>
          <w:szCs w:val="30"/>
          <w:highlight w:val="none"/>
        </w:rPr>
      </w:pPr>
      <w:bookmarkStart w:id="134" w:name="_Toc29976"/>
      <w:r>
        <w:rPr>
          <w:rFonts w:hint="eastAsia" w:ascii="Arial" w:hAnsi="Arial" w:eastAsia="黑体"/>
          <w:bCs/>
          <w:color w:val="auto"/>
          <w:sz w:val="30"/>
          <w:szCs w:val="30"/>
          <w:highlight w:val="none"/>
        </w:rPr>
        <w:t>第三节</w:t>
      </w:r>
      <w:r>
        <w:rPr>
          <w:rFonts w:ascii="Arial" w:hAnsi="Arial" w:eastAsia="黑体"/>
          <w:bCs/>
          <w:color w:val="auto"/>
          <w:sz w:val="30"/>
          <w:szCs w:val="30"/>
          <w:highlight w:val="none"/>
        </w:rPr>
        <w:t xml:space="preserve"> </w:t>
      </w:r>
      <w:r>
        <w:rPr>
          <w:rFonts w:hint="eastAsia" w:ascii="Arial" w:hAnsi="Arial" w:eastAsia="黑体"/>
          <w:bCs/>
          <w:color w:val="auto"/>
          <w:sz w:val="30"/>
          <w:szCs w:val="30"/>
          <w:highlight w:val="none"/>
        </w:rPr>
        <w:t>评分标准</w:t>
      </w:r>
      <w:bookmarkEnd w:id="134"/>
    </w:p>
    <w:p w14:paraId="70383220">
      <w:pPr>
        <w:ind w:firstLine="602" w:firstLineChars="200"/>
        <w:jc w:val="center"/>
        <w:rPr>
          <w:rFonts w:hint="eastAsia"/>
          <w:b/>
          <w:color w:val="auto"/>
          <w:sz w:val="30"/>
          <w:szCs w:val="30"/>
          <w:highlight w:val="none"/>
        </w:rPr>
      </w:pPr>
      <w:r>
        <w:rPr>
          <w:rFonts w:hint="eastAsia"/>
          <w:b/>
          <w:color w:val="auto"/>
          <w:sz w:val="30"/>
          <w:szCs w:val="30"/>
          <w:highlight w:val="none"/>
        </w:rPr>
        <w:t>综合评分法</w:t>
      </w:r>
    </w:p>
    <w:p w14:paraId="31A26C45">
      <w:pPr>
        <w:spacing w:line="420" w:lineRule="exact"/>
        <w:ind w:firstLine="420"/>
        <w:rPr>
          <w:rFonts w:hint="eastAsia" w:ascii="宋体" w:hAnsi="宋体"/>
          <w:color w:val="auto"/>
          <w:szCs w:val="21"/>
          <w:highlight w:val="none"/>
        </w:rPr>
      </w:pPr>
      <w:r>
        <w:rPr>
          <w:rFonts w:hint="eastAsia" w:ascii="宋体" w:hAnsi="宋体"/>
          <w:color w:val="auto"/>
          <w:szCs w:val="21"/>
          <w:highlight w:val="none"/>
        </w:rPr>
        <w:t>（一）评标委员会以招标文件为依据，对投标文件进行评审，对投标人的报价文件、技术文件及商务文件等三部分内容按百分制打分，其中价格分10分；技术分</w:t>
      </w:r>
      <w:r>
        <w:rPr>
          <w:rFonts w:hint="eastAsia" w:ascii="宋体" w:hAnsi="宋体"/>
          <w:color w:val="auto"/>
          <w:szCs w:val="21"/>
          <w:highlight w:val="none"/>
          <w:lang w:val="en-US" w:eastAsia="zh-CN"/>
        </w:rPr>
        <w:t>69</w:t>
      </w:r>
      <w:r>
        <w:rPr>
          <w:rFonts w:hint="eastAsia" w:ascii="宋体" w:hAnsi="宋体"/>
          <w:color w:val="auto"/>
          <w:szCs w:val="21"/>
          <w:highlight w:val="none"/>
        </w:rPr>
        <w:t>分；商务分</w:t>
      </w:r>
      <w:r>
        <w:rPr>
          <w:rFonts w:hint="eastAsia" w:ascii="宋体" w:hAnsi="宋体"/>
          <w:color w:val="auto"/>
          <w:szCs w:val="21"/>
          <w:highlight w:val="none"/>
          <w:lang w:val="en-US" w:eastAsia="zh-CN"/>
        </w:rPr>
        <w:t>21</w:t>
      </w:r>
      <w:r>
        <w:rPr>
          <w:rFonts w:hint="eastAsia" w:ascii="宋体" w:hAnsi="宋体"/>
          <w:color w:val="auto"/>
          <w:szCs w:val="21"/>
          <w:highlight w:val="none"/>
        </w:rPr>
        <w:t>分。（评标时，由各评委独立进行评价、打分，不允许讨论。）</w:t>
      </w:r>
    </w:p>
    <w:p w14:paraId="0F71E353">
      <w:pPr>
        <w:spacing w:line="420" w:lineRule="exact"/>
        <w:ind w:firstLine="420"/>
        <w:rPr>
          <w:rFonts w:hint="eastAsia" w:ascii="宋体" w:hAnsi="宋体"/>
          <w:bCs/>
          <w:color w:val="auto"/>
          <w:szCs w:val="21"/>
          <w:highlight w:val="none"/>
        </w:rPr>
      </w:pPr>
    </w:p>
    <w:p w14:paraId="60FE8615">
      <w:pPr>
        <w:spacing w:line="420" w:lineRule="exact"/>
        <w:ind w:firstLine="420"/>
        <w:rPr>
          <w:rFonts w:ascii="宋体" w:hAnsi="宋体"/>
          <w:color w:val="auto"/>
          <w:szCs w:val="21"/>
          <w:highlight w:val="none"/>
        </w:rPr>
      </w:pPr>
      <w:r>
        <w:rPr>
          <w:rFonts w:hint="eastAsia" w:ascii="宋体" w:hAnsi="宋体"/>
          <w:bCs/>
          <w:color w:val="auto"/>
          <w:szCs w:val="21"/>
          <w:highlight w:val="none"/>
        </w:rPr>
        <w:t>（二）评分细则：</w:t>
      </w:r>
      <w:r>
        <w:rPr>
          <w:rFonts w:hint="eastAsia" w:ascii="宋体" w:hAnsi="宋体"/>
          <w:color w:val="auto"/>
          <w:szCs w:val="21"/>
          <w:highlight w:val="none"/>
        </w:rPr>
        <w:t>（按四舍五入取至小数点后四位）</w:t>
      </w:r>
    </w:p>
    <w:p w14:paraId="57CF4A0D">
      <w:pPr>
        <w:rPr>
          <w:rFonts w:hint="eastAsia"/>
          <w:b/>
          <w:bCs/>
          <w:color w:val="auto"/>
          <w:sz w:val="28"/>
          <w:szCs w:val="28"/>
          <w:highlight w:val="none"/>
        </w:rPr>
      </w:pPr>
    </w:p>
    <w:p w14:paraId="3FACE09D">
      <w:pPr>
        <w:rPr>
          <w:rFonts w:hint="eastAsia"/>
          <w:b/>
          <w:bCs/>
          <w:color w:val="auto"/>
          <w:sz w:val="28"/>
          <w:szCs w:val="28"/>
          <w:highlight w:val="none"/>
        </w:rPr>
      </w:pPr>
    </w:p>
    <w:p w14:paraId="00E16577">
      <w:pPr>
        <w:rPr>
          <w:rFonts w:hint="eastAsia"/>
          <w:b/>
          <w:bCs/>
          <w:color w:val="auto"/>
          <w:sz w:val="28"/>
          <w:szCs w:val="28"/>
          <w:highlight w:val="none"/>
        </w:rPr>
      </w:pPr>
    </w:p>
    <w:p w14:paraId="6CD22961">
      <w:pPr>
        <w:rPr>
          <w:rFonts w:hint="eastAsia"/>
          <w:b/>
          <w:bCs/>
          <w:color w:val="auto"/>
          <w:sz w:val="28"/>
          <w:szCs w:val="28"/>
          <w:highlight w:val="none"/>
        </w:rPr>
      </w:pPr>
    </w:p>
    <w:p w14:paraId="60DC8C09">
      <w:pPr>
        <w:rPr>
          <w:rFonts w:hint="eastAsia"/>
          <w:b/>
          <w:bCs/>
          <w:color w:val="auto"/>
          <w:sz w:val="28"/>
          <w:szCs w:val="28"/>
          <w:highlight w:val="none"/>
        </w:rPr>
      </w:pPr>
    </w:p>
    <w:p w14:paraId="03ECBD14">
      <w:pPr>
        <w:rPr>
          <w:rFonts w:hint="eastAsia"/>
          <w:b/>
          <w:bCs/>
          <w:color w:val="auto"/>
          <w:sz w:val="28"/>
          <w:szCs w:val="28"/>
          <w:highlight w:val="none"/>
        </w:rPr>
      </w:pPr>
    </w:p>
    <w:p w14:paraId="606B7CD8">
      <w:pPr>
        <w:rPr>
          <w:rFonts w:hint="eastAsia"/>
          <w:b/>
          <w:bCs/>
          <w:color w:val="auto"/>
          <w:sz w:val="28"/>
          <w:szCs w:val="28"/>
          <w:highlight w:val="none"/>
        </w:rPr>
      </w:pPr>
    </w:p>
    <w:p w14:paraId="2A031E0C">
      <w:pPr>
        <w:rPr>
          <w:rFonts w:hint="eastAsia"/>
          <w:b/>
          <w:bCs/>
          <w:color w:val="auto"/>
          <w:sz w:val="28"/>
          <w:szCs w:val="28"/>
          <w:highlight w:val="none"/>
        </w:rPr>
      </w:pPr>
    </w:p>
    <w:p w14:paraId="22515A6C">
      <w:pPr>
        <w:rPr>
          <w:rFonts w:hint="eastAsia"/>
          <w:b/>
          <w:bCs/>
          <w:color w:val="auto"/>
          <w:sz w:val="28"/>
          <w:szCs w:val="28"/>
          <w:highlight w:val="none"/>
        </w:rPr>
      </w:pPr>
    </w:p>
    <w:p w14:paraId="7862547A">
      <w:pPr>
        <w:spacing w:line="360" w:lineRule="auto"/>
        <w:ind w:firstLine="420"/>
        <w:jc w:val="center"/>
        <w:rPr>
          <w:rFonts w:hint="eastAsia" w:ascii="宋体" w:hAnsi="宋体"/>
          <w:b/>
          <w:bCs/>
          <w:color w:val="auto"/>
          <w:sz w:val="28"/>
          <w:szCs w:val="28"/>
          <w:highlight w:val="none"/>
        </w:rPr>
      </w:pPr>
      <w:bookmarkStart w:id="135" w:name="PO_3000001866_PM051"/>
      <w:bookmarkEnd w:id="135"/>
      <w:bookmarkStart w:id="136" w:name="PO_TDCUS_ITEM_SM_TITLE_1"/>
      <w:r>
        <w:rPr>
          <w:rFonts w:hint="eastAsia" w:ascii="宋体" w:hAnsi="宋体"/>
          <w:b/>
          <w:bCs/>
          <w:color w:val="auto"/>
          <w:sz w:val="28"/>
          <w:szCs w:val="28"/>
          <w:highlight w:val="none"/>
        </w:rPr>
        <w:t>评分方法</w:t>
      </w:r>
      <w:bookmarkEnd w:id="136"/>
      <w:bookmarkStart w:id="137" w:name="PO_TDCUS_ITEM_SM_TABLE_1"/>
    </w:p>
    <w:tbl>
      <w:tblPr>
        <w:tblStyle w:val="33"/>
        <w:tblW w:w="5000" w:type="pct"/>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136"/>
        <w:gridCol w:w="7053"/>
        <w:gridCol w:w="962"/>
      </w:tblGrid>
      <w:tr w14:paraId="4C7C4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noWrap w:val="0"/>
            <w:vAlign w:val="top"/>
          </w:tcPr>
          <w:p w14:paraId="7054C3E1">
            <w:pPr>
              <w:keepNext w:val="0"/>
              <w:keepLines w:val="0"/>
              <w:suppressLineNumbers w:val="0"/>
              <w:spacing w:before="0" w:beforeAutospacing="0" w:after="0" w:afterAutospacing="0" w:line="360" w:lineRule="auto"/>
              <w:ind w:left="0" w:right="0"/>
              <w:rPr>
                <w:rFonts w:hint="default" w:ascii="宋体" w:hAnsi="宋体" w:cs="Times New Roman"/>
                <w:bCs/>
                <w:color w:val="auto"/>
                <w:szCs w:val="20"/>
                <w:highlight w:val="none"/>
              </w:rPr>
            </w:pPr>
            <w:r>
              <w:rPr>
                <w:rFonts w:hint="eastAsia" w:ascii="宋体" w:hAnsi="宋体" w:cs="Times New Roman"/>
                <w:bCs/>
                <w:color w:val="auto"/>
                <w:szCs w:val="20"/>
                <w:highlight w:val="none"/>
              </w:rPr>
              <w:t>序号</w:t>
            </w:r>
          </w:p>
        </w:tc>
        <w:tc>
          <w:tcPr>
            <w:tcW w:w="576" w:type="pct"/>
            <w:noWrap w:val="0"/>
            <w:vAlign w:val="top"/>
          </w:tcPr>
          <w:p w14:paraId="43F94600">
            <w:pPr>
              <w:keepNext w:val="0"/>
              <w:keepLines w:val="0"/>
              <w:suppressLineNumbers w:val="0"/>
              <w:spacing w:before="0" w:beforeAutospacing="0" w:after="0" w:afterAutospacing="0" w:line="360" w:lineRule="auto"/>
              <w:ind w:left="0" w:right="0"/>
              <w:rPr>
                <w:rFonts w:hint="default" w:ascii="宋体" w:hAnsi="宋体" w:cs="Times New Roman"/>
                <w:bCs/>
                <w:color w:val="auto"/>
                <w:szCs w:val="20"/>
                <w:highlight w:val="none"/>
              </w:rPr>
            </w:pPr>
            <w:r>
              <w:rPr>
                <w:rFonts w:hint="eastAsia" w:ascii="宋体" w:hAnsi="宋体" w:cs="Times New Roman"/>
                <w:bCs/>
                <w:color w:val="auto"/>
                <w:szCs w:val="20"/>
                <w:highlight w:val="none"/>
              </w:rPr>
              <w:t>评分类型</w:t>
            </w:r>
          </w:p>
        </w:tc>
        <w:tc>
          <w:tcPr>
            <w:tcW w:w="3578" w:type="pct"/>
            <w:noWrap w:val="0"/>
            <w:vAlign w:val="top"/>
          </w:tcPr>
          <w:p w14:paraId="0C7859F0">
            <w:pPr>
              <w:keepNext w:val="0"/>
              <w:keepLines w:val="0"/>
              <w:suppressLineNumbers w:val="0"/>
              <w:spacing w:before="0" w:beforeAutospacing="0" w:after="0" w:afterAutospacing="0" w:line="360" w:lineRule="auto"/>
              <w:ind w:left="0" w:right="0"/>
              <w:rPr>
                <w:rFonts w:hint="default" w:ascii="宋体" w:hAnsi="宋体" w:cs="Times New Roman"/>
                <w:bCs/>
                <w:color w:val="auto"/>
                <w:szCs w:val="20"/>
                <w:highlight w:val="none"/>
              </w:rPr>
            </w:pPr>
            <w:r>
              <w:rPr>
                <w:rFonts w:hint="eastAsia" w:ascii="宋体" w:hAnsi="宋体" w:cs="Times New Roman"/>
                <w:bCs/>
                <w:color w:val="auto"/>
                <w:szCs w:val="20"/>
                <w:highlight w:val="none"/>
              </w:rPr>
              <w:t>评分标准</w:t>
            </w:r>
          </w:p>
        </w:tc>
        <w:tc>
          <w:tcPr>
            <w:tcW w:w="488" w:type="pct"/>
            <w:noWrap w:val="0"/>
            <w:vAlign w:val="top"/>
          </w:tcPr>
          <w:p w14:paraId="642FCA3F">
            <w:pPr>
              <w:keepNext w:val="0"/>
              <w:keepLines w:val="0"/>
              <w:suppressLineNumbers w:val="0"/>
              <w:spacing w:before="0" w:beforeAutospacing="0" w:after="0" w:afterAutospacing="0" w:line="360" w:lineRule="auto"/>
              <w:ind w:left="0" w:right="0"/>
              <w:rPr>
                <w:rFonts w:hint="default" w:ascii="宋体" w:hAnsi="宋体" w:cs="Times New Roman"/>
                <w:bCs/>
                <w:color w:val="auto"/>
                <w:szCs w:val="20"/>
                <w:highlight w:val="none"/>
              </w:rPr>
            </w:pPr>
            <w:r>
              <w:rPr>
                <w:rFonts w:hint="eastAsia" w:ascii="宋体" w:hAnsi="宋体" w:cs="Times New Roman"/>
                <w:bCs/>
                <w:color w:val="auto"/>
                <w:szCs w:val="20"/>
                <w:highlight w:val="none"/>
              </w:rPr>
              <w:t>分值</w:t>
            </w:r>
          </w:p>
        </w:tc>
      </w:tr>
      <w:tr w14:paraId="2F8FF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noWrap w:val="0"/>
            <w:vAlign w:val="center"/>
          </w:tcPr>
          <w:p w14:paraId="6A5DCC67">
            <w:pPr>
              <w:keepNext w:val="0"/>
              <w:keepLines w:val="0"/>
              <w:suppressLineNumbers w:val="0"/>
              <w:spacing w:before="0" w:beforeAutospacing="0" w:after="0" w:afterAutospacing="0" w:line="360" w:lineRule="auto"/>
              <w:ind w:left="0" w:right="0"/>
              <w:jc w:val="center"/>
              <w:rPr>
                <w:rFonts w:hint="default" w:ascii="宋体" w:hAnsi="宋体" w:cs="Times New Roman"/>
                <w:bCs/>
                <w:color w:val="auto"/>
                <w:szCs w:val="20"/>
                <w:highlight w:val="none"/>
              </w:rPr>
            </w:pPr>
            <w:r>
              <w:rPr>
                <w:rFonts w:hint="eastAsia" w:ascii="宋体" w:hAnsi="宋体" w:cs="Times New Roman"/>
                <w:bCs/>
                <w:color w:val="auto"/>
                <w:szCs w:val="20"/>
                <w:highlight w:val="none"/>
              </w:rPr>
              <w:t>1</w:t>
            </w:r>
          </w:p>
        </w:tc>
        <w:tc>
          <w:tcPr>
            <w:tcW w:w="576" w:type="pct"/>
            <w:noWrap w:val="0"/>
            <w:vAlign w:val="center"/>
          </w:tcPr>
          <w:p w14:paraId="2EAACFEE">
            <w:pPr>
              <w:keepNext w:val="0"/>
              <w:keepLines w:val="0"/>
              <w:suppressLineNumbers w:val="0"/>
              <w:spacing w:before="0" w:beforeAutospacing="0" w:after="0" w:afterAutospacing="0" w:line="360" w:lineRule="auto"/>
              <w:ind w:left="0" w:right="0"/>
              <w:jc w:val="center"/>
              <w:rPr>
                <w:rFonts w:hint="default" w:ascii="宋体" w:hAnsi="宋体" w:cs="Times New Roman"/>
                <w:bCs/>
                <w:color w:val="auto"/>
                <w:szCs w:val="20"/>
                <w:highlight w:val="none"/>
              </w:rPr>
            </w:pPr>
            <w:r>
              <w:rPr>
                <w:rFonts w:hint="eastAsia" w:ascii="宋体" w:hAnsi="宋体" w:cs="Times New Roman"/>
                <w:bCs/>
                <w:color w:val="auto"/>
                <w:szCs w:val="20"/>
                <w:highlight w:val="none"/>
              </w:rPr>
              <w:t>报价</w:t>
            </w:r>
          </w:p>
        </w:tc>
        <w:tc>
          <w:tcPr>
            <w:tcW w:w="3578" w:type="pct"/>
            <w:noWrap w:val="0"/>
            <w:vAlign w:val="top"/>
          </w:tcPr>
          <w:p w14:paraId="56A56D3C">
            <w:pPr>
              <w:keepNext w:val="0"/>
              <w:keepLines w:val="0"/>
              <w:suppressLineNumbers w:val="0"/>
              <w:spacing w:before="0" w:beforeAutospacing="0" w:after="0" w:afterAutospacing="0" w:line="360" w:lineRule="auto"/>
              <w:ind w:left="0" w:right="0" w:firstLine="420" w:firstLineChars="200"/>
              <w:rPr>
                <w:rFonts w:hint="default" w:ascii="宋体" w:hAnsi="宋体" w:cs="Times New Roman"/>
                <w:color w:val="auto"/>
                <w:highlight w:val="none"/>
              </w:rPr>
            </w:pPr>
            <w:r>
              <w:rPr>
                <w:rFonts w:hint="eastAsia" w:ascii="宋体" w:hAnsi="宋体" w:cs="Times New Roman"/>
                <w:color w:val="auto"/>
                <w:highlight w:val="none"/>
              </w:rPr>
              <w:t>（1）对于非专门面向中小企业的项目，对小型和微型企业产品的价格给予10%的价格扣除，扣除后的价格为评标价，即评标价＝投标报价×（1-10%）；（以投标人按第五章“投标文件格式”要求提供的《报价表》和《中小企业声明函》为评分依据）</w:t>
            </w:r>
          </w:p>
          <w:p w14:paraId="58CC3380">
            <w:pPr>
              <w:keepNext w:val="0"/>
              <w:keepLines w:val="0"/>
              <w:suppressLineNumbers w:val="0"/>
              <w:spacing w:before="0" w:beforeAutospacing="0" w:after="0" w:afterAutospacing="0" w:line="360" w:lineRule="auto"/>
              <w:ind w:left="0" w:right="0" w:firstLine="420" w:firstLineChars="200"/>
              <w:rPr>
                <w:rFonts w:hint="default" w:ascii="宋体" w:hAnsi="宋体" w:cs="Times New Roman"/>
                <w:color w:val="auto"/>
                <w:highlight w:val="none"/>
              </w:rPr>
            </w:pPr>
            <w:r>
              <w:rPr>
                <w:rFonts w:hint="eastAsia" w:ascii="宋体" w:hAnsi="宋体" w:cs="Times New Roman"/>
                <w:color w:val="auto"/>
                <w:highlight w:val="none"/>
              </w:rPr>
              <w:t>（2）对大中型企业和其他自然人、法人或者其他组织与小型、微型企业组成联合体，且联合体协议中约定小型、微型企业的协议合同金额占到联合体协议合同总金额30%以上的，给予</w:t>
            </w:r>
            <w:r>
              <w:rPr>
                <w:rFonts w:hint="eastAsia" w:ascii="宋体" w:hAnsi="宋体" w:cs="Times New Roman"/>
                <w:color w:val="auto"/>
                <w:highlight w:val="none"/>
                <w:lang w:val="en-US" w:eastAsia="zh-CN"/>
              </w:rPr>
              <w:t>4</w:t>
            </w:r>
            <w:r>
              <w:rPr>
                <w:rFonts w:hint="eastAsia" w:ascii="宋体" w:hAnsi="宋体" w:cs="Times New Roman"/>
                <w:color w:val="auto"/>
                <w:highlight w:val="none"/>
              </w:rPr>
              <w:t>%的价格扣除，扣除后的价格为评标价，即评标价＝投标报价×（1-</w:t>
            </w:r>
            <w:r>
              <w:rPr>
                <w:rFonts w:hint="eastAsia" w:ascii="宋体" w:hAnsi="宋体" w:cs="Times New Roman"/>
                <w:color w:val="auto"/>
                <w:highlight w:val="none"/>
                <w:lang w:val="en-US" w:eastAsia="zh-CN"/>
              </w:rPr>
              <w:t>4</w:t>
            </w:r>
            <w:r>
              <w:rPr>
                <w:rFonts w:hint="eastAsia" w:ascii="宋体" w:hAnsi="宋体" w:cs="Times New Roman"/>
                <w:color w:val="auto"/>
                <w:highlight w:val="none"/>
              </w:rPr>
              <w:t>%）；（以投标人按第五章“投标文件格式”要求提供的《报价表》、《中小企业声明函》和《联合体协议书》为评分依据）</w:t>
            </w:r>
          </w:p>
          <w:p w14:paraId="6E1D82D3">
            <w:pPr>
              <w:keepNext w:val="0"/>
              <w:keepLines w:val="0"/>
              <w:suppressLineNumbers w:val="0"/>
              <w:spacing w:before="0" w:beforeAutospacing="0" w:after="0" w:afterAutospacing="0" w:line="360" w:lineRule="auto"/>
              <w:ind w:left="0" w:right="0" w:firstLine="420" w:firstLineChars="200"/>
              <w:rPr>
                <w:rFonts w:hint="default" w:ascii="宋体" w:hAnsi="宋体" w:cs="Times New Roman"/>
                <w:color w:val="auto"/>
                <w:highlight w:val="none"/>
              </w:rPr>
            </w:pPr>
            <w:r>
              <w:rPr>
                <w:rFonts w:hint="eastAsia" w:ascii="宋体" w:hAnsi="宋体" w:cs="Times New Roman"/>
                <w:color w:val="auto"/>
                <w:highlight w:val="none"/>
              </w:rPr>
              <w:t>（3）投标产品提供企业按《关于政府采购支持监狱企业发展有关问题的通知》(财库[2014]68号)认定为监狱企业的，在政府采购活动中，监狱企业视同小型、微型企业。（以投标人按第五章“投标文件格式”要求提供的《报价表》和由省级以上监狱管理局、戒毒管理局(含新疆生产建设兵团</w:t>
            </w:r>
            <w:r>
              <w:rPr>
                <w:rFonts w:hint="eastAsia" w:ascii="宋体" w:hAnsi="宋体" w:cs="Times New Roman"/>
                <w:color w:val="auto"/>
                <w:highlight w:val="none"/>
                <w:lang w:eastAsia="zh-CN"/>
              </w:rPr>
              <w:t>）</w:t>
            </w:r>
            <w:r>
              <w:rPr>
                <w:rFonts w:hint="eastAsia" w:ascii="宋体" w:hAnsi="宋体" w:cs="Times New Roman"/>
                <w:color w:val="auto"/>
                <w:highlight w:val="none"/>
              </w:rPr>
              <w:t>出具的属于监狱企业的证明文件为评分依据。</w:t>
            </w:r>
          </w:p>
          <w:p w14:paraId="731238E5">
            <w:pPr>
              <w:keepNext w:val="0"/>
              <w:keepLines w:val="0"/>
              <w:suppressLineNumbers w:val="0"/>
              <w:spacing w:before="0" w:beforeAutospacing="0" w:after="0" w:afterAutospacing="0" w:line="360" w:lineRule="auto"/>
              <w:ind w:left="0" w:right="0" w:firstLine="420" w:firstLineChars="200"/>
              <w:rPr>
                <w:rFonts w:hint="default" w:ascii="宋体" w:hAnsi="宋体" w:cs="Times New Roman"/>
                <w:color w:val="auto"/>
                <w:highlight w:val="none"/>
              </w:rPr>
            </w:pPr>
            <w:r>
              <w:rPr>
                <w:rFonts w:hint="eastAsia" w:ascii="宋体" w:hAnsi="宋体" w:cs="Times New Roman"/>
                <w:color w:val="auto"/>
                <w:highlight w:val="none"/>
              </w:rPr>
              <w:t>（4）投标产品提供企业按《关于促进残疾人就业政府采购政策的通知》</w:t>
            </w:r>
            <w:r>
              <w:rPr>
                <w:rFonts w:hint="eastAsia" w:ascii="宋体" w:hAnsi="宋体" w:cs="Times New Roman"/>
                <w:color w:val="auto"/>
                <w:highlight w:val="none"/>
                <w:lang w:eastAsia="zh-CN"/>
              </w:rPr>
              <w:t>（</w:t>
            </w:r>
            <w:r>
              <w:rPr>
                <w:rFonts w:hint="eastAsia" w:ascii="宋体" w:hAnsi="宋体" w:cs="Times New Roman"/>
                <w:color w:val="auto"/>
                <w:highlight w:val="none"/>
              </w:rPr>
              <w:t>财库〔2017〕141号</w:t>
            </w:r>
            <w:r>
              <w:rPr>
                <w:rFonts w:hint="eastAsia" w:ascii="宋体" w:hAnsi="宋体" w:cs="Times New Roman"/>
                <w:color w:val="auto"/>
                <w:highlight w:val="none"/>
                <w:lang w:eastAsia="zh-CN"/>
              </w:rPr>
              <w:t>）</w:t>
            </w:r>
            <w:r>
              <w:rPr>
                <w:rFonts w:hint="eastAsia" w:ascii="宋体" w:hAnsi="宋体" w:cs="Times New Roman"/>
                <w:color w:val="auto"/>
                <w:highlight w:val="none"/>
              </w:rPr>
              <w:t>认定为残疾人福利性单位的，在政府采购活动中，残疾人福利性单位视同小型、微型企业。残疾人福利性单位参加政府采购活动时，应当提供该通知规定的，并提交残疾人证及在本企业缴纳社保证明。（以投标人按第五章“投标文件格式”要求提供的《报价表》和《残疾人福利性单位声明函》为评分依据）</w:t>
            </w:r>
          </w:p>
          <w:p w14:paraId="0E0E1638">
            <w:pPr>
              <w:keepNext w:val="0"/>
              <w:keepLines w:val="0"/>
              <w:suppressLineNumbers w:val="0"/>
              <w:spacing w:before="0" w:beforeAutospacing="0" w:after="0" w:afterAutospacing="0" w:line="360" w:lineRule="auto"/>
              <w:ind w:left="0" w:right="0" w:firstLine="420" w:firstLineChars="200"/>
              <w:rPr>
                <w:rFonts w:hint="default" w:ascii="宋体" w:hAnsi="宋体" w:cs="Times New Roman"/>
                <w:bCs/>
                <w:color w:val="auto"/>
                <w:szCs w:val="20"/>
                <w:highlight w:val="none"/>
              </w:rPr>
            </w:pPr>
            <w:r>
              <w:rPr>
                <w:rFonts w:hint="eastAsia" w:ascii="宋体" w:hAnsi="宋体" w:cs="Times New Roman"/>
                <w:color w:val="auto"/>
                <w:highlight w:val="none"/>
              </w:rPr>
              <w:t>（5）除上述情况外，评标价＝投标报价；</w:t>
            </w:r>
            <w:r>
              <w:rPr>
                <w:rFonts w:hint="eastAsia" w:ascii="宋体" w:hAnsi="宋体" w:cs="Times New Roman"/>
                <w:bCs/>
                <w:color w:val="auto"/>
                <w:szCs w:val="20"/>
                <w:highlight w:val="none"/>
              </w:rPr>
              <w:t xml:space="preserve"> </w:t>
            </w:r>
          </w:p>
          <w:p w14:paraId="76DFC6D7">
            <w:pPr>
              <w:keepNext w:val="0"/>
              <w:keepLines w:val="0"/>
              <w:suppressLineNumbers w:val="0"/>
              <w:spacing w:before="0" w:beforeAutospacing="0" w:after="0" w:afterAutospacing="0" w:line="360" w:lineRule="auto"/>
              <w:ind w:left="0" w:right="0" w:firstLine="420" w:firstLineChars="200"/>
              <w:rPr>
                <w:rFonts w:hint="default" w:ascii="宋体" w:hAnsi="宋体" w:cs="Times New Roman"/>
                <w:bCs/>
                <w:color w:val="auto"/>
                <w:szCs w:val="20"/>
                <w:highlight w:val="none"/>
              </w:rPr>
            </w:pPr>
            <w:r>
              <w:rPr>
                <w:rFonts w:hint="eastAsia" w:ascii="宋体" w:hAnsi="宋体" w:cs="Times New Roman"/>
                <w:bCs/>
                <w:color w:val="auto"/>
                <w:szCs w:val="20"/>
                <w:highlight w:val="none"/>
                <w:lang w:eastAsia="zh-CN"/>
              </w:rPr>
              <w:t>（</w:t>
            </w:r>
            <w:r>
              <w:rPr>
                <w:rFonts w:hint="eastAsia" w:ascii="宋体" w:hAnsi="宋体" w:cs="Times New Roman"/>
                <w:bCs/>
                <w:color w:val="auto"/>
                <w:szCs w:val="20"/>
                <w:highlight w:val="none"/>
                <w:lang w:val="en-US" w:eastAsia="zh-CN"/>
              </w:rPr>
              <w:t>6</w:t>
            </w:r>
            <w:r>
              <w:rPr>
                <w:rFonts w:hint="eastAsia" w:ascii="宋体" w:hAnsi="宋体" w:cs="Times New Roman"/>
                <w:bCs/>
                <w:color w:val="auto"/>
                <w:szCs w:val="20"/>
                <w:highlight w:val="none"/>
                <w:lang w:eastAsia="zh-CN"/>
              </w:rPr>
              <w:t>）</w:t>
            </w:r>
            <w:r>
              <w:rPr>
                <w:rFonts w:hint="default" w:ascii="Times New Roman" w:hAnsi="宋体" w:cs="Times New Roman"/>
                <w:bCs/>
                <w:color w:val="auto"/>
                <w:szCs w:val="20"/>
                <w:highlight w:val="none"/>
              </w:rPr>
              <w:t>价格分=[</w:t>
            </w:r>
            <w:r>
              <w:rPr>
                <w:rFonts w:hint="eastAsia" w:ascii="Times New Roman" w:hAnsi="宋体" w:cs="Times New Roman"/>
                <w:bCs/>
                <w:color w:val="auto"/>
                <w:szCs w:val="20"/>
                <w:highlight w:val="none"/>
                <w:lang w:val="en-US" w:eastAsia="zh-CN"/>
              </w:rPr>
              <w:t>投标人最低评标价</w:t>
            </w:r>
            <w:r>
              <w:rPr>
                <w:rFonts w:hint="default" w:ascii="Times New Roman" w:hAnsi="宋体" w:cs="Times New Roman"/>
                <w:bCs/>
                <w:color w:val="auto"/>
                <w:szCs w:val="20"/>
                <w:highlight w:val="none"/>
              </w:rPr>
              <w:t>／</w:t>
            </w:r>
            <w:r>
              <w:rPr>
                <w:rFonts w:hint="eastAsia" w:ascii="Times New Roman" w:hAnsi="宋体" w:cs="Times New Roman"/>
                <w:bCs/>
                <w:color w:val="auto"/>
                <w:szCs w:val="20"/>
                <w:highlight w:val="none"/>
                <w:lang w:val="en-US" w:eastAsia="zh-CN"/>
              </w:rPr>
              <w:t>投标人评标价金额</w:t>
            </w:r>
            <w:r>
              <w:rPr>
                <w:rFonts w:hint="default" w:ascii="Times New Roman" w:hAnsi="宋体" w:cs="Times New Roman"/>
                <w:bCs/>
                <w:color w:val="auto"/>
                <w:szCs w:val="20"/>
                <w:highlight w:val="none"/>
              </w:rPr>
              <w:t>]×10分</w:t>
            </w:r>
          </w:p>
        </w:tc>
        <w:tc>
          <w:tcPr>
            <w:tcW w:w="488" w:type="pct"/>
            <w:noWrap w:val="0"/>
            <w:vAlign w:val="center"/>
          </w:tcPr>
          <w:p w14:paraId="5C0B6EB2">
            <w:pPr>
              <w:keepNext w:val="0"/>
              <w:keepLines w:val="0"/>
              <w:suppressLineNumbers w:val="0"/>
              <w:spacing w:before="0" w:beforeAutospacing="0" w:after="0" w:afterAutospacing="0" w:line="360" w:lineRule="auto"/>
              <w:ind w:left="0" w:right="0"/>
              <w:jc w:val="center"/>
              <w:rPr>
                <w:rFonts w:hint="default" w:ascii="宋体" w:hAnsi="宋体" w:cs="Times New Roman"/>
                <w:bCs/>
                <w:color w:val="auto"/>
                <w:szCs w:val="20"/>
                <w:highlight w:val="none"/>
              </w:rPr>
            </w:pPr>
            <w:r>
              <w:rPr>
                <w:rFonts w:hint="eastAsia" w:ascii="宋体" w:hAnsi="宋体" w:cs="Times New Roman"/>
                <w:bCs/>
                <w:color w:val="auto"/>
                <w:szCs w:val="20"/>
                <w:highlight w:val="none"/>
              </w:rPr>
              <w:t>0~10</w:t>
            </w:r>
          </w:p>
        </w:tc>
      </w:tr>
      <w:tr w14:paraId="6FF4D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noWrap w:val="0"/>
            <w:vAlign w:val="top"/>
          </w:tcPr>
          <w:p w14:paraId="653643BB">
            <w:pPr>
              <w:keepNext w:val="0"/>
              <w:keepLines w:val="0"/>
              <w:suppressLineNumbers w:val="0"/>
              <w:spacing w:before="0" w:beforeAutospacing="0" w:after="0" w:afterAutospacing="0" w:line="360" w:lineRule="auto"/>
              <w:ind w:left="0" w:right="0"/>
              <w:jc w:val="center"/>
              <w:rPr>
                <w:rFonts w:hint="default" w:ascii="宋体" w:hAnsi="宋体" w:cs="Times New Roman"/>
                <w:bCs/>
                <w:color w:val="auto"/>
                <w:szCs w:val="20"/>
                <w:highlight w:val="none"/>
              </w:rPr>
            </w:pPr>
            <w:r>
              <w:rPr>
                <w:rFonts w:hint="eastAsia" w:ascii="宋体" w:hAnsi="宋体" w:cs="Times New Roman"/>
                <w:bCs/>
                <w:color w:val="auto"/>
                <w:szCs w:val="20"/>
                <w:highlight w:val="none"/>
              </w:rPr>
              <w:t>2</w:t>
            </w:r>
          </w:p>
        </w:tc>
        <w:tc>
          <w:tcPr>
            <w:tcW w:w="576" w:type="pct"/>
            <w:noWrap w:val="0"/>
            <w:vAlign w:val="center"/>
          </w:tcPr>
          <w:p w14:paraId="00B05CB0">
            <w:pPr>
              <w:keepNext w:val="0"/>
              <w:keepLines w:val="0"/>
              <w:suppressLineNumbers w:val="0"/>
              <w:spacing w:before="0" w:beforeAutospacing="0" w:after="0" w:afterAutospacing="0" w:line="360" w:lineRule="auto"/>
              <w:ind w:left="0" w:right="0"/>
              <w:jc w:val="center"/>
              <w:rPr>
                <w:rFonts w:hint="default" w:ascii="宋体" w:hAnsi="宋体" w:cs="Times New Roman"/>
                <w:bCs/>
                <w:color w:val="auto"/>
                <w:szCs w:val="20"/>
                <w:highlight w:val="none"/>
              </w:rPr>
            </w:pPr>
            <w:r>
              <w:rPr>
                <w:rFonts w:hint="eastAsia" w:ascii="宋体" w:hAnsi="宋体" w:cs="Times New Roman"/>
                <w:bCs/>
                <w:color w:val="auto"/>
                <w:szCs w:val="20"/>
                <w:highlight w:val="none"/>
              </w:rPr>
              <w:t>技术</w:t>
            </w:r>
          </w:p>
        </w:tc>
        <w:tc>
          <w:tcPr>
            <w:tcW w:w="3578" w:type="pct"/>
            <w:noWrap w:val="0"/>
            <w:vAlign w:val="top"/>
          </w:tcPr>
          <w:p w14:paraId="186157CF">
            <w:pPr>
              <w:keepNext w:val="0"/>
              <w:keepLines w:val="0"/>
              <w:suppressLineNumbers w:val="0"/>
              <w:spacing w:before="0" w:beforeAutospacing="0" w:after="0" w:afterAutospacing="0" w:line="360" w:lineRule="auto"/>
              <w:ind w:left="0" w:right="0"/>
              <w:rPr>
                <w:rFonts w:hint="default" w:ascii="宋体" w:hAnsi="宋体" w:cs="Times New Roman"/>
                <w:bCs/>
                <w:color w:val="auto"/>
                <w:szCs w:val="20"/>
                <w:highlight w:val="none"/>
              </w:rPr>
            </w:pPr>
            <w:r>
              <w:rPr>
                <w:rFonts w:hint="eastAsia" w:ascii="宋体" w:hAnsi="宋体" w:cs="Times New Roman"/>
                <w:bCs/>
                <w:color w:val="auto"/>
                <w:szCs w:val="20"/>
                <w:highlight w:val="none"/>
              </w:rPr>
              <w:t>技术分</w:t>
            </w:r>
          </w:p>
        </w:tc>
        <w:tc>
          <w:tcPr>
            <w:tcW w:w="488" w:type="pct"/>
            <w:noWrap w:val="0"/>
            <w:vAlign w:val="top"/>
          </w:tcPr>
          <w:p w14:paraId="49EA4268">
            <w:pPr>
              <w:keepNext w:val="0"/>
              <w:keepLines w:val="0"/>
              <w:suppressLineNumbers w:val="0"/>
              <w:spacing w:before="0" w:beforeAutospacing="0" w:after="0" w:afterAutospacing="0" w:line="360" w:lineRule="auto"/>
              <w:ind w:left="0" w:right="0"/>
              <w:jc w:val="center"/>
              <w:rPr>
                <w:rFonts w:hint="default" w:ascii="宋体" w:hAnsi="宋体" w:eastAsia="宋体" w:cs="Times New Roman"/>
                <w:bCs/>
                <w:color w:val="auto"/>
                <w:szCs w:val="20"/>
                <w:highlight w:val="none"/>
                <w:lang w:val="en-US" w:eastAsia="zh-CN"/>
              </w:rPr>
            </w:pPr>
            <w:r>
              <w:rPr>
                <w:rFonts w:hint="eastAsia" w:ascii="宋体" w:hAnsi="宋体" w:cs="Times New Roman"/>
                <w:bCs/>
                <w:color w:val="auto"/>
                <w:szCs w:val="20"/>
                <w:highlight w:val="none"/>
                <w:lang w:val="en-US" w:eastAsia="zh-CN"/>
              </w:rPr>
              <w:t>0~69</w:t>
            </w:r>
          </w:p>
        </w:tc>
      </w:tr>
      <w:tr w14:paraId="175DD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noWrap w:val="0"/>
            <w:vAlign w:val="center"/>
          </w:tcPr>
          <w:p w14:paraId="345D9B0D">
            <w:pPr>
              <w:keepNext w:val="0"/>
              <w:keepLines w:val="0"/>
              <w:suppressLineNumbers w:val="0"/>
              <w:spacing w:before="0" w:beforeAutospacing="0" w:after="0" w:afterAutospacing="0" w:line="360" w:lineRule="auto"/>
              <w:ind w:left="0" w:right="0"/>
              <w:jc w:val="center"/>
              <w:rPr>
                <w:rFonts w:hint="default" w:ascii="宋体" w:hAnsi="宋体" w:cs="Times New Roman"/>
                <w:bCs/>
                <w:color w:val="auto"/>
                <w:szCs w:val="20"/>
                <w:highlight w:val="none"/>
              </w:rPr>
            </w:pPr>
            <w:r>
              <w:rPr>
                <w:rFonts w:hint="eastAsia" w:ascii="宋体" w:hAnsi="宋体" w:cs="Times New Roman"/>
                <w:bCs/>
                <w:color w:val="auto"/>
                <w:szCs w:val="20"/>
                <w:highlight w:val="none"/>
              </w:rPr>
              <w:t>2.1</w:t>
            </w:r>
          </w:p>
        </w:tc>
        <w:tc>
          <w:tcPr>
            <w:tcW w:w="576" w:type="pct"/>
            <w:noWrap w:val="0"/>
            <w:vAlign w:val="center"/>
          </w:tcPr>
          <w:p w14:paraId="0BFBA2A8">
            <w:pPr>
              <w:keepNext w:val="0"/>
              <w:keepLines w:val="0"/>
              <w:suppressLineNumbers w:val="0"/>
              <w:spacing w:before="0" w:beforeAutospacing="0" w:after="0" w:afterAutospacing="0" w:line="360" w:lineRule="auto"/>
              <w:ind w:left="0" w:right="0"/>
              <w:jc w:val="center"/>
              <w:rPr>
                <w:rFonts w:hint="default" w:ascii="宋体" w:hAnsi="宋体" w:cs="Times New Roman"/>
                <w:bCs/>
                <w:color w:val="auto"/>
                <w:szCs w:val="20"/>
                <w:highlight w:val="none"/>
              </w:rPr>
            </w:pPr>
            <w:r>
              <w:rPr>
                <w:rFonts w:hint="eastAsia" w:ascii="宋体" w:hAnsi="宋体" w:cs="Times New Roman"/>
                <w:bCs/>
                <w:color w:val="auto"/>
                <w:szCs w:val="20"/>
                <w:highlight w:val="none"/>
              </w:rPr>
              <w:t>技术</w:t>
            </w:r>
          </w:p>
        </w:tc>
        <w:tc>
          <w:tcPr>
            <w:tcW w:w="3578" w:type="pct"/>
            <w:noWrap w:val="0"/>
            <w:vAlign w:val="top"/>
          </w:tcPr>
          <w:p w14:paraId="6CB10916">
            <w:pPr>
              <w:keepNext w:val="0"/>
              <w:keepLines w:val="0"/>
              <w:suppressLineNumbers w:val="0"/>
              <w:spacing w:before="0" w:beforeAutospacing="0" w:after="0" w:afterAutospacing="0" w:line="360" w:lineRule="auto"/>
              <w:ind w:left="0" w:right="0" w:firstLine="422" w:firstLineChars="200"/>
              <w:rPr>
                <w:rFonts w:hint="default" w:ascii="宋体" w:hAnsi="宋体" w:cs="Times New Roman"/>
                <w:b/>
                <w:bCs/>
                <w:color w:val="auto"/>
                <w:szCs w:val="21"/>
                <w:highlight w:val="none"/>
              </w:rPr>
            </w:pPr>
            <w:r>
              <w:rPr>
                <w:rFonts w:hint="eastAsia" w:ascii="宋体" w:hAnsi="宋体" w:cs="Times New Roman"/>
                <w:b/>
                <w:bCs/>
                <w:color w:val="auto"/>
                <w:szCs w:val="21"/>
                <w:highlight w:val="none"/>
              </w:rPr>
              <w:t>（1）整体策划和功能分区（满分</w:t>
            </w:r>
            <w:r>
              <w:rPr>
                <w:rFonts w:hint="eastAsia" w:ascii="宋体" w:hAnsi="宋体" w:cs="Times New Roman"/>
                <w:b/>
                <w:bCs/>
                <w:color w:val="auto"/>
                <w:szCs w:val="21"/>
                <w:highlight w:val="none"/>
                <w:lang w:val="en-US" w:eastAsia="zh-CN"/>
              </w:rPr>
              <w:t>10</w:t>
            </w:r>
            <w:r>
              <w:rPr>
                <w:rFonts w:hint="eastAsia" w:ascii="宋体" w:hAnsi="宋体" w:cs="Times New Roman"/>
                <w:b/>
                <w:bCs/>
                <w:color w:val="auto"/>
                <w:szCs w:val="21"/>
                <w:highlight w:val="none"/>
              </w:rPr>
              <w:t>分）</w:t>
            </w:r>
          </w:p>
          <w:p w14:paraId="4709619D">
            <w:pPr>
              <w:keepNext w:val="0"/>
              <w:keepLines w:val="0"/>
              <w:suppressLineNumbers w:val="0"/>
              <w:spacing w:before="0" w:beforeAutospacing="0" w:after="0" w:afterAutospacing="0" w:line="360" w:lineRule="auto"/>
              <w:ind w:left="0" w:right="0" w:firstLine="420" w:firstLineChars="200"/>
              <w:rPr>
                <w:rFonts w:hint="default" w:ascii="宋体" w:hAnsi="宋体" w:cs="Times New Roman"/>
                <w:color w:val="auto"/>
                <w:szCs w:val="21"/>
                <w:highlight w:val="none"/>
              </w:rPr>
            </w:pPr>
            <w:r>
              <w:rPr>
                <w:rFonts w:hint="eastAsia" w:ascii="宋体" w:hAnsi="宋体" w:cs="Times New Roman"/>
                <w:color w:val="auto"/>
                <w:szCs w:val="21"/>
                <w:highlight w:val="none"/>
              </w:rPr>
              <w:t>一档（0分）：投标文件未提供整体策划和功能分区或者不满足以下评分项的不得分。</w:t>
            </w:r>
          </w:p>
          <w:p w14:paraId="28D90EC3">
            <w:pPr>
              <w:keepNext w:val="0"/>
              <w:keepLines w:val="0"/>
              <w:suppressLineNumbers w:val="0"/>
              <w:spacing w:before="0" w:beforeAutospacing="0" w:after="0" w:afterAutospacing="0" w:line="360" w:lineRule="auto"/>
              <w:ind w:left="0" w:right="0" w:firstLine="420" w:firstLineChars="200"/>
              <w:rPr>
                <w:rFonts w:hint="default" w:ascii="宋体" w:hAnsi="宋体" w:cs="Times New Roman"/>
                <w:color w:val="auto"/>
                <w:szCs w:val="21"/>
                <w:highlight w:val="none"/>
              </w:rPr>
            </w:pPr>
            <w:r>
              <w:rPr>
                <w:rFonts w:hint="eastAsia" w:ascii="宋体" w:hAnsi="宋体" w:cs="Times New Roman"/>
                <w:color w:val="auto"/>
                <w:szCs w:val="21"/>
                <w:highlight w:val="none"/>
              </w:rPr>
              <w:t>二档（</w:t>
            </w:r>
            <w:r>
              <w:rPr>
                <w:rFonts w:hint="eastAsia" w:ascii="宋体" w:hAnsi="宋体" w:cs="Times New Roman"/>
                <w:color w:val="auto"/>
                <w:szCs w:val="21"/>
                <w:highlight w:val="none"/>
                <w:lang w:val="en-US" w:eastAsia="zh-CN"/>
              </w:rPr>
              <w:t>5</w:t>
            </w:r>
            <w:r>
              <w:rPr>
                <w:rFonts w:hint="eastAsia" w:ascii="宋体" w:hAnsi="宋体" w:cs="Times New Roman"/>
                <w:color w:val="auto"/>
                <w:szCs w:val="21"/>
                <w:highlight w:val="none"/>
              </w:rPr>
              <w:t>分）：提供整体策划和功能分区方案，对展示主题、定位把握准确，展示内容与主题契合；对各功能分区有空间规划。</w:t>
            </w:r>
          </w:p>
          <w:p w14:paraId="3D21F0F0">
            <w:pPr>
              <w:keepNext w:val="0"/>
              <w:keepLines w:val="0"/>
              <w:suppressLineNumbers w:val="0"/>
              <w:spacing w:before="0" w:beforeAutospacing="0" w:after="0" w:afterAutospacing="0" w:line="360" w:lineRule="auto"/>
              <w:ind w:left="0" w:right="0" w:firstLine="420" w:firstLineChars="200"/>
              <w:rPr>
                <w:rFonts w:hint="default" w:ascii="宋体" w:hAnsi="宋体" w:cs="Times New Roman"/>
                <w:bCs/>
                <w:color w:val="auto"/>
                <w:szCs w:val="20"/>
                <w:highlight w:val="none"/>
              </w:rPr>
            </w:pPr>
            <w:r>
              <w:rPr>
                <w:rFonts w:hint="eastAsia" w:ascii="宋体" w:hAnsi="宋体" w:cs="Times New Roman"/>
                <w:color w:val="auto"/>
                <w:szCs w:val="21"/>
                <w:highlight w:val="none"/>
              </w:rPr>
              <w:t>三档（</w:t>
            </w:r>
            <w:r>
              <w:rPr>
                <w:rFonts w:hint="eastAsia" w:ascii="宋体" w:hAnsi="宋体" w:cs="Times New Roman"/>
                <w:color w:val="auto"/>
                <w:szCs w:val="21"/>
                <w:highlight w:val="none"/>
                <w:lang w:val="en-US" w:eastAsia="zh-CN"/>
              </w:rPr>
              <w:t>10</w:t>
            </w:r>
            <w:r>
              <w:rPr>
                <w:rFonts w:hint="eastAsia" w:ascii="宋体" w:hAnsi="宋体" w:cs="Times New Roman"/>
                <w:color w:val="auto"/>
                <w:szCs w:val="21"/>
                <w:highlight w:val="none"/>
              </w:rPr>
              <w:t>分）：在满足上一档的基础上，展示理念明确、构思新颖；充分考虑展示区域和功能配套区域的结合，对接待、参观、体验、互动等空间功能均有合理考虑，空间及版块设置科学合理，详细说明各功能分区间的衔接。</w:t>
            </w:r>
          </w:p>
        </w:tc>
        <w:tc>
          <w:tcPr>
            <w:tcW w:w="488" w:type="pct"/>
            <w:noWrap w:val="0"/>
            <w:vAlign w:val="center"/>
          </w:tcPr>
          <w:p w14:paraId="4B503F2D">
            <w:pPr>
              <w:keepNext w:val="0"/>
              <w:keepLines w:val="0"/>
              <w:suppressLineNumbers w:val="0"/>
              <w:spacing w:before="0" w:beforeAutospacing="0" w:after="0" w:afterAutospacing="0" w:line="360" w:lineRule="auto"/>
              <w:ind w:left="0" w:right="0"/>
              <w:jc w:val="center"/>
              <w:rPr>
                <w:rFonts w:hint="default" w:ascii="宋体" w:hAnsi="宋体" w:eastAsia="宋体" w:cs="Times New Roman"/>
                <w:bCs/>
                <w:color w:val="auto"/>
                <w:szCs w:val="20"/>
                <w:highlight w:val="none"/>
                <w:lang w:val="en-US" w:eastAsia="zh-CN"/>
              </w:rPr>
            </w:pPr>
            <w:r>
              <w:rPr>
                <w:rFonts w:hint="eastAsia" w:ascii="宋体" w:hAnsi="宋体" w:cs="Times New Roman"/>
                <w:bCs/>
                <w:color w:val="auto"/>
                <w:szCs w:val="20"/>
                <w:highlight w:val="none"/>
                <w:lang w:val="en-US" w:eastAsia="zh-CN"/>
              </w:rPr>
              <w:t>0~10</w:t>
            </w:r>
          </w:p>
        </w:tc>
      </w:tr>
      <w:tr w14:paraId="4C747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noWrap w:val="0"/>
            <w:vAlign w:val="center"/>
          </w:tcPr>
          <w:p w14:paraId="4395329E">
            <w:pPr>
              <w:keepNext w:val="0"/>
              <w:keepLines w:val="0"/>
              <w:suppressLineNumbers w:val="0"/>
              <w:spacing w:before="0" w:beforeAutospacing="0" w:after="0" w:afterAutospacing="0" w:line="360" w:lineRule="auto"/>
              <w:ind w:left="0" w:right="0"/>
              <w:jc w:val="center"/>
              <w:rPr>
                <w:rFonts w:hint="default" w:ascii="宋体" w:hAnsi="宋体" w:cs="Times New Roman"/>
                <w:bCs/>
                <w:color w:val="auto"/>
                <w:szCs w:val="20"/>
                <w:highlight w:val="none"/>
              </w:rPr>
            </w:pPr>
            <w:r>
              <w:rPr>
                <w:rFonts w:hint="eastAsia" w:ascii="宋体" w:hAnsi="宋体" w:cs="Times New Roman"/>
                <w:bCs/>
                <w:color w:val="auto"/>
                <w:szCs w:val="20"/>
                <w:highlight w:val="none"/>
              </w:rPr>
              <w:t>2.2</w:t>
            </w:r>
          </w:p>
        </w:tc>
        <w:tc>
          <w:tcPr>
            <w:tcW w:w="576" w:type="pct"/>
            <w:noWrap w:val="0"/>
            <w:vAlign w:val="center"/>
          </w:tcPr>
          <w:p w14:paraId="2E35908B">
            <w:pPr>
              <w:keepNext w:val="0"/>
              <w:keepLines w:val="0"/>
              <w:suppressLineNumbers w:val="0"/>
              <w:spacing w:before="0" w:beforeAutospacing="0" w:after="0" w:afterAutospacing="0" w:line="360" w:lineRule="auto"/>
              <w:ind w:left="0" w:right="0"/>
              <w:jc w:val="center"/>
              <w:rPr>
                <w:rFonts w:hint="default" w:ascii="宋体" w:hAnsi="宋体" w:cs="Times New Roman"/>
                <w:bCs/>
                <w:color w:val="auto"/>
                <w:szCs w:val="20"/>
                <w:highlight w:val="none"/>
              </w:rPr>
            </w:pPr>
            <w:r>
              <w:rPr>
                <w:rFonts w:hint="eastAsia" w:ascii="宋体" w:hAnsi="宋体" w:cs="Times New Roman"/>
                <w:bCs/>
                <w:color w:val="auto"/>
                <w:szCs w:val="20"/>
                <w:highlight w:val="none"/>
              </w:rPr>
              <w:t>技术</w:t>
            </w:r>
          </w:p>
        </w:tc>
        <w:tc>
          <w:tcPr>
            <w:tcW w:w="3578" w:type="pct"/>
            <w:noWrap w:val="0"/>
            <w:vAlign w:val="top"/>
          </w:tcPr>
          <w:p w14:paraId="2376EE6A">
            <w:pPr>
              <w:keepNext w:val="0"/>
              <w:keepLines w:val="0"/>
              <w:suppressLineNumbers w:val="0"/>
              <w:spacing w:before="0" w:beforeAutospacing="0" w:after="0" w:afterAutospacing="0" w:line="360" w:lineRule="auto"/>
              <w:ind w:left="0" w:right="0" w:firstLine="422" w:firstLineChars="200"/>
              <w:rPr>
                <w:rFonts w:hint="default" w:ascii="宋体" w:hAnsi="宋体" w:cs="Times New Roman"/>
                <w:b/>
                <w:bCs/>
                <w:color w:val="auto"/>
                <w:szCs w:val="21"/>
                <w:highlight w:val="none"/>
              </w:rPr>
            </w:pPr>
            <w:r>
              <w:rPr>
                <w:rFonts w:hint="eastAsia" w:ascii="宋体" w:hAnsi="宋体" w:cs="Times New Roman"/>
                <w:b/>
                <w:bCs/>
                <w:color w:val="auto"/>
                <w:szCs w:val="21"/>
                <w:highlight w:val="none"/>
              </w:rPr>
              <w:t>（2）展陈大纲（满分</w:t>
            </w:r>
            <w:r>
              <w:rPr>
                <w:rFonts w:hint="eastAsia" w:ascii="宋体" w:hAnsi="宋体" w:cs="Times New Roman"/>
                <w:b/>
                <w:bCs/>
                <w:color w:val="auto"/>
                <w:szCs w:val="21"/>
                <w:highlight w:val="none"/>
                <w:lang w:val="en-US" w:eastAsia="zh-CN"/>
              </w:rPr>
              <w:t>10</w:t>
            </w:r>
            <w:r>
              <w:rPr>
                <w:rFonts w:hint="eastAsia" w:ascii="宋体" w:hAnsi="宋体" w:cs="Times New Roman"/>
                <w:b/>
                <w:bCs/>
                <w:color w:val="auto"/>
                <w:szCs w:val="21"/>
                <w:highlight w:val="none"/>
              </w:rPr>
              <w:t>分）</w:t>
            </w:r>
          </w:p>
          <w:p w14:paraId="1360D468">
            <w:pPr>
              <w:keepNext w:val="0"/>
              <w:keepLines w:val="0"/>
              <w:suppressLineNumbers w:val="0"/>
              <w:spacing w:before="0" w:beforeAutospacing="0" w:after="0" w:afterAutospacing="0" w:line="360" w:lineRule="auto"/>
              <w:ind w:left="0" w:right="0" w:firstLine="420" w:firstLineChars="200"/>
              <w:rPr>
                <w:rFonts w:hint="default" w:ascii="宋体" w:hAnsi="宋体" w:cs="Times New Roman"/>
                <w:color w:val="auto"/>
                <w:szCs w:val="21"/>
                <w:highlight w:val="none"/>
              </w:rPr>
            </w:pPr>
            <w:r>
              <w:rPr>
                <w:rFonts w:hint="eastAsia" w:ascii="宋体" w:hAnsi="宋体" w:cs="Times New Roman"/>
                <w:color w:val="auto"/>
                <w:szCs w:val="21"/>
                <w:highlight w:val="none"/>
              </w:rPr>
              <w:t>一档（0分）：投标文件未提供展陈大纲或不满足以下评分项的不得分。</w:t>
            </w:r>
          </w:p>
          <w:p w14:paraId="52E476FE">
            <w:pPr>
              <w:keepNext w:val="0"/>
              <w:keepLines w:val="0"/>
              <w:suppressLineNumbers w:val="0"/>
              <w:spacing w:before="0" w:beforeAutospacing="0" w:after="0" w:afterAutospacing="0" w:line="360" w:lineRule="auto"/>
              <w:ind w:left="0" w:right="0" w:firstLine="420" w:firstLineChars="200"/>
              <w:rPr>
                <w:rFonts w:hint="default" w:ascii="宋体" w:hAnsi="宋体" w:cs="Times New Roman"/>
                <w:color w:val="auto"/>
                <w:szCs w:val="21"/>
                <w:highlight w:val="none"/>
              </w:rPr>
            </w:pPr>
            <w:r>
              <w:rPr>
                <w:rFonts w:hint="eastAsia" w:ascii="宋体" w:hAnsi="宋体" w:cs="Times New Roman"/>
                <w:color w:val="auto"/>
                <w:szCs w:val="21"/>
                <w:highlight w:val="none"/>
              </w:rPr>
              <w:t>二档（</w:t>
            </w:r>
            <w:r>
              <w:rPr>
                <w:rFonts w:hint="eastAsia" w:ascii="宋体" w:hAnsi="宋体" w:cs="Times New Roman"/>
                <w:color w:val="auto"/>
                <w:szCs w:val="21"/>
                <w:highlight w:val="none"/>
                <w:lang w:val="en-US" w:eastAsia="zh-CN"/>
              </w:rPr>
              <w:t>5</w:t>
            </w:r>
            <w:r>
              <w:rPr>
                <w:rFonts w:hint="eastAsia" w:ascii="宋体" w:hAnsi="宋体" w:cs="Times New Roman"/>
                <w:color w:val="auto"/>
                <w:szCs w:val="21"/>
                <w:highlight w:val="none"/>
              </w:rPr>
              <w:t>分）：展陈大纲主线明确、主题清晰、逻辑完整。</w:t>
            </w:r>
          </w:p>
          <w:p w14:paraId="08DCDFE4">
            <w:pPr>
              <w:keepNext w:val="0"/>
              <w:keepLines w:val="0"/>
              <w:suppressLineNumbers w:val="0"/>
              <w:spacing w:before="0" w:beforeAutospacing="0" w:after="0" w:afterAutospacing="0" w:line="360" w:lineRule="auto"/>
              <w:ind w:left="0" w:right="0" w:firstLine="420" w:firstLineChars="200"/>
              <w:rPr>
                <w:rFonts w:hint="default" w:ascii="宋体" w:hAnsi="宋体" w:cs="Times New Roman"/>
                <w:color w:val="auto"/>
                <w:szCs w:val="21"/>
                <w:highlight w:val="none"/>
              </w:rPr>
            </w:pPr>
            <w:r>
              <w:rPr>
                <w:rFonts w:hint="eastAsia" w:ascii="宋体" w:hAnsi="宋体" w:cs="Times New Roman"/>
                <w:color w:val="auto"/>
                <w:szCs w:val="21"/>
                <w:highlight w:val="none"/>
              </w:rPr>
              <w:t>三档（</w:t>
            </w:r>
            <w:r>
              <w:rPr>
                <w:rFonts w:hint="eastAsia" w:ascii="宋体" w:hAnsi="宋体" w:cs="Times New Roman"/>
                <w:color w:val="auto"/>
                <w:szCs w:val="21"/>
                <w:highlight w:val="none"/>
                <w:lang w:val="en-US" w:eastAsia="zh-CN"/>
              </w:rPr>
              <w:t>10</w:t>
            </w:r>
            <w:r>
              <w:rPr>
                <w:rFonts w:hint="eastAsia" w:ascii="宋体" w:hAnsi="宋体" w:cs="Times New Roman"/>
                <w:color w:val="auto"/>
                <w:szCs w:val="21"/>
                <w:highlight w:val="none"/>
              </w:rPr>
              <w:t>分）：在满足上一档的基础上，展示逻辑线设计合理，展览内容完整详实，模型沙盘展示有机融入内容大纲，有较为丰富的展陈内容考虑。</w:t>
            </w:r>
          </w:p>
          <w:p w14:paraId="43176A97">
            <w:pPr>
              <w:keepNext w:val="0"/>
              <w:keepLines w:val="0"/>
              <w:suppressLineNumbers w:val="0"/>
              <w:spacing w:before="0" w:beforeAutospacing="0" w:after="0" w:afterAutospacing="0" w:line="400" w:lineRule="exact"/>
              <w:ind w:left="0" w:right="0" w:firstLine="422"/>
              <w:rPr>
                <w:rFonts w:hint="default" w:ascii="宋体" w:hAnsi="宋体" w:cs="Times New Roman"/>
                <w:bCs/>
                <w:color w:val="auto"/>
                <w:szCs w:val="20"/>
                <w:highlight w:val="none"/>
              </w:rPr>
            </w:pPr>
          </w:p>
        </w:tc>
        <w:tc>
          <w:tcPr>
            <w:tcW w:w="488" w:type="pct"/>
            <w:noWrap w:val="0"/>
            <w:vAlign w:val="center"/>
          </w:tcPr>
          <w:p w14:paraId="37EC9433">
            <w:pPr>
              <w:keepNext w:val="0"/>
              <w:keepLines w:val="0"/>
              <w:suppressLineNumbers w:val="0"/>
              <w:spacing w:before="0" w:beforeAutospacing="0" w:after="0" w:afterAutospacing="0" w:line="360" w:lineRule="auto"/>
              <w:ind w:left="0" w:right="0"/>
              <w:jc w:val="center"/>
              <w:rPr>
                <w:rFonts w:hint="default" w:ascii="宋体" w:hAnsi="宋体" w:eastAsia="宋体" w:cs="Times New Roman"/>
                <w:bCs/>
                <w:color w:val="auto"/>
                <w:szCs w:val="20"/>
                <w:highlight w:val="none"/>
                <w:lang w:val="en-US" w:eastAsia="zh-CN"/>
              </w:rPr>
            </w:pPr>
            <w:r>
              <w:rPr>
                <w:rFonts w:hint="eastAsia" w:ascii="宋体" w:hAnsi="宋体" w:cs="Times New Roman"/>
                <w:bCs/>
                <w:color w:val="auto"/>
                <w:szCs w:val="20"/>
                <w:highlight w:val="none"/>
                <w:lang w:val="en-US" w:eastAsia="zh-CN"/>
              </w:rPr>
              <w:t>0~10</w:t>
            </w:r>
          </w:p>
        </w:tc>
      </w:tr>
      <w:tr w14:paraId="7709B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noWrap w:val="0"/>
            <w:vAlign w:val="top"/>
          </w:tcPr>
          <w:p w14:paraId="7E5C9FE7">
            <w:pPr>
              <w:keepNext w:val="0"/>
              <w:keepLines w:val="0"/>
              <w:suppressLineNumbers w:val="0"/>
              <w:spacing w:before="0" w:beforeAutospacing="0" w:after="0" w:afterAutospacing="0" w:line="360" w:lineRule="auto"/>
              <w:ind w:left="0" w:right="0"/>
              <w:jc w:val="center"/>
              <w:rPr>
                <w:rFonts w:hint="default" w:ascii="宋体" w:hAnsi="宋体" w:cs="Times New Roman"/>
                <w:bCs/>
                <w:color w:val="auto"/>
                <w:szCs w:val="20"/>
                <w:highlight w:val="none"/>
              </w:rPr>
            </w:pPr>
            <w:r>
              <w:rPr>
                <w:rFonts w:hint="eastAsia" w:ascii="宋体" w:hAnsi="宋体" w:cs="Times New Roman"/>
                <w:bCs/>
                <w:color w:val="auto"/>
                <w:szCs w:val="20"/>
                <w:highlight w:val="none"/>
              </w:rPr>
              <w:t>2.3</w:t>
            </w:r>
          </w:p>
        </w:tc>
        <w:tc>
          <w:tcPr>
            <w:tcW w:w="576" w:type="pct"/>
            <w:noWrap w:val="0"/>
            <w:vAlign w:val="center"/>
          </w:tcPr>
          <w:p w14:paraId="4D5C90CF">
            <w:pPr>
              <w:keepNext w:val="0"/>
              <w:keepLines w:val="0"/>
              <w:suppressLineNumbers w:val="0"/>
              <w:spacing w:before="0" w:beforeAutospacing="0" w:after="0" w:afterAutospacing="0" w:line="360" w:lineRule="auto"/>
              <w:ind w:left="0" w:right="0" w:firstLine="210" w:firstLineChars="100"/>
              <w:jc w:val="center"/>
              <w:rPr>
                <w:rFonts w:hint="default" w:ascii="宋体" w:hAnsi="宋体" w:cs="Times New Roman"/>
                <w:bCs/>
                <w:color w:val="auto"/>
                <w:szCs w:val="20"/>
                <w:highlight w:val="none"/>
              </w:rPr>
            </w:pPr>
            <w:r>
              <w:rPr>
                <w:rFonts w:hint="eastAsia" w:ascii="宋体" w:hAnsi="宋体" w:cs="Times New Roman"/>
                <w:bCs/>
                <w:color w:val="auto"/>
                <w:szCs w:val="20"/>
                <w:highlight w:val="none"/>
              </w:rPr>
              <w:t>技术</w:t>
            </w:r>
          </w:p>
        </w:tc>
        <w:tc>
          <w:tcPr>
            <w:tcW w:w="3578" w:type="pct"/>
            <w:noWrap w:val="0"/>
            <w:vAlign w:val="top"/>
          </w:tcPr>
          <w:p w14:paraId="05C42636">
            <w:pPr>
              <w:keepNext w:val="0"/>
              <w:keepLines w:val="0"/>
              <w:suppressLineNumbers w:val="0"/>
              <w:spacing w:before="0" w:beforeAutospacing="0" w:after="0" w:afterAutospacing="0" w:line="360" w:lineRule="auto"/>
              <w:ind w:left="0" w:right="0" w:firstLine="422" w:firstLineChars="200"/>
              <w:rPr>
                <w:rFonts w:hint="default" w:ascii="宋体" w:hAnsi="宋体" w:cs="Times New Roman"/>
                <w:b/>
                <w:bCs/>
                <w:color w:val="auto"/>
                <w:szCs w:val="21"/>
                <w:highlight w:val="none"/>
              </w:rPr>
            </w:pPr>
            <w:r>
              <w:rPr>
                <w:rFonts w:hint="eastAsia" w:ascii="宋体" w:hAnsi="宋体" w:cs="Times New Roman"/>
                <w:b/>
                <w:bCs/>
                <w:color w:val="auto"/>
                <w:szCs w:val="21"/>
                <w:highlight w:val="none"/>
              </w:rPr>
              <w:t>（3）主要（重点）展项设计（满分</w:t>
            </w:r>
            <w:r>
              <w:rPr>
                <w:rFonts w:hint="eastAsia" w:ascii="宋体" w:hAnsi="宋体" w:cs="Times New Roman"/>
                <w:b/>
                <w:bCs/>
                <w:color w:val="auto"/>
                <w:szCs w:val="21"/>
                <w:highlight w:val="none"/>
                <w:lang w:val="en-US" w:eastAsia="zh-CN"/>
              </w:rPr>
              <w:t>10</w:t>
            </w:r>
            <w:r>
              <w:rPr>
                <w:rFonts w:hint="eastAsia" w:ascii="宋体" w:hAnsi="宋体" w:cs="Times New Roman"/>
                <w:b/>
                <w:bCs/>
                <w:color w:val="auto"/>
                <w:szCs w:val="21"/>
                <w:highlight w:val="none"/>
              </w:rPr>
              <w:t>分）</w:t>
            </w:r>
          </w:p>
          <w:p w14:paraId="54B1F20C">
            <w:pPr>
              <w:keepNext w:val="0"/>
              <w:keepLines w:val="0"/>
              <w:suppressLineNumbers w:val="0"/>
              <w:spacing w:before="0" w:beforeAutospacing="0" w:after="0" w:afterAutospacing="0" w:line="360" w:lineRule="auto"/>
              <w:ind w:left="0" w:right="0" w:firstLine="420" w:firstLineChars="200"/>
              <w:rPr>
                <w:rFonts w:hint="default" w:ascii="宋体" w:hAnsi="宋体" w:cs="Times New Roman"/>
                <w:color w:val="auto"/>
                <w:szCs w:val="21"/>
                <w:highlight w:val="none"/>
              </w:rPr>
            </w:pPr>
            <w:r>
              <w:rPr>
                <w:rFonts w:hint="eastAsia" w:ascii="宋体" w:hAnsi="宋体" w:cs="Times New Roman"/>
                <w:color w:val="auto"/>
                <w:szCs w:val="21"/>
                <w:highlight w:val="none"/>
              </w:rPr>
              <w:t>一档（0分）：未提供方案或方案不满足以下评分项的不得分。</w:t>
            </w:r>
          </w:p>
          <w:p w14:paraId="1BC9FECB">
            <w:pPr>
              <w:keepNext w:val="0"/>
              <w:keepLines w:val="0"/>
              <w:suppressLineNumbers w:val="0"/>
              <w:spacing w:before="0" w:beforeAutospacing="0" w:after="0" w:afterAutospacing="0" w:line="360" w:lineRule="auto"/>
              <w:ind w:left="0" w:right="0" w:firstLine="420" w:firstLineChars="200"/>
              <w:rPr>
                <w:rFonts w:hint="default" w:ascii="宋体" w:hAnsi="宋体" w:cs="Times New Roman"/>
                <w:color w:val="auto"/>
                <w:szCs w:val="21"/>
                <w:highlight w:val="none"/>
              </w:rPr>
            </w:pPr>
            <w:r>
              <w:rPr>
                <w:rFonts w:hint="eastAsia" w:ascii="宋体" w:hAnsi="宋体" w:cs="Times New Roman"/>
                <w:color w:val="auto"/>
                <w:szCs w:val="21"/>
                <w:highlight w:val="none"/>
              </w:rPr>
              <w:t>二档（</w:t>
            </w:r>
            <w:r>
              <w:rPr>
                <w:rFonts w:hint="eastAsia" w:ascii="宋体" w:hAnsi="宋体" w:cs="Times New Roman"/>
                <w:color w:val="auto"/>
                <w:szCs w:val="21"/>
                <w:highlight w:val="none"/>
                <w:lang w:val="en-US" w:eastAsia="zh-CN"/>
              </w:rPr>
              <w:t>3</w:t>
            </w:r>
            <w:r>
              <w:rPr>
                <w:rFonts w:hint="eastAsia" w:ascii="宋体" w:hAnsi="宋体" w:cs="Times New Roman"/>
                <w:color w:val="auto"/>
                <w:szCs w:val="21"/>
                <w:highlight w:val="none"/>
              </w:rPr>
              <w:t>分）：根据展馆主题和改造内容要求，对主要（重点）展项进行设计构思，风格定位、思路和内容清晰详细。</w:t>
            </w:r>
          </w:p>
          <w:p w14:paraId="1642529A">
            <w:pPr>
              <w:keepNext w:val="0"/>
              <w:keepLines w:val="0"/>
              <w:suppressLineNumbers w:val="0"/>
              <w:spacing w:before="0" w:beforeAutospacing="0" w:after="0" w:afterAutospacing="0" w:line="360" w:lineRule="auto"/>
              <w:ind w:left="0" w:right="0" w:firstLine="420" w:firstLineChars="200"/>
              <w:rPr>
                <w:rFonts w:hint="default" w:ascii="宋体" w:hAnsi="宋体" w:cs="Times New Roman"/>
                <w:color w:val="auto"/>
                <w:szCs w:val="21"/>
                <w:highlight w:val="none"/>
              </w:rPr>
            </w:pPr>
            <w:r>
              <w:rPr>
                <w:rFonts w:hint="eastAsia" w:ascii="宋体" w:hAnsi="宋体" w:cs="Times New Roman"/>
                <w:color w:val="auto"/>
                <w:szCs w:val="21"/>
                <w:highlight w:val="none"/>
              </w:rPr>
              <w:t>三档（</w:t>
            </w:r>
            <w:r>
              <w:rPr>
                <w:rFonts w:hint="eastAsia" w:ascii="宋体" w:hAnsi="宋体" w:cs="Times New Roman"/>
                <w:color w:val="auto"/>
                <w:szCs w:val="21"/>
                <w:highlight w:val="none"/>
                <w:lang w:val="en-US" w:eastAsia="zh-CN"/>
              </w:rPr>
              <w:t>6</w:t>
            </w:r>
            <w:r>
              <w:rPr>
                <w:rFonts w:hint="eastAsia" w:ascii="宋体" w:hAnsi="宋体" w:cs="Times New Roman"/>
                <w:color w:val="auto"/>
                <w:szCs w:val="21"/>
                <w:highlight w:val="none"/>
              </w:rPr>
              <w:t>分）：在满足上一档的基础上，能提供主要（重点）展项设计方案的平面图和效果图。</w:t>
            </w:r>
          </w:p>
          <w:p w14:paraId="559DBF83">
            <w:pPr>
              <w:keepNext w:val="0"/>
              <w:keepLines w:val="0"/>
              <w:suppressLineNumbers w:val="0"/>
              <w:spacing w:before="0" w:beforeAutospacing="0" w:after="0" w:afterAutospacing="0" w:line="360" w:lineRule="auto"/>
              <w:ind w:left="0" w:right="0" w:firstLine="420" w:firstLineChars="200"/>
              <w:rPr>
                <w:rFonts w:hint="default" w:ascii="宋体" w:hAnsi="宋体" w:cs="Times New Roman"/>
                <w:color w:val="auto"/>
                <w:szCs w:val="21"/>
                <w:highlight w:val="none"/>
              </w:rPr>
            </w:pPr>
            <w:r>
              <w:rPr>
                <w:rFonts w:hint="eastAsia" w:ascii="宋体" w:hAnsi="宋体" w:cs="Times New Roman"/>
                <w:color w:val="auto"/>
                <w:szCs w:val="21"/>
                <w:highlight w:val="none"/>
              </w:rPr>
              <w:t>四档（</w:t>
            </w:r>
            <w:r>
              <w:rPr>
                <w:rFonts w:hint="eastAsia" w:ascii="宋体" w:hAnsi="宋体" w:cs="Times New Roman"/>
                <w:color w:val="auto"/>
                <w:szCs w:val="21"/>
                <w:highlight w:val="none"/>
                <w:lang w:val="en-US" w:eastAsia="zh-CN"/>
              </w:rPr>
              <w:t>10</w:t>
            </w:r>
            <w:r>
              <w:rPr>
                <w:rFonts w:hint="eastAsia" w:ascii="宋体" w:hAnsi="宋体" w:cs="Times New Roman"/>
                <w:color w:val="auto"/>
                <w:szCs w:val="21"/>
                <w:highlight w:val="none"/>
              </w:rPr>
              <w:t>分）：在满足上一档的基础上，详细列明主要（重点）展项涉及的展示设备（含设备名称、品牌型号、生产厂家、主要技术参数等主要信息）及实现手段、展示效果等。</w:t>
            </w:r>
          </w:p>
          <w:p w14:paraId="29C8D720">
            <w:pPr>
              <w:keepNext w:val="0"/>
              <w:keepLines w:val="0"/>
              <w:suppressLineNumbers w:val="0"/>
              <w:spacing w:before="0" w:beforeAutospacing="0" w:after="0" w:afterAutospacing="0" w:line="400" w:lineRule="exact"/>
              <w:ind w:left="0" w:right="0" w:firstLine="422"/>
              <w:rPr>
                <w:rFonts w:hint="default" w:ascii="宋体" w:hAnsi="宋体" w:cs="Times New Roman"/>
                <w:bCs/>
                <w:color w:val="auto"/>
                <w:szCs w:val="20"/>
                <w:highlight w:val="none"/>
              </w:rPr>
            </w:pPr>
          </w:p>
        </w:tc>
        <w:tc>
          <w:tcPr>
            <w:tcW w:w="488" w:type="pct"/>
            <w:noWrap w:val="0"/>
            <w:vAlign w:val="center"/>
          </w:tcPr>
          <w:p w14:paraId="052734C6">
            <w:pPr>
              <w:keepNext w:val="0"/>
              <w:keepLines w:val="0"/>
              <w:suppressLineNumbers w:val="0"/>
              <w:spacing w:before="0" w:beforeAutospacing="0" w:after="0" w:afterAutospacing="0" w:line="360" w:lineRule="auto"/>
              <w:ind w:left="0" w:right="0"/>
              <w:jc w:val="center"/>
              <w:rPr>
                <w:rFonts w:hint="default" w:ascii="宋体" w:hAnsi="宋体" w:eastAsia="宋体" w:cs="Times New Roman"/>
                <w:bCs/>
                <w:color w:val="auto"/>
                <w:szCs w:val="20"/>
                <w:highlight w:val="none"/>
                <w:lang w:val="en-US" w:eastAsia="zh-CN"/>
              </w:rPr>
            </w:pPr>
            <w:r>
              <w:rPr>
                <w:rFonts w:hint="eastAsia" w:ascii="宋体" w:hAnsi="宋体" w:cs="Times New Roman"/>
                <w:bCs/>
                <w:color w:val="auto"/>
                <w:szCs w:val="20"/>
                <w:highlight w:val="none"/>
                <w:lang w:val="en-US" w:eastAsia="zh-CN"/>
              </w:rPr>
              <w:t>0~10</w:t>
            </w:r>
          </w:p>
        </w:tc>
      </w:tr>
      <w:tr w14:paraId="1F053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noWrap w:val="0"/>
            <w:vAlign w:val="center"/>
          </w:tcPr>
          <w:p w14:paraId="256402DA">
            <w:pPr>
              <w:keepNext w:val="0"/>
              <w:keepLines w:val="0"/>
              <w:suppressLineNumbers w:val="0"/>
              <w:spacing w:before="0" w:beforeAutospacing="0" w:after="0" w:afterAutospacing="0" w:line="360" w:lineRule="auto"/>
              <w:ind w:left="0" w:right="0"/>
              <w:jc w:val="center"/>
              <w:rPr>
                <w:rFonts w:hint="default" w:ascii="宋体" w:hAnsi="宋体" w:cs="Times New Roman"/>
                <w:bCs/>
                <w:color w:val="auto"/>
                <w:szCs w:val="20"/>
                <w:highlight w:val="none"/>
              </w:rPr>
            </w:pPr>
            <w:r>
              <w:rPr>
                <w:rFonts w:hint="eastAsia" w:ascii="宋体" w:hAnsi="宋体" w:cs="Times New Roman"/>
                <w:bCs/>
                <w:color w:val="auto"/>
                <w:szCs w:val="20"/>
                <w:highlight w:val="none"/>
              </w:rPr>
              <w:t>2.4</w:t>
            </w:r>
          </w:p>
        </w:tc>
        <w:tc>
          <w:tcPr>
            <w:tcW w:w="576" w:type="pct"/>
            <w:noWrap w:val="0"/>
            <w:vAlign w:val="center"/>
          </w:tcPr>
          <w:p w14:paraId="148D1B6A">
            <w:pPr>
              <w:keepNext w:val="0"/>
              <w:keepLines w:val="0"/>
              <w:suppressLineNumbers w:val="0"/>
              <w:spacing w:before="0" w:beforeAutospacing="0" w:after="0" w:afterAutospacing="0" w:line="360" w:lineRule="auto"/>
              <w:ind w:left="0" w:right="0" w:firstLine="210" w:firstLineChars="100"/>
              <w:jc w:val="center"/>
              <w:rPr>
                <w:rFonts w:hint="default" w:ascii="宋体" w:hAnsi="宋体" w:cs="Times New Roman"/>
                <w:bCs/>
                <w:color w:val="auto"/>
                <w:szCs w:val="20"/>
                <w:highlight w:val="none"/>
              </w:rPr>
            </w:pPr>
            <w:r>
              <w:rPr>
                <w:rFonts w:hint="eastAsia" w:ascii="宋体" w:hAnsi="宋体" w:cs="Times New Roman"/>
                <w:bCs/>
                <w:color w:val="auto"/>
                <w:szCs w:val="20"/>
                <w:highlight w:val="none"/>
              </w:rPr>
              <w:t>技术</w:t>
            </w:r>
          </w:p>
        </w:tc>
        <w:tc>
          <w:tcPr>
            <w:tcW w:w="3578" w:type="pct"/>
            <w:noWrap w:val="0"/>
            <w:vAlign w:val="top"/>
          </w:tcPr>
          <w:p w14:paraId="3F41A3E9">
            <w:pPr>
              <w:keepNext w:val="0"/>
              <w:keepLines w:val="0"/>
              <w:suppressLineNumbers w:val="0"/>
              <w:spacing w:before="0" w:beforeAutospacing="0" w:after="0" w:afterAutospacing="0" w:line="360" w:lineRule="auto"/>
              <w:ind w:left="0" w:right="0" w:firstLine="422" w:firstLineChars="200"/>
              <w:rPr>
                <w:rFonts w:hint="default" w:ascii="宋体" w:hAnsi="宋体" w:cs="Times New Roman"/>
                <w:b/>
                <w:bCs/>
                <w:color w:val="auto"/>
                <w:szCs w:val="21"/>
                <w:highlight w:val="none"/>
              </w:rPr>
            </w:pPr>
            <w:r>
              <w:rPr>
                <w:rFonts w:hint="eastAsia" w:ascii="宋体" w:hAnsi="宋体" w:cs="Times New Roman"/>
                <w:b/>
                <w:bCs/>
                <w:color w:val="auto"/>
                <w:szCs w:val="21"/>
                <w:highlight w:val="none"/>
              </w:rPr>
              <w:t>（</w:t>
            </w:r>
            <w:r>
              <w:rPr>
                <w:rFonts w:hint="eastAsia" w:ascii="宋体" w:hAnsi="宋体" w:cs="Times New Roman"/>
                <w:b/>
                <w:bCs/>
                <w:color w:val="auto"/>
                <w:szCs w:val="21"/>
                <w:highlight w:val="none"/>
                <w:lang w:val="en-US" w:eastAsia="zh-CN"/>
              </w:rPr>
              <w:t>4</w:t>
            </w:r>
            <w:r>
              <w:rPr>
                <w:rFonts w:hint="eastAsia" w:ascii="宋体" w:hAnsi="宋体" w:cs="Times New Roman"/>
                <w:b/>
                <w:bCs/>
                <w:color w:val="auto"/>
                <w:szCs w:val="21"/>
                <w:highlight w:val="none"/>
              </w:rPr>
              <w:t>）</w:t>
            </w:r>
            <w:r>
              <w:rPr>
                <w:rFonts w:hint="eastAsia" w:ascii="宋体" w:hAnsi="宋体" w:cs="Times New Roman"/>
                <w:b/>
                <w:bCs/>
                <w:color w:val="auto"/>
                <w:szCs w:val="21"/>
                <w:highlight w:val="none"/>
                <w:lang w:val="en-US" w:eastAsia="zh-CN"/>
              </w:rPr>
              <w:t>数字沙盘专篇设计</w:t>
            </w:r>
            <w:r>
              <w:rPr>
                <w:rFonts w:hint="eastAsia" w:ascii="宋体" w:hAnsi="宋体" w:cs="Times New Roman"/>
                <w:b/>
                <w:bCs/>
                <w:color w:val="auto"/>
                <w:szCs w:val="21"/>
                <w:highlight w:val="none"/>
              </w:rPr>
              <w:t>（满分</w:t>
            </w:r>
            <w:r>
              <w:rPr>
                <w:rFonts w:hint="eastAsia" w:ascii="宋体" w:hAnsi="宋体" w:cs="Times New Roman"/>
                <w:b/>
                <w:bCs/>
                <w:color w:val="auto"/>
                <w:szCs w:val="21"/>
                <w:highlight w:val="none"/>
                <w:lang w:val="en-US" w:eastAsia="zh-CN"/>
              </w:rPr>
              <w:t>12</w:t>
            </w:r>
            <w:r>
              <w:rPr>
                <w:rFonts w:hint="eastAsia" w:ascii="宋体" w:hAnsi="宋体" w:cs="Times New Roman"/>
                <w:b/>
                <w:bCs/>
                <w:color w:val="auto"/>
                <w:szCs w:val="21"/>
                <w:highlight w:val="none"/>
              </w:rPr>
              <w:t>分）</w:t>
            </w:r>
          </w:p>
          <w:p w14:paraId="3D99F6EC">
            <w:pPr>
              <w:keepNext w:val="0"/>
              <w:keepLines w:val="0"/>
              <w:suppressLineNumbers w:val="0"/>
              <w:spacing w:before="0" w:beforeAutospacing="0" w:after="0" w:afterAutospacing="0" w:line="360" w:lineRule="auto"/>
              <w:ind w:left="0" w:right="0" w:firstLine="420" w:firstLineChars="200"/>
              <w:rPr>
                <w:rFonts w:hint="default" w:ascii="宋体" w:hAnsi="宋体" w:cs="Times New Roman"/>
                <w:color w:val="auto"/>
                <w:szCs w:val="21"/>
                <w:highlight w:val="none"/>
              </w:rPr>
            </w:pPr>
            <w:r>
              <w:rPr>
                <w:rFonts w:hint="eastAsia" w:ascii="宋体" w:hAnsi="宋体" w:cs="Times New Roman"/>
                <w:color w:val="auto"/>
                <w:szCs w:val="21"/>
                <w:highlight w:val="none"/>
              </w:rPr>
              <w:t>一档（0分）：未提供方案或方案不满足以下评分项的不得分。</w:t>
            </w:r>
          </w:p>
          <w:p w14:paraId="66B4AC0E">
            <w:pPr>
              <w:keepNext w:val="0"/>
              <w:keepLines w:val="0"/>
              <w:suppressLineNumbers w:val="0"/>
              <w:spacing w:before="0" w:beforeAutospacing="0" w:after="0" w:afterAutospacing="0" w:line="360" w:lineRule="auto"/>
              <w:ind w:left="0" w:right="0" w:firstLine="420" w:firstLineChars="200"/>
              <w:rPr>
                <w:rFonts w:hint="default" w:ascii="宋体" w:hAnsi="宋体" w:cs="Times New Roman"/>
                <w:color w:val="auto"/>
                <w:szCs w:val="21"/>
                <w:highlight w:val="none"/>
              </w:rPr>
            </w:pPr>
            <w:r>
              <w:rPr>
                <w:rFonts w:hint="eastAsia" w:ascii="宋体" w:hAnsi="宋体" w:cs="Times New Roman"/>
                <w:color w:val="auto"/>
                <w:szCs w:val="21"/>
                <w:highlight w:val="none"/>
              </w:rPr>
              <w:t>二档（</w:t>
            </w:r>
            <w:r>
              <w:rPr>
                <w:rFonts w:hint="eastAsia" w:ascii="宋体" w:hAnsi="宋体" w:cs="Times New Roman"/>
                <w:color w:val="auto"/>
                <w:szCs w:val="21"/>
                <w:highlight w:val="none"/>
                <w:lang w:val="en-US" w:eastAsia="zh-CN"/>
              </w:rPr>
              <w:t>4</w:t>
            </w:r>
            <w:r>
              <w:rPr>
                <w:rFonts w:hint="eastAsia" w:ascii="宋体" w:hAnsi="宋体" w:cs="Times New Roman"/>
                <w:color w:val="auto"/>
                <w:szCs w:val="21"/>
                <w:highlight w:val="none"/>
              </w:rPr>
              <w:t>分）：</w:t>
            </w:r>
            <w:r>
              <w:rPr>
                <w:rFonts w:hint="eastAsia" w:ascii="宋体" w:hAnsi="宋体" w:cs="Times New Roman"/>
                <w:color w:val="auto"/>
                <w:szCs w:val="21"/>
                <w:highlight w:val="none"/>
                <w:lang w:val="en-US" w:eastAsia="zh-CN"/>
              </w:rPr>
              <w:t>提供的数字沙盘方案</w:t>
            </w:r>
            <w:r>
              <w:rPr>
                <w:rFonts w:hint="eastAsia" w:ascii="宋体" w:hAnsi="宋体" w:cs="Times New Roman"/>
                <w:color w:val="auto"/>
                <w:szCs w:val="21"/>
                <w:highlight w:val="none"/>
              </w:rPr>
              <w:t>建设内容丰富、覆盖市域、视觉震撼、交互友好</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rPr>
              <w:t>能有效运用最新的科技手段，充分展现其功能的多样性和实用性。在数据展示、分析、交互功能上进行创新设计，整体效果震撼。</w:t>
            </w:r>
            <w:r>
              <w:rPr>
                <w:rFonts w:hint="eastAsia" w:ascii="宋体" w:hAnsi="宋体" w:cs="Times New Roman"/>
                <w:color w:val="auto"/>
                <w:szCs w:val="21"/>
                <w:highlight w:val="none"/>
                <w:lang w:val="en-US" w:eastAsia="zh-CN"/>
              </w:rPr>
              <w:t>同时</w:t>
            </w:r>
            <w:r>
              <w:rPr>
                <w:rFonts w:hint="eastAsia" w:ascii="宋体" w:hAnsi="宋体" w:cs="Times New Roman"/>
                <w:color w:val="auto"/>
                <w:szCs w:val="21"/>
                <w:highlight w:val="none"/>
              </w:rPr>
              <w:t>方便参观查询，数据拓展性强且更新便利。</w:t>
            </w:r>
          </w:p>
          <w:p w14:paraId="69FB48A0">
            <w:pPr>
              <w:keepNext w:val="0"/>
              <w:keepLines w:val="0"/>
              <w:suppressLineNumbers w:val="0"/>
              <w:spacing w:before="0" w:beforeAutospacing="0" w:after="0" w:afterAutospacing="0" w:line="360" w:lineRule="auto"/>
              <w:ind w:left="0" w:right="0" w:firstLine="420" w:firstLineChars="200"/>
              <w:rPr>
                <w:rFonts w:hint="default" w:ascii="宋体" w:hAnsi="宋体" w:cs="Times New Roman"/>
                <w:color w:val="auto"/>
                <w:szCs w:val="21"/>
                <w:highlight w:val="none"/>
              </w:rPr>
            </w:pPr>
            <w:r>
              <w:rPr>
                <w:rFonts w:hint="eastAsia" w:ascii="宋体" w:hAnsi="宋体" w:cs="Times New Roman"/>
                <w:color w:val="auto"/>
                <w:szCs w:val="21"/>
                <w:highlight w:val="none"/>
              </w:rPr>
              <w:t>三档（</w:t>
            </w:r>
            <w:r>
              <w:rPr>
                <w:rFonts w:hint="eastAsia" w:ascii="宋体" w:hAnsi="宋体" w:cs="Times New Roman"/>
                <w:color w:val="auto"/>
                <w:szCs w:val="21"/>
                <w:highlight w:val="none"/>
                <w:lang w:val="en-US" w:eastAsia="zh-CN"/>
              </w:rPr>
              <w:t>8</w:t>
            </w:r>
            <w:r>
              <w:rPr>
                <w:rFonts w:hint="eastAsia" w:ascii="宋体" w:hAnsi="宋体" w:cs="Times New Roman"/>
                <w:color w:val="auto"/>
                <w:szCs w:val="21"/>
                <w:highlight w:val="none"/>
              </w:rPr>
              <w:t>分）：在满足上一档的基础上，能提供</w:t>
            </w:r>
            <w:r>
              <w:rPr>
                <w:rFonts w:hint="eastAsia" w:ascii="宋体" w:hAnsi="宋体" w:cs="Times New Roman"/>
                <w:color w:val="auto"/>
                <w:szCs w:val="21"/>
                <w:highlight w:val="none"/>
                <w:lang w:val="en-US" w:eastAsia="zh-CN"/>
              </w:rPr>
              <w:t>5张及以上南宁万象城周边20公里范围且基于真实城市面貌的</w:t>
            </w:r>
            <w:r>
              <w:rPr>
                <w:rFonts w:hint="eastAsia" w:ascii="宋体" w:hAnsi="宋体" w:cs="Times New Roman"/>
                <w:color w:val="auto"/>
                <w:szCs w:val="21"/>
                <w:highlight w:val="none"/>
              </w:rPr>
              <w:t>三维场景</w:t>
            </w:r>
            <w:r>
              <w:rPr>
                <w:rFonts w:hint="eastAsia" w:ascii="宋体" w:hAnsi="宋体" w:cs="Times New Roman"/>
                <w:color w:val="auto"/>
                <w:szCs w:val="21"/>
                <w:highlight w:val="none"/>
                <w:lang w:val="en-US" w:eastAsia="zh-CN"/>
              </w:rPr>
              <w:t>数字沙盘效果</w:t>
            </w:r>
            <w:r>
              <w:rPr>
                <w:rFonts w:hint="eastAsia" w:ascii="宋体" w:hAnsi="宋体" w:cs="Times New Roman"/>
                <w:color w:val="auto"/>
                <w:szCs w:val="21"/>
                <w:highlight w:val="none"/>
              </w:rPr>
              <w:t>模拟</w:t>
            </w:r>
            <w:r>
              <w:rPr>
                <w:rFonts w:hint="eastAsia" w:ascii="宋体" w:hAnsi="宋体" w:cs="Times New Roman"/>
                <w:color w:val="auto"/>
                <w:szCs w:val="21"/>
                <w:highlight w:val="none"/>
                <w:lang w:val="en-US" w:eastAsia="zh-CN"/>
              </w:rPr>
              <w:t>截图</w:t>
            </w:r>
            <w:r>
              <w:rPr>
                <w:rFonts w:hint="eastAsia" w:ascii="宋体" w:hAnsi="宋体" w:cs="Times New Roman"/>
                <w:color w:val="auto"/>
                <w:szCs w:val="21"/>
                <w:highlight w:val="none"/>
              </w:rPr>
              <w:t>。</w:t>
            </w:r>
          </w:p>
          <w:p w14:paraId="596CC4FE">
            <w:pPr>
              <w:keepNext w:val="0"/>
              <w:keepLines w:val="0"/>
              <w:suppressLineNumbers w:val="0"/>
              <w:spacing w:before="0" w:beforeAutospacing="0" w:after="0" w:afterAutospacing="0" w:line="360" w:lineRule="auto"/>
              <w:ind w:left="0" w:right="0" w:firstLine="420" w:firstLineChars="200"/>
              <w:rPr>
                <w:rFonts w:hint="default" w:ascii="宋体" w:hAnsi="宋体" w:cs="Times New Roman"/>
                <w:color w:val="auto"/>
                <w:szCs w:val="21"/>
                <w:highlight w:val="none"/>
              </w:rPr>
            </w:pPr>
            <w:r>
              <w:rPr>
                <w:rFonts w:hint="eastAsia" w:ascii="宋体" w:hAnsi="宋体" w:cs="Times New Roman"/>
                <w:color w:val="auto"/>
                <w:szCs w:val="21"/>
                <w:highlight w:val="none"/>
              </w:rPr>
              <w:t>四档（</w:t>
            </w:r>
            <w:r>
              <w:rPr>
                <w:rFonts w:hint="eastAsia" w:ascii="宋体" w:hAnsi="宋体" w:cs="Times New Roman"/>
                <w:color w:val="auto"/>
                <w:szCs w:val="21"/>
                <w:highlight w:val="none"/>
                <w:lang w:val="en-US" w:eastAsia="zh-CN"/>
              </w:rPr>
              <w:t>12</w:t>
            </w:r>
            <w:r>
              <w:rPr>
                <w:rFonts w:hint="eastAsia" w:ascii="宋体" w:hAnsi="宋体" w:cs="Times New Roman"/>
                <w:color w:val="auto"/>
                <w:szCs w:val="21"/>
                <w:highlight w:val="none"/>
              </w:rPr>
              <w:t>分）：在满足上一档的基础上，</w:t>
            </w:r>
            <w:r>
              <w:rPr>
                <w:rFonts w:hint="eastAsia" w:ascii="宋体" w:hAnsi="宋体" w:cs="Times New Roman"/>
                <w:color w:val="auto"/>
                <w:szCs w:val="21"/>
                <w:highlight w:val="none"/>
                <w:lang w:val="en-US" w:eastAsia="zh-CN"/>
              </w:rPr>
              <w:t>能提供15张及以上南宁万象城周边20公里范围且基于真实城市面貌的</w:t>
            </w:r>
            <w:r>
              <w:rPr>
                <w:rFonts w:hint="eastAsia" w:ascii="宋体" w:hAnsi="宋体" w:cs="Times New Roman"/>
                <w:color w:val="auto"/>
                <w:szCs w:val="21"/>
                <w:highlight w:val="none"/>
              </w:rPr>
              <w:t>三维场景</w:t>
            </w:r>
            <w:r>
              <w:rPr>
                <w:rFonts w:hint="eastAsia" w:ascii="宋体" w:hAnsi="宋体" w:cs="Times New Roman"/>
                <w:color w:val="auto"/>
                <w:szCs w:val="21"/>
                <w:highlight w:val="none"/>
                <w:lang w:val="en-US" w:eastAsia="zh-CN"/>
              </w:rPr>
              <w:t>数字沙盘效果</w:t>
            </w:r>
            <w:r>
              <w:rPr>
                <w:rFonts w:hint="eastAsia" w:ascii="宋体" w:hAnsi="宋体" w:cs="Times New Roman"/>
                <w:color w:val="auto"/>
                <w:szCs w:val="21"/>
                <w:highlight w:val="none"/>
              </w:rPr>
              <w:t>模拟</w:t>
            </w:r>
            <w:r>
              <w:rPr>
                <w:rFonts w:hint="eastAsia" w:ascii="宋体" w:hAnsi="宋体" w:cs="Times New Roman"/>
                <w:color w:val="auto"/>
                <w:szCs w:val="21"/>
                <w:highlight w:val="none"/>
                <w:lang w:val="en-US" w:eastAsia="zh-CN"/>
              </w:rPr>
              <w:t>截图</w:t>
            </w:r>
            <w:r>
              <w:rPr>
                <w:rFonts w:hint="eastAsia" w:ascii="宋体" w:hAnsi="宋体" w:cs="Times New Roman"/>
                <w:color w:val="auto"/>
                <w:szCs w:val="21"/>
                <w:highlight w:val="none"/>
              </w:rPr>
              <w:t>。</w:t>
            </w:r>
            <w:r>
              <w:rPr>
                <w:rFonts w:hint="eastAsia" w:ascii="宋体" w:hAnsi="宋体" w:cs="Times New Roman"/>
                <w:color w:val="auto"/>
                <w:szCs w:val="21"/>
                <w:highlight w:val="none"/>
                <w:lang w:val="en-US" w:eastAsia="zh-CN"/>
              </w:rPr>
              <w:t>且能较好的反应数字沙盘</w:t>
            </w:r>
            <w:r>
              <w:rPr>
                <w:rFonts w:hint="eastAsia" w:ascii="宋体" w:hAnsi="宋体" w:cs="Times New Roman"/>
                <w:color w:val="auto"/>
                <w:szCs w:val="21"/>
                <w:highlight w:val="none"/>
              </w:rPr>
              <w:t>真实玻璃反射、真实光影模拟、多视角互动浏览、近景展示效果等。</w:t>
            </w:r>
          </w:p>
        </w:tc>
        <w:tc>
          <w:tcPr>
            <w:tcW w:w="488" w:type="pct"/>
            <w:noWrap w:val="0"/>
            <w:vAlign w:val="center"/>
          </w:tcPr>
          <w:p w14:paraId="42341FF6">
            <w:pPr>
              <w:keepNext w:val="0"/>
              <w:keepLines w:val="0"/>
              <w:suppressLineNumbers w:val="0"/>
              <w:spacing w:before="0" w:beforeAutospacing="0" w:after="0" w:afterAutospacing="0" w:line="360" w:lineRule="auto"/>
              <w:ind w:left="0" w:right="0"/>
              <w:jc w:val="center"/>
              <w:rPr>
                <w:rFonts w:hint="default" w:ascii="宋体" w:hAnsi="宋体" w:eastAsia="宋体" w:cs="Times New Roman"/>
                <w:bCs/>
                <w:color w:val="auto"/>
                <w:szCs w:val="20"/>
                <w:highlight w:val="none"/>
                <w:lang w:val="en-US" w:eastAsia="zh-CN"/>
              </w:rPr>
            </w:pPr>
            <w:r>
              <w:rPr>
                <w:rFonts w:hint="eastAsia" w:ascii="宋体" w:hAnsi="宋体" w:cs="Times New Roman"/>
                <w:bCs/>
                <w:color w:val="auto"/>
                <w:szCs w:val="20"/>
                <w:highlight w:val="none"/>
                <w:lang w:val="en-US" w:eastAsia="zh-CN"/>
              </w:rPr>
              <w:t>0~12</w:t>
            </w:r>
          </w:p>
        </w:tc>
      </w:tr>
      <w:tr w14:paraId="3DF43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noWrap w:val="0"/>
            <w:vAlign w:val="center"/>
          </w:tcPr>
          <w:p w14:paraId="63C6DCA1">
            <w:pPr>
              <w:keepNext w:val="0"/>
              <w:keepLines w:val="0"/>
              <w:suppressLineNumbers w:val="0"/>
              <w:spacing w:before="0" w:beforeAutospacing="0" w:after="0" w:afterAutospacing="0" w:line="360" w:lineRule="auto"/>
              <w:ind w:left="0" w:right="0"/>
              <w:jc w:val="center"/>
              <w:rPr>
                <w:rFonts w:hint="default" w:ascii="宋体" w:hAnsi="宋体" w:cs="Times New Roman"/>
                <w:bCs/>
                <w:color w:val="auto"/>
                <w:szCs w:val="20"/>
                <w:highlight w:val="none"/>
              </w:rPr>
            </w:pPr>
            <w:r>
              <w:rPr>
                <w:rFonts w:hint="eastAsia" w:ascii="宋体" w:hAnsi="宋体" w:cs="Times New Roman"/>
                <w:bCs/>
                <w:color w:val="auto"/>
                <w:szCs w:val="20"/>
                <w:highlight w:val="none"/>
              </w:rPr>
              <w:t>2.5</w:t>
            </w:r>
          </w:p>
        </w:tc>
        <w:tc>
          <w:tcPr>
            <w:tcW w:w="576" w:type="pct"/>
            <w:noWrap w:val="0"/>
            <w:vAlign w:val="center"/>
          </w:tcPr>
          <w:p w14:paraId="6F3C8D70">
            <w:pPr>
              <w:keepNext w:val="0"/>
              <w:keepLines w:val="0"/>
              <w:suppressLineNumbers w:val="0"/>
              <w:spacing w:before="0" w:beforeAutospacing="0" w:after="0" w:afterAutospacing="0" w:line="360" w:lineRule="auto"/>
              <w:ind w:left="0" w:right="0" w:firstLine="210" w:firstLineChars="100"/>
              <w:jc w:val="center"/>
              <w:rPr>
                <w:rFonts w:hint="default" w:ascii="宋体" w:hAnsi="宋体" w:cs="Times New Roman"/>
                <w:bCs/>
                <w:color w:val="auto"/>
                <w:szCs w:val="20"/>
                <w:highlight w:val="none"/>
              </w:rPr>
            </w:pPr>
            <w:r>
              <w:rPr>
                <w:rFonts w:hint="eastAsia" w:ascii="宋体" w:hAnsi="宋体" w:cs="Times New Roman"/>
                <w:bCs/>
                <w:color w:val="auto"/>
                <w:szCs w:val="20"/>
                <w:highlight w:val="none"/>
              </w:rPr>
              <w:t>技术</w:t>
            </w:r>
          </w:p>
        </w:tc>
        <w:tc>
          <w:tcPr>
            <w:tcW w:w="3578" w:type="pct"/>
            <w:noWrap w:val="0"/>
            <w:vAlign w:val="top"/>
          </w:tcPr>
          <w:p w14:paraId="2B127C43">
            <w:pPr>
              <w:keepNext w:val="0"/>
              <w:keepLines w:val="0"/>
              <w:suppressLineNumbers w:val="0"/>
              <w:spacing w:before="0" w:beforeAutospacing="0" w:after="0" w:afterAutospacing="0" w:line="360" w:lineRule="auto"/>
              <w:ind w:left="0" w:right="0" w:firstLine="422" w:firstLineChars="200"/>
              <w:rPr>
                <w:rFonts w:hint="default" w:ascii="宋体" w:hAnsi="宋体" w:cs="Times New Roman"/>
                <w:b/>
                <w:bCs/>
                <w:color w:val="auto"/>
                <w:szCs w:val="21"/>
                <w:highlight w:val="none"/>
              </w:rPr>
            </w:pPr>
            <w:r>
              <w:rPr>
                <w:rFonts w:hint="eastAsia" w:ascii="宋体" w:hAnsi="宋体" w:cs="Times New Roman"/>
                <w:b/>
                <w:bCs/>
                <w:color w:val="auto"/>
                <w:szCs w:val="21"/>
                <w:highlight w:val="none"/>
              </w:rPr>
              <w:t>（5）展区设计效果（满分</w:t>
            </w:r>
            <w:r>
              <w:rPr>
                <w:rFonts w:hint="eastAsia" w:ascii="宋体" w:hAnsi="宋体" w:cs="Times New Roman"/>
                <w:b/>
                <w:bCs/>
                <w:color w:val="auto"/>
                <w:szCs w:val="21"/>
                <w:highlight w:val="none"/>
                <w:lang w:val="en-US" w:eastAsia="zh-CN"/>
              </w:rPr>
              <w:t>10</w:t>
            </w:r>
            <w:r>
              <w:rPr>
                <w:rFonts w:hint="eastAsia" w:ascii="宋体" w:hAnsi="宋体" w:cs="Times New Roman"/>
                <w:b/>
                <w:bCs/>
                <w:color w:val="auto"/>
                <w:szCs w:val="21"/>
                <w:highlight w:val="none"/>
              </w:rPr>
              <w:t>分）</w:t>
            </w:r>
          </w:p>
          <w:p w14:paraId="7023A583">
            <w:pPr>
              <w:keepNext w:val="0"/>
              <w:keepLines w:val="0"/>
              <w:suppressLineNumbers w:val="0"/>
              <w:spacing w:before="0" w:beforeAutospacing="0" w:after="0" w:afterAutospacing="0" w:line="360" w:lineRule="auto"/>
              <w:ind w:left="0" w:right="0" w:firstLine="420" w:firstLineChars="200"/>
              <w:rPr>
                <w:rFonts w:hint="default" w:ascii="宋体" w:hAnsi="宋体" w:cs="Times New Roman"/>
                <w:color w:val="auto"/>
                <w:szCs w:val="21"/>
                <w:highlight w:val="none"/>
              </w:rPr>
            </w:pPr>
            <w:r>
              <w:rPr>
                <w:rFonts w:hint="eastAsia" w:ascii="宋体" w:hAnsi="宋体" w:cs="Times New Roman"/>
                <w:color w:val="auto"/>
                <w:szCs w:val="21"/>
                <w:highlight w:val="none"/>
              </w:rPr>
              <w:t>一档（0分）：未提供展区设计说明和效果图，或设计内容完全不满足以下评分项要求的，不得分。</w:t>
            </w:r>
          </w:p>
          <w:p w14:paraId="7941EFEB">
            <w:pPr>
              <w:keepNext w:val="0"/>
              <w:keepLines w:val="0"/>
              <w:suppressLineNumbers w:val="0"/>
              <w:spacing w:before="0" w:beforeAutospacing="0" w:after="0" w:afterAutospacing="0" w:line="360" w:lineRule="auto"/>
              <w:ind w:left="0" w:right="0" w:firstLine="420" w:firstLineChars="200"/>
              <w:rPr>
                <w:rFonts w:hint="default" w:ascii="宋体" w:hAnsi="宋体" w:cs="Times New Roman"/>
                <w:color w:val="auto"/>
                <w:szCs w:val="21"/>
                <w:highlight w:val="none"/>
              </w:rPr>
            </w:pPr>
            <w:r>
              <w:rPr>
                <w:rFonts w:hint="eastAsia" w:ascii="宋体" w:hAnsi="宋体" w:cs="Times New Roman"/>
                <w:color w:val="auto"/>
                <w:szCs w:val="21"/>
                <w:highlight w:val="none"/>
              </w:rPr>
              <w:t>二档（</w:t>
            </w:r>
            <w:r>
              <w:rPr>
                <w:rFonts w:hint="eastAsia" w:ascii="宋体" w:hAnsi="宋体" w:cs="Times New Roman"/>
                <w:color w:val="auto"/>
                <w:szCs w:val="21"/>
                <w:highlight w:val="none"/>
                <w:lang w:val="en-US" w:eastAsia="zh-CN"/>
              </w:rPr>
              <w:t>5</w:t>
            </w:r>
            <w:r>
              <w:rPr>
                <w:rFonts w:hint="eastAsia" w:ascii="宋体" w:hAnsi="宋体" w:cs="Times New Roman"/>
                <w:color w:val="auto"/>
                <w:szCs w:val="21"/>
                <w:highlight w:val="none"/>
              </w:rPr>
              <w:t>分）：</w:t>
            </w:r>
            <w:r>
              <w:rPr>
                <w:rFonts w:hint="eastAsia" w:ascii="宋体" w:hAnsi="宋体" w:cs="Times New Roman"/>
                <w:color w:val="auto"/>
                <w:szCs w:val="21"/>
                <w:highlight w:val="none"/>
                <w:u w:val="single"/>
              </w:rPr>
              <w:t>设计要素基本协调</w:t>
            </w:r>
            <w:r>
              <w:rPr>
                <w:rFonts w:hint="eastAsia" w:ascii="宋体" w:hAnsi="宋体" w:cs="Times New Roman"/>
                <w:color w:val="auto"/>
                <w:szCs w:val="21"/>
                <w:highlight w:val="none"/>
              </w:rPr>
              <w:t>（展陈空间、设备、灯光、质感、声音等要素基本协调，能够体现一定的设计思路）；</w:t>
            </w:r>
            <w:r>
              <w:rPr>
                <w:rFonts w:hint="eastAsia" w:ascii="宋体" w:hAnsi="宋体" w:cs="Times New Roman"/>
                <w:color w:val="auto"/>
                <w:szCs w:val="21"/>
                <w:highlight w:val="none"/>
                <w:u w:val="single"/>
              </w:rPr>
              <w:t>展示手法合理</w:t>
            </w:r>
            <w:r>
              <w:rPr>
                <w:rFonts w:hint="eastAsia" w:ascii="宋体" w:hAnsi="宋体" w:cs="Times New Roman"/>
                <w:color w:val="auto"/>
                <w:szCs w:val="21"/>
                <w:highlight w:val="none"/>
              </w:rPr>
              <w:t>（展示手法具有一定的多样性和科学性，展示手段具备基本的参与感或互动性）；</w:t>
            </w:r>
            <w:r>
              <w:rPr>
                <w:rFonts w:hint="eastAsia" w:ascii="宋体" w:hAnsi="宋体" w:cs="Times New Roman"/>
                <w:color w:val="auto"/>
                <w:szCs w:val="21"/>
                <w:highlight w:val="none"/>
                <w:u w:val="single"/>
              </w:rPr>
              <w:t>空间设计基本合理</w:t>
            </w:r>
            <w:r>
              <w:rPr>
                <w:rFonts w:hint="eastAsia" w:ascii="宋体" w:hAnsi="宋体" w:cs="Times New Roman"/>
                <w:color w:val="auto"/>
                <w:szCs w:val="21"/>
                <w:highlight w:val="none"/>
              </w:rPr>
              <w:t>（展区空间设计基本满足展示需求，能够运用灯光、数字或多媒体系统等手段展示展项）；</w:t>
            </w:r>
            <w:r>
              <w:rPr>
                <w:rFonts w:hint="eastAsia" w:ascii="宋体" w:hAnsi="宋体" w:cs="Times New Roman"/>
                <w:color w:val="auto"/>
                <w:szCs w:val="21"/>
                <w:highlight w:val="none"/>
                <w:u w:val="single"/>
              </w:rPr>
              <w:t>技术配备达标</w:t>
            </w:r>
            <w:r>
              <w:rPr>
                <w:rFonts w:hint="eastAsia" w:ascii="宋体" w:hAnsi="宋体" w:cs="Times New Roman"/>
                <w:color w:val="auto"/>
                <w:szCs w:val="21"/>
                <w:highlight w:val="none"/>
              </w:rPr>
              <w:t>（影视、多媒体系统配备基本合理，技术能够支持展示内容）。</w:t>
            </w:r>
          </w:p>
          <w:p w14:paraId="2198D81B">
            <w:pPr>
              <w:keepNext w:val="0"/>
              <w:keepLines w:val="0"/>
              <w:suppressLineNumbers w:val="0"/>
              <w:spacing w:before="0" w:beforeAutospacing="0" w:after="0" w:afterAutospacing="0" w:line="400" w:lineRule="exact"/>
              <w:ind w:left="0" w:right="0" w:firstLine="422"/>
              <w:rPr>
                <w:rFonts w:hint="default" w:ascii="宋体" w:hAnsi="宋体" w:cs="Times New Roman"/>
                <w:color w:val="auto"/>
                <w:szCs w:val="21"/>
                <w:highlight w:val="none"/>
              </w:rPr>
            </w:pPr>
            <w:r>
              <w:rPr>
                <w:rFonts w:hint="eastAsia" w:ascii="宋体" w:hAnsi="宋体" w:cs="Times New Roman"/>
                <w:color w:val="auto"/>
                <w:szCs w:val="21"/>
                <w:highlight w:val="none"/>
              </w:rPr>
              <w:t>三档（</w:t>
            </w:r>
            <w:r>
              <w:rPr>
                <w:rFonts w:hint="eastAsia" w:ascii="宋体" w:hAnsi="宋体" w:cs="Times New Roman"/>
                <w:color w:val="auto"/>
                <w:szCs w:val="21"/>
                <w:highlight w:val="none"/>
                <w:lang w:val="en-US" w:eastAsia="zh-CN"/>
              </w:rPr>
              <w:t>10</w:t>
            </w:r>
            <w:r>
              <w:rPr>
                <w:rFonts w:hint="eastAsia" w:ascii="宋体" w:hAnsi="宋体" w:cs="Times New Roman"/>
                <w:color w:val="auto"/>
                <w:szCs w:val="21"/>
                <w:highlight w:val="none"/>
              </w:rPr>
              <w:t>分）：</w:t>
            </w:r>
            <w:r>
              <w:rPr>
                <w:rFonts w:hint="eastAsia" w:ascii="宋体" w:hAnsi="宋体" w:cs="Times New Roman"/>
                <w:color w:val="auto"/>
                <w:szCs w:val="21"/>
                <w:highlight w:val="none"/>
                <w:u w:val="single"/>
              </w:rPr>
              <w:t>设计要素高度协调</w:t>
            </w:r>
            <w:r>
              <w:rPr>
                <w:rFonts w:hint="eastAsia" w:ascii="宋体" w:hAnsi="宋体" w:cs="Times New Roman"/>
                <w:color w:val="auto"/>
                <w:szCs w:val="21"/>
                <w:highlight w:val="none"/>
              </w:rPr>
              <w:t>（展陈空间、设备、灯光、质感、声音等要素高度协调统一，营造出具有强烈标识性和艺术美感的总体效果）；</w:t>
            </w:r>
            <w:r>
              <w:rPr>
                <w:rFonts w:hint="eastAsia" w:ascii="宋体" w:hAnsi="宋体" w:cs="Times New Roman"/>
                <w:color w:val="auto"/>
                <w:szCs w:val="21"/>
                <w:highlight w:val="none"/>
                <w:u w:val="single"/>
              </w:rPr>
              <w:t>展示手法创新且科学</w:t>
            </w:r>
            <w:r>
              <w:rPr>
                <w:rFonts w:hint="eastAsia" w:ascii="宋体" w:hAnsi="宋体" w:cs="Times New Roman"/>
                <w:color w:val="auto"/>
                <w:szCs w:val="21"/>
                <w:highlight w:val="none"/>
              </w:rPr>
              <w:t>（展示手法具有创新性、多样性和科学性，展示手段具备高度的参与感、互动性和体验性，能够有效吸引观众）；</w:t>
            </w:r>
            <w:r>
              <w:rPr>
                <w:rFonts w:hint="eastAsia" w:ascii="宋体" w:hAnsi="宋体" w:cs="Times New Roman"/>
                <w:color w:val="auto"/>
                <w:szCs w:val="21"/>
                <w:highlight w:val="none"/>
                <w:u w:val="single"/>
              </w:rPr>
              <w:t>空间设计优化</w:t>
            </w:r>
            <w:r>
              <w:rPr>
                <w:rFonts w:hint="eastAsia" w:ascii="宋体" w:hAnsi="宋体" w:cs="Times New Roman"/>
                <w:color w:val="auto"/>
                <w:szCs w:val="21"/>
                <w:highlight w:val="none"/>
              </w:rPr>
              <w:t>（展区空间设计充分契合展示手段需求，灯光、数字及多媒体系统等运用巧妙，能够最大化展示展项效果）；</w:t>
            </w:r>
            <w:r>
              <w:rPr>
                <w:rFonts w:hint="eastAsia" w:ascii="宋体" w:hAnsi="宋体" w:cs="Times New Roman"/>
                <w:color w:val="auto"/>
                <w:szCs w:val="21"/>
                <w:highlight w:val="none"/>
                <w:u w:val="single"/>
              </w:rPr>
              <w:t>技术配备先进</w:t>
            </w:r>
            <w:r>
              <w:rPr>
                <w:rFonts w:hint="eastAsia" w:ascii="宋体" w:hAnsi="宋体" w:cs="Times New Roman"/>
                <w:color w:val="auto"/>
                <w:szCs w:val="21"/>
                <w:highlight w:val="none"/>
              </w:rPr>
              <w:t>（影视、多媒体系统配备先进，技术优良，能够高效、稳定地支持展示内容）；</w:t>
            </w:r>
            <w:r>
              <w:rPr>
                <w:rFonts w:hint="eastAsia" w:ascii="宋体" w:hAnsi="宋体" w:cs="Times New Roman"/>
                <w:color w:val="auto"/>
                <w:szCs w:val="21"/>
                <w:highlight w:val="none"/>
                <w:u w:val="single"/>
              </w:rPr>
              <w:t>艺术感染力强</w:t>
            </w:r>
            <w:r>
              <w:rPr>
                <w:rFonts w:hint="eastAsia" w:ascii="宋体" w:hAnsi="宋体" w:cs="Times New Roman"/>
                <w:color w:val="auto"/>
                <w:szCs w:val="21"/>
                <w:highlight w:val="none"/>
              </w:rPr>
              <w:t>（展示总体效果舒适美观，具有强烈的艺术感染力和视觉冲击力，能够清晰、生动地表达布展思路和意图）。</w:t>
            </w:r>
          </w:p>
        </w:tc>
        <w:tc>
          <w:tcPr>
            <w:tcW w:w="488" w:type="pct"/>
            <w:noWrap w:val="0"/>
            <w:vAlign w:val="center"/>
          </w:tcPr>
          <w:p w14:paraId="50AE64AF">
            <w:pPr>
              <w:keepNext w:val="0"/>
              <w:keepLines w:val="0"/>
              <w:suppressLineNumbers w:val="0"/>
              <w:spacing w:before="0" w:beforeAutospacing="0" w:after="0" w:afterAutospacing="0" w:line="360" w:lineRule="auto"/>
              <w:ind w:left="0" w:right="0"/>
              <w:jc w:val="center"/>
              <w:rPr>
                <w:rFonts w:hint="default" w:ascii="宋体" w:hAnsi="宋体" w:eastAsia="宋体" w:cs="Times New Roman"/>
                <w:bCs/>
                <w:color w:val="auto"/>
                <w:szCs w:val="20"/>
                <w:highlight w:val="none"/>
                <w:lang w:val="en-US" w:eastAsia="zh-CN"/>
              </w:rPr>
            </w:pPr>
            <w:r>
              <w:rPr>
                <w:rFonts w:hint="eastAsia" w:ascii="宋体" w:hAnsi="宋体" w:cs="Times New Roman"/>
                <w:bCs/>
                <w:color w:val="auto"/>
                <w:szCs w:val="20"/>
                <w:highlight w:val="none"/>
                <w:lang w:val="en-US" w:eastAsia="zh-CN"/>
              </w:rPr>
              <w:t>0~10</w:t>
            </w:r>
          </w:p>
        </w:tc>
      </w:tr>
      <w:tr w14:paraId="463B7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noWrap w:val="0"/>
            <w:vAlign w:val="center"/>
          </w:tcPr>
          <w:p w14:paraId="78E3D3F1">
            <w:pPr>
              <w:keepNext w:val="0"/>
              <w:keepLines w:val="0"/>
              <w:suppressLineNumbers w:val="0"/>
              <w:spacing w:before="0" w:beforeAutospacing="0" w:after="0" w:afterAutospacing="0" w:line="360" w:lineRule="auto"/>
              <w:ind w:left="0" w:right="0"/>
              <w:jc w:val="center"/>
              <w:rPr>
                <w:rFonts w:hint="default" w:ascii="宋体" w:hAnsi="宋体" w:cs="Times New Roman"/>
                <w:bCs/>
                <w:color w:val="auto"/>
                <w:szCs w:val="20"/>
                <w:highlight w:val="none"/>
              </w:rPr>
            </w:pPr>
            <w:r>
              <w:rPr>
                <w:rFonts w:hint="eastAsia" w:ascii="宋体" w:hAnsi="宋体" w:cs="Times New Roman"/>
                <w:bCs/>
                <w:color w:val="auto"/>
                <w:szCs w:val="20"/>
                <w:highlight w:val="none"/>
              </w:rPr>
              <w:t>2.6</w:t>
            </w:r>
          </w:p>
        </w:tc>
        <w:tc>
          <w:tcPr>
            <w:tcW w:w="576" w:type="pct"/>
            <w:noWrap w:val="0"/>
            <w:vAlign w:val="center"/>
          </w:tcPr>
          <w:p w14:paraId="312506FA">
            <w:pPr>
              <w:keepNext w:val="0"/>
              <w:keepLines w:val="0"/>
              <w:suppressLineNumbers w:val="0"/>
              <w:spacing w:before="0" w:beforeAutospacing="0" w:after="0" w:afterAutospacing="0" w:line="360" w:lineRule="auto"/>
              <w:ind w:left="0" w:right="0" w:firstLine="210" w:firstLineChars="100"/>
              <w:jc w:val="center"/>
              <w:rPr>
                <w:rFonts w:hint="default" w:ascii="宋体" w:hAnsi="宋体" w:cs="Times New Roman"/>
                <w:bCs/>
                <w:color w:val="auto"/>
                <w:szCs w:val="20"/>
                <w:highlight w:val="none"/>
              </w:rPr>
            </w:pPr>
            <w:r>
              <w:rPr>
                <w:rFonts w:hint="eastAsia" w:ascii="宋体" w:hAnsi="宋体" w:cs="Times New Roman"/>
                <w:bCs/>
                <w:color w:val="auto"/>
                <w:szCs w:val="20"/>
                <w:highlight w:val="none"/>
              </w:rPr>
              <w:t>技术</w:t>
            </w:r>
          </w:p>
        </w:tc>
        <w:tc>
          <w:tcPr>
            <w:tcW w:w="3578" w:type="pct"/>
            <w:noWrap w:val="0"/>
            <w:vAlign w:val="top"/>
          </w:tcPr>
          <w:p w14:paraId="155AE4D4">
            <w:pPr>
              <w:keepNext w:val="0"/>
              <w:keepLines w:val="0"/>
              <w:suppressLineNumbers w:val="0"/>
              <w:spacing w:before="0" w:beforeAutospacing="0" w:after="0" w:afterAutospacing="0" w:line="360" w:lineRule="auto"/>
              <w:ind w:left="0" w:right="0" w:firstLine="422" w:firstLineChars="200"/>
              <w:rPr>
                <w:rFonts w:hint="default" w:ascii="宋体" w:hAnsi="宋体" w:cs="Times New Roman"/>
                <w:b/>
                <w:bCs/>
                <w:color w:val="auto"/>
                <w:szCs w:val="21"/>
                <w:highlight w:val="none"/>
              </w:rPr>
            </w:pPr>
            <w:r>
              <w:rPr>
                <w:rFonts w:hint="eastAsia" w:ascii="宋体" w:hAnsi="宋体" w:cs="Times New Roman"/>
                <w:b/>
                <w:bCs/>
                <w:color w:val="auto"/>
                <w:szCs w:val="21"/>
                <w:highlight w:val="none"/>
              </w:rPr>
              <w:t>（6）项目整体服务实施方案（满分</w:t>
            </w:r>
            <w:r>
              <w:rPr>
                <w:rFonts w:hint="eastAsia" w:ascii="宋体" w:hAnsi="宋体" w:cs="Times New Roman"/>
                <w:b/>
                <w:bCs/>
                <w:color w:val="auto"/>
                <w:szCs w:val="21"/>
                <w:highlight w:val="none"/>
                <w:lang w:val="en-US" w:eastAsia="zh-CN"/>
              </w:rPr>
              <w:t>10</w:t>
            </w:r>
            <w:r>
              <w:rPr>
                <w:rFonts w:hint="eastAsia" w:ascii="宋体" w:hAnsi="宋体" w:cs="Times New Roman"/>
                <w:b/>
                <w:bCs/>
                <w:color w:val="auto"/>
                <w:szCs w:val="21"/>
                <w:highlight w:val="none"/>
              </w:rPr>
              <w:t>分）</w:t>
            </w:r>
          </w:p>
          <w:p w14:paraId="128318E8">
            <w:pPr>
              <w:keepNext w:val="0"/>
              <w:keepLines w:val="0"/>
              <w:suppressLineNumbers w:val="0"/>
              <w:spacing w:before="0" w:beforeAutospacing="0" w:after="0" w:afterAutospacing="0" w:line="360" w:lineRule="auto"/>
              <w:ind w:left="0" w:right="0" w:firstLine="420" w:firstLineChars="200"/>
              <w:rPr>
                <w:rFonts w:hint="default" w:ascii="宋体" w:hAnsi="宋体" w:cs="Times New Roman"/>
                <w:color w:val="auto"/>
                <w:szCs w:val="21"/>
                <w:highlight w:val="none"/>
              </w:rPr>
            </w:pPr>
            <w:r>
              <w:rPr>
                <w:rFonts w:hint="eastAsia" w:ascii="宋体" w:hAnsi="宋体" w:cs="Times New Roman"/>
                <w:color w:val="auto"/>
                <w:szCs w:val="21"/>
                <w:highlight w:val="none"/>
              </w:rPr>
              <w:t>一档（0分）：未提供方案或方案不满足以下评分项的不得分。</w:t>
            </w:r>
          </w:p>
          <w:p w14:paraId="02660006">
            <w:pPr>
              <w:keepNext w:val="0"/>
              <w:keepLines w:val="0"/>
              <w:suppressLineNumbers w:val="0"/>
              <w:spacing w:before="0" w:beforeAutospacing="0" w:after="0" w:afterAutospacing="0" w:line="360" w:lineRule="auto"/>
              <w:ind w:left="0" w:right="0" w:firstLine="420" w:firstLineChars="200"/>
              <w:rPr>
                <w:rFonts w:hint="default" w:ascii="宋体" w:hAnsi="宋体" w:cs="Times New Roman"/>
                <w:color w:val="auto"/>
                <w:szCs w:val="21"/>
                <w:highlight w:val="none"/>
              </w:rPr>
            </w:pPr>
            <w:r>
              <w:rPr>
                <w:rFonts w:hint="eastAsia" w:ascii="宋体" w:hAnsi="宋体" w:cs="Times New Roman"/>
                <w:color w:val="auto"/>
                <w:szCs w:val="21"/>
                <w:highlight w:val="none"/>
              </w:rPr>
              <w:t>二档（</w:t>
            </w:r>
            <w:r>
              <w:rPr>
                <w:rFonts w:hint="eastAsia" w:ascii="宋体" w:hAnsi="宋体" w:cs="Times New Roman"/>
                <w:color w:val="auto"/>
                <w:szCs w:val="21"/>
                <w:highlight w:val="none"/>
                <w:lang w:val="en-US" w:eastAsia="zh-CN"/>
              </w:rPr>
              <w:t>5</w:t>
            </w:r>
            <w:r>
              <w:rPr>
                <w:rFonts w:hint="eastAsia" w:ascii="宋体" w:hAnsi="宋体" w:cs="Times New Roman"/>
                <w:color w:val="auto"/>
                <w:szCs w:val="21"/>
                <w:highlight w:val="none"/>
              </w:rPr>
              <w:t>分）：方案能根据项目目标，从合同签订到展馆改造完成各环节工作内容和节点计划（至少包含方案策划、布展设计、施工图绘制及现场实施、验收、售后等）进行详细且合理的分解说明；</w:t>
            </w:r>
            <w:r>
              <w:rPr>
                <w:rFonts w:hint="eastAsia" w:ascii="宋体" w:hAnsi="宋体" w:cs="Times New Roman"/>
                <w:color w:val="auto"/>
                <w:szCs w:val="21"/>
                <w:highlight w:val="none"/>
                <w:lang w:val="en-US" w:eastAsia="zh-CN"/>
              </w:rPr>
              <w:t>项目管理组织机构合理、</w:t>
            </w:r>
            <w:r>
              <w:rPr>
                <w:rFonts w:hint="eastAsia" w:ascii="宋体" w:hAnsi="宋体" w:cs="Times New Roman"/>
                <w:color w:val="auto"/>
                <w:szCs w:val="21"/>
                <w:highlight w:val="none"/>
              </w:rPr>
              <w:t>设计人员、施工人员和管理人员工作职责清晰，分工明确。</w:t>
            </w:r>
          </w:p>
          <w:p w14:paraId="29670341">
            <w:pPr>
              <w:keepNext w:val="0"/>
              <w:keepLines w:val="0"/>
              <w:suppressLineNumbers w:val="0"/>
              <w:spacing w:before="0" w:beforeAutospacing="0" w:after="0" w:afterAutospacing="0" w:line="360" w:lineRule="auto"/>
              <w:ind w:left="0" w:right="0" w:firstLine="420" w:firstLineChars="200"/>
              <w:rPr>
                <w:rFonts w:hint="default" w:ascii="宋体" w:hAnsi="宋体" w:cs="Times New Roman"/>
                <w:color w:val="auto"/>
                <w:szCs w:val="21"/>
                <w:highlight w:val="none"/>
              </w:rPr>
            </w:pPr>
            <w:r>
              <w:rPr>
                <w:rFonts w:hint="eastAsia" w:ascii="宋体" w:hAnsi="宋体" w:cs="Times New Roman"/>
                <w:color w:val="auto"/>
                <w:szCs w:val="21"/>
                <w:highlight w:val="none"/>
              </w:rPr>
              <w:t>三档（</w:t>
            </w:r>
            <w:r>
              <w:rPr>
                <w:rFonts w:hint="eastAsia" w:ascii="宋体" w:hAnsi="宋体" w:cs="Times New Roman"/>
                <w:color w:val="auto"/>
                <w:szCs w:val="21"/>
                <w:highlight w:val="none"/>
                <w:lang w:val="en-US" w:eastAsia="zh-CN"/>
              </w:rPr>
              <w:t>10</w:t>
            </w:r>
            <w:r>
              <w:rPr>
                <w:rFonts w:hint="eastAsia" w:ascii="宋体" w:hAnsi="宋体" w:cs="Times New Roman"/>
                <w:color w:val="auto"/>
                <w:szCs w:val="21"/>
                <w:highlight w:val="none"/>
              </w:rPr>
              <w:t>分）：在满足上一档的基础上，每个环节均配置有满足岗位需求的管理人员、劳务人员和设备、材料说明，编制拟投入本项目相关人、机、料的一览表，且根据上一档各环节工作编制具体工作措施。</w:t>
            </w:r>
            <w:r>
              <w:rPr>
                <w:rFonts w:hint="eastAsia" w:ascii="宋体" w:hAnsi="宋体" w:cs="Times New Roman"/>
                <w:color w:val="auto"/>
                <w:szCs w:val="21"/>
                <w:highlight w:val="none"/>
                <w:lang w:val="en-US" w:eastAsia="zh-CN"/>
              </w:rPr>
              <w:t>合理的项目实施进度计划。</w:t>
            </w:r>
          </w:p>
        </w:tc>
        <w:tc>
          <w:tcPr>
            <w:tcW w:w="488" w:type="pct"/>
            <w:noWrap w:val="0"/>
            <w:vAlign w:val="center"/>
          </w:tcPr>
          <w:p w14:paraId="4A889090">
            <w:pPr>
              <w:keepNext w:val="0"/>
              <w:keepLines w:val="0"/>
              <w:suppressLineNumbers w:val="0"/>
              <w:spacing w:before="0" w:beforeAutospacing="0" w:after="0" w:afterAutospacing="0" w:line="360" w:lineRule="auto"/>
              <w:ind w:left="0" w:right="0"/>
              <w:jc w:val="center"/>
              <w:rPr>
                <w:rFonts w:hint="default" w:ascii="宋体" w:hAnsi="宋体" w:eastAsia="宋体" w:cs="Times New Roman"/>
                <w:bCs/>
                <w:color w:val="auto"/>
                <w:szCs w:val="20"/>
                <w:highlight w:val="none"/>
                <w:lang w:val="en-US" w:eastAsia="zh-CN"/>
              </w:rPr>
            </w:pPr>
            <w:r>
              <w:rPr>
                <w:rFonts w:hint="eastAsia" w:ascii="宋体" w:hAnsi="宋体" w:cs="Times New Roman"/>
                <w:bCs/>
                <w:color w:val="auto"/>
                <w:szCs w:val="20"/>
                <w:highlight w:val="none"/>
                <w:lang w:val="en-US" w:eastAsia="zh-CN"/>
              </w:rPr>
              <w:t>0~10</w:t>
            </w:r>
          </w:p>
        </w:tc>
      </w:tr>
      <w:tr w14:paraId="3F612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noWrap w:val="0"/>
            <w:vAlign w:val="center"/>
          </w:tcPr>
          <w:p w14:paraId="67E90878">
            <w:pPr>
              <w:keepNext w:val="0"/>
              <w:keepLines w:val="0"/>
              <w:suppressLineNumbers w:val="0"/>
              <w:spacing w:before="0" w:beforeAutospacing="0" w:after="0" w:afterAutospacing="0" w:line="360" w:lineRule="auto"/>
              <w:ind w:left="0" w:right="0"/>
              <w:jc w:val="center"/>
              <w:rPr>
                <w:rFonts w:hint="default" w:ascii="宋体" w:hAnsi="宋体" w:cs="Times New Roman"/>
                <w:bCs/>
                <w:color w:val="auto"/>
                <w:szCs w:val="20"/>
                <w:highlight w:val="none"/>
              </w:rPr>
            </w:pPr>
            <w:r>
              <w:rPr>
                <w:rFonts w:hint="eastAsia" w:ascii="宋体" w:hAnsi="宋体" w:cs="Times New Roman"/>
                <w:bCs/>
                <w:color w:val="auto"/>
                <w:szCs w:val="20"/>
                <w:highlight w:val="none"/>
              </w:rPr>
              <w:t>2.7</w:t>
            </w:r>
          </w:p>
        </w:tc>
        <w:tc>
          <w:tcPr>
            <w:tcW w:w="576" w:type="pct"/>
            <w:noWrap w:val="0"/>
            <w:vAlign w:val="center"/>
          </w:tcPr>
          <w:p w14:paraId="541CE28C">
            <w:pPr>
              <w:keepNext w:val="0"/>
              <w:keepLines w:val="0"/>
              <w:suppressLineNumbers w:val="0"/>
              <w:spacing w:before="0" w:beforeAutospacing="0" w:after="0" w:afterAutospacing="0" w:line="360" w:lineRule="auto"/>
              <w:ind w:left="0" w:right="0" w:firstLine="210" w:firstLineChars="100"/>
              <w:jc w:val="center"/>
              <w:rPr>
                <w:rFonts w:hint="default" w:ascii="宋体" w:hAnsi="宋体" w:cs="Times New Roman"/>
                <w:bCs/>
                <w:color w:val="auto"/>
                <w:szCs w:val="20"/>
                <w:highlight w:val="none"/>
              </w:rPr>
            </w:pPr>
            <w:r>
              <w:rPr>
                <w:rFonts w:hint="eastAsia" w:ascii="宋体" w:hAnsi="宋体" w:cs="Times New Roman"/>
                <w:bCs/>
                <w:color w:val="auto"/>
                <w:szCs w:val="20"/>
                <w:highlight w:val="none"/>
              </w:rPr>
              <w:t>技术</w:t>
            </w:r>
          </w:p>
        </w:tc>
        <w:tc>
          <w:tcPr>
            <w:tcW w:w="3578" w:type="pct"/>
            <w:noWrap w:val="0"/>
            <w:vAlign w:val="top"/>
          </w:tcPr>
          <w:p w14:paraId="2A47E0E6">
            <w:pPr>
              <w:keepNext w:val="0"/>
              <w:keepLines w:val="0"/>
              <w:suppressLineNumbers w:val="0"/>
              <w:spacing w:before="0" w:beforeAutospacing="0" w:after="0" w:afterAutospacing="0" w:line="360" w:lineRule="auto"/>
              <w:ind w:left="0" w:right="0" w:firstLine="422" w:firstLineChars="200"/>
              <w:rPr>
                <w:rFonts w:hint="default" w:ascii="宋体" w:hAnsi="宋体" w:cs="Times New Roman"/>
                <w:b/>
                <w:bCs/>
                <w:color w:val="auto"/>
                <w:szCs w:val="21"/>
                <w:highlight w:val="none"/>
              </w:rPr>
            </w:pPr>
            <w:r>
              <w:rPr>
                <w:rFonts w:hint="eastAsia" w:ascii="宋体" w:hAnsi="宋体" w:cs="Times New Roman"/>
                <w:b/>
                <w:bCs/>
                <w:color w:val="auto"/>
                <w:szCs w:val="21"/>
                <w:highlight w:val="none"/>
              </w:rPr>
              <w:t>（7）服务承诺方案（满分</w:t>
            </w:r>
            <w:r>
              <w:rPr>
                <w:rFonts w:hint="eastAsia" w:ascii="宋体" w:hAnsi="宋体" w:cs="Times New Roman"/>
                <w:b/>
                <w:bCs/>
                <w:color w:val="auto"/>
                <w:szCs w:val="21"/>
                <w:highlight w:val="none"/>
                <w:lang w:val="en-US" w:eastAsia="zh-CN"/>
              </w:rPr>
              <w:t>7</w:t>
            </w:r>
            <w:r>
              <w:rPr>
                <w:rFonts w:hint="eastAsia" w:ascii="宋体" w:hAnsi="宋体" w:cs="Times New Roman"/>
                <w:b/>
                <w:bCs/>
                <w:color w:val="auto"/>
                <w:szCs w:val="21"/>
                <w:highlight w:val="none"/>
              </w:rPr>
              <w:t>分）</w:t>
            </w:r>
          </w:p>
          <w:p w14:paraId="53CBA19B">
            <w:pPr>
              <w:keepNext w:val="0"/>
              <w:keepLines w:val="0"/>
              <w:suppressLineNumbers w:val="0"/>
              <w:spacing w:before="0" w:beforeAutospacing="0" w:after="0" w:afterAutospacing="0" w:line="360" w:lineRule="auto"/>
              <w:ind w:left="0" w:right="0" w:firstLine="420" w:firstLineChars="200"/>
              <w:rPr>
                <w:rFonts w:hint="default" w:ascii="宋体" w:hAnsi="宋体" w:cs="Times New Roman"/>
                <w:color w:val="auto"/>
                <w:szCs w:val="21"/>
                <w:highlight w:val="none"/>
              </w:rPr>
            </w:pPr>
            <w:r>
              <w:rPr>
                <w:rFonts w:hint="eastAsia" w:ascii="宋体" w:hAnsi="宋体" w:cs="Times New Roman"/>
                <w:color w:val="auto"/>
                <w:szCs w:val="21"/>
                <w:highlight w:val="none"/>
              </w:rPr>
              <w:t>一档（0分）：未提供方案或方案不满足以下评分项的不得分。</w:t>
            </w:r>
          </w:p>
          <w:p w14:paraId="13916CC2">
            <w:pPr>
              <w:keepNext w:val="0"/>
              <w:keepLines w:val="0"/>
              <w:suppressLineNumbers w:val="0"/>
              <w:spacing w:before="0" w:beforeAutospacing="0" w:after="0" w:afterAutospacing="0" w:line="360" w:lineRule="auto"/>
              <w:ind w:left="0" w:right="0" w:firstLine="420" w:firstLineChars="200"/>
              <w:rPr>
                <w:rFonts w:hint="default" w:ascii="宋体" w:hAnsi="宋体" w:cs="Times New Roman"/>
                <w:color w:val="auto"/>
                <w:szCs w:val="21"/>
                <w:highlight w:val="none"/>
              </w:rPr>
            </w:pPr>
            <w:r>
              <w:rPr>
                <w:rFonts w:hint="eastAsia" w:ascii="宋体" w:hAnsi="宋体" w:cs="Times New Roman"/>
                <w:color w:val="auto"/>
                <w:szCs w:val="21"/>
                <w:highlight w:val="none"/>
              </w:rPr>
              <w:t>二档（</w:t>
            </w:r>
            <w:r>
              <w:rPr>
                <w:rFonts w:hint="eastAsia" w:ascii="宋体" w:hAnsi="宋体" w:cs="Times New Roman"/>
                <w:color w:val="auto"/>
                <w:szCs w:val="21"/>
                <w:highlight w:val="none"/>
                <w:lang w:val="en-US" w:eastAsia="zh-CN"/>
              </w:rPr>
              <w:t>3</w:t>
            </w:r>
            <w:r>
              <w:rPr>
                <w:rFonts w:hint="eastAsia" w:ascii="宋体" w:hAnsi="宋体" w:cs="Times New Roman"/>
                <w:color w:val="auto"/>
                <w:szCs w:val="21"/>
                <w:highlight w:val="none"/>
              </w:rPr>
              <w:t>分）：服务承诺方案包含：项目成果交付后质保期内持续维护的服务承诺、服务人员、布展软硬件质量承诺、响应时间承诺、服务措施等；承诺质保期外，若项目涉及软硬件损坏、及其配件耗材需更换，以合理市场价予以修复、替换或提供。</w:t>
            </w:r>
          </w:p>
          <w:p w14:paraId="71F07A7A">
            <w:pPr>
              <w:keepNext w:val="0"/>
              <w:keepLines w:val="0"/>
              <w:suppressLineNumbers w:val="0"/>
              <w:spacing w:before="0" w:beforeAutospacing="0" w:after="0" w:afterAutospacing="0" w:line="360" w:lineRule="auto"/>
              <w:ind w:left="0" w:right="0" w:firstLine="420" w:firstLineChars="200"/>
              <w:rPr>
                <w:rFonts w:hint="default" w:ascii="宋体" w:hAnsi="宋体" w:cs="Times New Roman"/>
                <w:color w:val="auto"/>
                <w:szCs w:val="21"/>
                <w:highlight w:val="none"/>
              </w:rPr>
            </w:pPr>
            <w:r>
              <w:rPr>
                <w:rFonts w:hint="eastAsia" w:ascii="宋体" w:hAnsi="宋体" w:cs="Times New Roman"/>
                <w:color w:val="auto"/>
                <w:szCs w:val="21"/>
                <w:highlight w:val="none"/>
              </w:rPr>
              <w:t>三档（</w:t>
            </w:r>
            <w:r>
              <w:rPr>
                <w:rFonts w:hint="eastAsia" w:ascii="宋体" w:hAnsi="宋体" w:cs="Times New Roman"/>
                <w:color w:val="auto"/>
                <w:szCs w:val="21"/>
                <w:highlight w:val="none"/>
                <w:lang w:val="en-US" w:eastAsia="zh-CN"/>
              </w:rPr>
              <w:t>4</w:t>
            </w:r>
            <w:r>
              <w:rPr>
                <w:rFonts w:hint="eastAsia" w:ascii="宋体" w:hAnsi="宋体" w:cs="Times New Roman"/>
                <w:color w:val="auto"/>
                <w:szCs w:val="21"/>
                <w:highlight w:val="none"/>
              </w:rPr>
              <w:t>分）：在满足上一档的基础上，能详细分析项目成果交付后，预判布展软硬件使用及用电、消防、节能等方面可能出现的问题，编制解决方案和预防措施。</w:t>
            </w:r>
          </w:p>
          <w:p w14:paraId="3289319C">
            <w:pPr>
              <w:keepNext w:val="0"/>
              <w:keepLines w:val="0"/>
              <w:suppressLineNumbers w:val="0"/>
              <w:spacing w:before="0" w:beforeAutospacing="0" w:after="0" w:afterAutospacing="0" w:line="360" w:lineRule="auto"/>
              <w:ind w:left="0" w:right="0" w:firstLine="420" w:firstLineChars="200"/>
              <w:rPr>
                <w:rFonts w:hint="default" w:ascii="宋体" w:hAnsi="宋体" w:cs="Times New Roman"/>
                <w:color w:val="auto"/>
                <w:szCs w:val="21"/>
                <w:highlight w:val="none"/>
              </w:rPr>
            </w:pPr>
            <w:r>
              <w:rPr>
                <w:rFonts w:hint="eastAsia" w:ascii="宋体" w:hAnsi="宋体" w:cs="Times New Roman"/>
                <w:color w:val="auto"/>
                <w:szCs w:val="21"/>
                <w:highlight w:val="none"/>
              </w:rPr>
              <w:t>四档（</w:t>
            </w:r>
            <w:r>
              <w:rPr>
                <w:rFonts w:hint="eastAsia" w:ascii="宋体" w:hAnsi="宋体" w:cs="Times New Roman"/>
                <w:color w:val="auto"/>
                <w:szCs w:val="21"/>
                <w:highlight w:val="none"/>
                <w:lang w:val="en-US" w:eastAsia="zh-CN"/>
              </w:rPr>
              <w:t>7</w:t>
            </w:r>
            <w:r>
              <w:rPr>
                <w:rFonts w:hint="eastAsia" w:ascii="宋体" w:hAnsi="宋体" w:cs="Times New Roman"/>
                <w:color w:val="auto"/>
                <w:szCs w:val="21"/>
                <w:highlight w:val="none"/>
              </w:rPr>
              <w:t>分）：在满足上一档的基础上，承诺的质保期长于采购文件所要求的售后时长，编制项目质保期外的持续服务方案和服务措施，承诺若项目涉及的软硬件损坏、及其配件耗材需更换，以优惠于市场价的价格予以修复、替换或提供。</w:t>
            </w:r>
            <w:r>
              <w:rPr>
                <w:rFonts w:hint="eastAsia" w:ascii="宋体" w:hAnsi="宋体" w:cs="Times New Roman"/>
                <w:b/>
                <w:bCs/>
                <w:color w:val="auto"/>
                <w:szCs w:val="21"/>
                <w:highlight w:val="none"/>
              </w:rPr>
              <w:t>（响应文件中提供经供应商法定代表人签字认可的承诺函）</w:t>
            </w:r>
          </w:p>
        </w:tc>
        <w:tc>
          <w:tcPr>
            <w:tcW w:w="488" w:type="pct"/>
            <w:noWrap w:val="0"/>
            <w:vAlign w:val="center"/>
          </w:tcPr>
          <w:p w14:paraId="430271FB">
            <w:pPr>
              <w:keepNext w:val="0"/>
              <w:keepLines w:val="0"/>
              <w:suppressLineNumbers w:val="0"/>
              <w:spacing w:before="0" w:beforeAutospacing="0" w:after="0" w:afterAutospacing="0" w:line="360" w:lineRule="auto"/>
              <w:ind w:left="0" w:right="0"/>
              <w:jc w:val="center"/>
              <w:rPr>
                <w:rFonts w:hint="default" w:ascii="宋体" w:hAnsi="宋体" w:eastAsia="宋体" w:cs="Times New Roman"/>
                <w:bCs/>
                <w:color w:val="auto"/>
                <w:szCs w:val="20"/>
                <w:highlight w:val="none"/>
                <w:lang w:val="en-US" w:eastAsia="zh-CN"/>
              </w:rPr>
            </w:pPr>
            <w:r>
              <w:rPr>
                <w:rFonts w:hint="eastAsia" w:ascii="宋体" w:hAnsi="宋体" w:cs="Times New Roman"/>
                <w:bCs/>
                <w:color w:val="auto"/>
                <w:szCs w:val="20"/>
                <w:highlight w:val="none"/>
                <w:lang w:val="en-US" w:eastAsia="zh-CN"/>
              </w:rPr>
              <w:t>0~7</w:t>
            </w:r>
          </w:p>
        </w:tc>
      </w:tr>
      <w:tr w14:paraId="68781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noWrap w:val="0"/>
            <w:vAlign w:val="center"/>
          </w:tcPr>
          <w:p w14:paraId="3D6404B0">
            <w:pPr>
              <w:keepNext w:val="0"/>
              <w:keepLines w:val="0"/>
              <w:suppressLineNumbers w:val="0"/>
              <w:spacing w:before="0" w:beforeAutospacing="0" w:after="0" w:afterAutospacing="0" w:line="360" w:lineRule="auto"/>
              <w:ind w:left="0" w:right="0"/>
              <w:jc w:val="center"/>
              <w:rPr>
                <w:rFonts w:hint="default" w:ascii="宋体" w:hAnsi="宋体" w:cs="Times New Roman"/>
                <w:bCs/>
                <w:color w:val="auto"/>
                <w:szCs w:val="20"/>
                <w:highlight w:val="none"/>
              </w:rPr>
            </w:pPr>
            <w:r>
              <w:rPr>
                <w:rFonts w:hint="eastAsia" w:ascii="宋体" w:hAnsi="宋体" w:cs="Times New Roman"/>
                <w:bCs/>
                <w:color w:val="auto"/>
                <w:szCs w:val="20"/>
                <w:highlight w:val="none"/>
              </w:rPr>
              <w:t>3</w:t>
            </w:r>
          </w:p>
        </w:tc>
        <w:tc>
          <w:tcPr>
            <w:tcW w:w="576" w:type="pct"/>
            <w:noWrap w:val="0"/>
            <w:vAlign w:val="center"/>
          </w:tcPr>
          <w:p w14:paraId="24AA7F0D">
            <w:pPr>
              <w:keepNext w:val="0"/>
              <w:keepLines w:val="0"/>
              <w:suppressLineNumbers w:val="0"/>
              <w:spacing w:before="0" w:beforeAutospacing="0" w:after="0" w:afterAutospacing="0" w:line="360" w:lineRule="auto"/>
              <w:ind w:left="0" w:right="0"/>
              <w:jc w:val="center"/>
              <w:rPr>
                <w:rFonts w:hint="default" w:ascii="宋体" w:hAnsi="宋体" w:cs="Times New Roman"/>
                <w:bCs/>
                <w:color w:val="auto"/>
                <w:szCs w:val="20"/>
                <w:highlight w:val="none"/>
              </w:rPr>
            </w:pPr>
            <w:r>
              <w:rPr>
                <w:rFonts w:hint="eastAsia" w:ascii="宋体" w:hAnsi="宋体" w:cs="Times New Roman"/>
                <w:bCs/>
                <w:color w:val="auto"/>
                <w:szCs w:val="20"/>
                <w:highlight w:val="none"/>
              </w:rPr>
              <w:t>商务分</w:t>
            </w:r>
          </w:p>
        </w:tc>
        <w:tc>
          <w:tcPr>
            <w:tcW w:w="3578" w:type="pct"/>
            <w:noWrap w:val="0"/>
            <w:vAlign w:val="top"/>
          </w:tcPr>
          <w:p w14:paraId="25C44178">
            <w:pPr>
              <w:keepNext w:val="0"/>
              <w:keepLines w:val="0"/>
              <w:suppressLineNumbers w:val="0"/>
              <w:spacing w:before="0" w:beforeAutospacing="0" w:after="0" w:afterAutospacing="0" w:line="360" w:lineRule="auto"/>
              <w:ind w:left="0" w:right="0" w:firstLine="422" w:firstLineChars="200"/>
              <w:rPr>
                <w:rFonts w:hint="default" w:ascii="宋体" w:hAnsi="宋体" w:cs="Times New Roman"/>
                <w:b/>
                <w:bCs/>
                <w:color w:val="auto"/>
                <w:szCs w:val="21"/>
                <w:highlight w:val="none"/>
              </w:rPr>
            </w:pPr>
            <w:r>
              <w:rPr>
                <w:rFonts w:hint="eastAsia" w:ascii="宋体" w:hAnsi="宋体" w:cs="Times New Roman"/>
                <w:b/>
                <w:bCs/>
                <w:color w:val="auto"/>
                <w:szCs w:val="21"/>
                <w:highlight w:val="none"/>
              </w:rPr>
              <w:t>（</w:t>
            </w:r>
            <w:r>
              <w:rPr>
                <w:rFonts w:hint="eastAsia" w:ascii="宋体" w:hAnsi="宋体" w:cs="Times New Roman"/>
                <w:b/>
                <w:bCs/>
                <w:color w:val="auto"/>
                <w:szCs w:val="21"/>
                <w:highlight w:val="none"/>
                <w:lang w:val="en-US" w:eastAsia="zh-CN"/>
              </w:rPr>
              <w:t>1</w:t>
            </w:r>
            <w:r>
              <w:rPr>
                <w:rFonts w:hint="eastAsia" w:ascii="宋体" w:hAnsi="宋体" w:cs="Times New Roman"/>
                <w:b/>
                <w:bCs/>
                <w:color w:val="auto"/>
                <w:szCs w:val="21"/>
                <w:highlight w:val="none"/>
              </w:rPr>
              <w:t>）</w:t>
            </w:r>
            <w:r>
              <w:rPr>
                <w:rFonts w:hint="eastAsia" w:ascii="宋体" w:hAnsi="宋体" w:cs="Times New Roman"/>
                <w:b/>
                <w:bCs/>
                <w:color w:val="auto"/>
                <w:szCs w:val="21"/>
                <w:highlight w:val="none"/>
                <w:lang w:val="en-US" w:eastAsia="zh-CN"/>
              </w:rPr>
              <w:t>业绩</w:t>
            </w:r>
            <w:r>
              <w:rPr>
                <w:rFonts w:hint="eastAsia" w:ascii="宋体" w:hAnsi="宋体" w:cs="Times New Roman"/>
                <w:b/>
                <w:bCs/>
                <w:color w:val="auto"/>
                <w:szCs w:val="21"/>
                <w:highlight w:val="none"/>
              </w:rPr>
              <w:t>（满分</w:t>
            </w:r>
            <w:r>
              <w:rPr>
                <w:rFonts w:hint="eastAsia" w:ascii="宋体" w:hAnsi="宋体" w:cs="Times New Roman"/>
                <w:b/>
                <w:bCs/>
                <w:color w:val="auto"/>
                <w:szCs w:val="21"/>
                <w:highlight w:val="none"/>
                <w:lang w:val="en-US" w:eastAsia="zh-CN"/>
              </w:rPr>
              <w:t>4</w:t>
            </w:r>
            <w:r>
              <w:rPr>
                <w:rFonts w:hint="eastAsia" w:ascii="宋体" w:hAnsi="宋体" w:cs="Times New Roman"/>
                <w:b/>
                <w:bCs/>
                <w:color w:val="auto"/>
                <w:szCs w:val="21"/>
                <w:highlight w:val="none"/>
              </w:rPr>
              <w:t>分）</w:t>
            </w:r>
          </w:p>
          <w:p w14:paraId="0EA26387">
            <w:pPr>
              <w:keepNext w:val="0"/>
              <w:keepLines w:val="0"/>
              <w:suppressLineNumbers w:val="0"/>
              <w:spacing w:before="0" w:beforeAutospacing="0" w:after="0" w:afterAutospacing="0" w:line="360" w:lineRule="auto"/>
              <w:ind w:left="0" w:right="0" w:firstLine="420" w:firstLineChars="200"/>
              <w:rPr>
                <w:rFonts w:hint="default" w:ascii="宋体" w:hAnsi="宋体" w:eastAsia="宋体" w:cs="Times New Roman"/>
                <w:color w:val="auto"/>
                <w:szCs w:val="21"/>
                <w:highlight w:val="none"/>
                <w:lang w:eastAsia="zh-CN"/>
              </w:rPr>
            </w:pPr>
            <w:r>
              <w:rPr>
                <w:rFonts w:hint="eastAsia" w:ascii="宋体" w:hAnsi="宋体" w:cs="Times New Roman"/>
                <w:color w:val="auto"/>
                <w:szCs w:val="21"/>
                <w:highlight w:val="none"/>
              </w:rPr>
              <w:t>投标</w:t>
            </w:r>
            <w:r>
              <w:rPr>
                <w:rFonts w:hint="eastAsia" w:ascii="宋体" w:hAnsi="宋体" w:cs="Times New Roman"/>
                <w:color w:val="auto"/>
                <w:szCs w:val="21"/>
                <w:highlight w:val="none"/>
                <w:lang w:val="en-US" w:eastAsia="zh-CN"/>
              </w:rPr>
              <w:t>人</w:t>
            </w:r>
            <w:r>
              <w:rPr>
                <w:rFonts w:hint="eastAsia" w:ascii="宋体" w:hAnsi="宋体" w:cs="Times New Roman"/>
                <w:color w:val="auto"/>
                <w:szCs w:val="21"/>
                <w:highlight w:val="none"/>
              </w:rPr>
              <w:t>202</w:t>
            </w:r>
            <w:r>
              <w:rPr>
                <w:rFonts w:hint="eastAsia" w:ascii="宋体" w:hAnsi="宋体" w:cs="Times New Roman"/>
                <w:color w:val="auto"/>
                <w:szCs w:val="21"/>
                <w:highlight w:val="none"/>
                <w:lang w:val="en-US" w:eastAsia="zh-CN"/>
              </w:rPr>
              <w:t>1</w:t>
            </w:r>
            <w:r>
              <w:rPr>
                <w:rFonts w:hint="eastAsia" w:ascii="宋体" w:hAnsi="宋体" w:cs="Times New Roman"/>
                <w:color w:val="auto"/>
                <w:szCs w:val="21"/>
                <w:highlight w:val="none"/>
              </w:rPr>
              <w:t>年1月1日</w:t>
            </w:r>
            <w:r>
              <w:rPr>
                <w:rFonts w:hint="eastAsia" w:ascii="宋体" w:hAnsi="宋体" w:cs="Times New Roman"/>
                <w:color w:val="auto"/>
                <w:szCs w:val="21"/>
                <w:highlight w:val="none"/>
                <w:lang w:eastAsia="zh-CN"/>
              </w:rPr>
              <w:t>起</w:t>
            </w:r>
            <w:r>
              <w:rPr>
                <w:rFonts w:hint="eastAsia" w:ascii="宋体" w:hAnsi="宋体" w:cs="Times New Roman"/>
                <w:color w:val="auto"/>
                <w:szCs w:val="21"/>
                <w:highlight w:val="none"/>
              </w:rPr>
              <w:t>至投标截止时间</w:t>
            </w:r>
            <w:r>
              <w:rPr>
                <w:rFonts w:hint="eastAsia" w:ascii="宋体" w:hAnsi="宋体" w:cs="Times New Roman"/>
                <w:color w:val="auto"/>
                <w:szCs w:val="21"/>
                <w:highlight w:val="none"/>
                <w:lang w:val="en-US" w:eastAsia="zh-CN"/>
              </w:rPr>
              <w:t>承接并且完成过展厅、展览馆、展示馆、展示中心、创新展示中心、创新馆设计施工一体化项目或EPC项目等类似项目业绩</w:t>
            </w:r>
            <w:r>
              <w:rPr>
                <w:rFonts w:hint="eastAsia" w:ascii="宋体" w:hAnsi="宋体" w:cs="Times New Roman"/>
                <w:color w:val="auto"/>
                <w:szCs w:val="21"/>
                <w:highlight w:val="none"/>
              </w:rPr>
              <w:t>，每项得</w:t>
            </w:r>
            <w:r>
              <w:rPr>
                <w:rFonts w:hint="eastAsia" w:ascii="宋体" w:hAnsi="宋体" w:cs="Times New Roman"/>
                <w:color w:val="auto"/>
                <w:szCs w:val="21"/>
                <w:highlight w:val="none"/>
                <w:lang w:val="en-US" w:eastAsia="zh-CN"/>
              </w:rPr>
              <w:t>2</w:t>
            </w:r>
            <w:r>
              <w:rPr>
                <w:rFonts w:hint="eastAsia" w:ascii="宋体" w:hAnsi="宋体" w:cs="Times New Roman"/>
                <w:color w:val="auto"/>
                <w:szCs w:val="21"/>
                <w:highlight w:val="none"/>
              </w:rPr>
              <w:t>分，满分</w:t>
            </w:r>
            <w:r>
              <w:rPr>
                <w:rFonts w:hint="eastAsia" w:ascii="宋体" w:hAnsi="宋体" w:cs="Times New Roman"/>
                <w:color w:val="auto"/>
                <w:szCs w:val="21"/>
                <w:highlight w:val="none"/>
                <w:lang w:val="en-US" w:eastAsia="zh-CN"/>
              </w:rPr>
              <w:t>4</w:t>
            </w:r>
            <w:r>
              <w:rPr>
                <w:rFonts w:hint="eastAsia" w:ascii="宋体" w:hAnsi="宋体" w:cs="Times New Roman"/>
                <w:color w:val="auto"/>
                <w:szCs w:val="21"/>
                <w:highlight w:val="none"/>
              </w:rPr>
              <w:t>分。</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投标时同时提供以下材料复印件并加盖单位章：</w:t>
            </w:r>
            <w:r>
              <w:rPr>
                <w:rFonts w:hint="eastAsia" w:ascii="仿宋_GB2312" w:hAnsi="仿宋_GB2312" w:eastAsia="仿宋_GB2312" w:cs="仿宋_GB2312"/>
                <w:color w:val="auto"/>
                <w:szCs w:val="21"/>
                <w:highlight w:val="none"/>
                <w:lang w:val="en-US" w:eastAsia="zh-CN"/>
              </w:rPr>
              <w:t>①</w:t>
            </w:r>
            <w:r>
              <w:rPr>
                <w:rFonts w:hint="eastAsia" w:ascii="宋体" w:hAnsi="宋体" w:cs="Times New Roman"/>
                <w:color w:val="auto"/>
                <w:szCs w:val="21"/>
                <w:highlight w:val="none"/>
                <w:lang w:val="en-US" w:eastAsia="zh-CN"/>
              </w:rPr>
              <w:t>中标通知书或合同协议书</w:t>
            </w:r>
            <w:r>
              <w:rPr>
                <w:rFonts w:hint="eastAsia" w:ascii="仿宋_GB2312" w:hAnsi="仿宋_GB2312" w:eastAsia="仿宋_GB2312" w:cs="仿宋_GB2312"/>
                <w:color w:val="auto"/>
                <w:szCs w:val="21"/>
                <w:highlight w:val="none"/>
                <w:lang w:val="en-US" w:eastAsia="zh-CN"/>
              </w:rPr>
              <w:t>②</w:t>
            </w:r>
            <w:r>
              <w:rPr>
                <w:rFonts w:hint="eastAsia" w:ascii="宋体" w:hAnsi="宋体" w:cs="Times New Roman"/>
                <w:color w:val="auto"/>
                <w:szCs w:val="21"/>
                <w:highlight w:val="none"/>
                <w:lang w:val="en-US" w:eastAsia="zh-CN"/>
              </w:rPr>
              <w:t>竣工验收单或完工证明</w:t>
            </w:r>
            <w:r>
              <w:rPr>
                <w:rFonts w:hint="eastAsia" w:ascii="宋体" w:hAnsi="宋体" w:cs="Times New Roman"/>
                <w:color w:val="auto"/>
                <w:szCs w:val="21"/>
                <w:highlight w:val="none"/>
                <w:lang w:eastAsia="zh-CN"/>
              </w:rPr>
              <w:t>）</w:t>
            </w:r>
          </w:p>
          <w:p w14:paraId="32740946">
            <w:pPr>
              <w:keepNext w:val="0"/>
              <w:keepLines w:val="0"/>
              <w:suppressLineNumbers w:val="0"/>
              <w:spacing w:before="0" w:beforeAutospacing="0" w:after="0" w:afterAutospacing="0" w:line="360" w:lineRule="auto"/>
              <w:ind w:left="0" w:right="0" w:firstLine="422" w:firstLineChars="200"/>
              <w:rPr>
                <w:rFonts w:hint="default" w:ascii="宋体" w:hAnsi="宋体" w:eastAsia="宋体" w:cs="Times New Roman"/>
                <w:color w:val="auto"/>
                <w:szCs w:val="21"/>
                <w:highlight w:val="none"/>
                <w:lang w:val="en-US" w:eastAsia="zh-CN"/>
              </w:rPr>
            </w:pPr>
            <w:r>
              <w:rPr>
                <w:rFonts w:hint="eastAsia" w:ascii="宋体" w:hAnsi="宋体" w:cs="Times New Roman"/>
                <w:b/>
                <w:bCs/>
                <w:color w:val="auto"/>
                <w:szCs w:val="21"/>
                <w:highlight w:val="none"/>
              </w:rPr>
              <w:t>注：</w:t>
            </w:r>
            <w:r>
              <w:rPr>
                <w:rFonts w:hint="eastAsia" w:ascii="宋体" w:hAnsi="宋体" w:cs="Times New Roman"/>
                <w:b/>
                <w:bCs/>
                <w:color w:val="auto"/>
                <w:szCs w:val="21"/>
                <w:highlight w:val="none"/>
                <w:lang w:val="en-US" w:eastAsia="zh-CN"/>
              </w:rPr>
              <w:t>如为联合体任意一方提供即可。</w:t>
            </w:r>
          </w:p>
          <w:p w14:paraId="4E038A2B">
            <w:pPr>
              <w:keepNext w:val="0"/>
              <w:keepLines w:val="0"/>
              <w:suppressLineNumbers w:val="0"/>
              <w:spacing w:before="0" w:beforeAutospacing="0" w:after="0" w:afterAutospacing="0" w:line="360" w:lineRule="auto"/>
              <w:ind w:left="0" w:right="0" w:firstLine="422" w:firstLineChars="200"/>
              <w:rPr>
                <w:rFonts w:hint="default" w:ascii="宋体" w:hAnsi="宋体" w:cs="Times New Roman"/>
                <w:color w:val="auto"/>
                <w:szCs w:val="21"/>
                <w:highlight w:val="none"/>
              </w:rPr>
            </w:pPr>
            <w:r>
              <w:rPr>
                <w:rFonts w:hint="eastAsia" w:ascii="宋体" w:hAnsi="宋体" w:cs="Times New Roman"/>
                <w:b/>
                <w:bCs/>
                <w:color w:val="auto"/>
                <w:szCs w:val="21"/>
                <w:highlight w:val="none"/>
              </w:rPr>
              <w:t>（</w:t>
            </w:r>
            <w:r>
              <w:rPr>
                <w:rFonts w:hint="eastAsia" w:ascii="宋体" w:hAnsi="宋体" w:cs="Times New Roman"/>
                <w:b/>
                <w:bCs/>
                <w:color w:val="auto"/>
                <w:szCs w:val="21"/>
                <w:highlight w:val="none"/>
                <w:lang w:val="en-US" w:eastAsia="zh-CN"/>
              </w:rPr>
              <w:t>2</w:t>
            </w:r>
            <w:r>
              <w:rPr>
                <w:rFonts w:hint="eastAsia" w:ascii="宋体" w:hAnsi="宋体" w:cs="Times New Roman"/>
                <w:b/>
                <w:bCs/>
                <w:color w:val="auto"/>
                <w:szCs w:val="21"/>
                <w:highlight w:val="none"/>
              </w:rPr>
              <w:t>）项目</w:t>
            </w:r>
            <w:r>
              <w:rPr>
                <w:rFonts w:hint="eastAsia" w:ascii="宋体" w:hAnsi="宋体" w:cs="Times New Roman"/>
                <w:b/>
                <w:bCs/>
                <w:color w:val="auto"/>
                <w:szCs w:val="21"/>
                <w:highlight w:val="none"/>
                <w:lang w:val="en-US" w:eastAsia="zh-CN"/>
              </w:rPr>
              <w:t>实施</w:t>
            </w:r>
            <w:r>
              <w:rPr>
                <w:rFonts w:hint="eastAsia" w:ascii="宋体" w:hAnsi="宋体" w:cs="Times New Roman"/>
                <w:b/>
                <w:bCs/>
                <w:color w:val="auto"/>
                <w:szCs w:val="21"/>
                <w:highlight w:val="none"/>
              </w:rPr>
              <w:t>人员</w:t>
            </w:r>
            <w:r>
              <w:rPr>
                <w:rFonts w:hint="eastAsia" w:ascii="宋体" w:hAnsi="宋体" w:cs="Times New Roman"/>
                <w:b/>
                <w:bCs/>
                <w:color w:val="auto"/>
                <w:szCs w:val="21"/>
                <w:highlight w:val="none"/>
                <w:lang w:eastAsia="zh-CN"/>
              </w:rPr>
              <w:t>（</w:t>
            </w:r>
            <w:r>
              <w:rPr>
                <w:rFonts w:hint="eastAsia" w:ascii="宋体" w:hAnsi="宋体" w:cs="Times New Roman"/>
                <w:b/>
                <w:bCs/>
                <w:color w:val="auto"/>
                <w:szCs w:val="21"/>
                <w:highlight w:val="none"/>
              </w:rPr>
              <w:t>满分</w:t>
            </w:r>
            <w:r>
              <w:rPr>
                <w:rFonts w:hint="eastAsia" w:ascii="宋体" w:hAnsi="宋体" w:cs="Times New Roman"/>
                <w:b/>
                <w:bCs/>
                <w:color w:val="auto"/>
                <w:szCs w:val="21"/>
                <w:highlight w:val="none"/>
                <w:lang w:val="en-US" w:eastAsia="zh-CN"/>
              </w:rPr>
              <w:t>12</w:t>
            </w:r>
            <w:r>
              <w:rPr>
                <w:rFonts w:hint="eastAsia" w:ascii="宋体" w:hAnsi="宋体" w:cs="Times New Roman"/>
                <w:b/>
                <w:bCs/>
                <w:color w:val="auto"/>
                <w:szCs w:val="21"/>
                <w:highlight w:val="none"/>
              </w:rPr>
              <w:t>分</w:t>
            </w:r>
            <w:r>
              <w:rPr>
                <w:rFonts w:hint="eastAsia" w:ascii="宋体" w:hAnsi="宋体" w:cs="Times New Roman"/>
                <w:b/>
                <w:bCs/>
                <w:color w:val="auto"/>
                <w:szCs w:val="21"/>
                <w:highlight w:val="none"/>
                <w:lang w:eastAsia="zh-CN"/>
              </w:rPr>
              <w:t>）</w:t>
            </w:r>
          </w:p>
          <w:p w14:paraId="6760EB9A">
            <w:pPr>
              <w:keepNext w:val="0"/>
              <w:keepLines w:val="0"/>
              <w:suppressLineNumbers w:val="0"/>
              <w:spacing w:before="0" w:beforeAutospacing="0" w:after="0" w:afterAutospacing="0" w:line="360" w:lineRule="auto"/>
              <w:ind w:left="0" w:right="0" w:firstLine="420" w:firstLineChars="200"/>
              <w:rPr>
                <w:rFonts w:hint="default" w:ascii="宋体" w:hAnsi="宋体" w:eastAsia="宋体" w:cs="Times New Roman"/>
                <w:color w:val="auto"/>
                <w:szCs w:val="21"/>
                <w:highlight w:val="none"/>
              </w:rPr>
            </w:pPr>
            <w:r>
              <w:rPr>
                <w:rFonts w:hint="eastAsia" w:ascii="宋体" w:hAnsi="宋体" w:eastAsia="宋体" w:cs="Times New Roman"/>
                <w:color w:val="auto"/>
                <w:szCs w:val="21"/>
                <w:highlight w:val="none"/>
              </w:rPr>
              <w:t>主要参加人员包括建筑专业</w:t>
            </w:r>
            <w:r>
              <w:rPr>
                <w:rFonts w:hint="eastAsia" w:ascii="宋体" w:hAnsi="宋体" w:eastAsia="宋体" w:cs="Times New Roman"/>
                <w:color w:val="auto"/>
                <w:szCs w:val="21"/>
                <w:highlight w:val="none"/>
                <w:lang w:eastAsia="zh-CN"/>
              </w:rPr>
              <w:t>人员</w:t>
            </w:r>
            <w:r>
              <w:rPr>
                <w:rFonts w:hint="eastAsia" w:ascii="宋体" w:hAnsi="宋体" w:eastAsia="宋体" w:cs="Times New Roman"/>
                <w:color w:val="auto"/>
                <w:szCs w:val="21"/>
                <w:highlight w:val="none"/>
              </w:rPr>
              <w:t>、建筑设计专业</w:t>
            </w:r>
            <w:r>
              <w:rPr>
                <w:rFonts w:hint="eastAsia" w:ascii="宋体" w:hAnsi="宋体" w:eastAsia="宋体" w:cs="Times New Roman"/>
                <w:color w:val="auto"/>
                <w:szCs w:val="21"/>
                <w:highlight w:val="none"/>
                <w:lang w:eastAsia="zh-CN"/>
              </w:rPr>
              <w:t>人员</w:t>
            </w:r>
            <w:r>
              <w:rPr>
                <w:rFonts w:hint="eastAsia" w:ascii="宋体" w:hAnsi="宋体" w:eastAsia="宋体" w:cs="Times New Roman"/>
                <w:color w:val="auto"/>
                <w:szCs w:val="21"/>
                <w:highlight w:val="none"/>
              </w:rPr>
              <w:t>、结构专业</w:t>
            </w:r>
            <w:r>
              <w:rPr>
                <w:rFonts w:hint="eastAsia" w:ascii="宋体" w:hAnsi="宋体" w:eastAsia="宋体" w:cs="Times New Roman"/>
                <w:color w:val="auto"/>
                <w:szCs w:val="21"/>
                <w:highlight w:val="none"/>
                <w:lang w:eastAsia="zh-CN"/>
              </w:rPr>
              <w:t>人员</w:t>
            </w:r>
            <w:r>
              <w:rPr>
                <w:rFonts w:hint="eastAsia" w:ascii="宋体" w:hAnsi="宋体" w:eastAsia="宋体" w:cs="Times New Roman"/>
                <w:color w:val="auto"/>
                <w:szCs w:val="21"/>
                <w:highlight w:val="none"/>
              </w:rPr>
              <w:t>、电气专业</w:t>
            </w:r>
            <w:r>
              <w:rPr>
                <w:rFonts w:hint="eastAsia" w:ascii="宋体" w:hAnsi="宋体" w:eastAsia="宋体" w:cs="Times New Roman"/>
                <w:color w:val="auto"/>
                <w:szCs w:val="21"/>
                <w:highlight w:val="none"/>
                <w:lang w:eastAsia="zh-CN"/>
              </w:rPr>
              <w:t>人员</w:t>
            </w:r>
            <w:r>
              <w:rPr>
                <w:rFonts w:hint="eastAsia" w:ascii="宋体" w:hAnsi="宋体" w:eastAsia="宋体" w:cs="Times New Roman"/>
                <w:color w:val="auto"/>
                <w:szCs w:val="21"/>
                <w:highlight w:val="none"/>
              </w:rPr>
              <w:t>、机电专业</w:t>
            </w:r>
            <w:r>
              <w:rPr>
                <w:rFonts w:hint="eastAsia" w:ascii="宋体" w:hAnsi="宋体" w:eastAsia="宋体" w:cs="Times New Roman"/>
                <w:color w:val="auto"/>
                <w:szCs w:val="21"/>
                <w:highlight w:val="none"/>
                <w:lang w:eastAsia="zh-CN"/>
              </w:rPr>
              <w:t>人员</w:t>
            </w:r>
            <w:r>
              <w:rPr>
                <w:rFonts w:hint="eastAsia" w:ascii="宋体" w:hAnsi="宋体" w:eastAsia="宋体" w:cs="Times New Roman"/>
                <w:color w:val="auto"/>
                <w:szCs w:val="21"/>
                <w:highlight w:val="none"/>
              </w:rPr>
              <w:t>、给排水专业</w:t>
            </w:r>
            <w:r>
              <w:rPr>
                <w:rFonts w:hint="eastAsia" w:ascii="宋体" w:hAnsi="宋体" w:eastAsia="宋体" w:cs="Times New Roman"/>
                <w:color w:val="auto"/>
                <w:szCs w:val="21"/>
                <w:highlight w:val="none"/>
                <w:lang w:eastAsia="zh-CN"/>
              </w:rPr>
              <w:t>人员</w:t>
            </w:r>
            <w:r>
              <w:rPr>
                <w:rFonts w:hint="eastAsia" w:ascii="宋体" w:hAnsi="宋体" w:eastAsia="宋体" w:cs="Times New Roman"/>
                <w:color w:val="auto"/>
                <w:szCs w:val="21"/>
                <w:highlight w:val="none"/>
              </w:rPr>
              <w:t>、暖通专业</w:t>
            </w:r>
            <w:r>
              <w:rPr>
                <w:rFonts w:hint="eastAsia" w:ascii="宋体" w:hAnsi="宋体" w:eastAsia="宋体" w:cs="Times New Roman"/>
                <w:color w:val="auto"/>
                <w:szCs w:val="21"/>
                <w:highlight w:val="none"/>
                <w:lang w:eastAsia="zh-CN"/>
              </w:rPr>
              <w:t>人员</w:t>
            </w:r>
            <w:r>
              <w:rPr>
                <w:rFonts w:hint="eastAsia" w:ascii="宋体" w:hAnsi="宋体" w:eastAsia="宋体" w:cs="Times New Roman"/>
                <w:color w:val="auto"/>
                <w:szCs w:val="21"/>
                <w:highlight w:val="none"/>
              </w:rPr>
              <w:t>、计算机专业</w:t>
            </w:r>
            <w:r>
              <w:rPr>
                <w:rFonts w:hint="eastAsia" w:ascii="宋体" w:hAnsi="宋体" w:eastAsia="宋体" w:cs="Times New Roman"/>
                <w:color w:val="auto"/>
                <w:szCs w:val="21"/>
                <w:highlight w:val="none"/>
                <w:lang w:eastAsia="zh-CN"/>
              </w:rPr>
              <w:t>人员</w:t>
            </w:r>
            <w:r>
              <w:rPr>
                <w:rFonts w:hint="eastAsia" w:ascii="宋体" w:hAnsi="宋体" w:eastAsia="宋体" w:cs="Times New Roman"/>
                <w:color w:val="auto"/>
                <w:szCs w:val="21"/>
                <w:highlight w:val="none"/>
              </w:rPr>
              <w:t>、信息系统项目管理专业</w:t>
            </w:r>
            <w:r>
              <w:rPr>
                <w:rFonts w:hint="eastAsia" w:ascii="宋体" w:hAnsi="宋体" w:eastAsia="宋体" w:cs="Times New Roman"/>
                <w:color w:val="auto"/>
                <w:szCs w:val="21"/>
                <w:highlight w:val="none"/>
                <w:lang w:eastAsia="zh-CN"/>
              </w:rPr>
              <w:t>人员等</w:t>
            </w:r>
            <w:r>
              <w:rPr>
                <w:rFonts w:hint="eastAsia" w:ascii="宋体" w:hAnsi="宋体" w:eastAsia="宋体" w:cs="Times New Roman"/>
                <w:color w:val="auto"/>
                <w:szCs w:val="21"/>
                <w:highlight w:val="none"/>
              </w:rPr>
              <w:t>，其中：</w:t>
            </w:r>
          </w:p>
          <w:p w14:paraId="5A659285">
            <w:pPr>
              <w:keepNext w:val="0"/>
              <w:keepLines w:val="0"/>
              <w:suppressLineNumbers w:val="0"/>
              <w:spacing w:before="0" w:beforeAutospacing="0" w:after="0" w:afterAutospacing="0" w:line="360" w:lineRule="auto"/>
              <w:ind w:left="0" w:right="0" w:firstLine="420" w:firstLineChars="200"/>
              <w:rPr>
                <w:rFonts w:hint="default" w:ascii="宋体" w:hAnsi="宋体" w:eastAsia="宋体" w:cs="Times New Roman"/>
                <w:color w:val="auto"/>
                <w:szCs w:val="21"/>
                <w:highlight w:val="none"/>
              </w:rPr>
            </w:pPr>
            <w:r>
              <w:rPr>
                <w:rFonts w:hint="eastAsia" w:ascii="宋体" w:hAnsi="宋体" w:eastAsia="宋体" w:cs="Times New Roman"/>
                <w:color w:val="auto"/>
                <w:szCs w:val="21"/>
                <w:highlight w:val="none"/>
              </w:rPr>
              <w:t>①建筑专业负责人：具有二级注册</w:t>
            </w:r>
            <w:r>
              <w:rPr>
                <w:rFonts w:hint="eastAsia" w:ascii="宋体" w:hAnsi="宋体" w:eastAsia="宋体" w:cs="Times New Roman"/>
                <w:color w:val="auto"/>
                <w:szCs w:val="21"/>
                <w:highlight w:val="none"/>
                <w:lang w:eastAsia="zh-CN"/>
              </w:rPr>
              <w:t>建筑</w:t>
            </w:r>
            <w:r>
              <w:rPr>
                <w:rFonts w:hint="eastAsia" w:ascii="宋体" w:hAnsi="宋体" w:eastAsia="宋体" w:cs="Times New Roman"/>
                <w:color w:val="auto"/>
                <w:szCs w:val="21"/>
                <w:highlight w:val="none"/>
              </w:rPr>
              <w:t>师得1分，具有一级注册</w:t>
            </w:r>
            <w:r>
              <w:rPr>
                <w:rFonts w:hint="eastAsia" w:ascii="宋体" w:hAnsi="宋体" w:eastAsia="宋体" w:cs="Times New Roman"/>
                <w:color w:val="auto"/>
                <w:szCs w:val="21"/>
                <w:highlight w:val="none"/>
                <w:lang w:eastAsia="zh-CN"/>
              </w:rPr>
              <w:t>建筑</w:t>
            </w:r>
            <w:r>
              <w:rPr>
                <w:rFonts w:hint="eastAsia" w:ascii="宋体" w:hAnsi="宋体" w:eastAsia="宋体" w:cs="Times New Roman"/>
                <w:color w:val="auto"/>
                <w:szCs w:val="21"/>
                <w:highlight w:val="none"/>
              </w:rPr>
              <w:t>师得2分；</w:t>
            </w:r>
          </w:p>
          <w:p w14:paraId="222DE961">
            <w:pPr>
              <w:keepNext w:val="0"/>
              <w:keepLines w:val="0"/>
              <w:suppressLineNumbers w:val="0"/>
              <w:spacing w:before="0" w:beforeAutospacing="0" w:after="0" w:afterAutospacing="0" w:line="360" w:lineRule="auto"/>
              <w:ind w:left="0" w:right="0" w:firstLine="420" w:firstLineChars="200"/>
              <w:rPr>
                <w:rFonts w:hint="default" w:ascii="宋体" w:hAnsi="宋体" w:eastAsia="宋体" w:cs="Times New Roman"/>
                <w:color w:val="auto"/>
                <w:szCs w:val="21"/>
                <w:highlight w:val="none"/>
              </w:rPr>
            </w:pPr>
            <w:r>
              <w:rPr>
                <w:rFonts w:hint="eastAsia" w:ascii="宋体" w:hAnsi="宋体" w:eastAsia="宋体" w:cs="Times New Roman"/>
                <w:color w:val="auto"/>
                <w:szCs w:val="21"/>
                <w:highlight w:val="none"/>
              </w:rPr>
              <w:t>②建筑设计专业负责人：具有建筑</w:t>
            </w:r>
            <w:r>
              <w:rPr>
                <w:rFonts w:hint="eastAsia" w:ascii="宋体" w:hAnsi="宋体" w:eastAsia="宋体" w:cs="Times New Roman"/>
                <w:color w:val="auto"/>
                <w:szCs w:val="21"/>
                <w:highlight w:val="none"/>
                <w:lang w:eastAsia="zh-CN"/>
              </w:rPr>
              <w:t>装饰</w:t>
            </w:r>
            <w:r>
              <w:rPr>
                <w:rFonts w:hint="eastAsia" w:ascii="宋体" w:hAnsi="宋体" w:eastAsia="宋体" w:cs="Times New Roman"/>
                <w:color w:val="auto"/>
                <w:szCs w:val="21"/>
                <w:highlight w:val="none"/>
              </w:rPr>
              <w:t>设计专业中级职称得</w:t>
            </w:r>
            <w:r>
              <w:rPr>
                <w:rFonts w:hint="eastAsia" w:ascii="宋体" w:hAnsi="宋体" w:eastAsia="宋体" w:cs="Times New Roman"/>
                <w:color w:val="auto"/>
                <w:szCs w:val="21"/>
                <w:highlight w:val="none"/>
                <w:lang w:val="en-US" w:eastAsia="zh-CN"/>
              </w:rPr>
              <w:t>1</w:t>
            </w:r>
            <w:r>
              <w:rPr>
                <w:rFonts w:hint="eastAsia" w:ascii="宋体" w:hAnsi="宋体" w:eastAsia="宋体" w:cs="Times New Roman"/>
                <w:color w:val="auto"/>
                <w:szCs w:val="21"/>
                <w:highlight w:val="none"/>
              </w:rPr>
              <w:t>分，具有建筑</w:t>
            </w:r>
            <w:r>
              <w:rPr>
                <w:rFonts w:hint="eastAsia" w:ascii="宋体" w:hAnsi="宋体" w:eastAsia="宋体" w:cs="Times New Roman"/>
                <w:color w:val="auto"/>
                <w:szCs w:val="21"/>
                <w:highlight w:val="none"/>
                <w:lang w:eastAsia="zh-CN"/>
              </w:rPr>
              <w:t>装饰</w:t>
            </w:r>
            <w:r>
              <w:rPr>
                <w:rFonts w:hint="eastAsia" w:ascii="宋体" w:hAnsi="宋体" w:eastAsia="宋体" w:cs="Times New Roman"/>
                <w:color w:val="auto"/>
                <w:szCs w:val="21"/>
                <w:highlight w:val="none"/>
              </w:rPr>
              <w:t>设计专业高级职称得2分；</w:t>
            </w:r>
          </w:p>
          <w:p w14:paraId="20AC9C82">
            <w:pPr>
              <w:keepNext w:val="0"/>
              <w:keepLines w:val="0"/>
              <w:suppressLineNumbers w:val="0"/>
              <w:spacing w:before="0" w:beforeAutospacing="0" w:after="0" w:afterAutospacing="0" w:line="360" w:lineRule="auto"/>
              <w:ind w:left="0" w:right="0" w:firstLine="420" w:firstLineChars="200"/>
              <w:rPr>
                <w:rFonts w:hint="default" w:ascii="宋体" w:hAnsi="宋体" w:eastAsia="宋体" w:cs="Times New Roman"/>
                <w:color w:val="auto"/>
                <w:szCs w:val="21"/>
                <w:highlight w:val="none"/>
              </w:rPr>
            </w:pPr>
            <w:r>
              <w:rPr>
                <w:rFonts w:hint="eastAsia" w:ascii="宋体" w:hAnsi="宋体" w:eastAsia="宋体" w:cs="Times New Roman"/>
                <w:color w:val="auto"/>
                <w:szCs w:val="21"/>
                <w:highlight w:val="none"/>
              </w:rPr>
              <w:t>③结构专业负责人：具有结构专业中级职称得</w:t>
            </w:r>
            <w:r>
              <w:rPr>
                <w:rFonts w:hint="eastAsia" w:ascii="宋体" w:hAnsi="宋体" w:eastAsia="宋体" w:cs="Times New Roman"/>
                <w:color w:val="auto"/>
                <w:szCs w:val="21"/>
                <w:highlight w:val="none"/>
                <w:lang w:val="en-US" w:eastAsia="zh-CN"/>
              </w:rPr>
              <w:t>1</w:t>
            </w:r>
            <w:r>
              <w:rPr>
                <w:rFonts w:hint="eastAsia" w:ascii="宋体" w:hAnsi="宋体" w:eastAsia="宋体" w:cs="Times New Roman"/>
                <w:color w:val="auto"/>
                <w:szCs w:val="21"/>
                <w:highlight w:val="none"/>
              </w:rPr>
              <w:t>分，具有结构专业高级职称得</w:t>
            </w:r>
            <w:r>
              <w:rPr>
                <w:rFonts w:hint="eastAsia" w:ascii="宋体" w:hAnsi="宋体" w:eastAsia="宋体" w:cs="Times New Roman"/>
                <w:color w:val="auto"/>
                <w:szCs w:val="21"/>
                <w:highlight w:val="none"/>
                <w:lang w:val="en-US" w:eastAsia="zh-CN"/>
              </w:rPr>
              <w:t>2</w:t>
            </w:r>
            <w:r>
              <w:rPr>
                <w:rFonts w:hint="eastAsia" w:ascii="宋体" w:hAnsi="宋体" w:eastAsia="宋体" w:cs="Times New Roman"/>
                <w:color w:val="auto"/>
                <w:szCs w:val="21"/>
                <w:highlight w:val="none"/>
              </w:rPr>
              <w:t>分；</w:t>
            </w:r>
          </w:p>
          <w:p w14:paraId="232F88D2">
            <w:pPr>
              <w:keepNext w:val="0"/>
              <w:keepLines w:val="0"/>
              <w:suppressLineNumbers w:val="0"/>
              <w:spacing w:before="0" w:beforeAutospacing="0" w:after="0" w:afterAutospacing="0" w:line="360" w:lineRule="auto"/>
              <w:ind w:left="0" w:right="0" w:firstLine="420" w:firstLineChars="200"/>
              <w:rPr>
                <w:rFonts w:hint="default" w:ascii="宋体" w:hAnsi="宋体" w:eastAsia="宋体" w:cs="Times New Roman"/>
                <w:color w:val="auto"/>
                <w:szCs w:val="21"/>
                <w:highlight w:val="none"/>
              </w:rPr>
            </w:pPr>
            <w:r>
              <w:rPr>
                <w:rFonts w:hint="eastAsia" w:ascii="宋体" w:hAnsi="宋体" w:eastAsia="宋体" w:cs="Times New Roman"/>
                <w:color w:val="auto"/>
                <w:szCs w:val="21"/>
                <w:highlight w:val="none"/>
              </w:rPr>
              <w:t>④电气专业负责人：具有电气专业中级职称得</w:t>
            </w:r>
            <w:r>
              <w:rPr>
                <w:rFonts w:hint="eastAsia" w:ascii="宋体" w:hAnsi="宋体" w:eastAsia="宋体" w:cs="Times New Roman"/>
                <w:color w:val="auto"/>
                <w:szCs w:val="21"/>
                <w:highlight w:val="none"/>
                <w:lang w:val="en-US" w:eastAsia="zh-CN"/>
              </w:rPr>
              <w:t>0.5</w:t>
            </w:r>
            <w:r>
              <w:rPr>
                <w:rFonts w:hint="eastAsia" w:ascii="宋体" w:hAnsi="宋体" w:eastAsia="宋体" w:cs="Times New Roman"/>
                <w:color w:val="auto"/>
                <w:szCs w:val="21"/>
                <w:highlight w:val="none"/>
              </w:rPr>
              <w:t>分，具有电气专业高级职称得</w:t>
            </w:r>
            <w:r>
              <w:rPr>
                <w:rFonts w:hint="eastAsia" w:ascii="宋体" w:hAnsi="宋体" w:eastAsia="宋体" w:cs="Times New Roman"/>
                <w:color w:val="auto"/>
                <w:szCs w:val="21"/>
                <w:highlight w:val="none"/>
                <w:lang w:val="en-US" w:eastAsia="zh-CN"/>
              </w:rPr>
              <w:t>1</w:t>
            </w:r>
            <w:r>
              <w:rPr>
                <w:rFonts w:hint="eastAsia" w:ascii="宋体" w:hAnsi="宋体" w:eastAsia="宋体" w:cs="Times New Roman"/>
                <w:color w:val="auto"/>
                <w:szCs w:val="21"/>
                <w:highlight w:val="none"/>
              </w:rPr>
              <w:t>分；</w:t>
            </w:r>
          </w:p>
          <w:p w14:paraId="4E90A9D2">
            <w:pPr>
              <w:keepNext w:val="0"/>
              <w:keepLines w:val="0"/>
              <w:suppressLineNumbers w:val="0"/>
              <w:spacing w:before="0" w:beforeAutospacing="0" w:after="0" w:afterAutospacing="0" w:line="360" w:lineRule="auto"/>
              <w:ind w:left="0" w:right="0" w:firstLine="420" w:firstLineChars="200"/>
              <w:rPr>
                <w:rFonts w:hint="default" w:ascii="宋体" w:hAnsi="宋体" w:eastAsia="宋体" w:cs="Times New Roman"/>
                <w:color w:val="auto"/>
                <w:szCs w:val="21"/>
                <w:highlight w:val="none"/>
              </w:rPr>
            </w:pPr>
            <w:r>
              <w:rPr>
                <w:rFonts w:hint="eastAsia" w:ascii="宋体" w:hAnsi="宋体" w:eastAsia="宋体" w:cs="Times New Roman"/>
                <w:color w:val="auto"/>
                <w:szCs w:val="21"/>
                <w:highlight w:val="none"/>
              </w:rPr>
              <w:t>⑤机电专业负责人：具有机电工程专业中级职称得</w:t>
            </w:r>
            <w:r>
              <w:rPr>
                <w:rFonts w:hint="eastAsia" w:ascii="宋体" w:hAnsi="宋体" w:eastAsia="宋体" w:cs="Times New Roman"/>
                <w:color w:val="auto"/>
                <w:szCs w:val="21"/>
                <w:highlight w:val="none"/>
                <w:lang w:val="en-US" w:eastAsia="zh-CN"/>
              </w:rPr>
              <w:t>0.5</w:t>
            </w:r>
            <w:r>
              <w:rPr>
                <w:rFonts w:hint="eastAsia" w:ascii="宋体" w:hAnsi="宋体" w:eastAsia="宋体" w:cs="Times New Roman"/>
                <w:color w:val="auto"/>
                <w:szCs w:val="21"/>
                <w:highlight w:val="none"/>
              </w:rPr>
              <w:t>分，具有机电工程专业高级职称得</w:t>
            </w:r>
            <w:r>
              <w:rPr>
                <w:rFonts w:hint="eastAsia" w:ascii="宋体" w:hAnsi="宋体" w:eastAsia="宋体" w:cs="Times New Roman"/>
                <w:color w:val="auto"/>
                <w:szCs w:val="21"/>
                <w:highlight w:val="none"/>
                <w:lang w:val="en-US" w:eastAsia="zh-CN"/>
              </w:rPr>
              <w:t>1</w:t>
            </w:r>
            <w:r>
              <w:rPr>
                <w:rFonts w:hint="eastAsia" w:ascii="宋体" w:hAnsi="宋体" w:eastAsia="宋体" w:cs="Times New Roman"/>
                <w:color w:val="auto"/>
                <w:szCs w:val="21"/>
                <w:highlight w:val="none"/>
              </w:rPr>
              <w:t>分；</w:t>
            </w:r>
          </w:p>
          <w:p w14:paraId="26AB0AF8">
            <w:pPr>
              <w:keepNext w:val="0"/>
              <w:keepLines w:val="0"/>
              <w:suppressLineNumbers w:val="0"/>
              <w:spacing w:before="0" w:beforeAutospacing="0" w:after="0" w:afterAutospacing="0" w:line="360" w:lineRule="auto"/>
              <w:ind w:left="0" w:right="0" w:firstLine="420" w:firstLineChars="200"/>
              <w:rPr>
                <w:rFonts w:hint="default" w:ascii="宋体" w:hAnsi="宋体" w:eastAsia="宋体" w:cs="Times New Roman"/>
                <w:color w:val="auto"/>
                <w:szCs w:val="21"/>
                <w:highlight w:val="none"/>
              </w:rPr>
            </w:pPr>
            <w:r>
              <w:rPr>
                <w:rFonts w:hint="eastAsia" w:ascii="宋体" w:hAnsi="宋体" w:eastAsia="宋体" w:cs="Times New Roman"/>
                <w:color w:val="auto"/>
                <w:szCs w:val="21"/>
                <w:highlight w:val="none"/>
              </w:rPr>
              <w:t>⑥给排水专业负责人：具有建筑给水排水工程专业中级职称得</w:t>
            </w:r>
            <w:r>
              <w:rPr>
                <w:rFonts w:hint="eastAsia" w:ascii="宋体" w:hAnsi="宋体" w:eastAsia="宋体" w:cs="Times New Roman"/>
                <w:color w:val="auto"/>
                <w:szCs w:val="21"/>
                <w:highlight w:val="none"/>
                <w:lang w:val="en-US" w:eastAsia="zh-CN"/>
              </w:rPr>
              <w:t>0.5</w:t>
            </w:r>
            <w:r>
              <w:rPr>
                <w:rFonts w:hint="eastAsia" w:ascii="宋体" w:hAnsi="宋体" w:eastAsia="宋体" w:cs="Times New Roman"/>
                <w:color w:val="auto"/>
                <w:szCs w:val="21"/>
                <w:highlight w:val="none"/>
              </w:rPr>
              <w:t>分，具有建筑给水排水专业高级职称得</w:t>
            </w:r>
            <w:r>
              <w:rPr>
                <w:rFonts w:hint="eastAsia" w:ascii="宋体" w:hAnsi="宋体" w:eastAsia="宋体" w:cs="Times New Roman"/>
                <w:color w:val="auto"/>
                <w:szCs w:val="21"/>
                <w:highlight w:val="none"/>
                <w:lang w:val="en-US" w:eastAsia="zh-CN"/>
              </w:rPr>
              <w:t>1</w:t>
            </w:r>
            <w:r>
              <w:rPr>
                <w:rFonts w:hint="eastAsia" w:ascii="宋体" w:hAnsi="宋体" w:eastAsia="宋体" w:cs="Times New Roman"/>
                <w:color w:val="auto"/>
                <w:szCs w:val="21"/>
                <w:highlight w:val="none"/>
              </w:rPr>
              <w:t>分；</w:t>
            </w:r>
          </w:p>
          <w:p w14:paraId="7176EC3D">
            <w:pPr>
              <w:keepNext w:val="0"/>
              <w:keepLines w:val="0"/>
              <w:suppressLineNumbers w:val="0"/>
              <w:spacing w:before="0" w:beforeAutospacing="0" w:after="0" w:afterAutospacing="0" w:line="360" w:lineRule="auto"/>
              <w:ind w:left="0" w:right="0" w:firstLine="420" w:firstLineChars="200"/>
              <w:rPr>
                <w:rFonts w:hint="default" w:ascii="宋体" w:hAnsi="宋体" w:eastAsia="宋体" w:cs="Times New Roman"/>
                <w:color w:val="auto"/>
                <w:szCs w:val="21"/>
                <w:highlight w:val="none"/>
              </w:rPr>
            </w:pPr>
            <w:r>
              <w:rPr>
                <w:rFonts w:hint="eastAsia" w:ascii="宋体" w:hAnsi="宋体" w:eastAsia="宋体" w:cs="Times New Roman"/>
                <w:color w:val="auto"/>
                <w:szCs w:val="21"/>
                <w:highlight w:val="none"/>
              </w:rPr>
              <w:t>⑦暖通专业负责人：具有暖通专业中级职称得</w:t>
            </w:r>
            <w:r>
              <w:rPr>
                <w:rFonts w:hint="eastAsia" w:ascii="宋体" w:hAnsi="宋体" w:eastAsia="宋体" w:cs="Times New Roman"/>
                <w:color w:val="auto"/>
                <w:szCs w:val="21"/>
                <w:highlight w:val="none"/>
                <w:lang w:val="en-US" w:eastAsia="zh-CN"/>
              </w:rPr>
              <w:t>0.5</w:t>
            </w:r>
            <w:r>
              <w:rPr>
                <w:rFonts w:hint="eastAsia" w:ascii="宋体" w:hAnsi="宋体" w:eastAsia="宋体" w:cs="Times New Roman"/>
                <w:color w:val="auto"/>
                <w:szCs w:val="21"/>
                <w:highlight w:val="none"/>
              </w:rPr>
              <w:t>分，具有暖通专业高级职称得</w:t>
            </w:r>
            <w:r>
              <w:rPr>
                <w:rFonts w:hint="eastAsia" w:ascii="宋体" w:hAnsi="宋体" w:eastAsia="宋体" w:cs="Times New Roman"/>
                <w:color w:val="auto"/>
                <w:szCs w:val="21"/>
                <w:highlight w:val="none"/>
                <w:lang w:val="en-US" w:eastAsia="zh-CN"/>
              </w:rPr>
              <w:t>1</w:t>
            </w:r>
            <w:r>
              <w:rPr>
                <w:rFonts w:hint="eastAsia" w:ascii="宋体" w:hAnsi="宋体" w:eastAsia="宋体" w:cs="Times New Roman"/>
                <w:color w:val="auto"/>
                <w:szCs w:val="21"/>
                <w:highlight w:val="none"/>
              </w:rPr>
              <w:t>分；</w:t>
            </w:r>
          </w:p>
          <w:p w14:paraId="1E9B3727">
            <w:pPr>
              <w:keepNext w:val="0"/>
              <w:keepLines w:val="0"/>
              <w:suppressLineNumbers w:val="0"/>
              <w:spacing w:before="0" w:beforeAutospacing="0" w:after="0" w:afterAutospacing="0" w:line="360" w:lineRule="auto"/>
              <w:ind w:left="0" w:right="0" w:firstLine="420" w:firstLineChars="200"/>
              <w:rPr>
                <w:rFonts w:hint="default" w:ascii="宋体" w:hAnsi="宋体" w:eastAsia="宋体" w:cs="Times New Roman"/>
                <w:color w:val="auto"/>
                <w:szCs w:val="21"/>
                <w:highlight w:val="none"/>
              </w:rPr>
            </w:pPr>
            <w:r>
              <w:rPr>
                <w:rFonts w:hint="eastAsia" w:ascii="宋体" w:hAnsi="宋体" w:eastAsia="宋体" w:cs="Times New Roman"/>
                <w:color w:val="auto"/>
                <w:szCs w:val="21"/>
                <w:highlight w:val="none"/>
              </w:rPr>
              <w:t>⑧计算机专业负责人：具有计算机应用专业中级职称得</w:t>
            </w:r>
            <w:r>
              <w:rPr>
                <w:rFonts w:hint="eastAsia" w:ascii="宋体" w:hAnsi="宋体" w:eastAsia="宋体" w:cs="Times New Roman"/>
                <w:color w:val="auto"/>
                <w:szCs w:val="21"/>
                <w:highlight w:val="none"/>
                <w:lang w:val="en-US" w:eastAsia="zh-CN"/>
              </w:rPr>
              <w:t>0.5</w:t>
            </w:r>
            <w:r>
              <w:rPr>
                <w:rFonts w:hint="eastAsia" w:ascii="宋体" w:hAnsi="宋体" w:eastAsia="宋体" w:cs="Times New Roman"/>
                <w:color w:val="auto"/>
                <w:szCs w:val="21"/>
                <w:highlight w:val="none"/>
              </w:rPr>
              <w:t>分，具有计算机应用高级职称得</w:t>
            </w:r>
            <w:r>
              <w:rPr>
                <w:rFonts w:hint="eastAsia" w:ascii="宋体" w:hAnsi="宋体" w:eastAsia="宋体" w:cs="Times New Roman"/>
                <w:color w:val="auto"/>
                <w:szCs w:val="21"/>
                <w:highlight w:val="none"/>
                <w:lang w:val="en-US" w:eastAsia="zh-CN"/>
              </w:rPr>
              <w:t>1</w:t>
            </w:r>
            <w:r>
              <w:rPr>
                <w:rFonts w:hint="eastAsia" w:ascii="宋体" w:hAnsi="宋体" w:eastAsia="宋体" w:cs="Times New Roman"/>
                <w:color w:val="auto"/>
                <w:szCs w:val="21"/>
                <w:highlight w:val="none"/>
              </w:rPr>
              <w:t>分；</w:t>
            </w:r>
          </w:p>
          <w:p w14:paraId="5EC71A3F">
            <w:pPr>
              <w:keepNext w:val="0"/>
              <w:keepLines w:val="0"/>
              <w:suppressLineNumbers w:val="0"/>
              <w:spacing w:before="0" w:beforeAutospacing="0" w:after="0" w:afterAutospacing="0" w:line="360" w:lineRule="auto"/>
              <w:ind w:left="0" w:right="0" w:firstLine="420" w:firstLineChars="200"/>
              <w:rPr>
                <w:rFonts w:hint="default" w:ascii="宋体" w:hAnsi="宋体" w:eastAsia="宋体" w:cs="Times New Roman"/>
                <w:color w:val="auto"/>
                <w:szCs w:val="21"/>
                <w:highlight w:val="none"/>
              </w:rPr>
            </w:pPr>
            <w:r>
              <w:rPr>
                <w:rFonts w:hint="eastAsia" w:ascii="宋体" w:hAnsi="宋体" w:eastAsia="宋体" w:cs="Times New Roman"/>
                <w:color w:val="auto"/>
                <w:szCs w:val="21"/>
                <w:highlight w:val="none"/>
              </w:rPr>
              <w:t>⑨信息系统项目管理专业人员：具有信息系统项目管理师中级职称得</w:t>
            </w:r>
            <w:r>
              <w:rPr>
                <w:rFonts w:hint="eastAsia" w:ascii="宋体" w:hAnsi="宋体" w:eastAsia="宋体" w:cs="Times New Roman"/>
                <w:color w:val="auto"/>
                <w:szCs w:val="21"/>
                <w:highlight w:val="none"/>
                <w:lang w:val="en-US" w:eastAsia="zh-CN"/>
              </w:rPr>
              <w:t>0.5</w:t>
            </w:r>
            <w:r>
              <w:rPr>
                <w:rFonts w:hint="eastAsia" w:ascii="宋体" w:hAnsi="宋体" w:eastAsia="宋体" w:cs="Times New Roman"/>
                <w:color w:val="auto"/>
                <w:szCs w:val="21"/>
                <w:highlight w:val="none"/>
              </w:rPr>
              <w:t>分，具有信息系统项目管理师高级职称得</w:t>
            </w:r>
            <w:r>
              <w:rPr>
                <w:rFonts w:hint="eastAsia" w:ascii="宋体" w:hAnsi="宋体" w:eastAsia="宋体" w:cs="Times New Roman"/>
                <w:color w:val="auto"/>
                <w:szCs w:val="21"/>
                <w:highlight w:val="none"/>
                <w:lang w:val="en-US" w:eastAsia="zh-CN"/>
              </w:rPr>
              <w:t>1</w:t>
            </w:r>
            <w:r>
              <w:rPr>
                <w:rFonts w:hint="eastAsia" w:ascii="宋体" w:hAnsi="宋体" w:eastAsia="宋体" w:cs="Times New Roman"/>
                <w:color w:val="auto"/>
                <w:szCs w:val="21"/>
                <w:highlight w:val="none"/>
              </w:rPr>
              <w:t>分。</w:t>
            </w:r>
          </w:p>
          <w:p w14:paraId="1F656473">
            <w:pPr>
              <w:keepNext w:val="0"/>
              <w:keepLines w:val="0"/>
              <w:suppressLineNumbers w:val="0"/>
              <w:spacing w:before="0" w:beforeAutospacing="0" w:after="0" w:afterAutospacing="0" w:line="360" w:lineRule="auto"/>
              <w:ind w:left="0" w:right="0" w:firstLine="422" w:firstLineChars="200"/>
              <w:rPr>
                <w:rFonts w:hint="default" w:ascii="宋体" w:hAnsi="宋体" w:cs="Times New Roman"/>
                <w:b/>
                <w:bCs/>
                <w:color w:val="auto"/>
                <w:szCs w:val="21"/>
                <w:highlight w:val="none"/>
                <w:lang w:val="en-US" w:eastAsia="zh-CN"/>
              </w:rPr>
            </w:pPr>
            <w:r>
              <w:rPr>
                <w:rFonts w:hint="eastAsia" w:ascii="宋体" w:hAnsi="宋体" w:cs="Times New Roman"/>
                <w:b/>
                <w:bCs/>
                <w:color w:val="auto"/>
                <w:szCs w:val="21"/>
                <w:highlight w:val="none"/>
              </w:rPr>
              <w:t>注：</w:t>
            </w:r>
            <w:r>
              <w:rPr>
                <w:rFonts w:hint="eastAsia" w:ascii="宋体" w:hAnsi="宋体" w:cs="Times New Roman"/>
                <w:b/>
                <w:bCs/>
                <w:color w:val="auto"/>
                <w:szCs w:val="21"/>
                <w:highlight w:val="none"/>
                <w:lang w:val="en-US" w:eastAsia="zh-CN"/>
              </w:rPr>
              <w:t>1.拟投入同一人员同时具备多个职称不重复计分。</w:t>
            </w:r>
          </w:p>
          <w:p w14:paraId="51758BFB">
            <w:pPr>
              <w:keepNext w:val="0"/>
              <w:keepLines w:val="0"/>
              <w:suppressLineNumbers w:val="0"/>
              <w:spacing w:before="0" w:beforeAutospacing="0" w:after="0" w:afterAutospacing="0" w:line="360" w:lineRule="auto"/>
              <w:ind w:left="0" w:right="0" w:firstLine="422" w:firstLineChars="200"/>
              <w:rPr>
                <w:rFonts w:hint="default" w:ascii="宋体" w:hAnsi="宋体" w:cs="Times New Roman"/>
                <w:b/>
                <w:bCs/>
                <w:color w:val="auto"/>
                <w:szCs w:val="21"/>
                <w:highlight w:val="none"/>
              </w:rPr>
            </w:pPr>
            <w:r>
              <w:rPr>
                <w:rFonts w:hint="eastAsia" w:ascii="宋体" w:hAnsi="宋体" w:cs="Times New Roman"/>
                <w:b/>
                <w:bCs/>
                <w:color w:val="auto"/>
                <w:szCs w:val="21"/>
                <w:highlight w:val="none"/>
                <w:lang w:val="en-US" w:eastAsia="zh-CN"/>
              </w:rPr>
              <w:t>2.</w:t>
            </w:r>
            <w:r>
              <w:rPr>
                <w:rFonts w:hint="eastAsia" w:ascii="宋体" w:hAnsi="宋体" w:cs="Times New Roman"/>
                <w:b/>
                <w:bCs/>
                <w:color w:val="auto"/>
                <w:szCs w:val="21"/>
                <w:highlight w:val="none"/>
              </w:rPr>
              <w:t>拟投入本项目的人员必须为投标单位的在职人员，需在投标文件中提交上述人员</w:t>
            </w:r>
            <w:r>
              <w:rPr>
                <w:rFonts w:hint="eastAsia" w:ascii="宋体" w:hAnsi="宋体" w:cs="Times New Roman"/>
                <w:b/>
                <w:bCs/>
                <w:color w:val="auto"/>
                <w:szCs w:val="21"/>
                <w:highlight w:val="none"/>
                <w:lang w:val="en-US" w:eastAsia="zh-CN"/>
              </w:rPr>
              <w:t>相关证书</w:t>
            </w:r>
            <w:r>
              <w:rPr>
                <w:rFonts w:hint="eastAsia" w:ascii="宋体" w:hAnsi="宋体" w:cs="Times New Roman"/>
                <w:b/>
                <w:bCs/>
                <w:color w:val="auto"/>
                <w:szCs w:val="21"/>
                <w:highlight w:val="none"/>
                <w:lang w:eastAsia="zh-CN"/>
              </w:rPr>
              <w:t>，以及投标人为其缴纳的投标截止之日前半年内投标人连续</w:t>
            </w:r>
            <w:r>
              <w:rPr>
                <w:rFonts w:hint="eastAsia" w:ascii="宋体" w:hAnsi="宋体" w:cs="Times New Roman"/>
                <w:b/>
                <w:bCs/>
                <w:color w:val="auto"/>
                <w:szCs w:val="21"/>
                <w:highlight w:val="none"/>
                <w:lang w:val="en-US" w:eastAsia="zh-CN"/>
              </w:rPr>
              <w:t>3个月</w:t>
            </w:r>
            <w:r>
              <w:rPr>
                <w:rFonts w:hint="eastAsia" w:ascii="宋体" w:hAnsi="宋体" w:cs="Times New Roman"/>
                <w:b/>
                <w:bCs/>
                <w:color w:val="auto"/>
                <w:szCs w:val="21"/>
                <w:highlight w:val="none"/>
                <w:lang w:eastAsia="zh-CN"/>
              </w:rPr>
              <w:t>社保证明，未提供不得分。</w:t>
            </w:r>
          </w:p>
          <w:p w14:paraId="72CFDD37">
            <w:pPr>
              <w:keepNext w:val="0"/>
              <w:keepLines w:val="0"/>
              <w:suppressLineNumbers w:val="0"/>
              <w:spacing w:before="0" w:beforeAutospacing="0" w:after="0" w:afterAutospacing="0" w:line="360" w:lineRule="auto"/>
              <w:ind w:left="0" w:right="0" w:firstLine="422" w:firstLineChars="200"/>
              <w:rPr>
                <w:rFonts w:hint="default" w:ascii="宋体" w:hAnsi="宋体" w:cs="Times New Roman"/>
                <w:b/>
                <w:bCs/>
                <w:color w:val="auto"/>
                <w:szCs w:val="21"/>
                <w:highlight w:val="none"/>
              </w:rPr>
            </w:pPr>
            <w:r>
              <w:rPr>
                <w:rFonts w:hint="eastAsia" w:ascii="宋体" w:hAnsi="宋体" w:cs="Times New Roman"/>
                <w:b/>
                <w:bCs/>
                <w:color w:val="auto"/>
                <w:szCs w:val="21"/>
                <w:highlight w:val="none"/>
              </w:rPr>
              <w:t>（</w:t>
            </w:r>
            <w:r>
              <w:rPr>
                <w:rFonts w:hint="eastAsia" w:ascii="宋体" w:hAnsi="宋体" w:cs="Times New Roman"/>
                <w:b/>
                <w:bCs/>
                <w:color w:val="auto"/>
                <w:szCs w:val="21"/>
                <w:highlight w:val="none"/>
                <w:lang w:val="en-US" w:eastAsia="zh-CN"/>
              </w:rPr>
              <w:t>3</w:t>
            </w:r>
            <w:r>
              <w:rPr>
                <w:rFonts w:hint="eastAsia" w:ascii="宋体" w:hAnsi="宋体" w:cs="Times New Roman"/>
                <w:b/>
                <w:bCs/>
                <w:color w:val="auto"/>
                <w:szCs w:val="21"/>
                <w:highlight w:val="none"/>
              </w:rPr>
              <w:t>）企业认证（满分</w:t>
            </w:r>
            <w:r>
              <w:rPr>
                <w:rFonts w:hint="eastAsia" w:ascii="宋体" w:hAnsi="宋体" w:cs="Times New Roman"/>
                <w:b/>
                <w:bCs/>
                <w:color w:val="auto"/>
                <w:szCs w:val="21"/>
                <w:highlight w:val="none"/>
                <w:lang w:val="en-US" w:eastAsia="zh-CN"/>
              </w:rPr>
              <w:t>5</w:t>
            </w:r>
            <w:r>
              <w:rPr>
                <w:rFonts w:hint="eastAsia" w:ascii="宋体" w:hAnsi="宋体" w:cs="Times New Roman"/>
                <w:b/>
                <w:bCs/>
                <w:color w:val="auto"/>
                <w:szCs w:val="21"/>
                <w:highlight w:val="none"/>
              </w:rPr>
              <w:t>分）</w:t>
            </w:r>
          </w:p>
          <w:p w14:paraId="55ABDF6E">
            <w:pPr>
              <w:keepNext w:val="0"/>
              <w:keepLines w:val="0"/>
              <w:suppressLineNumbers w:val="0"/>
              <w:spacing w:before="0" w:beforeAutospacing="0" w:after="0" w:afterAutospacing="0" w:line="360" w:lineRule="auto"/>
              <w:ind w:left="0" w:right="0" w:firstLine="420" w:firstLineChars="200"/>
              <w:rPr>
                <w:rFonts w:hint="default" w:ascii="宋体" w:hAnsi="宋体" w:cs="Times New Roman"/>
                <w:b/>
                <w:bCs/>
                <w:color w:val="auto"/>
                <w:szCs w:val="21"/>
                <w:highlight w:val="none"/>
              </w:rPr>
            </w:pPr>
            <w:r>
              <w:rPr>
                <w:rFonts w:hint="eastAsia" w:ascii="宋体" w:hAnsi="宋体" w:cs="Times New Roman"/>
                <w:color w:val="auto"/>
                <w:szCs w:val="21"/>
                <w:highlight w:val="none"/>
                <w:lang w:eastAsia="zh-CN"/>
              </w:rPr>
              <w:t>投标单位</w:t>
            </w:r>
            <w:r>
              <w:rPr>
                <w:rFonts w:hint="eastAsia" w:ascii="宋体" w:hAnsi="宋体" w:cs="Times New Roman"/>
                <w:color w:val="auto"/>
                <w:szCs w:val="21"/>
                <w:highlight w:val="none"/>
              </w:rPr>
              <w:t>获得ISO9001质量管理体系、ISO14001环境管理体系、ISO45001职业健康安全管理体系认证、信息安全管理体系认证、信息技术服务管理体系认证且在有效期内的，每提供一项得1分。不满足上述要求的或未提供相关证明材料的不得分。</w:t>
            </w:r>
          </w:p>
          <w:p w14:paraId="21B3BA89">
            <w:pPr>
              <w:keepNext w:val="0"/>
              <w:keepLines w:val="0"/>
              <w:suppressLineNumbers w:val="0"/>
              <w:spacing w:before="0" w:beforeAutospacing="0" w:after="0" w:afterAutospacing="0" w:line="400" w:lineRule="exact"/>
              <w:ind w:left="0" w:right="0" w:firstLine="420" w:firstLineChars="200"/>
              <w:rPr>
                <w:rFonts w:hint="default" w:ascii="宋体" w:hAnsi="宋体" w:cs="Times New Roman"/>
                <w:bCs/>
                <w:color w:val="auto"/>
                <w:szCs w:val="20"/>
                <w:highlight w:val="none"/>
              </w:rPr>
            </w:pPr>
          </w:p>
        </w:tc>
        <w:tc>
          <w:tcPr>
            <w:tcW w:w="488" w:type="pct"/>
            <w:noWrap w:val="0"/>
            <w:vAlign w:val="center"/>
          </w:tcPr>
          <w:p w14:paraId="35976140">
            <w:pPr>
              <w:keepNext w:val="0"/>
              <w:keepLines w:val="0"/>
              <w:suppressLineNumbers w:val="0"/>
              <w:spacing w:before="0" w:beforeAutospacing="0" w:after="0" w:afterAutospacing="0" w:line="360" w:lineRule="auto"/>
              <w:ind w:left="0" w:right="0"/>
              <w:jc w:val="center"/>
              <w:rPr>
                <w:rFonts w:hint="default" w:ascii="宋体" w:hAnsi="宋体" w:eastAsia="宋体" w:cs="Times New Roman"/>
                <w:bCs/>
                <w:color w:val="auto"/>
                <w:szCs w:val="20"/>
                <w:highlight w:val="none"/>
                <w:lang w:val="en-US" w:eastAsia="zh-CN"/>
              </w:rPr>
            </w:pPr>
            <w:r>
              <w:rPr>
                <w:rFonts w:hint="eastAsia" w:ascii="宋体" w:hAnsi="宋体" w:cs="Times New Roman"/>
                <w:bCs/>
                <w:color w:val="auto"/>
                <w:szCs w:val="20"/>
                <w:highlight w:val="none"/>
                <w:lang w:val="en-US" w:eastAsia="zh-CN"/>
              </w:rPr>
              <w:t>0~21</w:t>
            </w:r>
          </w:p>
        </w:tc>
      </w:tr>
      <w:bookmarkEnd w:id="137"/>
    </w:tbl>
    <w:p w14:paraId="2F613CE3">
      <w:pPr>
        <w:spacing w:line="360" w:lineRule="auto"/>
        <w:ind w:firstLine="420" w:firstLineChars="200"/>
        <w:rPr>
          <w:rFonts w:ascii="宋体" w:hAnsi="宋体"/>
          <w:bCs/>
          <w:color w:val="auto"/>
          <w:szCs w:val="21"/>
          <w:highlight w:val="none"/>
        </w:rPr>
      </w:pPr>
      <w:bookmarkStart w:id="138" w:name="PO_TDCUS_ITEM_SM_TABLE_2"/>
      <w:r>
        <w:rPr>
          <w:rFonts w:hint="eastAsia" w:ascii="宋体" w:hAnsi="宋体"/>
          <w:bCs/>
          <w:color w:val="auto"/>
          <w:szCs w:val="21"/>
          <w:highlight w:val="none"/>
        </w:rPr>
        <w:t>（三）总得分＝1＋2＋3</w:t>
      </w:r>
    </w:p>
    <w:p w14:paraId="5C7184BF">
      <w:pPr>
        <w:spacing w:line="360" w:lineRule="auto"/>
        <w:ind w:firstLine="420"/>
        <w:rPr>
          <w:rFonts w:hint="eastAsia" w:ascii="宋体" w:hAnsi="宋体"/>
          <w:bCs/>
          <w:color w:val="auto"/>
          <w:szCs w:val="21"/>
          <w:highlight w:val="none"/>
        </w:rPr>
      </w:pPr>
      <w:r>
        <w:rPr>
          <w:rFonts w:hint="eastAsia" w:ascii="宋体" w:hAnsi="宋体"/>
          <w:bCs/>
          <w:color w:val="auto"/>
          <w:szCs w:val="21"/>
          <w:highlight w:val="none"/>
        </w:rPr>
        <w:t>（四）中标标准：评标委员会将按总得分由高到低排列中标候选供应商顺序（总得分相同时，依次按投标报价低优先、技术分高优先、质量保证期长优先、提交服务成果时间短优先、处理问题到达时间短优先的顺序排列），并依照次序确定中标供应商。</w:t>
      </w:r>
    </w:p>
    <w:bookmarkEnd w:id="138"/>
    <w:p w14:paraId="06BAB1B9">
      <w:pPr>
        <w:keepNext/>
        <w:keepLines/>
        <w:spacing w:before="260" w:after="260" w:line="413" w:lineRule="auto"/>
        <w:jc w:val="center"/>
        <w:outlineLvl w:val="1"/>
        <w:rPr>
          <w:rFonts w:hint="eastAsia" w:ascii="Arial" w:hAnsi="Arial" w:eastAsia="黑体"/>
          <w:bCs/>
          <w:color w:val="auto"/>
          <w:sz w:val="30"/>
          <w:szCs w:val="30"/>
          <w:highlight w:val="none"/>
        </w:rPr>
      </w:pPr>
      <w:bookmarkStart w:id="139" w:name="_Toc22712"/>
      <w:r>
        <w:rPr>
          <w:rFonts w:hint="eastAsia" w:ascii="Arial" w:hAnsi="Arial" w:eastAsia="黑体"/>
          <w:bCs/>
          <w:color w:val="auto"/>
          <w:sz w:val="30"/>
          <w:szCs w:val="30"/>
          <w:highlight w:val="none"/>
        </w:rPr>
        <w:t>第四节</w:t>
      </w:r>
      <w:r>
        <w:rPr>
          <w:rFonts w:ascii="Arial" w:hAnsi="Arial" w:eastAsia="黑体"/>
          <w:bCs/>
          <w:color w:val="auto"/>
          <w:sz w:val="30"/>
          <w:szCs w:val="30"/>
          <w:highlight w:val="none"/>
        </w:rPr>
        <w:t xml:space="preserve"> </w:t>
      </w:r>
      <w:r>
        <w:rPr>
          <w:rFonts w:hint="eastAsia" w:ascii="Arial" w:hAnsi="Arial" w:eastAsia="黑体"/>
          <w:bCs/>
          <w:color w:val="auto"/>
          <w:sz w:val="30"/>
          <w:szCs w:val="30"/>
          <w:highlight w:val="none"/>
        </w:rPr>
        <w:t>中标候选人推荐原则</w:t>
      </w:r>
      <w:bookmarkEnd w:id="139"/>
    </w:p>
    <w:p w14:paraId="4F188C53">
      <w:pPr>
        <w:pStyle w:val="17"/>
        <w:spacing w:line="360" w:lineRule="auto"/>
        <w:ind w:left="472"/>
        <w:contextualSpacing/>
        <w:rPr>
          <w:rFonts w:hAnsi="宋体"/>
          <w:b/>
          <w:bCs/>
          <w:color w:val="auto"/>
          <w:sz w:val="24"/>
          <w:szCs w:val="24"/>
          <w:highlight w:val="none"/>
        </w:rPr>
      </w:pPr>
      <w:r>
        <w:rPr>
          <w:rFonts w:hint="eastAsia" w:hAnsi="宋体"/>
          <w:b/>
          <w:bCs/>
          <w:color w:val="auto"/>
          <w:sz w:val="24"/>
          <w:szCs w:val="24"/>
          <w:highlight w:val="none"/>
        </w:rPr>
        <w:t>综合评分法</w:t>
      </w:r>
    </w:p>
    <w:p w14:paraId="2A4CB499">
      <w:pPr>
        <w:tabs>
          <w:tab w:val="left" w:pos="2472"/>
        </w:tabs>
        <w:spacing w:line="480" w:lineRule="exact"/>
        <w:ind w:firstLine="420" w:firstLineChars="200"/>
        <w:rPr>
          <w:rFonts w:hint="eastAsia" w:ascii="宋体" w:hAnsi="Courier New"/>
          <w:color w:val="auto"/>
          <w:szCs w:val="20"/>
          <w:highlight w:val="none"/>
        </w:rPr>
      </w:pPr>
      <w:r>
        <w:rPr>
          <w:rFonts w:hint="eastAsia" w:hAnsi="宋体"/>
          <w:color w:val="auto"/>
          <w:highlight w:val="none"/>
        </w:rPr>
        <w:t>评标委员会将根据总得分由高到低排列次序并推荐中标候选人。总得分相同的，以投标报价由低到高顺序排列。得分相同且投标报价相同的并列，投标文件满足招标文件全部实质性要求，且按照评审因素的量化指标评审得分最高的投标人为排名第一的中标候选人。</w:t>
      </w:r>
    </w:p>
    <w:p w14:paraId="14D92396">
      <w:pPr>
        <w:keepNext/>
        <w:keepLines/>
        <w:spacing w:line="360" w:lineRule="auto"/>
        <w:ind w:firstLine="600" w:firstLineChars="200"/>
        <w:jc w:val="center"/>
        <w:outlineLvl w:val="1"/>
        <w:rPr>
          <w:rFonts w:hint="eastAsia" w:ascii="Arial" w:hAnsi="Arial" w:eastAsia="黑体"/>
          <w:bCs/>
          <w:color w:val="auto"/>
          <w:sz w:val="30"/>
          <w:szCs w:val="30"/>
          <w:highlight w:val="none"/>
        </w:rPr>
      </w:pPr>
      <w:bookmarkStart w:id="140" w:name="_Toc338"/>
      <w:r>
        <w:rPr>
          <w:rFonts w:hint="eastAsia" w:ascii="Arial" w:hAnsi="Arial" w:eastAsia="黑体"/>
          <w:bCs/>
          <w:color w:val="auto"/>
          <w:sz w:val="30"/>
          <w:szCs w:val="30"/>
          <w:highlight w:val="none"/>
        </w:rPr>
        <w:t>第五节</w:t>
      </w:r>
      <w:r>
        <w:rPr>
          <w:rFonts w:ascii="Arial" w:hAnsi="Arial" w:eastAsia="黑体"/>
          <w:bCs/>
          <w:color w:val="auto"/>
          <w:sz w:val="30"/>
          <w:szCs w:val="30"/>
          <w:highlight w:val="none"/>
        </w:rPr>
        <w:t xml:space="preserve"> </w:t>
      </w:r>
      <w:r>
        <w:rPr>
          <w:rFonts w:hint="eastAsia" w:ascii="Arial" w:hAnsi="Arial" w:eastAsia="黑体"/>
          <w:bCs/>
          <w:color w:val="auto"/>
          <w:sz w:val="30"/>
          <w:szCs w:val="30"/>
          <w:highlight w:val="none"/>
        </w:rPr>
        <w:t>评标报告</w:t>
      </w:r>
      <w:bookmarkEnd w:id="140"/>
    </w:p>
    <w:p w14:paraId="339F7D7E">
      <w:pPr>
        <w:pStyle w:val="85"/>
        <w:spacing w:before="0"/>
        <w:ind w:firstLine="482"/>
        <w:rPr>
          <w:rFonts w:ascii="宋体" w:hAnsi="宋体"/>
          <w:b/>
          <w:bCs/>
          <w:color w:val="auto"/>
          <w:szCs w:val="24"/>
          <w:highlight w:val="none"/>
        </w:rPr>
      </w:pPr>
      <w:r>
        <w:rPr>
          <w:rFonts w:hint="eastAsia" w:ascii="宋体" w:hAnsi="宋体"/>
          <w:b/>
          <w:bCs/>
          <w:color w:val="auto"/>
          <w:szCs w:val="24"/>
          <w:highlight w:val="none"/>
        </w:rPr>
        <w:t>（一）评标报告与推荐中标候选人</w:t>
      </w:r>
    </w:p>
    <w:p w14:paraId="7426FE1D">
      <w:pPr>
        <w:tabs>
          <w:tab w:val="left" w:pos="2472"/>
        </w:tabs>
        <w:spacing w:line="360" w:lineRule="auto"/>
        <w:ind w:firstLine="420" w:firstLineChars="200"/>
        <w:rPr>
          <w:rFonts w:hint="eastAsia" w:ascii="宋体" w:hAnsi="宋体"/>
          <w:color w:val="auto"/>
          <w:szCs w:val="20"/>
          <w:highlight w:val="none"/>
        </w:rPr>
      </w:pPr>
      <w:r>
        <w:rPr>
          <w:rFonts w:hint="eastAsia" w:ascii="宋体" w:hAnsi="宋体"/>
          <w:color w:val="auto"/>
          <w:szCs w:val="20"/>
          <w:highlight w:val="none"/>
        </w:rPr>
        <w:t>评标委员会根据原始评标记录和评标结果编写评标报告，并通过电子交易平台向采购人、采购代理机构提交。</w:t>
      </w:r>
    </w:p>
    <w:p w14:paraId="22A14F2D">
      <w:pPr>
        <w:widowControl/>
        <w:spacing w:line="360" w:lineRule="auto"/>
        <w:ind w:firstLine="482" w:firstLineChars="200"/>
        <w:jc w:val="left"/>
        <w:rPr>
          <w:rFonts w:hint="eastAsia" w:ascii="宋体" w:hAnsi="宋体"/>
          <w:b/>
          <w:bCs/>
          <w:color w:val="auto"/>
          <w:sz w:val="24"/>
          <w:highlight w:val="none"/>
        </w:rPr>
      </w:pPr>
      <w:r>
        <w:rPr>
          <w:rFonts w:hint="eastAsia" w:ascii="宋体" w:hAnsi="宋体"/>
          <w:b/>
          <w:bCs/>
          <w:color w:val="auto"/>
          <w:sz w:val="24"/>
          <w:highlight w:val="none"/>
        </w:rPr>
        <w:t>（二）评标争议事项处理</w:t>
      </w:r>
    </w:p>
    <w:p w14:paraId="121D6117">
      <w:pPr>
        <w:tabs>
          <w:tab w:val="left" w:pos="2472"/>
        </w:tabs>
        <w:spacing w:line="360" w:lineRule="auto"/>
        <w:ind w:firstLine="420" w:firstLineChars="200"/>
        <w:rPr>
          <w:rFonts w:hint="eastAsia" w:ascii="宋体" w:hAnsi="宋体"/>
          <w:color w:val="auto"/>
          <w:szCs w:val="20"/>
          <w:highlight w:val="none"/>
        </w:rPr>
      </w:pPr>
      <w:r>
        <w:rPr>
          <w:rFonts w:hint="eastAsia" w:ascii="宋体" w:hAnsi="宋体"/>
          <w:color w:val="auto"/>
          <w:szCs w:val="20"/>
          <w:highlight w:val="none"/>
        </w:rPr>
        <w:t>评标委员会成员对需要共同认定的事项存在争议的，应当按照少数服从多数的原则作出结论。持不同意见的评标委员会成员应当在评标报告上签署不同意见及理由，否则视为同意评标报告。</w:t>
      </w:r>
    </w:p>
    <w:p w14:paraId="43190840">
      <w:pPr>
        <w:widowControl/>
        <w:jc w:val="left"/>
        <w:rPr>
          <w:b/>
          <w:color w:val="auto"/>
          <w:sz w:val="36"/>
          <w:szCs w:val="20"/>
          <w:highlight w:val="none"/>
        </w:rPr>
        <w:sectPr>
          <w:pgSz w:w="11906" w:h="16838"/>
          <w:pgMar w:top="1134" w:right="1134" w:bottom="1134" w:left="1134" w:header="720" w:footer="720" w:gutter="0"/>
          <w:cols w:space="720" w:num="1"/>
          <w:docGrid w:type="lines" w:linePitch="331" w:charSpace="0"/>
        </w:sectPr>
      </w:pPr>
    </w:p>
    <w:p w14:paraId="6AD3B5EE">
      <w:pPr>
        <w:tabs>
          <w:tab w:val="left" w:pos="2472"/>
        </w:tabs>
        <w:spacing w:line="460" w:lineRule="exact"/>
        <w:jc w:val="center"/>
        <w:rPr>
          <w:rFonts w:hint="eastAsia"/>
          <w:b/>
          <w:color w:val="auto"/>
          <w:sz w:val="36"/>
          <w:szCs w:val="20"/>
          <w:highlight w:val="none"/>
        </w:rPr>
      </w:pPr>
    </w:p>
    <w:p w14:paraId="3EEFAA2E">
      <w:pPr>
        <w:tabs>
          <w:tab w:val="left" w:pos="2472"/>
        </w:tabs>
        <w:spacing w:line="460" w:lineRule="exact"/>
        <w:jc w:val="center"/>
        <w:rPr>
          <w:b/>
          <w:color w:val="auto"/>
          <w:sz w:val="36"/>
          <w:szCs w:val="20"/>
          <w:highlight w:val="none"/>
        </w:rPr>
      </w:pPr>
    </w:p>
    <w:p w14:paraId="09BBFE03">
      <w:pPr>
        <w:tabs>
          <w:tab w:val="left" w:pos="2472"/>
        </w:tabs>
        <w:spacing w:line="460" w:lineRule="exact"/>
        <w:jc w:val="center"/>
        <w:rPr>
          <w:b/>
          <w:color w:val="auto"/>
          <w:sz w:val="36"/>
          <w:szCs w:val="20"/>
          <w:highlight w:val="none"/>
        </w:rPr>
      </w:pPr>
    </w:p>
    <w:p w14:paraId="7372310F">
      <w:pPr>
        <w:tabs>
          <w:tab w:val="left" w:pos="2472"/>
        </w:tabs>
        <w:spacing w:line="460" w:lineRule="exact"/>
        <w:jc w:val="center"/>
        <w:rPr>
          <w:b/>
          <w:color w:val="auto"/>
          <w:sz w:val="36"/>
          <w:szCs w:val="20"/>
          <w:highlight w:val="none"/>
        </w:rPr>
      </w:pPr>
    </w:p>
    <w:p w14:paraId="1D4C724D">
      <w:pPr>
        <w:tabs>
          <w:tab w:val="left" w:pos="2472"/>
        </w:tabs>
        <w:spacing w:line="460" w:lineRule="exact"/>
        <w:jc w:val="center"/>
        <w:rPr>
          <w:b/>
          <w:color w:val="auto"/>
          <w:sz w:val="36"/>
          <w:szCs w:val="20"/>
          <w:highlight w:val="none"/>
        </w:rPr>
      </w:pPr>
    </w:p>
    <w:p w14:paraId="0BF84317">
      <w:pPr>
        <w:tabs>
          <w:tab w:val="left" w:pos="2472"/>
        </w:tabs>
        <w:spacing w:line="460" w:lineRule="exact"/>
        <w:jc w:val="center"/>
        <w:rPr>
          <w:b/>
          <w:color w:val="auto"/>
          <w:sz w:val="36"/>
          <w:szCs w:val="20"/>
          <w:highlight w:val="none"/>
        </w:rPr>
      </w:pPr>
    </w:p>
    <w:p w14:paraId="12B41F90">
      <w:pPr>
        <w:tabs>
          <w:tab w:val="left" w:pos="2472"/>
        </w:tabs>
        <w:spacing w:line="460" w:lineRule="exact"/>
        <w:jc w:val="center"/>
        <w:rPr>
          <w:b/>
          <w:color w:val="auto"/>
          <w:sz w:val="36"/>
          <w:szCs w:val="20"/>
          <w:highlight w:val="none"/>
        </w:rPr>
      </w:pPr>
    </w:p>
    <w:p w14:paraId="1EE822BD">
      <w:pPr>
        <w:tabs>
          <w:tab w:val="left" w:pos="2472"/>
        </w:tabs>
        <w:spacing w:line="460" w:lineRule="exact"/>
        <w:jc w:val="center"/>
        <w:rPr>
          <w:b/>
          <w:color w:val="auto"/>
          <w:sz w:val="36"/>
          <w:szCs w:val="20"/>
          <w:highlight w:val="none"/>
        </w:rPr>
      </w:pPr>
    </w:p>
    <w:p w14:paraId="27854FEF">
      <w:pPr>
        <w:tabs>
          <w:tab w:val="left" w:pos="2472"/>
        </w:tabs>
        <w:spacing w:line="460" w:lineRule="exact"/>
        <w:jc w:val="center"/>
        <w:rPr>
          <w:b/>
          <w:color w:val="auto"/>
          <w:sz w:val="36"/>
          <w:szCs w:val="20"/>
          <w:highlight w:val="none"/>
        </w:rPr>
      </w:pPr>
    </w:p>
    <w:p w14:paraId="3602A086">
      <w:pPr>
        <w:tabs>
          <w:tab w:val="left" w:pos="2472"/>
        </w:tabs>
        <w:spacing w:line="460" w:lineRule="exact"/>
        <w:jc w:val="center"/>
        <w:rPr>
          <w:b/>
          <w:color w:val="auto"/>
          <w:sz w:val="36"/>
          <w:szCs w:val="20"/>
          <w:highlight w:val="none"/>
        </w:rPr>
      </w:pPr>
    </w:p>
    <w:p w14:paraId="20FAC170">
      <w:pPr>
        <w:tabs>
          <w:tab w:val="left" w:pos="2472"/>
        </w:tabs>
        <w:spacing w:line="460" w:lineRule="exact"/>
        <w:jc w:val="center"/>
        <w:rPr>
          <w:b/>
          <w:color w:val="auto"/>
          <w:sz w:val="36"/>
          <w:szCs w:val="20"/>
          <w:highlight w:val="none"/>
        </w:rPr>
      </w:pPr>
    </w:p>
    <w:p w14:paraId="1EB297E1">
      <w:pPr>
        <w:tabs>
          <w:tab w:val="left" w:pos="2472"/>
        </w:tabs>
        <w:spacing w:line="460" w:lineRule="exact"/>
        <w:jc w:val="center"/>
        <w:rPr>
          <w:b/>
          <w:color w:val="auto"/>
          <w:sz w:val="36"/>
          <w:szCs w:val="20"/>
          <w:highlight w:val="none"/>
        </w:rPr>
      </w:pPr>
    </w:p>
    <w:p w14:paraId="690B35F2">
      <w:pPr>
        <w:tabs>
          <w:tab w:val="left" w:pos="2472"/>
        </w:tabs>
        <w:spacing w:line="460" w:lineRule="exact"/>
        <w:jc w:val="center"/>
        <w:rPr>
          <w:b/>
          <w:color w:val="auto"/>
          <w:sz w:val="36"/>
          <w:szCs w:val="20"/>
          <w:highlight w:val="none"/>
        </w:rPr>
      </w:pPr>
    </w:p>
    <w:p w14:paraId="0A3ECEEB">
      <w:pPr>
        <w:tabs>
          <w:tab w:val="left" w:pos="2472"/>
        </w:tabs>
        <w:spacing w:line="460" w:lineRule="exact"/>
        <w:jc w:val="center"/>
        <w:outlineLvl w:val="0"/>
        <w:rPr>
          <w:b/>
          <w:color w:val="auto"/>
          <w:sz w:val="36"/>
          <w:szCs w:val="20"/>
          <w:highlight w:val="none"/>
        </w:rPr>
      </w:pPr>
      <w:bookmarkStart w:id="141" w:name="_Toc25987"/>
      <w:r>
        <w:rPr>
          <w:rFonts w:hint="eastAsia"/>
          <w:b/>
          <w:color w:val="auto"/>
          <w:sz w:val="36"/>
          <w:szCs w:val="20"/>
          <w:highlight w:val="none"/>
        </w:rPr>
        <w:t>第五章</w:t>
      </w:r>
      <w:r>
        <w:rPr>
          <w:b/>
          <w:color w:val="auto"/>
          <w:sz w:val="36"/>
          <w:szCs w:val="20"/>
          <w:highlight w:val="none"/>
        </w:rPr>
        <w:t xml:space="preserve"> </w:t>
      </w:r>
      <w:r>
        <w:rPr>
          <w:rFonts w:hint="eastAsia"/>
          <w:b/>
          <w:color w:val="auto"/>
          <w:sz w:val="36"/>
          <w:szCs w:val="20"/>
          <w:highlight w:val="none"/>
        </w:rPr>
        <w:t>拟签订的合同文本</w:t>
      </w:r>
      <w:bookmarkEnd w:id="141"/>
    </w:p>
    <w:p w14:paraId="27212605">
      <w:pPr>
        <w:widowControl/>
        <w:jc w:val="left"/>
        <w:rPr>
          <w:rFonts w:ascii="宋体" w:hAnsi="Courier New"/>
          <w:bCs/>
          <w:color w:val="auto"/>
          <w:szCs w:val="20"/>
          <w:highlight w:val="none"/>
        </w:rPr>
        <w:sectPr>
          <w:pgSz w:w="11906" w:h="16838"/>
          <w:pgMar w:top="1134" w:right="1134" w:bottom="1134" w:left="1134" w:header="720" w:footer="720" w:gutter="0"/>
          <w:cols w:space="720" w:num="1"/>
          <w:docGrid w:type="lines" w:linePitch="331" w:charSpace="0"/>
        </w:sectPr>
      </w:pPr>
    </w:p>
    <w:p w14:paraId="62011E3D">
      <w:pPr>
        <w:spacing w:line="360" w:lineRule="auto"/>
        <w:rPr>
          <w:rFonts w:ascii="仿宋_GB2312" w:hAnsi="楷体" w:eastAsia="仿宋_GB2312"/>
          <w:color w:val="auto"/>
          <w:sz w:val="24"/>
          <w:highlight w:val="none"/>
        </w:rPr>
      </w:pPr>
    </w:p>
    <w:p w14:paraId="7E1ECE63">
      <w:pPr>
        <w:spacing w:line="360" w:lineRule="auto"/>
        <w:rPr>
          <w:rFonts w:hint="eastAsia" w:ascii="仿宋_GB2312" w:hAnsi="楷体" w:eastAsia="仿宋_GB2312"/>
          <w:color w:val="auto"/>
          <w:sz w:val="24"/>
          <w:highlight w:val="none"/>
          <w:u w:val="single"/>
        </w:rPr>
      </w:pPr>
      <w:r>
        <w:rPr>
          <w:rFonts w:hint="eastAsia" w:ascii="仿宋_GB2312" w:hAnsi="楷体" w:eastAsia="仿宋_GB2312"/>
          <w:color w:val="auto"/>
          <w:sz w:val="24"/>
          <w:highlight w:val="none"/>
        </w:rPr>
        <w:t>“政采云”平台合同编号：</w:t>
      </w:r>
      <w:r>
        <w:rPr>
          <w:rFonts w:hint="eastAsia" w:ascii="仿宋_GB2312" w:hAnsi="楷体" w:eastAsia="仿宋_GB2312"/>
          <w:color w:val="auto"/>
          <w:sz w:val="24"/>
          <w:highlight w:val="none"/>
          <w:u w:val="single"/>
        </w:rPr>
        <w:t xml:space="preserve">           </w:t>
      </w:r>
    </w:p>
    <w:p w14:paraId="272B6126">
      <w:pPr>
        <w:spacing w:line="360" w:lineRule="auto"/>
        <w:jc w:val="center"/>
        <w:rPr>
          <w:rFonts w:hint="eastAsia" w:ascii="宋体"/>
          <w:b/>
          <w:bCs/>
          <w:color w:val="auto"/>
          <w:sz w:val="52"/>
          <w:highlight w:val="none"/>
        </w:rPr>
      </w:pPr>
    </w:p>
    <w:p w14:paraId="18240593">
      <w:pPr>
        <w:spacing w:line="360" w:lineRule="auto"/>
        <w:jc w:val="center"/>
        <w:rPr>
          <w:rFonts w:hint="eastAsia" w:ascii="宋体"/>
          <w:b/>
          <w:bCs/>
          <w:color w:val="auto"/>
          <w:sz w:val="52"/>
          <w:highlight w:val="none"/>
        </w:rPr>
      </w:pPr>
    </w:p>
    <w:p w14:paraId="72D18E3F">
      <w:pPr>
        <w:spacing w:line="360" w:lineRule="auto"/>
        <w:jc w:val="center"/>
        <w:rPr>
          <w:rFonts w:hint="eastAsia" w:ascii="宋体"/>
          <w:b/>
          <w:bCs/>
          <w:color w:val="auto"/>
          <w:sz w:val="52"/>
          <w:highlight w:val="none"/>
        </w:rPr>
      </w:pPr>
      <w:r>
        <w:rPr>
          <w:rFonts w:hint="eastAsia" w:ascii="宋体"/>
          <w:b/>
          <w:bCs/>
          <w:color w:val="auto"/>
          <w:sz w:val="52"/>
          <w:highlight w:val="none"/>
        </w:rPr>
        <w:t>南 宁 市 政 府 采 购</w:t>
      </w:r>
    </w:p>
    <w:p w14:paraId="1A9403F0">
      <w:pPr>
        <w:spacing w:line="360" w:lineRule="auto"/>
        <w:ind w:firstLine="420" w:firstLineChars="200"/>
        <w:rPr>
          <w:rFonts w:hint="eastAsia" w:ascii="宋体"/>
          <w:color w:val="auto"/>
          <w:highlight w:val="none"/>
        </w:rPr>
      </w:pPr>
    </w:p>
    <w:p w14:paraId="20AA6C91">
      <w:pPr>
        <w:spacing w:line="360" w:lineRule="auto"/>
        <w:ind w:firstLine="420" w:firstLineChars="200"/>
        <w:rPr>
          <w:rFonts w:hint="eastAsia" w:ascii="宋体"/>
          <w:color w:val="auto"/>
          <w:highlight w:val="none"/>
        </w:rPr>
      </w:pPr>
      <w:r>
        <w:rPr>
          <w:rFonts w:hint="eastAsia" w:ascii="宋体"/>
          <w:color w:val="auto"/>
          <w:highlight w:val="none"/>
        </w:rPr>
        <w:t xml:space="preserve">                                                 </w:t>
      </w:r>
    </w:p>
    <w:p w14:paraId="3EF753FB">
      <w:pPr>
        <w:spacing w:line="360" w:lineRule="auto"/>
        <w:jc w:val="center"/>
        <w:outlineLvl w:val="0"/>
        <w:rPr>
          <w:rFonts w:hint="eastAsia" w:ascii="宋体"/>
          <w:b/>
          <w:bCs/>
          <w:color w:val="auto"/>
          <w:sz w:val="44"/>
          <w:highlight w:val="none"/>
        </w:rPr>
      </w:pPr>
      <w:bookmarkStart w:id="142" w:name="_Toc4578"/>
      <w:bookmarkStart w:id="143" w:name="_Toc21926"/>
      <w:r>
        <w:rPr>
          <w:rFonts w:hint="eastAsia" w:ascii="宋体"/>
          <w:b/>
          <w:bCs/>
          <w:color w:val="auto"/>
          <w:sz w:val="44"/>
          <w:highlight w:val="none"/>
          <w:u w:val="single"/>
          <w:lang w:eastAsia="zh-CN"/>
        </w:rPr>
        <w:t>南宁市城市规划展示馆布展内容升级改造</w:t>
      </w:r>
      <w:r>
        <w:rPr>
          <w:rFonts w:hint="eastAsia" w:ascii="宋体"/>
          <w:b/>
          <w:bCs/>
          <w:color w:val="auto"/>
          <w:sz w:val="44"/>
          <w:highlight w:val="none"/>
        </w:rPr>
        <w:t>合同</w:t>
      </w:r>
      <w:bookmarkEnd w:id="142"/>
      <w:bookmarkEnd w:id="143"/>
    </w:p>
    <w:p w14:paraId="711222F8">
      <w:pPr>
        <w:spacing w:line="360" w:lineRule="auto"/>
        <w:jc w:val="center"/>
        <w:rPr>
          <w:rFonts w:hint="eastAsia" w:ascii="宋体"/>
          <w:b/>
          <w:bCs/>
          <w:color w:val="auto"/>
          <w:sz w:val="44"/>
          <w:highlight w:val="none"/>
        </w:rPr>
      </w:pPr>
    </w:p>
    <w:p w14:paraId="588F7657">
      <w:pPr>
        <w:spacing w:line="360" w:lineRule="auto"/>
        <w:ind w:firstLine="3507" w:firstLineChars="794"/>
        <w:rPr>
          <w:rFonts w:hint="eastAsia" w:ascii="宋体"/>
          <w:b/>
          <w:bCs/>
          <w:color w:val="auto"/>
          <w:sz w:val="44"/>
          <w:highlight w:val="none"/>
        </w:rPr>
      </w:pPr>
    </w:p>
    <w:p w14:paraId="51F822E0">
      <w:pPr>
        <w:spacing w:line="360" w:lineRule="auto"/>
        <w:ind w:firstLine="3507" w:firstLineChars="794"/>
        <w:rPr>
          <w:rFonts w:hint="eastAsia" w:ascii="宋体"/>
          <w:b/>
          <w:bCs/>
          <w:color w:val="auto"/>
          <w:sz w:val="44"/>
          <w:highlight w:val="none"/>
        </w:rPr>
      </w:pPr>
    </w:p>
    <w:p w14:paraId="6E4798A7">
      <w:pPr>
        <w:ind w:firstLine="1995" w:firstLineChars="552"/>
        <w:rPr>
          <w:rFonts w:ascii="宋体" w:hAnsi="宋体"/>
          <w:b/>
          <w:color w:val="auto"/>
          <w:sz w:val="36"/>
          <w:szCs w:val="36"/>
          <w:highlight w:val="none"/>
        </w:rPr>
      </w:pPr>
      <w:r>
        <w:rPr>
          <w:rFonts w:hint="eastAsia" w:ascii="宋体" w:hAnsi="宋体"/>
          <w:b/>
          <w:color w:val="auto"/>
          <w:sz w:val="36"/>
          <w:szCs w:val="36"/>
          <w:highlight w:val="none"/>
        </w:rPr>
        <w:t>项目编号：</w:t>
      </w:r>
      <w:r>
        <w:rPr>
          <w:rFonts w:hint="eastAsia" w:ascii="宋体" w:hAnsi="宋体"/>
          <w:b/>
          <w:color w:val="auto"/>
          <w:sz w:val="36"/>
          <w:szCs w:val="36"/>
          <w:highlight w:val="none"/>
          <w:u w:val="single"/>
        </w:rPr>
        <w:t xml:space="preserve">                       </w:t>
      </w:r>
    </w:p>
    <w:p w14:paraId="5575FC9B">
      <w:pPr>
        <w:ind w:firstLine="1995" w:firstLineChars="552"/>
        <w:rPr>
          <w:rFonts w:hint="eastAsia" w:ascii="宋体" w:hAnsi="宋体"/>
          <w:b/>
          <w:color w:val="auto"/>
          <w:sz w:val="36"/>
          <w:szCs w:val="36"/>
          <w:highlight w:val="none"/>
        </w:rPr>
      </w:pPr>
      <w:r>
        <w:rPr>
          <w:rFonts w:hint="eastAsia" w:ascii="宋体" w:hAnsi="宋体"/>
          <w:b/>
          <w:color w:val="auto"/>
          <w:sz w:val="36"/>
          <w:szCs w:val="36"/>
          <w:highlight w:val="none"/>
        </w:rPr>
        <w:t>计划编号：</w:t>
      </w:r>
      <w:r>
        <w:rPr>
          <w:rFonts w:hint="eastAsia" w:ascii="宋体" w:hAnsi="宋体"/>
          <w:b/>
          <w:color w:val="auto"/>
          <w:sz w:val="36"/>
          <w:szCs w:val="36"/>
          <w:highlight w:val="none"/>
          <w:u w:val="single"/>
        </w:rPr>
        <w:t xml:space="preserve">  </w:t>
      </w:r>
      <w:bookmarkStart w:id="144" w:name="PO_3000001866_PM001WMC001"/>
      <w:r>
        <w:rPr>
          <w:rFonts w:hint="eastAsia" w:ascii="宋体" w:hAnsi="宋体"/>
          <w:b/>
          <w:color w:val="auto"/>
          <w:sz w:val="36"/>
          <w:szCs w:val="36"/>
          <w:highlight w:val="none"/>
          <w:u w:val="single"/>
        </w:rPr>
        <w:t>[                   ]</w:t>
      </w:r>
      <w:bookmarkEnd w:id="144"/>
      <w:r>
        <w:rPr>
          <w:rFonts w:hint="eastAsia" w:ascii="宋体" w:hAnsi="宋体"/>
          <w:b/>
          <w:color w:val="auto"/>
          <w:sz w:val="36"/>
          <w:szCs w:val="36"/>
          <w:highlight w:val="none"/>
          <w:u w:val="single"/>
        </w:rPr>
        <w:t xml:space="preserve">  </w:t>
      </w:r>
    </w:p>
    <w:p w14:paraId="49C56BF3">
      <w:pPr>
        <w:ind w:firstLine="1970" w:firstLineChars="545"/>
        <w:rPr>
          <w:rFonts w:hint="eastAsia" w:ascii="宋体" w:hAnsi="宋体"/>
          <w:b/>
          <w:color w:val="auto"/>
          <w:sz w:val="36"/>
          <w:szCs w:val="36"/>
          <w:highlight w:val="none"/>
          <w:u w:val="single"/>
        </w:rPr>
      </w:pPr>
    </w:p>
    <w:p w14:paraId="5D4DB75E">
      <w:pPr>
        <w:tabs>
          <w:tab w:val="left" w:pos="7200"/>
        </w:tabs>
        <w:spacing w:line="360" w:lineRule="auto"/>
        <w:ind w:firstLine="1995" w:firstLineChars="552"/>
        <w:rPr>
          <w:rFonts w:hint="eastAsia" w:ascii="宋体" w:hAnsi="宋体"/>
          <w:b/>
          <w:color w:val="auto"/>
          <w:sz w:val="36"/>
          <w:szCs w:val="36"/>
          <w:highlight w:val="none"/>
          <w:u w:val="single"/>
        </w:rPr>
      </w:pPr>
      <w:r>
        <w:rPr>
          <w:rFonts w:hint="eastAsia" w:ascii="宋体" w:hAnsi="宋体"/>
          <w:b/>
          <w:color w:val="auto"/>
          <w:sz w:val="36"/>
          <w:szCs w:val="36"/>
          <w:highlight w:val="none"/>
        </w:rPr>
        <w:t>采购人：</w:t>
      </w:r>
      <w:r>
        <w:rPr>
          <w:rFonts w:hint="eastAsia" w:ascii="宋体" w:hAnsi="宋体"/>
          <w:b/>
          <w:color w:val="auto"/>
          <w:sz w:val="36"/>
          <w:szCs w:val="36"/>
          <w:highlight w:val="none"/>
          <w:u w:val="single"/>
        </w:rPr>
        <w:t xml:space="preserve"> </w:t>
      </w:r>
      <w:r>
        <w:rPr>
          <w:rFonts w:hint="eastAsia" w:ascii="宋体" w:hAnsi="宋体"/>
          <w:b/>
          <w:color w:val="auto"/>
          <w:sz w:val="36"/>
          <w:szCs w:val="36"/>
          <w:highlight w:val="none"/>
          <w:u w:val="single"/>
          <w:lang w:eastAsia="zh-CN"/>
        </w:rPr>
        <w:t>南宁市城市规划展示馆</w:t>
      </w:r>
      <w:r>
        <w:rPr>
          <w:rFonts w:hint="eastAsia" w:ascii="宋体" w:hAnsi="宋体"/>
          <w:b/>
          <w:color w:val="auto"/>
          <w:sz w:val="36"/>
          <w:szCs w:val="36"/>
          <w:highlight w:val="none"/>
          <w:u w:val="single"/>
        </w:rPr>
        <w:t xml:space="preserve">  </w:t>
      </w:r>
    </w:p>
    <w:p w14:paraId="15A2D020">
      <w:pPr>
        <w:tabs>
          <w:tab w:val="left" w:pos="7380"/>
        </w:tabs>
        <w:spacing w:line="360" w:lineRule="auto"/>
        <w:ind w:firstLine="1995" w:firstLineChars="552"/>
        <w:rPr>
          <w:rFonts w:hint="eastAsia" w:ascii="宋体"/>
          <w:b/>
          <w:bCs/>
          <w:color w:val="auto"/>
          <w:sz w:val="44"/>
          <w:highlight w:val="none"/>
        </w:rPr>
      </w:pPr>
      <w:r>
        <w:rPr>
          <w:rFonts w:hint="eastAsia" w:ascii="宋体" w:hAnsi="宋体"/>
          <w:b/>
          <w:color w:val="auto"/>
          <w:sz w:val="36"/>
          <w:szCs w:val="36"/>
          <w:highlight w:val="none"/>
        </w:rPr>
        <w:t>中标供应商：</w:t>
      </w:r>
      <w:r>
        <w:rPr>
          <w:rFonts w:hint="eastAsia" w:ascii="宋体" w:hAnsi="宋体"/>
          <w:b/>
          <w:color w:val="auto"/>
          <w:sz w:val="36"/>
          <w:szCs w:val="36"/>
          <w:highlight w:val="none"/>
          <w:u w:val="single"/>
        </w:rPr>
        <w:t xml:space="preserve">                   </w:t>
      </w:r>
    </w:p>
    <w:p w14:paraId="6BA43776">
      <w:pPr>
        <w:tabs>
          <w:tab w:val="left" w:pos="7380"/>
        </w:tabs>
        <w:spacing w:line="360" w:lineRule="auto"/>
        <w:rPr>
          <w:rFonts w:hint="eastAsia" w:ascii="宋体"/>
          <w:b/>
          <w:bCs/>
          <w:color w:val="auto"/>
          <w:sz w:val="44"/>
          <w:highlight w:val="none"/>
        </w:rPr>
      </w:pPr>
    </w:p>
    <w:p w14:paraId="5F74D998">
      <w:pPr>
        <w:spacing w:before="120" w:line="360" w:lineRule="auto"/>
        <w:ind w:firstLine="960" w:firstLineChars="400"/>
        <w:rPr>
          <w:rFonts w:hint="eastAsia" w:ascii="仿宋_GB2312" w:hAnsi="楷体" w:eastAsia="仿宋_GB2312"/>
          <w:color w:val="auto"/>
          <w:sz w:val="24"/>
          <w:highlight w:val="none"/>
        </w:rPr>
      </w:pPr>
    </w:p>
    <w:p w14:paraId="4D0382FF">
      <w:pPr>
        <w:spacing w:before="120" w:line="360" w:lineRule="auto"/>
        <w:ind w:firstLine="960" w:firstLineChars="400"/>
        <w:rPr>
          <w:rFonts w:hint="eastAsia" w:ascii="仿宋_GB2312" w:hAnsi="楷体" w:eastAsia="仿宋_GB2312"/>
          <w:color w:val="auto"/>
          <w:sz w:val="24"/>
          <w:highlight w:val="none"/>
        </w:rPr>
      </w:pPr>
    </w:p>
    <w:p w14:paraId="4FBD8B0B">
      <w:pPr>
        <w:spacing w:before="120" w:line="360" w:lineRule="auto"/>
        <w:ind w:firstLine="2280" w:firstLineChars="950"/>
        <w:rPr>
          <w:rFonts w:hint="eastAsia" w:ascii="宋体"/>
          <w:b/>
          <w:bCs/>
          <w:color w:val="auto"/>
          <w:sz w:val="44"/>
          <w:highlight w:val="none"/>
        </w:rPr>
      </w:pPr>
      <w:r>
        <w:rPr>
          <w:rFonts w:hint="eastAsia" w:ascii="仿宋_GB2312" w:hAnsi="楷体" w:eastAsia="仿宋_GB2312"/>
          <w:color w:val="auto"/>
          <w:sz w:val="24"/>
          <w:highlight w:val="none"/>
        </w:rPr>
        <w:t>签订日期：</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年</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月</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日</w:t>
      </w:r>
    </w:p>
    <w:p w14:paraId="73EA8B07">
      <w:pPr>
        <w:snapToGrid w:val="0"/>
        <w:spacing w:line="360" w:lineRule="auto"/>
        <w:jc w:val="center"/>
        <w:rPr>
          <w:rFonts w:hint="eastAsia" w:ascii="仿宋_GB2312" w:hAnsi="楷体" w:eastAsia="仿宋_GB2312"/>
          <w:b/>
          <w:color w:val="auto"/>
          <w:sz w:val="24"/>
          <w:highlight w:val="none"/>
        </w:rPr>
      </w:pPr>
      <w:r>
        <w:rPr>
          <w:rFonts w:hint="eastAsia" w:ascii="宋体"/>
          <w:b/>
          <w:bCs/>
          <w:color w:val="auto"/>
          <w:sz w:val="44"/>
          <w:highlight w:val="none"/>
        </w:rPr>
        <w:br w:type="page"/>
      </w:r>
      <w:r>
        <w:rPr>
          <w:rFonts w:hint="eastAsia" w:ascii="仿宋_GB2312" w:hAnsi="楷体" w:eastAsia="仿宋_GB2312"/>
          <w:b/>
          <w:color w:val="auto"/>
          <w:sz w:val="24"/>
          <w:highlight w:val="none"/>
        </w:rPr>
        <w:t>合同目录</w:t>
      </w:r>
    </w:p>
    <w:p w14:paraId="78CF3E06">
      <w:pPr>
        <w:snapToGrid w:val="0"/>
        <w:spacing w:line="360" w:lineRule="auto"/>
        <w:rPr>
          <w:rFonts w:hint="eastAsia" w:ascii="仿宋_GB2312" w:hAnsi="仿宋" w:eastAsia="仿宋_GB2312" w:cs="仿宋_GB2312"/>
          <w:color w:val="auto"/>
          <w:kern w:val="0"/>
          <w:sz w:val="24"/>
          <w:highlight w:val="none"/>
        </w:rPr>
      </w:pPr>
    </w:p>
    <w:p w14:paraId="684842E4">
      <w:pPr>
        <w:wordWrap w:val="0"/>
        <w:snapToGrid w:val="0"/>
        <w:spacing w:line="360" w:lineRule="auto"/>
        <w:ind w:firstLine="420" w:firstLineChars="175"/>
        <w:rPr>
          <w:rFonts w:ascii="宋体" w:hAnsi="宋体" w:cs="宋体"/>
          <w:color w:val="auto"/>
          <w:kern w:val="0"/>
          <w:sz w:val="24"/>
          <w:highlight w:val="none"/>
        </w:rPr>
      </w:pPr>
      <w:r>
        <w:rPr>
          <w:rFonts w:hint="eastAsia" w:ascii="宋体" w:hAnsi="宋体" w:cs="宋体"/>
          <w:color w:val="auto"/>
          <w:kern w:val="0"/>
          <w:sz w:val="24"/>
          <w:highlight w:val="none"/>
        </w:rPr>
        <w:t>一、</w:t>
      </w:r>
      <w:r>
        <w:rPr>
          <w:rFonts w:hint="eastAsia" w:ascii="宋体" w:hAnsi="宋体" w:cs="宋体"/>
          <w:color w:val="auto"/>
          <w:sz w:val="24"/>
          <w:highlight w:val="none"/>
        </w:rPr>
        <w:t>第一部分 合同书</w:t>
      </w:r>
      <w:r>
        <w:rPr>
          <w:rFonts w:hint="eastAsia" w:ascii="宋体" w:hAnsi="宋体" w:cs="宋体"/>
          <w:color w:val="auto"/>
          <w:kern w:val="0"/>
          <w:sz w:val="24"/>
          <w:highlight w:val="none"/>
        </w:rPr>
        <w:t>……………………………………………………………（页码）</w:t>
      </w:r>
    </w:p>
    <w:p w14:paraId="18A65DBE">
      <w:pPr>
        <w:wordWrap w:val="0"/>
        <w:snapToGrid w:val="0"/>
        <w:spacing w:line="360" w:lineRule="auto"/>
        <w:ind w:firstLine="420" w:firstLineChars="175"/>
        <w:rPr>
          <w:rFonts w:ascii="宋体" w:hAnsi="宋体" w:cs="宋体"/>
          <w:color w:val="auto"/>
          <w:kern w:val="0"/>
          <w:sz w:val="24"/>
          <w:highlight w:val="none"/>
        </w:rPr>
      </w:pPr>
      <w:r>
        <w:rPr>
          <w:rFonts w:hint="eastAsia" w:ascii="宋体" w:hAnsi="宋体" w:cs="宋体"/>
          <w:color w:val="auto"/>
          <w:kern w:val="0"/>
          <w:sz w:val="24"/>
          <w:highlight w:val="none"/>
        </w:rPr>
        <w:t>二、第二部分 合同一般条款……………………………………………………（页码）</w:t>
      </w:r>
    </w:p>
    <w:p w14:paraId="1FCA1207">
      <w:pPr>
        <w:wordWrap w:val="0"/>
        <w:snapToGrid w:val="0"/>
        <w:spacing w:line="360" w:lineRule="auto"/>
        <w:ind w:firstLine="420" w:firstLineChars="175"/>
        <w:rPr>
          <w:rFonts w:ascii="宋体" w:hAnsi="宋体" w:cs="宋体"/>
          <w:color w:val="auto"/>
          <w:kern w:val="0"/>
          <w:sz w:val="24"/>
          <w:highlight w:val="none"/>
        </w:rPr>
      </w:pPr>
      <w:r>
        <w:rPr>
          <w:rFonts w:hint="eastAsia" w:ascii="宋体" w:hAnsi="宋体" w:cs="宋体"/>
          <w:color w:val="auto"/>
          <w:kern w:val="0"/>
          <w:sz w:val="24"/>
          <w:highlight w:val="none"/>
        </w:rPr>
        <w:t>三、第三部分 合同专用条款……………………………………………………（页码）</w:t>
      </w:r>
    </w:p>
    <w:p w14:paraId="6164D9A0">
      <w:pPr>
        <w:wordWrap w:val="0"/>
        <w:snapToGrid w:val="0"/>
        <w:spacing w:line="360" w:lineRule="auto"/>
        <w:ind w:firstLine="420" w:firstLineChars="175"/>
        <w:rPr>
          <w:rFonts w:ascii="宋体" w:hAnsi="宋体" w:cs="宋体"/>
          <w:color w:val="auto"/>
          <w:kern w:val="0"/>
          <w:sz w:val="24"/>
          <w:highlight w:val="none"/>
        </w:rPr>
      </w:pPr>
      <w:r>
        <w:rPr>
          <w:rFonts w:hint="eastAsia" w:ascii="宋体" w:hAnsi="宋体" w:cs="宋体"/>
          <w:color w:val="auto"/>
          <w:kern w:val="0"/>
          <w:sz w:val="24"/>
          <w:highlight w:val="none"/>
        </w:rPr>
        <w:t>四、</w:t>
      </w:r>
      <w:r>
        <w:rPr>
          <w:rFonts w:hint="eastAsia" w:ascii="宋体" w:hAnsi="宋体" w:cs="宋体"/>
          <w:color w:val="auto"/>
          <w:sz w:val="24"/>
          <w:highlight w:val="none"/>
        </w:rPr>
        <w:t>第四部分 合同附件</w:t>
      </w:r>
      <w:r>
        <w:rPr>
          <w:rFonts w:hint="eastAsia" w:ascii="宋体" w:hAnsi="宋体" w:cs="宋体"/>
          <w:color w:val="auto"/>
          <w:kern w:val="0"/>
          <w:sz w:val="24"/>
          <w:highlight w:val="none"/>
        </w:rPr>
        <w:t>…………………………………………………………（页码）</w:t>
      </w:r>
    </w:p>
    <w:p w14:paraId="49D080AE">
      <w:pPr>
        <w:wordWrap w:val="0"/>
        <w:snapToGrid w:val="0"/>
        <w:spacing w:line="360" w:lineRule="auto"/>
        <w:ind w:firstLine="420" w:firstLineChars="175"/>
        <w:rPr>
          <w:rFonts w:ascii="宋体" w:hAnsi="宋体" w:cs="宋体"/>
          <w:color w:val="auto"/>
          <w:kern w:val="0"/>
          <w:sz w:val="24"/>
          <w:highlight w:val="none"/>
        </w:rPr>
      </w:pPr>
      <w:r>
        <w:rPr>
          <w:rFonts w:hint="eastAsia" w:ascii="宋体" w:hAnsi="宋体" w:cs="宋体"/>
          <w:color w:val="auto"/>
          <w:kern w:val="0"/>
          <w:sz w:val="24"/>
          <w:highlight w:val="none"/>
        </w:rPr>
        <w:t>4.1中标通知书 …………………………………………………………………（页码）</w:t>
      </w:r>
    </w:p>
    <w:p w14:paraId="49460E58">
      <w:pPr>
        <w:wordWrap w:val="0"/>
        <w:snapToGrid w:val="0"/>
        <w:spacing w:line="360" w:lineRule="auto"/>
        <w:ind w:firstLine="420" w:firstLineChars="175"/>
        <w:rPr>
          <w:rFonts w:ascii="宋体" w:hAnsi="宋体" w:cs="宋体"/>
          <w:color w:val="auto"/>
          <w:kern w:val="0"/>
          <w:sz w:val="24"/>
          <w:highlight w:val="none"/>
        </w:rPr>
      </w:pPr>
      <w:r>
        <w:rPr>
          <w:rFonts w:hint="eastAsia" w:ascii="宋体" w:hAnsi="宋体" w:cs="宋体"/>
          <w:color w:val="auto"/>
          <w:kern w:val="0"/>
          <w:sz w:val="24"/>
          <w:highlight w:val="none"/>
        </w:rPr>
        <w:t>4.2招标文件服务需求一览表 …………………………………………………（页码）</w:t>
      </w:r>
    </w:p>
    <w:p w14:paraId="74CF59AF">
      <w:pPr>
        <w:wordWrap w:val="0"/>
        <w:snapToGrid w:val="0"/>
        <w:spacing w:line="360" w:lineRule="auto"/>
        <w:ind w:firstLine="420" w:firstLineChars="175"/>
        <w:rPr>
          <w:rFonts w:ascii="宋体" w:hAnsi="宋体" w:cs="宋体"/>
          <w:color w:val="auto"/>
          <w:kern w:val="0"/>
          <w:sz w:val="24"/>
          <w:highlight w:val="none"/>
        </w:rPr>
      </w:pPr>
      <w:r>
        <w:rPr>
          <w:rFonts w:hint="eastAsia" w:ascii="宋体" w:hAnsi="宋体" w:cs="宋体"/>
          <w:color w:val="auto"/>
          <w:kern w:val="0"/>
          <w:sz w:val="24"/>
          <w:highlight w:val="none"/>
        </w:rPr>
        <w:t>4.3招标文件的更改通知（如有） ……………………………………………（页码）</w:t>
      </w:r>
    </w:p>
    <w:p w14:paraId="30A55387">
      <w:pPr>
        <w:wordWrap w:val="0"/>
        <w:snapToGrid w:val="0"/>
        <w:spacing w:line="360" w:lineRule="auto"/>
        <w:ind w:firstLine="420" w:firstLineChars="175"/>
        <w:rPr>
          <w:rFonts w:ascii="宋体" w:hAnsi="宋体" w:cs="宋体"/>
          <w:color w:val="auto"/>
          <w:kern w:val="0"/>
          <w:sz w:val="24"/>
          <w:highlight w:val="none"/>
        </w:rPr>
      </w:pPr>
      <w:r>
        <w:rPr>
          <w:rFonts w:hint="eastAsia" w:ascii="宋体" w:hAnsi="宋体" w:cs="宋体"/>
          <w:color w:val="auto"/>
          <w:kern w:val="0"/>
          <w:sz w:val="24"/>
          <w:highlight w:val="none"/>
        </w:rPr>
        <w:t>4.4投标函 ………………………………………………………………………（页码）</w:t>
      </w:r>
    </w:p>
    <w:p w14:paraId="263E7739">
      <w:pPr>
        <w:wordWrap w:val="0"/>
        <w:snapToGrid w:val="0"/>
        <w:spacing w:line="360" w:lineRule="auto"/>
        <w:ind w:firstLine="420" w:firstLineChars="175"/>
        <w:rPr>
          <w:rFonts w:ascii="宋体" w:hAnsi="宋体" w:cs="宋体"/>
          <w:color w:val="auto"/>
          <w:kern w:val="0"/>
          <w:sz w:val="24"/>
          <w:highlight w:val="none"/>
        </w:rPr>
      </w:pPr>
      <w:r>
        <w:rPr>
          <w:rFonts w:hint="eastAsia" w:ascii="宋体" w:hAnsi="宋体" w:cs="宋体"/>
          <w:color w:val="auto"/>
          <w:kern w:val="0"/>
          <w:sz w:val="24"/>
          <w:highlight w:val="none"/>
        </w:rPr>
        <w:t>4.5报价表 ………………………………………………………………………（页码）</w:t>
      </w:r>
    </w:p>
    <w:p w14:paraId="427C6C80">
      <w:pPr>
        <w:wordWrap w:val="0"/>
        <w:snapToGrid w:val="0"/>
        <w:spacing w:line="360" w:lineRule="auto"/>
        <w:ind w:firstLine="420" w:firstLineChars="175"/>
        <w:rPr>
          <w:rFonts w:ascii="宋体" w:hAnsi="宋体" w:cs="宋体"/>
          <w:color w:val="auto"/>
          <w:kern w:val="0"/>
          <w:sz w:val="24"/>
          <w:highlight w:val="none"/>
        </w:rPr>
      </w:pPr>
      <w:r>
        <w:rPr>
          <w:rFonts w:hint="eastAsia" w:ascii="宋体" w:hAnsi="宋体" w:cs="宋体"/>
          <w:color w:val="auto"/>
          <w:kern w:val="0"/>
          <w:sz w:val="24"/>
          <w:highlight w:val="none"/>
        </w:rPr>
        <w:t>4.6投标服务技术资料表 ………………………………………………………（页码）</w:t>
      </w:r>
    </w:p>
    <w:p w14:paraId="01EFFDFE">
      <w:pPr>
        <w:wordWrap w:val="0"/>
        <w:snapToGrid w:val="0"/>
        <w:spacing w:line="360" w:lineRule="auto"/>
        <w:ind w:firstLine="420" w:firstLineChars="175"/>
        <w:rPr>
          <w:rFonts w:ascii="宋体" w:hAnsi="宋体" w:cs="宋体"/>
          <w:color w:val="auto"/>
          <w:kern w:val="0"/>
          <w:sz w:val="24"/>
          <w:highlight w:val="none"/>
        </w:rPr>
      </w:pPr>
      <w:r>
        <w:rPr>
          <w:rFonts w:hint="eastAsia" w:ascii="宋体" w:hAnsi="宋体" w:cs="宋体"/>
          <w:color w:val="auto"/>
          <w:kern w:val="0"/>
          <w:sz w:val="24"/>
          <w:highlight w:val="none"/>
        </w:rPr>
        <w:t>4.7商务条款偏离表 ……………………………………………………………（页码）</w:t>
      </w:r>
    </w:p>
    <w:p w14:paraId="741C4D64">
      <w:pPr>
        <w:wordWrap w:val="0"/>
        <w:snapToGrid w:val="0"/>
        <w:spacing w:line="360" w:lineRule="auto"/>
        <w:ind w:firstLine="420" w:firstLineChars="175"/>
        <w:rPr>
          <w:rFonts w:ascii="宋体" w:hAnsi="宋体" w:cs="宋体"/>
          <w:color w:val="auto"/>
          <w:kern w:val="0"/>
          <w:sz w:val="24"/>
          <w:highlight w:val="none"/>
        </w:rPr>
      </w:pPr>
      <w:r>
        <w:rPr>
          <w:rFonts w:hint="eastAsia" w:ascii="宋体" w:hAnsi="宋体" w:cs="宋体"/>
          <w:color w:val="auto"/>
          <w:kern w:val="0"/>
          <w:sz w:val="24"/>
          <w:highlight w:val="none"/>
        </w:rPr>
        <w:t>4.8中标供应商澄清函（如有请提供） ………………………………………（页码）</w:t>
      </w:r>
    </w:p>
    <w:p w14:paraId="77BF2D4E">
      <w:pPr>
        <w:wordWrap w:val="0"/>
        <w:snapToGrid w:val="0"/>
        <w:spacing w:line="360" w:lineRule="auto"/>
        <w:ind w:firstLine="420" w:firstLineChars="175"/>
        <w:rPr>
          <w:rFonts w:ascii="宋体" w:hAnsi="宋体" w:cs="宋体"/>
          <w:color w:val="auto"/>
          <w:kern w:val="0"/>
          <w:sz w:val="24"/>
          <w:highlight w:val="none"/>
        </w:rPr>
      </w:pPr>
      <w:r>
        <w:rPr>
          <w:rFonts w:hint="eastAsia" w:ascii="宋体" w:hAnsi="宋体" w:cs="宋体"/>
          <w:color w:val="auto"/>
          <w:kern w:val="0"/>
          <w:sz w:val="24"/>
          <w:highlight w:val="none"/>
        </w:rPr>
        <w:t>4.9其他与本合同相关的资料（如有请提供） ………………………………（页码）</w:t>
      </w:r>
    </w:p>
    <w:p w14:paraId="77BC472C">
      <w:pPr>
        <w:widowControl/>
        <w:jc w:val="left"/>
        <w:rPr>
          <w:rFonts w:hint="eastAsia" w:ascii="宋体" w:hAnsi="宋体" w:cs="宋体"/>
          <w:color w:val="auto"/>
          <w:spacing w:val="-4"/>
          <w:sz w:val="28"/>
          <w:szCs w:val="28"/>
          <w:highlight w:val="none"/>
        </w:rPr>
      </w:pPr>
    </w:p>
    <w:p w14:paraId="71B5972B">
      <w:pPr>
        <w:widowControl/>
        <w:jc w:val="left"/>
        <w:rPr>
          <w:rFonts w:hint="eastAsia" w:ascii="宋体" w:hAnsi="宋体" w:cs="宋体"/>
          <w:color w:val="auto"/>
          <w:spacing w:val="-4"/>
          <w:sz w:val="28"/>
          <w:szCs w:val="28"/>
          <w:highlight w:val="none"/>
        </w:rPr>
        <w:sectPr>
          <w:pgSz w:w="11906" w:h="16838"/>
          <w:pgMar w:top="1134" w:right="1134" w:bottom="1134" w:left="1134" w:header="720" w:footer="720" w:gutter="0"/>
          <w:cols w:space="720" w:num="1"/>
          <w:docGrid w:type="lines" w:linePitch="331" w:charSpace="0"/>
        </w:sectPr>
      </w:pPr>
    </w:p>
    <w:p w14:paraId="2896BA6A">
      <w:pPr>
        <w:pStyle w:val="108"/>
        <w:ind w:firstLine="562"/>
        <w:jc w:val="center"/>
        <w:outlineLvl w:val="0"/>
        <w:rPr>
          <w:rFonts w:hint="eastAsia" w:ascii="仿宋_GB2312" w:hAnsi="楷体" w:eastAsia="仿宋_GB2312"/>
          <w:b/>
          <w:color w:val="auto"/>
          <w:sz w:val="28"/>
          <w:szCs w:val="28"/>
          <w:highlight w:val="none"/>
        </w:rPr>
      </w:pPr>
      <w:bookmarkStart w:id="145" w:name="_Toc19209"/>
      <w:bookmarkStart w:id="146" w:name="_Toc21943"/>
      <w:r>
        <w:rPr>
          <w:rFonts w:hint="eastAsia" w:ascii="仿宋_GB2312" w:hAnsi="楷体" w:eastAsia="仿宋_GB2312"/>
          <w:b/>
          <w:color w:val="auto"/>
          <w:sz w:val="28"/>
          <w:szCs w:val="28"/>
          <w:highlight w:val="none"/>
        </w:rPr>
        <w:t>第一部分 合同书</w:t>
      </w:r>
      <w:bookmarkEnd w:id="145"/>
      <w:bookmarkEnd w:id="146"/>
    </w:p>
    <w:p w14:paraId="5A3E6A4B">
      <w:pPr>
        <w:spacing w:line="360" w:lineRule="auto"/>
        <w:ind w:left="239" w:leftChars="114" w:firstLine="240" w:firstLineChars="100"/>
        <w:rPr>
          <w:rFonts w:hint="eastAsia" w:ascii="仿宋_GB2312" w:hAnsi="楷体" w:eastAsia="仿宋_GB2312"/>
          <w:color w:val="auto"/>
          <w:sz w:val="24"/>
          <w:highlight w:val="none"/>
        </w:rPr>
      </w:pPr>
      <w:r>
        <w:rPr>
          <w:rFonts w:hint="eastAsia" w:ascii="仿宋_GB2312" w:hAnsi="楷体" w:eastAsia="仿宋_GB2312"/>
          <w:color w:val="auto"/>
          <w:sz w:val="24"/>
          <w:highlight w:val="none"/>
          <w:u w:val="single"/>
          <w:lang w:val="zh-CN"/>
        </w:rPr>
        <w:t xml:space="preserve">     </w:t>
      </w:r>
      <w:r>
        <w:rPr>
          <w:rFonts w:hint="eastAsia" w:ascii="仿宋_GB2312" w:hAnsi="楷体" w:eastAsia="仿宋_GB2312"/>
          <w:color w:val="auto"/>
          <w:sz w:val="24"/>
          <w:highlight w:val="none"/>
          <w:lang w:val="zh-CN"/>
        </w:rPr>
        <w:t>年</w:t>
      </w:r>
      <w:r>
        <w:rPr>
          <w:rFonts w:hint="eastAsia" w:ascii="仿宋_GB2312" w:hAnsi="楷体" w:eastAsia="仿宋_GB2312"/>
          <w:color w:val="auto"/>
          <w:sz w:val="24"/>
          <w:highlight w:val="none"/>
          <w:u w:val="single"/>
          <w:lang w:val="zh-CN"/>
        </w:rPr>
        <w:t xml:space="preserve">    </w:t>
      </w:r>
      <w:r>
        <w:rPr>
          <w:rFonts w:hint="eastAsia" w:ascii="仿宋_GB2312" w:hAnsi="楷体" w:eastAsia="仿宋_GB2312"/>
          <w:color w:val="auto"/>
          <w:sz w:val="24"/>
          <w:highlight w:val="none"/>
          <w:lang w:val="zh-CN"/>
        </w:rPr>
        <w:t>月</w:t>
      </w:r>
      <w:r>
        <w:rPr>
          <w:rFonts w:hint="eastAsia" w:ascii="仿宋_GB2312" w:hAnsi="楷体" w:eastAsia="仿宋_GB2312"/>
          <w:color w:val="auto"/>
          <w:sz w:val="24"/>
          <w:highlight w:val="none"/>
          <w:u w:val="single"/>
          <w:lang w:val="zh-CN"/>
        </w:rPr>
        <w:t xml:space="preserve">    </w:t>
      </w:r>
      <w:r>
        <w:rPr>
          <w:rFonts w:hint="eastAsia" w:ascii="仿宋_GB2312" w:hAnsi="楷体" w:eastAsia="仿宋_GB2312"/>
          <w:color w:val="auto"/>
          <w:sz w:val="24"/>
          <w:highlight w:val="none"/>
          <w:lang w:val="zh-CN"/>
        </w:rPr>
        <w:t>日</w:t>
      </w:r>
      <w:r>
        <w:rPr>
          <w:rFonts w:hint="eastAsia" w:ascii="仿宋_GB2312" w:hAnsi="楷体" w:eastAsia="仿宋_GB2312"/>
          <w:color w:val="auto"/>
          <w:sz w:val="24"/>
          <w:highlight w:val="none"/>
        </w:rPr>
        <w:t>，</w:t>
      </w:r>
      <w:r>
        <w:rPr>
          <w:rFonts w:hint="eastAsia" w:ascii="仿宋_GB2312" w:hAnsi="仿宋" w:eastAsia="仿宋_GB2312"/>
          <w:color w:val="auto"/>
          <w:sz w:val="24"/>
          <w:highlight w:val="none"/>
          <w:u w:val="single"/>
        </w:rPr>
        <w:t xml:space="preserve">  </w:t>
      </w:r>
      <w:bookmarkStart w:id="586" w:name="_GoBack"/>
      <w:bookmarkEnd w:id="586"/>
      <w:r>
        <w:rPr>
          <w:rFonts w:hint="eastAsia" w:ascii="仿宋_GB2312" w:hAnsi="仿宋" w:eastAsia="仿宋_GB2312"/>
          <w:color w:val="auto"/>
          <w:sz w:val="24"/>
          <w:highlight w:val="none"/>
          <w:u w:val="single"/>
          <w:lang w:eastAsia="zh-CN"/>
        </w:rPr>
        <w:t>南宁市城市规划展示馆</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以</w:t>
      </w:r>
      <w:r>
        <w:rPr>
          <w:rFonts w:hint="eastAsia" w:ascii="仿宋_GB2312" w:hAnsi="仿宋" w:eastAsia="仿宋_GB2312"/>
          <w:color w:val="auto"/>
          <w:sz w:val="24"/>
          <w:highlight w:val="none"/>
          <w:u w:val="single"/>
        </w:rPr>
        <w:t xml:space="preserve">   公开招标方式  </w:t>
      </w:r>
      <w:r>
        <w:rPr>
          <w:rFonts w:hint="eastAsia" w:ascii="仿宋_GB2312" w:hAnsi="仿宋" w:eastAsia="仿宋_GB2312"/>
          <w:color w:val="auto"/>
          <w:sz w:val="24"/>
          <w:highlight w:val="none"/>
        </w:rPr>
        <w:t>对</w:t>
      </w:r>
      <w:r>
        <w:rPr>
          <w:rFonts w:hint="eastAsia" w:ascii="仿宋_GB2312" w:hAnsi="仿宋" w:eastAsia="仿宋_GB2312"/>
          <w:color w:val="auto"/>
          <w:sz w:val="24"/>
          <w:highlight w:val="none"/>
          <w:lang w:val="en-US" w:eastAsia="zh-CN"/>
        </w:rPr>
        <w:t xml:space="preserve">    </w:t>
      </w:r>
      <w:r>
        <w:rPr>
          <w:rFonts w:hint="eastAsia" w:ascii="仿宋_GB2312" w:hAnsi="仿宋" w:eastAsia="仿宋_GB2312"/>
          <w:color w:val="auto"/>
          <w:sz w:val="24"/>
          <w:highlight w:val="none"/>
          <w:u w:val="single"/>
          <w:lang w:val="en-US" w:eastAsia="zh-CN"/>
        </w:rPr>
        <w:t xml:space="preserve">（项目）  </w:t>
      </w:r>
      <w:r>
        <w:rPr>
          <w:rFonts w:hint="eastAsia" w:ascii="仿宋_GB2312" w:hAnsi="楷体" w:eastAsia="仿宋_GB2312"/>
          <w:color w:val="auto"/>
          <w:sz w:val="24"/>
          <w:highlight w:val="none"/>
        </w:rPr>
        <w:t>进行了采购。经</w:t>
      </w:r>
      <w:r>
        <w:rPr>
          <w:rFonts w:hint="eastAsia" w:ascii="仿宋_GB2312" w:hAnsi="楷体" w:eastAsia="仿宋_GB2312"/>
          <w:color w:val="auto"/>
          <w:sz w:val="24"/>
          <w:highlight w:val="none"/>
          <w:u w:val="single"/>
        </w:rPr>
        <w:t xml:space="preserve">   （相关评定主体名称）   </w:t>
      </w:r>
      <w:r>
        <w:rPr>
          <w:rFonts w:hint="eastAsia" w:ascii="仿宋_GB2312" w:hAnsi="楷体" w:eastAsia="仿宋_GB2312"/>
          <w:color w:val="auto"/>
          <w:sz w:val="24"/>
          <w:highlight w:val="none"/>
        </w:rPr>
        <w:t>评定，</w:t>
      </w:r>
      <w:r>
        <w:rPr>
          <w:rFonts w:hint="eastAsia" w:ascii="仿宋_GB2312" w:hAnsi="楷体" w:eastAsia="仿宋_GB2312"/>
          <w:color w:val="auto"/>
          <w:sz w:val="24"/>
          <w:highlight w:val="none"/>
          <w:u w:val="single"/>
        </w:rPr>
        <w:t xml:space="preserve">   （中标人名称）</w:t>
      </w:r>
      <w:r>
        <w:rPr>
          <w:rFonts w:hint="eastAsia" w:ascii="仿宋_GB2312" w:hAnsi="楷体" w:eastAsia="仿宋_GB2312"/>
          <w:color w:val="auto"/>
          <w:sz w:val="24"/>
          <w:highlight w:val="none"/>
        </w:rPr>
        <w:t>为该项目中标人。现于中标通知书发出之日起</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日内（根据项目实际情况填写，不能超过25日），按照采购文件确定的事项签订本合同。</w:t>
      </w:r>
    </w:p>
    <w:p w14:paraId="4FF20158">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lang w:val="zh-CN"/>
        </w:rPr>
        <w:t>根据《中华人民共和国民法典》、《中华人民共和国政府采购法》等相关法律法规之规定，按照平等、自愿、公平和诚实信用的原则，经</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u w:val="single"/>
          <w:lang w:eastAsia="zh-CN"/>
        </w:rPr>
        <w:t>南宁市城市规划展示馆</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lang w:val="zh-CN"/>
        </w:rPr>
        <w:t>(以下简称：甲方)和</w:t>
      </w:r>
      <w:r>
        <w:rPr>
          <w:rFonts w:hint="eastAsia" w:ascii="仿宋_GB2312" w:hAnsi="楷体" w:eastAsia="仿宋_GB2312"/>
          <w:color w:val="auto"/>
          <w:sz w:val="24"/>
          <w:highlight w:val="none"/>
          <w:u w:val="single"/>
        </w:rPr>
        <w:t xml:space="preserve">   （中标人名称）   </w:t>
      </w:r>
      <w:r>
        <w:rPr>
          <w:rFonts w:hint="eastAsia" w:ascii="仿宋_GB2312" w:hAnsi="楷体" w:eastAsia="仿宋_GB2312"/>
          <w:color w:val="auto"/>
          <w:sz w:val="24"/>
          <w:highlight w:val="none"/>
          <w:lang w:val="zh-CN"/>
        </w:rPr>
        <w:t>(以下简称：乙方)协商一致，约定以下合同</w:t>
      </w:r>
      <w:r>
        <w:rPr>
          <w:rFonts w:hint="eastAsia" w:ascii="仿宋_GB2312" w:hAnsi="楷体" w:eastAsia="仿宋_GB2312"/>
          <w:color w:val="auto"/>
          <w:sz w:val="24"/>
          <w:highlight w:val="none"/>
        </w:rPr>
        <w:t>条款，以兹共同遵守、全面履行。</w:t>
      </w:r>
    </w:p>
    <w:p w14:paraId="3FD1CE9E">
      <w:pPr>
        <w:spacing w:line="360" w:lineRule="auto"/>
        <w:ind w:firstLine="482" w:firstLineChars="200"/>
        <w:outlineLvl w:val="1"/>
        <w:rPr>
          <w:rFonts w:hint="eastAsia" w:ascii="仿宋_GB2312" w:hAnsi="楷体" w:eastAsia="仿宋_GB2312"/>
          <w:b/>
          <w:color w:val="auto"/>
          <w:sz w:val="24"/>
          <w:highlight w:val="none"/>
        </w:rPr>
      </w:pPr>
      <w:bookmarkStart w:id="147" w:name="_Toc10983"/>
      <w:bookmarkStart w:id="148" w:name="_Toc3029"/>
      <w:bookmarkStart w:id="149" w:name="_Toc24059"/>
      <w:bookmarkStart w:id="150" w:name="_Toc1449"/>
      <w:bookmarkStart w:id="151" w:name="_Toc2232"/>
      <w:r>
        <w:rPr>
          <w:rFonts w:hint="eastAsia" w:ascii="仿宋_GB2312" w:hAnsi="楷体" w:eastAsia="仿宋_GB2312"/>
          <w:b/>
          <w:color w:val="auto"/>
          <w:sz w:val="24"/>
          <w:highlight w:val="none"/>
        </w:rPr>
        <w:t>1.1 合同组成部分</w:t>
      </w:r>
      <w:bookmarkEnd w:id="147"/>
      <w:bookmarkEnd w:id="148"/>
      <w:bookmarkEnd w:id="149"/>
      <w:bookmarkEnd w:id="150"/>
      <w:bookmarkEnd w:id="151"/>
    </w:p>
    <w:p w14:paraId="59C98A80">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下列文件为本合同的组成部分，并构成一个整体，需综合解释、相互补充。如果下列文件内容出现不一致的情形，在保证按照采购文件确定的事项的前提下，组成本合同的多个文件的优先适用顺序如下：</w:t>
      </w:r>
    </w:p>
    <w:p w14:paraId="32808EBD">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1.1.1 本合同及其补充合同、变更协议；</w:t>
      </w:r>
    </w:p>
    <w:p w14:paraId="1C789B83">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1.1.2 中标通知书；</w:t>
      </w:r>
    </w:p>
    <w:p w14:paraId="7F60CDD4">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1.1.3 投标文件及“投标报价”（含澄清或者说明文件）；</w:t>
      </w:r>
    </w:p>
    <w:p w14:paraId="735E8678">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1.1.4 招标文件（含澄清或者修改文件）；</w:t>
      </w:r>
    </w:p>
    <w:p w14:paraId="2A774021">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1.1.5 其他相关采购文件。</w:t>
      </w:r>
    </w:p>
    <w:p w14:paraId="44572CF7">
      <w:pPr>
        <w:spacing w:line="360" w:lineRule="auto"/>
        <w:ind w:firstLine="482" w:firstLineChars="200"/>
        <w:outlineLvl w:val="1"/>
        <w:rPr>
          <w:rFonts w:hint="eastAsia" w:ascii="仿宋_GB2312" w:hAnsi="楷体" w:eastAsia="仿宋_GB2312"/>
          <w:b/>
          <w:color w:val="auto"/>
          <w:sz w:val="24"/>
          <w:highlight w:val="none"/>
        </w:rPr>
      </w:pPr>
      <w:bookmarkStart w:id="152" w:name="_Toc223"/>
      <w:bookmarkStart w:id="153" w:name="_Toc21295"/>
      <w:bookmarkStart w:id="154" w:name="_Toc27126"/>
      <w:bookmarkStart w:id="155" w:name="_Toc24300"/>
      <w:bookmarkStart w:id="156" w:name="_Toc19552"/>
      <w:r>
        <w:rPr>
          <w:rFonts w:hint="eastAsia" w:ascii="仿宋_GB2312" w:hAnsi="楷体" w:eastAsia="仿宋_GB2312"/>
          <w:b/>
          <w:color w:val="auto"/>
          <w:sz w:val="24"/>
          <w:highlight w:val="none"/>
        </w:rPr>
        <w:t>1.2 标的物</w:t>
      </w:r>
      <w:bookmarkEnd w:id="152"/>
      <w:bookmarkEnd w:id="153"/>
      <w:bookmarkEnd w:id="154"/>
      <w:bookmarkEnd w:id="155"/>
      <w:bookmarkEnd w:id="156"/>
    </w:p>
    <w:p w14:paraId="692A760D">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1.2.1 标的物1信息</w:t>
      </w:r>
    </w:p>
    <w:p w14:paraId="07C7621C">
      <w:pPr>
        <w:spacing w:line="360" w:lineRule="auto"/>
        <w:ind w:firstLine="480" w:firstLineChars="200"/>
        <w:rPr>
          <w:rFonts w:hint="eastAsia" w:ascii="仿宋_GB2312" w:hAnsi="楷体" w:eastAsia="仿宋_GB2312"/>
          <w:color w:val="auto"/>
          <w:sz w:val="24"/>
          <w:highlight w:val="none"/>
          <w:u w:val="single"/>
        </w:rPr>
      </w:pPr>
      <w:r>
        <w:rPr>
          <w:rFonts w:hint="eastAsia" w:ascii="仿宋_GB2312" w:hAnsi="楷体" w:eastAsia="仿宋_GB2312"/>
          <w:color w:val="auto"/>
          <w:sz w:val="24"/>
          <w:highlight w:val="none"/>
        </w:rPr>
        <w:t>1.2.1.1名称：</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w:t>
      </w:r>
    </w:p>
    <w:p w14:paraId="3877448E">
      <w:pPr>
        <w:spacing w:line="360" w:lineRule="auto"/>
        <w:ind w:firstLine="480" w:firstLineChars="200"/>
        <w:rPr>
          <w:rFonts w:hint="eastAsia" w:ascii="仿宋_GB2312" w:hAnsi="楷体" w:eastAsia="仿宋_GB2312"/>
          <w:color w:val="auto"/>
          <w:sz w:val="24"/>
          <w:highlight w:val="none"/>
          <w:u w:val="single"/>
        </w:rPr>
      </w:pPr>
      <w:r>
        <w:rPr>
          <w:rFonts w:hint="eastAsia" w:ascii="仿宋_GB2312" w:hAnsi="楷体" w:eastAsia="仿宋_GB2312"/>
          <w:color w:val="auto"/>
          <w:sz w:val="24"/>
          <w:highlight w:val="none"/>
        </w:rPr>
        <w:t>1.2.1.2数量：</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w:t>
      </w:r>
    </w:p>
    <w:p w14:paraId="615DE6CF">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1.2.1.3质量：</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w:t>
      </w:r>
    </w:p>
    <w:p w14:paraId="0D50EE8D">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w:t>
      </w:r>
    </w:p>
    <w:p w14:paraId="771262E3">
      <w:pPr>
        <w:spacing w:line="360" w:lineRule="auto"/>
        <w:ind w:firstLine="482" w:firstLineChars="200"/>
        <w:outlineLvl w:val="1"/>
        <w:rPr>
          <w:rFonts w:hint="eastAsia" w:ascii="仿宋_GB2312" w:hAnsi="楷体" w:eastAsia="仿宋_GB2312"/>
          <w:b/>
          <w:color w:val="auto"/>
          <w:sz w:val="24"/>
          <w:highlight w:val="none"/>
        </w:rPr>
      </w:pPr>
      <w:bookmarkStart w:id="157" w:name="_Toc23292"/>
      <w:bookmarkStart w:id="158" w:name="_Toc23463"/>
      <w:bookmarkStart w:id="159" w:name="_Toc21631"/>
      <w:bookmarkStart w:id="160" w:name="_Toc21551"/>
      <w:bookmarkStart w:id="161" w:name="_Toc26184"/>
      <w:r>
        <w:rPr>
          <w:rFonts w:hint="eastAsia" w:ascii="仿宋_GB2312" w:hAnsi="楷体" w:eastAsia="仿宋_GB2312"/>
          <w:b/>
          <w:color w:val="auto"/>
          <w:sz w:val="24"/>
          <w:highlight w:val="none"/>
        </w:rPr>
        <w:t>1.3 价款</w:t>
      </w:r>
      <w:bookmarkEnd w:id="157"/>
      <w:bookmarkEnd w:id="158"/>
      <w:bookmarkEnd w:id="159"/>
      <w:bookmarkEnd w:id="160"/>
      <w:bookmarkEnd w:id="161"/>
    </w:p>
    <w:p w14:paraId="51CE8C50">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本合同总价为：人民币大写</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元（小写：</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元人民币，含税）。其中增值税税款为</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元。如国家税收政策变化，导致增值税税率调整的，则按照调整后的税率开具增值税发票。（增值税税款金额由中标（成交）供应商根据本公司实际情况填写）</w:t>
      </w:r>
    </w:p>
    <w:p w14:paraId="3C5CE789">
      <w:pPr>
        <w:spacing w:line="360" w:lineRule="auto"/>
        <w:ind w:firstLine="480" w:firstLineChars="200"/>
        <w:rPr>
          <w:rFonts w:ascii="仿宋_GB2312" w:hAnsi="楷体" w:eastAsia="仿宋_GB2312"/>
          <w:color w:val="auto"/>
          <w:sz w:val="24"/>
          <w:highlight w:val="none"/>
          <w:u w:val="single"/>
        </w:rPr>
      </w:pPr>
      <w:bookmarkStart w:id="162" w:name="_Toc14664"/>
      <w:bookmarkStart w:id="163" w:name="_Toc22618"/>
      <w:bookmarkStart w:id="164" w:name="_Toc1814"/>
      <w:bookmarkStart w:id="165" w:name="_Toc10340"/>
      <w:r>
        <w:rPr>
          <w:rFonts w:hint="eastAsia" w:ascii="仿宋_GB2312" w:hAnsi="楷体" w:eastAsia="仿宋_GB2312"/>
          <w:color w:val="auto"/>
          <w:sz w:val="24"/>
          <w:highlight w:val="none"/>
        </w:rPr>
        <w:t>分项价格：</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33F3D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51DA043D">
            <w:pPr>
              <w:keepNext w:val="0"/>
              <w:keepLines w:val="0"/>
              <w:suppressLineNumbers w:val="0"/>
              <w:spacing w:before="0" w:beforeAutospacing="0" w:after="0" w:afterAutospacing="0" w:line="360" w:lineRule="auto"/>
              <w:ind w:left="0" w:right="0" w:firstLine="480" w:firstLineChars="200"/>
              <w:rPr>
                <w:rFonts w:hint="default"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序号</w:t>
            </w:r>
          </w:p>
        </w:tc>
        <w:tc>
          <w:tcPr>
            <w:tcW w:w="3402" w:type="dxa"/>
            <w:noWrap w:val="0"/>
            <w:vAlign w:val="center"/>
          </w:tcPr>
          <w:p w14:paraId="02725492">
            <w:pPr>
              <w:keepNext w:val="0"/>
              <w:keepLines w:val="0"/>
              <w:suppressLineNumbers w:val="0"/>
              <w:spacing w:before="0" w:beforeAutospacing="0" w:after="0" w:afterAutospacing="0" w:line="360" w:lineRule="auto"/>
              <w:ind w:left="0" w:right="0" w:firstLine="480" w:firstLineChars="200"/>
              <w:rPr>
                <w:rFonts w:hint="default"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分项名称</w:t>
            </w:r>
          </w:p>
        </w:tc>
        <w:tc>
          <w:tcPr>
            <w:tcW w:w="2552" w:type="dxa"/>
            <w:noWrap w:val="0"/>
            <w:vAlign w:val="center"/>
          </w:tcPr>
          <w:p w14:paraId="2B738FA6">
            <w:pPr>
              <w:keepNext w:val="0"/>
              <w:keepLines w:val="0"/>
              <w:suppressLineNumbers w:val="0"/>
              <w:spacing w:before="0" w:beforeAutospacing="0" w:after="0" w:afterAutospacing="0" w:line="360" w:lineRule="auto"/>
              <w:ind w:left="0" w:right="0" w:firstLine="480" w:firstLineChars="200"/>
              <w:rPr>
                <w:rFonts w:hint="default"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分项价格</w:t>
            </w:r>
          </w:p>
        </w:tc>
      </w:tr>
      <w:tr w14:paraId="57FAE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7244B255">
            <w:pPr>
              <w:keepNext w:val="0"/>
              <w:keepLines w:val="0"/>
              <w:suppressLineNumbers w:val="0"/>
              <w:spacing w:before="0" w:beforeAutospacing="0" w:after="0" w:afterAutospacing="0" w:line="360" w:lineRule="auto"/>
              <w:ind w:left="0" w:right="0" w:firstLine="480" w:firstLineChars="200"/>
              <w:rPr>
                <w:rFonts w:hint="default" w:ascii="仿宋_GB2312" w:hAnsi="楷体" w:eastAsia="仿宋_GB2312" w:cs="Times New Roman"/>
                <w:color w:val="auto"/>
                <w:sz w:val="24"/>
                <w:highlight w:val="none"/>
              </w:rPr>
            </w:pPr>
          </w:p>
        </w:tc>
        <w:tc>
          <w:tcPr>
            <w:tcW w:w="3402" w:type="dxa"/>
            <w:noWrap w:val="0"/>
            <w:vAlign w:val="center"/>
          </w:tcPr>
          <w:p w14:paraId="762868AC">
            <w:pPr>
              <w:keepNext w:val="0"/>
              <w:keepLines w:val="0"/>
              <w:suppressLineNumbers w:val="0"/>
              <w:spacing w:before="0" w:beforeAutospacing="0" w:after="0" w:afterAutospacing="0" w:line="360" w:lineRule="auto"/>
              <w:ind w:left="0" w:right="0" w:firstLine="480" w:firstLineChars="200"/>
              <w:rPr>
                <w:rFonts w:hint="default" w:ascii="仿宋_GB2312" w:hAnsi="楷体" w:eastAsia="仿宋_GB2312" w:cs="Times New Roman"/>
                <w:color w:val="auto"/>
                <w:sz w:val="24"/>
                <w:highlight w:val="none"/>
              </w:rPr>
            </w:pPr>
          </w:p>
        </w:tc>
        <w:tc>
          <w:tcPr>
            <w:tcW w:w="2552" w:type="dxa"/>
            <w:noWrap w:val="0"/>
            <w:vAlign w:val="center"/>
          </w:tcPr>
          <w:p w14:paraId="5C8DCBD7">
            <w:pPr>
              <w:keepNext w:val="0"/>
              <w:keepLines w:val="0"/>
              <w:suppressLineNumbers w:val="0"/>
              <w:spacing w:before="0" w:beforeAutospacing="0" w:after="0" w:afterAutospacing="0" w:line="360" w:lineRule="auto"/>
              <w:ind w:left="0" w:right="0" w:firstLine="480" w:firstLineChars="200"/>
              <w:rPr>
                <w:rFonts w:hint="default" w:ascii="仿宋_GB2312" w:hAnsi="楷体" w:eastAsia="仿宋_GB2312" w:cs="Times New Roman"/>
                <w:color w:val="auto"/>
                <w:sz w:val="24"/>
                <w:highlight w:val="none"/>
              </w:rPr>
            </w:pPr>
          </w:p>
        </w:tc>
      </w:tr>
      <w:tr w14:paraId="55606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4785B895">
            <w:pPr>
              <w:keepNext w:val="0"/>
              <w:keepLines w:val="0"/>
              <w:suppressLineNumbers w:val="0"/>
              <w:spacing w:before="0" w:beforeAutospacing="0" w:after="0" w:afterAutospacing="0" w:line="360" w:lineRule="auto"/>
              <w:ind w:left="0" w:right="0" w:firstLine="480" w:firstLineChars="200"/>
              <w:rPr>
                <w:rFonts w:hint="default" w:ascii="仿宋_GB2312" w:hAnsi="楷体" w:eastAsia="仿宋_GB2312" w:cs="Times New Roman"/>
                <w:color w:val="auto"/>
                <w:sz w:val="24"/>
                <w:highlight w:val="none"/>
              </w:rPr>
            </w:pPr>
          </w:p>
        </w:tc>
        <w:tc>
          <w:tcPr>
            <w:tcW w:w="3402" w:type="dxa"/>
            <w:noWrap w:val="0"/>
            <w:vAlign w:val="center"/>
          </w:tcPr>
          <w:p w14:paraId="68176D1C">
            <w:pPr>
              <w:keepNext w:val="0"/>
              <w:keepLines w:val="0"/>
              <w:suppressLineNumbers w:val="0"/>
              <w:spacing w:before="0" w:beforeAutospacing="0" w:after="0" w:afterAutospacing="0" w:line="360" w:lineRule="auto"/>
              <w:ind w:left="0" w:right="0" w:firstLine="480" w:firstLineChars="200"/>
              <w:rPr>
                <w:rFonts w:hint="default" w:ascii="仿宋_GB2312" w:hAnsi="楷体" w:eastAsia="仿宋_GB2312" w:cs="Times New Roman"/>
                <w:color w:val="auto"/>
                <w:sz w:val="24"/>
                <w:highlight w:val="none"/>
              </w:rPr>
            </w:pPr>
          </w:p>
        </w:tc>
        <w:tc>
          <w:tcPr>
            <w:tcW w:w="2552" w:type="dxa"/>
            <w:noWrap w:val="0"/>
            <w:vAlign w:val="center"/>
          </w:tcPr>
          <w:p w14:paraId="7F3914EA">
            <w:pPr>
              <w:keepNext w:val="0"/>
              <w:keepLines w:val="0"/>
              <w:suppressLineNumbers w:val="0"/>
              <w:spacing w:before="0" w:beforeAutospacing="0" w:after="0" w:afterAutospacing="0" w:line="360" w:lineRule="auto"/>
              <w:ind w:left="0" w:right="0" w:firstLine="480" w:firstLineChars="200"/>
              <w:rPr>
                <w:rFonts w:hint="default" w:ascii="仿宋_GB2312" w:hAnsi="楷体" w:eastAsia="仿宋_GB2312" w:cs="Times New Roman"/>
                <w:color w:val="auto"/>
                <w:sz w:val="24"/>
                <w:highlight w:val="none"/>
              </w:rPr>
            </w:pPr>
          </w:p>
        </w:tc>
      </w:tr>
      <w:tr w14:paraId="44763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618BB438">
            <w:pPr>
              <w:keepNext w:val="0"/>
              <w:keepLines w:val="0"/>
              <w:suppressLineNumbers w:val="0"/>
              <w:spacing w:before="0" w:beforeAutospacing="0" w:after="0" w:afterAutospacing="0" w:line="360" w:lineRule="auto"/>
              <w:ind w:left="0" w:right="0" w:firstLine="480" w:firstLineChars="200"/>
              <w:rPr>
                <w:rFonts w:hint="default" w:ascii="仿宋_GB2312" w:hAnsi="楷体" w:eastAsia="仿宋_GB2312" w:cs="Times New Roman"/>
                <w:color w:val="auto"/>
                <w:sz w:val="24"/>
                <w:highlight w:val="none"/>
              </w:rPr>
            </w:pPr>
          </w:p>
        </w:tc>
        <w:tc>
          <w:tcPr>
            <w:tcW w:w="3402" w:type="dxa"/>
            <w:noWrap w:val="0"/>
            <w:vAlign w:val="center"/>
          </w:tcPr>
          <w:p w14:paraId="2335C4E1">
            <w:pPr>
              <w:keepNext w:val="0"/>
              <w:keepLines w:val="0"/>
              <w:suppressLineNumbers w:val="0"/>
              <w:spacing w:before="0" w:beforeAutospacing="0" w:after="0" w:afterAutospacing="0" w:line="360" w:lineRule="auto"/>
              <w:ind w:left="0" w:right="0" w:firstLine="480" w:firstLineChars="200"/>
              <w:rPr>
                <w:rFonts w:hint="default" w:ascii="仿宋_GB2312" w:hAnsi="楷体" w:eastAsia="仿宋_GB2312" w:cs="Times New Roman"/>
                <w:color w:val="auto"/>
                <w:sz w:val="24"/>
                <w:highlight w:val="none"/>
              </w:rPr>
            </w:pPr>
          </w:p>
        </w:tc>
        <w:tc>
          <w:tcPr>
            <w:tcW w:w="2552" w:type="dxa"/>
            <w:noWrap w:val="0"/>
            <w:vAlign w:val="center"/>
          </w:tcPr>
          <w:p w14:paraId="22111A11">
            <w:pPr>
              <w:keepNext w:val="0"/>
              <w:keepLines w:val="0"/>
              <w:suppressLineNumbers w:val="0"/>
              <w:spacing w:before="0" w:beforeAutospacing="0" w:after="0" w:afterAutospacing="0" w:line="360" w:lineRule="auto"/>
              <w:ind w:left="0" w:right="0" w:firstLine="480" w:firstLineChars="200"/>
              <w:rPr>
                <w:rFonts w:hint="default" w:ascii="仿宋_GB2312" w:hAnsi="楷体" w:eastAsia="仿宋_GB2312" w:cs="Times New Roman"/>
                <w:color w:val="auto"/>
                <w:sz w:val="24"/>
                <w:highlight w:val="none"/>
              </w:rPr>
            </w:pPr>
          </w:p>
        </w:tc>
      </w:tr>
      <w:tr w14:paraId="30AB5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noWrap w:val="0"/>
            <w:vAlign w:val="center"/>
          </w:tcPr>
          <w:p w14:paraId="30B72123">
            <w:pPr>
              <w:keepNext w:val="0"/>
              <w:keepLines w:val="0"/>
              <w:suppressLineNumbers w:val="0"/>
              <w:spacing w:before="0" w:beforeAutospacing="0" w:after="0" w:afterAutospacing="0" w:line="360" w:lineRule="auto"/>
              <w:ind w:left="0" w:right="0" w:firstLine="480" w:firstLineChars="200"/>
              <w:rPr>
                <w:rFonts w:hint="default" w:ascii="仿宋_GB2312" w:hAnsi="楷体" w:eastAsia="仿宋_GB2312" w:cs="Times New Roman"/>
                <w:color w:val="auto"/>
                <w:sz w:val="24"/>
                <w:highlight w:val="none"/>
              </w:rPr>
            </w:pPr>
            <w:r>
              <w:rPr>
                <w:rFonts w:hint="eastAsia" w:ascii="仿宋_GB2312" w:hAnsi="楷体" w:eastAsia="仿宋_GB2312" w:cs="Times New Roman"/>
                <w:color w:val="auto"/>
                <w:sz w:val="24"/>
                <w:highlight w:val="none"/>
              </w:rPr>
              <w:t>总价</w:t>
            </w:r>
          </w:p>
        </w:tc>
        <w:tc>
          <w:tcPr>
            <w:tcW w:w="2552" w:type="dxa"/>
            <w:noWrap w:val="0"/>
            <w:vAlign w:val="center"/>
          </w:tcPr>
          <w:p w14:paraId="20B6A766">
            <w:pPr>
              <w:keepNext w:val="0"/>
              <w:keepLines w:val="0"/>
              <w:suppressLineNumbers w:val="0"/>
              <w:spacing w:before="0" w:beforeAutospacing="0" w:after="0" w:afterAutospacing="0" w:line="360" w:lineRule="auto"/>
              <w:ind w:left="0" w:right="0" w:firstLine="480" w:firstLineChars="200"/>
              <w:rPr>
                <w:rFonts w:hint="default" w:ascii="仿宋_GB2312" w:hAnsi="楷体" w:eastAsia="仿宋_GB2312" w:cs="Times New Roman"/>
                <w:color w:val="auto"/>
                <w:sz w:val="24"/>
                <w:highlight w:val="none"/>
              </w:rPr>
            </w:pPr>
          </w:p>
        </w:tc>
      </w:tr>
    </w:tbl>
    <w:p w14:paraId="6C61F06B">
      <w:pPr>
        <w:spacing w:line="360" w:lineRule="auto"/>
        <w:ind w:firstLine="480" w:firstLineChars="200"/>
        <w:outlineLvl w:val="1"/>
        <w:rPr>
          <w:rFonts w:hint="eastAsia" w:ascii="仿宋_GB2312" w:hAnsi="楷体" w:eastAsia="仿宋_GB2312"/>
          <w:bCs/>
          <w:color w:val="auto"/>
          <w:sz w:val="24"/>
          <w:highlight w:val="none"/>
        </w:rPr>
      </w:pPr>
    </w:p>
    <w:p w14:paraId="39B10698">
      <w:pPr>
        <w:spacing w:line="360" w:lineRule="auto"/>
        <w:ind w:firstLine="482" w:firstLineChars="200"/>
        <w:outlineLvl w:val="1"/>
        <w:rPr>
          <w:rFonts w:hint="eastAsia" w:ascii="仿宋_GB2312" w:hAnsi="楷体" w:eastAsia="仿宋_GB2312"/>
          <w:b/>
          <w:color w:val="auto"/>
          <w:sz w:val="24"/>
          <w:highlight w:val="none"/>
        </w:rPr>
      </w:pPr>
      <w:bookmarkStart w:id="166" w:name="_Toc32510"/>
      <w:r>
        <w:rPr>
          <w:rFonts w:hint="eastAsia" w:ascii="仿宋_GB2312" w:hAnsi="楷体" w:eastAsia="仿宋_GB2312"/>
          <w:b/>
          <w:color w:val="auto"/>
          <w:sz w:val="24"/>
          <w:highlight w:val="none"/>
        </w:rPr>
        <w:t>1.4 付款方式和发票开具方式</w:t>
      </w:r>
      <w:bookmarkEnd w:id="162"/>
      <w:bookmarkEnd w:id="163"/>
      <w:bookmarkEnd w:id="164"/>
      <w:bookmarkEnd w:id="165"/>
      <w:bookmarkEnd w:id="166"/>
    </w:p>
    <w:p w14:paraId="00C7FD0E">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1.4.1 付款方式：</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w:t>
      </w:r>
    </w:p>
    <w:p w14:paraId="60271678">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1.4.2 发票开具方式：</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w:t>
      </w:r>
    </w:p>
    <w:p w14:paraId="2ACDC562">
      <w:pPr>
        <w:spacing w:line="360" w:lineRule="auto"/>
        <w:ind w:firstLine="482" w:firstLineChars="200"/>
        <w:outlineLvl w:val="1"/>
        <w:rPr>
          <w:rFonts w:hint="eastAsia" w:ascii="仿宋_GB2312" w:hAnsi="楷体" w:eastAsia="仿宋_GB2312"/>
          <w:b/>
          <w:color w:val="auto"/>
          <w:sz w:val="24"/>
          <w:highlight w:val="none"/>
        </w:rPr>
      </w:pPr>
      <w:bookmarkStart w:id="167" w:name="_Toc19304"/>
      <w:bookmarkStart w:id="168" w:name="_Toc2846"/>
      <w:bookmarkStart w:id="169" w:name="_Toc32071"/>
      <w:bookmarkStart w:id="170" w:name="_Toc5455"/>
      <w:bookmarkStart w:id="171" w:name="_Toc28283"/>
      <w:r>
        <w:rPr>
          <w:rFonts w:hint="eastAsia" w:ascii="仿宋_GB2312" w:hAnsi="楷体" w:eastAsia="仿宋_GB2312"/>
          <w:b/>
          <w:color w:val="auto"/>
          <w:sz w:val="24"/>
          <w:highlight w:val="none"/>
        </w:rPr>
        <w:t>1.5 标的物交付期限、地点、方式</w:t>
      </w:r>
      <w:bookmarkEnd w:id="167"/>
      <w:bookmarkEnd w:id="168"/>
      <w:bookmarkEnd w:id="169"/>
      <w:r>
        <w:rPr>
          <w:rFonts w:hint="eastAsia" w:ascii="仿宋_GB2312" w:hAnsi="楷体" w:eastAsia="仿宋_GB2312"/>
          <w:b/>
          <w:color w:val="auto"/>
          <w:sz w:val="24"/>
          <w:highlight w:val="none"/>
        </w:rPr>
        <w:t>和服务期限</w:t>
      </w:r>
      <w:bookmarkEnd w:id="170"/>
      <w:bookmarkEnd w:id="171"/>
    </w:p>
    <w:p w14:paraId="62E48C41">
      <w:pPr>
        <w:spacing w:line="360" w:lineRule="auto"/>
        <w:ind w:firstLine="480" w:firstLineChars="200"/>
        <w:rPr>
          <w:rFonts w:hint="eastAsia" w:ascii="仿宋_GB2312" w:hAnsi="楷体" w:eastAsia="仿宋_GB2312"/>
          <w:color w:val="auto"/>
          <w:sz w:val="24"/>
          <w:highlight w:val="none"/>
          <w:u w:val="single"/>
        </w:rPr>
      </w:pPr>
      <w:r>
        <w:rPr>
          <w:rFonts w:hint="eastAsia" w:ascii="仿宋_GB2312" w:hAnsi="楷体" w:eastAsia="仿宋_GB2312"/>
          <w:color w:val="auto"/>
          <w:sz w:val="24"/>
          <w:highlight w:val="none"/>
        </w:rPr>
        <w:t>1.5.1 交付期限：</w:t>
      </w:r>
      <w:r>
        <w:rPr>
          <w:rFonts w:hint="eastAsia" w:ascii="仿宋_GB2312" w:hAnsi="楷体" w:eastAsia="仿宋_GB2312"/>
          <w:color w:val="auto"/>
          <w:sz w:val="24"/>
          <w:highlight w:val="none"/>
          <w:u w:val="single"/>
        </w:rPr>
        <w:t xml:space="preserve">                                                 ；</w:t>
      </w:r>
    </w:p>
    <w:p w14:paraId="6C4591BF">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1.5.2 交付地点：</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w:t>
      </w:r>
    </w:p>
    <w:p w14:paraId="077EE564">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1.5.3 交付方式：</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w:t>
      </w:r>
    </w:p>
    <w:p w14:paraId="104B3C5E">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1.5.4 服务及质保期限：</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w:t>
      </w:r>
    </w:p>
    <w:p w14:paraId="64B11B80">
      <w:pPr>
        <w:spacing w:line="360" w:lineRule="auto"/>
        <w:ind w:firstLine="482" w:firstLineChars="200"/>
        <w:outlineLvl w:val="1"/>
        <w:rPr>
          <w:rFonts w:hint="eastAsia" w:ascii="仿宋_GB2312" w:hAnsi="楷体" w:eastAsia="仿宋_GB2312"/>
          <w:b/>
          <w:color w:val="auto"/>
          <w:sz w:val="24"/>
          <w:highlight w:val="none"/>
        </w:rPr>
      </w:pPr>
      <w:bookmarkStart w:id="172" w:name="_Toc27250"/>
      <w:bookmarkStart w:id="173" w:name="_Toc21423"/>
      <w:bookmarkStart w:id="174" w:name="_Toc21074"/>
      <w:bookmarkStart w:id="175" w:name="_Toc19554"/>
      <w:bookmarkStart w:id="176" w:name="_Toc20053"/>
      <w:r>
        <w:rPr>
          <w:rFonts w:hint="eastAsia" w:ascii="仿宋_GB2312" w:hAnsi="楷体" w:eastAsia="仿宋_GB2312"/>
          <w:b/>
          <w:color w:val="auto"/>
          <w:sz w:val="24"/>
          <w:highlight w:val="none"/>
        </w:rPr>
        <w:t>1.6 违约责任</w:t>
      </w:r>
      <w:bookmarkEnd w:id="172"/>
      <w:bookmarkEnd w:id="173"/>
      <w:bookmarkEnd w:id="174"/>
      <w:bookmarkEnd w:id="175"/>
      <w:bookmarkEnd w:id="176"/>
    </w:p>
    <w:p w14:paraId="5EBEA7BB">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1.6.1 除不可抗力外，如果乙方没有按照本合同约定的期限、地点和方式交付标的物，甲方可要求乙方支付违约金，违约金按每迟延交付标的物一日的应交付而未交付标的物价格的</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（根据项目实际填写，一般为万分之五）计算，最高限额为本合同总价的</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%（根据项目实际填写，一般为20%）；迟延超过【  】（根据项目实际填写）日的，甲方有权在要求乙方支付违约金的同时，书面通知乙方解除本合同，乙方应退回全部已收取的合同价款并按合同总金额的</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（根据项目实际填写，一般为20%）向甲方支付违约金；</w:t>
      </w:r>
    </w:p>
    <w:p w14:paraId="1E1DC397">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1.6.2 除不可抗力外，如果甲方没有按照本合同约定的付款方式付款，乙方可要求甲方支付违约金，违约金按每迟延付款一日的应付而未付款的</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（根据项目实际填写，一般为万分之五）计算，最高限额为欠付金额的</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%（根据项目实际填写，一般为20%）；迟延付款的违约金计算数额达到前述最高限额之日起，乙方有权在要求甲方支付违约金的同时，书面通知甲方解除本合同；</w:t>
      </w:r>
    </w:p>
    <w:p w14:paraId="3D81DC21">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C061CCA">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1.6.4乙方在质保期内未按承诺提供售后等服务的，每发生一次向甲方支付违约金额一</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元。（根据项目实际填写）</w:t>
      </w:r>
    </w:p>
    <w:p w14:paraId="66107374">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2E5622AE">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5C1866E1">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1.6.7 如果出现政府采购监督管理部门在处理投诉事项期间，书面通知甲方暂停采购活动的情形，或者询问或质疑事项可能影响中标结果的，导致甲方中止履行合同的情形，均不视为甲方违约。</w:t>
      </w:r>
    </w:p>
    <w:p w14:paraId="55674F48">
      <w:pPr>
        <w:spacing w:line="360" w:lineRule="auto"/>
        <w:ind w:firstLine="482" w:firstLineChars="200"/>
        <w:outlineLvl w:val="1"/>
        <w:rPr>
          <w:rFonts w:hint="eastAsia" w:ascii="仿宋_GB2312" w:hAnsi="楷体" w:eastAsia="仿宋_GB2312"/>
          <w:b/>
          <w:color w:val="auto"/>
          <w:sz w:val="24"/>
          <w:highlight w:val="none"/>
        </w:rPr>
      </w:pPr>
      <w:bookmarkStart w:id="177" w:name="_Toc16021"/>
      <w:bookmarkStart w:id="178" w:name="_Toc28375"/>
      <w:bookmarkStart w:id="179" w:name="_Toc4932"/>
      <w:bookmarkStart w:id="180" w:name="_Toc7507"/>
      <w:bookmarkStart w:id="181" w:name="_Toc15583"/>
      <w:r>
        <w:rPr>
          <w:rFonts w:hint="eastAsia" w:ascii="仿宋_GB2312" w:hAnsi="楷体" w:eastAsia="仿宋_GB2312"/>
          <w:b/>
          <w:color w:val="auto"/>
          <w:sz w:val="24"/>
          <w:highlight w:val="none"/>
        </w:rPr>
        <w:t>1.7 合同争议的解决</w:t>
      </w:r>
      <w:bookmarkEnd w:id="177"/>
      <w:bookmarkEnd w:id="178"/>
      <w:bookmarkEnd w:id="179"/>
      <w:bookmarkEnd w:id="180"/>
      <w:bookmarkEnd w:id="181"/>
    </w:p>
    <w:p w14:paraId="28AD10F7">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本合同履行过程中发生的任何争议，双方当事人均应通过友好协商的方式和解或者调解解决；不愿和解、调解或者和解、调解不成的，可以选择下列第</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种方式解决：</w:t>
      </w:r>
    </w:p>
    <w:p w14:paraId="779CEF1B">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1.7.1 将争议提交</w:t>
      </w:r>
      <w:r>
        <w:rPr>
          <w:rFonts w:hint="eastAsia" w:ascii="仿宋_GB2312" w:hAnsi="楷体" w:eastAsia="仿宋_GB2312"/>
          <w:color w:val="auto"/>
          <w:sz w:val="24"/>
          <w:highlight w:val="none"/>
          <w:u w:val="single"/>
        </w:rPr>
        <w:t>南宁市</w:t>
      </w:r>
      <w:r>
        <w:rPr>
          <w:rFonts w:hint="eastAsia" w:ascii="仿宋_GB2312" w:hAnsi="楷体" w:eastAsia="仿宋_GB2312"/>
          <w:color w:val="auto"/>
          <w:sz w:val="24"/>
          <w:highlight w:val="none"/>
        </w:rPr>
        <w:t>仲裁委员会依申请仲裁时其现行有效的仲裁规则裁决；</w:t>
      </w:r>
    </w:p>
    <w:p w14:paraId="634E4385">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1.7.2 向</w:t>
      </w:r>
      <w:r>
        <w:rPr>
          <w:rFonts w:hint="eastAsia" w:ascii="仿宋_GB2312" w:hAnsi="楷体" w:eastAsia="仿宋_GB2312"/>
          <w:color w:val="auto"/>
          <w:sz w:val="24"/>
          <w:highlight w:val="none"/>
          <w:u w:val="single"/>
        </w:rPr>
        <w:t xml:space="preserve">   甲方所在地    有管辖权的</w:t>
      </w:r>
      <w:r>
        <w:rPr>
          <w:rFonts w:hint="eastAsia" w:ascii="仿宋_GB2312" w:hAnsi="楷体" w:eastAsia="仿宋_GB2312"/>
          <w:color w:val="auto"/>
          <w:sz w:val="24"/>
          <w:highlight w:val="none"/>
        </w:rPr>
        <w:t>人民法院起诉。</w:t>
      </w:r>
    </w:p>
    <w:p w14:paraId="27F55602">
      <w:pPr>
        <w:spacing w:line="360" w:lineRule="auto"/>
        <w:ind w:firstLine="482" w:firstLineChars="200"/>
        <w:outlineLvl w:val="1"/>
        <w:rPr>
          <w:rFonts w:hint="eastAsia" w:ascii="仿宋_GB2312" w:hAnsi="楷体" w:eastAsia="仿宋_GB2312"/>
          <w:b/>
          <w:color w:val="auto"/>
          <w:sz w:val="24"/>
          <w:highlight w:val="none"/>
        </w:rPr>
      </w:pPr>
      <w:bookmarkStart w:id="182" w:name="_Toc3824"/>
      <w:bookmarkStart w:id="183" w:name="_Toc15322"/>
      <w:bookmarkStart w:id="184" w:name="_Toc7245"/>
      <w:bookmarkStart w:id="185" w:name="_Toc11173"/>
      <w:bookmarkStart w:id="186" w:name="_Toc28772"/>
      <w:r>
        <w:rPr>
          <w:rFonts w:hint="eastAsia" w:ascii="仿宋_GB2312" w:hAnsi="楷体" w:eastAsia="仿宋_GB2312"/>
          <w:b/>
          <w:color w:val="auto"/>
          <w:sz w:val="24"/>
          <w:highlight w:val="none"/>
        </w:rPr>
        <w:t>1.8 合同生效</w:t>
      </w:r>
      <w:bookmarkEnd w:id="182"/>
      <w:bookmarkEnd w:id="183"/>
      <w:bookmarkEnd w:id="184"/>
      <w:bookmarkEnd w:id="185"/>
      <w:bookmarkEnd w:id="186"/>
    </w:p>
    <w:p w14:paraId="7EF9F4E5">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本合同自双方当事人加盖有效公章时生效。</w:t>
      </w:r>
    </w:p>
    <w:p w14:paraId="7946E4FA">
      <w:pPr>
        <w:spacing w:line="360" w:lineRule="auto"/>
        <w:ind w:firstLine="482" w:firstLineChars="200"/>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1.9合同延续年限、条件和方式</w:t>
      </w:r>
    </w:p>
    <w:p w14:paraId="04DC52D3">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本项目合同履约期到期后，采购人依据本项目的服务履约评价情况及实际需求，并根据《财政部关于推进和完善服务项目政府有关问题的通知》（财库[2014]37号）及《政府购买服务管理办法》（财政部令102号）等规定，在年度预算保障的前提下，对于购买内容（采购需求）相对固定、连续（延续）性强、经费来源稳定、价格变化幅度小的政府采购服务项目，可以通过一年一续签方式签订合同，期限总长不得超过三年。供应商可以自由选择接受或拒绝。</w:t>
      </w:r>
    </w:p>
    <w:p w14:paraId="6A7EA7F7">
      <w:pPr>
        <w:spacing w:line="360" w:lineRule="auto"/>
        <w:ind w:firstLine="482" w:firstLineChars="200"/>
        <w:rPr>
          <w:rFonts w:hint="eastAsia" w:ascii="仿宋_GB2312" w:hAnsi="楷体" w:eastAsia="仿宋_GB2312"/>
          <w:b/>
          <w:color w:val="auto"/>
          <w:sz w:val="24"/>
          <w:highlight w:val="none"/>
        </w:rPr>
      </w:pPr>
    </w:p>
    <w:tbl>
      <w:tblPr>
        <w:tblStyle w:val="33"/>
        <w:tblpPr w:leftFromText="180" w:rightFromText="180" w:vertAnchor="text" w:horzAnchor="page" w:tblpX="1030" w:tblpY="437"/>
        <w:tblOverlap w:val="never"/>
        <w:tblW w:w="10429" w:type="dxa"/>
        <w:tblInd w:w="0" w:type="dxa"/>
        <w:tblLayout w:type="autofit"/>
        <w:tblCellMar>
          <w:top w:w="0" w:type="dxa"/>
          <w:left w:w="108" w:type="dxa"/>
          <w:bottom w:w="0" w:type="dxa"/>
          <w:right w:w="108" w:type="dxa"/>
        </w:tblCellMar>
      </w:tblPr>
      <w:tblGrid>
        <w:gridCol w:w="4710"/>
        <w:gridCol w:w="5719"/>
      </w:tblGrid>
      <w:tr w14:paraId="2C8F1616">
        <w:tblPrEx>
          <w:tblCellMar>
            <w:top w:w="0" w:type="dxa"/>
            <w:left w:w="108" w:type="dxa"/>
            <w:bottom w:w="0" w:type="dxa"/>
            <w:right w:w="108" w:type="dxa"/>
          </w:tblCellMar>
        </w:tblPrEx>
        <w:trPr>
          <w:trHeight w:val="542" w:hRule="atLeast"/>
        </w:trPr>
        <w:tc>
          <w:tcPr>
            <w:tcW w:w="4710" w:type="dxa"/>
            <w:noWrap w:val="0"/>
            <w:vAlign w:val="top"/>
          </w:tcPr>
          <w:p w14:paraId="4B69B8EB">
            <w:pPr>
              <w:keepNext w:val="0"/>
              <w:keepLines w:val="0"/>
              <w:suppressLineNumbers w:val="0"/>
              <w:autoSpaceDE w:val="0"/>
              <w:autoSpaceDN w:val="0"/>
              <w:adjustRightInd w:val="0"/>
              <w:snapToGrid w:val="0"/>
              <w:spacing w:before="0" w:beforeAutospacing="0" w:after="120" w:afterAutospacing="0" w:line="360" w:lineRule="auto"/>
              <w:ind w:left="0" w:right="-210" w:rightChars="-100"/>
              <w:outlineLvl w:val="1"/>
              <w:rPr>
                <w:rFonts w:hint="eastAsia" w:ascii="仿宋" w:hAnsi="仿宋" w:eastAsia="仿宋" w:cs="仿宋"/>
                <w:b/>
                <w:color w:val="auto"/>
                <w:sz w:val="24"/>
                <w:highlight w:val="none"/>
                <w:lang w:eastAsia="zh-CN"/>
              </w:rPr>
            </w:pPr>
            <w:bookmarkStart w:id="187" w:name="_Toc7437"/>
            <w:bookmarkStart w:id="188" w:name="_Toc134805655"/>
            <w:bookmarkStart w:id="189" w:name="_Toc116199112"/>
            <w:bookmarkStart w:id="190" w:name="_Toc6654"/>
            <w:bookmarkStart w:id="191" w:name="_Toc116141318"/>
            <w:bookmarkStart w:id="192" w:name="_Toc30963"/>
            <w:bookmarkStart w:id="193" w:name="_Toc4858"/>
            <w:bookmarkStart w:id="194" w:name="_Toc8673"/>
            <w:bookmarkStart w:id="195" w:name="_Toc5424"/>
            <w:bookmarkStart w:id="196" w:name="_Toc116141143"/>
            <w:r>
              <w:rPr>
                <w:rFonts w:hint="eastAsia" w:ascii="仿宋" w:hAnsi="仿宋" w:eastAsia="仿宋" w:cs="仿宋"/>
                <w:color w:val="auto"/>
                <w:sz w:val="24"/>
                <w:highlight w:val="none"/>
                <w:lang w:val="zh-CN"/>
              </w:rPr>
              <w:t>甲方：</w:t>
            </w:r>
            <w:bookmarkEnd w:id="187"/>
            <w:bookmarkEnd w:id="188"/>
            <w:bookmarkEnd w:id="189"/>
            <w:bookmarkEnd w:id="190"/>
            <w:bookmarkEnd w:id="191"/>
            <w:bookmarkEnd w:id="192"/>
            <w:bookmarkEnd w:id="193"/>
            <w:bookmarkEnd w:id="194"/>
            <w:bookmarkEnd w:id="195"/>
            <w:bookmarkEnd w:id="196"/>
            <w:r>
              <w:rPr>
                <w:rFonts w:hint="eastAsia" w:ascii="仿宋" w:hAnsi="仿宋" w:eastAsia="仿宋" w:cs="仿宋"/>
                <w:color w:val="auto"/>
                <w:sz w:val="24"/>
                <w:highlight w:val="none"/>
                <w:lang w:eastAsia="zh-CN"/>
              </w:rPr>
              <w:t>南宁市城市规划展示馆</w:t>
            </w:r>
          </w:p>
        </w:tc>
        <w:tc>
          <w:tcPr>
            <w:tcW w:w="5719" w:type="dxa"/>
            <w:noWrap w:val="0"/>
            <w:vAlign w:val="top"/>
          </w:tcPr>
          <w:p w14:paraId="63588C3B">
            <w:pPr>
              <w:keepNext w:val="0"/>
              <w:keepLines w:val="0"/>
              <w:suppressLineNumbers w:val="0"/>
              <w:autoSpaceDE w:val="0"/>
              <w:autoSpaceDN w:val="0"/>
              <w:adjustRightInd w:val="0"/>
              <w:snapToGrid w:val="0"/>
              <w:spacing w:before="0" w:beforeAutospacing="0" w:after="120" w:afterAutospacing="0" w:line="360" w:lineRule="auto"/>
              <w:ind w:left="0" w:right="-210" w:rightChars="-100"/>
              <w:outlineLvl w:val="1"/>
              <w:rPr>
                <w:rFonts w:hint="default" w:ascii="仿宋" w:hAnsi="仿宋" w:eastAsia="仿宋" w:cs="仿宋"/>
                <w:b/>
                <w:color w:val="auto"/>
                <w:sz w:val="24"/>
                <w:highlight w:val="none"/>
              </w:rPr>
            </w:pPr>
            <w:bookmarkStart w:id="197" w:name="_Toc25885"/>
            <w:bookmarkStart w:id="198" w:name="_Toc21891"/>
            <w:bookmarkStart w:id="199" w:name="_Toc19995"/>
            <w:bookmarkStart w:id="200" w:name="_Toc8048"/>
            <w:bookmarkStart w:id="201" w:name="_Toc134805656"/>
            <w:bookmarkStart w:id="202" w:name="_Toc9927"/>
            <w:bookmarkStart w:id="203" w:name="_Toc24507"/>
            <w:r>
              <w:rPr>
                <w:rFonts w:hint="eastAsia" w:ascii="仿宋" w:hAnsi="仿宋" w:eastAsia="仿宋" w:cs="仿宋"/>
                <w:color w:val="auto"/>
                <w:sz w:val="24"/>
                <w:highlight w:val="none"/>
                <w:lang w:val="zh-CN"/>
              </w:rPr>
              <w:t>乙方：</w:t>
            </w:r>
            <w:bookmarkEnd w:id="197"/>
            <w:bookmarkEnd w:id="198"/>
            <w:bookmarkEnd w:id="199"/>
            <w:bookmarkEnd w:id="200"/>
            <w:bookmarkEnd w:id="201"/>
            <w:bookmarkEnd w:id="202"/>
            <w:bookmarkEnd w:id="203"/>
          </w:p>
        </w:tc>
      </w:tr>
      <w:tr w14:paraId="46D0E1BF">
        <w:tblPrEx>
          <w:tblCellMar>
            <w:top w:w="0" w:type="dxa"/>
            <w:left w:w="108" w:type="dxa"/>
            <w:bottom w:w="0" w:type="dxa"/>
            <w:right w:w="108" w:type="dxa"/>
          </w:tblCellMar>
        </w:tblPrEx>
        <w:trPr>
          <w:trHeight w:val="573" w:hRule="atLeast"/>
        </w:trPr>
        <w:tc>
          <w:tcPr>
            <w:tcW w:w="4710" w:type="dxa"/>
            <w:noWrap w:val="0"/>
            <w:vAlign w:val="top"/>
          </w:tcPr>
          <w:p w14:paraId="2FC469C0">
            <w:pPr>
              <w:keepNext w:val="0"/>
              <w:keepLines w:val="0"/>
              <w:suppressLineNumbers w:val="0"/>
              <w:autoSpaceDE w:val="0"/>
              <w:autoSpaceDN w:val="0"/>
              <w:adjustRightInd w:val="0"/>
              <w:snapToGrid w:val="0"/>
              <w:spacing w:before="0" w:beforeAutospacing="0" w:after="120" w:afterAutospacing="0" w:line="360" w:lineRule="auto"/>
              <w:ind w:left="0" w:right="-210" w:rightChars="-100"/>
              <w:outlineLvl w:val="1"/>
              <w:rPr>
                <w:rFonts w:hint="default" w:ascii="仿宋" w:hAnsi="仿宋" w:eastAsia="仿宋" w:cs="仿宋"/>
                <w:b/>
                <w:color w:val="auto"/>
                <w:sz w:val="24"/>
                <w:highlight w:val="none"/>
              </w:rPr>
            </w:pPr>
            <w:bookmarkStart w:id="204" w:name="_Toc116141320"/>
            <w:bookmarkStart w:id="205" w:name="_Toc134805657"/>
            <w:bookmarkStart w:id="206" w:name="_Toc116199114"/>
            <w:bookmarkStart w:id="207" w:name="_Toc15434"/>
            <w:bookmarkStart w:id="208" w:name="_Toc1597"/>
            <w:bookmarkStart w:id="209" w:name="_Toc4214"/>
            <w:bookmarkStart w:id="210" w:name="_Toc29108"/>
            <w:bookmarkStart w:id="211" w:name="_Toc170"/>
            <w:bookmarkStart w:id="212" w:name="_Toc4992"/>
            <w:bookmarkStart w:id="213" w:name="_Toc116141145"/>
            <w:r>
              <w:rPr>
                <w:rFonts w:hint="eastAsia" w:ascii="仿宋" w:hAnsi="仿宋" w:eastAsia="仿宋" w:cs="仿宋"/>
                <w:color w:val="auto"/>
                <w:sz w:val="24"/>
                <w:highlight w:val="none"/>
                <w:lang w:val="zh-CN"/>
              </w:rPr>
              <w:t>统一社会信用代码：</w:t>
            </w:r>
            <w:bookmarkEnd w:id="204"/>
            <w:bookmarkEnd w:id="205"/>
            <w:bookmarkEnd w:id="206"/>
            <w:bookmarkEnd w:id="207"/>
            <w:bookmarkEnd w:id="208"/>
            <w:bookmarkEnd w:id="209"/>
            <w:bookmarkEnd w:id="210"/>
            <w:bookmarkEnd w:id="211"/>
            <w:bookmarkEnd w:id="212"/>
            <w:bookmarkEnd w:id="213"/>
            <w:r>
              <w:rPr>
                <w:rFonts w:hint="eastAsia" w:ascii="仿宋" w:hAnsi="仿宋" w:eastAsia="仿宋" w:cs="仿宋"/>
                <w:color w:val="auto"/>
                <w:sz w:val="24"/>
                <w:highlight w:val="none"/>
              </w:rPr>
              <w:t xml:space="preserve"> </w:t>
            </w:r>
            <w:r>
              <w:rPr>
                <w:rFonts w:hint="eastAsia" w:ascii="仿宋" w:hAnsi="仿宋" w:eastAsia="仿宋" w:cs="仿宋"/>
                <w:b/>
                <w:color w:val="auto"/>
                <w:sz w:val="24"/>
                <w:highlight w:val="none"/>
              </w:rPr>
              <w:t xml:space="preserve"> </w:t>
            </w:r>
          </w:p>
        </w:tc>
        <w:tc>
          <w:tcPr>
            <w:tcW w:w="5719" w:type="dxa"/>
            <w:noWrap w:val="0"/>
            <w:vAlign w:val="top"/>
          </w:tcPr>
          <w:p w14:paraId="13F145E8">
            <w:pPr>
              <w:keepNext w:val="0"/>
              <w:keepLines w:val="0"/>
              <w:suppressLineNumbers w:val="0"/>
              <w:autoSpaceDE w:val="0"/>
              <w:autoSpaceDN w:val="0"/>
              <w:adjustRightInd w:val="0"/>
              <w:snapToGrid w:val="0"/>
              <w:spacing w:before="0" w:beforeAutospacing="0" w:after="120" w:afterAutospacing="0" w:line="360" w:lineRule="auto"/>
              <w:ind w:left="0" w:right="-210" w:rightChars="-100"/>
              <w:outlineLvl w:val="1"/>
              <w:rPr>
                <w:rFonts w:hint="default" w:ascii="仿宋" w:hAnsi="仿宋" w:eastAsia="仿宋" w:cs="仿宋"/>
                <w:b/>
                <w:color w:val="auto"/>
                <w:sz w:val="24"/>
                <w:highlight w:val="none"/>
              </w:rPr>
            </w:pPr>
            <w:bookmarkStart w:id="214" w:name="_Toc17278"/>
            <w:bookmarkStart w:id="215" w:name="_Toc2854"/>
            <w:bookmarkStart w:id="216" w:name="_Toc23605"/>
            <w:bookmarkStart w:id="217" w:name="_Toc4568"/>
            <w:bookmarkStart w:id="218" w:name="_Toc25370"/>
            <w:bookmarkStart w:id="219" w:name="_Toc6937"/>
            <w:bookmarkStart w:id="220" w:name="_Toc134805658"/>
            <w:r>
              <w:rPr>
                <w:rFonts w:hint="eastAsia" w:ascii="仿宋" w:hAnsi="仿宋" w:eastAsia="仿宋" w:cs="仿宋"/>
                <w:color w:val="auto"/>
                <w:sz w:val="24"/>
                <w:highlight w:val="none"/>
                <w:lang w:val="zh-CN"/>
              </w:rPr>
              <w:t>统一社会信用代码：</w:t>
            </w:r>
            <w:bookmarkEnd w:id="214"/>
            <w:bookmarkEnd w:id="215"/>
            <w:bookmarkEnd w:id="216"/>
            <w:bookmarkEnd w:id="217"/>
            <w:bookmarkEnd w:id="218"/>
            <w:bookmarkEnd w:id="219"/>
            <w:bookmarkEnd w:id="220"/>
          </w:p>
        </w:tc>
      </w:tr>
      <w:tr w14:paraId="7C225D6B">
        <w:tblPrEx>
          <w:tblCellMar>
            <w:top w:w="0" w:type="dxa"/>
            <w:left w:w="108" w:type="dxa"/>
            <w:bottom w:w="0" w:type="dxa"/>
            <w:right w:w="108" w:type="dxa"/>
          </w:tblCellMar>
        </w:tblPrEx>
        <w:trPr>
          <w:trHeight w:val="690" w:hRule="atLeast"/>
        </w:trPr>
        <w:tc>
          <w:tcPr>
            <w:tcW w:w="4710" w:type="dxa"/>
            <w:noWrap w:val="0"/>
            <w:vAlign w:val="top"/>
          </w:tcPr>
          <w:p w14:paraId="613FFDD7">
            <w:pPr>
              <w:keepNext w:val="0"/>
              <w:keepLines w:val="0"/>
              <w:suppressLineNumbers w:val="0"/>
              <w:autoSpaceDE w:val="0"/>
              <w:autoSpaceDN w:val="0"/>
              <w:adjustRightInd w:val="0"/>
              <w:snapToGrid w:val="0"/>
              <w:spacing w:before="0" w:beforeAutospacing="0" w:after="120" w:afterAutospacing="0" w:line="360" w:lineRule="auto"/>
              <w:ind w:left="0" w:right="-210" w:rightChars="-100"/>
              <w:outlineLvl w:val="1"/>
              <w:rPr>
                <w:rFonts w:hint="default" w:ascii="仿宋" w:hAnsi="仿宋" w:eastAsia="仿宋" w:cs="仿宋"/>
                <w:b/>
                <w:color w:val="auto"/>
                <w:sz w:val="24"/>
                <w:highlight w:val="none"/>
              </w:rPr>
            </w:pPr>
            <w:bookmarkStart w:id="221" w:name="_Toc14731"/>
            <w:bookmarkStart w:id="222" w:name="_Toc116141322"/>
            <w:bookmarkStart w:id="223" w:name="_Toc116199116"/>
            <w:bookmarkStart w:id="224" w:name="_Toc134805659"/>
            <w:bookmarkStart w:id="225" w:name="_Toc13051"/>
            <w:bookmarkStart w:id="226" w:name="_Toc17141"/>
            <w:bookmarkStart w:id="227" w:name="_Toc7074"/>
            <w:bookmarkStart w:id="228" w:name="_Toc13275"/>
            <w:bookmarkStart w:id="229" w:name="_Toc18805"/>
            <w:bookmarkStart w:id="230" w:name="_Toc116141147"/>
            <w:r>
              <w:rPr>
                <w:rFonts w:hint="eastAsia" w:ascii="仿宋" w:hAnsi="仿宋" w:eastAsia="仿宋" w:cs="仿宋"/>
                <w:color w:val="auto"/>
                <w:sz w:val="24"/>
                <w:highlight w:val="none"/>
                <w:lang w:val="zh-CN"/>
              </w:rPr>
              <w:t>住所：</w:t>
            </w:r>
            <w:bookmarkEnd w:id="221"/>
            <w:bookmarkEnd w:id="222"/>
            <w:bookmarkEnd w:id="223"/>
            <w:bookmarkEnd w:id="224"/>
            <w:bookmarkEnd w:id="225"/>
            <w:bookmarkEnd w:id="226"/>
            <w:bookmarkEnd w:id="227"/>
            <w:bookmarkEnd w:id="228"/>
            <w:bookmarkEnd w:id="229"/>
            <w:bookmarkEnd w:id="230"/>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val="zh-CN"/>
              </w:rPr>
              <w:t xml:space="preserve"> </w:t>
            </w:r>
          </w:p>
        </w:tc>
        <w:tc>
          <w:tcPr>
            <w:tcW w:w="5719" w:type="dxa"/>
            <w:noWrap w:val="0"/>
            <w:vAlign w:val="top"/>
          </w:tcPr>
          <w:p w14:paraId="769D4798">
            <w:pPr>
              <w:keepNext w:val="0"/>
              <w:keepLines w:val="0"/>
              <w:suppressLineNumbers w:val="0"/>
              <w:autoSpaceDE w:val="0"/>
              <w:autoSpaceDN w:val="0"/>
              <w:adjustRightInd w:val="0"/>
              <w:snapToGrid w:val="0"/>
              <w:spacing w:before="0" w:beforeAutospacing="0" w:after="120" w:afterAutospacing="0" w:line="360" w:lineRule="auto"/>
              <w:ind w:left="0" w:right="-210" w:rightChars="-100"/>
              <w:outlineLvl w:val="1"/>
              <w:rPr>
                <w:rFonts w:hint="default" w:ascii="仿宋" w:hAnsi="仿宋" w:eastAsia="仿宋" w:cs="仿宋"/>
                <w:color w:val="auto"/>
                <w:sz w:val="24"/>
                <w:highlight w:val="none"/>
              </w:rPr>
            </w:pPr>
            <w:bookmarkStart w:id="231" w:name="_Toc15908"/>
            <w:bookmarkStart w:id="232" w:name="_Toc134805660"/>
            <w:bookmarkStart w:id="233" w:name="_Toc22372"/>
            <w:bookmarkStart w:id="234" w:name="_Toc21941"/>
            <w:bookmarkStart w:id="235" w:name="_Toc27638"/>
            <w:bookmarkStart w:id="236" w:name="_Toc10229"/>
            <w:r>
              <w:rPr>
                <w:rFonts w:hint="eastAsia" w:ascii="仿宋" w:hAnsi="仿宋" w:eastAsia="仿宋" w:cs="仿宋"/>
                <w:color w:val="auto"/>
                <w:sz w:val="24"/>
                <w:highlight w:val="none"/>
                <w:lang w:val="zh-CN"/>
              </w:rPr>
              <w:t>住所：</w:t>
            </w:r>
            <w:bookmarkEnd w:id="231"/>
            <w:bookmarkEnd w:id="232"/>
            <w:bookmarkEnd w:id="233"/>
            <w:bookmarkEnd w:id="234"/>
            <w:bookmarkEnd w:id="235"/>
            <w:bookmarkEnd w:id="236"/>
          </w:p>
        </w:tc>
      </w:tr>
      <w:tr w14:paraId="0B1F50F5">
        <w:tblPrEx>
          <w:tblCellMar>
            <w:top w:w="0" w:type="dxa"/>
            <w:left w:w="108" w:type="dxa"/>
            <w:bottom w:w="0" w:type="dxa"/>
            <w:right w:w="108" w:type="dxa"/>
          </w:tblCellMar>
        </w:tblPrEx>
        <w:trPr>
          <w:trHeight w:val="648" w:hRule="atLeast"/>
        </w:trPr>
        <w:tc>
          <w:tcPr>
            <w:tcW w:w="4710" w:type="dxa"/>
            <w:noWrap w:val="0"/>
            <w:vAlign w:val="top"/>
          </w:tcPr>
          <w:p w14:paraId="3E646B11">
            <w:pPr>
              <w:keepNext w:val="0"/>
              <w:keepLines w:val="0"/>
              <w:suppressLineNumbers w:val="0"/>
              <w:autoSpaceDE w:val="0"/>
              <w:autoSpaceDN w:val="0"/>
              <w:adjustRightInd w:val="0"/>
              <w:snapToGrid w:val="0"/>
              <w:spacing w:before="0" w:beforeAutospacing="0" w:after="120" w:afterAutospacing="0" w:line="360" w:lineRule="auto"/>
              <w:ind w:left="0" w:right="-210" w:rightChars="-100"/>
              <w:outlineLvl w:val="1"/>
              <w:rPr>
                <w:rFonts w:hint="default" w:ascii="仿宋" w:hAnsi="仿宋" w:eastAsia="仿宋" w:cs="仿宋"/>
                <w:b/>
                <w:color w:val="auto"/>
                <w:sz w:val="24"/>
                <w:highlight w:val="none"/>
              </w:rPr>
            </w:pPr>
            <w:r>
              <w:rPr>
                <w:rFonts w:hint="eastAsia" w:ascii="仿宋" w:hAnsi="仿宋" w:eastAsia="仿宋" w:cs="仿宋"/>
                <w:color w:val="auto"/>
                <w:sz w:val="24"/>
                <w:highlight w:val="none"/>
                <w:lang w:val="zh-CN"/>
              </w:rPr>
              <w:t>法定代表人签字或盖章）:</w:t>
            </w:r>
          </w:p>
        </w:tc>
        <w:tc>
          <w:tcPr>
            <w:tcW w:w="5719" w:type="dxa"/>
            <w:noWrap w:val="0"/>
            <w:vAlign w:val="top"/>
          </w:tcPr>
          <w:p w14:paraId="68A9D87B">
            <w:pPr>
              <w:keepNext w:val="0"/>
              <w:keepLines w:val="0"/>
              <w:suppressLineNumbers w:val="0"/>
              <w:spacing w:before="0" w:beforeAutospacing="0" w:after="0" w:afterAutospacing="0" w:line="360" w:lineRule="auto"/>
              <w:ind w:left="0" w:right="-210" w:rightChars="-100"/>
              <w:rPr>
                <w:rFonts w:hint="default"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法定代表人字或盖章）:</w:t>
            </w:r>
            <w:r>
              <w:rPr>
                <w:rFonts w:hint="eastAsia" w:ascii="仿宋" w:hAnsi="仿宋" w:eastAsia="仿宋" w:cs="仿宋"/>
                <w:color w:val="auto"/>
                <w:sz w:val="24"/>
                <w:highlight w:val="none"/>
                <w:lang w:val="zh-CN"/>
              </w:rPr>
              <w:tab/>
            </w:r>
          </w:p>
        </w:tc>
      </w:tr>
      <w:tr w14:paraId="5166D81A">
        <w:tblPrEx>
          <w:tblCellMar>
            <w:top w:w="0" w:type="dxa"/>
            <w:left w:w="108" w:type="dxa"/>
            <w:bottom w:w="0" w:type="dxa"/>
            <w:right w:w="108" w:type="dxa"/>
          </w:tblCellMar>
        </w:tblPrEx>
        <w:trPr>
          <w:trHeight w:val="936" w:hRule="atLeast"/>
        </w:trPr>
        <w:tc>
          <w:tcPr>
            <w:tcW w:w="4710" w:type="dxa"/>
            <w:noWrap w:val="0"/>
            <w:vAlign w:val="top"/>
          </w:tcPr>
          <w:p w14:paraId="4EDB16A5">
            <w:pPr>
              <w:keepNext w:val="0"/>
              <w:keepLines w:val="0"/>
              <w:suppressLineNumbers w:val="0"/>
              <w:autoSpaceDE w:val="0"/>
              <w:autoSpaceDN w:val="0"/>
              <w:adjustRightInd w:val="0"/>
              <w:snapToGrid w:val="0"/>
              <w:spacing w:before="0" w:beforeAutospacing="0" w:after="120" w:afterAutospacing="0" w:line="360" w:lineRule="auto"/>
              <w:ind w:left="0" w:right="-210" w:rightChars="-100"/>
              <w:outlineLvl w:val="1"/>
              <w:rPr>
                <w:rFonts w:hint="default" w:ascii="仿宋" w:hAnsi="仿宋" w:eastAsia="仿宋" w:cs="仿宋"/>
                <w:b/>
                <w:color w:val="auto"/>
                <w:sz w:val="24"/>
                <w:highlight w:val="none"/>
              </w:rPr>
            </w:pPr>
            <w:r>
              <w:rPr>
                <w:rFonts w:hint="eastAsia" w:ascii="仿宋" w:hAnsi="仿宋" w:eastAsia="仿宋" w:cs="仿宋"/>
                <w:color w:val="auto"/>
                <w:sz w:val="24"/>
                <w:highlight w:val="none"/>
                <w:lang w:val="zh-CN"/>
              </w:rPr>
              <w:t>或授权代表（签字或盖章）:</w:t>
            </w:r>
          </w:p>
        </w:tc>
        <w:tc>
          <w:tcPr>
            <w:tcW w:w="5719" w:type="dxa"/>
            <w:noWrap w:val="0"/>
            <w:vAlign w:val="top"/>
          </w:tcPr>
          <w:p w14:paraId="00709CA7">
            <w:pPr>
              <w:keepNext w:val="0"/>
              <w:keepLines w:val="0"/>
              <w:suppressLineNumbers w:val="0"/>
              <w:spacing w:before="0" w:beforeAutospacing="0" w:after="0" w:afterAutospacing="0" w:line="360" w:lineRule="auto"/>
              <w:ind w:left="0" w:right="-210" w:rightChars="-100"/>
              <w:rPr>
                <w:rFonts w:hint="default" w:ascii="仿宋" w:hAnsi="仿宋" w:eastAsia="仿宋" w:cs="仿宋"/>
                <w:color w:val="auto"/>
                <w:sz w:val="24"/>
                <w:highlight w:val="none"/>
                <w:lang w:val="zh-CN"/>
              </w:rPr>
            </w:pPr>
            <w:r>
              <w:rPr>
                <w:rFonts w:hint="eastAsia" w:ascii="仿宋" w:hAnsi="仿宋" w:eastAsia="仿宋" w:cs="仿宋"/>
                <w:color w:val="auto"/>
                <w:sz w:val="24"/>
                <w:highlight w:val="none"/>
                <w:lang w:val="zh-CN"/>
              </w:rPr>
              <w:t>或授权代表（签字或盖章）:</w:t>
            </w:r>
          </w:p>
        </w:tc>
      </w:tr>
      <w:tr w14:paraId="06C4A270">
        <w:tblPrEx>
          <w:tblCellMar>
            <w:top w:w="0" w:type="dxa"/>
            <w:left w:w="108" w:type="dxa"/>
            <w:bottom w:w="0" w:type="dxa"/>
            <w:right w:w="108" w:type="dxa"/>
          </w:tblCellMar>
        </w:tblPrEx>
        <w:trPr>
          <w:trHeight w:val="690" w:hRule="atLeast"/>
        </w:trPr>
        <w:tc>
          <w:tcPr>
            <w:tcW w:w="4710" w:type="dxa"/>
            <w:noWrap w:val="0"/>
            <w:vAlign w:val="top"/>
          </w:tcPr>
          <w:p w14:paraId="60F6BFD3">
            <w:pPr>
              <w:keepNext w:val="0"/>
              <w:keepLines w:val="0"/>
              <w:suppressLineNumbers w:val="0"/>
              <w:autoSpaceDE w:val="0"/>
              <w:autoSpaceDN w:val="0"/>
              <w:adjustRightInd w:val="0"/>
              <w:snapToGrid w:val="0"/>
              <w:spacing w:before="0" w:beforeAutospacing="0" w:after="120" w:afterAutospacing="0" w:line="360" w:lineRule="auto"/>
              <w:ind w:left="0" w:right="-210" w:rightChars="-100"/>
              <w:outlineLvl w:val="1"/>
              <w:rPr>
                <w:rFonts w:hint="default" w:ascii="仿宋" w:hAnsi="仿宋" w:eastAsia="仿宋" w:cs="仿宋"/>
                <w:b/>
                <w:color w:val="auto"/>
                <w:sz w:val="24"/>
                <w:highlight w:val="none"/>
              </w:rPr>
            </w:pPr>
            <w:bookmarkStart w:id="237" w:name="_Toc11305"/>
            <w:bookmarkStart w:id="238" w:name="_Toc28639"/>
            <w:bookmarkStart w:id="239" w:name="_Toc116141154"/>
            <w:bookmarkStart w:id="240" w:name="_Toc7539"/>
            <w:bookmarkStart w:id="241" w:name="_Toc21156"/>
            <w:bookmarkStart w:id="242" w:name="_Toc11292"/>
            <w:bookmarkStart w:id="243" w:name="_Toc116141329"/>
            <w:bookmarkStart w:id="244" w:name="_Toc116199123"/>
            <w:bookmarkStart w:id="245" w:name="_Toc24159"/>
            <w:bookmarkStart w:id="246" w:name="_Toc134805663"/>
            <w:r>
              <w:rPr>
                <w:rFonts w:hint="eastAsia" w:ascii="仿宋" w:hAnsi="仿宋" w:eastAsia="仿宋" w:cs="仿宋"/>
                <w:color w:val="auto"/>
                <w:sz w:val="24"/>
                <w:highlight w:val="none"/>
                <w:lang w:val="zh-CN"/>
              </w:rPr>
              <w:t>联系人：</w:t>
            </w:r>
            <w:bookmarkEnd w:id="237"/>
            <w:bookmarkEnd w:id="238"/>
            <w:bookmarkEnd w:id="239"/>
            <w:bookmarkEnd w:id="240"/>
            <w:bookmarkEnd w:id="241"/>
            <w:bookmarkEnd w:id="242"/>
            <w:bookmarkEnd w:id="243"/>
            <w:bookmarkEnd w:id="244"/>
            <w:bookmarkEnd w:id="245"/>
            <w:bookmarkEnd w:id="246"/>
            <w:r>
              <w:rPr>
                <w:rFonts w:hint="eastAsia" w:ascii="仿宋" w:hAnsi="仿宋" w:eastAsia="仿宋" w:cs="仿宋"/>
                <w:b/>
                <w:color w:val="auto"/>
                <w:sz w:val="24"/>
                <w:highlight w:val="none"/>
              </w:rPr>
              <w:t xml:space="preserve"> </w:t>
            </w:r>
          </w:p>
        </w:tc>
        <w:tc>
          <w:tcPr>
            <w:tcW w:w="5719" w:type="dxa"/>
            <w:noWrap w:val="0"/>
            <w:vAlign w:val="top"/>
          </w:tcPr>
          <w:p w14:paraId="7BD929F0">
            <w:pPr>
              <w:keepNext w:val="0"/>
              <w:keepLines w:val="0"/>
              <w:suppressLineNumbers w:val="0"/>
              <w:autoSpaceDE w:val="0"/>
              <w:autoSpaceDN w:val="0"/>
              <w:adjustRightInd w:val="0"/>
              <w:snapToGrid w:val="0"/>
              <w:spacing w:before="0" w:beforeAutospacing="0" w:after="120" w:afterAutospacing="0" w:line="360" w:lineRule="auto"/>
              <w:ind w:left="0" w:right="-210" w:rightChars="-100"/>
              <w:outlineLvl w:val="1"/>
              <w:rPr>
                <w:rFonts w:hint="default" w:ascii="仿宋" w:hAnsi="仿宋" w:eastAsia="仿宋" w:cs="仿宋"/>
                <w:b/>
                <w:color w:val="auto"/>
                <w:sz w:val="24"/>
                <w:highlight w:val="none"/>
              </w:rPr>
            </w:pPr>
            <w:bookmarkStart w:id="247" w:name="_Toc4245"/>
            <w:bookmarkStart w:id="248" w:name="_Toc26153"/>
            <w:bookmarkStart w:id="249" w:name="_Toc27000"/>
            <w:bookmarkStart w:id="250" w:name="_Toc19051"/>
            <w:bookmarkStart w:id="251" w:name="_Toc134805664"/>
            <w:bookmarkStart w:id="252" w:name="_Toc28084"/>
            <w:bookmarkStart w:id="253" w:name="_Toc3786"/>
            <w:r>
              <w:rPr>
                <w:rFonts w:hint="eastAsia" w:ascii="仿宋" w:hAnsi="仿宋" w:eastAsia="仿宋" w:cs="仿宋"/>
                <w:color w:val="auto"/>
                <w:sz w:val="24"/>
                <w:highlight w:val="none"/>
                <w:lang w:val="zh-CN"/>
              </w:rPr>
              <w:t>联系人：</w:t>
            </w:r>
            <w:bookmarkEnd w:id="247"/>
            <w:bookmarkEnd w:id="248"/>
            <w:bookmarkEnd w:id="249"/>
            <w:bookmarkEnd w:id="250"/>
            <w:bookmarkEnd w:id="251"/>
            <w:bookmarkEnd w:id="252"/>
            <w:bookmarkEnd w:id="253"/>
            <w:r>
              <w:rPr>
                <w:rFonts w:hint="eastAsia" w:ascii="仿宋" w:hAnsi="仿宋" w:eastAsia="仿宋" w:cs="仿宋"/>
                <w:color w:val="auto"/>
                <w:sz w:val="24"/>
                <w:highlight w:val="none"/>
              </w:rPr>
              <w:t xml:space="preserve"> </w:t>
            </w:r>
            <w:r>
              <w:rPr>
                <w:rFonts w:hint="eastAsia" w:ascii="仿宋" w:hAnsi="仿宋" w:eastAsia="仿宋" w:cs="仿宋"/>
                <w:b/>
                <w:color w:val="auto"/>
                <w:sz w:val="24"/>
                <w:highlight w:val="none"/>
              </w:rPr>
              <w:t xml:space="preserve"> </w:t>
            </w:r>
          </w:p>
        </w:tc>
      </w:tr>
      <w:tr w14:paraId="1A0AED2C">
        <w:tblPrEx>
          <w:tblCellMar>
            <w:top w:w="0" w:type="dxa"/>
            <w:left w:w="108" w:type="dxa"/>
            <w:bottom w:w="0" w:type="dxa"/>
            <w:right w:w="108" w:type="dxa"/>
          </w:tblCellMar>
        </w:tblPrEx>
        <w:trPr>
          <w:trHeight w:val="759" w:hRule="atLeast"/>
        </w:trPr>
        <w:tc>
          <w:tcPr>
            <w:tcW w:w="4710" w:type="dxa"/>
            <w:noWrap w:val="0"/>
            <w:vAlign w:val="top"/>
          </w:tcPr>
          <w:p w14:paraId="39B14F0D">
            <w:pPr>
              <w:keepNext w:val="0"/>
              <w:keepLines w:val="0"/>
              <w:suppressLineNumbers w:val="0"/>
              <w:autoSpaceDE w:val="0"/>
              <w:autoSpaceDN w:val="0"/>
              <w:adjustRightInd w:val="0"/>
              <w:snapToGrid w:val="0"/>
              <w:spacing w:before="0" w:beforeAutospacing="0" w:after="120" w:afterAutospacing="0" w:line="360" w:lineRule="auto"/>
              <w:ind w:left="0" w:right="-210" w:rightChars="-100"/>
              <w:outlineLvl w:val="1"/>
              <w:rPr>
                <w:rFonts w:hint="default" w:ascii="仿宋" w:hAnsi="仿宋" w:eastAsia="仿宋" w:cs="仿宋"/>
                <w:b/>
                <w:color w:val="auto"/>
                <w:sz w:val="24"/>
                <w:highlight w:val="none"/>
              </w:rPr>
            </w:pPr>
            <w:bookmarkStart w:id="254" w:name="_Toc11870"/>
            <w:bookmarkStart w:id="255" w:name="_Toc32564"/>
            <w:bookmarkStart w:id="256" w:name="_Toc134805665"/>
            <w:bookmarkStart w:id="257" w:name="_Toc116199125"/>
            <w:bookmarkStart w:id="258" w:name="_Toc11220"/>
            <w:bookmarkStart w:id="259" w:name="_Toc28130"/>
            <w:bookmarkStart w:id="260" w:name="_Toc21468"/>
            <w:bookmarkStart w:id="261" w:name="_Toc116141331"/>
            <w:bookmarkStart w:id="262" w:name="_Toc116141156"/>
            <w:r>
              <w:rPr>
                <w:rFonts w:hint="eastAsia" w:ascii="仿宋" w:hAnsi="仿宋" w:eastAsia="仿宋" w:cs="仿宋"/>
                <w:color w:val="auto"/>
                <w:sz w:val="24"/>
                <w:highlight w:val="none"/>
                <w:lang w:val="zh-CN"/>
              </w:rPr>
              <w:t>约定送达地址：</w:t>
            </w:r>
            <w:bookmarkEnd w:id="254"/>
            <w:bookmarkEnd w:id="255"/>
            <w:bookmarkEnd w:id="256"/>
            <w:bookmarkEnd w:id="257"/>
            <w:bookmarkEnd w:id="258"/>
            <w:bookmarkEnd w:id="259"/>
            <w:bookmarkEnd w:id="260"/>
            <w:bookmarkEnd w:id="261"/>
            <w:bookmarkEnd w:id="262"/>
            <w:r>
              <w:rPr>
                <w:rFonts w:hint="eastAsia" w:ascii="仿宋" w:hAnsi="仿宋" w:eastAsia="仿宋" w:cs="仿宋"/>
                <w:color w:val="auto"/>
                <w:sz w:val="24"/>
                <w:highlight w:val="none"/>
              </w:rPr>
              <w:t xml:space="preserve"> </w:t>
            </w:r>
          </w:p>
        </w:tc>
        <w:tc>
          <w:tcPr>
            <w:tcW w:w="5719" w:type="dxa"/>
            <w:noWrap w:val="0"/>
            <w:vAlign w:val="top"/>
          </w:tcPr>
          <w:p w14:paraId="4EC5C3AF">
            <w:pPr>
              <w:keepNext w:val="0"/>
              <w:keepLines w:val="0"/>
              <w:suppressLineNumbers w:val="0"/>
              <w:autoSpaceDE w:val="0"/>
              <w:autoSpaceDN w:val="0"/>
              <w:adjustRightInd w:val="0"/>
              <w:snapToGrid w:val="0"/>
              <w:spacing w:before="0" w:beforeAutospacing="0" w:after="120" w:afterAutospacing="0" w:line="360" w:lineRule="auto"/>
              <w:ind w:left="0" w:right="-210" w:rightChars="-100"/>
              <w:outlineLvl w:val="1"/>
              <w:rPr>
                <w:rFonts w:hint="default" w:ascii="仿宋" w:hAnsi="仿宋" w:eastAsia="仿宋" w:cs="仿宋"/>
                <w:color w:val="auto"/>
                <w:sz w:val="24"/>
                <w:highlight w:val="none"/>
              </w:rPr>
            </w:pPr>
            <w:bookmarkStart w:id="263" w:name="_Toc5533"/>
            <w:bookmarkStart w:id="264" w:name="_Toc19451"/>
            <w:bookmarkStart w:id="265" w:name="_Toc2893"/>
            <w:bookmarkStart w:id="266" w:name="_Toc13234"/>
            <w:r>
              <w:rPr>
                <w:rFonts w:hint="eastAsia" w:ascii="仿宋" w:hAnsi="仿宋" w:eastAsia="仿宋" w:cs="仿宋"/>
                <w:color w:val="auto"/>
                <w:sz w:val="24"/>
                <w:highlight w:val="none"/>
                <w:lang w:val="zh-CN"/>
              </w:rPr>
              <w:t>约定送达地址：</w:t>
            </w:r>
            <w:bookmarkEnd w:id="263"/>
            <w:bookmarkEnd w:id="264"/>
            <w:bookmarkEnd w:id="265"/>
            <w:bookmarkEnd w:id="266"/>
            <w:r>
              <w:rPr>
                <w:rFonts w:hint="eastAsia" w:ascii="仿宋" w:hAnsi="仿宋" w:eastAsia="仿宋" w:cs="仿宋"/>
                <w:color w:val="auto"/>
                <w:sz w:val="24"/>
                <w:highlight w:val="none"/>
              </w:rPr>
              <w:t xml:space="preserve"> </w:t>
            </w:r>
          </w:p>
        </w:tc>
      </w:tr>
      <w:tr w14:paraId="42B36266">
        <w:tblPrEx>
          <w:tblCellMar>
            <w:top w:w="0" w:type="dxa"/>
            <w:left w:w="108" w:type="dxa"/>
            <w:bottom w:w="0" w:type="dxa"/>
            <w:right w:w="108" w:type="dxa"/>
          </w:tblCellMar>
        </w:tblPrEx>
        <w:trPr>
          <w:trHeight w:val="690" w:hRule="atLeast"/>
        </w:trPr>
        <w:tc>
          <w:tcPr>
            <w:tcW w:w="4710" w:type="dxa"/>
            <w:noWrap w:val="0"/>
            <w:vAlign w:val="top"/>
          </w:tcPr>
          <w:p w14:paraId="34EF326A">
            <w:pPr>
              <w:keepNext w:val="0"/>
              <w:keepLines w:val="0"/>
              <w:suppressLineNumbers w:val="0"/>
              <w:autoSpaceDE w:val="0"/>
              <w:autoSpaceDN w:val="0"/>
              <w:adjustRightInd w:val="0"/>
              <w:snapToGrid w:val="0"/>
              <w:spacing w:before="0" w:beforeAutospacing="0" w:after="120" w:afterAutospacing="0" w:line="360" w:lineRule="auto"/>
              <w:ind w:left="0" w:right="-210" w:rightChars="-100"/>
              <w:outlineLvl w:val="1"/>
              <w:rPr>
                <w:rFonts w:hint="default" w:ascii="仿宋" w:hAnsi="仿宋" w:eastAsia="仿宋" w:cs="仿宋"/>
                <w:b/>
                <w:color w:val="auto"/>
                <w:sz w:val="24"/>
                <w:highlight w:val="none"/>
              </w:rPr>
            </w:pPr>
            <w:bookmarkStart w:id="267" w:name="_Toc19772"/>
            <w:bookmarkStart w:id="268" w:name="_Toc116141159"/>
            <w:bookmarkStart w:id="269" w:name="_Toc2038"/>
            <w:bookmarkStart w:id="270" w:name="_Toc134805667"/>
            <w:bookmarkStart w:id="271" w:name="_Toc14603"/>
            <w:bookmarkStart w:id="272" w:name="_Toc116199128"/>
            <w:bookmarkStart w:id="273" w:name="_Toc2464"/>
            <w:bookmarkStart w:id="274" w:name="_Toc11912"/>
            <w:bookmarkStart w:id="275" w:name="_Toc25120"/>
            <w:bookmarkStart w:id="276" w:name="_Toc116141334"/>
            <w:r>
              <w:rPr>
                <w:rFonts w:hint="eastAsia" w:ascii="仿宋" w:hAnsi="仿宋" w:eastAsia="仿宋" w:cs="仿宋"/>
                <w:color w:val="auto"/>
                <w:sz w:val="24"/>
                <w:highlight w:val="none"/>
                <w:lang w:val="zh-CN"/>
              </w:rPr>
              <w:t>邮政编码：</w:t>
            </w:r>
            <w:bookmarkEnd w:id="267"/>
            <w:bookmarkEnd w:id="268"/>
            <w:bookmarkEnd w:id="269"/>
            <w:bookmarkEnd w:id="270"/>
            <w:bookmarkEnd w:id="271"/>
            <w:bookmarkEnd w:id="272"/>
            <w:bookmarkEnd w:id="273"/>
            <w:bookmarkEnd w:id="274"/>
            <w:bookmarkEnd w:id="275"/>
            <w:bookmarkEnd w:id="276"/>
            <w:r>
              <w:rPr>
                <w:rFonts w:hint="eastAsia" w:ascii="仿宋" w:hAnsi="仿宋" w:eastAsia="仿宋" w:cs="仿宋"/>
                <w:color w:val="auto"/>
                <w:sz w:val="24"/>
                <w:highlight w:val="none"/>
              </w:rPr>
              <w:t xml:space="preserve"> </w:t>
            </w:r>
          </w:p>
        </w:tc>
        <w:tc>
          <w:tcPr>
            <w:tcW w:w="5719" w:type="dxa"/>
            <w:noWrap w:val="0"/>
            <w:vAlign w:val="top"/>
          </w:tcPr>
          <w:p w14:paraId="38318E28">
            <w:pPr>
              <w:keepNext w:val="0"/>
              <w:keepLines w:val="0"/>
              <w:suppressLineNumbers w:val="0"/>
              <w:autoSpaceDE w:val="0"/>
              <w:autoSpaceDN w:val="0"/>
              <w:adjustRightInd w:val="0"/>
              <w:snapToGrid w:val="0"/>
              <w:spacing w:before="0" w:beforeAutospacing="0" w:after="120" w:afterAutospacing="0" w:line="360" w:lineRule="auto"/>
              <w:ind w:left="0" w:right="-210" w:rightChars="-100"/>
              <w:outlineLvl w:val="1"/>
              <w:rPr>
                <w:rFonts w:hint="default" w:ascii="仿宋" w:hAnsi="仿宋" w:eastAsia="仿宋" w:cs="仿宋"/>
                <w:b/>
                <w:color w:val="auto"/>
                <w:sz w:val="24"/>
                <w:highlight w:val="none"/>
              </w:rPr>
            </w:pPr>
            <w:bookmarkStart w:id="277" w:name="_Toc903"/>
            <w:bookmarkStart w:id="278" w:name="_Toc3629"/>
            <w:bookmarkStart w:id="279" w:name="_Toc25011"/>
            <w:bookmarkStart w:id="280" w:name="_Toc4315"/>
            <w:bookmarkStart w:id="281" w:name="_Toc3010"/>
            <w:bookmarkStart w:id="282" w:name="_Toc20967"/>
            <w:bookmarkStart w:id="283" w:name="_Toc134805668"/>
            <w:r>
              <w:rPr>
                <w:rFonts w:hint="eastAsia" w:ascii="仿宋" w:hAnsi="仿宋" w:eastAsia="仿宋" w:cs="仿宋"/>
                <w:color w:val="auto"/>
                <w:sz w:val="24"/>
                <w:highlight w:val="none"/>
                <w:lang w:val="zh-CN"/>
              </w:rPr>
              <w:t>邮政编码：</w:t>
            </w:r>
            <w:bookmarkEnd w:id="277"/>
            <w:bookmarkEnd w:id="278"/>
            <w:bookmarkEnd w:id="279"/>
            <w:bookmarkEnd w:id="280"/>
            <w:bookmarkEnd w:id="281"/>
            <w:bookmarkEnd w:id="282"/>
            <w:bookmarkEnd w:id="283"/>
          </w:p>
        </w:tc>
      </w:tr>
      <w:tr w14:paraId="70E220CA">
        <w:tblPrEx>
          <w:tblCellMar>
            <w:top w:w="0" w:type="dxa"/>
            <w:left w:w="108" w:type="dxa"/>
            <w:bottom w:w="0" w:type="dxa"/>
            <w:right w:w="108" w:type="dxa"/>
          </w:tblCellMar>
        </w:tblPrEx>
        <w:trPr>
          <w:trHeight w:val="690" w:hRule="atLeast"/>
        </w:trPr>
        <w:tc>
          <w:tcPr>
            <w:tcW w:w="4710" w:type="dxa"/>
            <w:noWrap w:val="0"/>
            <w:vAlign w:val="top"/>
          </w:tcPr>
          <w:p w14:paraId="133F1F75">
            <w:pPr>
              <w:keepNext w:val="0"/>
              <w:keepLines w:val="0"/>
              <w:suppressLineNumbers w:val="0"/>
              <w:autoSpaceDE w:val="0"/>
              <w:autoSpaceDN w:val="0"/>
              <w:adjustRightInd w:val="0"/>
              <w:snapToGrid w:val="0"/>
              <w:spacing w:before="0" w:beforeAutospacing="0" w:after="120" w:afterAutospacing="0" w:line="360" w:lineRule="auto"/>
              <w:ind w:left="0" w:right="-210" w:rightChars="-100"/>
              <w:outlineLvl w:val="1"/>
              <w:rPr>
                <w:rFonts w:hint="default" w:ascii="仿宋" w:hAnsi="仿宋" w:eastAsia="仿宋" w:cs="仿宋"/>
                <w:b/>
                <w:color w:val="auto"/>
                <w:sz w:val="24"/>
                <w:highlight w:val="none"/>
              </w:rPr>
            </w:pPr>
            <w:bookmarkStart w:id="284" w:name="_Toc31028"/>
            <w:bookmarkStart w:id="285" w:name="_Toc116141161"/>
            <w:bookmarkStart w:id="286" w:name="_Toc24226"/>
            <w:bookmarkStart w:id="287" w:name="_Toc116141336"/>
            <w:bookmarkStart w:id="288" w:name="_Toc25016"/>
            <w:bookmarkStart w:id="289" w:name="_Toc28583"/>
            <w:bookmarkStart w:id="290" w:name="_Toc134805669"/>
            <w:bookmarkStart w:id="291" w:name="_Toc20259"/>
            <w:bookmarkStart w:id="292" w:name="_Toc116199130"/>
            <w:bookmarkStart w:id="293" w:name="_Toc15050"/>
            <w:r>
              <w:rPr>
                <w:rFonts w:hint="eastAsia" w:ascii="仿宋" w:hAnsi="仿宋" w:eastAsia="仿宋" w:cs="仿宋"/>
                <w:color w:val="auto"/>
                <w:sz w:val="24"/>
                <w:highlight w:val="none"/>
                <w:lang w:val="zh-CN"/>
              </w:rPr>
              <w:t>电话:</w:t>
            </w:r>
            <w:bookmarkEnd w:id="284"/>
            <w:bookmarkEnd w:id="285"/>
            <w:bookmarkEnd w:id="286"/>
            <w:bookmarkEnd w:id="287"/>
            <w:bookmarkEnd w:id="288"/>
            <w:bookmarkEnd w:id="289"/>
            <w:bookmarkEnd w:id="290"/>
            <w:bookmarkEnd w:id="291"/>
            <w:bookmarkEnd w:id="292"/>
            <w:bookmarkEnd w:id="293"/>
          </w:p>
        </w:tc>
        <w:tc>
          <w:tcPr>
            <w:tcW w:w="5719" w:type="dxa"/>
            <w:noWrap w:val="0"/>
            <w:vAlign w:val="top"/>
          </w:tcPr>
          <w:p w14:paraId="6D7221F2">
            <w:pPr>
              <w:keepNext w:val="0"/>
              <w:keepLines w:val="0"/>
              <w:suppressLineNumbers w:val="0"/>
              <w:autoSpaceDE w:val="0"/>
              <w:autoSpaceDN w:val="0"/>
              <w:adjustRightInd w:val="0"/>
              <w:snapToGrid w:val="0"/>
              <w:spacing w:before="0" w:beforeAutospacing="0" w:after="120" w:afterAutospacing="0" w:line="360" w:lineRule="auto"/>
              <w:ind w:left="0" w:right="-210" w:rightChars="-100"/>
              <w:outlineLvl w:val="1"/>
              <w:rPr>
                <w:rFonts w:hint="default" w:ascii="仿宋" w:hAnsi="仿宋" w:eastAsia="仿宋" w:cs="仿宋"/>
                <w:color w:val="auto"/>
                <w:sz w:val="24"/>
                <w:highlight w:val="none"/>
                <w:lang w:val="zh-CN"/>
              </w:rPr>
            </w:pPr>
            <w:bookmarkStart w:id="294" w:name="_Toc31973"/>
            <w:bookmarkStart w:id="295" w:name="_Toc19045"/>
            <w:bookmarkStart w:id="296" w:name="_Toc28526"/>
            <w:bookmarkStart w:id="297" w:name="_Toc26545"/>
            <w:bookmarkStart w:id="298" w:name="_Toc16382"/>
            <w:bookmarkStart w:id="299" w:name="_Toc21081"/>
            <w:bookmarkStart w:id="300" w:name="_Toc134805670"/>
            <w:r>
              <w:rPr>
                <w:rFonts w:hint="eastAsia" w:ascii="仿宋" w:hAnsi="仿宋" w:eastAsia="仿宋" w:cs="仿宋"/>
                <w:color w:val="auto"/>
                <w:sz w:val="24"/>
                <w:highlight w:val="none"/>
                <w:lang w:val="zh-CN"/>
              </w:rPr>
              <w:t>电话:</w:t>
            </w:r>
            <w:bookmarkEnd w:id="294"/>
            <w:bookmarkEnd w:id="295"/>
            <w:bookmarkEnd w:id="296"/>
            <w:bookmarkEnd w:id="297"/>
            <w:r>
              <w:rPr>
                <w:rFonts w:hint="eastAsia" w:ascii="仿宋" w:hAnsi="仿宋" w:eastAsia="仿宋" w:cs="仿宋"/>
                <w:color w:val="auto"/>
                <w:sz w:val="24"/>
                <w:highlight w:val="none"/>
                <w:lang w:val="zh-CN"/>
              </w:rPr>
              <w:t xml:space="preserve"> </w:t>
            </w:r>
            <w:bookmarkEnd w:id="298"/>
            <w:bookmarkEnd w:id="299"/>
            <w:bookmarkEnd w:id="300"/>
            <w:r>
              <w:rPr>
                <w:rFonts w:hint="eastAsia" w:ascii="仿宋" w:hAnsi="仿宋" w:eastAsia="仿宋" w:cs="仿宋"/>
                <w:color w:val="auto"/>
                <w:sz w:val="24"/>
                <w:highlight w:val="none"/>
              </w:rPr>
              <w:t xml:space="preserve"> </w:t>
            </w:r>
          </w:p>
        </w:tc>
      </w:tr>
      <w:tr w14:paraId="225E90D0">
        <w:tblPrEx>
          <w:tblCellMar>
            <w:top w:w="0" w:type="dxa"/>
            <w:left w:w="108" w:type="dxa"/>
            <w:bottom w:w="0" w:type="dxa"/>
            <w:right w:w="108" w:type="dxa"/>
          </w:tblCellMar>
        </w:tblPrEx>
        <w:trPr>
          <w:trHeight w:val="690" w:hRule="atLeast"/>
        </w:trPr>
        <w:tc>
          <w:tcPr>
            <w:tcW w:w="4710" w:type="dxa"/>
            <w:noWrap w:val="0"/>
            <w:vAlign w:val="top"/>
          </w:tcPr>
          <w:p w14:paraId="07127386">
            <w:pPr>
              <w:keepNext w:val="0"/>
              <w:keepLines w:val="0"/>
              <w:suppressLineNumbers w:val="0"/>
              <w:autoSpaceDE w:val="0"/>
              <w:autoSpaceDN w:val="0"/>
              <w:adjustRightInd w:val="0"/>
              <w:snapToGrid w:val="0"/>
              <w:spacing w:before="0" w:beforeAutospacing="0" w:after="120" w:afterAutospacing="0" w:line="360" w:lineRule="auto"/>
              <w:ind w:left="0" w:right="-210" w:rightChars="-100"/>
              <w:outlineLvl w:val="1"/>
              <w:rPr>
                <w:rFonts w:hint="default" w:ascii="仿宋" w:hAnsi="仿宋" w:eastAsia="仿宋" w:cs="仿宋"/>
                <w:b/>
                <w:color w:val="auto"/>
                <w:sz w:val="24"/>
                <w:highlight w:val="none"/>
              </w:rPr>
            </w:pPr>
            <w:bookmarkStart w:id="301" w:name="_Toc2146"/>
            <w:bookmarkStart w:id="302" w:name="_Toc11411"/>
            <w:bookmarkStart w:id="303" w:name="_Toc116141338"/>
            <w:bookmarkStart w:id="304" w:name="_Toc13117"/>
            <w:bookmarkStart w:id="305" w:name="_Toc1321"/>
            <w:bookmarkStart w:id="306" w:name="_Toc134805671"/>
            <w:bookmarkStart w:id="307" w:name="_Toc116199132"/>
            <w:bookmarkStart w:id="308" w:name="_Toc16032"/>
            <w:bookmarkStart w:id="309" w:name="_Toc116141163"/>
            <w:bookmarkStart w:id="310" w:name="_Toc19131"/>
            <w:r>
              <w:rPr>
                <w:rFonts w:hint="eastAsia" w:ascii="仿宋" w:hAnsi="仿宋" w:eastAsia="仿宋" w:cs="仿宋"/>
                <w:color w:val="auto"/>
                <w:sz w:val="24"/>
                <w:highlight w:val="none"/>
                <w:lang w:val="zh-CN"/>
              </w:rPr>
              <w:t>传真:</w:t>
            </w:r>
            <w:r>
              <w:rPr>
                <w:rFonts w:hint="eastAsia" w:ascii="仿宋" w:hAnsi="仿宋" w:eastAsia="仿宋" w:cs="仿宋"/>
                <w:color w:val="auto"/>
                <w:sz w:val="24"/>
                <w:highlight w:val="none"/>
              </w:rPr>
              <w:t>/</w:t>
            </w:r>
            <w:bookmarkEnd w:id="301"/>
            <w:bookmarkEnd w:id="302"/>
            <w:bookmarkEnd w:id="303"/>
            <w:bookmarkEnd w:id="304"/>
            <w:bookmarkEnd w:id="305"/>
            <w:bookmarkEnd w:id="306"/>
            <w:bookmarkEnd w:id="307"/>
            <w:bookmarkEnd w:id="308"/>
            <w:bookmarkEnd w:id="309"/>
            <w:bookmarkEnd w:id="310"/>
          </w:p>
        </w:tc>
        <w:tc>
          <w:tcPr>
            <w:tcW w:w="5719" w:type="dxa"/>
            <w:noWrap w:val="0"/>
            <w:vAlign w:val="top"/>
          </w:tcPr>
          <w:p w14:paraId="7726481D">
            <w:pPr>
              <w:keepNext w:val="0"/>
              <w:keepLines w:val="0"/>
              <w:suppressLineNumbers w:val="0"/>
              <w:autoSpaceDE w:val="0"/>
              <w:autoSpaceDN w:val="0"/>
              <w:adjustRightInd w:val="0"/>
              <w:snapToGrid w:val="0"/>
              <w:spacing w:before="0" w:beforeAutospacing="0" w:after="120" w:afterAutospacing="0" w:line="360" w:lineRule="auto"/>
              <w:ind w:left="0" w:right="-210" w:rightChars="-100"/>
              <w:outlineLvl w:val="1"/>
              <w:rPr>
                <w:rFonts w:hint="default" w:ascii="仿宋" w:hAnsi="仿宋" w:eastAsia="仿宋" w:cs="仿宋"/>
                <w:color w:val="auto"/>
                <w:sz w:val="24"/>
                <w:highlight w:val="none"/>
                <w:lang w:val="zh-CN"/>
              </w:rPr>
            </w:pPr>
            <w:bookmarkStart w:id="311" w:name="_Toc28623"/>
            <w:bookmarkStart w:id="312" w:name="_Toc10856"/>
            <w:bookmarkStart w:id="313" w:name="_Toc12807"/>
            <w:bookmarkStart w:id="314" w:name="_Toc134805672"/>
            <w:bookmarkStart w:id="315" w:name="_Toc13195"/>
            <w:bookmarkStart w:id="316" w:name="_Toc20953"/>
            <w:bookmarkStart w:id="317" w:name="_Toc24282"/>
            <w:r>
              <w:rPr>
                <w:rFonts w:hint="eastAsia" w:ascii="仿宋" w:hAnsi="仿宋" w:eastAsia="仿宋" w:cs="仿宋"/>
                <w:color w:val="auto"/>
                <w:sz w:val="24"/>
                <w:highlight w:val="none"/>
                <w:lang w:val="zh-CN"/>
              </w:rPr>
              <w:t>传真:</w:t>
            </w:r>
            <w:bookmarkEnd w:id="311"/>
            <w:bookmarkEnd w:id="312"/>
            <w:bookmarkEnd w:id="313"/>
            <w:bookmarkEnd w:id="314"/>
            <w:bookmarkEnd w:id="315"/>
            <w:bookmarkEnd w:id="316"/>
            <w:bookmarkEnd w:id="317"/>
            <w:r>
              <w:rPr>
                <w:rFonts w:hint="eastAsia" w:ascii="仿宋" w:hAnsi="仿宋" w:eastAsia="仿宋" w:cs="仿宋"/>
                <w:color w:val="auto"/>
                <w:sz w:val="24"/>
                <w:highlight w:val="none"/>
              </w:rPr>
              <w:t xml:space="preserve"> </w:t>
            </w:r>
          </w:p>
        </w:tc>
      </w:tr>
      <w:tr w14:paraId="1FACF9B6">
        <w:tblPrEx>
          <w:tblCellMar>
            <w:top w:w="0" w:type="dxa"/>
            <w:left w:w="108" w:type="dxa"/>
            <w:bottom w:w="0" w:type="dxa"/>
            <w:right w:w="108" w:type="dxa"/>
          </w:tblCellMar>
        </w:tblPrEx>
        <w:trPr>
          <w:trHeight w:val="690" w:hRule="atLeast"/>
        </w:trPr>
        <w:tc>
          <w:tcPr>
            <w:tcW w:w="4710" w:type="dxa"/>
            <w:noWrap w:val="0"/>
            <w:vAlign w:val="top"/>
          </w:tcPr>
          <w:p w14:paraId="0CA36C0F">
            <w:pPr>
              <w:keepNext w:val="0"/>
              <w:keepLines w:val="0"/>
              <w:suppressLineNumbers w:val="0"/>
              <w:autoSpaceDE w:val="0"/>
              <w:autoSpaceDN w:val="0"/>
              <w:adjustRightInd w:val="0"/>
              <w:snapToGrid w:val="0"/>
              <w:spacing w:before="0" w:beforeAutospacing="0" w:after="120" w:afterAutospacing="0" w:line="360" w:lineRule="auto"/>
              <w:ind w:left="0" w:right="-210" w:rightChars="-100"/>
              <w:outlineLvl w:val="1"/>
              <w:rPr>
                <w:rFonts w:hint="default" w:ascii="仿宋" w:hAnsi="仿宋" w:eastAsia="仿宋" w:cs="仿宋"/>
                <w:b/>
                <w:color w:val="auto"/>
                <w:sz w:val="24"/>
                <w:highlight w:val="none"/>
              </w:rPr>
            </w:pPr>
            <w:bookmarkStart w:id="318" w:name="_Toc9059"/>
            <w:bookmarkStart w:id="319" w:name="_Toc28017"/>
            <w:bookmarkStart w:id="320" w:name="_Toc134805673"/>
            <w:bookmarkStart w:id="321" w:name="_Toc116141165"/>
            <w:bookmarkStart w:id="322" w:name="_Toc2018"/>
            <w:bookmarkStart w:id="323" w:name="_Toc15692"/>
            <w:bookmarkStart w:id="324" w:name="_Toc116199134"/>
            <w:bookmarkStart w:id="325" w:name="_Toc116141340"/>
            <w:bookmarkStart w:id="326" w:name="_Toc19956"/>
            <w:bookmarkStart w:id="327" w:name="_Toc25575"/>
            <w:r>
              <w:rPr>
                <w:rFonts w:hint="eastAsia" w:ascii="仿宋" w:hAnsi="仿宋" w:eastAsia="仿宋" w:cs="仿宋"/>
                <w:color w:val="auto"/>
                <w:sz w:val="24"/>
                <w:highlight w:val="none"/>
                <w:lang w:val="zh-CN"/>
              </w:rPr>
              <w:t>电子邮箱：</w:t>
            </w:r>
            <w:r>
              <w:rPr>
                <w:rFonts w:hint="eastAsia" w:ascii="仿宋" w:hAnsi="仿宋" w:eastAsia="仿宋" w:cs="仿宋"/>
                <w:color w:val="auto"/>
                <w:sz w:val="24"/>
                <w:highlight w:val="none"/>
              </w:rPr>
              <w:t>/</w:t>
            </w:r>
            <w:bookmarkEnd w:id="318"/>
            <w:bookmarkEnd w:id="319"/>
            <w:bookmarkEnd w:id="320"/>
            <w:bookmarkEnd w:id="321"/>
            <w:bookmarkEnd w:id="322"/>
            <w:bookmarkEnd w:id="323"/>
            <w:bookmarkEnd w:id="324"/>
            <w:bookmarkEnd w:id="325"/>
            <w:bookmarkEnd w:id="326"/>
            <w:bookmarkEnd w:id="327"/>
          </w:p>
        </w:tc>
        <w:tc>
          <w:tcPr>
            <w:tcW w:w="5719" w:type="dxa"/>
            <w:noWrap w:val="0"/>
            <w:vAlign w:val="top"/>
          </w:tcPr>
          <w:p w14:paraId="515DCF07">
            <w:pPr>
              <w:keepNext w:val="0"/>
              <w:keepLines w:val="0"/>
              <w:suppressLineNumbers w:val="0"/>
              <w:autoSpaceDE w:val="0"/>
              <w:autoSpaceDN w:val="0"/>
              <w:adjustRightInd w:val="0"/>
              <w:snapToGrid w:val="0"/>
              <w:spacing w:before="0" w:beforeAutospacing="0" w:after="120" w:afterAutospacing="0" w:line="360" w:lineRule="auto"/>
              <w:ind w:left="0" w:right="-210" w:rightChars="-100"/>
              <w:outlineLvl w:val="1"/>
              <w:rPr>
                <w:rFonts w:hint="default" w:ascii="仿宋" w:hAnsi="仿宋" w:eastAsia="仿宋" w:cs="仿宋"/>
                <w:color w:val="auto"/>
                <w:sz w:val="24"/>
                <w:highlight w:val="none"/>
              </w:rPr>
            </w:pPr>
            <w:bookmarkStart w:id="328" w:name="_Toc9285"/>
            <w:bookmarkStart w:id="329" w:name="_Toc6363"/>
            <w:bookmarkStart w:id="330" w:name="_Toc10362"/>
            <w:bookmarkStart w:id="331" w:name="_Toc134805674"/>
            <w:bookmarkStart w:id="332" w:name="_Toc29950"/>
            <w:bookmarkStart w:id="333" w:name="_Toc3420"/>
            <w:bookmarkStart w:id="334" w:name="_Toc5333"/>
            <w:r>
              <w:rPr>
                <w:rFonts w:hint="eastAsia" w:ascii="仿宋" w:hAnsi="仿宋" w:eastAsia="仿宋" w:cs="仿宋"/>
                <w:color w:val="auto"/>
                <w:sz w:val="24"/>
                <w:highlight w:val="none"/>
                <w:lang w:val="zh-CN"/>
              </w:rPr>
              <w:t>电子邮箱：</w:t>
            </w:r>
            <w:bookmarkEnd w:id="328"/>
            <w:bookmarkEnd w:id="329"/>
            <w:bookmarkEnd w:id="330"/>
            <w:bookmarkEnd w:id="331"/>
            <w:bookmarkEnd w:id="332"/>
            <w:bookmarkEnd w:id="333"/>
            <w:bookmarkEnd w:id="334"/>
          </w:p>
        </w:tc>
      </w:tr>
      <w:tr w14:paraId="1A491748">
        <w:tblPrEx>
          <w:tblCellMar>
            <w:top w:w="0" w:type="dxa"/>
            <w:left w:w="108" w:type="dxa"/>
            <w:bottom w:w="0" w:type="dxa"/>
            <w:right w:w="108" w:type="dxa"/>
          </w:tblCellMar>
        </w:tblPrEx>
        <w:trPr>
          <w:trHeight w:val="558" w:hRule="atLeast"/>
        </w:trPr>
        <w:tc>
          <w:tcPr>
            <w:tcW w:w="4710" w:type="dxa"/>
            <w:noWrap w:val="0"/>
            <w:vAlign w:val="top"/>
          </w:tcPr>
          <w:p w14:paraId="117691AD">
            <w:pPr>
              <w:keepNext w:val="0"/>
              <w:keepLines w:val="0"/>
              <w:suppressLineNumbers w:val="0"/>
              <w:autoSpaceDE w:val="0"/>
              <w:autoSpaceDN w:val="0"/>
              <w:adjustRightInd w:val="0"/>
              <w:snapToGrid w:val="0"/>
              <w:spacing w:before="0" w:beforeAutospacing="0" w:after="120" w:afterAutospacing="0" w:line="360" w:lineRule="auto"/>
              <w:ind w:left="0" w:right="-210" w:rightChars="-100"/>
              <w:outlineLvl w:val="1"/>
              <w:rPr>
                <w:rFonts w:hint="default" w:ascii="仿宋" w:hAnsi="仿宋" w:eastAsia="仿宋" w:cs="仿宋"/>
                <w:b/>
                <w:color w:val="auto"/>
                <w:sz w:val="24"/>
                <w:highlight w:val="none"/>
              </w:rPr>
            </w:pPr>
            <w:bookmarkStart w:id="335" w:name="_Toc14613"/>
            <w:bookmarkStart w:id="336" w:name="_Toc116141167"/>
            <w:bookmarkStart w:id="337" w:name="_Toc116199136"/>
            <w:bookmarkStart w:id="338" w:name="_Toc31424"/>
            <w:bookmarkStart w:id="339" w:name="_Toc134805675"/>
            <w:bookmarkStart w:id="340" w:name="_Toc14385"/>
            <w:bookmarkStart w:id="341" w:name="_Toc31043"/>
            <w:bookmarkStart w:id="342" w:name="_Toc116141342"/>
            <w:bookmarkStart w:id="343" w:name="_Toc653"/>
            <w:r>
              <w:rPr>
                <w:rFonts w:hint="eastAsia" w:ascii="仿宋" w:hAnsi="仿宋" w:eastAsia="仿宋" w:cs="仿宋"/>
                <w:color w:val="auto"/>
                <w:sz w:val="24"/>
                <w:highlight w:val="none"/>
              </w:rPr>
              <w:t>开户银行：/</w:t>
            </w:r>
            <w:bookmarkEnd w:id="335"/>
            <w:bookmarkEnd w:id="336"/>
            <w:bookmarkEnd w:id="337"/>
            <w:bookmarkEnd w:id="338"/>
            <w:bookmarkEnd w:id="339"/>
            <w:bookmarkEnd w:id="340"/>
            <w:bookmarkEnd w:id="341"/>
            <w:bookmarkEnd w:id="342"/>
            <w:bookmarkEnd w:id="343"/>
          </w:p>
        </w:tc>
        <w:tc>
          <w:tcPr>
            <w:tcW w:w="5719" w:type="dxa"/>
            <w:noWrap w:val="0"/>
            <w:vAlign w:val="top"/>
          </w:tcPr>
          <w:p w14:paraId="7A2ED34D">
            <w:pPr>
              <w:keepNext w:val="0"/>
              <w:keepLines w:val="0"/>
              <w:suppressLineNumbers w:val="0"/>
              <w:autoSpaceDE w:val="0"/>
              <w:autoSpaceDN w:val="0"/>
              <w:adjustRightInd w:val="0"/>
              <w:snapToGrid w:val="0"/>
              <w:spacing w:before="0" w:beforeAutospacing="0" w:after="120" w:afterAutospacing="0" w:line="360" w:lineRule="auto"/>
              <w:ind w:left="0" w:right="-210" w:rightChars="-100"/>
              <w:outlineLvl w:val="1"/>
              <w:rPr>
                <w:rFonts w:hint="default" w:ascii="仿宋" w:hAnsi="仿宋" w:eastAsia="仿宋" w:cs="仿宋"/>
                <w:color w:val="auto"/>
                <w:sz w:val="24"/>
                <w:highlight w:val="none"/>
                <w:lang w:val="zh-CN"/>
              </w:rPr>
            </w:pPr>
            <w:bookmarkStart w:id="344" w:name="_Toc31070"/>
            <w:bookmarkStart w:id="345" w:name="_Toc11157"/>
            <w:bookmarkStart w:id="346" w:name="_Toc134805676"/>
            <w:bookmarkStart w:id="347" w:name="_Toc708"/>
            <w:bookmarkStart w:id="348" w:name="_Toc29229"/>
            <w:bookmarkStart w:id="349" w:name="_Toc16547"/>
            <w:bookmarkStart w:id="350" w:name="_Toc28860"/>
            <w:r>
              <w:rPr>
                <w:rFonts w:hint="eastAsia" w:ascii="仿宋" w:hAnsi="仿宋" w:eastAsia="仿宋" w:cs="仿宋"/>
                <w:color w:val="auto"/>
                <w:sz w:val="24"/>
                <w:highlight w:val="none"/>
                <w:lang w:val="zh-CN"/>
              </w:rPr>
              <w:t>开户银行：</w:t>
            </w:r>
            <w:bookmarkEnd w:id="344"/>
            <w:bookmarkEnd w:id="345"/>
            <w:bookmarkEnd w:id="346"/>
            <w:bookmarkEnd w:id="347"/>
            <w:bookmarkEnd w:id="348"/>
            <w:bookmarkEnd w:id="349"/>
            <w:bookmarkEnd w:id="350"/>
          </w:p>
        </w:tc>
      </w:tr>
      <w:tr w14:paraId="74837FC0">
        <w:tblPrEx>
          <w:tblCellMar>
            <w:top w:w="0" w:type="dxa"/>
            <w:left w:w="108" w:type="dxa"/>
            <w:bottom w:w="0" w:type="dxa"/>
            <w:right w:w="108" w:type="dxa"/>
          </w:tblCellMar>
        </w:tblPrEx>
        <w:trPr>
          <w:trHeight w:val="524" w:hRule="atLeast"/>
        </w:trPr>
        <w:tc>
          <w:tcPr>
            <w:tcW w:w="4710" w:type="dxa"/>
            <w:noWrap w:val="0"/>
            <w:vAlign w:val="top"/>
          </w:tcPr>
          <w:p w14:paraId="6C7FE769">
            <w:pPr>
              <w:keepNext w:val="0"/>
              <w:keepLines w:val="0"/>
              <w:suppressLineNumbers w:val="0"/>
              <w:autoSpaceDE w:val="0"/>
              <w:autoSpaceDN w:val="0"/>
              <w:adjustRightInd w:val="0"/>
              <w:snapToGrid w:val="0"/>
              <w:spacing w:before="0" w:beforeAutospacing="0" w:after="120" w:afterAutospacing="0" w:line="360" w:lineRule="auto"/>
              <w:ind w:left="0" w:right="-210" w:rightChars="-100"/>
              <w:outlineLvl w:val="1"/>
              <w:rPr>
                <w:rFonts w:hint="default" w:ascii="仿宋" w:hAnsi="仿宋" w:eastAsia="仿宋" w:cs="仿宋"/>
                <w:b/>
                <w:color w:val="auto"/>
                <w:sz w:val="24"/>
                <w:highlight w:val="none"/>
              </w:rPr>
            </w:pPr>
            <w:bookmarkStart w:id="351" w:name="_Toc18565"/>
            <w:bookmarkStart w:id="352" w:name="_Toc15804"/>
            <w:bookmarkStart w:id="353" w:name="_Toc19641"/>
            <w:bookmarkStart w:id="354" w:name="_Toc134805677"/>
            <w:bookmarkStart w:id="355" w:name="_Toc116141345"/>
            <w:bookmarkStart w:id="356" w:name="_Toc10840"/>
            <w:bookmarkStart w:id="357" w:name="_Toc11393"/>
            <w:bookmarkStart w:id="358" w:name="_Toc116141170"/>
            <w:bookmarkStart w:id="359" w:name="_Toc5674"/>
            <w:bookmarkStart w:id="360" w:name="_Toc116199139"/>
            <w:r>
              <w:rPr>
                <w:rFonts w:hint="eastAsia" w:ascii="仿宋" w:hAnsi="仿宋" w:eastAsia="仿宋" w:cs="仿宋"/>
                <w:color w:val="auto"/>
                <w:sz w:val="24"/>
                <w:highlight w:val="none"/>
              </w:rPr>
              <w:t>开户名称：/</w:t>
            </w:r>
            <w:bookmarkEnd w:id="351"/>
            <w:bookmarkEnd w:id="352"/>
            <w:bookmarkEnd w:id="353"/>
            <w:bookmarkEnd w:id="354"/>
            <w:bookmarkEnd w:id="355"/>
            <w:bookmarkEnd w:id="356"/>
            <w:bookmarkEnd w:id="357"/>
            <w:bookmarkEnd w:id="358"/>
            <w:bookmarkEnd w:id="359"/>
            <w:bookmarkEnd w:id="360"/>
          </w:p>
        </w:tc>
        <w:tc>
          <w:tcPr>
            <w:tcW w:w="5719" w:type="dxa"/>
            <w:noWrap w:val="0"/>
            <w:vAlign w:val="top"/>
          </w:tcPr>
          <w:p w14:paraId="0289866C">
            <w:pPr>
              <w:keepNext w:val="0"/>
              <w:keepLines w:val="0"/>
              <w:suppressLineNumbers w:val="0"/>
              <w:spacing w:before="0" w:beforeAutospacing="0" w:after="0" w:afterAutospacing="0" w:line="360" w:lineRule="auto"/>
              <w:ind w:left="0" w:right="-210" w:rightChars="-100"/>
              <w:rPr>
                <w:rFonts w:hint="default" w:ascii="仿宋" w:hAnsi="仿宋" w:eastAsia="仿宋" w:cs="仿宋"/>
                <w:color w:val="auto"/>
                <w:sz w:val="24"/>
                <w:highlight w:val="none"/>
              </w:rPr>
            </w:pPr>
            <w:r>
              <w:rPr>
                <w:rFonts w:hint="eastAsia" w:ascii="仿宋" w:hAnsi="仿宋" w:eastAsia="仿宋" w:cs="仿宋"/>
                <w:color w:val="auto"/>
                <w:sz w:val="24"/>
                <w:highlight w:val="none"/>
                <w:lang w:val="zh-CN"/>
              </w:rPr>
              <w:t>开户名称：</w:t>
            </w:r>
          </w:p>
        </w:tc>
      </w:tr>
      <w:tr w14:paraId="156885FB">
        <w:tblPrEx>
          <w:tblCellMar>
            <w:top w:w="0" w:type="dxa"/>
            <w:left w:w="108" w:type="dxa"/>
            <w:bottom w:w="0" w:type="dxa"/>
            <w:right w:w="108" w:type="dxa"/>
          </w:tblCellMar>
        </w:tblPrEx>
        <w:trPr>
          <w:trHeight w:val="490" w:hRule="atLeast"/>
        </w:trPr>
        <w:tc>
          <w:tcPr>
            <w:tcW w:w="4710" w:type="dxa"/>
            <w:noWrap w:val="0"/>
            <w:vAlign w:val="top"/>
          </w:tcPr>
          <w:p w14:paraId="15A42FF3">
            <w:pPr>
              <w:keepNext w:val="0"/>
              <w:keepLines w:val="0"/>
              <w:suppressLineNumbers w:val="0"/>
              <w:autoSpaceDE w:val="0"/>
              <w:autoSpaceDN w:val="0"/>
              <w:adjustRightInd w:val="0"/>
              <w:snapToGrid w:val="0"/>
              <w:spacing w:before="0" w:beforeAutospacing="0" w:after="120" w:afterAutospacing="0" w:line="360" w:lineRule="auto"/>
              <w:ind w:left="0" w:right="-210" w:rightChars="-100"/>
              <w:outlineLvl w:val="1"/>
              <w:rPr>
                <w:rFonts w:hint="default" w:ascii="仿宋" w:hAnsi="仿宋" w:eastAsia="仿宋" w:cs="仿宋"/>
                <w:b/>
                <w:color w:val="auto"/>
                <w:sz w:val="24"/>
                <w:highlight w:val="none"/>
              </w:rPr>
            </w:pPr>
            <w:bookmarkStart w:id="361" w:name="_Toc254"/>
            <w:bookmarkStart w:id="362" w:name="_Toc134805678"/>
            <w:bookmarkStart w:id="363" w:name="_Toc28730"/>
            <w:bookmarkStart w:id="364" w:name="_Toc26835"/>
            <w:bookmarkStart w:id="365" w:name="_Toc5918"/>
            <w:bookmarkStart w:id="366" w:name="_Toc116141173"/>
            <w:bookmarkStart w:id="367" w:name="_Toc116141348"/>
            <w:bookmarkStart w:id="368" w:name="_Toc116199142"/>
            <w:bookmarkStart w:id="369" w:name="_Toc10696"/>
            <w:bookmarkStart w:id="370" w:name="_Toc17314"/>
            <w:r>
              <w:rPr>
                <w:rFonts w:hint="eastAsia" w:ascii="仿宋" w:hAnsi="仿宋" w:eastAsia="仿宋" w:cs="仿宋"/>
                <w:color w:val="auto"/>
                <w:sz w:val="24"/>
                <w:highlight w:val="none"/>
              </w:rPr>
              <w:t>开户账号：/</w:t>
            </w:r>
            <w:bookmarkEnd w:id="361"/>
            <w:bookmarkEnd w:id="362"/>
            <w:bookmarkEnd w:id="363"/>
            <w:bookmarkEnd w:id="364"/>
            <w:bookmarkEnd w:id="365"/>
            <w:bookmarkEnd w:id="366"/>
            <w:bookmarkEnd w:id="367"/>
            <w:bookmarkEnd w:id="368"/>
            <w:bookmarkEnd w:id="369"/>
            <w:bookmarkEnd w:id="370"/>
          </w:p>
        </w:tc>
        <w:tc>
          <w:tcPr>
            <w:tcW w:w="5719" w:type="dxa"/>
            <w:noWrap w:val="0"/>
            <w:vAlign w:val="top"/>
          </w:tcPr>
          <w:p w14:paraId="4C02FE2E">
            <w:pPr>
              <w:keepNext w:val="0"/>
              <w:keepLines w:val="0"/>
              <w:suppressLineNumbers w:val="0"/>
              <w:autoSpaceDE w:val="0"/>
              <w:autoSpaceDN w:val="0"/>
              <w:adjustRightInd w:val="0"/>
              <w:snapToGrid w:val="0"/>
              <w:spacing w:before="0" w:beforeAutospacing="0" w:after="120" w:afterAutospacing="0" w:line="360" w:lineRule="auto"/>
              <w:ind w:left="0" w:right="-210" w:rightChars="-100"/>
              <w:outlineLvl w:val="1"/>
              <w:rPr>
                <w:rFonts w:hint="default" w:ascii="仿宋" w:hAnsi="仿宋" w:eastAsia="仿宋" w:cs="仿宋"/>
                <w:color w:val="auto"/>
                <w:sz w:val="24"/>
                <w:highlight w:val="none"/>
              </w:rPr>
            </w:pPr>
            <w:bookmarkStart w:id="371" w:name="_Toc134805679"/>
            <w:bookmarkStart w:id="372" w:name="_Toc1965"/>
            <w:bookmarkStart w:id="373" w:name="_Toc1703"/>
            <w:bookmarkStart w:id="374" w:name="_Toc20083"/>
            <w:bookmarkStart w:id="375" w:name="_Toc4635"/>
            <w:bookmarkStart w:id="376" w:name="_Toc24856"/>
            <w:bookmarkStart w:id="377" w:name="_Toc4900"/>
            <w:r>
              <w:rPr>
                <w:rFonts w:hint="eastAsia" w:ascii="仿宋" w:hAnsi="仿宋" w:eastAsia="仿宋" w:cs="仿宋"/>
                <w:color w:val="auto"/>
                <w:sz w:val="24"/>
                <w:highlight w:val="none"/>
                <w:lang w:val="zh-CN"/>
              </w:rPr>
              <w:t>开户账号：</w:t>
            </w:r>
            <w:bookmarkEnd w:id="371"/>
            <w:bookmarkEnd w:id="372"/>
            <w:bookmarkEnd w:id="373"/>
            <w:bookmarkEnd w:id="374"/>
            <w:bookmarkEnd w:id="375"/>
            <w:bookmarkEnd w:id="376"/>
            <w:bookmarkEnd w:id="377"/>
          </w:p>
        </w:tc>
      </w:tr>
    </w:tbl>
    <w:p w14:paraId="42964836">
      <w:pPr>
        <w:spacing w:line="360" w:lineRule="auto"/>
        <w:ind w:firstLine="200"/>
        <w:jc w:val="center"/>
        <w:outlineLvl w:val="0"/>
        <w:rPr>
          <w:rFonts w:hint="eastAsia" w:ascii="仿宋_GB2312" w:hAnsi="楷体" w:eastAsia="仿宋_GB2312"/>
          <w:b/>
          <w:color w:val="auto"/>
          <w:sz w:val="28"/>
          <w:szCs w:val="28"/>
          <w:highlight w:val="none"/>
        </w:rPr>
      </w:pPr>
      <w:r>
        <w:rPr>
          <w:rFonts w:hint="eastAsia" w:ascii="仿宋_GB2312" w:hAnsi="楷体" w:eastAsia="仿宋_GB2312"/>
          <w:b/>
          <w:color w:val="auto"/>
          <w:highlight w:val="none"/>
        </w:rPr>
        <w:br w:type="page"/>
      </w:r>
      <w:bookmarkStart w:id="378" w:name="_Toc331685783"/>
      <w:bookmarkStart w:id="379" w:name="_Toc5299"/>
      <w:bookmarkStart w:id="380" w:name="_Toc27744"/>
      <w:r>
        <w:rPr>
          <w:rFonts w:hint="eastAsia" w:ascii="仿宋_GB2312" w:hAnsi="楷体" w:eastAsia="仿宋_GB2312"/>
          <w:b/>
          <w:color w:val="auto"/>
          <w:sz w:val="28"/>
          <w:szCs w:val="28"/>
          <w:highlight w:val="none"/>
        </w:rPr>
        <w:t>第二部分 合同一般条款</w:t>
      </w:r>
      <w:bookmarkEnd w:id="378"/>
      <w:bookmarkEnd w:id="379"/>
      <w:bookmarkEnd w:id="380"/>
    </w:p>
    <w:p w14:paraId="0A9816C1">
      <w:pPr>
        <w:spacing w:line="360" w:lineRule="auto"/>
        <w:ind w:firstLine="482" w:firstLineChars="200"/>
        <w:outlineLvl w:val="1"/>
        <w:rPr>
          <w:rFonts w:hint="eastAsia" w:ascii="仿宋_GB2312" w:hAnsi="楷体" w:eastAsia="仿宋_GB2312"/>
          <w:b/>
          <w:color w:val="auto"/>
          <w:sz w:val="24"/>
          <w:highlight w:val="none"/>
        </w:rPr>
      </w:pPr>
      <w:bookmarkStart w:id="381" w:name="_Ref467378499"/>
      <w:bookmarkStart w:id="382" w:name="_Ref467379101"/>
      <w:bookmarkStart w:id="383" w:name="_Toc259093669"/>
      <w:bookmarkStart w:id="384" w:name="_Ref467378463"/>
      <w:bookmarkStart w:id="385" w:name="_Toc19614"/>
      <w:bookmarkStart w:id="386" w:name="_Ref467378404"/>
      <w:bookmarkStart w:id="387" w:name="_Ref467379195"/>
      <w:bookmarkStart w:id="388" w:name="_Toc487900349"/>
      <w:bookmarkStart w:id="389" w:name="_Toc279701240"/>
      <w:bookmarkStart w:id="390" w:name="_Ref467379094"/>
      <w:bookmarkStart w:id="391" w:name="_Toc9360"/>
      <w:bookmarkStart w:id="392" w:name="_Toc20612"/>
      <w:bookmarkStart w:id="393" w:name="_Toc16917"/>
      <w:bookmarkStart w:id="394" w:name="_Ref467379109"/>
      <w:bookmarkStart w:id="395" w:name="_Ref467379214"/>
      <w:bookmarkStart w:id="396" w:name="_Ref467379225"/>
      <w:bookmarkStart w:id="397" w:name="_Ref467379205"/>
      <w:bookmarkStart w:id="398" w:name="_Toc28763"/>
      <w:r>
        <w:rPr>
          <w:rFonts w:hint="eastAsia" w:ascii="仿宋_GB2312" w:hAnsi="楷体" w:eastAsia="仿宋_GB2312"/>
          <w:b/>
          <w:color w:val="auto"/>
          <w:sz w:val="24"/>
          <w:highlight w:val="none"/>
        </w:rPr>
        <w:t>2.1 定义</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 w14:paraId="661D483B">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本合同中的下列词语应按以下内容进行解释：</w:t>
      </w:r>
    </w:p>
    <w:p w14:paraId="64941A41">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2.1.1 “合同”系指采购人和中标人签订的载明双方当事人所达成的协议，并包括所有的附件、附录和构成合同的其他文件。</w:t>
      </w:r>
    </w:p>
    <w:p w14:paraId="6153068F">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2.1.2 “合同价”系指根据合同约定，中标人在完全履行合同义务后，采购人应支付给中标人的价格。</w:t>
      </w:r>
    </w:p>
    <w:p w14:paraId="6D5EBB58">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2.1.3 “标的物”系指中标人根据合同约定应向采购人交付的一切各种形态和种类的货物、服务和工程，包括但不限于原材料、燃料、设备、机械、仪表、备件、计算机软件、信息化系统、信息化维保、物业服务、产品等，并包括工具、手册等其他相关资料。</w:t>
      </w:r>
    </w:p>
    <w:p w14:paraId="295807BB">
      <w:pPr>
        <w:spacing w:line="360" w:lineRule="auto"/>
        <w:ind w:firstLine="480" w:firstLineChars="200"/>
        <w:rPr>
          <w:rFonts w:hint="eastAsia" w:ascii="仿宋_GB2312" w:hAnsi="楷体" w:eastAsia="仿宋_GB2312"/>
          <w:color w:val="auto"/>
          <w:sz w:val="24"/>
          <w:highlight w:val="none"/>
        </w:rPr>
      </w:pPr>
      <w:bookmarkStart w:id="399" w:name="_Ref467378840"/>
      <w:r>
        <w:rPr>
          <w:rFonts w:hint="eastAsia" w:ascii="仿宋_GB2312" w:hAnsi="楷体" w:eastAsia="仿宋_GB2312"/>
          <w:color w:val="auto"/>
          <w:sz w:val="24"/>
          <w:highlight w:val="none"/>
        </w:rPr>
        <w:t>2.1.4 “甲方”系指与中标人签署合同的采购人</w:t>
      </w:r>
      <w:bookmarkEnd w:id="399"/>
      <w:r>
        <w:rPr>
          <w:rFonts w:hint="eastAsia" w:ascii="仿宋_GB2312" w:hAnsi="楷体" w:eastAsia="仿宋_GB2312"/>
          <w:color w:val="auto"/>
          <w:sz w:val="24"/>
          <w:highlight w:val="none"/>
        </w:rPr>
        <w:t>；采购人委托采购机构代表其与乙方签订合同的，采购人的授权委托书作为合同附件。</w:t>
      </w:r>
    </w:p>
    <w:p w14:paraId="6CAAC885">
      <w:pPr>
        <w:spacing w:line="360" w:lineRule="auto"/>
        <w:ind w:firstLine="480" w:firstLineChars="200"/>
        <w:rPr>
          <w:rFonts w:hint="eastAsia" w:ascii="仿宋_GB2312" w:hAnsi="楷体" w:eastAsia="仿宋_GB2312"/>
          <w:color w:val="auto"/>
          <w:sz w:val="24"/>
          <w:highlight w:val="none"/>
        </w:rPr>
      </w:pPr>
      <w:bookmarkStart w:id="400" w:name="_Ref467379400"/>
      <w:r>
        <w:rPr>
          <w:rFonts w:hint="eastAsia" w:ascii="仿宋_GB2312" w:hAnsi="楷体" w:eastAsia="仿宋_GB2312"/>
          <w:color w:val="auto"/>
          <w:sz w:val="24"/>
          <w:highlight w:val="none"/>
        </w:rPr>
        <w:t>2.1.5 “乙方”系指根据合同约定交付标的物的</w:t>
      </w:r>
      <w:bookmarkEnd w:id="400"/>
      <w:r>
        <w:rPr>
          <w:rFonts w:hint="eastAsia" w:ascii="仿宋_GB2312" w:hAnsi="楷体" w:eastAsia="仿宋_GB2312"/>
          <w:color w:val="auto"/>
          <w:sz w:val="24"/>
          <w:highlight w:val="none"/>
        </w:rPr>
        <w:t>中标人；两个以上的自然人、法人或者其他组织组成一个联合体，以一个供应商的身份共同参加政府采购的，联合体各方均应为乙方或者与乙方相同地位的合同当事人，并就合同约定的事项对甲方承担连带责任。</w:t>
      </w:r>
    </w:p>
    <w:p w14:paraId="44598868">
      <w:pPr>
        <w:spacing w:line="360" w:lineRule="auto"/>
        <w:ind w:firstLine="480" w:firstLineChars="200"/>
        <w:rPr>
          <w:rFonts w:hint="eastAsia" w:ascii="仿宋_GB2312" w:hAnsi="楷体" w:eastAsia="仿宋_GB2312"/>
          <w:color w:val="auto"/>
          <w:sz w:val="24"/>
          <w:highlight w:val="none"/>
        </w:rPr>
      </w:pPr>
      <w:bookmarkStart w:id="401" w:name="_Ref467379436"/>
      <w:r>
        <w:rPr>
          <w:rFonts w:hint="eastAsia" w:ascii="仿宋_GB2312" w:hAnsi="楷体" w:eastAsia="仿宋_GB2312"/>
          <w:color w:val="auto"/>
          <w:sz w:val="24"/>
          <w:highlight w:val="none"/>
        </w:rPr>
        <w:t>2.1.6 “现场”系指合同约定标的物将要运至或者实施或者安装的地点。</w:t>
      </w:r>
      <w:bookmarkEnd w:id="401"/>
    </w:p>
    <w:p w14:paraId="2F2F5DC7">
      <w:pPr>
        <w:spacing w:line="360" w:lineRule="auto"/>
        <w:ind w:firstLine="482" w:firstLineChars="200"/>
        <w:outlineLvl w:val="1"/>
        <w:rPr>
          <w:rFonts w:hint="eastAsia" w:ascii="仿宋_GB2312" w:hAnsi="楷体" w:eastAsia="仿宋_GB2312"/>
          <w:b/>
          <w:color w:val="auto"/>
          <w:sz w:val="24"/>
          <w:highlight w:val="none"/>
        </w:rPr>
      </w:pPr>
      <w:bookmarkStart w:id="402" w:name="_Toc5255"/>
      <w:bookmarkStart w:id="403" w:name="_Toc259093670"/>
      <w:bookmarkStart w:id="404" w:name="_Toc279701241"/>
      <w:bookmarkStart w:id="405" w:name="_Toc32504"/>
      <w:bookmarkStart w:id="406" w:name="_Toc487900350"/>
      <w:bookmarkStart w:id="407" w:name="_Toc20338"/>
      <w:bookmarkStart w:id="408" w:name="_Toc13336"/>
      <w:bookmarkStart w:id="409" w:name="_Toc27635"/>
      <w:r>
        <w:rPr>
          <w:rFonts w:hint="eastAsia" w:ascii="仿宋_GB2312" w:hAnsi="楷体" w:eastAsia="仿宋_GB2312"/>
          <w:b/>
          <w:color w:val="auto"/>
          <w:sz w:val="24"/>
          <w:highlight w:val="none"/>
        </w:rPr>
        <w:t>2.2 技术规范</w:t>
      </w:r>
      <w:bookmarkEnd w:id="402"/>
      <w:bookmarkEnd w:id="403"/>
      <w:bookmarkEnd w:id="404"/>
      <w:bookmarkEnd w:id="405"/>
      <w:bookmarkEnd w:id="406"/>
      <w:bookmarkEnd w:id="407"/>
      <w:bookmarkEnd w:id="408"/>
      <w:bookmarkEnd w:id="409"/>
    </w:p>
    <w:p w14:paraId="07BEDA92">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17755081">
      <w:pPr>
        <w:spacing w:line="360" w:lineRule="auto"/>
        <w:ind w:firstLine="482" w:firstLineChars="200"/>
        <w:outlineLvl w:val="1"/>
        <w:rPr>
          <w:rFonts w:hint="eastAsia" w:ascii="仿宋_GB2312" w:hAnsi="楷体" w:eastAsia="仿宋_GB2312"/>
          <w:b/>
          <w:color w:val="auto"/>
          <w:sz w:val="24"/>
          <w:highlight w:val="none"/>
        </w:rPr>
      </w:pPr>
      <w:bookmarkStart w:id="410" w:name="_Toc279701242"/>
      <w:bookmarkStart w:id="411" w:name="_Toc31634"/>
      <w:bookmarkStart w:id="412" w:name="_Toc9829"/>
      <w:bookmarkStart w:id="413" w:name="_Toc259093671"/>
      <w:bookmarkStart w:id="414" w:name="_Toc25657"/>
      <w:bookmarkStart w:id="415" w:name="_Toc487900351"/>
      <w:bookmarkStart w:id="416" w:name="_Toc27853"/>
      <w:bookmarkStart w:id="417" w:name="_Toc11897"/>
      <w:r>
        <w:rPr>
          <w:rFonts w:hint="eastAsia" w:ascii="仿宋_GB2312" w:hAnsi="楷体" w:eastAsia="仿宋_GB2312"/>
          <w:b/>
          <w:color w:val="auto"/>
          <w:sz w:val="24"/>
          <w:highlight w:val="none"/>
        </w:rPr>
        <w:t>2.3 知识产权</w:t>
      </w:r>
      <w:bookmarkEnd w:id="410"/>
      <w:bookmarkEnd w:id="411"/>
      <w:bookmarkEnd w:id="412"/>
      <w:bookmarkEnd w:id="413"/>
      <w:bookmarkEnd w:id="414"/>
      <w:bookmarkEnd w:id="415"/>
      <w:bookmarkEnd w:id="416"/>
      <w:bookmarkEnd w:id="417"/>
    </w:p>
    <w:p w14:paraId="2CA460AC">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7F86BC2D">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2.3.2具有知识产权的计算机软件等标的物的知识产权归属，详见</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w:t>
      </w:r>
    </w:p>
    <w:p w14:paraId="03F56798">
      <w:pPr>
        <w:spacing w:line="360" w:lineRule="auto"/>
        <w:ind w:firstLine="482" w:firstLineChars="200"/>
        <w:outlineLvl w:val="1"/>
        <w:rPr>
          <w:rFonts w:hint="eastAsia" w:ascii="仿宋_GB2312" w:hAnsi="楷体" w:eastAsia="仿宋_GB2312"/>
          <w:b/>
          <w:color w:val="auto"/>
          <w:sz w:val="24"/>
          <w:highlight w:val="none"/>
        </w:rPr>
      </w:pPr>
      <w:bookmarkStart w:id="418" w:name="_Toc29149"/>
      <w:bookmarkStart w:id="419" w:name="_Toc11932"/>
      <w:bookmarkStart w:id="420" w:name="_Toc25892"/>
      <w:bookmarkStart w:id="421" w:name="_Toc4194"/>
      <w:bookmarkStart w:id="422" w:name="_Toc6865"/>
      <w:r>
        <w:rPr>
          <w:rFonts w:hint="eastAsia" w:ascii="仿宋_GB2312" w:hAnsi="楷体" w:eastAsia="仿宋_GB2312"/>
          <w:b/>
          <w:color w:val="auto"/>
          <w:sz w:val="24"/>
          <w:highlight w:val="none"/>
        </w:rPr>
        <w:t>2.4 包装和装运</w:t>
      </w:r>
      <w:bookmarkEnd w:id="418"/>
      <w:bookmarkEnd w:id="419"/>
      <w:bookmarkEnd w:id="420"/>
      <w:bookmarkEnd w:id="421"/>
      <w:bookmarkEnd w:id="422"/>
    </w:p>
    <w:p w14:paraId="098EFD4D">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2.4.1除</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15AED9C2">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2.4.2 装运标的物的要求和通知，详见</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w:t>
      </w:r>
    </w:p>
    <w:p w14:paraId="18DBE92F">
      <w:pPr>
        <w:spacing w:line="360" w:lineRule="auto"/>
        <w:ind w:firstLine="482" w:firstLineChars="200"/>
        <w:outlineLvl w:val="1"/>
        <w:rPr>
          <w:rFonts w:hint="eastAsia" w:ascii="仿宋_GB2312" w:hAnsi="楷体" w:eastAsia="仿宋_GB2312"/>
          <w:b/>
          <w:color w:val="auto"/>
          <w:sz w:val="24"/>
          <w:highlight w:val="none"/>
        </w:rPr>
      </w:pPr>
      <w:bookmarkStart w:id="423" w:name="_Toc279701245"/>
      <w:bookmarkStart w:id="424" w:name="_Ref467379542"/>
      <w:bookmarkStart w:id="425" w:name="_Toc487900354"/>
      <w:bookmarkStart w:id="426" w:name="_Toc259093674"/>
      <w:bookmarkStart w:id="427" w:name="_Ref467379527"/>
      <w:bookmarkStart w:id="428" w:name="_Ref467378541"/>
      <w:bookmarkStart w:id="429" w:name="_Ref467379536"/>
      <w:bookmarkStart w:id="430" w:name="_Ref467378591"/>
      <w:bookmarkStart w:id="431" w:name="_Toc20562"/>
      <w:bookmarkStart w:id="432" w:name="_Toc30272"/>
      <w:bookmarkStart w:id="433" w:name="_Toc19074"/>
      <w:bookmarkStart w:id="434" w:name="_Toc14515"/>
      <w:bookmarkStart w:id="435" w:name="_Toc26182"/>
      <w:r>
        <w:rPr>
          <w:rFonts w:hint="eastAsia" w:ascii="仿宋_GB2312" w:hAnsi="楷体" w:eastAsia="仿宋_GB2312"/>
          <w:b/>
          <w:color w:val="auto"/>
          <w:sz w:val="24"/>
          <w:highlight w:val="none"/>
        </w:rPr>
        <w:t>2.</w:t>
      </w:r>
      <w:bookmarkEnd w:id="423"/>
      <w:bookmarkEnd w:id="424"/>
      <w:bookmarkEnd w:id="425"/>
      <w:bookmarkEnd w:id="426"/>
      <w:bookmarkEnd w:id="427"/>
      <w:bookmarkEnd w:id="428"/>
      <w:bookmarkEnd w:id="429"/>
      <w:bookmarkEnd w:id="430"/>
      <w:r>
        <w:rPr>
          <w:rFonts w:hint="eastAsia" w:ascii="仿宋_GB2312" w:hAnsi="楷体" w:eastAsia="仿宋_GB2312"/>
          <w:b/>
          <w:color w:val="auto"/>
          <w:sz w:val="24"/>
          <w:highlight w:val="none"/>
        </w:rPr>
        <w:t>5 履约检查和问题反馈</w:t>
      </w:r>
      <w:bookmarkEnd w:id="431"/>
      <w:bookmarkEnd w:id="432"/>
      <w:bookmarkEnd w:id="433"/>
      <w:bookmarkEnd w:id="434"/>
      <w:bookmarkEnd w:id="435"/>
    </w:p>
    <w:p w14:paraId="499D7BA3">
      <w:pPr>
        <w:spacing w:line="360" w:lineRule="auto"/>
        <w:ind w:firstLine="480" w:firstLineChars="200"/>
        <w:rPr>
          <w:rFonts w:hint="eastAsia" w:ascii="仿宋_GB2312" w:hAnsi="楷体" w:eastAsia="仿宋_GB2312"/>
          <w:color w:val="auto"/>
          <w:sz w:val="24"/>
          <w:highlight w:val="none"/>
        </w:rPr>
      </w:pPr>
      <w:bookmarkStart w:id="436" w:name="_Ref467379657"/>
      <w:r>
        <w:rPr>
          <w:rFonts w:hint="eastAsia" w:ascii="仿宋_GB2312" w:hAnsi="楷体" w:eastAsia="仿宋_GB2312"/>
          <w:color w:val="auto"/>
          <w:sz w:val="24"/>
          <w:highlight w:val="none"/>
        </w:rPr>
        <w:t>2.5.1</w:t>
      </w:r>
      <w:bookmarkEnd w:id="436"/>
      <w:bookmarkStart w:id="437" w:name="_Toc186431854"/>
      <w:bookmarkStart w:id="438" w:name="_Toc487900357"/>
      <w:bookmarkStart w:id="439" w:name="_Ref467379793"/>
      <w:bookmarkStart w:id="440" w:name="_Toc279701247"/>
      <w:bookmarkStart w:id="441" w:name="_Ref467379807"/>
      <w:bookmarkStart w:id="442" w:name="_Toc259093676"/>
      <w:r>
        <w:rPr>
          <w:rFonts w:hint="eastAsia" w:ascii="仿宋_GB2312" w:hAnsi="楷体" w:eastAsia="仿宋_GB2312"/>
          <w:color w:val="auto"/>
          <w:sz w:val="24"/>
          <w:highlight w:val="none"/>
        </w:rPr>
        <w:t>甲方有权在其认为必要时，对乙方是否能够按照合同约定交付标的物进行履约检查，以确保乙方所交付的标的物能够依约满足甲方之项目需求，但不得因履约检查妨碍乙方的正常工作，乙方应予积极配合；</w:t>
      </w:r>
    </w:p>
    <w:p w14:paraId="6AE995E5">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2.5.2 合同履行期间，甲方有权将履行过程中出现的问题反馈给乙方，双方当事人应以书面形式约定需要完善和改进的内容</w:t>
      </w:r>
      <w:bookmarkEnd w:id="437"/>
      <w:bookmarkStart w:id="443" w:name="_Toc186431855"/>
      <w:r>
        <w:rPr>
          <w:rFonts w:hint="eastAsia" w:ascii="仿宋_GB2312" w:hAnsi="楷体" w:eastAsia="仿宋_GB2312"/>
          <w:color w:val="auto"/>
          <w:sz w:val="24"/>
          <w:highlight w:val="none"/>
        </w:rPr>
        <w:t>。</w:t>
      </w:r>
    </w:p>
    <w:bookmarkEnd w:id="443"/>
    <w:p w14:paraId="07C8DBD7">
      <w:pPr>
        <w:spacing w:line="360" w:lineRule="auto"/>
        <w:ind w:firstLine="482" w:firstLineChars="200"/>
        <w:outlineLvl w:val="1"/>
        <w:rPr>
          <w:rFonts w:hint="eastAsia" w:ascii="仿宋_GB2312" w:hAnsi="楷体" w:eastAsia="仿宋_GB2312"/>
          <w:b/>
          <w:color w:val="auto"/>
          <w:sz w:val="24"/>
          <w:highlight w:val="none"/>
        </w:rPr>
      </w:pPr>
      <w:bookmarkStart w:id="444" w:name="_Toc486"/>
      <w:bookmarkStart w:id="445" w:name="_Toc19219"/>
      <w:bookmarkStart w:id="446" w:name="_Toc16895"/>
      <w:bookmarkStart w:id="447" w:name="_Toc28451"/>
      <w:bookmarkStart w:id="448" w:name="_Toc7836"/>
      <w:r>
        <w:rPr>
          <w:rFonts w:hint="eastAsia" w:ascii="仿宋_GB2312" w:hAnsi="楷体" w:eastAsia="仿宋_GB2312"/>
          <w:b/>
          <w:color w:val="auto"/>
          <w:sz w:val="24"/>
          <w:highlight w:val="none"/>
        </w:rPr>
        <w:t>2.6 结算方式和付款条件</w:t>
      </w:r>
      <w:bookmarkEnd w:id="438"/>
      <w:bookmarkEnd w:id="439"/>
      <w:bookmarkEnd w:id="440"/>
      <w:bookmarkEnd w:id="441"/>
      <w:bookmarkEnd w:id="442"/>
      <w:bookmarkEnd w:id="444"/>
      <w:bookmarkEnd w:id="445"/>
      <w:bookmarkEnd w:id="446"/>
      <w:bookmarkEnd w:id="447"/>
      <w:bookmarkEnd w:id="448"/>
    </w:p>
    <w:p w14:paraId="4392CCC6">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详见</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w:t>
      </w:r>
    </w:p>
    <w:p w14:paraId="2B4DE21B">
      <w:pPr>
        <w:spacing w:line="360" w:lineRule="auto"/>
        <w:ind w:firstLine="482" w:firstLineChars="200"/>
        <w:outlineLvl w:val="1"/>
        <w:rPr>
          <w:rFonts w:hint="eastAsia" w:ascii="仿宋_GB2312" w:hAnsi="楷体" w:eastAsia="仿宋_GB2312"/>
          <w:b/>
          <w:color w:val="auto"/>
          <w:sz w:val="24"/>
          <w:highlight w:val="none"/>
        </w:rPr>
      </w:pPr>
      <w:bookmarkStart w:id="449" w:name="_Ref467379852"/>
      <w:bookmarkStart w:id="450" w:name="_Toc487900358"/>
      <w:bookmarkStart w:id="451" w:name="_Toc279701248"/>
      <w:bookmarkStart w:id="452" w:name="_Toc259093677"/>
      <w:bookmarkStart w:id="453" w:name="_Ref467379923"/>
      <w:bookmarkStart w:id="454" w:name="_Ref467379863"/>
      <w:bookmarkStart w:id="455" w:name="_Toc774"/>
      <w:bookmarkStart w:id="456" w:name="_Toc3225"/>
      <w:bookmarkStart w:id="457" w:name="_Toc16110"/>
      <w:bookmarkStart w:id="458" w:name="_Toc29119"/>
      <w:bookmarkStart w:id="459" w:name="_Toc17774"/>
      <w:r>
        <w:rPr>
          <w:rFonts w:hint="eastAsia" w:ascii="仿宋_GB2312" w:hAnsi="楷体" w:eastAsia="仿宋_GB2312"/>
          <w:b/>
          <w:color w:val="auto"/>
          <w:sz w:val="24"/>
          <w:highlight w:val="none"/>
        </w:rPr>
        <w:t>2.7 技术资料</w:t>
      </w:r>
      <w:bookmarkEnd w:id="449"/>
      <w:bookmarkEnd w:id="450"/>
      <w:bookmarkEnd w:id="451"/>
      <w:bookmarkEnd w:id="452"/>
      <w:bookmarkEnd w:id="453"/>
      <w:bookmarkEnd w:id="454"/>
      <w:r>
        <w:rPr>
          <w:rFonts w:hint="eastAsia" w:ascii="仿宋_GB2312" w:hAnsi="楷体" w:eastAsia="仿宋_GB2312"/>
          <w:b/>
          <w:color w:val="auto"/>
          <w:sz w:val="24"/>
          <w:highlight w:val="none"/>
        </w:rPr>
        <w:t>和保密义务</w:t>
      </w:r>
      <w:bookmarkEnd w:id="455"/>
      <w:bookmarkEnd w:id="456"/>
      <w:bookmarkEnd w:id="457"/>
      <w:bookmarkEnd w:id="458"/>
      <w:bookmarkEnd w:id="459"/>
    </w:p>
    <w:p w14:paraId="5AFDD766">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2.7.1 乙方有权依据合同约定和项目需要，向甲方了解有关情况，调阅有关资料等，甲方应予积极配合；</w:t>
      </w:r>
    </w:p>
    <w:p w14:paraId="68FA8008">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2.7.2 乙方有义务妥善保管和保护由甲方提供的前款信息和资料等；</w:t>
      </w:r>
    </w:p>
    <w:p w14:paraId="736CA764">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48C88E76">
      <w:pPr>
        <w:spacing w:line="360" w:lineRule="auto"/>
        <w:ind w:firstLine="482" w:firstLineChars="200"/>
        <w:outlineLvl w:val="1"/>
        <w:rPr>
          <w:rFonts w:hint="eastAsia" w:ascii="仿宋_GB2312" w:hAnsi="楷体" w:eastAsia="仿宋_GB2312"/>
          <w:b/>
          <w:color w:val="auto"/>
          <w:sz w:val="24"/>
          <w:highlight w:val="none"/>
        </w:rPr>
      </w:pPr>
      <w:bookmarkStart w:id="460" w:name="_Toc7860"/>
      <w:bookmarkStart w:id="461" w:name="_Toc17561"/>
      <w:bookmarkStart w:id="462" w:name="_Toc15017"/>
      <w:r>
        <w:rPr>
          <w:rFonts w:hint="eastAsia" w:ascii="仿宋_GB2312" w:hAnsi="楷体" w:eastAsia="仿宋_GB2312"/>
          <w:b/>
          <w:color w:val="auto"/>
          <w:sz w:val="24"/>
          <w:highlight w:val="none"/>
        </w:rPr>
        <w:t>2.8 质量保证</w:t>
      </w:r>
      <w:bookmarkEnd w:id="460"/>
      <w:bookmarkEnd w:id="461"/>
      <w:bookmarkEnd w:id="462"/>
    </w:p>
    <w:p w14:paraId="195610F3">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2.8.1 乙方应建立和完善履行合同的内部质量保证体系，并提供相关内部规章制度给甲方，以便甲方进行监督检查；</w:t>
      </w:r>
    </w:p>
    <w:p w14:paraId="59BEDB5E">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2.8.2 乙方应保证履行合同的人员数量和素质、软件和硬件设备的配置、场地、环境和设施等满足全面履行合同的要求，并应接受甲方的监督检查。</w:t>
      </w:r>
    </w:p>
    <w:p w14:paraId="6091F443">
      <w:pPr>
        <w:spacing w:line="360" w:lineRule="auto"/>
        <w:ind w:firstLine="480" w:firstLineChars="200"/>
        <w:rPr>
          <w:rFonts w:hint="eastAsia" w:ascii="仿宋_GB2312" w:hAnsi="仿宋" w:eastAsia="仿宋_GB2312" w:cs="仿宋_GB2312"/>
          <w:color w:val="auto"/>
          <w:kern w:val="0"/>
          <w:sz w:val="24"/>
          <w:highlight w:val="none"/>
        </w:rPr>
      </w:pPr>
      <w:r>
        <w:rPr>
          <w:rFonts w:hint="eastAsia" w:ascii="仿宋_GB2312" w:hAnsi="仿宋" w:eastAsia="仿宋_GB2312"/>
          <w:color w:val="auto"/>
          <w:sz w:val="24"/>
          <w:highlight w:val="none"/>
        </w:rPr>
        <w:t>2.8.3乙方应确保项目技术人员的数量和水平与投标文件一致。未经甲方书面同意，乙方不得擅自更换投标文件中注明的项目经理和技术负责人。否则</w:t>
      </w:r>
      <w:r>
        <w:rPr>
          <w:rFonts w:hint="eastAsia" w:ascii="仿宋_GB2312" w:hAnsi="仿宋" w:eastAsia="仿宋_GB2312" w:cs="仿宋_GB2312"/>
          <w:color w:val="auto"/>
          <w:kern w:val="0"/>
          <w:sz w:val="24"/>
          <w:highlight w:val="none"/>
        </w:rPr>
        <w:t>甲方有权放弃或终止合同，并没收履约保证金。</w:t>
      </w:r>
    </w:p>
    <w:p w14:paraId="173F46D8">
      <w:pPr>
        <w:spacing w:line="360" w:lineRule="auto"/>
        <w:ind w:firstLine="480" w:firstLineChars="200"/>
        <w:rPr>
          <w:rFonts w:hint="eastAsia" w:ascii="仿宋_GB2312" w:hAnsi="楷体" w:eastAsia="仿宋_GB2312"/>
          <w:color w:val="auto"/>
          <w:sz w:val="24"/>
          <w:highlight w:val="none"/>
        </w:rPr>
      </w:pPr>
      <w:r>
        <w:rPr>
          <w:rFonts w:hint="eastAsia" w:ascii="仿宋_GB2312" w:hAnsi="仿宋" w:eastAsia="仿宋_GB2312"/>
          <w:color w:val="auto"/>
          <w:sz w:val="24"/>
          <w:highlight w:val="none"/>
        </w:rPr>
        <w:t>2.8.4因乙方原因造成甲方其他系统不能正常运行，酿成重大事故（工作日系统中断一天以上）的，乙方应承担全部法律责任，并赔偿经济损失，赔偿金额为项目总价的</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（根据项目实际情况填写，一般为30%）。</w:t>
      </w:r>
    </w:p>
    <w:p w14:paraId="240188C1">
      <w:pPr>
        <w:spacing w:line="360" w:lineRule="auto"/>
        <w:ind w:firstLine="482" w:firstLineChars="200"/>
        <w:outlineLvl w:val="1"/>
        <w:rPr>
          <w:rFonts w:hint="eastAsia" w:ascii="仿宋_GB2312" w:hAnsi="楷体" w:eastAsia="仿宋_GB2312"/>
          <w:b/>
          <w:color w:val="auto"/>
          <w:sz w:val="24"/>
          <w:highlight w:val="none"/>
        </w:rPr>
      </w:pPr>
      <w:bookmarkStart w:id="463" w:name="_Toc13413"/>
      <w:bookmarkStart w:id="464" w:name="_Toc25598"/>
      <w:bookmarkStart w:id="465" w:name="_Toc17244"/>
      <w:bookmarkStart w:id="466" w:name="_Toc487900362"/>
      <w:bookmarkStart w:id="467" w:name="_Toc279701252"/>
      <w:bookmarkStart w:id="468" w:name="_Toc259093681"/>
      <w:r>
        <w:rPr>
          <w:rFonts w:hint="eastAsia" w:ascii="仿宋_GB2312" w:hAnsi="楷体" w:eastAsia="仿宋_GB2312"/>
          <w:b/>
          <w:color w:val="auto"/>
          <w:sz w:val="24"/>
          <w:highlight w:val="none"/>
        </w:rPr>
        <w:t>2.9 标的物的风险负担</w:t>
      </w:r>
      <w:bookmarkEnd w:id="463"/>
      <w:bookmarkEnd w:id="464"/>
      <w:bookmarkEnd w:id="465"/>
    </w:p>
    <w:p w14:paraId="20AAAC35">
      <w:pPr>
        <w:spacing w:line="360" w:lineRule="auto"/>
        <w:ind w:firstLine="480" w:firstLineChars="200"/>
        <w:rPr>
          <w:rFonts w:hint="eastAsia" w:ascii="仿宋_GB2312" w:hAnsi="楷体" w:eastAsia="仿宋_GB2312"/>
          <w:b/>
          <w:color w:val="auto"/>
          <w:sz w:val="24"/>
          <w:highlight w:val="none"/>
        </w:rPr>
      </w:pPr>
      <w:r>
        <w:rPr>
          <w:rFonts w:hint="eastAsia" w:ascii="仿宋_GB2312" w:hAnsi="楷体" w:eastAsia="仿宋_GB2312"/>
          <w:color w:val="auto"/>
          <w:sz w:val="24"/>
          <w:highlight w:val="none"/>
        </w:rPr>
        <w:t>标的物或者在途标的物或者交付给第一承运人后的标的物毁损、灭失的风险负担详见</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w:t>
      </w:r>
    </w:p>
    <w:p w14:paraId="640ED07E">
      <w:pPr>
        <w:spacing w:line="360" w:lineRule="auto"/>
        <w:ind w:firstLine="482" w:firstLineChars="200"/>
        <w:outlineLvl w:val="1"/>
        <w:rPr>
          <w:rFonts w:hint="eastAsia" w:ascii="仿宋_GB2312" w:hAnsi="楷体" w:eastAsia="仿宋_GB2312"/>
          <w:b/>
          <w:color w:val="auto"/>
          <w:sz w:val="24"/>
          <w:highlight w:val="none"/>
        </w:rPr>
      </w:pPr>
      <w:bookmarkStart w:id="469" w:name="_Toc14055"/>
      <w:bookmarkStart w:id="470" w:name="_Toc13176"/>
      <w:bookmarkStart w:id="471" w:name="_Toc16396"/>
      <w:r>
        <w:rPr>
          <w:rFonts w:hint="eastAsia" w:ascii="仿宋_GB2312" w:hAnsi="楷体" w:eastAsia="仿宋_GB2312"/>
          <w:b/>
          <w:color w:val="auto"/>
          <w:sz w:val="24"/>
          <w:highlight w:val="none"/>
        </w:rPr>
        <w:t>2.10 延迟交货</w:t>
      </w:r>
      <w:bookmarkEnd w:id="466"/>
      <w:bookmarkEnd w:id="467"/>
      <w:bookmarkEnd w:id="468"/>
      <w:bookmarkEnd w:id="469"/>
      <w:r>
        <w:rPr>
          <w:rFonts w:hint="eastAsia" w:ascii="仿宋_GB2312" w:hAnsi="楷体" w:eastAsia="仿宋_GB2312"/>
          <w:b/>
          <w:color w:val="auto"/>
          <w:sz w:val="24"/>
          <w:highlight w:val="none"/>
        </w:rPr>
        <w:t>/交付</w:t>
      </w:r>
      <w:bookmarkEnd w:id="470"/>
      <w:bookmarkEnd w:id="471"/>
    </w:p>
    <w:p w14:paraId="370D8505">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34667957">
      <w:pPr>
        <w:spacing w:line="360" w:lineRule="auto"/>
        <w:ind w:firstLine="482" w:firstLineChars="200"/>
        <w:outlineLvl w:val="1"/>
        <w:rPr>
          <w:rFonts w:hint="eastAsia" w:ascii="仿宋_GB2312" w:hAnsi="楷体" w:eastAsia="仿宋_GB2312"/>
          <w:b/>
          <w:color w:val="auto"/>
          <w:sz w:val="24"/>
          <w:highlight w:val="none"/>
        </w:rPr>
      </w:pPr>
      <w:bookmarkStart w:id="472" w:name="_Toc25379"/>
      <w:bookmarkStart w:id="473" w:name="_Toc7054"/>
      <w:bookmarkStart w:id="474" w:name="_Toc7502"/>
      <w:bookmarkStart w:id="475" w:name="_Ref467378121"/>
      <w:bookmarkStart w:id="476" w:name="_Toc279701254"/>
      <w:bookmarkStart w:id="477" w:name="_Toc487900364"/>
      <w:bookmarkStart w:id="478" w:name="_Toc259093683"/>
      <w:r>
        <w:rPr>
          <w:rFonts w:hint="eastAsia" w:ascii="仿宋_GB2312" w:hAnsi="楷体" w:eastAsia="仿宋_GB2312"/>
          <w:b/>
          <w:color w:val="auto"/>
          <w:sz w:val="24"/>
          <w:highlight w:val="none"/>
        </w:rPr>
        <w:t>2.11 合同变更</w:t>
      </w:r>
      <w:bookmarkEnd w:id="472"/>
      <w:bookmarkEnd w:id="473"/>
      <w:bookmarkEnd w:id="474"/>
    </w:p>
    <w:p w14:paraId="1A064587">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1723D1FA">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2.11.2 合同继续履行将损害国家利益和社会公共利益的，双方当事人应当以书面形式变更合同。有过错的一方应当承担赔偿责任，双方当事人都有过错的，各自承担相应的责任。</w:t>
      </w:r>
      <w:bookmarkStart w:id="479" w:name="_Toc487900369"/>
      <w:bookmarkStart w:id="480" w:name="_Toc279701259"/>
      <w:bookmarkStart w:id="481" w:name="_Toc259093688"/>
    </w:p>
    <w:p w14:paraId="49CF5FC4">
      <w:pPr>
        <w:spacing w:line="360" w:lineRule="auto"/>
        <w:ind w:firstLine="482" w:firstLineChars="200"/>
        <w:outlineLvl w:val="1"/>
        <w:rPr>
          <w:rFonts w:hint="eastAsia" w:ascii="仿宋_GB2312" w:hAnsi="楷体" w:eastAsia="仿宋_GB2312"/>
          <w:b/>
          <w:color w:val="auto"/>
          <w:sz w:val="24"/>
          <w:highlight w:val="none"/>
        </w:rPr>
      </w:pPr>
      <w:bookmarkStart w:id="482" w:name="_Toc22955"/>
      <w:bookmarkStart w:id="483" w:name="_Toc10366"/>
      <w:bookmarkStart w:id="484" w:name="_Toc29937"/>
      <w:bookmarkStart w:id="485" w:name="_Toc15237"/>
      <w:bookmarkStart w:id="486" w:name="_Toc25130"/>
      <w:r>
        <w:rPr>
          <w:rFonts w:hint="eastAsia" w:ascii="仿宋_GB2312" w:hAnsi="楷体" w:eastAsia="仿宋_GB2312"/>
          <w:b/>
          <w:color w:val="auto"/>
          <w:sz w:val="24"/>
          <w:highlight w:val="none"/>
        </w:rPr>
        <w:t>2.12 合同转让</w:t>
      </w:r>
      <w:bookmarkEnd w:id="479"/>
      <w:bookmarkEnd w:id="480"/>
      <w:bookmarkEnd w:id="481"/>
      <w:r>
        <w:rPr>
          <w:rFonts w:hint="eastAsia" w:ascii="仿宋_GB2312" w:hAnsi="楷体" w:eastAsia="仿宋_GB2312"/>
          <w:b/>
          <w:color w:val="auto"/>
          <w:sz w:val="24"/>
          <w:highlight w:val="none"/>
        </w:rPr>
        <w:t>和分包</w:t>
      </w:r>
      <w:bookmarkEnd w:id="482"/>
      <w:bookmarkEnd w:id="483"/>
      <w:bookmarkEnd w:id="484"/>
      <w:bookmarkEnd w:id="485"/>
      <w:bookmarkEnd w:id="486"/>
    </w:p>
    <w:p w14:paraId="04549C63">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09BF4F53">
      <w:pPr>
        <w:spacing w:line="360" w:lineRule="auto"/>
        <w:ind w:firstLine="482" w:firstLineChars="200"/>
        <w:outlineLvl w:val="1"/>
        <w:rPr>
          <w:rFonts w:hint="eastAsia" w:ascii="仿宋_GB2312" w:hAnsi="楷体" w:eastAsia="仿宋_GB2312"/>
          <w:b/>
          <w:color w:val="auto"/>
          <w:sz w:val="24"/>
          <w:highlight w:val="none"/>
        </w:rPr>
      </w:pPr>
      <w:bookmarkStart w:id="487" w:name="_Toc16508"/>
      <w:bookmarkStart w:id="488" w:name="_Toc13383"/>
      <w:bookmarkStart w:id="489" w:name="_Toc14066"/>
      <w:bookmarkStart w:id="490" w:name="_Toc15582"/>
      <w:bookmarkStart w:id="491" w:name="_Toc13566"/>
      <w:r>
        <w:rPr>
          <w:rFonts w:hint="eastAsia" w:ascii="仿宋_GB2312" w:hAnsi="楷体" w:eastAsia="仿宋_GB2312"/>
          <w:b/>
          <w:color w:val="auto"/>
          <w:sz w:val="24"/>
          <w:highlight w:val="none"/>
        </w:rPr>
        <w:t>2.13 不可抗力</w:t>
      </w:r>
      <w:bookmarkEnd w:id="487"/>
      <w:bookmarkEnd w:id="488"/>
      <w:bookmarkEnd w:id="489"/>
      <w:bookmarkEnd w:id="490"/>
      <w:bookmarkEnd w:id="491"/>
    </w:p>
    <w:p w14:paraId="24E48B58">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2.13.1如果任何一方遭遇法律规定的不可抗力，致使合同履行受阻时，履行合同的期限应予延长，延长的期限应相当于不可抗力所影响的时间；</w:t>
      </w:r>
    </w:p>
    <w:p w14:paraId="44B3ED98">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2.13.2受不可抗力影响的一方在不可抗力发生后，应在</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约定时间内以书面形式通知对方当事人，并在</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约定时间内，将有关部门出具的证明文件送达对方当事人。</w:t>
      </w:r>
    </w:p>
    <w:p w14:paraId="1940A65A">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2.13.3 因不可抗力致使不能实现合同目的的，当事人可以解除合同；</w:t>
      </w:r>
    </w:p>
    <w:p w14:paraId="4900DF75">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2.13.4 因不可抗力致使合同有变更必要的，双方当事人应在</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约定时间内以书面形式变更合同；</w:t>
      </w:r>
    </w:p>
    <w:p w14:paraId="427A2F11">
      <w:pPr>
        <w:spacing w:line="360" w:lineRule="auto"/>
        <w:ind w:firstLine="482" w:firstLineChars="200"/>
        <w:outlineLvl w:val="1"/>
        <w:rPr>
          <w:rFonts w:hint="eastAsia" w:ascii="仿宋_GB2312" w:hAnsi="楷体" w:eastAsia="仿宋_GB2312"/>
          <w:b/>
          <w:color w:val="auto"/>
          <w:sz w:val="24"/>
          <w:highlight w:val="none"/>
        </w:rPr>
      </w:pPr>
      <w:bookmarkStart w:id="492" w:name="_Toc13138"/>
      <w:bookmarkStart w:id="493" w:name="_Toc487900365"/>
      <w:bookmarkStart w:id="494" w:name="_Toc259093684"/>
      <w:bookmarkStart w:id="495" w:name="_Toc279701255"/>
      <w:bookmarkStart w:id="496" w:name="_Toc6969"/>
      <w:bookmarkStart w:id="497" w:name="_Toc21108"/>
      <w:bookmarkStart w:id="498" w:name="_Toc689"/>
      <w:bookmarkStart w:id="499" w:name="_Toc30676"/>
      <w:r>
        <w:rPr>
          <w:rFonts w:hint="eastAsia" w:ascii="仿宋_GB2312" w:hAnsi="楷体" w:eastAsia="仿宋_GB2312"/>
          <w:b/>
          <w:color w:val="auto"/>
          <w:sz w:val="24"/>
          <w:highlight w:val="none"/>
        </w:rPr>
        <w:t>2.14 税费</w:t>
      </w:r>
      <w:bookmarkEnd w:id="492"/>
      <w:bookmarkEnd w:id="493"/>
      <w:bookmarkEnd w:id="494"/>
      <w:bookmarkEnd w:id="495"/>
      <w:bookmarkEnd w:id="496"/>
      <w:bookmarkEnd w:id="497"/>
      <w:bookmarkEnd w:id="498"/>
      <w:bookmarkEnd w:id="499"/>
    </w:p>
    <w:p w14:paraId="2A7E73C6">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与合同有关的一切税费，均按照中华人民共和国法律的相关规定执行。</w:t>
      </w:r>
    </w:p>
    <w:p w14:paraId="0CCF96F0">
      <w:pPr>
        <w:spacing w:line="360" w:lineRule="auto"/>
        <w:ind w:firstLine="482" w:firstLineChars="200"/>
        <w:outlineLvl w:val="1"/>
        <w:rPr>
          <w:rFonts w:hint="eastAsia" w:ascii="仿宋_GB2312" w:hAnsi="楷体" w:eastAsia="仿宋_GB2312"/>
          <w:b/>
          <w:color w:val="auto"/>
          <w:sz w:val="24"/>
          <w:highlight w:val="none"/>
        </w:rPr>
      </w:pPr>
      <w:bookmarkStart w:id="500" w:name="_Toc279701258"/>
      <w:bookmarkStart w:id="501" w:name="_Toc259093687"/>
      <w:bookmarkStart w:id="502" w:name="_Toc26445"/>
      <w:bookmarkStart w:id="503" w:name="_Toc16959"/>
      <w:bookmarkStart w:id="504" w:name="_Toc7102"/>
      <w:bookmarkStart w:id="505" w:name="_Toc487900368"/>
      <w:bookmarkStart w:id="506" w:name="_Toc8298"/>
      <w:bookmarkStart w:id="507" w:name="_Toc21111"/>
      <w:r>
        <w:rPr>
          <w:rFonts w:hint="eastAsia" w:ascii="仿宋_GB2312" w:hAnsi="楷体" w:eastAsia="仿宋_GB2312"/>
          <w:b/>
          <w:color w:val="auto"/>
          <w:sz w:val="24"/>
          <w:highlight w:val="none"/>
        </w:rPr>
        <w:t>2.15 乙方破产</w:t>
      </w:r>
      <w:bookmarkEnd w:id="500"/>
      <w:bookmarkEnd w:id="501"/>
      <w:bookmarkEnd w:id="502"/>
      <w:bookmarkEnd w:id="503"/>
      <w:bookmarkEnd w:id="504"/>
      <w:bookmarkEnd w:id="505"/>
      <w:bookmarkEnd w:id="506"/>
      <w:bookmarkEnd w:id="507"/>
    </w:p>
    <w:p w14:paraId="398AC1AB">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351AB7B">
      <w:pPr>
        <w:spacing w:line="360" w:lineRule="auto"/>
        <w:ind w:firstLine="482" w:firstLineChars="200"/>
        <w:outlineLvl w:val="1"/>
        <w:rPr>
          <w:rFonts w:hint="eastAsia" w:ascii="仿宋_GB2312" w:hAnsi="楷体" w:eastAsia="仿宋_GB2312"/>
          <w:b/>
          <w:color w:val="auto"/>
          <w:sz w:val="24"/>
          <w:highlight w:val="none"/>
        </w:rPr>
      </w:pPr>
      <w:bookmarkStart w:id="508" w:name="_Toc29333"/>
      <w:bookmarkStart w:id="509" w:name="_Toc3797"/>
      <w:bookmarkStart w:id="510" w:name="_Toc15387"/>
      <w:bookmarkStart w:id="511" w:name="_Toc27384"/>
      <w:bookmarkStart w:id="512" w:name="_Toc6134"/>
      <w:r>
        <w:rPr>
          <w:rFonts w:hint="eastAsia" w:ascii="仿宋_GB2312" w:hAnsi="楷体" w:eastAsia="仿宋_GB2312"/>
          <w:b/>
          <w:color w:val="auto"/>
          <w:sz w:val="24"/>
          <w:highlight w:val="none"/>
        </w:rPr>
        <w:t>2.16 合同中止、终止</w:t>
      </w:r>
      <w:bookmarkEnd w:id="508"/>
      <w:bookmarkEnd w:id="509"/>
      <w:bookmarkEnd w:id="510"/>
      <w:bookmarkEnd w:id="511"/>
      <w:bookmarkEnd w:id="512"/>
    </w:p>
    <w:p w14:paraId="6A5439D8">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2.16.1 双方当事人不得擅自中止或者终止合同；</w:t>
      </w:r>
    </w:p>
    <w:p w14:paraId="68332688">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2.16.2合同继续履行将损害国家利益和社会公共利益的，双方当事人应当中止或者终止合同。有过错的一方应当承担赔偿责任，双方当事人都有过错的，各自承担相应的责任。</w:t>
      </w:r>
    </w:p>
    <w:p w14:paraId="6D6FFE43">
      <w:pPr>
        <w:spacing w:line="360" w:lineRule="auto"/>
        <w:ind w:firstLine="482" w:firstLineChars="200"/>
        <w:outlineLvl w:val="1"/>
        <w:rPr>
          <w:rFonts w:hint="eastAsia" w:ascii="仿宋_GB2312" w:hAnsi="楷体" w:eastAsia="仿宋_GB2312"/>
          <w:b/>
          <w:color w:val="auto"/>
          <w:sz w:val="24"/>
          <w:highlight w:val="none"/>
        </w:rPr>
      </w:pPr>
      <w:bookmarkStart w:id="513" w:name="_Toc6596"/>
      <w:bookmarkStart w:id="514" w:name="_Toc2423"/>
      <w:bookmarkStart w:id="515" w:name="_Toc14563"/>
      <w:bookmarkStart w:id="516" w:name="_Toc1125"/>
      <w:bookmarkStart w:id="517" w:name="_Toc1883"/>
      <w:r>
        <w:rPr>
          <w:rFonts w:hint="eastAsia" w:ascii="仿宋_GB2312" w:hAnsi="楷体" w:eastAsia="仿宋_GB2312"/>
          <w:b/>
          <w:color w:val="auto"/>
          <w:sz w:val="24"/>
          <w:highlight w:val="none"/>
        </w:rPr>
        <w:t>2.17 检验和验收</w:t>
      </w:r>
      <w:bookmarkEnd w:id="513"/>
      <w:bookmarkEnd w:id="514"/>
      <w:bookmarkEnd w:id="515"/>
      <w:bookmarkEnd w:id="516"/>
      <w:bookmarkEnd w:id="517"/>
    </w:p>
    <w:p w14:paraId="28EFCEF8">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2.17.1标的物交付前，乙方应对标的物的质量、数量等方面进行详细、全面的检验，并向甲方出具证明标的物符合合同约定的文件；标的物交付时，乙方在</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约定时间内组织验收，并可依法邀请相关方参加，验收应出具验收书。</w:t>
      </w:r>
    </w:p>
    <w:p w14:paraId="1DAFE96E">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412C782D">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2.17.3 检验和验收标准、程序等具体内容以及前述验收书的效力详见</w:t>
      </w:r>
      <w:r>
        <w:rPr>
          <w:rFonts w:hint="eastAsia" w:ascii="仿宋_GB2312" w:hAnsi="楷体" w:eastAsia="仿宋_GB2312"/>
          <w:b/>
          <w:i/>
          <w:color w:val="auto"/>
          <w:sz w:val="24"/>
          <w:highlight w:val="none"/>
          <w:u w:val="single"/>
        </w:rPr>
        <w:t>合同专用条款</w:t>
      </w:r>
      <w:r>
        <w:rPr>
          <w:rFonts w:hint="eastAsia" w:ascii="仿宋_GB2312" w:hAnsi="楷体" w:eastAsia="仿宋_GB2312"/>
          <w:i/>
          <w:color w:val="auto"/>
          <w:sz w:val="24"/>
          <w:highlight w:val="none"/>
        </w:rPr>
        <w:t>。</w:t>
      </w:r>
    </w:p>
    <w:bookmarkEnd w:id="475"/>
    <w:bookmarkEnd w:id="476"/>
    <w:bookmarkEnd w:id="477"/>
    <w:bookmarkEnd w:id="478"/>
    <w:p w14:paraId="2E78FA9D">
      <w:pPr>
        <w:spacing w:line="360" w:lineRule="auto"/>
        <w:ind w:firstLine="482" w:firstLineChars="200"/>
        <w:outlineLvl w:val="1"/>
        <w:rPr>
          <w:rFonts w:hint="eastAsia" w:ascii="仿宋_GB2312" w:hAnsi="楷体" w:eastAsia="仿宋_GB2312"/>
          <w:b/>
          <w:color w:val="auto"/>
          <w:sz w:val="24"/>
          <w:highlight w:val="none"/>
        </w:rPr>
      </w:pPr>
      <w:bookmarkStart w:id="518" w:name="_Toc487900371"/>
      <w:bookmarkStart w:id="519" w:name="_Toc259093690"/>
      <w:bookmarkStart w:id="520" w:name="_Toc279701261"/>
      <w:bookmarkStart w:id="521" w:name="_Toc7059"/>
      <w:bookmarkStart w:id="522" w:name="_Toc26994"/>
      <w:bookmarkStart w:id="523" w:name="_Toc25182"/>
      <w:bookmarkStart w:id="524" w:name="_Toc19604"/>
      <w:bookmarkStart w:id="525" w:name="_Toc11284"/>
      <w:r>
        <w:rPr>
          <w:rFonts w:hint="eastAsia" w:ascii="仿宋_GB2312" w:hAnsi="楷体" w:eastAsia="仿宋_GB2312"/>
          <w:b/>
          <w:color w:val="auto"/>
          <w:sz w:val="24"/>
          <w:highlight w:val="none"/>
        </w:rPr>
        <w:t>2.18 通知</w:t>
      </w:r>
      <w:bookmarkEnd w:id="518"/>
      <w:bookmarkEnd w:id="519"/>
      <w:bookmarkEnd w:id="520"/>
      <w:r>
        <w:rPr>
          <w:rFonts w:hint="eastAsia" w:ascii="仿宋_GB2312" w:hAnsi="楷体" w:eastAsia="仿宋_GB2312"/>
          <w:b/>
          <w:color w:val="auto"/>
          <w:sz w:val="24"/>
          <w:highlight w:val="none"/>
        </w:rPr>
        <w:t>和送达</w:t>
      </w:r>
      <w:bookmarkEnd w:id="521"/>
      <w:bookmarkEnd w:id="522"/>
      <w:bookmarkEnd w:id="523"/>
      <w:bookmarkEnd w:id="524"/>
      <w:bookmarkEnd w:id="525"/>
    </w:p>
    <w:p w14:paraId="3D4E6985">
      <w:pPr>
        <w:spacing w:line="360" w:lineRule="auto"/>
        <w:ind w:firstLine="480" w:firstLineChars="200"/>
        <w:rPr>
          <w:rFonts w:hint="eastAsia" w:ascii="仿宋_GB2312" w:hAnsi="楷体" w:eastAsia="仿宋_GB2312"/>
          <w:color w:val="auto"/>
          <w:sz w:val="24"/>
          <w:highlight w:val="none"/>
        </w:rPr>
      </w:pPr>
      <w:bookmarkStart w:id="526" w:name="_Toc6698"/>
      <w:bookmarkStart w:id="527" w:name="_Toc3135"/>
      <w:bookmarkStart w:id="528" w:name="_Toc487900372"/>
      <w:bookmarkStart w:id="529" w:name="_Toc279701262"/>
      <w:bookmarkStart w:id="530" w:name="_Toc259093691"/>
      <w:r>
        <w:rPr>
          <w:rFonts w:hint="eastAsia" w:ascii="仿宋_GB2312" w:hAnsi="楷体" w:eastAsia="仿宋_GB2312"/>
          <w:color w:val="auto"/>
          <w:sz w:val="24"/>
          <w:highlight w:val="none"/>
        </w:rPr>
        <w:t>2.18.1 任何一方因履行合同而以合同第一部分尾部所列明的</w:t>
      </w:r>
      <w:r>
        <w:rPr>
          <w:rFonts w:hint="eastAsia" w:ascii="仿宋_GB2312" w:hAnsi="楷体" w:eastAsia="仿宋_GB2312"/>
          <w:color w:val="auto"/>
          <w:sz w:val="24"/>
          <w:highlight w:val="none"/>
          <w:u w:val="single"/>
        </w:rPr>
        <w:t>“约定送达地址”</w:t>
      </w:r>
      <w:r>
        <w:rPr>
          <w:rFonts w:hint="eastAsia" w:ascii="仿宋_GB2312" w:hAnsi="楷体" w:eastAsia="仿宋_GB2312"/>
          <w:color w:val="auto"/>
          <w:sz w:val="24"/>
          <w:highlight w:val="none"/>
        </w:rPr>
        <w:t>为收件地址的所有通知、文件、材料，均视为已向对方当事人送达；任何一方变更上述送达方式或者地址的，应于</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个工作日（根据项目实际情况填写）内书面通知对方当事人，在对方当事人收到有关变更通知之前，变更前的约定送达方式或者地址仍视为有效。</w:t>
      </w:r>
      <w:bookmarkEnd w:id="526"/>
      <w:bookmarkEnd w:id="527"/>
    </w:p>
    <w:p w14:paraId="46C9C3F7">
      <w:pPr>
        <w:spacing w:line="360" w:lineRule="auto"/>
        <w:ind w:firstLine="480" w:firstLineChars="200"/>
        <w:rPr>
          <w:rFonts w:hint="eastAsia" w:ascii="仿宋_GB2312" w:hAnsi="楷体" w:eastAsia="仿宋_GB2312"/>
          <w:color w:val="auto"/>
          <w:sz w:val="24"/>
          <w:highlight w:val="none"/>
        </w:rPr>
      </w:pPr>
      <w:bookmarkStart w:id="531" w:name="_Toc23294"/>
      <w:bookmarkStart w:id="532" w:name="_Toc23128"/>
      <w:r>
        <w:rPr>
          <w:rFonts w:hint="eastAsia" w:ascii="仿宋_GB2312" w:hAnsi="楷体" w:eastAsia="仿宋_GB2312"/>
          <w:color w:val="auto"/>
          <w:sz w:val="24"/>
          <w:highlight w:val="none"/>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531"/>
      <w:bookmarkEnd w:id="532"/>
    </w:p>
    <w:p w14:paraId="2F48426C">
      <w:pPr>
        <w:spacing w:line="360" w:lineRule="auto"/>
        <w:ind w:firstLine="482" w:firstLineChars="200"/>
        <w:outlineLvl w:val="1"/>
        <w:rPr>
          <w:rFonts w:hint="eastAsia" w:ascii="仿宋_GB2312" w:hAnsi="楷体" w:eastAsia="仿宋_GB2312"/>
          <w:b/>
          <w:color w:val="auto"/>
          <w:sz w:val="24"/>
          <w:highlight w:val="none"/>
        </w:rPr>
      </w:pPr>
      <w:bookmarkStart w:id="533" w:name="_Toc18540"/>
      <w:bookmarkStart w:id="534" w:name="_Toc8862"/>
      <w:bookmarkStart w:id="535" w:name="_Toc4355"/>
      <w:bookmarkStart w:id="536" w:name="_Toc7718"/>
      <w:bookmarkStart w:id="537" w:name="_Toc30599"/>
      <w:r>
        <w:rPr>
          <w:rFonts w:hint="eastAsia" w:ascii="仿宋_GB2312" w:hAnsi="楷体" w:eastAsia="仿宋_GB2312"/>
          <w:b/>
          <w:color w:val="auto"/>
          <w:sz w:val="24"/>
          <w:highlight w:val="none"/>
        </w:rPr>
        <w:t>2.19 计量单位</w:t>
      </w:r>
      <w:bookmarkEnd w:id="528"/>
      <w:bookmarkEnd w:id="529"/>
      <w:bookmarkEnd w:id="530"/>
      <w:bookmarkEnd w:id="533"/>
      <w:bookmarkEnd w:id="534"/>
      <w:bookmarkEnd w:id="535"/>
      <w:bookmarkEnd w:id="536"/>
      <w:bookmarkEnd w:id="537"/>
    </w:p>
    <w:p w14:paraId="3FA5567D">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除技术规范中另有规定外,合同的计量单位均使用国家法定计量单位。</w:t>
      </w:r>
    </w:p>
    <w:p w14:paraId="2226F6B3">
      <w:pPr>
        <w:spacing w:line="360" w:lineRule="auto"/>
        <w:ind w:firstLine="482" w:firstLineChars="200"/>
        <w:outlineLvl w:val="1"/>
        <w:rPr>
          <w:rFonts w:hint="eastAsia" w:ascii="仿宋_GB2312" w:hAnsi="楷体" w:eastAsia="仿宋_GB2312"/>
          <w:b/>
          <w:color w:val="auto"/>
          <w:sz w:val="24"/>
          <w:highlight w:val="none"/>
        </w:rPr>
      </w:pPr>
      <w:bookmarkStart w:id="538" w:name="_Toc18567"/>
      <w:bookmarkStart w:id="539" w:name="_Toc10330"/>
      <w:bookmarkStart w:id="540" w:name="_Toc12773"/>
      <w:bookmarkStart w:id="541" w:name="_Toc28392"/>
      <w:bookmarkStart w:id="542" w:name="_Toc259093692"/>
      <w:bookmarkStart w:id="543" w:name="_Toc487900373"/>
      <w:bookmarkStart w:id="544" w:name="_Toc279701263"/>
      <w:bookmarkStart w:id="545" w:name="_Toc2357"/>
      <w:r>
        <w:rPr>
          <w:rFonts w:hint="eastAsia" w:ascii="仿宋_GB2312" w:hAnsi="楷体" w:eastAsia="仿宋_GB2312"/>
          <w:b/>
          <w:color w:val="auto"/>
          <w:sz w:val="24"/>
          <w:highlight w:val="none"/>
        </w:rPr>
        <w:t>2.20 合同使用的文字和适用的法律</w:t>
      </w:r>
      <w:bookmarkEnd w:id="538"/>
      <w:bookmarkEnd w:id="539"/>
      <w:bookmarkEnd w:id="540"/>
      <w:bookmarkEnd w:id="541"/>
      <w:bookmarkEnd w:id="542"/>
      <w:bookmarkEnd w:id="543"/>
      <w:bookmarkEnd w:id="544"/>
      <w:bookmarkEnd w:id="545"/>
    </w:p>
    <w:p w14:paraId="2BE86B9A">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2.20.1 合同使用汉语书写、变更和解释；</w:t>
      </w:r>
    </w:p>
    <w:p w14:paraId="28EE5A16">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2.20.2 合同适用中华人民共和国法律。</w:t>
      </w:r>
    </w:p>
    <w:p w14:paraId="5A526A77">
      <w:pPr>
        <w:spacing w:line="360" w:lineRule="auto"/>
        <w:ind w:firstLine="482" w:firstLineChars="200"/>
        <w:outlineLvl w:val="1"/>
        <w:rPr>
          <w:rFonts w:hint="eastAsia" w:ascii="仿宋_GB2312" w:hAnsi="楷体" w:eastAsia="仿宋_GB2312"/>
          <w:b/>
          <w:color w:val="auto"/>
          <w:sz w:val="24"/>
          <w:highlight w:val="none"/>
        </w:rPr>
      </w:pPr>
      <w:bookmarkStart w:id="546" w:name="_Toc12004"/>
      <w:bookmarkStart w:id="547" w:name="_Toc259093693"/>
      <w:bookmarkStart w:id="548" w:name="_Toc10656"/>
      <w:bookmarkStart w:id="549" w:name="_Toc16673"/>
      <w:bookmarkStart w:id="550" w:name="_Toc19915"/>
      <w:bookmarkStart w:id="551" w:name="_Toc3148"/>
      <w:bookmarkStart w:id="552" w:name="_Toc279701264"/>
      <w:bookmarkStart w:id="553" w:name="_Toc487900374"/>
      <w:r>
        <w:rPr>
          <w:rFonts w:hint="eastAsia" w:ascii="仿宋_GB2312" w:hAnsi="楷体" w:eastAsia="仿宋_GB2312"/>
          <w:b/>
          <w:color w:val="auto"/>
          <w:sz w:val="24"/>
          <w:highlight w:val="none"/>
        </w:rPr>
        <w:t>2.21 履约保证金</w:t>
      </w:r>
      <w:bookmarkEnd w:id="546"/>
      <w:bookmarkEnd w:id="547"/>
      <w:bookmarkEnd w:id="548"/>
      <w:bookmarkEnd w:id="549"/>
      <w:bookmarkEnd w:id="550"/>
      <w:bookmarkEnd w:id="551"/>
      <w:bookmarkEnd w:id="552"/>
    </w:p>
    <w:p w14:paraId="46707DBB">
      <w:pPr>
        <w:spacing w:line="360" w:lineRule="auto"/>
        <w:ind w:firstLine="480" w:firstLineChars="200"/>
        <w:rPr>
          <w:rFonts w:hint="eastAsia" w:ascii="仿宋_GB2312" w:hAnsi="仿宋" w:eastAsia="仿宋_GB2312" w:cs="Arial"/>
          <w:snapToGrid w:val="0"/>
          <w:color w:val="auto"/>
          <w:kern w:val="0"/>
          <w:sz w:val="24"/>
          <w:highlight w:val="none"/>
          <w:lang w:eastAsia="zh-CN"/>
        </w:rPr>
      </w:pPr>
      <w:r>
        <w:rPr>
          <w:rFonts w:hint="eastAsia" w:ascii="仿宋_GB2312" w:hAnsi="楷体" w:eastAsia="仿宋_GB2312"/>
          <w:color w:val="auto"/>
          <w:sz w:val="24"/>
          <w:highlight w:val="none"/>
        </w:rPr>
        <w:t>本项目不收取履约保证金</w:t>
      </w:r>
      <w:r>
        <w:rPr>
          <w:rFonts w:hint="eastAsia" w:ascii="仿宋_GB2312" w:hAnsi="楷体" w:eastAsia="仿宋_GB2312"/>
          <w:color w:val="auto"/>
          <w:sz w:val="24"/>
          <w:highlight w:val="none"/>
          <w:lang w:eastAsia="zh-CN"/>
        </w:rPr>
        <w:t>。</w:t>
      </w:r>
    </w:p>
    <w:p w14:paraId="0C9E42F7">
      <w:pPr>
        <w:spacing w:line="360" w:lineRule="auto"/>
        <w:ind w:firstLine="482" w:firstLineChars="200"/>
        <w:outlineLvl w:val="1"/>
        <w:rPr>
          <w:rFonts w:hint="eastAsia" w:ascii="仿宋_GB2312" w:hAnsi="仿宋" w:eastAsia="仿宋_GB2312"/>
          <w:color w:val="auto"/>
          <w:kern w:val="0"/>
          <w:sz w:val="24"/>
          <w:highlight w:val="none"/>
          <w:lang w:val="zh-CN"/>
        </w:rPr>
      </w:pPr>
      <w:bookmarkStart w:id="554" w:name="_Toc19174"/>
      <w:bookmarkStart w:id="555" w:name="_Toc3882"/>
      <w:r>
        <w:rPr>
          <w:rFonts w:hint="eastAsia" w:ascii="仿宋_GB2312" w:hAnsi="楷体" w:eastAsia="仿宋_GB2312"/>
          <w:b/>
          <w:color w:val="auto"/>
          <w:sz w:val="24"/>
          <w:highlight w:val="none"/>
        </w:rPr>
        <w:t>2.22 中小企业政策</w:t>
      </w:r>
      <w:bookmarkEnd w:id="554"/>
      <w:bookmarkEnd w:id="555"/>
    </w:p>
    <w:p w14:paraId="671557FA">
      <w:pPr>
        <w:spacing w:line="360" w:lineRule="auto"/>
        <w:ind w:firstLine="480" w:firstLineChars="200"/>
        <w:rPr>
          <w:rFonts w:hint="eastAsia" w:ascii="仿宋_GB2312" w:hAnsi="仿宋" w:eastAsia="仿宋_GB2312"/>
          <w:color w:val="auto"/>
          <w:kern w:val="0"/>
          <w:sz w:val="24"/>
          <w:highlight w:val="none"/>
          <w:lang w:val="zh-CN"/>
        </w:rPr>
      </w:pPr>
      <w:r>
        <w:rPr>
          <w:rFonts w:hint="eastAsia" w:ascii="仿宋_GB2312" w:hAnsi="仿宋" w:eastAsia="仿宋_GB2312"/>
          <w:color w:val="auto"/>
          <w:kern w:val="0"/>
          <w:sz w:val="24"/>
          <w:highlight w:val="none"/>
          <w:lang w:val="zh-CN"/>
        </w:rPr>
        <w:t>2.22.1本合同（□是  □否）为中小企业“政采贷”可融资合同，关于中小企业信用融资事项见采购文件“投标人须知正文”。</w:t>
      </w:r>
    </w:p>
    <w:p w14:paraId="53A6F741">
      <w:pPr>
        <w:spacing w:line="360" w:lineRule="auto"/>
        <w:ind w:firstLine="480" w:firstLineChars="200"/>
        <w:rPr>
          <w:rFonts w:hint="eastAsia" w:ascii="仿宋_GB2312" w:hAnsi="仿宋" w:eastAsia="仿宋_GB2312"/>
          <w:color w:val="auto"/>
          <w:kern w:val="0"/>
          <w:sz w:val="24"/>
          <w:highlight w:val="none"/>
          <w:lang w:val="zh-CN"/>
        </w:rPr>
      </w:pPr>
      <w:r>
        <w:rPr>
          <w:rFonts w:hint="eastAsia" w:ascii="仿宋_GB2312" w:hAnsi="仿宋" w:eastAsia="仿宋_GB2312"/>
          <w:color w:val="auto"/>
          <w:kern w:val="0"/>
          <w:sz w:val="24"/>
          <w:highlight w:val="none"/>
          <w:lang w:val="zh-CN"/>
        </w:rPr>
        <w:t>2.22.2本合同（□是  □否）为中小企业预留合同。</w:t>
      </w:r>
    </w:p>
    <w:bookmarkEnd w:id="553"/>
    <w:p w14:paraId="0B210215">
      <w:pPr>
        <w:spacing w:line="360" w:lineRule="auto"/>
        <w:ind w:firstLine="482" w:firstLineChars="200"/>
        <w:outlineLvl w:val="1"/>
        <w:rPr>
          <w:rFonts w:hint="eastAsia" w:ascii="仿宋_GB2312" w:hAnsi="楷体" w:eastAsia="仿宋_GB2312"/>
          <w:b/>
          <w:color w:val="auto"/>
          <w:sz w:val="24"/>
          <w:highlight w:val="none"/>
        </w:rPr>
      </w:pPr>
      <w:bookmarkStart w:id="556" w:name="_Toc1895"/>
      <w:bookmarkStart w:id="557" w:name="_Toc5940"/>
      <w:bookmarkStart w:id="558" w:name="_Toc19890"/>
      <w:bookmarkStart w:id="559" w:name="_Toc6885"/>
      <w:bookmarkStart w:id="560" w:name="_Toc14001"/>
      <w:r>
        <w:rPr>
          <w:rFonts w:hint="eastAsia" w:ascii="仿宋_GB2312" w:hAnsi="楷体" w:eastAsia="仿宋_GB2312"/>
          <w:b/>
          <w:color w:val="auto"/>
          <w:sz w:val="24"/>
          <w:highlight w:val="none"/>
        </w:rPr>
        <w:t>2.23 合同份数</w:t>
      </w:r>
      <w:bookmarkEnd w:id="556"/>
      <w:bookmarkEnd w:id="557"/>
      <w:bookmarkEnd w:id="558"/>
      <w:bookmarkEnd w:id="559"/>
      <w:bookmarkEnd w:id="560"/>
    </w:p>
    <w:p w14:paraId="162AEF1E">
      <w:pPr>
        <w:spacing w:line="360" w:lineRule="auto"/>
        <w:jc w:val="center"/>
        <w:rPr>
          <w:rFonts w:hint="eastAsia" w:ascii="仿宋_GB2312" w:hAnsi="楷体" w:eastAsia="仿宋_GB2312"/>
          <w:color w:val="auto"/>
          <w:highlight w:val="none"/>
        </w:rPr>
      </w:pPr>
      <w:r>
        <w:rPr>
          <w:rFonts w:hint="eastAsia" w:ascii="仿宋_GB2312" w:hAnsi="楷体" w:eastAsia="仿宋_GB2312"/>
          <w:color w:val="auto"/>
          <w:highlight w:val="none"/>
        </w:rPr>
        <w:t>本合同壹式</w:t>
      </w:r>
      <w:r>
        <w:rPr>
          <w:rFonts w:hint="eastAsia" w:ascii="仿宋_GB2312" w:hAnsi="楷体" w:eastAsia="仿宋_GB2312"/>
          <w:color w:val="auto"/>
          <w:highlight w:val="none"/>
          <w:u w:val="single"/>
        </w:rPr>
        <w:t xml:space="preserve">   </w:t>
      </w:r>
      <w:r>
        <w:rPr>
          <w:rFonts w:hint="eastAsia" w:ascii="仿宋_GB2312" w:hAnsi="楷体" w:eastAsia="仿宋_GB2312"/>
          <w:color w:val="auto"/>
          <w:highlight w:val="none"/>
        </w:rPr>
        <w:t>份，甲方执</w:t>
      </w:r>
      <w:r>
        <w:rPr>
          <w:rFonts w:hint="eastAsia" w:ascii="仿宋_GB2312" w:hAnsi="楷体" w:eastAsia="仿宋_GB2312"/>
          <w:color w:val="auto"/>
          <w:highlight w:val="none"/>
          <w:u w:val="single"/>
        </w:rPr>
        <w:t xml:space="preserve">   </w:t>
      </w:r>
      <w:r>
        <w:rPr>
          <w:rFonts w:hint="eastAsia" w:ascii="仿宋_GB2312" w:hAnsi="楷体" w:eastAsia="仿宋_GB2312"/>
          <w:color w:val="auto"/>
          <w:highlight w:val="none"/>
        </w:rPr>
        <w:t>份，乙方执</w:t>
      </w:r>
      <w:r>
        <w:rPr>
          <w:rFonts w:hint="eastAsia" w:ascii="仿宋_GB2312" w:hAnsi="楷体" w:eastAsia="仿宋_GB2312"/>
          <w:color w:val="auto"/>
          <w:highlight w:val="none"/>
          <w:u w:val="single"/>
        </w:rPr>
        <w:t xml:space="preserve">   </w:t>
      </w:r>
      <w:r>
        <w:rPr>
          <w:rFonts w:hint="eastAsia" w:ascii="仿宋_GB2312" w:hAnsi="楷体" w:eastAsia="仿宋_GB2312"/>
          <w:color w:val="auto"/>
          <w:highlight w:val="none"/>
        </w:rPr>
        <w:t>份，代理机构执   份。每份均具有同等法律效力。</w:t>
      </w:r>
      <w:r>
        <w:rPr>
          <w:rFonts w:hint="eastAsia" w:ascii="仿宋_GB2312" w:hAnsi="楷体" w:eastAsia="仿宋_GB2312"/>
          <w:color w:val="auto"/>
          <w:highlight w:val="none"/>
        </w:rPr>
        <w:br w:type="page"/>
      </w:r>
      <w:bookmarkStart w:id="561" w:name="_Toc331685784"/>
    </w:p>
    <w:p w14:paraId="0EA786CA">
      <w:pPr>
        <w:spacing w:line="360" w:lineRule="auto"/>
        <w:jc w:val="center"/>
        <w:outlineLvl w:val="0"/>
        <w:rPr>
          <w:rFonts w:hint="eastAsia" w:ascii="方正仿宋_GB2312" w:hAnsi="方正仿宋_GB2312" w:eastAsia="方正仿宋_GB2312" w:cs="方正仿宋_GB2312"/>
          <w:b/>
          <w:bCs/>
          <w:color w:val="auto"/>
          <w:sz w:val="28"/>
          <w:szCs w:val="28"/>
          <w:highlight w:val="none"/>
        </w:rPr>
      </w:pPr>
      <w:bookmarkStart w:id="562" w:name="_Toc15071"/>
      <w:bookmarkStart w:id="563" w:name="_Toc9808"/>
      <w:r>
        <w:rPr>
          <w:rFonts w:hint="eastAsia" w:ascii="方正仿宋_GB2312" w:hAnsi="方正仿宋_GB2312" w:eastAsia="方正仿宋_GB2312" w:cs="方正仿宋_GB2312"/>
          <w:b/>
          <w:bCs/>
          <w:color w:val="auto"/>
          <w:sz w:val="28"/>
          <w:szCs w:val="28"/>
          <w:highlight w:val="none"/>
        </w:rPr>
        <w:t>第三部分  合同专用条款</w:t>
      </w:r>
      <w:bookmarkEnd w:id="561"/>
      <w:bookmarkEnd w:id="562"/>
      <w:bookmarkEnd w:id="563"/>
    </w:p>
    <w:p w14:paraId="27EC90E9">
      <w:pPr>
        <w:spacing w:line="360" w:lineRule="auto"/>
        <w:jc w:val="center"/>
        <w:rPr>
          <w:rFonts w:hint="eastAsia" w:ascii="仿宋_GB2312" w:hAnsi="楷体" w:eastAsia="仿宋_GB2312"/>
          <w:b/>
          <w:color w:val="auto"/>
          <w:sz w:val="28"/>
          <w:szCs w:val="28"/>
          <w:highlight w:val="none"/>
        </w:rPr>
      </w:pPr>
    </w:p>
    <w:p w14:paraId="2655AFFC">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p w14:paraId="6F061A17">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3.1具有知识产权的标的物知识产权归属：</w:t>
      </w:r>
    </w:p>
    <w:p w14:paraId="40F149F1">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 xml:space="preserve">           </w:t>
      </w:r>
    </w:p>
    <w:p w14:paraId="6FE472A4">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3.2包装和装运专用条款（如果有）：</w:t>
      </w:r>
    </w:p>
    <w:p w14:paraId="32D25606">
      <w:pPr>
        <w:spacing w:line="360" w:lineRule="auto"/>
        <w:ind w:firstLine="480" w:firstLineChars="200"/>
        <w:rPr>
          <w:rFonts w:hint="eastAsia" w:ascii="仿宋_GB2312" w:hAnsi="楷体" w:eastAsia="仿宋_GB2312"/>
          <w:color w:val="auto"/>
          <w:sz w:val="24"/>
          <w:highlight w:val="none"/>
          <w:u w:val="single"/>
        </w:rPr>
      </w:pPr>
      <w:r>
        <w:rPr>
          <w:rFonts w:hint="eastAsia" w:ascii="仿宋_GB2312" w:hAnsi="楷体" w:eastAsia="仿宋_GB2312"/>
          <w:color w:val="auto"/>
          <w:sz w:val="24"/>
          <w:highlight w:val="none"/>
          <w:u w:val="single"/>
        </w:rPr>
        <w:t xml:space="preserve">                                                                     </w:t>
      </w:r>
    </w:p>
    <w:p w14:paraId="17A5C124">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3.3装运标的物的要求和通知：</w:t>
      </w:r>
    </w:p>
    <w:p w14:paraId="01FF5773">
      <w:pPr>
        <w:spacing w:line="360" w:lineRule="auto"/>
        <w:ind w:firstLine="480" w:firstLineChars="200"/>
        <w:rPr>
          <w:rFonts w:hint="eastAsia" w:ascii="仿宋_GB2312" w:hAnsi="楷体" w:eastAsia="仿宋_GB2312"/>
          <w:color w:val="auto"/>
          <w:sz w:val="24"/>
          <w:highlight w:val="none"/>
          <w:u w:val="single"/>
        </w:rPr>
      </w:pPr>
      <w:r>
        <w:rPr>
          <w:rFonts w:hint="eastAsia" w:ascii="仿宋_GB2312" w:hAnsi="楷体" w:eastAsia="仿宋_GB2312"/>
          <w:color w:val="auto"/>
          <w:sz w:val="24"/>
          <w:highlight w:val="none"/>
          <w:u w:val="single"/>
        </w:rPr>
        <w:t xml:space="preserve">                                                                     </w:t>
      </w:r>
    </w:p>
    <w:p w14:paraId="6A810124">
      <w:pPr>
        <w:spacing w:line="360" w:lineRule="auto"/>
        <w:ind w:firstLine="480" w:firstLineChars="200"/>
        <w:rPr>
          <w:rFonts w:hint="eastAsia" w:ascii="仿宋_GB2312" w:hAnsi="楷体" w:eastAsia="仿宋_GB2312"/>
          <w:b/>
          <w:color w:val="auto"/>
          <w:sz w:val="24"/>
          <w:highlight w:val="none"/>
        </w:rPr>
      </w:pPr>
      <w:r>
        <w:rPr>
          <w:rFonts w:hint="eastAsia" w:ascii="仿宋_GB2312" w:hAnsi="楷体" w:eastAsia="仿宋_GB2312"/>
          <w:color w:val="auto"/>
          <w:sz w:val="24"/>
          <w:highlight w:val="none"/>
        </w:rPr>
        <w:t>3.4</w:t>
      </w:r>
      <w:r>
        <w:rPr>
          <w:rFonts w:hint="eastAsia" w:ascii="仿宋_GB2312" w:hAnsi="楷体" w:eastAsia="仿宋_GB2312"/>
          <w:b/>
          <w:color w:val="auto"/>
          <w:sz w:val="24"/>
          <w:highlight w:val="none"/>
        </w:rPr>
        <w:t>结算方式和付款条件</w:t>
      </w:r>
    </w:p>
    <w:p w14:paraId="1CB457A8">
      <w:pPr>
        <w:spacing w:line="360" w:lineRule="auto"/>
        <w:ind w:firstLine="480" w:firstLineChars="20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本次项目合同总价为大写人民币</w:t>
      </w:r>
      <w:r>
        <w:rPr>
          <w:rFonts w:hint="eastAsia" w:ascii="仿宋_GB2312" w:hAnsi="仿宋_GB2312" w:eastAsia="仿宋_GB2312" w:cs="仿宋_GB2312"/>
          <w:color w:val="auto"/>
          <w:kern w:val="0"/>
          <w:sz w:val="24"/>
          <w:highlight w:val="none"/>
          <w:u w:val="single"/>
          <w:lang w:val="zh-CN"/>
        </w:rPr>
        <w:t xml:space="preserve">            （</w:t>
      </w:r>
      <w:r>
        <w:rPr>
          <w:rFonts w:hint="eastAsia" w:ascii="仿宋_GB2312" w:hAnsi="仿宋_GB2312" w:eastAsia="仿宋_GB2312" w:cs="仿宋_GB2312"/>
          <w:color w:val="auto"/>
          <w:kern w:val="0"/>
          <w:sz w:val="24"/>
          <w:highlight w:val="none"/>
          <w:lang w:val="zh-CN"/>
        </w:rPr>
        <w:t>￥    元）。本项目采用以下勾选结算方式进行支付：</w:t>
      </w:r>
    </w:p>
    <w:p w14:paraId="7ABEC319">
      <w:pPr>
        <w:spacing w:line="360" w:lineRule="auto"/>
        <w:ind w:firstLine="480" w:firstLineChars="200"/>
        <w:rPr>
          <w:rFonts w:hint="eastAsia" w:ascii="仿宋_GB2312" w:eastAsia="仿宋_GB2312" w:cs="仿宋_GB2312"/>
          <w:color w:val="auto"/>
          <w:kern w:val="0"/>
          <w:sz w:val="24"/>
          <w:highlight w:val="none"/>
          <w:lang w:val="zh-CN"/>
        </w:rPr>
      </w:pPr>
      <w:r>
        <w:rPr>
          <w:rFonts w:hint="eastAsia" w:ascii="仿宋_GB2312" w:eastAsia="仿宋_GB2312" w:cs="仿宋_GB2312"/>
          <w:color w:val="auto"/>
          <w:kern w:val="0"/>
          <w:sz w:val="24"/>
          <w:highlight w:val="none"/>
          <w:lang w:val="zh-CN"/>
        </w:rPr>
        <w:t>本项目采用以下勾选结算方式进行支付：</w:t>
      </w:r>
    </w:p>
    <w:p w14:paraId="3D710FCD">
      <w:pPr>
        <w:spacing w:line="360" w:lineRule="auto"/>
        <w:ind w:firstLine="480" w:firstLineChars="200"/>
        <w:rPr>
          <w:rFonts w:hint="eastAsia" w:ascii="仿宋_GB2312" w:eastAsia="仿宋_GB2312" w:cs="仿宋_GB2312"/>
          <w:color w:val="auto"/>
          <w:kern w:val="0"/>
          <w:sz w:val="24"/>
          <w:highlight w:val="none"/>
          <w:lang w:val="zh-CN"/>
        </w:rPr>
      </w:pPr>
      <w:r>
        <w:rPr>
          <w:rFonts w:hint="eastAsia" w:ascii="仿宋_GB2312" w:eastAsia="仿宋_GB2312" w:cs="仿宋_GB2312"/>
          <w:color w:val="auto"/>
          <w:kern w:val="0"/>
          <w:sz w:val="24"/>
          <w:highlight w:val="none"/>
          <w:lang w:val="zh-CN"/>
        </w:rPr>
        <w:t>□采用一次性支付方式，付款条件为：</w:t>
      </w:r>
      <w:r>
        <w:rPr>
          <w:rFonts w:hint="eastAsia" w:ascii="仿宋_GB2312" w:eastAsia="仿宋_GB2312" w:cs="仿宋_GB2312"/>
          <w:color w:val="auto"/>
          <w:kern w:val="0"/>
          <w:sz w:val="24"/>
          <w:highlight w:val="none"/>
          <w:u w:val="single"/>
        </w:rPr>
        <w:t xml:space="preserve">           </w:t>
      </w:r>
    </w:p>
    <w:p w14:paraId="5D8FFAAF">
      <w:pPr>
        <w:spacing w:line="360" w:lineRule="auto"/>
        <w:ind w:firstLine="480" w:firstLineChars="200"/>
        <w:rPr>
          <w:rFonts w:hint="eastAsia" w:ascii="仿宋_GB2312" w:eastAsia="仿宋_GB2312" w:cs="仿宋_GB2312"/>
          <w:color w:val="auto"/>
          <w:kern w:val="0"/>
          <w:sz w:val="24"/>
          <w:highlight w:val="none"/>
        </w:rPr>
      </w:pPr>
      <w:r>
        <w:rPr>
          <w:rFonts w:hint="eastAsia" w:ascii="仿宋_GB2312" w:eastAsia="仿宋_GB2312" w:cs="仿宋_GB2312"/>
          <w:color w:val="auto"/>
          <w:kern w:val="0"/>
          <w:sz w:val="24"/>
          <w:highlight w:val="none"/>
          <w:lang w:val="zh-CN"/>
        </w:rPr>
        <w:t>□采用分期付款方式，付款条件为</w:t>
      </w:r>
      <w:r>
        <w:rPr>
          <w:rFonts w:hint="eastAsia" w:ascii="仿宋_GB2312" w:eastAsia="仿宋_GB2312" w:cs="仿宋_GB2312"/>
          <w:color w:val="auto"/>
          <w:kern w:val="0"/>
          <w:sz w:val="24"/>
          <w:highlight w:val="none"/>
        </w:rPr>
        <w:t>：</w:t>
      </w:r>
    </w:p>
    <w:p w14:paraId="56F5A6F7">
      <w:pPr>
        <w:spacing w:line="360" w:lineRule="auto"/>
        <w:ind w:firstLine="480" w:firstLineChars="200"/>
        <w:rPr>
          <w:rFonts w:hint="eastAsia" w:ascii="仿宋_GB2312" w:eastAsia="仿宋_GB2312" w:cs="仿宋_GB2312"/>
          <w:color w:val="auto"/>
          <w:kern w:val="0"/>
          <w:sz w:val="24"/>
          <w:highlight w:val="none"/>
        </w:rPr>
      </w:pPr>
      <w:r>
        <w:rPr>
          <w:rFonts w:hint="eastAsia" w:ascii="仿宋_GB2312" w:eastAsia="仿宋_GB2312" w:cs="仿宋_GB2312"/>
          <w:color w:val="auto"/>
          <w:kern w:val="0"/>
          <w:sz w:val="24"/>
          <w:highlight w:val="none"/>
          <w:lang w:val="zh-CN"/>
        </w:rPr>
        <w:t>第一期付款</w:t>
      </w:r>
      <w:r>
        <w:rPr>
          <w:rFonts w:hint="eastAsia" w:ascii="仿宋_GB2312" w:eastAsia="仿宋_GB2312" w:cs="仿宋_GB2312"/>
          <w:color w:val="auto"/>
          <w:kern w:val="0"/>
          <w:sz w:val="24"/>
          <w:highlight w:val="none"/>
        </w:rPr>
        <w:t>：</w:t>
      </w:r>
      <w:r>
        <w:rPr>
          <w:rFonts w:hint="eastAsia" w:ascii="仿宋_GB2312" w:eastAsia="仿宋_GB2312" w:cs="仿宋_GB2312"/>
          <w:color w:val="auto"/>
          <w:kern w:val="0"/>
          <w:sz w:val="24"/>
          <w:highlight w:val="none"/>
          <w:u w:val="single"/>
        </w:rPr>
        <w:t xml:space="preserve">                                        </w:t>
      </w:r>
    </w:p>
    <w:p w14:paraId="1711EEE5">
      <w:pPr>
        <w:spacing w:line="360" w:lineRule="auto"/>
        <w:ind w:firstLine="480" w:firstLineChars="200"/>
        <w:rPr>
          <w:rFonts w:hint="eastAsia" w:ascii="仿宋_GB2312" w:eastAsia="仿宋_GB2312" w:cs="仿宋_GB2312"/>
          <w:color w:val="auto"/>
          <w:kern w:val="0"/>
          <w:sz w:val="24"/>
          <w:highlight w:val="none"/>
          <w:u w:val="single"/>
        </w:rPr>
      </w:pPr>
      <w:r>
        <w:rPr>
          <w:rFonts w:hint="eastAsia" w:ascii="仿宋_GB2312" w:eastAsia="仿宋_GB2312" w:cs="仿宋_GB2312"/>
          <w:color w:val="auto"/>
          <w:kern w:val="0"/>
          <w:sz w:val="24"/>
          <w:highlight w:val="none"/>
          <w:lang w:val="zh-CN"/>
        </w:rPr>
        <w:t>第</w:t>
      </w:r>
      <w:r>
        <w:rPr>
          <w:rFonts w:hint="eastAsia" w:ascii="仿宋_GB2312" w:eastAsia="仿宋_GB2312" w:cs="仿宋_GB2312"/>
          <w:color w:val="auto"/>
          <w:kern w:val="0"/>
          <w:sz w:val="24"/>
          <w:highlight w:val="none"/>
        </w:rPr>
        <w:t>二</w:t>
      </w:r>
      <w:r>
        <w:rPr>
          <w:rFonts w:hint="eastAsia" w:ascii="仿宋_GB2312" w:eastAsia="仿宋_GB2312" w:cs="仿宋_GB2312"/>
          <w:color w:val="auto"/>
          <w:kern w:val="0"/>
          <w:sz w:val="24"/>
          <w:highlight w:val="none"/>
          <w:lang w:val="zh-CN"/>
        </w:rPr>
        <w:t>期付款</w:t>
      </w:r>
      <w:r>
        <w:rPr>
          <w:rFonts w:hint="eastAsia" w:ascii="仿宋_GB2312" w:eastAsia="仿宋_GB2312" w:cs="仿宋_GB2312"/>
          <w:color w:val="auto"/>
          <w:kern w:val="0"/>
          <w:sz w:val="24"/>
          <w:highlight w:val="none"/>
        </w:rPr>
        <w:t>：</w:t>
      </w:r>
      <w:r>
        <w:rPr>
          <w:rFonts w:hint="eastAsia" w:ascii="仿宋_GB2312" w:eastAsia="仿宋_GB2312" w:cs="仿宋_GB2312"/>
          <w:color w:val="auto"/>
          <w:kern w:val="0"/>
          <w:sz w:val="24"/>
          <w:highlight w:val="none"/>
          <w:u w:val="single"/>
        </w:rPr>
        <w:t xml:space="preserve">                                        </w:t>
      </w:r>
    </w:p>
    <w:p w14:paraId="7A741C69">
      <w:pPr>
        <w:spacing w:line="360" w:lineRule="auto"/>
        <w:ind w:firstLine="480" w:firstLineChars="200"/>
        <w:rPr>
          <w:rFonts w:hint="eastAsia" w:ascii="仿宋_GB2312" w:eastAsia="仿宋_GB2312" w:cs="仿宋_GB2312"/>
          <w:color w:val="auto"/>
          <w:kern w:val="0"/>
          <w:sz w:val="24"/>
          <w:highlight w:val="none"/>
        </w:rPr>
      </w:pPr>
      <w:r>
        <w:rPr>
          <w:rFonts w:hint="eastAsia" w:ascii="仿宋_GB2312" w:eastAsia="仿宋_GB2312" w:cs="仿宋_GB2312"/>
          <w:color w:val="auto"/>
          <w:kern w:val="0"/>
          <w:sz w:val="24"/>
          <w:highlight w:val="none"/>
        </w:rPr>
        <w:t>……</w:t>
      </w:r>
    </w:p>
    <w:p w14:paraId="43FD6C8F">
      <w:pPr>
        <w:spacing w:line="360" w:lineRule="auto"/>
        <w:ind w:firstLine="480" w:firstLineChars="200"/>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甲方无故逾期支付服务费用的，按照每逾期一日支付欠付服务费额度的（</w:t>
      </w:r>
      <w:r>
        <w:rPr>
          <w:rFonts w:hint="eastAsia" w:ascii="仿宋_GB2312" w:hAnsi="楷体" w:eastAsia="仿宋_GB2312"/>
          <w:color w:val="auto"/>
          <w:sz w:val="24"/>
          <w:highlight w:val="none"/>
        </w:rPr>
        <w:t>根据项目实际填写，一般为万分之五</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承担违约责任，违约金上限按照《合同书》约定执行。</w:t>
      </w:r>
    </w:p>
    <w:p w14:paraId="6B0C4810">
      <w:pPr>
        <w:spacing w:line="360" w:lineRule="auto"/>
        <w:ind w:firstLine="480" w:firstLineChars="200"/>
        <w:rPr>
          <w:rFonts w:hint="eastAsia" w:ascii="仿宋_GB2312" w:hAnsi="仿宋" w:eastAsia="仿宋_GB2312"/>
          <w:color w:val="auto"/>
          <w:sz w:val="24"/>
          <w:highlight w:val="none"/>
          <w:lang w:val="zh-CN"/>
        </w:rPr>
      </w:pPr>
      <w:r>
        <w:rPr>
          <w:rFonts w:hint="eastAsia" w:ascii="仿宋_GB2312" w:hAnsi="仿宋" w:eastAsia="仿宋_GB2312"/>
          <w:color w:val="auto"/>
          <w:sz w:val="24"/>
          <w:highlight w:val="none"/>
        </w:rPr>
        <w:t>（温馨提示：根据《广西壮族自治区财政厅关于进一步发挥政府采购政策功能促进企业发展的通知》（桂财采〔2022〕30号）规定，政府采购货物和服务的采购人在政府采购合同中约定预付款比例的，对中小企业合同预付款比例原则上不低于合同金额的30％，不高于合同金额的50%；项目分年度安排预算的，每年预付款比例不低于项目年度计划支付金额的30％；采购项目以人工投入为主的，可降低预付款比例，但不得低于10%。采购文件和采购合同没有约定预付款的，经供应商申请采购人可支付预付款。对于未实行预付款的政府采购项目，鼓励采购人在合同中明确首付款支付比例。）</w:t>
      </w:r>
    </w:p>
    <w:p w14:paraId="0B35CC9D">
      <w:pPr>
        <w:spacing w:line="360" w:lineRule="auto"/>
        <w:ind w:firstLine="480" w:firstLineChars="200"/>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甲方无故逾期支付服务费用的，按照每逾期一日支付欠付服务费额度的（</w:t>
      </w:r>
      <w:r>
        <w:rPr>
          <w:rFonts w:hint="eastAsia" w:ascii="仿宋_GB2312" w:hAnsi="楷体" w:eastAsia="仿宋_GB2312"/>
          <w:color w:val="auto"/>
          <w:sz w:val="24"/>
          <w:highlight w:val="none"/>
        </w:rPr>
        <w:t>根据项目实际填写，一般为万分之五</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承担违约责任，违约金上限按照《合同书》约定执行。</w:t>
      </w:r>
    </w:p>
    <w:p w14:paraId="1148B596">
      <w:pPr>
        <w:spacing w:line="360" w:lineRule="auto"/>
        <w:ind w:firstLine="480" w:firstLineChars="200"/>
        <w:rPr>
          <w:rFonts w:hint="eastAsia" w:ascii="仿宋_GB2312" w:hAnsi="仿宋" w:eastAsia="仿宋_GB2312"/>
          <w:color w:val="auto"/>
          <w:sz w:val="24"/>
          <w:highlight w:val="none"/>
          <w:lang w:val="zh-CN"/>
        </w:rPr>
      </w:pPr>
      <w:r>
        <w:rPr>
          <w:rFonts w:hint="eastAsia" w:ascii="仿宋_GB2312" w:hAnsi="仿宋" w:eastAsia="仿宋_GB2312"/>
          <w:color w:val="auto"/>
          <w:sz w:val="24"/>
          <w:highlight w:val="none"/>
        </w:rPr>
        <w:t>（温馨提示：根据《广西壮族自治区财政厅关于进一步发挥政府采购政策功能促进企业发展的通知》（桂财采〔2022〕30号）规定，政府采购货物和服务的采购人在政府采购合同中约定预付款比例的，对中小企业合同预付款比例原则上不低于合同金额的30％，不高于合同金额的50%；项目分年度安排预算的，每年预付款比例不低于项目年度计划支付金额的30％；采购项目以人工投入为主的，可降低预付款比例，但不得低于10%。采购文件和采购合同没有约定预付款的，经供应商申请采购人可支付预付款。对于未实行预付款的政府采购项目，鼓励采购人在合同中明确首付款支付比例。）</w:t>
      </w:r>
    </w:p>
    <w:p w14:paraId="001E3F26">
      <w:pPr>
        <w:spacing w:line="360" w:lineRule="auto"/>
        <w:ind w:firstLine="480" w:firstLineChars="200"/>
        <w:outlineLvl w:val="1"/>
        <w:rPr>
          <w:rFonts w:hint="eastAsia" w:ascii="仿宋_GB2312" w:hAnsi="楷体" w:eastAsia="仿宋_GB2312"/>
          <w:b/>
          <w:color w:val="auto"/>
          <w:sz w:val="24"/>
          <w:highlight w:val="none"/>
        </w:rPr>
      </w:pPr>
      <w:bookmarkStart w:id="564" w:name="_Toc31691"/>
      <w:bookmarkStart w:id="565" w:name="_Toc27686"/>
      <w:r>
        <w:rPr>
          <w:rFonts w:hint="eastAsia" w:ascii="仿宋_GB2312" w:hAnsi="楷体" w:eastAsia="仿宋_GB2312"/>
          <w:color w:val="auto"/>
          <w:sz w:val="24"/>
          <w:highlight w:val="none"/>
        </w:rPr>
        <w:t>3.5</w:t>
      </w:r>
      <w:r>
        <w:rPr>
          <w:rFonts w:hint="eastAsia" w:ascii="仿宋_GB2312" w:hAnsi="楷体" w:eastAsia="仿宋_GB2312"/>
          <w:b/>
          <w:color w:val="auto"/>
          <w:sz w:val="24"/>
          <w:highlight w:val="none"/>
        </w:rPr>
        <w:t>标的物的风险负担</w:t>
      </w:r>
      <w:bookmarkEnd w:id="564"/>
      <w:bookmarkEnd w:id="565"/>
    </w:p>
    <w:p w14:paraId="214BE106">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标的物或者在途标的物或者交付给第一承运人后的标的物毁损、灭失的风险负担：</w:t>
      </w:r>
    </w:p>
    <w:p w14:paraId="41002E57">
      <w:pPr>
        <w:spacing w:line="360" w:lineRule="auto"/>
        <w:ind w:firstLine="480" w:firstLineChars="200"/>
        <w:rPr>
          <w:rFonts w:hint="eastAsia" w:ascii="仿宋_GB2312" w:hAnsi="楷体" w:eastAsia="仿宋_GB2312"/>
          <w:color w:val="auto"/>
          <w:sz w:val="24"/>
          <w:highlight w:val="none"/>
          <w:u w:val="single"/>
        </w:rPr>
      </w:pPr>
      <w:r>
        <w:rPr>
          <w:rFonts w:hint="eastAsia" w:ascii="仿宋_GB2312" w:hAnsi="楷体" w:eastAsia="仿宋_GB2312"/>
          <w:color w:val="auto"/>
          <w:sz w:val="24"/>
          <w:highlight w:val="none"/>
          <w:u w:val="single"/>
        </w:rPr>
        <w:t xml:space="preserve">乙方                                                                       </w:t>
      </w:r>
    </w:p>
    <w:p w14:paraId="475B821F">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3.5.1受不可抗力影响的一方在不可抗力发生后，应在</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日内</w:t>
      </w:r>
      <w:r>
        <w:rPr>
          <w:rFonts w:hint="eastAsia" w:ascii="仿宋_GB2312" w:hAnsi="仿宋" w:eastAsia="仿宋_GB2312"/>
          <w:color w:val="auto"/>
          <w:sz w:val="24"/>
          <w:highlight w:val="none"/>
        </w:rPr>
        <w:t>（</w:t>
      </w:r>
      <w:r>
        <w:rPr>
          <w:rFonts w:hint="eastAsia" w:ascii="仿宋_GB2312" w:hAnsi="楷体" w:eastAsia="仿宋_GB2312"/>
          <w:color w:val="auto"/>
          <w:sz w:val="24"/>
          <w:highlight w:val="none"/>
        </w:rPr>
        <w:t>根据项目实际填写）以书面形式通知对方当事人，并在</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日内，将有关部门出具的证明文件送达对方当事人。</w:t>
      </w:r>
    </w:p>
    <w:p w14:paraId="1D59DC55">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3.5.2因不可抗力致使合同有变更必要的，双方当事人应在</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日内</w:t>
      </w:r>
      <w:r>
        <w:rPr>
          <w:rFonts w:hint="eastAsia" w:ascii="仿宋_GB2312" w:hAnsi="仿宋" w:eastAsia="仿宋_GB2312"/>
          <w:color w:val="auto"/>
          <w:sz w:val="24"/>
          <w:highlight w:val="none"/>
        </w:rPr>
        <w:t>（</w:t>
      </w:r>
      <w:r>
        <w:rPr>
          <w:rFonts w:hint="eastAsia" w:ascii="仿宋_GB2312" w:hAnsi="楷体" w:eastAsia="仿宋_GB2312"/>
          <w:color w:val="auto"/>
          <w:sz w:val="24"/>
          <w:highlight w:val="none"/>
        </w:rPr>
        <w:t>根据项目实际填写）以书面形式变更合同；</w:t>
      </w:r>
    </w:p>
    <w:p w14:paraId="5B898210">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3.5.3标的物交付前，乙方应对标的物的质量、数量等方面进行详细、全面的检验，并向甲方出具证明标的物符合合同约定的文件；标的物交付时，乙方在</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日内发</w:t>
      </w:r>
      <w:r>
        <w:rPr>
          <w:rFonts w:hint="eastAsia" w:ascii="仿宋_GB2312" w:hAnsi="仿宋" w:eastAsia="仿宋_GB2312"/>
          <w:color w:val="auto"/>
          <w:sz w:val="24"/>
          <w:highlight w:val="none"/>
        </w:rPr>
        <w:t>（</w:t>
      </w:r>
      <w:r>
        <w:rPr>
          <w:rFonts w:hint="eastAsia" w:ascii="仿宋_GB2312" w:hAnsi="楷体" w:eastAsia="仿宋_GB2312"/>
          <w:color w:val="auto"/>
          <w:sz w:val="24"/>
          <w:highlight w:val="none"/>
        </w:rPr>
        <w:t>根据项目实际填写）起验收，并可依法邀请相关方参加，验收应出具验收书。</w:t>
      </w:r>
    </w:p>
    <w:p w14:paraId="67E9264D">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3.5.4 检验和验收标准、程序等具体内容以及前述验收书的效力：</w:t>
      </w:r>
    </w:p>
    <w:p w14:paraId="75CEFBD2">
      <w:pPr>
        <w:spacing w:line="360" w:lineRule="auto"/>
        <w:ind w:firstLine="480" w:firstLineChars="200"/>
        <w:rPr>
          <w:rFonts w:ascii="仿宋_GB2312" w:hAnsi="楷体" w:eastAsia="仿宋_GB2312"/>
          <w:color w:val="auto"/>
          <w:sz w:val="24"/>
          <w:highlight w:val="none"/>
        </w:rPr>
      </w:pPr>
      <w:r>
        <w:rPr>
          <w:rFonts w:hint="eastAsia" w:ascii="仿宋_GB2312" w:hAnsi="楷体" w:eastAsia="仿宋_GB2312"/>
          <w:color w:val="auto"/>
          <w:sz w:val="24"/>
          <w:highlight w:val="none"/>
        </w:rPr>
        <w:t xml:space="preserve"> </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 xml:space="preserve">         </w:t>
      </w:r>
    </w:p>
    <w:p w14:paraId="1CC4A079">
      <w:pPr>
        <w:spacing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3.5.5 其他：</w:t>
      </w:r>
    </w:p>
    <w:p w14:paraId="788C903A">
      <w:pPr>
        <w:spacing w:line="360" w:lineRule="auto"/>
        <w:ind w:firstLine="482" w:firstLineChars="200"/>
        <w:outlineLvl w:val="1"/>
        <w:rPr>
          <w:rFonts w:hint="eastAsia" w:ascii="仿宋" w:hAnsi="仿宋" w:eastAsia="仿宋" w:cs="仿宋"/>
          <w:b/>
          <w:color w:val="auto"/>
          <w:sz w:val="24"/>
          <w:highlight w:val="none"/>
        </w:rPr>
      </w:pPr>
      <w:bookmarkStart w:id="566" w:name="_Toc18082"/>
      <w:bookmarkStart w:id="567" w:name="_Toc9260"/>
      <w:r>
        <w:rPr>
          <w:rFonts w:hint="eastAsia" w:ascii="仿宋" w:hAnsi="仿宋" w:eastAsia="仿宋" w:cs="仿宋"/>
          <w:b/>
          <w:color w:val="auto"/>
          <w:sz w:val="24"/>
          <w:highlight w:val="none"/>
        </w:rPr>
        <w:t>3.6项目验收：</w:t>
      </w:r>
      <w:bookmarkEnd w:id="566"/>
      <w:bookmarkEnd w:id="567"/>
    </w:p>
    <w:p w14:paraId="7AA94783">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3.6.1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14:paraId="6CCAF5FC">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3.6.2严格按照采购合同开展履约验收。甲方成立验收小组，按照采购合同的约定对供应商履约情况进行验收，验收时，按照采购合同的约定对每一项技术、服务、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50B9A84F">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3.6.3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3E1561A4">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3.6.4验收产生的费用由乙方承担。</w:t>
      </w:r>
    </w:p>
    <w:p w14:paraId="2D1264F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3.6.5</w:t>
      </w:r>
      <w:r>
        <w:rPr>
          <w:rFonts w:hint="eastAsia" w:ascii="仿宋" w:hAnsi="仿宋" w:eastAsia="仿宋" w:cs="仿宋"/>
          <w:color w:val="auto"/>
          <w:sz w:val="24"/>
          <w:highlight w:val="none"/>
        </w:rPr>
        <w:t>验收内容及资料要求：</w:t>
      </w:r>
    </w:p>
    <w:p w14:paraId="74F2CC2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根据采购文件确定的技术指标或者服务要求确定验收指标和标准。未进行相应约定的，应当符合国家强制性规定、政策要求、安全标准、行业或企业有关标准等。</w:t>
      </w:r>
    </w:p>
    <w:p w14:paraId="1D442256">
      <w:pPr>
        <w:tabs>
          <w:tab w:val="left" w:pos="904"/>
        </w:tabs>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3.6.6</w:t>
      </w:r>
      <w:r>
        <w:rPr>
          <w:rFonts w:hint="eastAsia" w:ascii="仿宋" w:hAnsi="仿宋" w:eastAsia="仿宋" w:cs="仿宋"/>
          <w:color w:val="auto"/>
          <w:sz w:val="24"/>
          <w:highlight w:val="none"/>
        </w:rPr>
        <w:t>验收内容</w:t>
      </w:r>
    </w:p>
    <w:p w14:paraId="377C7E8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性规定、政策要求、安全标准、行业或企业有关标准等。</w:t>
      </w:r>
    </w:p>
    <w:p w14:paraId="34C74BA5">
      <w:pPr>
        <w:tabs>
          <w:tab w:val="left" w:pos="904"/>
        </w:tabs>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3.6.6验收内容</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914"/>
        <w:gridCol w:w="5930"/>
      </w:tblGrid>
      <w:tr w14:paraId="1300A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358A9840">
            <w:pPr>
              <w:keepNext w:val="0"/>
              <w:keepLines w:val="0"/>
              <w:widowControl/>
              <w:suppressLineNumbers w:val="0"/>
              <w:spacing w:before="0" w:beforeAutospacing="0" w:after="0" w:afterAutospacing="0" w:line="360" w:lineRule="auto"/>
              <w:ind w:left="0" w:right="0" w:firstLine="200"/>
              <w:jc w:val="center"/>
              <w:rPr>
                <w:rFonts w:hint="default"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序号</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36958B95">
            <w:pPr>
              <w:keepNext w:val="0"/>
              <w:keepLines w:val="0"/>
              <w:widowControl/>
              <w:suppressLineNumbers w:val="0"/>
              <w:spacing w:before="0" w:beforeAutospacing="0" w:after="0" w:afterAutospacing="0" w:line="360" w:lineRule="auto"/>
              <w:ind w:left="0" w:right="0" w:firstLine="200"/>
              <w:jc w:val="center"/>
              <w:rPr>
                <w:rFonts w:hint="default"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验收内容</w:t>
            </w:r>
          </w:p>
        </w:tc>
        <w:tc>
          <w:tcPr>
            <w:tcW w:w="5930" w:type="dxa"/>
            <w:tcBorders>
              <w:top w:val="single" w:color="auto" w:sz="4" w:space="0"/>
              <w:left w:val="single" w:color="auto" w:sz="4" w:space="0"/>
              <w:bottom w:val="single" w:color="auto" w:sz="4" w:space="0"/>
              <w:right w:val="single" w:color="auto" w:sz="4" w:space="0"/>
            </w:tcBorders>
            <w:noWrap w:val="0"/>
            <w:vAlign w:val="center"/>
          </w:tcPr>
          <w:p w14:paraId="75189EE9">
            <w:pPr>
              <w:keepNext w:val="0"/>
              <w:keepLines w:val="0"/>
              <w:widowControl/>
              <w:suppressLineNumbers w:val="0"/>
              <w:spacing w:before="0" w:beforeAutospacing="0" w:after="0" w:afterAutospacing="0" w:line="360" w:lineRule="auto"/>
              <w:ind w:left="0" w:right="0" w:firstLine="200"/>
              <w:jc w:val="center"/>
              <w:rPr>
                <w:rFonts w:hint="default"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 xml:space="preserve"> 验收标准</w:t>
            </w:r>
          </w:p>
        </w:tc>
      </w:tr>
      <w:tr w14:paraId="58D51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48364D3A">
            <w:pPr>
              <w:keepNext w:val="0"/>
              <w:keepLines w:val="0"/>
              <w:widowControl/>
              <w:suppressLineNumbers w:val="0"/>
              <w:spacing w:before="0" w:beforeAutospacing="0" w:after="0" w:afterAutospacing="0" w:line="360" w:lineRule="auto"/>
              <w:ind w:left="0" w:right="0" w:firstLine="200"/>
              <w:jc w:val="center"/>
              <w:rPr>
                <w:rFonts w:hint="default"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1</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79B11925">
            <w:pPr>
              <w:keepNext w:val="0"/>
              <w:keepLines w:val="0"/>
              <w:widowControl/>
              <w:suppressLineNumbers w:val="0"/>
              <w:spacing w:before="0" w:beforeAutospacing="0" w:after="0" w:afterAutospacing="0" w:line="360" w:lineRule="auto"/>
              <w:ind w:left="0" w:right="0"/>
              <w:rPr>
                <w:rFonts w:hint="default"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交付标的物数量</w:t>
            </w:r>
          </w:p>
        </w:tc>
        <w:tc>
          <w:tcPr>
            <w:tcW w:w="5930" w:type="dxa"/>
            <w:tcBorders>
              <w:top w:val="single" w:color="auto" w:sz="4" w:space="0"/>
              <w:left w:val="single" w:color="auto" w:sz="4" w:space="0"/>
              <w:bottom w:val="single" w:color="auto" w:sz="4" w:space="0"/>
              <w:right w:val="single" w:color="auto" w:sz="4" w:space="0"/>
            </w:tcBorders>
            <w:noWrap w:val="0"/>
            <w:vAlign w:val="center"/>
          </w:tcPr>
          <w:p w14:paraId="10606FF5">
            <w:pPr>
              <w:keepNext w:val="0"/>
              <w:keepLines w:val="0"/>
              <w:widowControl/>
              <w:suppressLineNumbers w:val="0"/>
              <w:spacing w:before="0" w:beforeAutospacing="0" w:after="0" w:afterAutospacing="0" w:line="360" w:lineRule="auto"/>
              <w:ind w:left="0" w:right="0"/>
              <w:rPr>
                <w:rFonts w:hint="default"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按项目采购文件要求和投标（响应）文件执行</w:t>
            </w:r>
          </w:p>
        </w:tc>
      </w:tr>
      <w:tr w14:paraId="1BE9A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122D783B">
            <w:pPr>
              <w:keepNext w:val="0"/>
              <w:keepLines w:val="0"/>
              <w:widowControl/>
              <w:suppressLineNumbers w:val="0"/>
              <w:spacing w:before="0" w:beforeAutospacing="0" w:after="0" w:afterAutospacing="0" w:line="360" w:lineRule="auto"/>
              <w:ind w:left="0" w:right="0" w:firstLine="200"/>
              <w:jc w:val="center"/>
              <w:rPr>
                <w:rFonts w:hint="default"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2</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27ABA242">
            <w:pPr>
              <w:keepNext w:val="0"/>
              <w:keepLines w:val="0"/>
              <w:widowControl/>
              <w:suppressLineNumbers w:val="0"/>
              <w:spacing w:before="0" w:beforeAutospacing="0" w:after="0" w:afterAutospacing="0" w:line="360" w:lineRule="auto"/>
              <w:ind w:left="0" w:right="0"/>
              <w:rPr>
                <w:rFonts w:hint="default"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交付标的物质量文件</w:t>
            </w:r>
          </w:p>
        </w:tc>
        <w:tc>
          <w:tcPr>
            <w:tcW w:w="5930" w:type="dxa"/>
            <w:tcBorders>
              <w:top w:val="single" w:color="auto" w:sz="4" w:space="0"/>
              <w:left w:val="single" w:color="auto" w:sz="4" w:space="0"/>
              <w:bottom w:val="single" w:color="auto" w:sz="4" w:space="0"/>
              <w:right w:val="single" w:color="auto" w:sz="4" w:space="0"/>
            </w:tcBorders>
            <w:noWrap w:val="0"/>
            <w:vAlign w:val="center"/>
          </w:tcPr>
          <w:p w14:paraId="7CC3FCE6">
            <w:pPr>
              <w:keepNext w:val="0"/>
              <w:keepLines w:val="0"/>
              <w:widowControl/>
              <w:suppressLineNumbers w:val="0"/>
              <w:spacing w:before="0" w:beforeAutospacing="0" w:after="0" w:afterAutospacing="0" w:line="360" w:lineRule="auto"/>
              <w:ind w:left="0" w:right="0"/>
              <w:rPr>
                <w:rFonts w:hint="default"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按项目采购文件要求和投标（响应）文件执行</w:t>
            </w:r>
          </w:p>
        </w:tc>
      </w:tr>
      <w:tr w14:paraId="2AE40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115A42B1">
            <w:pPr>
              <w:keepNext w:val="0"/>
              <w:keepLines w:val="0"/>
              <w:widowControl/>
              <w:suppressLineNumbers w:val="0"/>
              <w:spacing w:before="0" w:beforeAutospacing="0" w:after="0" w:afterAutospacing="0" w:line="360" w:lineRule="auto"/>
              <w:ind w:left="0" w:right="0" w:firstLine="200"/>
              <w:jc w:val="center"/>
              <w:rPr>
                <w:rFonts w:hint="default"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4</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060035F4">
            <w:pPr>
              <w:keepNext w:val="0"/>
              <w:keepLines w:val="0"/>
              <w:widowControl/>
              <w:suppressLineNumbers w:val="0"/>
              <w:spacing w:before="0" w:beforeAutospacing="0" w:after="0" w:afterAutospacing="0" w:line="360" w:lineRule="auto"/>
              <w:ind w:left="0" w:right="0"/>
              <w:rPr>
                <w:rFonts w:hint="default"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 xml:space="preserve">交付标的物技术、性能指标 </w:t>
            </w:r>
          </w:p>
        </w:tc>
        <w:tc>
          <w:tcPr>
            <w:tcW w:w="5930" w:type="dxa"/>
            <w:tcBorders>
              <w:top w:val="single" w:color="auto" w:sz="4" w:space="0"/>
              <w:left w:val="single" w:color="auto" w:sz="4" w:space="0"/>
              <w:bottom w:val="single" w:color="auto" w:sz="4" w:space="0"/>
              <w:right w:val="single" w:color="auto" w:sz="4" w:space="0"/>
            </w:tcBorders>
            <w:noWrap w:val="0"/>
            <w:vAlign w:val="center"/>
          </w:tcPr>
          <w:p w14:paraId="6B064010">
            <w:pPr>
              <w:keepNext w:val="0"/>
              <w:keepLines w:val="0"/>
              <w:widowControl/>
              <w:suppressLineNumbers w:val="0"/>
              <w:spacing w:before="0" w:beforeAutospacing="0" w:after="0" w:afterAutospacing="0" w:line="360" w:lineRule="auto"/>
              <w:ind w:left="0" w:right="0"/>
              <w:rPr>
                <w:rFonts w:hint="default"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按项目采购文件要求和投标（响应）文件执行</w:t>
            </w:r>
          </w:p>
        </w:tc>
      </w:tr>
      <w:tr w14:paraId="75C51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4AD38780">
            <w:pPr>
              <w:keepNext w:val="0"/>
              <w:keepLines w:val="0"/>
              <w:widowControl/>
              <w:suppressLineNumbers w:val="0"/>
              <w:spacing w:before="0" w:beforeAutospacing="0" w:after="0" w:afterAutospacing="0" w:line="360" w:lineRule="auto"/>
              <w:ind w:left="0" w:right="0" w:firstLine="200"/>
              <w:jc w:val="center"/>
              <w:rPr>
                <w:rFonts w:hint="default" w:ascii="仿宋" w:hAnsi="仿宋" w:eastAsia="仿宋" w:cs="仿宋"/>
                <w:color w:val="auto"/>
                <w:kern w:val="0"/>
                <w:sz w:val="24"/>
                <w:highlight w:val="none"/>
              </w:rPr>
            </w:pPr>
            <w:r>
              <w:rPr>
                <w:rFonts w:hint="eastAsia" w:ascii="仿宋" w:hAnsi="仿宋" w:eastAsia="仿宋" w:cs="仿宋"/>
                <w:color w:val="auto"/>
                <w:kern w:val="0"/>
                <w:sz w:val="24"/>
                <w:highlight w:val="none"/>
              </w:rPr>
              <w:t>5</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29DFF2B3">
            <w:pPr>
              <w:keepNext w:val="0"/>
              <w:keepLines w:val="0"/>
              <w:widowControl/>
              <w:suppressLineNumbers w:val="0"/>
              <w:spacing w:before="0" w:beforeAutospacing="0" w:after="0" w:afterAutospacing="0" w:line="360" w:lineRule="auto"/>
              <w:ind w:left="0" w:right="0"/>
              <w:rPr>
                <w:rFonts w:hint="default"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售后服务承诺</w:t>
            </w:r>
          </w:p>
        </w:tc>
        <w:tc>
          <w:tcPr>
            <w:tcW w:w="5930" w:type="dxa"/>
            <w:tcBorders>
              <w:top w:val="single" w:color="auto" w:sz="4" w:space="0"/>
              <w:left w:val="single" w:color="auto" w:sz="4" w:space="0"/>
              <w:bottom w:val="single" w:color="auto" w:sz="4" w:space="0"/>
              <w:right w:val="single" w:color="auto" w:sz="4" w:space="0"/>
            </w:tcBorders>
            <w:noWrap w:val="0"/>
            <w:vAlign w:val="center"/>
          </w:tcPr>
          <w:p w14:paraId="4F3EB672">
            <w:pPr>
              <w:keepNext w:val="0"/>
              <w:keepLines w:val="0"/>
              <w:widowControl/>
              <w:suppressLineNumbers w:val="0"/>
              <w:spacing w:before="0" w:beforeAutospacing="0" w:after="0" w:afterAutospacing="0" w:line="360" w:lineRule="auto"/>
              <w:ind w:left="0" w:right="0"/>
              <w:rPr>
                <w:rFonts w:hint="default"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按项目采购文件要求和投标（响应）文件执行</w:t>
            </w:r>
          </w:p>
        </w:tc>
      </w:tr>
      <w:tr w14:paraId="333B4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5B81199C">
            <w:pPr>
              <w:keepNext w:val="0"/>
              <w:keepLines w:val="0"/>
              <w:widowControl/>
              <w:suppressLineNumbers w:val="0"/>
              <w:spacing w:before="0" w:beforeAutospacing="0" w:after="0" w:afterAutospacing="0" w:line="360" w:lineRule="auto"/>
              <w:ind w:left="0" w:right="0" w:firstLine="200"/>
              <w:jc w:val="center"/>
              <w:rPr>
                <w:rFonts w:hint="default"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6</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4EE326E6">
            <w:pPr>
              <w:keepNext w:val="0"/>
              <w:keepLines w:val="0"/>
              <w:widowControl/>
              <w:suppressLineNumbers w:val="0"/>
              <w:spacing w:before="0" w:beforeAutospacing="0" w:after="0" w:afterAutospacing="0" w:line="360" w:lineRule="auto"/>
              <w:ind w:left="0" w:right="0"/>
              <w:rPr>
                <w:rFonts w:hint="default"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其他工作</w:t>
            </w:r>
          </w:p>
        </w:tc>
        <w:tc>
          <w:tcPr>
            <w:tcW w:w="5930" w:type="dxa"/>
            <w:tcBorders>
              <w:top w:val="single" w:color="auto" w:sz="4" w:space="0"/>
              <w:left w:val="single" w:color="auto" w:sz="4" w:space="0"/>
              <w:bottom w:val="single" w:color="auto" w:sz="4" w:space="0"/>
              <w:right w:val="single" w:color="auto" w:sz="4" w:space="0"/>
            </w:tcBorders>
            <w:noWrap w:val="0"/>
            <w:vAlign w:val="center"/>
          </w:tcPr>
          <w:p w14:paraId="4A20D98F">
            <w:pPr>
              <w:keepNext w:val="0"/>
              <w:keepLines w:val="0"/>
              <w:widowControl/>
              <w:suppressLineNumbers w:val="0"/>
              <w:spacing w:before="0" w:beforeAutospacing="0" w:after="0" w:afterAutospacing="0" w:line="360" w:lineRule="auto"/>
              <w:ind w:left="0" w:right="0"/>
              <w:rPr>
                <w:rFonts w:hint="default"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按项目采购文件要求和投标（响应）文件执行</w:t>
            </w:r>
          </w:p>
        </w:tc>
      </w:tr>
    </w:tbl>
    <w:p w14:paraId="0384E367">
      <w:pPr>
        <w:tabs>
          <w:tab w:val="left" w:pos="904"/>
        </w:tabs>
        <w:snapToGrid w:val="0"/>
        <w:spacing w:line="360" w:lineRule="auto"/>
        <w:ind w:firstLine="480" w:firstLineChars="200"/>
        <w:jc w:val="left"/>
        <w:rPr>
          <w:rFonts w:hint="eastAsia" w:ascii="仿宋" w:hAnsi="仿宋" w:eastAsia="仿宋" w:cs="仿宋"/>
          <w:color w:val="auto"/>
          <w:sz w:val="24"/>
          <w:highlight w:val="none"/>
        </w:rPr>
      </w:pPr>
    </w:p>
    <w:p w14:paraId="01C12E73">
      <w:pPr>
        <w:tabs>
          <w:tab w:val="left" w:pos="904"/>
        </w:tabs>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温馨提示：根据《广西壮族自治区财政厅关于进一步发挥政府采购政策功能促进企业发展的通知》（桂财采〔2022〕30号）规定，采购人应当在项目完成且收到供应商验收申请后5个工作日内组织开展履约验收；对于满足合同约定支付条件的项目，应在收到发票后30日内将资金支付到合同约定的供应商账户，不得以进行审计作为支付供应商款项的条件。加快采购资金支付进度，对于200万元以下的货物和服务项目，鼓励采购人一次性全额支付给供应商。采购人不得以机构变动、人员更替、政策调整、履行内部付款流程等为由延迟付款。）</w:t>
      </w:r>
      <w:r>
        <w:rPr>
          <w:rFonts w:hint="eastAsia" w:ascii="仿宋" w:hAnsi="仿宋" w:eastAsia="仿宋" w:cs="仿宋"/>
          <w:color w:val="auto"/>
          <w:kern w:val="0"/>
          <w:sz w:val="24"/>
          <w:highlight w:val="none"/>
        </w:rPr>
        <w:t>3.6.7</w:t>
      </w:r>
      <w:r>
        <w:rPr>
          <w:rFonts w:hint="eastAsia" w:ascii="仿宋" w:hAnsi="仿宋" w:eastAsia="仿宋" w:cs="仿宋"/>
          <w:color w:val="auto"/>
          <w:sz w:val="24"/>
          <w:highlight w:val="none"/>
        </w:rPr>
        <w:t>验收资料要求</w:t>
      </w:r>
    </w:p>
    <w:p w14:paraId="0BA8413C">
      <w:pPr>
        <w:tabs>
          <w:tab w:val="left" w:pos="904"/>
        </w:tabs>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验收资料要求包括（不限于）以下内容：</w:t>
      </w:r>
    </w:p>
    <w:p w14:paraId="2B093C5A">
      <w:pPr>
        <w:tabs>
          <w:tab w:val="left" w:pos="904"/>
        </w:tabs>
        <w:adjustRightInd w:val="0"/>
        <w:snapToGrid w:val="0"/>
        <w:spacing w:line="360" w:lineRule="auto"/>
        <w:ind w:firstLine="240" w:firstLineChars="1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（1）采购文件；</w:t>
      </w:r>
    </w:p>
    <w:p w14:paraId="3DDF1575">
      <w:pPr>
        <w:tabs>
          <w:tab w:val="left" w:pos="904"/>
        </w:tabs>
        <w:adjustRightInd w:val="0"/>
        <w:snapToGrid w:val="0"/>
        <w:spacing w:line="360" w:lineRule="auto"/>
        <w:ind w:firstLine="240" w:firstLineChars="1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（2）投标文件；</w:t>
      </w:r>
    </w:p>
    <w:p w14:paraId="1BDCA71E">
      <w:pPr>
        <w:tabs>
          <w:tab w:val="left" w:pos="904"/>
        </w:tabs>
        <w:adjustRightInd w:val="0"/>
        <w:snapToGrid w:val="0"/>
        <w:spacing w:line="360" w:lineRule="auto"/>
        <w:ind w:firstLine="240" w:firstLineChars="1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（3）采购合同；</w:t>
      </w:r>
    </w:p>
    <w:p w14:paraId="46B71479">
      <w:pPr>
        <w:tabs>
          <w:tab w:val="left" w:pos="904"/>
        </w:tabs>
        <w:adjustRightInd w:val="0"/>
        <w:snapToGrid w:val="0"/>
        <w:spacing w:line="360" w:lineRule="auto"/>
        <w:ind w:firstLine="240" w:firstLineChars="1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（4）其他需提供的相关材料。</w:t>
      </w:r>
    </w:p>
    <w:p w14:paraId="446FFDA2">
      <w:pPr>
        <w:pStyle w:val="3"/>
        <w:spacing w:before="0" w:after="0" w:line="360" w:lineRule="auto"/>
        <w:jc w:val="center"/>
        <w:rPr>
          <w:rFonts w:hint="eastAsia" w:ascii="方正仿宋_GB2312" w:hAnsi="方正仿宋_GB2312" w:eastAsia="方正仿宋_GB2312" w:cs="方正仿宋_GB2312"/>
          <w:color w:val="auto"/>
          <w:sz w:val="28"/>
          <w:szCs w:val="28"/>
          <w:highlight w:val="none"/>
        </w:rPr>
      </w:pPr>
      <w:bookmarkStart w:id="568" w:name="_Toc14376"/>
    </w:p>
    <w:p w14:paraId="4D7627C2">
      <w:pPr>
        <w:pStyle w:val="3"/>
        <w:spacing w:before="0" w:after="0" w:line="360" w:lineRule="auto"/>
        <w:jc w:val="center"/>
        <w:rPr>
          <w:rFonts w:hint="eastAsia" w:ascii="方正仿宋_GB2312" w:hAnsi="方正仿宋_GB2312" w:eastAsia="方正仿宋_GB2312" w:cs="方正仿宋_GB2312"/>
          <w:color w:val="auto"/>
          <w:sz w:val="28"/>
          <w:szCs w:val="28"/>
          <w:highlight w:val="none"/>
        </w:rPr>
      </w:pPr>
    </w:p>
    <w:p w14:paraId="23D043E4">
      <w:pPr>
        <w:pStyle w:val="3"/>
        <w:spacing w:before="0" w:after="0" w:line="360" w:lineRule="auto"/>
        <w:jc w:val="center"/>
        <w:rPr>
          <w:rFonts w:hint="eastAsia" w:ascii="方正仿宋_GB2312" w:hAnsi="方正仿宋_GB2312" w:eastAsia="方正仿宋_GB2312" w:cs="方正仿宋_GB2312"/>
          <w:color w:val="auto"/>
          <w:sz w:val="28"/>
          <w:szCs w:val="28"/>
          <w:highlight w:val="none"/>
        </w:rPr>
      </w:pPr>
    </w:p>
    <w:p w14:paraId="551B498C">
      <w:pPr>
        <w:pStyle w:val="3"/>
        <w:spacing w:before="0" w:after="0" w:line="360" w:lineRule="auto"/>
        <w:jc w:val="center"/>
        <w:rPr>
          <w:rFonts w:hint="eastAsia" w:ascii="方正仿宋_GB2312" w:hAnsi="方正仿宋_GB2312" w:eastAsia="方正仿宋_GB2312" w:cs="方正仿宋_GB2312"/>
          <w:color w:val="auto"/>
          <w:sz w:val="28"/>
          <w:szCs w:val="28"/>
          <w:highlight w:val="none"/>
        </w:rPr>
      </w:pPr>
    </w:p>
    <w:p w14:paraId="621B5795">
      <w:pPr>
        <w:rPr>
          <w:rFonts w:hint="eastAsia" w:ascii="方正仿宋_GB2312" w:hAnsi="方正仿宋_GB2312" w:eastAsia="方正仿宋_GB2312" w:cs="方正仿宋_GB2312"/>
          <w:color w:val="auto"/>
          <w:sz w:val="28"/>
          <w:szCs w:val="28"/>
          <w:highlight w:val="none"/>
        </w:rPr>
      </w:pPr>
    </w:p>
    <w:p w14:paraId="47CCB6BB">
      <w:pPr>
        <w:rPr>
          <w:rFonts w:hint="eastAsia" w:ascii="方正仿宋_GB2312" w:hAnsi="方正仿宋_GB2312" w:eastAsia="方正仿宋_GB2312" w:cs="方正仿宋_GB2312"/>
          <w:color w:val="auto"/>
          <w:sz w:val="28"/>
          <w:szCs w:val="28"/>
          <w:highlight w:val="none"/>
        </w:rPr>
      </w:pPr>
    </w:p>
    <w:p w14:paraId="0B2F9201">
      <w:pPr>
        <w:rPr>
          <w:rFonts w:hint="eastAsia" w:ascii="方正仿宋_GB2312" w:hAnsi="方正仿宋_GB2312" w:eastAsia="方正仿宋_GB2312" w:cs="方正仿宋_GB2312"/>
          <w:color w:val="auto"/>
          <w:sz w:val="28"/>
          <w:szCs w:val="28"/>
          <w:highlight w:val="none"/>
        </w:rPr>
      </w:pPr>
    </w:p>
    <w:p w14:paraId="3F85CC89">
      <w:pPr>
        <w:rPr>
          <w:rFonts w:hint="eastAsia" w:ascii="方正仿宋_GB2312" w:hAnsi="方正仿宋_GB2312" w:eastAsia="方正仿宋_GB2312" w:cs="方正仿宋_GB2312"/>
          <w:color w:val="auto"/>
          <w:sz w:val="28"/>
          <w:szCs w:val="28"/>
          <w:highlight w:val="none"/>
        </w:rPr>
      </w:pPr>
    </w:p>
    <w:p w14:paraId="6D85E0B8">
      <w:pPr>
        <w:pStyle w:val="3"/>
        <w:spacing w:before="0" w:after="0" w:line="360" w:lineRule="auto"/>
        <w:jc w:val="center"/>
        <w:rPr>
          <w:rFonts w:hint="eastAsia" w:ascii="方正仿宋_GB2312" w:hAnsi="方正仿宋_GB2312" w:eastAsia="方正仿宋_GB2312" w:cs="方正仿宋_GB2312"/>
          <w:color w:val="auto"/>
          <w:sz w:val="28"/>
          <w:szCs w:val="28"/>
          <w:highlight w:val="none"/>
        </w:rPr>
      </w:pPr>
      <w:bookmarkStart w:id="569" w:name="_Toc23760"/>
      <w:r>
        <w:rPr>
          <w:rFonts w:hint="eastAsia" w:ascii="方正仿宋_GB2312" w:hAnsi="方正仿宋_GB2312" w:eastAsia="方正仿宋_GB2312" w:cs="方正仿宋_GB2312"/>
          <w:color w:val="auto"/>
          <w:sz w:val="28"/>
          <w:szCs w:val="28"/>
          <w:highlight w:val="none"/>
        </w:rPr>
        <w:t>第四部分 合同附件材料</w:t>
      </w:r>
      <w:bookmarkEnd w:id="568"/>
      <w:bookmarkEnd w:id="569"/>
    </w:p>
    <w:p w14:paraId="0F86F0CF">
      <w:pPr>
        <w:rPr>
          <w:color w:val="auto"/>
          <w:highlight w:val="none"/>
        </w:rPr>
      </w:pPr>
    </w:p>
    <w:p w14:paraId="139D0308">
      <w:pPr>
        <w:spacing w:line="360" w:lineRule="auto"/>
        <w:ind w:left="720" w:firstLine="723" w:firstLineChars="200"/>
        <w:rPr>
          <w:rFonts w:hint="eastAsia" w:ascii="仿宋" w:hAnsi="仿宋" w:eastAsia="仿宋" w:cs="仿宋_GB2312"/>
          <w:b/>
          <w:color w:val="auto"/>
          <w:sz w:val="36"/>
          <w:szCs w:val="20"/>
          <w:highlight w:val="none"/>
        </w:rPr>
      </w:pPr>
    </w:p>
    <w:p w14:paraId="28B0E159">
      <w:pPr>
        <w:tabs>
          <w:tab w:val="left" w:pos="2472"/>
        </w:tabs>
        <w:spacing w:line="460" w:lineRule="exact"/>
        <w:jc w:val="center"/>
        <w:rPr>
          <w:rFonts w:hint="eastAsia"/>
          <w:b/>
          <w:color w:val="auto"/>
          <w:sz w:val="36"/>
          <w:szCs w:val="20"/>
          <w:highlight w:val="none"/>
        </w:rPr>
      </w:pPr>
    </w:p>
    <w:p w14:paraId="47130048">
      <w:pPr>
        <w:tabs>
          <w:tab w:val="left" w:pos="2472"/>
        </w:tabs>
        <w:spacing w:line="460" w:lineRule="exact"/>
        <w:jc w:val="center"/>
        <w:rPr>
          <w:b/>
          <w:color w:val="auto"/>
          <w:sz w:val="36"/>
          <w:szCs w:val="20"/>
          <w:highlight w:val="none"/>
        </w:rPr>
      </w:pPr>
    </w:p>
    <w:p w14:paraId="0FBCC968">
      <w:pPr>
        <w:tabs>
          <w:tab w:val="left" w:pos="2472"/>
        </w:tabs>
        <w:spacing w:line="460" w:lineRule="exact"/>
        <w:jc w:val="center"/>
        <w:rPr>
          <w:b/>
          <w:color w:val="auto"/>
          <w:sz w:val="36"/>
          <w:szCs w:val="20"/>
          <w:highlight w:val="none"/>
        </w:rPr>
      </w:pPr>
    </w:p>
    <w:p w14:paraId="72386E96">
      <w:pPr>
        <w:tabs>
          <w:tab w:val="left" w:pos="2472"/>
        </w:tabs>
        <w:spacing w:line="460" w:lineRule="exact"/>
        <w:jc w:val="center"/>
        <w:rPr>
          <w:b/>
          <w:color w:val="auto"/>
          <w:sz w:val="36"/>
          <w:szCs w:val="20"/>
          <w:highlight w:val="none"/>
        </w:rPr>
      </w:pPr>
    </w:p>
    <w:p w14:paraId="7A5AD0E3">
      <w:pPr>
        <w:tabs>
          <w:tab w:val="left" w:pos="2472"/>
        </w:tabs>
        <w:spacing w:line="460" w:lineRule="exact"/>
        <w:jc w:val="center"/>
        <w:rPr>
          <w:b/>
          <w:color w:val="auto"/>
          <w:sz w:val="36"/>
          <w:szCs w:val="20"/>
          <w:highlight w:val="none"/>
        </w:rPr>
      </w:pPr>
    </w:p>
    <w:p w14:paraId="00105032">
      <w:pPr>
        <w:tabs>
          <w:tab w:val="left" w:pos="2472"/>
        </w:tabs>
        <w:spacing w:line="460" w:lineRule="exact"/>
        <w:jc w:val="center"/>
        <w:rPr>
          <w:b/>
          <w:color w:val="auto"/>
          <w:sz w:val="36"/>
          <w:szCs w:val="20"/>
          <w:highlight w:val="none"/>
        </w:rPr>
      </w:pPr>
    </w:p>
    <w:p w14:paraId="3C91C104">
      <w:pPr>
        <w:tabs>
          <w:tab w:val="left" w:pos="2472"/>
        </w:tabs>
        <w:spacing w:line="460" w:lineRule="exact"/>
        <w:outlineLvl w:val="0"/>
        <w:rPr>
          <w:rFonts w:hint="eastAsia"/>
          <w:b/>
          <w:color w:val="auto"/>
          <w:sz w:val="36"/>
          <w:szCs w:val="20"/>
          <w:highlight w:val="none"/>
        </w:rPr>
      </w:pPr>
    </w:p>
    <w:p w14:paraId="487F45F2">
      <w:pPr>
        <w:tabs>
          <w:tab w:val="left" w:pos="2472"/>
        </w:tabs>
        <w:spacing w:line="460" w:lineRule="exact"/>
        <w:jc w:val="center"/>
        <w:outlineLvl w:val="0"/>
        <w:rPr>
          <w:rFonts w:hint="eastAsia"/>
          <w:b/>
          <w:color w:val="auto"/>
          <w:sz w:val="36"/>
          <w:szCs w:val="20"/>
          <w:highlight w:val="none"/>
        </w:rPr>
      </w:pPr>
    </w:p>
    <w:p w14:paraId="6DA6F40A">
      <w:pPr>
        <w:tabs>
          <w:tab w:val="left" w:pos="2472"/>
        </w:tabs>
        <w:spacing w:line="460" w:lineRule="exact"/>
        <w:jc w:val="center"/>
        <w:outlineLvl w:val="0"/>
        <w:rPr>
          <w:rFonts w:hint="eastAsia"/>
          <w:b/>
          <w:color w:val="auto"/>
          <w:sz w:val="36"/>
          <w:szCs w:val="20"/>
          <w:highlight w:val="none"/>
        </w:rPr>
      </w:pPr>
    </w:p>
    <w:p w14:paraId="28AF7FC7">
      <w:pPr>
        <w:tabs>
          <w:tab w:val="left" w:pos="2472"/>
        </w:tabs>
        <w:spacing w:line="460" w:lineRule="exact"/>
        <w:jc w:val="center"/>
        <w:outlineLvl w:val="0"/>
        <w:rPr>
          <w:rFonts w:hint="eastAsia"/>
          <w:b/>
          <w:color w:val="auto"/>
          <w:sz w:val="36"/>
          <w:szCs w:val="20"/>
          <w:highlight w:val="none"/>
        </w:rPr>
      </w:pPr>
    </w:p>
    <w:p w14:paraId="47A5D75D">
      <w:pPr>
        <w:tabs>
          <w:tab w:val="left" w:pos="2472"/>
        </w:tabs>
        <w:spacing w:line="460" w:lineRule="exact"/>
        <w:jc w:val="center"/>
        <w:outlineLvl w:val="0"/>
        <w:rPr>
          <w:b/>
          <w:color w:val="auto"/>
          <w:sz w:val="36"/>
          <w:szCs w:val="20"/>
          <w:highlight w:val="none"/>
        </w:rPr>
      </w:pPr>
      <w:bookmarkStart w:id="570" w:name="_Toc1021"/>
      <w:r>
        <w:rPr>
          <w:rFonts w:hint="eastAsia"/>
          <w:b/>
          <w:color w:val="auto"/>
          <w:sz w:val="36"/>
          <w:szCs w:val="20"/>
          <w:highlight w:val="none"/>
        </w:rPr>
        <w:t>第六章</w:t>
      </w:r>
      <w:r>
        <w:rPr>
          <w:b/>
          <w:color w:val="auto"/>
          <w:sz w:val="36"/>
          <w:szCs w:val="20"/>
          <w:highlight w:val="none"/>
        </w:rPr>
        <w:t xml:space="preserve"> </w:t>
      </w:r>
      <w:r>
        <w:rPr>
          <w:rFonts w:hint="eastAsia"/>
          <w:b/>
          <w:color w:val="auto"/>
          <w:sz w:val="36"/>
          <w:szCs w:val="20"/>
          <w:highlight w:val="none"/>
        </w:rPr>
        <w:t>投标文件格式</w:t>
      </w:r>
      <w:bookmarkEnd w:id="570"/>
    </w:p>
    <w:p w14:paraId="1B56BC4D">
      <w:pPr>
        <w:widowControl/>
        <w:spacing w:beforeAutospacing="1" w:line="360" w:lineRule="auto"/>
        <w:jc w:val="left"/>
        <w:rPr>
          <w:rFonts w:ascii="宋体" w:hAnsi="宋体"/>
          <w:color w:val="auto"/>
          <w:szCs w:val="20"/>
          <w:highlight w:val="none"/>
        </w:rPr>
        <w:sectPr>
          <w:pgSz w:w="11906" w:h="16838"/>
          <w:pgMar w:top="1134" w:right="1134" w:bottom="1134" w:left="1134" w:header="720" w:footer="720" w:gutter="0"/>
          <w:cols w:space="720" w:num="1"/>
          <w:docGrid w:type="lines" w:linePitch="331" w:charSpace="0"/>
        </w:sectPr>
      </w:pPr>
    </w:p>
    <w:p w14:paraId="798B418B">
      <w:pPr>
        <w:ind w:firstLine="551" w:firstLineChars="196"/>
        <w:jc w:val="center"/>
        <w:outlineLvl w:val="1"/>
        <w:rPr>
          <w:rFonts w:ascii="宋体" w:hAnsi="宋体"/>
          <w:b/>
          <w:bCs/>
          <w:color w:val="auto"/>
          <w:sz w:val="28"/>
          <w:szCs w:val="28"/>
          <w:highlight w:val="none"/>
        </w:rPr>
      </w:pPr>
      <w:bookmarkStart w:id="571" w:name="_Toc10196"/>
      <w:r>
        <w:rPr>
          <w:rFonts w:hint="eastAsia" w:ascii="宋体" w:hAnsi="宋体"/>
          <w:b/>
          <w:bCs/>
          <w:color w:val="auto"/>
          <w:sz w:val="28"/>
          <w:szCs w:val="28"/>
          <w:highlight w:val="none"/>
        </w:rPr>
        <w:t>第一节 投标文件外层包装封面</w:t>
      </w:r>
      <w:bookmarkEnd w:id="571"/>
    </w:p>
    <w:p w14:paraId="670EFFEE">
      <w:pPr>
        <w:spacing w:before="120" w:beforeLines="50" w:after="120" w:afterLines="50"/>
        <w:jc w:val="center"/>
        <w:rPr>
          <w:rFonts w:hint="eastAsia" w:ascii="宋体" w:hAnsi="宋体" w:cs="宋体"/>
          <w:color w:val="auto"/>
          <w:spacing w:val="20"/>
          <w:sz w:val="44"/>
          <w:szCs w:val="44"/>
          <w:highlight w:val="none"/>
        </w:rPr>
      </w:pPr>
    </w:p>
    <w:p w14:paraId="448E0159">
      <w:pPr>
        <w:spacing w:before="120" w:beforeLines="50" w:after="120" w:afterLines="50"/>
        <w:jc w:val="center"/>
        <w:rPr>
          <w:rFonts w:hint="eastAsia" w:ascii="宋体" w:hAnsi="宋体" w:cs="宋体"/>
          <w:color w:val="auto"/>
          <w:spacing w:val="20"/>
          <w:sz w:val="44"/>
          <w:szCs w:val="44"/>
          <w:highlight w:val="none"/>
        </w:rPr>
      </w:pPr>
    </w:p>
    <w:p w14:paraId="04CE9137">
      <w:pPr>
        <w:spacing w:before="120" w:beforeLines="50" w:after="120" w:afterLines="50"/>
        <w:jc w:val="center"/>
        <w:rPr>
          <w:rFonts w:hint="eastAsia" w:ascii="宋体" w:hAnsi="宋体" w:cs="宋体"/>
          <w:color w:val="auto"/>
          <w:spacing w:val="20"/>
          <w:sz w:val="44"/>
          <w:szCs w:val="44"/>
          <w:highlight w:val="none"/>
        </w:rPr>
      </w:pPr>
    </w:p>
    <w:p w14:paraId="11729CCE">
      <w:pPr>
        <w:spacing w:before="120" w:beforeLines="50" w:after="120" w:afterLines="50"/>
        <w:jc w:val="center"/>
        <w:rPr>
          <w:rFonts w:hint="eastAsia" w:ascii="宋体" w:hAnsi="宋体" w:cs="宋体"/>
          <w:color w:val="auto"/>
          <w:spacing w:val="20"/>
          <w:sz w:val="44"/>
          <w:szCs w:val="44"/>
          <w:highlight w:val="none"/>
        </w:rPr>
      </w:pPr>
    </w:p>
    <w:p w14:paraId="2A6B9D91">
      <w:pPr>
        <w:spacing w:before="120" w:beforeLines="50" w:after="120" w:afterLines="50"/>
        <w:jc w:val="center"/>
        <w:rPr>
          <w:rFonts w:hint="eastAsia" w:ascii="宋体" w:hAnsi="宋体" w:cs="宋体"/>
          <w:color w:val="auto"/>
          <w:spacing w:val="40"/>
          <w:w w:val="110"/>
          <w:sz w:val="44"/>
          <w:szCs w:val="44"/>
          <w:highlight w:val="none"/>
        </w:rPr>
      </w:pPr>
      <w:r>
        <w:rPr>
          <w:rFonts w:hint="eastAsia" w:ascii="宋体" w:hAnsi="宋体" w:cs="宋体"/>
          <w:color w:val="auto"/>
          <w:spacing w:val="40"/>
          <w:w w:val="110"/>
          <w:sz w:val="44"/>
          <w:szCs w:val="44"/>
          <w:highlight w:val="none"/>
        </w:rPr>
        <w:t>南宁市城市规划展示馆布展内容升级改造</w:t>
      </w:r>
    </w:p>
    <w:p w14:paraId="2D595F0B">
      <w:pPr>
        <w:spacing w:before="120" w:beforeLines="50" w:after="120" w:afterLines="50"/>
        <w:jc w:val="center"/>
        <w:rPr>
          <w:rFonts w:hint="eastAsia" w:ascii="宋体" w:hAnsi="宋体" w:cs="宋体"/>
          <w:color w:val="auto"/>
          <w:spacing w:val="40"/>
          <w:w w:val="110"/>
          <w:sz w:val="44"/>
          <w:szCs w:val="44"/>
          <w:highlight w:val="none"/>
        </w:rPr>
      </w:pPr>
      <w:r>
        <w:rPr>
          <w:rFonts w:hint="eastAsia" w:ascii="宋体" w:hAnsi="宋体" w:cs="宋体"/>
          <w:color w:val="auto"/>
          <w:spacing w:val="40"/>
          <w:w w:val="110"/>
          <w:sz w:val="44"/>
          <w:szCs w:val="44"/>
          <w:highlight w:val="none"/>
        </w:rPr>
        <w:t>投标文件</w:t>
      </w:r>
    </w:p>
    <w:p w14:paraId="00867753">
      <w:pPr>
        <w:jc w:val="center"/>
        <w:rPr>
          <w:rFonts w:hint="eastAsia" w:ascii="宋体" w:hAnsi="宋体" w:cs="宋体"/>
          <w:color w:val="auto"/>
          <w:sz w:val="24"/>
          <w:highlight w:val="none"/>
        </w:rPr>
      </w:pPr>
      <w:r>
        <w:rPr>
          <w:rFonts w:hint="eastAsia" w:ascii="宋体" w:hAnsi="宋体" w:cs="宋体"/>
          <w:color w:val="auto"/>
          <w:sz w:val="24"/>
          <w:highlight w:val="none"/>
        </w:rPr>
        <w:t>（电子投标文件）</w:t>
      </w:r>
    </w:p>
    <w:tbl>
      <w:tblPr>
        <w:tblStyle w:val="33"/>
        <w:tblW w:w="0" w:type="auto"/>
        <w:jc w:val="center"/>
        <w:tblLayout w:type="fixed"/>
        <w:tblCellMar>
          <w:top w:w="0" w:type="dxa"/>
          <w:left w:w="108" w:type="dxa"/>
          <w:bottom w:w="0" w:type="dxa"/>
          <w:right w:w="108" w:type="dxa"/>
        </w:tblCellMar>
      </w:tblPr>
      <w:tblGrid>
        <w:gridCol w:w="1601"/>
        <w:gridCol w:w="6172"/>
      </w:tblGrid>
      <w:tr w14:paraId="1B324654">
        <w:tblPrEx>
          <w:tblCellMar>
            <w:top w:w="0" w:type="dxa"/>
            <w:left w:w="108" w:type="dxa"/>
            <w:bottom w:w="0" w:type="dxa"/>
            <w:right w:w="108" w:type="dxa"/>
          </w:tblCellMar>
        </w:tblPrEx>
        <w:trPr>
          <w:jc w:val="center"/>
        </w:trPr>
        <w:tc>
          <w:tcPr>
            <w:tcW w:w="1601" w:type="dxa"/>
            <w:noWrap w:val="0"/>
            <w:vAlign w:val="bottom"/>
          </w:tcPr>
          <w:p w14:paraId="2E416AC0">
            <w:pPr>
              <w:keepNext w:val="0"/>
              <w:keepLines w:val="0"/>
              <w:suppressLineNumbers w:val="0"/>
              <w:spacing w:before="0" w:beforeAutospacing="0" w:after="0" w:afterAutospacing="0"/>
              <w:ind w:left="0" w:right="0"/>
              <w:jc w:val="distribute"/>
              <w:rPr>
                <w:rFonts w:hint="default" w:ascii="宋体" w:hAnsi="宋体" w:cs="宋体"/>
                <w:color w:val="auto"/>
                <w:sz w:val="24"/>
                <w:highlight w:val="none"/>
              </w:rPr>
            </w:pPr>
            <w:r>
              <w:rPr>
                <w:rFonts w:hint="eastAsia" w:ascii="宋体" w:hAnsi="宋体" w:cs="宋体"/>
                <w:color w:val="auto"/>
                <w:sz w:val="24"/>
                <w:highlight w:val="none"/>
              </w:rPr>
              <w:t>项目名称：</w:t>
            </w:r>
          </w:p>
        </w:tc>
        <w:tc>
          <w:tcPr>
            <w:tcW w:w="6172" w:type="dxa"/>
            <w:tcBorders>
              <w:top w:val="nil"/>
              <w:left w:val="nil"/>
              <w:bottom w:val="single" w:color="000000" w:sz="4" w:space="0"/>
              <w:right w:val="nil"/>
            </w:tcBorders>
            <w:noWrap w:val="0"/>
            <w:vAlign w:val="bottom"/>
          </w:tcPr>
          <w:p w14:paraId="79FB1878">
            <w:pPr>
              <w:keepNext w:val="0"/>
              <w:keepLines w:val="0"/>
              <w:suppressLineNumbers w:val="0"/>
              <w:spacing w:before="0" w:beforeAutospacing="0" w:after="0" w:afterAutospacing="0"/>
              <w:ind w:left="0" w:right="0"/>
              <w:jc w:val="left"/>
              <w:rPr>
                <w:rFonts w:hint="default" w:ascii="宋体" w:hAnsi="宋体" w:cs="宋体"/>
                <w:color w:val="auto"/>
                <w:sz w:val="24"/>
                <w:highlight w:val="none"/>
              </w:rPr>
            </w:pPr>
          </w:p>
        </w:tc>
      </w:tr>
      <w:tr w14:paraId="621BB536">
        <w:tblPrEx>
          <w:tblCellMar>
            <w:top w:w="0" w:type="dxa"/>
            <w:left w:w="108" w:type="dxa"/>
            <w:bottom w:w="0" w:type="dxa"/>
            <w:right w:w="108" w:type="dxa"/>
          </w:tblCellMar>
        </w:tblPrEx>
        <w:trPr>
          <w:jc w:val="center"/>
        </w:trPr>
        <w:tc>
          <w:tcPr>
            <w:tcW w:w="1601" w:type="dxa"/>
            <w:noWrap w:val="0"/>
            <w:vAlign w:val="bottom"/>
          </w:tcPr>
          <w:p w14:paraId="05599D98">
            <w:pPr>
              <w:keepNext w:val="0"/>
              <w:keepLines w:val="0"/>
              <w:suppressLineNumbers w:val="0"/>
              <w:spacing w:before="0" w:beforeAutospacing="0" w:after="0" w:afterAutospacing="0"/>
              <w:ind w:left="0" w:right="0"/>
              <w:jc w:val="distribute"/>
              <w:rPr>
                <w:rFonts w:hint="default" w:ascii="宋体" w:hAnsi="宋体" w:cs="宋体"/>
                <w:color w:val="auto"/>
                <w:sz w:val="24"/>
                <w:highlight w:val="none"/>
              </w:rPr>
            </w:pPr>
            <w:r>
              <w:rPr>
                <w:rFonts w:hint="eastAsia" w:ascii="宋体" w:hAnsi="宋体" w:cs="宋体"/>
                <w:color w:val="auto"/>
                <w:sz w:val="24"/>
                <w:highlight w:val="none"/>
              </w:rPr>
              <w:t>采购方式：</w:t>
            </w:r>
          </w:p>
        </w:tc>
        <w:tc>
          <w:tcPr>
            <w:tcW w:w="6172" w:type="dxa"/>
            <w:tcBorders>
              <w:top w:val="single" w:color="000000" w:sz="4" w:space="0"/>
              <w:left w:val="nil"/>
              <w:bottom w:val="single" w:color="000000" w:sz="4" w:space="0"/>
              <w:right w:val="nil"/>
            </w:tcBorders>
            <w:noWrap w:val="0"/>
            <w:vAlign w:val="bottom"/>
          </w:tcPr>
          <w:p w14:paraId="273871ED">
            <w:pPr>
              <w:keepNext w:val="0"/>
              <w:keepLines w:val="0"/>
              <w:suppressLineNumbers w:val="0"/>
              <w:spacing w:before="0" w:beforeAutospacing="0" w:after="0" w:afterAutospacing="0"/>
              <w:ind w:left="0" w:right="0"/>
              <w:jc w:val="left"/>
              <w:rPr>
                <w:rFonts w:hint="default" w:ascii="宋体" w:hAnsi="宋体" w:cs="宋体"/>
                <w:color w:val="auto"/>
                <w:sz w:val="24"/>
                <w:highlight w:val="none"/>
              </w:rPr>
            </w:pPr>
          </w:p>
        </w:tc>
      </w:tr>
      <w:tr w14:paraId="7290CE2A">
        <w:tblPrEx>
          <w:tblCellMar>
            <w:top w:w="0" w:type="dxa"/>
            <w:left w:w="108" w:type="dxa"/>
            <w:bottom w:w="0" w:type="dxa"/>
            <w:right w:w="108" w:type="dxa"/>
          </w:tblCellMar>
        </w:tblPrEx>
        <w:trPr>
          <w:jc w:val="center"/>
        </w:trPr>
        <w:tc>
          <w:tcPr>
            <w:tcW w:w="1601" w:type="dxa"/>
            <w:noWrap w:val="0"/>
            <w:vAlign w:val="bottom"/>
          </w:tcPr>
          <w:p w14:paraId="36170425">
            <w:pPr>
              <w:keepNext w:val="0"/>
              <w:keepLines w:val="0"/>
              <w:suppressLineNumbers w:val="0"/>
              <w:spacing w:before="0" w:beforeAutospacing="0" w:after="0" w:afterAutospacing="0"/>
              <w:ind w:left="0" w:right="0"/>
              <w:jc w:val="distribute"/>
              <w:rPr>
                <w:rFonts w:hint="default" w:ascii="宋体" w:hAnsi="宋体" w:cs="宋体"/>
                <w:color w:val="auto"/>
                <w:sz w:val="24"/>
                <w:highlight w:val="none"/>
              </w:rPr>
            </w:pPr>
            <w:r>
              <w:rPr>
                <w:rFonts w:hint="eastAsia" w:ascii="宋体" w:hAnsi="宋体" w:cs="宋体"/>
                <w:color w:val="auto"/>
                <w:sz w:val="24"/>
                <w:highlight w:val="none"/>
              </w:rPr>
              <w:t>项目编号：</w:t>
            </w:r>
          </w:p>
        </w:tc>
        <w:tc>
          <w:tcPr>
            <w:tcW w:w="6172" w:type="dxa"/>
            <w:tcBorders>
              <w:top w:val="single" w:color="000000" w:sz="4" w:space="0"/>
              <w:left w:val="nil"/>
              <w:bottom w:val="single" w:color="000000" w:sz="4" w:space="0"/>
              <w:right w:val="nil"/>
            </w:tcBorders>
            <w:noWrap w:val="0"/>
            <w:vAlign w:val="bottom"/>
          </w:tcPr>
          <w:p w14:paraId="6066E2F2">
            <w:pPr>
              <w:keepNext w:val="0"/>
              <w:keepLines w:val="0"/>
              <w:suppressLineNumbers w:val="0"/>
              <w:spacing w:before="0" w:beforeAutospacing="0" w:after="0" w:afterAutospacing="0"/>
              <w:ind w:left="0" w:right="0"/>
              <w:jc w:val="left"/>
              <w:rPr>
                <w:rFonts w:hint="default" w:ascii="宋体" w:hAnsi="宋体" w:cs="宋体"/>
                <w:color w:val="auto"/>
                <w:sz w:val="24"/>
                <w:highlight w:val="none"/>
              </w:rPr>
            </w:pPr>
          </w:p>
        </w:tc>
      </w:tr>
      <w:tr w14:paraId="77869FBA">
        <w:tblPrEx>
          <w:tblCellMar>
            <w:top w:w="0" w:type="dxa"/>
            <w:left w:w="108" w:type="dxa"/>
            <w:bottom w:w="0" w:type="dxa"/>
            <w:right w:w="108" w:type="dxa"/>
          </w:tblCellMar>
        </w:tblPrEx>
        <w:trPr>
          <w:jc w:val="center"/>
        </w:trPr>
        <w:tc>
          <w:tcPr>
            <w:tcW w:w="1601" w:type="dxa"/>
            <w:noWrap w:val="0"/>
            <w:vAlign w:val="bottom"/>
          </w:tcPr>
          <w:p w14:paraId="089B3996">
            <w:pPr>
              <w:keepNext w:val="0"/>
              <w:keepLines w:val="0"/>
              <w:suppressLineNumbers w:val="0"/>
              <w:spacing w:before="0" w:beforeAutospacing="0" w:after="0" w:afterAutospacing="0"/>
              <w:ind w:left="0" w:right="0"/>
              <w:jc w:val="distribute"/>
              <w:rPr>
                <w:rFonts w:hint="default" w:ascii="宋体" w:hAnsi="宋体" w:cs="宋体"/>
                <w:color w:val="auto"/>
                <w:sz w:val="24"/>
                <w:highlight w:val="none"/>
              </w:rPr>
            </w:pPr>
            <w:r>
              <w:rPr>
                <w:rFonts w:hint="eastAsia" w:ascii="宋体" w:hAnsi="宋体" w:cs="宋体"/>
                <w:color w:val="auto"/>
                <w:sz w:val="24"/>
                <w:highlight w:val="none"/>
              </w:rPr>
              <w:t>所投分标：</w:t>
            </w:r>
          </w:p>
        </w:tc>
        <w:tc>
          <w:tcPr>
            <w:tcW w:w="6172" w:type="dxa"/>
            <w:tcBorders>
              <w:top w:val="single" w:color="000000" w:sz="4" w:space="0"/>
              <w:left w:val="nil"/>
              <w:bottom w:val="single" w:color="000000" w:sz="4" w:space="0"/>
              <w:right w:val="nil"/>
            </w:tcBorders>
            <w:noWrap w:val="0"/>
            <w:vAlign w:val="bottom"/>
          </w:tcPr>
          <w:p w14:paraId="3DDEE364">
            <w:pPr>
              <w:keepNext w:val="0"/>
              <w:keepLines w:val="0"/>
              <w:suppressLineNumbers w:val="0"/>
              <w:spacing w:before="0" w:beforeAutospacing="0" w:after="0" w:afterAutospacing="0"/>
              <w:ind w:left="0" w:right="0"/>
              <w:jc w:val="left"/>
              <w:rPr>
                <w:rFonts w:hint="default" w:ascii="宋体" w:hAnsi="宋体" w:cs="宋体"/>
                <w:color w:val="auto"/>
                <w:sz w:val="24"/>
                <w:highlight w:val="none"/>
              </w:rPr>
            </w:pPr>
          </w:p>
        </w:tc>
      </w:tr>
      <w:tr w14:paraId="796DDFA8">
        <w:tblPrEx>
          <w:tblCellMar>
            <w:top w:w="0" w:type="dxa"/>
            <w:left w:w="108" w:type="dxa"/>
            <w:bottom w:w="0" w:type="dxa"/>
            <w:right w:w="108" w:type="dxa"/>
          </w:tblCellMar>
        </w:tblPrEx>
        <w:trPr>
          <w:jc w:val="center"/>
        </w:trPr>
        <w:tc>
          <w:tcPr>
            <w:tcW w:w="1601" w:type="dxa"/>
            <w:noWrap w:val="0"/>
            <w:vAlign w:val="bottom"/>
          </w:tcPr>
          <w:p w14:paraId="29154F67">
            <w:pPr>
              <w:keepNext w:val="0"/>
              <w:keepLines w:val="0"/>
              <w:suppressLineNumbers w:val="0"/>
              <w:spacing w:before="0" w:beforeAutospacing="0" w:after="0" w:afterAutospacing="0"/>
              <w:ind w:left="0" w:right="0"/>
              <w:jc w:val="distribute"/>
              <w:rPr>
                <w:rFonts w:hint="default" w:ascii="宋体" w:hAnsi="宋体" w:cs="宋体"/>
                <w:color w:val="auto"/>
                <w:sz w:val="24"/>
                <w:highlight w:val="none"/>
              </w:rPr>
            </w:pPr>
            <w:r>
              <w:rPr>
                <w:rFonts w:hint="eastAsia" w:ascii="宋体" w:hAnsi="宋体" w:cs="宋体"/>
                <w:color w:val="auto"/>
                <w:sz w:val="24"/>
                <w:highlight w:val="none"/>
              </w:rPr>
              <w:t>投标人名称：</w:t>
            </w:r>
          </w:p>
        </w:tc>
        <w:tc>
          <w:tcPr>
            <w:tcW w:w="6172" w:type="dxa"/>
            <w:tcBorders>
              <w:top w:val="single" w:color="000000" w:sz="4" w:space="0"/>
              <w:left w:val="nil"/>
              <w:bottom w:val="single" w:color="000000" w:sz="4" w:space="0"/>
              <w:right w:val="nil"/>
            </w:tcBorders>
            <w:noWrap w:val="0"/>
            <w:vAlign w:val="bottom"/>
          </w:tcPr>
          <w:p w14:paraId="3D08B67E">
            <w:pPr>
              <w:keepNext w:val="0"/>
              <w:keepLines w:val="0"/>
              <w:suppressLineNumbers w:val="0"/>
              <w:spacing w:before="0" w:beforeAutospacing="0" w:after="0" w:afterAutospacing="0"/>
              <w:ind w:left="0" w:right="0"/>
              <w:jc w:val="left"/>
              <w:rPr>
                <w:rFonts w:hint="default" w:ascii="宋体" w:hAnsi="宋体" w:cs="宋体"/>
                <w:color w:val="auto"/>
                <w:sz w:val="24"/>
                <w:highlight w:val="none"/>
              </w:rPr>
            </w:pPr>
          </w:p>
        </w:tc>
      </w:tr>
      <w:tr w14:paraId="59EF0645">
        <w:tblPrEx>
          <w:tblCellMar>
            <w:top w:w="0" w:type="dxa"/>
            <w:left w:w="108" w:type="dxa"/>
            <w:bottom w:w="0" w:type="dxa"/>
            <w:right w:w="108" w:type="dxa"/>
          </w:tblCellMar>
        </w:tblPrEx>
        <w:trPr>
          <w:jc w:val="center"/>
        </w:trPr>
        <w:tc>
          <w:tcPr>
            <w:tcW w:w="1601" w:type="dxa"/>
            <w:noWrap w:val="0"/>
            <w:vAlign w:val="bottom"/>
          </w:tcPr>
          <w:p w14:paraId="3FAEE100">
            <w:pPr>
              <w:keepNext w:val="0"/>
              <w:keepLines w:val="0"/>
              <w:suppressLineNumbers w:val="0"/>
              <w:spacing w:before="0" w:beforeAutospacing="0" w:after="0" w:afterAutospacing="0"/>
              <w:ind w:left="0" w:right="0"/>
              <w:jc w:val="distribute"/>
              <w:rPr>
                <w:rFonts w:hint="default" w:ascii="宋体" w:hAnsi="宋体" w:cs="宋体"/>
                <w:color w:val="auto"/>
                <w:sz w:val="24"/>
                <w:highlight w:val="none"/>
              </w:rPr>
            </w:pPr>
            <w:r>
              <w:rPr>
                <w:rFonts w:hint="eastAsia" w:ascii="宋体" w:hAnsi="宋体" w:cs="宋体"/>
                <w:color w:val="auto"/>
                <w:sz w:val="24"/>
                <w:highlight w:val="none"/>
              </w:rPr>
              <w:t>投标人地址：</w:t>
            </w:r>
          </w:p>
        </w:tc>
        <w:tc>
          <w:tcPr>
            <w:tcW w:w="6172" w:type="dxa"/>
            <w:tcBorders>
              <w:top w:val="single" w:color="000000" w:sz="4" w:space="0"/>
              <w:left w:val="nil"/>
              <w:bottom w:val="single" w:color="000000" w:sz="4" w:space="0"/>
              <w:right w:val="nil"/>
            </w:tcBorders>
            <w:noWrap w:val="0"/>
            <w:vAlign w:val="bottom"/>
          </w:tcPr>
          <w:p w14:paraId="0114E7BC">
            <w:pPr>
              <w:keepNext w:val="0"/>
              <w:keepLines w:val="0"/>
              <w:suppressLineNumbers w:val="0"/>
              <w:spacing w:before="0" w:beforeAutospacing="0" w:after="0" w:afterAutospacing="0"/>
              <w:ind w:left="0" w:right="0"/>
              <w:jc w:val="left"/>
              <w:rPr>
                <w:rFonts w:hint="default" w:ascii="宋体" w:hAnsi="宋体" w:cs="宋体"/>
                <w:color w:val="auto"/>
                <w:sz w:val="24"/>
                <w:highlight w:val="none"/>
              </w:rPr>
            </w:pPr>
          </w:p>
        </w:tc>
      </w:tr>
    </w:tbl>
    <w:p w14:paraId="01A19602">
      <w:pPr>
        <w:ind w:firstLine="4200" w:firstLineChars="1750"/>
        <w:rPr>
          <w:rFonts w:hint="eastAsia" w:ascii="宋体" w:hAnsi="宋体" w:cs="宋体"/>
          <w:color w:val="auto"/>
          <w:sz w:val="24"/>
          <w:highlight w:val="none"/>
        </w:rPr>
      </w:pPr>
    </w:p>
    <w:p w14:paraId="12113403">
      <w:pPr>
        <w:ind w:firstLine="4200" w:firstLineChars="1750"/>
        <w:rPr>
          <w:rFonts w:hint="eastAsia" w:ascii="宋体" w:hAnsi="宋体" w:cs="宋体"/>
          <w:color w:val="auto"/>
          <w:sz w:val="24"/>
          <w:highlight w:val="none"/>
        </w:rPr>
      </w:pPr>
    </w:p>
    <w:p w14:paraId="2A573A97">
      <w:pPr>
        <w:ind w:firstLine="4200" w:firstLineChars="1750"/>
        <w:rPr>
          <w:rFonts w:hint="eastAsia" w:ascii="宋体" w:hAnsi="宋体" w:cs="宋体"/>
          <w:color w:val="auto"/>
          <w:sz w:val="24"/>
          <w:highlight w:val="none"/>
        </w:rPr>
      </w:pPr>
    </w:p>
    <w:p w14:paraId="7CC1C3AC">
      <w:pPr>
        <w:ind w:firstLine="5880" w:firstLineChars="2450"/>
        <w:rPr>
          <w:rFonts w:hint="eastAsia" w:ascii="宋体" w:hAnsi="宋体" w:cs="宋体"/>
          <w:color w:val="auto"/>
          <w:sz w:val="24"/>
          <w:highlight w:val="none"/>
        </w:rPr>
      </w:pPr>
      <w:r>
        <w:rPr>
          <w:rFonts w:hint="eastAsia" w:ascii="宋体" w:hAnsi="宋体" w:cs="宋体"/>
          <w:color w:val="auto"/>
          <w:sz w:val="24"/>
          <w:highlight w:val="none"/>
        </w:rPr>
        <w:t>投标截止时间前不得解密</w:t>
      </w:r>
    </w:p>
    <w:p w14:paraId="7415C679">
      <w:pPr>
        <w:ind w:firstLine="6480" w:firstLineChars="2700"/>
        <w:rPr>
          <w:rFonts w:hint="eastAsia" w:ascii="宋体" w:hAnsi="宋体" w:cs="宋体"/>
          <w:color w:val="auto"/>
          <w:sz w:val="24"/>
          <w:highlight w:val="none"/>
        </w:rPr>
      </w:pPr>
      <w:r>
        <w:rPr>
          <w:rFonts w:hint="eastAsia" w:ascii="宋体" w:hAnsi="宋体" w:cs="宋体"/>
          <w:color w:val="auto"/>
          <w:sz w:val="24"/>
          <w:highlight w:val="none"/>
        </w:rPr>
        <w:t>年   月   日</w:t>
      </w:r>
    </w:p>
    <w:p w14:paraId="2E9E193B">
      <w:pPr>
        <w:widowControl/>
        <w:jc w:val="left"/>
        <w:rPr>
          <w:rFonts w:ascii="宋体" w:hAnsi="宋体" w:cs="宋体"/>
          <w:color w:val="auto"/>
          <w:sz w:val="24"/>
          <w:highlight w:val="none"/>
        </w:rPr>
        <w:sectPr>
          <w:pgSz w:w="11907" w:h="16840"/>
          <w:pgMar w:top="1531" w:right="1418" w:bottom="1361" w:left="1418" w:header="720" w:footer="720" w:gutter="0"/>
          <w:cols w:space="720" w:num="1"/>
        </w:sectPr>
      </w:pPr>
    </w:p>
    <w:p w14:paraId="601E907B">
      <w:pPr>
        <w:jc w:val="center"/>
        <w:outlineLvl w:val="1"/>
        <w:rPr>
          <w:rFonts w:hint="eastAsia" w:ascii="宋体" w:hAnsi="宋体"/>
          <w:b/>
          <w:bCs/>
          <w:color w:val="auto"/>
          <w:sz w:val="28"/>
          <w:szCs w:val="28"/>
          <w:highlight w:val="none"/>
        </w:rPr>
      </w:pPr>
      <w:bookmarkStart w:id="572" w:name="_Toc2598"/>
      <w:r>
        <w:rPr>
          <w:rFonts w:hint="eastAsia" w:ascii="宋体" w:hAnsi="宋体"/>
          <w:b/>
          <w:bCs/>
          <w:color w:val="auto"/>
          <w:sz w:val="28"/>
          <w:szCs w:val="28"/>
          <w:highlight w:val="none"/>
        </w:rPr>
        <w:t>第二节 资格证明文件格式</w:t>
      </w:r>
      <w:bookmarkEnd w:id="572"/>
    </w:p>
    <w:p w14:paraId="4220293B">
      <w:pPr>
        <w:spacing w:line="360" w:lineRule="auto"/>
        <w:ind w:firstLine="420"/>
        <w:rPr>
          <w:rFonts w:hint="eastAsia" w:ascii="宋体" w:hAnsi="宋体"/>
          <w:color w:val="auto"/>
          <w:sz w:val="30"/>
          <w:szCs w:val="20"/>
          <w:highlight w:val="none"/>
        </w:rPr>
      </w:pPr>
    </w:p>
    <w:p w14:paraId="1F1523AB">
      <w:pPr>
        <w:snapToGrid w:val="0"/>
        <w:spacing w:before="165"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电子投标文件</w:t>
      </w:r>
    </w:p>
    <w:p w14:paraId="3616BB44">
      <w:pPr>
        <w:snapToGrid w:val="0"/>
        <w:spacing w:before="165" w:beforeLines="50" w:after="50"/>
        <w:rPr>
          <w:rFonts w:hint="eastAsia" w:ascii="宋体" w:hAnsi="宋体"/>
          <w:color w:val="auto"/>
          <w:sz w:val="24"/>
          <w:szCs w:val="20"/>
          <w:highlight w:val="none"/>
        </w:rPr>
      </w:pPr>
    </w:p>
    <w:p w14:paraId="4601F827">
      <w:pPr>
        <w:snapToGrid w:val="0"/>
        <w:spacing w:before="165" w:beforeLines="50" w:after="50"/>
        <w:jc w:val="center"/>
        <w:rPr>
          <w:rFonts w:hint="eastAsia" w:ascii="宋体" w:hAnsi="宋体"/>
          <w:b/>
          <w:color w:val="auto"/>
          <w:sz w:val="24"/>
          <w:szCs w:val="20"/>
          <w:highlight w:val="none"/>
        </w:rPr>
      </w:pPr>
      <w:r>
        <w:rPr>
          <w:rFonts w:hint="eastAsia" w:ascii="宋体" w:hAnsi="宋体"/>
          <w:b/>
          <w:color w:val="auto"/>
          <w:sz w:val="32"/>
          <w:szCs w:val="32"/>
          <w:highlight w:val="none"/>
        </w:rPr>
        <w:t>资格证明文件（封面）</w:t>
      </w:r>
    </w:p>
    <w:p w14:paraId="6754766E">
      <w:pPr>
        <w:snapToGrid w:val="0"/>
        <w:spacing w:before="165" w:beforeLines="50" w:after="50"/>
        <w:rPr>
          <w:rFonts w:hint="eastAsia" w:ascii="宋体" w:hAnsi="宋体"/>
          <w:bCs/>
          <w:color w:val="auto"/>
          <w:sz w:val="24"/>
          <w:szCs w:val="20"/>
          <w:highlight w:val="none"/>
        </w:rPr>
      </w:pPr>
    </w:p>
    <w:p w14:paraId="5397F216">
      <w:pPr>
        <w:snapToGrid w:val="0"/>
        <w:spacing w:before="165" w:beforeLines="50" w:after="50"/>
        <w:rPr>
          <w:rFonts w:hint="eastAsia" w:ascii="宋体" w:hAnsi="宋体"/>
          <w:bCs/>
          <w:color w:val="auto"/>
          <w:sz w:val="24"/>
          <w:szCs w:val="20"/>
          <w:highlight w:val="none"/>
        </w:rPr>
      </w:pPr>
    </w:p>
    <w:p w14:paraId="29CFD54E">
      <w:pPr>
        <w:snapToGrid w:val="0"/>
        <w:spacing w:before="165" w:beforeLines="50" w:after="50"/>
        <w:rPr>
          <w:rFonts w:hint="eastAsia" w:ascii="宋体" w:hAnsi="宋体"/>
          <w:bCs/>
          <w:color w:val="auto"/>
          <w:sz w:val="24"/>
          <w:szCs w:val="20"/>
          <w:highlight w:val="none"/>
        </w:rPr>
      </w:pPr>
    </w:p>
    <w:p w14:paraId="7C4C7F42">
      <w:pPr>
        <w:snapToGrid w:val="0"/>
        <w:spacing w:before="165" w:beforeLines="50" w:after="50"/>
        <w:rPr>
          <w:rFonts w:hint="eastAsia" w:ascii="宋体" w:hAnsi="宋体"/>
          <w:bCs/>
          <w:color w:val="auto"/>
          <w:sz w:val="24"/>
          <w:szCs w:val="20"/>
          <w:highlight w:val="none"/>
        </w:rPr>
      </w:pPr>
    </w:p>
    <w:p w14:paraId="3D482DDE">
      <w:pPr>
        <w:snapToGrid w:val="0"/>
        <w:spacing w:before="165" w:beforeLines="50" w:after="50"/>
        <w:rPr>
          <w:rFonts w:hint="eastAsia" w:ascii="宋体" w:hAnsi="宋体"/>
          <w:bCs/>
          <w:color w:val="auto"/>
          <w:sz w:val="24"/>
          <w:szCs w:val="20"/>
          <w:highlight w:val="none"/>
        </w:rPr>
      </w:pPr>
    </w:p>
    <w:p w14:paraId="1125654F">
      <w:pPr>
        <w:snapToGrid w:val="0"/>
        <w:spacing w:before="165" w:beforeLines="50" w:after="50"/>
        <w:rPr>
          <w:rFonts w:hint="eastAsia" w:ascii="宋体" w:hAnsi="宋体"/>
          <w:bCs/>
          <w:color w:val="auto"/>
          <w:sz w:val="24"/>
          <w:szCs w:val="20"/>
          <w:highlight w:val="none"/>
        </w:rPr>
      </w:pPr>
    </w:p>
    <w:p w14:paraId="1B7A1911">
      <w:pPr>
        <w:snapToGrid w:val="0"/>
        <w:spacing w:before="165" w:beforeLines="50" w:after="50"/>
        <w:rPr>
          <w:rFonts w:hint="eastAsia" w:ascii="宋体" w:hAnsi="宋体"/>
          <w:bCs/>
          <w:color w:val="auto"/>
          <w:sz w:val="24"/>
          <w:szCs w:val="20"/>
          <w:highlight w:val="none"/>
        </w:rPr>
      </w:pPr>
    </w:p>
    <w:p w14:paraId="7AE3482E">
      <w:pPr>
        <w:snapToGrid w:val="0"/>
        <w:spacing w:before="165" w:beforeLines="50" w:after="50"/>
        <w:ind w:firstLine="540" w:firstLineChars="225"/>
        <w:rPr>
          <w:rFonts w:hint="eastAsia" w:ascii="宋体" w:hAnsi="宋体"/>
          <w:bCs/>
          <w:color w:val="auto"/>
          <w:sz w:val="24"/>
          <w:szCs w:val="20"/>
          <w:highlight w:val="none"/>
        </w:rPr>
      </w:pPr>
      <w:r>
        <w:rPr>
          <w:rFonts w:hint="eastAsia" w:ascii="宋体" w:hAnsi="宋体"/>
          <w:bCs/>
          <w:color w:val="auto"/>
          <w:sz w:val="24"/>
          <w:highlight w:val="none"/>
        </w:rPr>
        <w:t>项目名称：</w:t>
      </w:r>
    </w:p>
    <w:p w14:paraId="72DB868C">
      <w:pPr>
        <w:snapToGrid w:val="0"/>
        <w:spacing w:before="165"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项目编号：</w:t>
      </w:r>
    </w:p>
    <w:p w14:paraId="6BF7E039">
      <w:pPr>
        <w:snapToGrid w:val="0"/>
        <w:spacing w:before="165" w:beforeLines="50" w:after="50"/>
        <w:ind w:firstLine="540" w:firstLineChars="225"/>
        <w:rPr>
          <w:rFonts w:hint="eastAsia" w:ascii="宋体" w:hAnsi="宋体"/>
          <w:bCs/>
          <w:color w:val="auto"/>
          <w:sz w:val="24"/>
          <w:szCs w:val="20"/>
          <w:highlight w:val="none"/>
        </w:rPr>
      </w:pPr>
      <w:r>
        <w:rPr>
          <w:rFonts w:hint="eastAsia" w:ascii="宋体" w:hAnsi="宋体"/>
          <w:bCs/>
          <w:color w:val="auto"/>
          <w:sz w:val="24"/>
          <w:highlight w:val="none"/>
        </w:rPr>
        <w:t xml:space="preserve"> </w:t>
      </w:r>
    </w:p>
    <w:p w14:paraId="53A96DCB">
      <w:pPr>
        <w:snapToGrid w:val="0"/>
        <w:spacing w:before="165"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所投分标：</w:t>
      </w:r>
    </w:p>
    <w:p w14:paraId="5F6FDC86">
      <w:pPr>
        <w:pStyle w:val="8"/>
        <w:snapToGrid w:val="0"/>
        <w:spacing w:before="50" w:after="50"/>
        <w:ind w:firstLine="540" w:firstLineChars="225"/>
        <w:rPr>
          <w:rFonts w:hint="eastAsia" w:ascii="宋体" w:hAnsi="宋体"/>
          <w:bCs/>
          <w:color w:val="auto"/>
          <w:sz w:val="24"/>
          <w:szCs w:val="24"/>
          <w:highlight w:val="none"/>
        </w:rPr>
      </w:pPr>
    </w:p>
    <w:p w14:paraId="2CD0A5B8">
      <w:pPr>
        <w:pStyle w:val="8"/>
        <w:snapToGrid w:val="0"/>
        <w:spacing w:before="50" w:after="50"/>
        <w:ind w:firstLine="540" w:firstLineChars="225"/>
        <w:rPr>
          <w:rFonts w:hint="eastAsia" w:ascii="宋体" w:hAnsi="宋体"/>
          <w:bCs/>
          <w:color w:val="auto"/>
          <w:sz w:val="24"/>
          <w:szCs w:val="24"/>
          <w:highlight w:val="none"/>
        </w:rPr>
      </w:pPr>
      <w:r>
        <w:rPr>
          <w:rFonts w:hint="eastAsia" w:ascii="宋体" w:hAnsi="宋体"/>
          <w:bCs/>
          <w:color w:val="auto"/>
          <w:sz w:val="24"/>
          <w:szCs w:val="24"/>
          <w:highlight w:val="none"/>
        </w:rPr>
        <w:t>投标人名称：</w:t>
      </w:r>
    </w:p>
    <w:p w14:paraId="33F452B2">
      <w:pPr>
        <w:pStyle w:val="8"/>
        <w:snapToGrid w:val="0"/>
        <w:spacing w:before="50" w:after="50"/>
        <w:ind w:firstLine="540" w:firstLineChars="225"/>
        <w:rPr>
          <w:rFonts w:hint="eastAsia" w:ascii="宋体" w:hAnsi="宋体"/>
          <w:bCs/>
          <w:color w:val="auto"/>
          <w:sz w:val="24"/>
          <w:szCs w:val="24"/>
          <w:highlight w:val="none"/>
        </w:rPr>
      </w:pPr>
    </w:p>
    <w:p w14:paraId="08F9AEFC">
      <w:pPr>
        <w:pStyle w:val="8"/>
        <w:snapToGrid w:val="0"/>
        <w:spacing w:before="50" w:after="50"/>
        <w:ind w:firstLine="960" w:firstLineChars="400"/>
        <w:rPr>
          <w:rFonts w:hint="eastAsia" w:ascii="宋体" w:hAnsi="宋体"/>
          <w:bCs/>
          <w:color w:val="auto"/>
          <w:sz w:val="24"/>
          <w:szCs w:val="24"/>
          <w:highlight w:val="none"/>
        </w:rPr>
      </w:pPr>
    </w:p>
    <w:p w14:paraId="29A894EC">
      <w:pPr>
        <w:snapToGrid w:val="0"/>
        <w:spacing w:before="165" w:beforeLines="50" w:after="50"/>
        <w:ind w:firstLine="645"/>
        <w:jc w:val="center"/>
        <w:rPr>
          <w:rFonts w:hint="eastAsia" w:ascii="宋体" w:hAnsi="宋体"/>
          <w:color w:val="auto"/>
          <w:sz w:val="24"/>
          <w:highlight w:val="none"/>
        </w:rPr>
      </w:pPr>
      <w:r>
        <w:rPr>
          <w:rFonts w:hint="eastAsia" w:ascii="宋体" w:hAnsi="宋体"/>
          <w:color w:val="auto"/>
          <w:sz w:val="24"/>
          <w:highlight w:val="none"/>
        </w:rPr>
        <w:t>年  月  日</w:t>
      </w:r>
    </w:p>
    <w:p w14:paraId="2EE8D8E6">
      <w:pPr>
        <w:widowControl/>
        <w:spacing w:line="360" w:lineRule="auto"/>
        <w:jc w:val="left"/>
        <w:rPr>
          <w:rFonts w:ascii="宋体" w:hAnsi="宋体"/>
          <w:color w:val="auto"/>
          <w:sz w:val="30"/>
          <w:szCs w:val="20"/>
          <w:highlight w:val="none"/>
        </w:rPr>
        <w:sectPr>
          <w:pgSz w:w="11906" w:h="16838"/>
          <w:pgMar w:top="1134" w:right="1134" w:bottom="1134" w:left="1134" w:header="720" w:footer="720" w:gutter="0"/>
          <w:cols w:space="720" w:num="1"/>
          <w:docGrid w:type="lines" w:linePitch="331" w:charSpace="0"/>
        </w:sectPr>
      </w:pPr>
    </w:p>
    <w:p w14:paraId="1AD59055">
      <w:pPr>
        <w:jc w:val="center"/>
        <w:rPr>
          <w:rFonts w:hint="eastAsia" w:ascii="仿宋_GB2312" w:hAnsi="仿宋" w:eastAsia="仿宋_GB2312" w:cs="仿宋_GB2312"/>
          <w:b/>
          <w:color w:val="auto"/>
          <w:kern w:val="0"/>
          <w:sz w:val="36"/>
          <w:szCs w:val="36"/>
          <w:highlight w:val="none"/>
        </w:rPr>
      </w:pPr>
      <w:r>
        <w:rPr>
          <w:rFonts w:hint="eastAsia" w:ascii="仿宋_GB2312" w:hAnsi="仿宋" w:eastAsia="仿宋_GB2312" w:cs="仿宋_GB2312"/>
          <w:b/>
          <w:color w:val="auto"/>
          <w:kern w:val="0"/>
          <w:sz w:val="36"/>
          <w:szCs w:val="36"/>
          <w:highlight w:val="none"/>
        </w:rPr>
        <w:t>资格证明文件目录</w:t>
      </w:r>
    </w:p>
    <w:p w14:paraId="1042026B">
      <w:pPr>
        <w:snapToGrid w:val="0"/>
        <w:spacing w:line="360" w:lineRule="auto"/>
        <w:rPr>
          <w:rFonts w:hint="eastAsia" w:ascii="仿宋_GB2312" w:hAnsi="仿宋" w:eastAsia="仿宋_GB2312" w:cs="仿宋_GB2312"/>
          <w:color w:val="auto"/>
          <w:kern w:val="0"/>
          <w:sz w:val="24"/>
          <w:highlight w:val="none"/>
        </w:rPr>
      </w:pPr>
    </w:p>
    <w:p w14:paraId="54DDEE40">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一、</w:t>
      </w:r>
      <w:r>
        <w:rPr>
          <w:rFonts w:hint="eastAsia" w:ascii="仿宋_GB2312" w:hAnsi="仿宋" w:eastAsia="仿宋_GB2312"/>
          <w:color w:val="auto"/>
          <w:sz w:val="24"/>
          <w:highlight w:val="none"/>
        </w:rPr>
        <w:t>营业执照(或事业法人登记证或其他工商等登记证明材料)复印件（投标人为自然人的，须提供</w:t>
      </w:r>
      <w:r>
        <w:rPr>
          <w:rFonts w:hint="eastAsia" w:ascii="仿宋_GB2312" w:hAnsi="仿宋" w:eastAsia="仿宋_GB2312" w:cs="仿宋_GB2312"/>
          <w:color w:val="auto"/>
          <w:kern w:val="0"/>
          <w:sz w:val="24"/>
          <w:highlight w:val="none"/>
        </w:rPr>
        <w:t>自然人的身份证明</w:t>
      </w:r>
      <w:r>
        <w:rPr>
          <w:rFonts w:hint="eastAsia" w:ascii="仿宋_GB2312" w:hAnsi="仿宋" w:eastAsia="仿宋_GB2312"/>
          <w:color w:val="auto"/>
          <w:sz w:val="24"/>
          <w:highlight w:val="none"/>
        </w:rPr>
        <w:t>）</w:t>
      </w:r>
      <w:r>
        <w:rPr>
          <w:rFonts w:hint="eastAsia" w:ascii="仿宋_GB2312" w:hAnsi="仿宋" w:eastAsia="仿宋_GB2312" w:cs="仿宋_GB2312"/>
          <w:color w:val="auto"/>
          <w:kern w:val="0"/>
          <w:sz w:val="24"/>
          <w:highlight w:val="none"/>
        </w:rPr>
        <w:t>……………………………………………………………（页码）</w:t>
      </w:r>
    </w:p>
    <w:p w14:paraId="0ECF0294">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二、符合参与政府采购活动的资格条件依法缴纳税收、社会保障资金等方面的材料…………………………………………………………………………………………（页码）</w:t>
      </w:r>
    </w:p>
    <w:p w14:paraId="139B8007">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三、财务状况报告方面的材料…………………………………………………………（页码）</w:t>
      </w:r>
    </w:p>
    <w:p w14:paraId="1770EDCD">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sz w:val="24"/>
          <w:highlight w:val="none"/>
        </w:rPr>
        <w:t>四、投标人直接控股股东信息</w:t>
      </w:r>
      <w:r>
        <w:rPr>
          <w:rFonts w:hint="eastAsia" w:ascii="仿宋_GB2312" w:hAnsi="仿宋" w:eastAsia="仿宋_GB2312" w:cs="仿宋_GB2312"/>
          <w:color w:val="auto"/>
          <w:kern w:val="0"/>
          <w:sz w:val="24"/>
          <w:highlight w:val="none"/>
        </w:rPr>
        <w:t>…………………………………………………………（页码）</w:t>
      </w:r>
    </w:p>
    <w:p w14:paraId="747A5713">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sz w:val="24"/>
          <w:highlight w:val="none"/>
        </w:rPr>
        <w:t>五、投标人直接关联关系信息表</w:t>
      </w:r>
      <w:r>
        <w:rPr>
          <w:rFonts w:hint="eastAsia" w:ascii="仿宋_GB2312" w:hAnsi="仿宋" w:eastAsia="仿宋_GB2312" w:cs="仿宋_GB2312"/>
          <w:color w:val="auto"/>
          <w:kern w:val="0"/>
          <w:sz w:val="24"/>
          <w:highlight w:val="none"/>
        </w:rPr>
        <w:t>………………………………………………………（页码）</w:t>
      </w:r>
    </w:p>
    <w:p w14:paraId="748A5F0F">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六、投标资格声明函……………………………………………………………………（页码）</w:t>
      </w:r>
    </w:p>
    <w:p w14:paraId="6285EE17">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en-US" w:eastAsia="zh-CN"/>
        </w:rPr>
        <w:t>七</w:t>
      </w:r>
      <w:r>
        <w:rPr>
          <w:rFonts w:hint="eastAsia" w:ascii="仿宋_GB2312" w:hAnsi="仿宋" w:eastAsia="仿宋_GB2312" w:cs="仿宋_GB2312"/>
          <w:color w:val="auto"/>
          <w:kern w:val="0"/>
          <w:sz w:val="24"/>
          <w:highlight w:val="none"/>
        </w:rPr>
        <w:t>、本项目的特定资格要求；……………………………………（页码）</w:t>
      </w:r>
    </w:p>
    <w:p w14:paraId="5FAC068E">
      <w:pPr>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sz w:val="24"/>
          <w:highlight w:val="none"/>
          <w:lang w:val="en-US" w:eastAsia="zh-CN"/>
        </w:rPr>
        <w:t>八</w:t>
      </w:r>
      <w:r>
        <w:rPr>
          <w:rFonts w:hint="eastAsia" w:ascii="仿宋_GB2312" w:hAnsi="仿宋" w:eastAsia="仿宋_GB2312" w:cs="仿宋_GB2312"/>
          <w:color w:val="auto"/>
          <w:sz w:val="24"/>
          <w:highlight w:val="none"/>
        </w:rPr>
        <w:t>、除招标文件规定必须提供以外，投标人认为需要提供的其他证明材料</w:t>
      </w:r>
      <w:r>
        <w:rPr>
          <w:rFonts w:hint="eastAsia" w:ascii="仿宋_GB2312" w:hAnsi="仿宋" w:eastAsia="仿宋_GB2312" w:cs="仿宋_GB2312"/>
          <w:color w:val="auto"/>
          <w:kern w:val="0"/>
          <w:sz w:val="24"/>
          <w:highlight w:val="none"/>
        </w:rPr>
        <w:t>……………（页码）</w:t>
      </w:r>
    </w:p>
    <w:p w14:paraId="78FDD66B">
      <w:pPr>
        <w:spacing w:line="360" w:lineRule="auto"/>
        <w:rPr>
          <w:rFonts w:hint="eastAsia"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注：以上目录是基本格式要求，各投标人可根据自身情况进一步向下增加内容或细化。</w:t>
      </w:r>
    </w:p>
    <w:p w14:paraId="33A41C29">
      <w:pPr>
        <w:widowControl/>
        <w:spacing w:line="360" w:lineRule="auto"/>
        <w:jc w:val="left"/>
        <w:rPr>
          <w:rFonts w:ascii="宋体" w:hAnsi="宋体"/>
          <w:color w:val="auto"/>
          <w:sz w:val="30"/>
          <w:szCs w:val="20"/>
          <w:highlight w:val="none"/>
        </w:rPr>
        <w:sectPr>
          <w:pgSz w:w="11906" w:h="16838"/>
          <w:pgMar w:top="1134" w:right="1134" w:bottom="1134" w:left="1134" w:header="720" w:footer="720" w:gutter="0"/>
          <w:cols w:space="720" w:num="1"/>
          <w:docGrid w:type="lines" w:linePitch="331" w:charSpace="0"/>
        </w:sectPr>
      </w:pPr>
    </w:p>
    <w:p w14:paraId="79D57AD5">
      <w:pPr>
        <w:snapToGrid w:val="0"/>
        <w:spacing w:line="360" w:lineRule="auto"/>
        <w:rPr>
          <w:rFonts w:hint="eastAsia" w:ascii="仿宋_GB2312" w:hAnsi="仿宋" w:eastAsia="仿宋_GB2312" w:cs="仿宋_GB2312"/>
          <w:b/>
          <w:color w:val="auto"/>
          <w:kern w:val="0"/>
          <w:sz w:val="32"/>
          <w:szCs w:val="32"/>
          <w:highlight w:val="none"/>
          <w:lang w:val="zh-CN"/>
        </w:rPr>
      </w:pPr>
    </w:p>
    <w:p w14:paraId="39F9B366">
      <w:pPr>
        <w:spacing w:line="360" w:lineRule="auto"/>
        <w:jc w:val="center"/>
        <w:rPr>
          <w:rFonts w:hint="eastAsia" w:ascii="仿宋_GB2312" w:hAnsi="仿宋" w:eastAsia="仿宋_GB2312" w:cs="仿宋_GB2312"/>
          <w:b/>
          <w:color w:val="auto"/>
          <w:sz w:val="30"/>
          <w:szCs w:val="30"/>
          <w:highlight w:val="none"/>
        </w:rPr>
      </w:pPr>
      <w:r>
        <w:rPr>
          <w:rFonts w:hint="eastAsia" w:ascii="仿宋_GB2312" w:hAnsi="仿宋" w:eastAsia="仿宋_GB2312" w:cs="仿宋_GB2312"/>
          <w:b/>
          <w:color w:val="auto"/>
          <w:kern w:val="0"/>
          <w:sz w:val="32"/>
          <w:szCs w:val="32"/>
          <w:highlight w:val="none"/>
          <w:lang w:val="zh-CN"/>
        </w:rPr>
        <w:t>一、</w:t>
      </w:r>
      <w:r>
        <w:rPr>
          <w:rFonts w:hint="eastAsia" w:ascii="仿宋_GB2312" w:hAnsi="仿宋" w:eastAsia="仿宋_GB2312" w:cs="仿宋_GB2312"/>
          <w:b/>
          <w:color w:val="auto"/>
          <w:sz w:val="30"/>
          <w:szCs w:val="30"/>
          <w:highlight w:val="none"/>
        </w:rPr>
        <w:t>营业执照(或事业法人登记证或其他工商等登记证明材料)复印件（投标人为自然人的，提供自然人的身份证明）</w:t>
      </w:r>
    </w:p>
    <w:p w14:paraId="09ACBE91">
      <w:pPr>
        <w:spacing w:line="360" w:lineRule="auto"/>
        <w:rPr>
          <w:rFonts w:hint="eastAsia" w:ascii="仿宋_GB2312" w:hAnsi="仿宋" w:eastAsia="仿宋_GB2312" w:cs="仿宋_GB2312"/>
          <w:b/>
          <w:color w:val="auto"/>
          <w:sz w:val="30"/>
          <w:szCs w:val="30"/>
          <w:highlight w:val="none"/>
        </w:rPr>
      </w:pPr>
    </w:p>
    <w:p w14:paraId="0C10F443">
      <w:pPr>
        <w:snapToGrid w:val="0"/>
        <w:spacing w:line="360" w:lineRule="auto"/>
        <w:ind w:firstLine="576"/>
        <w:jc w:val="center"/>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 xml:space="preserve">               投标人名称(电子签章)：                              </w:t>
      </w:r>
    </w:p>
    <w:p w14:paraId="7756D991">
      <w:pPr>
        <w:spacing w:line="360" w:lineRule="auto"/>
        <w:jc w:val="center"/>
        <w:rPr>
          <w:rFonts w:hint="eastAsia" w:ascii="仿宋_GB2312" w:hAnsi="仿宋" w:eastAsia="仿宋_GB2312" w:cs="仿宋_GB2312"/>
          <w:b/>
          <w:color w:val="auto"/>
          <w:sz w:val="30"/>
          <w:szCs w:val="30"/>
          <w:highlight w:val="none"/>
        </w:rPr>
      </w:pPr>
      <w:r>
        <w:rPr>
          <w:rFonts w:hint="eastAsia" w:ascii="仿宋_GB2312" w:hAnsi="仿宋" w:eastAsia="仿宋_GB2312" w:cs="仿宋_GB2312"/>
          <w:color w:val="auto"/>
          <w:kern w:val="0"/>
          <w:sz w:val="24"/>
          <w:highlight w:val="none"/>
          <w:lang w:val="zh-CN"/>
        </w:rPr>
        <w:t xml:space="preserve">                   日期：  年  月</w:t>
      </w:r>
    </w:p>
    <w:p w14:paraId="50C03EDC">
      <w:pPr>
        <w:spacing w:line="360" w:lineRule="auto"/>
        <w:jc w:val="center"/>
        <w:rPr>
          <w:rFonts w:hint="eastAsia" w:ascii="仿宋_GB2312" w:hAnsi="仿宋" w:eastAsia="仿宋_GB2312" w:cs="仿宋_GB2312"/>
          <w:b/>
          <w:color w:val="auto"/>
          <w:sz w:val="30"/>
          <w:szCs w:val="30"/>
          <w:highlight w:val="none"/>
        </w:rPr>
      </w:pPr>
    </w:p>
    <w:p w14:paraId="1303D4A1">
      <w:pPr>
        <w:snapToGrid w:val="0"/>
        <w:spacing w:line="360" w:lineRule="auto"/>
        <w:ind w:right="480"/>
        <w:jc w:val="center"/>
        <w:rPr>
          <w:rFonts w:hint="eastAsia" w:ascii="仿宋_GB2312" w:hAnsi="仿宋" w:eastAsia="仿宋_GB2312" w:cs="仿宋_GB2312"/>
          <w:b/>
          <w:color w:val="auto"/>
          <w:kern w:val="0"/>
          <w:sz w:val="32"/>
          <w:szCs w:val="32"/>
          <w:highlight w:val="none"/>
        </w:rPr>
      </w:pPr>
      <w:r>
        <w:rPr>
          <w:rFonts w:hint="eastAsia" w:ascii="仿宋_GB2312" w:hAnsi="仿宋" w:eastAsia="仿宋_GB2312" w:cs="仿宋_GB2312"/>
          <w:b/>
          <w:color w:val="auto"/>
          <w:sz w:val="30"/>
          <w:szCs w:val="30"/>
          <w:highlight w:val="none"/>
        </w:rPr>
        <w:t>二、</w:t>
      </w:r>
      <w:r>
        <w:rPr>
          <w:rFonts w:hint="eastAsia" w:ascii="仿宋_GB2312" w:hAnsi="仿宋" w:eastAsia="仿宋_GB2312" w:cs="仿宋_GB2312"/>
          <w:b/>
          <w:color w:val="auto"/>
          <w:kern w:val="0"/>
          <w:sz w:val="32"/>
          <w:szCs w:val="32"/>
          <w:highlight w:val="none"/>
        </w:rPr>
        <w:t>符合参与政府采购活动的资格条件依法缴纳税收、社会保障资金等方面的材料</w:t>
      </w:r>
    </w:p>
    <w:p w14:paraId="58CE4BF2">
      <w:pPr>
        <w:snapToGrid w:val="0"/>
        <w:spacing w:line="360" w:lineRule="auto"/>
        <w:ind w:firstLine="480" w:firstLineChars="200"/>
        <w:rPr>
          <w:rFonts w:hint="eastAsia" w:ascii="仿宋_GB2312" w:hAnsi="仿宋" w:eastAsia="仿宋_GB2312" w:cs="仿宋_GB2312"/>
          <w:color w:val="auto"/>
          <w:sz w:val="24"/>
          <w:highlight w:val="none"/>
        </w:rPr>
      </w:pPr>
    </w:p>
    <w:p w14:paraId="3430CEEA">
      <w:pPr>
        <w:snapToGrid w:val="0"/>
        <w:spacing w:line="360" w:lineRule="auto"/>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 xml:space="preserve">                                          </w:t>
      </w:r>
    </w:p>
    <w:p w14:paraId="4B771C9C">
      <w:pPr>
        <w:snapToGrid w:val="0"/>
        <w:spacing w:line="360" w:lineRule="auto"/>
        <w:ind w:firstLine="5040" w:firstLineChars="2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 xml:space="preserve"> 投标人名称(电子签章)：</w:t>
      </w:r>
    </w:p>
    <w:p w14:paraId="2C3FC96D">
      <w:pPr>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28F4D2BC">
      <w:pPr>
        <w:snapToGrid w:val="0"/>
        <w:spacing w:line="360" w:lineRule="auto"/>
        <w:ind w:right="480"/>
        <w:jc w:val="center"/>
        <w:rPr>
          <w:rFonts w:hint="eastAsia" w:ascii="仿宋_GB2312" w:hAnsi="仿宋" w:eastAsia="仿宋_GB2312" w:cs="仿宋_GB2312"/>
          <w:b/>
          <w:color w:val="auto"/>
          <w:kern w:val="0"/>
          <w:sz w:val="32"/>
          <w:szCs w:val="32"/>
          <w:highlight w:val="none"/>
        </w:rPr>
      </w:pPr>
      <w:r>
        <w:rPr>
          <w:rFonts w:hint="eastAsia" w:ascii="仿宋_GB2312" w:hAnsi="仿宋" w:eastAsia="仿宋_GB2312" w:cs="仿宋_GB2312"/>
          <w:b/>
          <w:color w:val="auto"/>
          <w:sz w:val="30"/>
          <w:szCs w:val="30"/>
          <w:highlight w:val="none"/>
        </w:rPr>
        <w:t>三、</w:t>
      </w:r>
      <w:r>
        <w:rPr>
          <w:rFonts w:hint="eastAsia" w:ascii="仿宋_GB2312" w:hAnsi="仿宋" w:eastAsia="仿宋_GB2312" w:cs="仿宋_GB2312"/>
          <w:b/>
          <w:color w:val="auto"/>
          <w:kern w:val="0"/>
          <w:sz w:val="32"/>
          <w:szCs w:val="32"/>
          <w:highlight w:val="none"/>
        </w:rPr>
        <w:t>财务状况报告方面的材料</w:t>
      </w:r>
    </w:p>
    <w:p w14:paraId="2A3CC4C3">
      <w:pPr>
        <w:snapToGrid w:val="0"/>
        <w:spacing w:line="360" w:lineRule="auto"/>
        <w:ind w:firstLine="480" w:firstLineChars="200"/>
        <w:rPr>
          <w:rFonts w:hint="eastAsia" w:ascii="仿宋_GB2312" w:hAnsi="仿宋" w:eastAsia="仿宋_GB2312" w:cs="仿宋_GB2312"/>
          <w:color w:val="auto"/>
          <w:sz w:val="24"/>
          <w:highlight w:val="none"/>
        </w:rPr>
      </w:pPr>
    </w:p>
    <w:p w14:paraId="26C6C854">
      <w:pPr>
        <w:snapToGrid w:val="0"/>
        <w:spacing w:line="360" w:lineRule="auto"/>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 xml:space="preserve">                                          </w:t>
      </w:r>
    </w:p>
    <w:p w14:paraId="698539D0">
      <w:pPr>
        <w:snapToGrid w:val="0"/>
        <w:spacing w:line="360" w:lineRule="auto"/>
        <w:ind w:firstLine="5040" w:firstLineChars="2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 xml:space="preserve"> 投标人名称(电子签章)：</w:t>
      </w:r>
    </w:p>
    <w:p w14:paraId="4C5396DF">
      <w:pPr>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257AF1BF">
      <w:pPr>
        <w:snapToGrid w:val="0"/>
        <w:spacing w:line="360" w:lineRule="auto"/>
        <w:ind w:firstLine="5160" w:firstLineChars="2150"/>
        <w:rPr>
          <w:rFonts w:hint="eastAsia" w:ascii="仿宋_GB2312" w:hAnsi="仿宋" w:eastAsia="仿宋_GB2312" w:cs="仿宋_GB2312"/>
          <w:color w:val="auto"/>
          <w:kern w:val="0"/>
          <w:sz w:val="24"/>
          <w:highlight w:val="none"/>
          <w:lang w:val="zh-CN"/>
        </w:rPr>
      </w:pPr>
    </w:p>
    <w:p w14:paraId="1AD06F2A">
      <w:pPr>
        <w:snapToGrid w:val="0"/>
        <w:spacing w:line="360" w:lineRule="auto"/>
        <w:ind w:right="480"/>
        <w:jc w:val="center"/>
        <w:rPr>
          <w:rFonts w:hint="eastAsia" w:ascii="仿宋_GB2312" w:hAnsi="仿宋" w:eastAsia="仿宋_GB2312" w:cs="仿宋_GB2312"/>
          <w:b/>
          <w:color w:val="auto"/>
          <w:kern w:val="0"/>
          <w:sz w:val="32"/>
          <w:szCs w:val="32"/>
          <w:highlight w:val="none"/>
          <w:lang w:val="zh-CN"/>
        </w:rPr>
      </w:pPr>
    </w:p>
    <w:p w14:paraId="3C1AF9B1">
      <w:pPr>
        <w:snapToGrid w:val="0"/>
        <w:spacing w:line="360" w:lineRule="auto"/>
        <w:ind w:right="480"/>
        <w:jc w:val="center"/>
        <w:rPr>
          <w:rFonts w:hint="eastAsia" w:ascii="宋体" w:hAnsi="宋体"/>
          <w:b/>
          <w:color w:val="auto"/>
          <w:sz w:val="28"/>
          <w:szCs w:val="28"/>
          <w:highlight w:val="none"/>
        </w:rPr>
      </w:pPr>
      <w:r>
        <w:rPr>
          <w:rFonts w:hint="eastAsia" w:ascii="仿宋_GB2312" w:hAnsi="仿宋" w:eastAsia="仿宋_GB2312" w:cs="仿宋_GB2312"/>
          <w:b/>
          <w:color w:val="auto"/>
          <w:kern w:val="0"/>
          <w:sz w:val="32"/>
          <w:szCs w:val="32"/>
          <w:highlight w:val="none"/>
        </w:rPr>
        <w:br w:type="page"/>
      </w:r>
    </w:p>
    <w:p w14:paraId="4695637C">
      <w:pPr>
        <w:snapToGrid w:val="0"/>
        <w:spacing w:before="50" w:after="165" w:afterLines="50" w:line="360" w:lineRule="auto"/>
        <w:jc w:val="center"/>
        <w:rPr>
          <w:rFonts w:hint="eastAsia" w:ascii="仿宋_GB2312" w:hAnsi="仿宋" w:eastAsia="仿宋_GB2312" w:cs="仿宋_GB2312"/>
          <w:b/>
          <w:color w:val="auto"/>
          <w:kern w:val="0"/>
          <w:sz w:val="32"/>
          <w:szCs w:val="32"/>
          <w:highlight w:val="none"/>
        </w:rPr>
      </w:pPr>
      <w:r>
        <w:rPr>
          <w:rFonts w:hint="eastAsia" w:ascii="仿宋_GB2312" w:hAnsi="仿宋" w:eastAsia="仿宋_GB2312" w:cs="仿宋_GB2312"/>
          <w:b/>
          <w:color w:val="auto"/>
          <w:kern w:val="0"/>
          <w:sz w:val="32"/>
          <w:szCs w:val="32"/>
          <w:highlight w:val="none"/>
        </w:rPr>
        <w:t>四、投标人直接控股股东信息表</w:t>
      </w:r>
    </w:p>
    <w:tbl>
      <w:tblPr>
        <w:tblStyle w:val="33"/>
        <w:tblW w:w="0" w:type="auto"/>
        <w:tblInd w:w="-1"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5C20E7E5">
        <w:tblPrEx>
          <w:shd w:val="clear" w:color="auto" w:fill="FBFBFB"/>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21DAAE6F">
            <w:pPr>
              <w:keepNext w:val="0"/>
              <w:keepLines w:val="0"/>
              <w:suppressLineNumbers w:val="0"/>
              <w:spacing w:before="0" w:beforeAutospacing="0" w:after="0" w:afterAutospacing="0" w:line="360" w:lineRule="auto"/>
              <w:ind w:left="0" w:right="0"/>
              <w:jc w:val="center"/>
              <w:rPr>
                <w:rFonts w:hint="default"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4D9C8343">
            <w:pPr>
              <w:keepNext w:val="0"/>
              <w:keepLines w:val="0"/>
              <w:suppressLineNumbers w:val="0"/>
              <w:spacing w:before="0" w:beforeAutospacing="0" w:after="0" w:afterAutospacing="0" w:line="360" w:lineRule="auto"/>
              <w:ind w:left="0" w:right="0"/>
              <w:jc w:val="center"/>
              <w:rPr>
                <w:rFonts w:hint="default"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2A535858">
            <w:pPr>
              <w:keepNext w:val="0"/>
              <w:keepLines w:val="0"/>
              <w:suppressLineNumbers w:val="0"/>
              <w:spacing w:before="0" w:beforeAutospacing="0" w:after="0" w:afterAutospacing="0" w:line="360" w:lineRule="auto"/>
              <w:ind w:left="0" w:right="0"/>
              <w:jc w:val="center"/>
              <w:rPr>
                <w:rFonts w:hint="default"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457CC580">
            <w:pPr>
              <w:keepNext w:val="0"/>
              <w:keepLines w:val="0"/>
              <w:suppressLineNumbers w:val="0"/>
              <w:spacing w:before="0" w:beforeAutospacing="0" w:after="0" w:afterAutospacing="0" w:line="360" w:lineRule="auto"/>
              <w:ind w:left="0" w:right="0"/>
              <w:jc w:val="center"/>
              <w:rPr>
                <w:rFonts w:hint="default"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02D726D0">
            <w:pPr>
              <w:keepNext w:val="0"/>
              <w:keepLines w:val="0"/>
              <w:suppressLineNumbers w:val="0"/>
              <w:spacing w:before="0" w:beforeAutospacing="0" w:after="0" w:afterAutospacing="0" w:line="360" w:lineRule="auto"/>
              <w:ind w:left="0" w:right="0"/>
              <w:jc w:val="center"/>
              <w:rPr>
                <w:rFonts w:hint="default"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6FE9AF34">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2C72A6B">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051C524">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0D78763">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43C67B3">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FF4C419">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r>
      <w:tr w14:paraId="392A144E">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7D2621A">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42C3AE4">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F7BEBCF">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910F41D">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78DF584">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r>
      <w:tr w14:paraId="56936163">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B52523A">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7497CB6">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0C58589">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A237A22">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A0EBD65">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r>
      <w:tr w14:paraId="3E959E9F">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2700DEF">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159FF83">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970D1E9">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BB20673">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07464E5">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r>
    </w:tbl>
    <w:p w14:paraId="1D2A26A2">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注：</w:t>
      </w:r>
    </w:p>
    <w:p w14:paraId="15DC5982">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23CED0C4">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2.本表所指的控股关系仅限于直接控股关系，不包括间接的控股关系。公司实际控制人与公司之间的关系不属于本表所指的直接控股关系。</w:t>
      </w:r>
    </w:p>
    <w:p w14:paraId="1DD128B0">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3.供应商不存在直接控股股东的，则填“无”。</w:t>
      </w:r>
    </w:p>
    <w:p w14:paraId="24F935D5">
      <w:pPr>
        <w:snapToGrid w:val="0"/>
        <w:spacing w:line="360" w:lineRule="auto"/>
        <w:jc w:val="left"/>
        <w:rPr>
          <w:rFonts w:hint="eastAsia" w:ascii="宋体" w:hAnsi="宋体"/>
          <w:color w:val="auto"/>
          <w:sz w:val="24"/>
          <w:highlight w:val="none"/>
        </w:rPr>
      </w:pPr>
    </w:p>
    <w:p w14:paraId="5357A2B8">
      <w:pPr>
        <w:snapToGrid w:val="0"/>
        <w:spacing w:line="360" w:lineRule="auto"/>
        <w:jc w:val="left"/>
        <w:rPr>
          <w:rFonts w:hint="eastAsia" w:ascii="宋体" w:hAnsi="宋体"/>
          <w:color w:val="auto"/>
          <w:sz w:val="24"/>
          <w:highlight w:val="none"/>
        </w:rPr>
      </w:pPr>
    </w:p>
    <w:p w14:paraId="6267D506">
      <w:pPr>
        <w:snapToGrid w:val="0"/>
        <w:spacing w:line="360" w:lineRule="auto"/>
        <w:jc w:val="left"/>
        <w:rPr>
          <w:rFonts w:hint="eastAsia" w:ascii="宋体" w:hAnsi="宋体"/>
          <w:color w:val="auto"/>
          <w:sz w:val="24"/>
          <w:highlight w:val="none"/>
        </w:rPr>
      </w:pPr>
    </w:p>
    <w:p w14:paraId="0B973C43">
      <w:pPr>
        <w:snapToGrid w:val="0"/>
        <w:spacing w:line="360" w:lineRule="auto"/>
        <w:jc w:val="left"/>
        <w:rPr>
          <w:rFonts w:hint="eastAsia" w:ascii="宋体" w:hAnsi="宋体"/>
          <w:color w:val="auto"/>
          <w:sz w:val="24"/>
          <w:highlight w:val="none"/>
        </w:rPr>
      </w:pPr>
    </w:p>
    <w:p w14:paraId="6B9F3E92">
      <w:pPr>
        <w:snapToGrid w:val="0"/>
        <w:spacing w:line="360" w:lineRule="auto"/>
        <w:jc w:val="left"/>
        <w:rPr>
          <w:rFonts w:hint="eastAsia" w:ascii="宋体" w:hAnsi="宋体"/>
          <w:color w:val="auto"/>
          <w:sz w:val="24"/>
          <w:highlight w:val="none"/>
        </w:rPr>
      </w:pPr>
    </w:p>
    <w:p w14:paraId="25C2BF58">
      <w:pPr>
        <w:snapToGrid w:val="0"/>
        <w:spacing w:line="360" w:lineRule="auto"/>
        <w:ind w:firstLine="5040" w:firstLineChars="2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4B4D411C">
      <w:pPr>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7C3A6504">
      <w:pPr>
        <w:snapToGrid w:val="0"/>
        <w:jc w:val="center"/>
        <w:rPr>
          <w:rFonts w:hint="eastAsia" w:ascii="宋体" w:hAnsi="宋体"/>
          <w:b/>
          <w:color w:val="auto"/>
          <w:sz w:val="28"/>
          <w:szCs w:val="28"/>
          <w:highlight w:val="none"/>
        </w:rPr>
      </w:pPr>
      <w:r>
        <w:rPr>
          <w:rFonts w:hint="eastAsia" w:ascii="宋体" w:hAnsi="宋体"/>
          <w:b/>
          <w:color w:val="auto"/>
          <w:sz w:val="28"/>
          <w:szCs w:val="28"/>
          <w:highlight w:val="none"/>
        </w:rPr>
        <w:br w:type="page"/>
      </w:r>
    </w:p>
    <w:p w14:paraId="5F3A0A44">
      <w:pPr>
        <w:snapToGrid w:val="0"/>
        <w:spacing w:line="360" w:lineRule="auto"/>
        <w:jc w:val="center"/>
        <w:rPr>
          <w:rFonts w:hint="eastAsia" w:ascii="宋体" w:hAnsi="宋体"/>
          <w:color w:val="auto"/>
          <w:sz w:val="32"/>
          <w:szCs w:val="32"/>
          <w:highlight w:val="none"/>
        </w:rPr>
      </w:pPr>
      <w:r>
        <w:rPr>
          <w:rFonts w:hint="eastAsia" w:ascii="宋体" w:hAnsi="宋体"/>
          <w:b/>
          <w:color w:val="auto"/>
          <w:sz w:val="32"/>
          <w:szCs w:val="32"/>
          <w:highlight w:val="none"/>
        </w:rPr>
        <w:t>五、投标人直接管理关系信息表</w:t>
      </w:r>
    </w:p>
    <w:tbl>
      <w:tblPr>
        <w:tblStyle w:val="33"/>
        <w:tblW w:w="0" w:type="auto"/>
        <w:tblInd w:w="-1" w:type="dxa"/>
        <w:shd w:val="clear" w:color="auto" w:fill="FBFBFB"/>
        <w:tblLayout w:type="fixed"/>
        <w:tblCellMar>
          <w:top w:w="0" w:type="dxa"/>
          <w:left w:w="0" w:type="dxa"/>
          <w:bottom w:w="0" w:type="dxa"/>
          <w:right w:w="0" w:type="dxa"/>
        </w:tblCellMar>
      </w:tblPr>
      <w:tblGrid>
        <w:gridCol w:w="1005"/>
        <w:gridCol w:w="2659"/>
        <w:gridCol w:w="3924"/>
        <w:gridCol w:w="2064"/>
      </w:tblGrid>
      <w:tr w14:paraId="6F51812F">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1CB7FBBD">
            <w:pPr>
              <w:keepNext w:val="0"/>
              <w:keepLines w:val="0"/>
              <w:suppressLineNumbers w:val="0"/>
              <w:spacing w:before="0" w:beforeAutospacing="0" w:after="0" w:afterAutospacing="0" w:line="360" w:lineRule="auto"/>
              <w:ind w:left="0" w:right="0"/>
              <w:jc w:val="center"/>
              <w:rPr>
                <w:rFonts w:hint="default"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77B7D4C4">
            <w:pPr>
              <w:keepNext w:val="0"/>
              <w:keepLines w:val="0"/>
              <w:suppressLineNumbers w:val="0"/>
              <w:spacing w:before="0" w:beforeAutospacing="0" w:after="0" w:afterAutospacing="0" w:line="360" w:lineRule="auto"/>
              <w:ind w:left="0" w:right="0"/>
              <w:jc w:val="center"/>
              <w:rPr>
                <w:rFonts w:hint="default"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543AC082">
            <w:pPr>
              <w:keepNext w:val="0"/>
              <w:keepLines w:val="0"/>
              <w:suppressLineNumbers w:val="0"/>
              <w:spacing w:before="0" w:beforeAutospacing="0" w:after="0" w:afterAutospacing="0" w:line="360" w:lineRule="auto"/>
              <w:ind w:left="0" w:right="0"/>
              <w:jc w:val="center"/>
              <w:rPr>
                <w:rFonts w:hint="default"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76F2B93D">
            <w:pPr>
              <w:keepNext w:val="0"/>
              <w:keepLines w:val="0"/>
              <w:suppressLineNumbers w:val="0"/>
              <w:spacing w:before="0" w:beforeAutospacing="0" w:after="0" w:afterAutospacing="0" w:line="360" w:lineRule="auto"/>
              <w:ind w:left="0" w:right="0"/>
              <w:jc w:val="center"/>
              <w:rPr>
                <w:rFonts w:hint="default"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6A399EE2">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BCCA540">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F95CC31">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00E9D05">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C4A6689">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r>
      <w:tr w14:paraId="135B8EEE">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A567861">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7BE3B34">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5B5271F">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C8EDA87">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r>
      <w:tr w14:paraId="14B98596">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6F086B8">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5F8F903">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F29400A">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7A3776A">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r>
      <w:tr w14:paraId="5673A1B1">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831B58C">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AA4FFB2">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AF5D7DB">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8D8F4E3">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4"/>
                <w:highlight w:val="none"/>
              </w:rPr>
            </w:pPr>
          </w:p>
        </w:tc>
      </w:tr>
    </w:tbl>
    <w:p w14:paraId="21D3C461">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注：</w:t>
      </w:r>
    </w:p>
    <w:p w14:paraId="7C3FF9B3">
      <w:pPr>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1.管理关系：是指不具有出资持股关系的其他单位之间存在的管理与被管理关系，如一些上下级关系的事业单位和团体组织。</w:t>
      </w:r>
    </w:p>
    <w:p w14:paraId="654C7687">
      <w:pPr>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2.</w:t>
      </w:r>
      <w:r>
        <w:rPr>
          <w:rFonts w:hint="eastAsia" w:ascii="宋体" w:hAnsi="宋体"/>
          <w:color w:val="auto"/>
          <w:spacing w:val="-6"/>
          <w:sz w:val="24"/>
          <w:highlight w:val="none"/>
        </w:rPr>
        <w:t>本表所指的管理关系仅限于直接管理关系，不包括间接的管理关系。</w:t>
      </w:r>
    </w:p>
    <w:p w14:paraId="71084416">
      <w:pPr>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3.供应商不存在直接管理关系的，则填“无”。</w:t>
      </w:r>
    </w:p>
    <w:p w14:paraId="6D075C44">
      <w:pPr>
        <w:snapToGrid w:val="0"/>
        <w:spacing w:line="360" w:lineRule="auto"/>
        <w:jc w:val="left"/>
        <w:rPr>
          <w:rFonts w:hint="eastAsia" w:ascii="宋体" w:hAnsi="宋体"/>
          <w:color w:val="auto"/>
          <w:sz w:val="24"/>
          <w:highlight w:val="none"/>
        </w:rPr>
      </w:pPr>
    </w:p>
    <w:p w14:paraId="34A06C45">
      <w:pPr>
        <w:snapToGrid w:val="0"/>
        <w:spacing w:line="360" w:lineRule="auto"/>
        <w:jc w:val="left"/>
        <w:rPr>
          <w:rFonts w:hint="eastAsia" w:ascii="宋体" w:hAnsi="宋体"/>
          <w:color w:val="auto"/>
          <w:sz w:val="24"/>
          <w:highlight w:val="none"/>
        </w:rPr>
      </w:pPr>
    </w:p>
    <w:p w14:paraId="6622DCBA">
      <w:pPr>
        <w:snapToGrid w:val="0"/>
        <w:spacing w:line="360" w:lineRule="auto"/>
        <w:jc w:val="left"/>
        <w:rPr>
          <w:rFonts w:hint="eastAsia" w:ascii="宋体" w:hAnsi="宋体"/>
          <w:color w:val="auto"/>
          <w:sz w:val="24"/>
          <w:highlight w:val="none"/>
        </w:rPr>
      </w:pPr>
    </w:p>
    <w:p w14:paraId="7A223243">
      <w:pPr>
        <w:snapToGrid w:val="0"/>
        <w:spacing w:line="360" w:lineRule="auto"/>
        <w:jc w:val="left"/>
        <w:rPr>
          <w:rFonts w:hint="eastAsia"/>
          <w:color w:val="auto"/>
          <w:sz w:val="24"/>
          <w:highlight w:val="none"/>
        </w:rPr>
      </w:pPr>
    </w:p>
    <w:p w14:paraId="4A5142D6">
      <w:pPr>
        <w:snapToGrid w:val="0"/>
        <w:spacing w:line="360" w:lineRule="auto"/>
        <w:jc w:val="left"/>
        <w:rPr>
          <w:color w:val="auto"/>
          <w:sz w:val="24"/>
          <w:highlight w:val="none"/>
        </w:rPr>
      </w:pPr>
    </w:p>
    <w:p w14:paraId="13F25F00">
      <w:pPr>
        <w:snapToGrid w:val="0"/>
        <w:spacing w:line="360" w:lineRule="auto"/>
        <w:jc w:val="left"/>
        <w:rPr>
          <w:color w:val="auto"/>
          <w:sz w:val="24"/>
          <w:highlight w:val="none"/>
        </w:rPr>
      </w:pPr>
    </w:p>
    <w:p w14:paraId="508A9D59">
      <w:pPr>
        <w:snapToGrid w:val="0"/>
        <w:spacing w:line="360" w:lineRule="auto"/>
        <w:jc w:val="left"/>
        <w:rPr>
          <w:rFonts w:ascii="宋体" w:hAnsi="宋体"/>
          <w:color w:val="auto"/>
          <w:sz w:val="24"/>
          <w:highlight w:val="none"/>
        </w:rPr>
      </w:pPr>
    </w:p>
    <w:p w14:paraId="2F81D35E">
      <w:pPr>
        <w:snapToGrid w:val="0"/>
        <w:spacing w:line="360" w:lineRule="auto"/>
        <w:jc w:val="left"/>
        <w:rPr>
          <w:rFonts w:hint="eastAsia" w:ascii="宋体" w:hAnsi="宋体"/>
          <w:color w:val="auto"/>
          <w:sz w:val="24"/>
          <w:highlight w:val="none"/>
        </w:rPr>
      </w:pPr>
    </w:p>
    <w:p w14:paraId="59093FA5">
      <w:pPr>
        <w:snapToGrid w:val="0"/>
        <w:spacing w:line="360" w:lineRule="auto"/>
        <w:ind w:firstLine="5040" w:firstLineChars="2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24AA003F">
      <w:pPr>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173423F9">
      <w:pPr>
        <w:snapToGrid w:val="0"/>
        <w:spacing w:before="50" w:after="165" w:afterLines="50"/>
        <w:jc w:val="left"/>
        <w:rPr>
          <w:rFonts w:hint="eastAsia" w:ascii="宋体" w:hAnsi="宋体"/>
          <w:color w:val="auto"/>
          <w:szCs w:val="21"/>
          <w:highlight w:val="none"/>
        </w:rPr>
      </w:pPr>
    </w:p>
    <w:p w14:paraId="694C6776">
      <w:pPr>
        <w:snapToGrid w:val="0"/>
        <w:spacing w:before="165" w:beforeLines="50" w:after="50"/>
        <w:jc w:val="left"/>
        <w:rPr>
          <w:rFonts w:hint="eastAsia" w:ascii="宋体" w:hAnsi="宋体"/>
          <w:b/>
          <w:color w:val="auto"/>
          <w:sz w:val="24"/>
          <w:szCs w:val="20"/>
          <w:highlight w:val="none"/>
        </w:rPr>
      </w:pPr>
    </w:p>
    <w:p w14:paraId="2560E718">
      <w:pPr>
        <w:snapToGrid w:val="0"/>
        <w:spacing w:before="165" w:beforeLines="50" w:after="50"/>
        <w:jc w:val="left"/>
        <w:rPr>
          <w:rFonts w:hint="eastAsia" w:ascii="宋体" w:hAnsi="宋体"/>
          <w:b/>
          <w:color w:val="auto"/>
          <w:sz w:val="24"/>
          <w:highlight w:val="none"/>
        </w:rPr>
      </w:pPr>
    </w:p>
    <w:p w14:paraId="23CF5840">
      <w:pPr>
        <w:snapToGrid w:val="0"/>
        <w:spacing w:before="165" w:beforeLines="50" w:after="50"/>
        <w:jc w:val="left"/>
        <w:rPr>
          <w:rFonts w:hint="eastAsia" w:ascii="宋体" w:hAnsi="宋体"/>
          <w:b/>
          <w:color w:val="auto"/>
          <w:sz w:val="24"/>
          <w:szCs w:val="20"/>
          <w:highlight w:val="none"/>
        </w:rPr>
      </w:pPr>
      <w:r>
        <w:rPr>
          <w:rFonts w:hint="eastAsia" w:ascii="宋体" w:hAnsi="宋体"/>
          <w:b/>
          <w:color w:val="auto"/>
          <w:sz w:val="24"/>
          <w:szCs w:val="20"/>
          <w:highlight w:val="none"/>
        </w:rPr>
        <w:t xml:space="preserve"> </w:t>
      </w:r>
    </w:p>
    <w:p w14:paraId="59F74D63">
      <w:pPr>
        <w:snapToGrid w:val="0"/>
        <w:spacing w:before="165" w:beforeLines="50" w:after="50"/>
        <w:jc w:val="left"/>
        <w:rPr>
          <w:rFonts w:hint="eastAsia" w:ascii="宋体" w:hAnsi="宋体"/>
          <w:b/>
          <w:color w:val="auto"/>
          <w:sz w:val="24"/>
          <w:szCs w:val="20"/>
          <w:highlight w:val="none"/>
        </w:rPr>
      </w:pPr>
    </w:p>
    <w:p w14:paraId="073F717B">
      <w:pPr>
        <w:snapToGrid w:val="0"/>
        <w:spacing w:before="50" w:after="165" w:afterLines="50"/>
        <w:jc w:val="left"/>
        <w:rPr>
          <w:rFonts w:hint="eastAsia" w:ascii="宋体" w:hAnsi="宋体"/>
          <w:color w:val="auto"/>
          <w:highlight w:val="none"/>
        </w:rPr>
      </w:pPr>
    </w:p>
    <w:p w14:paraId="6A9D96B2">
      <w:pPr>
        <w:snapToGrid w:val="0"/>
        <w:spacing w:before="50" w:after="165" w:afterLines="50"/>
        <w:jc w:val="left"/>
        <w:rPr>
          <w:rFonts w:hint="eastAsia" w:ascii="宋体" w:hAnsi="宋体"/>
          <w:color w:val="auto"/>
          <w:highlight w:val="none"/>
        </w:rPr>
      </w:pPr>
    </w:p>
    <w:p w14:paraId="18B8A99A">
      <w:pPr>
        <w:snapToGrid w:val="0"/>
        <w:spacing w:before="50" w:after="165" w:afterLines="50"/>
        <w:jc w:val="center"/>
        <w:rPr>
          <w:rFonts w:hint="eastAsia" w:ascii="宋体" w:hAnsi="宋体"/>
          <w:b/>
          <w:color w:val="auto"/>
          <w:sz w:val="32"/>
          <w:szCs w:val="32"/>
          <w:highlight w:val="none"/>
        </w:rPr>
      </w:pPr>
      <w:r>
        <w:rPr>
          <w:rFonts w:hint="eastAsia" w:ascii="宋体" w:hAnsi="宋体"/>
          <w:b/>
          <w:color w:val="auto"/>
          <w:sz w:val="32"/>
          <w:szCs w:val="32"/>
          <w:highlight w:val="none"/>
        </w:rPr>
        <w:t>六、投标资格声明函</w:t>
      </w:r>
    </w:p>
    <w:p w14:paraId="6F1557E0">
      <w:pPr>
        <w:tabs>
          <w:tab w:val="left" w:pos="7200"/>
        </w:tabs>
        <w:spacing w:line="360" w:lineRule="auto"/>
        <w:rPr>
          <w:rFonts w:hint="eastAsia" w:ascii="宋体" w:hAnsi="宋体"/>
          <w:color w:val="auto"/>
          <w:szCs w:val="21"/>
          <w:highlight w:val="none"/>
          <w:u w:val="single"/>
        </w:rPr>
      </w:pPr>
      <w:r>
        <w:rPr>
          <w:rFonts w:hint="eastAsia" w:ascii="宋体" w:hAnsi="宋体"/>
          <w:color w:val="auto"/>
          <w:szCs w:val="21"/>
          <w:highlight w:val="none"/>
        </w:rPr>
        <w:t>致：</w:t>
      </w:r>
      <w:r>
        <w:rPr>
          <w:rFonts w:hint="eastAsia" w:ascii="宋体" w:hAnsi="宋体"/>
          <w:color w:val="auto"/>
          <w:szCs w:val="21"/>
          <w:highlight w:val="none"/>
          <w:u w:val="single"/>
        </w:rPr>
        <w:t xml:space="preserve">广西嘉达工程咨询管理有限公司 </w:t>
      </w:r>
    </w:p>
    <w:p w14:paraId="1D44D6B2">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我方愿意参加贵方组织的_</w:t>
      </w:r>
      <w:r>
        <w:rPr>
          <w:rFonts w:hint="eastAsia" w:ascii="宋体" w:hAnsi="宋体"/>
          <w:color w:val="auto"/>
          <w:szCs w:val="21"/>
          <w:highlight w:val="none"/>
          <w:u w:val="single"/>
        </w:rPr>
        <w:t xml:space="preserve">                </w:t>
      </w:r>
      <w:r>
        <w:rPr>
          <w:rFonts w:hint="eastAsia" w:ascii="宋体" w:hAnsi="宋体"/>
          <w:color w:val="auto"/>
          <w:szCs w:val="21"/>
          <w:highlight w:val="none"/>
        </w:rPr>
        <w:t>_（项目编号：</w:t>
      </w:r>
      <w:r>
        <w:rPr>
          <w:rFonts w:hint="eastAsia" w:ascii="宋体" w:hAnsi="宋体"/>
          <w:color w:val="auto"/>
          <w:szCs w:val="21"/>
          <w:highlight w:val="none"/>
          <w:u w:val="single"/>
        </w:rPr>
        <w:t xml:space="preserve">         </w:t>
      </w:r>
      <w:r>
        <w:rPr>
          <w:rFonts w:hint="eastAsia" w:ascii="宋体" w:hAnsi="宋体"/>
          <w:color w:val="auto"/>
          <w:szCs w:val="21"/>
          <w:highlight w:val="none"/>
        </w:rPr>
        <w:t>）项目的投标，为便于贵方公正、择优地确定中标人，我方就本次投标有关事项郑重声明如下：</w:t>
      </w:r>
    </w:p>
    <w:p w14:paraId="77876CCD">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我方承诺已经具备《中华人民共和国政府采购法》第二十二条中规定的参加政府采购活动的供应商应当具备的条件并按本项目投标文件“第三章”“第二节投标人须知前附表”中“资格证明文件组成”完整提供证明材料。</w:t>
      </w:r>
    </w:p>
    <w:p w14:paraId="04BFC7F4">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2. 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69732CD3">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3.经查询，在“信用中国”和“中国政府采购网”网站我方未被列入失信被执行人、重大税收违法案件当事人名单、政府采购严重违法失信行为记录名单。</w:t>
      </w:r>
    </w:p>
    <w:p w14:paraId="238ADA5F">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 xml:space="preserve">4.以上事项如有虚假或隐瞒，我方愿意承担一切后果，并不再寻求任何旨在减轻或免除法律责任的辩解。 </w:t>
      </w:r>
    </w:p>
    <w:p w14:paraId="09B46F95">
      <w:pPr>
        <w:tabs>
          <w:tab w:val="left" w:pos="7200"/>
        </w:tabs>
        <w:ind w:firstLine="270" w:firstLineChars="150"/>
        <w:rPr>
          <w:rFonts w:hint="eastAsia" w:ascii="宋体" w:hAnsi="宋体"/>
          <w:color w:val="auto"/>
          <w:sz w:val="18"/>
          <w:szCs w:val="18"/>
          <w:highlight w:val="none"/>
        </w:rPr>
      </w:pPr>
      <w:r>
        <w:rPr>
          <w:rFonts w:hint="eastAsia" w:ascii="宋体" w:hAnsi="宋体"/>
          <w:color w:val="auto"/>
          <w:sz w:val="18"/>
          <w:szCs w:val="18"/>
          <w:highlight w:val="none"/>
        </w:rPr>
        <w:t>说明：</w:t>
      </w:r>
    </w:p>
    <w:p w14:paraId="49BDD5D2">
      <w:pPr>
        <w:ind w:firstLine="360" w:firstLineChars="200"/>
        <w:jc w:val="left"/>
        <w:rPr>
          <w:rFonts w:hint="eastAsia" w:ascii="宋体" w:hAnsi="宋体"/>
          <w:color w:val="auto"/>
          <w:sz w:val="18"/>
          <w:szCs w:val="18"/>
          <w:highlight w:val="none"/>
        </w:rPr>
      </w:pPr>
      <w:r>
        <w:rPr>
          <w:rFonts w:hint="eastAsia" w:ascii="宋体" w:hAnsi="宋体"/>
          <w:color w:val="auto"/>
          <w:sz w:val="18"/>
          <w:szCs w:val="18"/>
          <w:highlight w:val="none"/>
        </w:rPr>
        <w:t>1.投标人应当通过 “信用中国”（www.creditchina.gov.cn）和“中国政府采购网”网站（www.ccgp.gov.cn）查询投标人相关主体的信用记录。查询时间为本项目投标截止时间前10日至投标截止时间中任意一天。对列入失信被执行人、重大税收违法案件当事人名单、政府采购严重违法失信行为记录名单的投标人，将被拒绝参与本项目政府采购活动。</w:t>
      </w:r>
    </w:p>
    <w:p w14:paraId="12588A61">
      <w:pPr>
        <w:ind w:firstLine="360" w:firstLineChars="200"/>
        <w:jc w:val="left"/>
        <w:rPr>
          <w:rFonts w:hint="eastAsia" w:ascii="宋体" w:hAnsi="宋体"/>
          <w:color w:val="auto"/>
          <w:sz w:val="18"/>
          <w:szCs w:val="18"/>
          <w:highlight w:val="none"/>
        </w:rPr>
      </w:pPr>
      <w:r>
        <w:rPr>
          <w:rFonts w:hint="eastAsia" w:ascii="宋体" w:hAnsi="宋体"/>
          <w:color w:val="auto"/>
          <w:sz w:val="18"/>
          <w:szCs w:val="18"/>
          <w:highlight w:val="none"/>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3ECFEF00">
      <w:pPr>
        <w:snapToGrid w:val="0"/>
        <w:spacing w:before="50" w:after="165" w:afterLines="50"/>
        <w:jc w:val="left"/>
        <w:rPr>
          <w:rFonts w:hint="eastAsia" w:ascii="宋体" w:hAnsi="宋体"/>
          <w:color w:val="auto"/>
          <w:sz w:val="18"/>
          <w:szCs w:val="18"/>
          <w:highlight w:val="none"/>
        </w:rPr>
      </w:pPr>
      <w:r>
        <w:rPr>
          <w:rFonts w:hint="eastAsia" w:ascii="宋体" w:hAnsi="宋体"/>
          <w:color w:val="auto"/>
          <w:sz w:val="18"/>
          <w:szCs w:val="18"/>
          <w:highlight w:val="none"/>
        </w:rPr>
        <w:t xml:space="preserve"> </w:t>
      </w:r>
      <w:r>
        <w:rPr>
          <w:rFonts w:hint="eastAsia" w:ascii="宋体" w:hAnsi="宋体"/>
          <w:b/>
          <w:color w:val="auto"/>
          <w:sz w:val="18"/>
          <w:szCs w:val="18"/>
          <w:highlight w:val="none"/>
        </w:rPr>
        <w:t xml:space="preserve">  3.如为联合体投标，盖章处须加盖联合体各方公章并由联合体各方法定代表人分别签署，否则投标无效。</w:t>
      </w:r>
    </w:p>
    <w:p w14:paraId="5E5A09CD">
      <w:pPr>
        <w:snapToGrid w:val="0"/>
        <w:spacing w:before="50" w:after="331" w:afterLines="100" w:line="360" w:lineRule="auto"/>
        <w:jc w:val="left"/>
        <w:rPr>
          <w:rFonts w:hint="eastAsia" w:ascii="宋体" w:hAnsi="宋体"/>
          <w:color w:val="auto"/>
          <w:sz w:val="24"/>
          <w:highlight w:val="none"/>
        </w:rPr>
      </w:pPr>
      <w:r>
        <w:rPr>
          <w:rFonts w:hint="eastAsia" w:ascii="宋体" w:hAnsi="宋体"/>
          <w:color w:val="auto"/>
          <w:sz w:val="24"/>
          <w:highlight w:val="none"/>
        </w:rPr>
        <w:t xml:space="preserve">                                     </w:t>
      </w:r>
    </w:p>
    <w:p w14:paraId="61676D77">
      <w:pPr>
        <w:snapToGrid w:val="0"/>
        <w:spacing w:before="50" w:after="331" w:afterLines="100" w:line="360" w:lineRule="auto"/>
        <w:ind w:left="7428" w:leftChars="2223" w:hanging="2760" w:hangingChars="1150"/>
        <w:jc w:val="left"/>
        <w:rPr>
          <w:rFonts w:hint="eastAsia" w:ascii="仿宋_GB2312" w:hAnsi="仿宋" w:eastAsia="仿宋_GB2312" w:cs="仿宋_GB2312"/>
          <w:color w:val="auto"/>
          <w:kern w:val="0"/>
          <w:sz w:val="24"/>
          <w:highlight w:val="none"/>
          <w:lang w:val="zh-CN"/>
        </w:rPr>
      </w:pPr>
      <w:r>
        <w:rPr>
          <w:rFonts w:hint="eastAsia" w:ascii="宋体" w:hAnsi="宋体"/>
          <w:color w:val="auto"/>
          <w:sz w:val="24"/>
          <w:highlight w:val="none"/>
        </w:rPr>
        <w:t xml:space="preserve">  </w:t>
      </w:r>
      <w:r>
        <w:rPr>
          <w:rFonts w:hint="eastAsia" w:ascii="仿宋_GB2312" w:hAnsi="仿宋" w:eastAsia="仿宋_GB2312" w:cs="仿宋_GB2312"/>
          <w:color w:val="auto"/>
          <w:kern w:val="0"/>
          <w:sz w:val="24"/>
          <w:highlight w:val="none"/>
          <w:lang w:val="zh-CN"/>
        </w:rPr>
        <w:t>投标人名称(电子签章)：</w:t>
      </w:r>
      <w:r>
        <w:rPr>
          <w:rFonts w:hint="eastAsia" w:ascii="宋体" w:hAnsi="宋体"/>
          <w:color w:val="auto"/>
          <w:szCs w:val="21"/>
          <w:highlight w:val="none"/>
        </w:rPr>
        <w:t xml:space="preserve">                                     年    月    日</w:t>
      </w:r>
    </w:p>
    <w:p w14:paraId="7688D397">
      <w:pPr>
        <w:spacing w:line="600" w:lineRule="exact"/>
        <w:jc w:val="center"/>
        <w:rPr>
          <w:rFonts w:hint="eastAsia"/>
          <w:b/>
          <w:bCs/>
          <w:color w:val="auto"/>
          <w:sz w:val="30"/>
          <w:szCs w:val="30"/>
          <w:highlight w:val="none"/>
        </w:rPr>
      </w:pPr>
    </w:p>
    <w:p w14:paraId="60FC3F89">
      <w:pPr>
        <w:widowControl/>
        <w:jc w:val="left"/>
        <w:rPr>
          <w:b/>
          <w:bCs/>
          <w:color w:val="auto"/>
          <w:sz w:val="30"/>
          <w:szCs w:val="30"/>
          <w:highlight w:val="none"/>
        </w:rPr>
        <w:sectPr>
          <w:pgSz w:w="11906" w:h="16838"/>
          <w:pgMar w:top="1134" w:right="1134" w:bottom="1134" w:left="1134" w:header="720" w:footer="720" w:gutter="0"/>
          <w:cols w:space="720" w:num="1"/>
          <w:docGrid w:type="lines" w:linePitch="331" w:charSpace="0"/>
        </w:sectPr>
      </w:pPr>
    </w:p>
    <w:p w14:paraId="6BD5607E">
      <w:pPr>
        <w:rPr>
          <w:rFonts w:hint="eastAsia"/>
          <w:color w:val="auto"/>
          <w:highlight w:val="none"/>
        </w:rPr>
      </w:pPr>
    </w:p>
    <w:p w14:paraId="60148E0E">
      <w:pPr>
        <w:spacing w:line="600" w:lineRule="exact"/>
        <w:jc w:val="center"/>
        <w:rPr>
          <w:rFonts w:hint="eastAsia"/>
          <w:b/>
          <w:bCs/>
          <w:color w:val="auto"/>
          <w:sz w:val="30"/>
          <w:szCs w:val="30"/>
          <w:highlight w:val="none"/>
        </w:rPr>
      </w:pPr>
      <w:r>
        <w:rPr>
          <w:rFonts w:hint="eastAsia"/>
          <w:b/>
          <w:bCs/>
          <w:color w:val="auto"/>
          <w:sz w:val="30"/>
          <w:szCs w:val="30"/>
          <w:highlight w:val="none"/>
          <w:lang w:val="en-US" w:eastAsia="zh-CN"/>
        </w:rPr>
        <w:t>七</w:t>
      </w:r>
      <w:r>
        <w:rPr>
          <w:rFonts w:hint="eastAsia"/>
          <w:b/>
          <w:bCs/>
          <w:color w:val="auto"/>
          <w:sz w:val="30"/>
          <w:szCs w:val="30"/>
          <w:highlight w:val="none"/>
        </w:rPr>
        <w:t>、本项目的特定资格要求；</w:t>
      </w:r>
    </w:p>
    <w:p w14:paraId="2183952C">
      <w:pPr>
        <w:spacing w:line="600" w:lineRule="exact"/>
        <w:jc w:val="center"/>
        <w:rPr>
          <w:rFonts w:hint="eastAsia"/>
          <w:b/>
          <w:bCs/>
          <w:color w:val="auto"/>
          <w:sz w:val="30"/>
          <w:szCs w:val="30"/>
          <w:highlight w:val="none"/>
        </w:rPr>
      </w:pPr>
    </w:p>
    <w:p w14:paraId="175A3FA1">
      <w:pPr>
        <w:spacing w:line="600" w:lineRule="exact"/>
        <w:jc w:val="center"/>
        <w:rPr>
          <w:rFonts w:hint="eastAsia"/>
          <w:b/>
          <w:bCs/>
          <w:color w:val="auto"/>
          <w:sz w:val="30"/>
          <w:szCs w:val="30"/>
          <w:highlight w:val="none"/>
        </w:rPr>
      </w:pPr>
    </w:p>
    <w:p w14:paraId="1BE37399">
      <w:pPr>
        <w:spacing w:line="600" w:lineRule="exact"/>
        <w:jc w:val="center"/>
        <w:rPr>
          <w:rFonts w:hint="eastAsia"/>
          <w:b/>
          <w:bCs/>
          <w:color w:val="auto"/>
          <w:sz w:val="30"/>
          <w:szCs w:val="30"/>
          <w:highlight w:val="none"/>
        </w:rPr>
      </w:pPr>
    </w:p>
    <w:p w14:paraId="43A07847">
      <w:pPr>
        <w:spacing w:line="600" w:lineRule="exact"/>
        <w:jc w:val="center"/>
        <w:rPr>
          <w:rFonts w:hint="eastAsia"/>
          <w:b/>
          <w:bCs/>
          <w:color w:val="auto"/>
          <w:sz w:val="30"/>
          <w:szCs w:val="30"/>
          <w:highlight w:val="none"/>
        </w:rPr>
      </w:pPr>
    </w:p>
    <w:p w14:paraId="2E952FF6">
      <w:pPr>
        <w:spacing w:line="600" w:lineRule="exact"/>
        <w:jc w:val="center"/>
        <w:rPr>
          <w:rFonts w:hint="eastAsia"/>
          <w:b/>
          <w:bCs/>
          <w:color w:val="auto"/>
          <w:sz w:val="30"/>
          <w:szCs w:val="30"/>
          <w:highlight w:val="none"/>
        </w:rPr>
      </w:pPr>
    </w:p>
    <w:p w14:paraId="274DE2C9">
      <w:pPr>
        <w:snapToGrid w:val="0"/>
        <w:spacing w:line="360" w:lineRule="auto"/>
        <w:ind w:firstLine="5040" w:firstLineChars="2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53F49F9E">
      <w:pPr>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0B86DEE6">
      <w:pPr>
        <w:spacing w:line="600" w:lineRule="exact"/>
        <w:jc w:val="center"/>
        <w:rPr>
          <w:rFonts w:hint="eastAsia"/>
          <w:b/>
          <w:bCs/>
          <w:color w:val="auto"/>
          <w:sz w:val="30"/>
          <w:szCs w:val="30"/>
          <w:highlight w:val="none"/>
        </w:rPr>
      </w:pPr>
    </w:p>
    <w:p w14:paraId="6367D26E">
      <w:pPr>
        <w:spacing w:line="600" w:lineRule="exact"/>
        <w:jc w:val="center"/>
        <w:rPr>
          <w:rFonts w:hint="eastAsia"/>
          <w:b/>
          <w:bCs/>
          <w:color w:val="auto"/>
          <w:sz w:val="30"/>
          <w:szCs w:val="30"/>
          <w:highlight w:val="none"/>
        </w:rPr>
      </w:pPr>
    </w:p>
    <w:p w14:paraId="4205B655">
      <w:pPr>
        <w:spacing w:line="600" w:lineRule="exact"/>
        <w:jc w:val="center"/>
        <w:rPr>
          <w:rFonts w:hint="eastAsia"/>
          <w:b/>
          <w:bCs/>
          <w:color w:val="auto"/>
          <w:sz w:val="30"/>
          <w:szCs w:val="30"/>
          <w:highlight w:val="none"/>
        </w:rPr>
      </w:pPr>
    </w:p>
    <w:p w14:paraId="7AB24857">
      <w:pPr>
        <w:spacing w:line="600" w:lineRule="exact"/>
        <w:jc w:val="center"/>
        <w:rPr>
          <w:rFonts w:hint="eastAsia"/>
          <w:b/>
          <w:bCs/>
          <w:color w:val="auto"/>
          <w:sz w:val="30"/>
          <w:szCs w:val="30"/>
          <w:highlight w:val="none"/>
        </w:rPr>
      </w:pPr>
    </w:p>
    <w:p w14:paraId="7E50B07B">
      <w:pPr>
        <w:spacing w:line="600" w:lineRule="exact"/>
        <w:jc w:val="center"/>
        <w:rPr>
          <w:rFonts w:hint="eastAsia"/>
          <w:b/>
          <w:bCs/>
          <w:color w:val="auto"/>
          <w:sz w:val="30"/>
          <w:szCs w:val="30"/>
          <w:highlight w:val="none"/>
        </w:rPr>
      </w:pPr>
    </w:p>
    <w:p w14:paraId="691CE605">
      <w:pPr>
        <w:spacing w:line="600" w:lineRule="exact"/>
        <w:jc w:val="center"/>
        <w:rPr>
          <w:rFonts w:hint="eastAsia"/>
          <w:b/>
          <w:bCs/>
          <w:color w:val="auto"/>
          <w:sz w:val="30"/>
          <w:szCs w:val="30"/>
          <w:highlight w:val="none"/>
        </w:rPr>
      </w:pPr>
    </w:p>
    <w:p w14:paraId="7FB08F71">
      <w:pPr>
        <w:spacing w:line="600" w:lineRule="exact"/>
        <w:jc w:val="center"/>
        <w:rPr>
          <w:rFonts w:hint="eastAsia"/>
          <w:b/>
          <w:bCs/>
          <w:color w:val="auto"/>
          <w:sz w:val="30"/>
          <w:szCs w:val="30"/>
          <w:highlight w:val="none"/>
        </w:rPr>
      </w:pPr>
    </w:p>
    <w:p w14:paraId="390F2083">
      <w:pPr>
        <w:spacing w:line="600" w:lineRule="exact"/>
        <w:jc w:val="center"/>
        <w:rPr>
          <w:rFonts w:hint="eastAsia"/>
          <w:b/>
          <w:bCs/>
          <w:color w:val="auto"/>
          <w:sz w:val="30"/>
          <w:szCs w:val="30"/>
          <w:highlight w:val="none"/>
        </w:rPr>
      </w:pPr>
    </w:p>
    <w:p w14:paraId="0BBC077E">
      <w:pPr>
        <w:spacing w:line="600" w:lineRule="exact"/>
        <w:jc w:val="center"/>
        <w:rPr>
          <w:rFonts w:hint="eastAsia"/>
          <w:b/>
          <w:bCs/>
          <w:color w:val="auto"/>
          <w:sz w:val="30"/>
          <w:szCs w:val="30"/>
          <w:highlight w:val="none"/>
        </w:rPr>
      </w:pPr>
    </w:p>
    <w:p w14:paraId="4F64F3AC">
      <w:pPr>
        <w:spacing w:line="600" w:lineRule="exact"/>
        <w:jc w:val="center"/>
        <w:rPr>
          <w:rFonts w:hint="eastAsia"/>
          <w:b/>
          <w:bCs/>
          <w:color w:val="auto"/>
          <w:sz w:val="30"/>
          <w:szCs w:val="30"/>
          <w:highlight w:val="none"/>
        </w:rPr>
      </w:pPr>
    </w:p>
    <w:p w14:paraId="5B0F7722">
      <w:pPr>
        <w:spacing w:line="600" w:lineRule="exact"/>
        <w:jc w:val="center"/>
        <w:rPr>
          <w:rFonts w:hint="eastAsia"/>
          <w:b/>
          <w:bCs/>
          <w:color w:val="auto"/>
          <w:sz w:val="30"/>
          <w:szCs w:val="30"/>
          <w:highlight w:val="none"/>
        </w:rPr>
      </w:pPr>
    </w:p>
    <w:p w14:paraId="786A8B3E">
      <w:pPr>
        <w:spacing w:line="600" w:lineRule="exact"/>
        <w:jc w:val="center"/>
        <w:rPr>
          <w:rFonts w:hint="eastAsia"/>
          <w:b/>
          <w:bCs/>
          <w:color w:val="auto"/>
          <w:sz w:val="30"/>
          <w:szCs w:val="30"/>
          <w:highlight w:val="none"/>
        </w:rPr>
      </w:pPr>
    </w:p>
    <w:p w14:paraId="1974AB15">
      <w:pPr>
        <w:spacing w:line="600" w:lineRule="exact"/>
        <w:jc w:val="center"/>
        <w:rPr>
          <w:rFonts w:hint="eastAsia"/>
          <w:b/>
          <w:bCs/>
          <w:color w:val="auto"/>
          <w:sz w:val="30"/>
          <w:szCs w:val="30"/>
          <w:highlight w:val="none"/>
        </w:rPr>
      </w:pPr>
    </w:p>
    <w:p w14:paraId="6CD9DA97">
      <w:pPr>
        <w:spacing w:line="600" w:lineRule="exact"/>
        <w:jc w:val="center"/>
        <w:rPr>
          <w:rFonts w:hint="eastAsia"/>
          <w:b/>
          <w:bCs/>
          <w:color w:val="auto"/>
          <w:sz w:val="30"/>
          <w:szCs w:val="30"/>
          <w:highlight w:val="none"/>
        </w:rPr>
      </w:pPr>
    </w:p>
    <w:p w14:paraId="06246674">
      <w:pPr>
        <w:spacing w:line="600" w:lineRule="exact"/>
        <w:jc w:val="center"/>
        <w:rPr>
          <w:rFonts w:hint="eastAsia"/>
          <w:b/>
          <w:bCs/>
          <w:color w:val="auto"/>
          <w:sz w:val="30"/>
          <w:szCs w:val="30"/>
          <w:highlight w:val="none"/>
        </w:rPr>
      </w:pPr>
    </w:p>
    <w:p w14:paraId="002AB2E6">
      <w:pPr>
        <w:spacing w:line="600" w:lineRule="exact"/>
        <w:jc w:val="center"/>
        <w:rPr>
          <w:rFonts w:hint="eastAsia"/>
          <w:b/>
          <w:bCs/>
          <w:color w:val="auto"/>
          <w:sz w:val="30"/>
          <w:szCs w:val="30"/>
          <w:highlight w:val="none"/>
        </w:rPr>
      </w:pPr>
    </w:p>
    <w:p w14:paraId="6487F4EC">
      <w:pPr>
        <w:spacing w:line="600" w:lineRule="exact"/>
        <w:jc w:val="center"/>
        <w:rPr>
          <w:rFonts w:hint="eastAsia"/>
          <w:b/>
          <w:bCs/>
          <w:color w:val="auto"/>
          <w:sz w:val="30"/>
          <w:szCs w:val="30"/>
          <w:highlight w:val="none"/>
        </w:rPr>
      </w:pPr>
    </w:p>
    <w:p w14:paraId="3B108678">
      <w:pPr>
        <w:spacing w:line="600" w:lineRule="exact"/>
        <w:jc w:val="center"/>
        <w:rPr>
          <w:rFonts w:hint="eastAsia"/>
          <w:b/>
          <w:bCs/>
          <w:color w:val="auto"/>
          <w:sz w:val="30"/>
          <w:szCs w:val="30"/>
          <w:highlight w:val="none"/>
        </w:rPr>
      </w:pPr>
      <w:r>
        <w:rPr>
          <w:rFonts w:hint="eastAsia"/>
          <w:b/>
          <w:bCs/>
          <w:color w:val="auto"/>
          <w:sz w:val="30"/>
          <w:szCs w:val="30"/>
          <w:highlight w:val="none"/>
          <w:lang w:val="en-US" w:eastAsia="zh-CN"/>
        </w:rPr>
        <w:t>八</w:t>
      </w:r>
      <w:r>
        <w:rPr>
          <w:rFonts w:hint="eastAsia"/>
          <w:b/>
          <w:bCs/>
          <w:color w:val="auto"/>
          <w:sz w:val="30"/>
          <w:szCs w:val="30"/>
          <w:highlight w:val="none"/>
        </w:rPr>
        <w:t>、除招标文件规定必须提供以外，投标人认为需要提供的其他证明材料</w:t>
      </w:r>
    </w:p>
    <w:p w14:paraId="05474217">
      <w:pPr>
        <w:spacing w:line="600" w:lineRule="exact"/>
        <w:jc w:val="center"/>
        <w:rPr>
          <w:b/>
          <w:bCs/>
          <w:color w:val="auto"/>
          <w:sz w:val="30"/>
          <w:szCs w:val="30"/>
          <w:highlight w:val="none"/>
        </w:rPr>
      </w:pPr>
    </w:p>
    <w:p w14:paraId="6EF2B206">
      <w:pPr>
        <w:spacing w:line="600" w:lineRule="exact"/>
        <w:jc w:val="center"/>
        <w:rPr>
          <w:b/>
          <w:bCs/>
          <w:color w:val="auto"/>
          <w:sz w:val="30"/>
          <w:szCs w:val="30"/>
          <w:highlight w:val="none"/>
        </w:rPr>
      </w:pPr>
    </w:p>
    <w:p w14:paraId="281A903A">
      <w:pPr>
        <w:snapToGrid w:val="0"/>
        <w:spacing w:line="360" w:lineRule="auto"/>
        <w:ind w:firstLine="5040" w:firstLineChars="2100"/>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0302B1D2">
      <w:pPr>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6A7A3090">
      <w:pPr>
        <w:spacing w:line="600" w:lineRule="exact"/>
        <w:jc w:val="center"/>
        <w:rPr>
          <w:rFonts w:hint="eastAsia"/>
          <w:color w:val="auto"/>
          <w:szCs w:val="20"/>
          <w:highlight w:val="none"/>
        </w:rPr>
      </w:pPr>
    </w:p>
    <w:p w14:paraId="37F6FBE6">
      <w:pPr>
        <w:widowControl/>
        <w:spacing w:line="360" w:lineRule="auto"/>
        <w:jc w:val="left"/>
        <w:rPr>
          <w:rFonts w:hAnsi="宋体"/>
          <w:color w:val="auto"/>
          <w:szCs w:val="21"/>
          <w:highlight w:val="none"/>
        </w:rPr>
        <w:sectPr>
          <w:pgSz w:w="11906" w:h="16838"/>
          <w:pgMar w:top="1134" w:right="1134" w:bottom="1134" w:left="1134" w:header="720" w:footer="720" w:gutter="0"/>
          <w:cols w:space="720" w:num="1"/>
          <w:docGrid w:type="lines" w:linePitch="331" w:charSpace="0"/>
        </w:sectPr>
      </w:pPr>
    </w:p>
    <w:p w14:paraId="13F2DF07">
      <w:pPr>
        <w:jc w:val="center"/>
        <w:outlineLvl w:val="1"/>
        <w:rPr>
          <w:rFonts w:ascii="宋体" w:hAnsi="宋体"/>
          <w:color w:val="auto"/>
          <w:szCs w:val="21"/>
          <w:highlight w:val="none"/>
        </w:rPr>
      </w:pPr>
    </w:p>
    <w:p w14:paraId="5B127D97">
      <w:pPr>
        <w:jc w:val="center"/>
        <w:outlineLvl w:val="1"/>
        <w:rPr>
          <w:rFonts w:hint="eastAsia" w:ascii="宋体" w:hAnsi="宋体"/>
          <w:b/>
          <w:bCs/>
          <w:color w:val="auto"/>
          <w:sz w:val="28"/>
          <w:szCs w:val="28"/>
          <w:highlight w:val="none"/>
        </w:rPr>
      </w:pPr>
      <w:bookmarkStart w:id="573" w:name="_Toc27613"/>
      <w:bookmarkStart w:id="574" w:name="_Toc19686838"/>
      <w:r>
        <w:rPr>
          <w:rFonts w:hint="eastAsia" w:ascii="宋体" w:hAnsi="宋体"/>
          <w:b/>
          <w:bCs/>
          <w:color w:val="auto"/>
          <w:sz w:val="28"/>
          <w:szCs w:val="28"/>
          <w:highlight w:val="none"/>
        </w:rPr>
        <w:t>第三节 商务文件格式</w:t>
      </w:r>
      <w:bookmarkEnd w:id="573"/>
      <w:bookmarkEnd w:id="574"/>
    </w:p>
    <w:p w14:paraId="3B40711B">
      <w:pPr>
        <w:snapToGrid w:val="0"/>
        <w:spacing w:before="165" w:beforeLines="50" w:after="50"/>
        <w:rPr>
          <w:rFonts w:hint="eastAsia" w:ascii="宋体" w:hAnsi="宋体"/>
          <w:color w:val="auto"/>
          <w:sz w:val="30"/>
          <w:szCs w:val="20"/>
          <w:highlight w:val="none"/>
        </w:rPr>
      </w:pPr>
    </w:p>
    <w:p w14:paraId="20CF1E0C">
      <w:pPr>
        <w:snapToGrid w:val="0"/>
        <w:spacing w:before="165"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 xml:space="preserve">             电子投标文件</w:t>
      </w:r>
    </w:p>
    <w:p w14:paraId="7FB83AD0">
      <w:pPr>
        <w:snapToGrid w:val="0"/>
        <w:spacing w:before="165" w:beforeLines="50" w:after="50"/>
        <w:rPr>
          <w:rFonts w:hint="eastAsia" w:ascii="宋体" w:hAnsi="宋体"/>
          <w:color w:val="auto"/>
          <w:sz w:val="24"/>
          <w:szCs w:val="20"/>
          <w:highlight w:val="none"/>
        </w:rPr>
      </w:pPr>
    </w:p>
    <w:p w14:paraId="4270FE5E">
      <w:pPr>
        <w:snapToGrid w:val="0"/>
        <w:spacing w:before="165" w:beforeLines="50" w:after="50"/>
        <w:jc w:val="center"/>
        <w:rPr>
          <w:rFonts w:hint="eastAsia" w:ascii="宋体" w:hAnsi="宋体"/>
          <w:b/>
          <w:color w:val="auto"/>
          <w:sz w:val="24"/>
          <w:szCs w:val="20"/>
          <w:highlight w:val="none"/>
        </w:rPr>
      </w:pPr>
      <w:r>
        <w:rPr>
          <w:rFonts w:hint="eastAsia" w:ascii="宋体" w:hAnsi="宋体"/>
          <w:b/>
          <w:color w:val="auto"/>
          <w:sz w:val="32"/>
          <w:szCs w:val="32"/>
          <w:highlight w:val="none"/>
        </w:rPr>
        <w:t>商务文件（封面）</w:t>
      </w:r>
    </w:p>
    <w:p w14:paraId="74B0478B">
      <w:pPr>
        <w:snapToGrid w:val="0"/>
        <w:spacing w:before="165" w:beforeLines="50" w:after="50"/>
        <w:rPr>
          <w:rFonts w:hint="eastAsia" w:ascii="宋体" w:hAnsi="宋体"/>
          <w:bCs/>
          <w:color w:val="auto"/>
          <w:sz w:val="24"/>
          <w:szCs w:val="20"/>
          <w:highlight w:val="none"/>
        </w:rPr>
      </w:pPr>
    </w:p>
    <w:p w14:paraId="512E755C">
      <w:pPr>
        <w:snapToGrid w:val="0"/>
        <w:spacing w:before="165"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 xml:space="preserve">项目名称： </w:t>
      </w:r>
    </w:p>
    <w:p w14:paraId="67E0DEAB">
      <w:pPr>
        <w:snapToGrid w:val="0"/>
        <w:spacing w:before="165" w:beforeLines="50" w:after="50"/>
        <w:ind w:firstLine="540" w:firstLineChars="225"/>
        <w:rPr>
          <w:rFonts w:hint="eastAsia" w:ascii="宋体" w:hAnsi="宋体"/>
          <w:bCs/>
          <w:color w:val="auto"/>
          <w:sz w:val="24"/>
          <w:szCs w:val="20"/>
          <w:highlight w:val="none"/>
        </w:rPr>
      </w:pPr>
    </w:p>
    <w:p w14:paraId="373F5529">
      <w:pPr>
        <w:snapToGrid w:val="0"/>
        <w:spacing w:before="165" w:beforeLines="50" w:after="50"/>
        <w:ind w:firstLine="540" w:firstLineChars="225"/>
        <w:rPr>
          <w:rFonts w:hint="eastAsia" w:ascii="宋体" w:hAnsi="宋体"/>
          <w:bCs/>
          <w:color w:val="auto"/>
          <w:sz w:val="24"/>
          <w:szCs w:val="20"/>
          <w:highlight w:val="none"/>
        </w:rPr>
      </w:pPr>
      <w:r>
        <w:rPr>
          <w:rFonts w:hint="eastAsia" w:ascii="宋体" w:hAnsi="宋体"/>
          <w:bCs/>
          <w:color w:val="auto"/>
          <w:sz w:val="24"/>
          <w:highlight w:val="none"/>
        </w:rPr>
        <w:t xml:space="preserve">项目编号： </w:t>
      </w:r>
    </w:p>
    <w:p w14:paraId="000FC7C2">
      <w:pPr>
        <w:snapToGrid w:val="0"/>
        <w:spacing w:before="165"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所投分标：</w:t>
      </w:r>
    </w:p>
    <w:p w14:paraId="7E928FD2">
      <w:pPr>
        <w:snapToGrid w:val="0"/>
        <w:spacing w:before="165" w:beforeLines="50" w:after="50"/>
        <w:ind w:firstLine="540" w:firstLineChars="225"/>
        <w:rPr>
          <w:rFonts w:hint="eastAsia" w:ascii="宋体" w:hAnsi="宋体"/>
          <w:bCs/>
          <w:color w:val="auto"/>
          <w:sz w:val="24"/>
          <w:szCs w:val="20"/>
          <w:highlight w:val="none"/>
        </w:rPr>
      </w:pPr>
    </w:p>
    <w:p w14:paraId="02DB5DCE">
      <w:pPr>
        <w:pStyle w:val="8"/>
        <w:snapToGrid w:val="0"/>
        <w:spacing w:before="50" w:after="50"/>
        <w:ind w:firstLine="540" w:firstLineChars="225"/>
        <w:rPr>
          <w:rFonts w:hint="eastAsia" w:ascii="宋体" w:hAnsi="宋体"/>
          <w:bCs/>
          <w:color w:val="auto"/>
          <w:sz w:val="24"/>
          <w:szCs w:val="24"/>
          <w:highlight w:val="none"/>
        </w:rPr>
      </w:pPr>
      <w:r>
        <w:rPr>
          <w:rFonts w:hint="eastAsia" w:ascii="宋体" w:hAnsi="宋体"/>
          <w:bCs/>
          <w:color w:val="auto"/>
          <w:sz w:val="24"/>
          <w:szCs w:val="24"/>
          <w:highlight w:val="none"/>
        </w:rPr>
        <w:t>投标人名称：</w:t>
      </w:r>
    </w:p>
    <w:p w14:paraId="461713CA">
      <w:pPr>
        <w:pStyle w:val="8"/>
        <w:snapToGrid w:val="0"/>
        <w:spacing w:before="50" w:after="50"/>
        <w:ind w:firstLine="540" w:firstLineChars="225"/>
        <w:rPr>
          <w:rFonts w:hint="eastAsia" w:ascii="宋体" w:hAnsi="宋体"/>
          <w:bCs/>
          <w:color w:val="auto"/>
          <w:sz w:val="24"/>
          <w:szCs w:val="24"/>
          <w:highlight w:val="none"/>
        </w:rPr>
      </w:pPr>
    </w:p>
    <w:p w14:paraId="50AF5BF7">
      <w:pPr>
        <w:pStyle w:val="8"/>
        <w:snapToGrid w:val="0"/>
        <w:spacing w:before="50" w:after="50"/>
        <w:ind w:firstLine="540" w:firstLineChars="225"/>
        <w:rPr>
          <w:rFonts w:hint="eastAsia" w:ascii="宋体" w:hAnsi="宋体"/>
          <w:bCs/>
          <w:color w:val="auto"/>
          <w:sz w:val="24"/>
          <w:szCs w:val="24"/>
          <w:highlight w:val="none"/>
        </w:rPr>
      </w:pPr>
      <w:r>
        <w:rPr>
          <w:rFonts w:hint="eastAsia" w:ascii="宋体" w:hAnsi="宋体"/>
          <w:bCs/>
          <w:color w:val="auto"/>
          <w:sz w:val="24"/>
          <w:szCs w:val="24"/>
          <w:highlight w:val="none"/>
        </w:rPr>
        <w:t>投标人地址：</w:t>
      </w:r>
    </w:p>
    <w:p w14:paraId="27B3CE30">
      <w:pPr>
        <w:pStyle w:val="8"/>
        <w:snapToGrid w:val="0"/>
        <w:spacing w:before="50" w:after="50"/>
        <w:ind w:firstLine="960" w:firstLineChars="400"/>
        <w:rPr>
          <w:rFonts w:hint="eastAsia" w:ascii="宋体" w:hAnsi="宋体"/>
          <w:bCs/>
          <w:color w:val="auto"/>
          <w:sz w:val="24"/>
          <w:szCs w:val="24"/>
          <w:highlight w:val="none"/>
        </w:rPr>
      </w:pPr>
    </w:p>
    <w:p w14:paraId="106F074D">
      <w:pPr>
        <w:snapToGrid w:val="0"/>
        <w:spacing w:before="165" w:beforeLines="50" w:after="50"/>
        <w:ind w:firstLine="645"/>
        <w:rPr>
          <w:rFonts w:hint="eastAsia" w:ascii="宋体" w:hAnsi="宋体"/>
          <w:color w:val="auto"/>
          <w:sz w:val="24"/>
          <w:highlight w:val="none"/>
        </w:rPr>
      </w:pPr>
      <w:r>
        <w:rPr>
          <w:rFonts w:hint="eastAsia" w:ascii="宋体" w:hAnsi="宋体"/>
          <w:color w:val="auto"/>
          <w:sz w:val="24"/>
          <w:highlight w:val="none"/>
        </w:rPr>
        <w:t xml:space="preserve">                        年  月  日</w:t>
      </w:r>
    </w:p>
    <w:p w14:paraId="35281447">
      <w:pPr>
        <w:snapToGrid w:val="0"/>
        <w:spacing w:before="165" w:beforeLines="50" w:after="50"/>
        <w:rPr>
          <w:rFonts w:hint="eastAsia" w:ascii="宋体" w:hAnsi="宋体"/>
          <w:color w:val="auto"/>
          <w:sz w:val="24"/>
          <w:szCs w:val="20"/>
          <w:highlight w:val="none"/>
        </w:rPr>
      </w:pPr>
      <w:r>
        <w:rPr>
          <w:rFonts w:hint="eastAsia" w:ascii="宋体" w:hAnsi="宋体"/>
          <w:color w:val="auto"/>
          <w:sz w:val="24"/>
          <w:szCs w:val="20"/>
          <w:highlight w:val="none"/>
        </w:rPr>
        <w:t xml:space="preserve"> </w:t>
      </w:r>
    </w:p>
    <w:p w14:paraId="17F0BDE1">
      <w:pPr>
        <w:spacing w:line="360" w:lineRule="auto"/>
        <w:ind w:right="420"/>
        <w:rPr>
          <w:rFonts w:hint="eastAsia" w:ascii="宋体" w:hAnsi="宋体"/>
          <w:color w:val="auto"/>
          <w:sz w:val="24"/>
          <w:szCs w:val="20"/>
          <w:highlight w:val="none"/>
        </w:rPr>
      </w:pPr>
    </w:p>
    <w:p w14:paraId="60195C66">
      <w:pPr>
        <w:spacing w:line="360" w:lineRule="auto"/>
        <w:ind w:right="420"/>
        <w:rPr>
          <w:rFonts w:hint="eastAsia" w:ascii="宋体" w:hAnsi="宋体"/>
          <w:color w:val="auto"/>
          <w:sz w:val="24"/>
          <w:szCs w:val="20"/>
          <w:highlight w:val="none"/>
        </w:rPr>
      </w:pPr>
    </w:p>
    <w:p w14:paraId="04A52857">
      <w:pPr>
        <w:spacing w:line="360" w:lineRule="auto"/>
        <w:ind w:right="420"/>
        <w:rPr>
          <w:rFonts w:hint="eastAsia" w:ascii="宋体" w:hAnsi="宋体"/>
          <w:color w:val="auto"/>
          <w:sz w:val="24"/>
          <w:szCs w:val="20"/>
          <w:highlight w:val="none"/>
        </w:rPr>
      </w:pPr>
    </w:p>
    <w:p w14:paraId="3FEF4F0E">
      <w:pPr>
        <w:spacing w:line="360" w:lineRule="auto"/>
        <w:ind w:right="420"/>
        <w:rPr>
          <w:rFonts w:hint="eastAsia" w:ascii="宋体" w:hAnsi="宋体"/>
          <w:color w:val="auto"/>
          <w:sz w:val="24"/>
          <w:szCs w:val="20"/>
          <w:highlight w:val="none"/>
        </w:rPr>
      </w:pPr>
    </w:p>
    <w:p w14:paraId="715412F2">
      <w:pPr>
        <w:spacing w:line="360" w:lineRule="auto"/>
        <w:ind w:right="420"/>
        <w:rPr>
          <w:rFonts w:hint="eastAsia" w:ascii="宋体" w:hAnsi="宋体"/>
          <w:color w:val="auto"/>
          <w:sz w:val="24"/>
          <w:szCs w:val="20"/>
          <w:highlight w:val="none"/>
        </w:rPr>
      </w:pPr>
    </w:p>
    <w:p w14:paraId="77575034">
      <w:pPr>
        <w:spacing w:line="360" w:lineRule="auto"/>
        <w:ind w:right="420"/>
        <w:rPr>
          <w:rFonts w:hint="eastAsia" w:ascii="宋体" w:hAnsi="宋体"/>
          <w:color w:val="auto"/>
          <w:sz w:val="24"/>
          <w:szCs w:val="20"/>
          <w:highlight w:val="none"/>
        </w:rPr>
      </w:pPr>
    </w:p>
    <w:p w14:paraId="3FAA26B3">
      <w:pPr>
        <w:spacing w:line="360" w:lineRule="auto"/>
        <w:ind w:right="420"/>
        <w:rPr>
          <w:rFonts w:hint="eastAsia" w:ascii="宋体" w:hAnsi="宋体"/>
          <w:color w:val="auto"/>
          <w:sz w:val="24"/>
          <w:szCs w:val="20"/>
          <w:highlight w:val="none"/>
        </w:rPr>
      </w:pPr>
    </w:p>
    <w:p w14:paraId="0B28D52C">
      <w:pPr>
        <w:spacing w:line="360" w:lineRule="auto"/>
        <w:ind w:right="420"/>
        <w:rPr>
          <w:rFonts w:hint="eastAsia" w:ascii="宋体" w:hAnsi="宋体"/>
          <w:color w:val="auto"/>
          <w:sz w:val="24"/>
          <w:szCs w:val="20"/>
          <w:highlight w:val="none"/>
        </w:rPr>
      </w:pPr>
    </w:p>
    <w:p w14:paraId="73E86766">
      <w:pPr>
        <w:spacing w:line="360" w:lineRule="auto"/>
        <w:ind w:right="420"/>
        <w:rPr>
          <w:rFonts w:hint="eastAsia" w:ascii="宋体" w:hAnsi="宋体"/>
          <w:color w:val="auto"/>
          <w:sz w:val="24"/>
          <w:szCs w:val="20"/>
          <w:highlight w:val="none"/>
        </w:rPr>
      </w:pPr>
    </w:p>
    <w:p w14:paraId="1DE37011">
      <w:pPr>
        <w:spacing w:line="360" w:lineRule="auto"/>
        <w:ind w:right="420"/>
        <w:rPr>
          <w:rFonts w:hint="eastAsia" w:ascii="仿宋_GB2312" w:hAnsi="仿宋" w:eastAsia="仿宋_GB2312" w:cs="仿宋_GB2312"/>
          <w:b/>
          <w:color w:val="auto"/>
          <w:kern w:val="0"/>
          <w:sz w:val="36"/>
          <w:szCs w:val="36"/>
          <w:highlight w:val="none"/>
        </w:rPr>
      </w:pPr>
      <w:r>
        <w:rPr>
          <w:rFonts w:hint="eastAsia" w:ascii="仿宋_GB2312" w:hAnsi="仿宋" w:eastAsia="仿宋_GB2312" w:cs="仿宋_GB2312"/>
          <w:b/>
          <w:color w:val="auto"/>
          <w:kern w:val="0"/>
          <w:sz w:val="36"/>
          <w:szCs w:val="36"/>
          <w:highlight w:val="none"/>
        </w:rPr>
        <w:t xml:space="preserve"> </w:t>
      </w:r>
    </w:p>
    <w:p w14:paraId="7B083C07">
      <w:pPr>
        <w:rPr>
          <w:rFonts w:hint="eastAsia" w:ascii="仿宋_GB2312" w:hAnsi="仿宋" w:eastAsia="仿宋_GB2312" w:cs="仿宋_GB2312"/>
          <w:b/>
          <w:color w:val="auto"/>
          <w:kern w:val="0"/>
          <w:sz w:val="24"/>
          <w:highlight w:val="none"/>
        </w:rPr>
      </w:pPr>
    </w:p>
    <w:p w14:paraId="3B2F8232">
      <w:pPr>
        <w:rPr>
          <w:rFonts w:hint="eastAsia" w:ascii="仿宋_GB2312" w:hAnsi="仿宋" w:eastAsia="仿宋_GB2312" w:cs="仿宋_GB2312"/>
          <w:b/>
          <w:color w:val="auto"/>
          <w:kern w:val="0"/>
          <w:sz w:val="24"/>
          <w:highlight w:val="none"/>
        </w:rPr>
      </w:pPr>
    </w:p>
    <w:p w14:paraId="0A3390D3">
      <w:pPr>
        <w:jc w:val="center"/>
        <w:rPr>
          <w:rFonts w:hint="eastAsia" w:ascii="仿宋_GB2312" w:hAnsi="仿宋" w:eastAsia="仿宋_GB2312" w:cs="仿宋_GB2312"/>
          <w:b/>
          <w:color w:val="auto"/>
          <w:kern w:val="0"/>
          <w:sz w:val="28"/>
          <w:szCs w:val="28"/>
          <w:highlight w:val="none"/>
        </w:rPr>
      </w:pPr>
      <w:r>
        <w:rPr>
          <w:rFonts w:hint="eastAsia" w:ascii="仿宋_GB2312" w:hAnsi="仿宋" w:eastAsia="仿宋_GB2312" w:cs="仿宋_GB2312"/>
          <w:b/>
          <w:color w:val="auto"/>
          <w:kern w:val="0"/>
          <w:sz w:val="28"/>
          <w:szCs w:val="28"/>
          <w:highlight w:val="none"/>
        </w:rPr>
        <w:t>商务文件目录</w:t>
      </w:r>
    </w:p>
    <w:p w14:paraId="6578FA65">
      <w:pPr>
        <w:pStyle w:val="100"/>
        <w:spacing w:line="360" w:lineRule="auto"/>
        <w:rPr>
          <w:rFonts w:hint="eastAsia" w:cs="仿宋_GB2312"/>
          <w:color w:val="auto"/>
          <w:highlight w:val="none"/>
        </w:rPr>
      </w:pPr>
      <w:r>
        <w:rPr>
          <w:rFonts w:hint="eastAsia" w:cs="仿宋_GB2312"/>
          <w:color w:val="auto"/>
          <w:highlight w:val="none"/>
        </w:rPr>
        <w:t>一、无串通投标行为的承诺函……………………………………………………（页码）</w:t>
      </w:r>
    </w:p>
    <w:p w14:paraId="7465962B">
      <w:pPr>
        <w:pStyle w:val="100"/>
        <w:spacing w:line="360" w:lineRule="auto"/>
        <w:rPr>
          <w:rFonts w:hint="eastAsia" w:cs="仿宋_GB2312"/>
          <w:color w:val="auto"/>
          <w:highlight w:val="none"/>
        </w:rPr>
      </w:pPr>
      <w:r>
        <w:rPr>
          <w:rFonts w:hint="eastAsia" w:cs="仿宋_GB2312"/>
          <w:color w:val="auto"/>
          <w:highlight w:val="none"/>
        </w:rPr>
        <w:t>二、法定代表人身份证明及法定代表人有效身份证正反面复印件………（页码）</w:t>
      </w:r>
    </w:p>
    <w:p w14:paraId="4D45CB3D">
      <w:pPr>
        <w:pStyle w:val="100"/>
        <w:spacing w:line="360" w:lineRule="auto"/>
        <w:rPr>
          <w:rFonts w:hint="eastAsia" w:cs="仿宋_GB2312"/>
          <w:color w:val="auto"/>
          <w:highlight w:val="none"/>
        </w:rPr>
      </w:pPr>
      <w:r>
        <w:rPr>
          <w:rFonts w:hint="eastAsia" w:cs="仿宋_GB2312"/>
          <w:color w:val="auto"/>
          <w:highlight w:val="none"/>
        </w:rPr>
        <w:t>三、法定代表人授权委托书（如有委托时）……………………………………（页码）</w:t>
      </w:r>
    </w:p>
    <w:p w14:paraId="28FB2A1A">
      <w:pPr>
        <w:pStyle w:val="100"/>
        <w:spacing w:line="360" w:lineRule="auto"/>
        <w:rPr>
          <w:rFonts w:hint="eastAsia" w:cs="仿宋_GB2312"/>
          <w:color w:val="auto"/>
          <w:highlight w:val="none"/>
        </w:rPr>
      </w:pPr>
      <w:r>
        <w:rPr>
          <w:rFonts w:hint="eastAsia" w:cs="仿宋_GB2312"/>
          <w:color w:val="auto"/>
          <w:highlight w:val="none"/>
        </w:rPr>
        <w:t>四、</w:t>
      </w:r>
      <w:r>
        <w:rPr>
          <w:rFonts w:hint="eastAsia" w:cs="仿宋_GB2312"/>
          <w:color w:val="auto"/>
          <w:highlight w:val="none"/>
          <w:lang w:val="zh-CN"/>
        </w:rPr>
        <w:t>商务条款偏离表………………………………</w:t>
      </w:r>
      <w:r>
        <w:rPr>
          <w:rFonts w:hint="eastAsia" w:cs="仿宋_GB2312"/>
          <w:color w:val="auto"/>
          <w:highlight w:val="none"/>
        </w:rPr>
        <w:t>……………………………………（页码）</w:t>
      </w:r>
    </w:p>
    <w:p w14:paraId="7D939554">
      <w:pPr>
        <w:pStyle w:val="100"/>
        <w:spacing w:line="360" w:lineRule="auto"/>
        <w:rPr>
          <w:rFonts w:hint="eastAsia" w:cs="仿宋_GB2312"/>
          <w:color w:val="auto"/>
          <w:highlight w:val="none"/>
        </w:rPr>
      </w:pPr>
      <w:bookmarkStart w:id="575" w:name="OLE_LINK6"/>
      <w:bookmarkStart w:id="576" w:name="OLE_LINK7"/>
      <w:bookmarkStart w:id="577" w:name="OLE_LINK5"/>
      <w:r>
        <w:rPr>
          <w:rFonts w:hint="eastAsia" w:cs="仿宋_GB2312"/>
          <w:color w:val="auto"/>
          <w:highlight w:val="none"/>
        </w:rPr>
        <w:t>五、投标人情况介绍</w:t>
      </w:r>
      <w:r>
        <w:rPr>
          <w:rFonts w:hint="eastAsia" w:cs="仿宋_GB2312"/>
          <w:color w:val="auto"/>
          <w:highlight w:val="none"/>
          <w:lang w:val="zh-CN"/>
        </w:rPr>
        <w:t>………………………………</w:t>
      </w:r>
      <w:r>
        <w:rPr>
          <w:rFonts w:hint="eastAsia" w:cs="仿宋_GB2312"/>
          <w:color w:val="auto"/>
          <w:highlight w:val="none"/>
        </w:rPr>
        <w:t>……………………………………（页码）</w:t>
      </w:r>
    </w:p>
    <w:p w14:paraId="05C6A3DB">
      <w:pPr>
        <w:pStyle w:val="100"/>
        <w:spacing w:line="360" w:lineRule="auto"/>
        <w:rPr>
          <w:rFonts w:hint="eastAsia" w:cs="仿宋_GB2312"/>
          <w:color w:val="auto"/>
          <w:highlight w:val="none"/>
        </w:rPr>
      </w:pPr>
      <w:r>
        <w:rPr>
          <w:rFonts w:hint="eastAsia" w:cs="仿宋_GB2312"/>
          <w:color w:val="auto"/>
          <w:highlight w:val="none"/>
        </w:rPr>
        <w:t>六、投标人类似业绩的证明文件（如有要求）</w:t>
      </w:r>
      <w:r>
        <w:rPr>
          <w:rFonts w:hint="eastAsia" w:cs="仿宋_GB2312"/>
          <w:color w:val="auto"/>
          <w:highlight w:val="none"/>
          <w:lang w:val="zh-CN"/>
        </w:rPr>
        <w:t>……………………………</w:t>
      </w:r>
      <w:r>
        <w:rPr>
          <w:rFonts w:hint="eastAsia" w:cs="仿宋_GB2312"/>
          <w:color w:val="auto"/>
          <w:highlight w:val="none"/>
        </w:rPr>
        <w:t>…（页码）</w:t>
      </w:r>
      <w:bookmarkEnd w:id="575"/>
      <w:bookmarkEnd w:id="576"/>
    </w:p>
    <w:p w14:paraId="325CAC34">
      <w:pPr>
        <w:pStyle w:val="100"/>
        <w:spacing w:line="360" w:lineRule="auto"/>
        <w:rPr>
          <w:rFonts w:hint="eastAsia" w:cs="仿宋_GB2312"/>
          <w:color w:val="auto"/>
          <w:highlight w:val="none"/>
        </w:rPr>
      </w:pPr>
      <w:r>
        <w:rPr>
          <w:rFonts w:hint="eastAsia" w:cs="仿宋_GB2312"/>
          <w:color w:val="auto"/>
          <w:highlight w:val="none"/>
        </w:rPr>
        <w:t>七、其他商务文件或说明</w:t>
      </w:r>
      <w:r>
        <w:rPr>
          <w:rFonts w:hint="eastAsia" w:cs="仿宋_GB2312"/>
          <w:color w:val="auto"/>
          <w:highlight w:val="none"/>
          <w:lang w:val="zh-CN"/>
        </w:rPr>
        <w:t>…………………………………………………………</w:t>
      </w:r>
      <w:r>
        <w:rPr>
          <w:rFonts w:hint="eastAsia" w:cs="仿宋_GB2312"/>
          <w:color w:val="auto"/>
          <w:highlight w:val="none"/>
        </w:rPr>
        <w:t>…（页码）</w:t>
      </w:r>
    </w:p>
    <w:bookmarkEnd w:id="577"/>
    <w:p w14:paraId="4523C9FD">
      <w:pPr>
        <w:spacing w:line="360" w:lineRule="auto"/>
        <w:rPr>
          <w:rFonts w:hint="eastAsia"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注：以上目录是基本格式要求，各投标人可根据自身情况进一步向下增加内容或细化。</w:t>
      </w:r>
    </w:p>
    <w:p w14:paraId="376746CA">
      <w:pPr>
        <w:widowControl/>
        <w:spacing w:line="360" w:lineRule="auto"/>
        <w:jc w:val="left"/>
        <w:rPr>
          <w:rFonts w:ascii="宋体" w:hAnsi="宋体"/>
          <w:color w:val="auto"/>
          <w:highlight w:val="none"/>
        </w:rPr>
        <w:sectPr>
          <w:pgSz w:w="11906" w:h="16838"/>
          <w:pgMar w:top="1134" w:right="1134" w:bottom="1134" w:left="1134" w:header="720" w:footer="720" w:gutter="0"/>
          <w:cols w:space="720" w:num="1"/>
          <w:docGrid w:type="lines" w:linePitch="331" w:charSpace="0"/>
        </w:sectPr>
      </w:pPr>
    </w:p>
    <w:p w14:paraId="437C0C5C">
      <w:pPr>
        <w:snapToGrid w:val="0"/>
        <w:spacing w:before="120" w:beforeLines="50" w:after="50"/>
        <w:ind w:left="420"/>
        <w:jc w:val="center"/>
        <w:rPr>
          <w:rFonts w:hint="eastAsia"/>
          <w:b/>
          <w:bCs/>
          <w:color w:val="auto"/>
          <w:sz w:val="30"/>
          <w:szCs w:val="30"/>
          <w:highlight w:val="none"/>
        </w:rPr>
      </w:pPr>
      <w:r>
        <w:rPr>
          <w:rFonts w:hint="eastAsia"/>
          <w:b/>
          <w:bCs/>
          <w:color w:val="auto"/>
          <w:sz w:val="30"/>
          <w:szCs w:val="30"/>
          <w:highlight w:val="none"/>
        </w:rPr>
        <w:t>一、无串通投标行为的承诺函</w:t>
      </w:r>
    </w:p>
    <w:p w14:paraId="060562B2">
      <w:pPr>
        <w:snapToGrid w:val="0"/>
        <w:spacing w:before="120" w:beforeLines="50" w:after="50"/>
        <w:ind w:left="420"/>
        <w:jc w:val="center"/>
        <w:rPr>
          <w:rFonts w:ascii="宋体" w:hAnsi="宋体"/>
          <w:b/>
          <w:color w:val="auto"/>
          <w:sz w:val="32"/>
          <w:szCs w:val="32"/>
          <w:highlight w:val="none"/>
        </w:rPr>
      </w:pPr>
      <w:r>
        <w:rPr>
          <w:rFonts w:hint="eastAsia" w:ascii="宋体" w:hAnsi="宋体"/>
          <w:b/>
          <w:color w:val="auto"/>
          <w:sz w:val="32"/>
          <w:szCs w:val="32"/>
          <w:highlight w:val="none"/>
        </w:rPr>
        <w:t>投标人参加本项目无围标串标行为的承诺函</w:t>
      </w:r>
    </w:p>
    <w:p w14:paraId="72A712E9">
      <w:pPr>
        <w:snapToGrid w:val="0"/>
        <w:spacing w:before="120" w:beforeLines="50" w:after="50"/>
        <w:rPr>
          <w:rFonts w:hint="eastAsia" w:ascii="宋体" w:hAnsi="宋体"/>
          <w:b/>
          <w:color w:val="auto"/>
          <w:szCs w:val="21"/>
          <w:highlight w:val="none"/>
        </w:rPr>
      </w:pPr>
    </w:p>
    <w:p w14:paraId="4E77D812">
      <w:pPr>
        <w:snapToGrid w:val="0"/>
        <w:spacing w:before="120" w:beforeLines="50" w:after="50" w:line="360" w:lineRule="auto"/>
        <w:jc w:val="left"/>
        <w:rPr>
          <w:rFonts w:hint="eastAsia" w:ascii="宋体" w:hAnsi="宋体"/>
          <w:b/>
          <w:color w:val="auto"/>
          <w:szCs w:val="21"/>
          <w:highlight w:val="none"/>
        </w:rPr>
      </w:pPr>
      <w:r>
        <w:rPr>
          <w:rFonts w:hint="eastAsia" w:ascii="宋体" w:hAnsi="宋体"/>
          <w:b/>
          <w:color w:val="auto"/>
          <w:szCs w:val="21"/>
          <w:highlight w:val="none"/>
        </w:rPr>
        <w:t>一、我方承诺无下列相互串通投标的情形：</w:t>
      </w:r>
    </w:p>
    <w:p w14:paraId="402891D9">
      <w:pPr>
        <w:snapToGrid w:val="0"/>
        <w:spacing w:before="120" w:beforeLines="50" w:after="50"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1.不同投标人的投标文件由同一单位或者个人编制；或者不同投标人报名的IP地址一致的；或者编制标书硬件设备CPU编号、硬盘编号、网卡地址一致的情况。</w:t>
      </w:r>
    </w:p>
    <w:p w14:paraId="32DB1C53">
      <w:pPr>
        <w:snapToGrid w:val="0"/>
        <w:spacing w:before="120" w:beforeLines="50" w:after="50"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2.不同投标人委托同一单位或者个人办理投标事宜；</w:t>
      </w:r>
    </w:p>
    <w:p w14:paraId="50FA09EE">
      <w:pPr>
        <w:snapToGrid w:val="0"/>
        <w:spacing w:before="120" w:beforeLines="50" w:after="50"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3.不同的投标人的投标文件载明的项目管理员为同一个人；</w:t>
      </w:r>
    </w:p>
    <w:p w14:paraId="375997FB">
      <w:pPr>
        <w:snapToGrid w:val="0"/>
        <w:spacing w:before="120" w:beforeLines="50" w:after="50"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4.不同投标人的投标文件异常一致或者投标报价呈规律性差异；</w:t>
      </w:r>
    </w:p>
    <w:p w14:paraId="55F0D606">
      <w:pPr>
        <w:snapToGrid w:val="0"/>
        <w:spacing w:before="120" w:beforeLines="50" w:after="50"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5.不同投标人的投标文件相互混装；</w:t>
      </w:r>
    </w:p>
    <w:p w14:paraId="2508FA9D">
      <w:pPr>
        <w:snapToGrid w:val="0"/>
        <w:spacing w:before="120" w:beforeLines="50" w:after="50"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6.不同投标人的投标保证金从同一单位或者个人账户转出。</w:t>
      </w:r>
    </w:p>
    <w:p w14:paraId="0E218FB8">
      <w:pPr>
        <w:snapToGrid w:val="0"/>
        <w:spacing w:before="120" w:beforeLines="50" w:after="50" w:line="360" w:lineRule="auto"/>
        <w:jc w:val="left"/>
        <w:rPr>
          <w:rFonts w:hint="eastAsia" w:ascii="宋体" w:hAnsi="宋体"/>
          <w:color w:val="auto"/>
          <w:szCs w:val="21"/>
          <w:highlight w:val="none"/>
        </w:rPr>
      </w:pPr>
      <w:r>
        <w:rPr>
          <w:rFonts w:hint="eastAsia" w:ascii="宋体" w:hAnsi="宋体"/>
          <w:b/>
          <w:color w:val="auto"/>
          <w:szCs w:val="21"/>
          <w:highlight w:val="none"/>
        </w:rPr>
        <w:t>二、我方承诺无下列恶意串通的情形：</w:t>
      </w:r>
    </w:p>
    <w:p w14:paraId="5E922FFA">
      <w:pPr>
        <w:snapToGrid w:val="0"/>
        <w:spacing w:before="120" w:beforeLines="50" w:after="50"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1.投标人直接或者间接从采购人或者采购代理机构处获得其他投标人的相关信息并修改其投标文件或者投标文件；</w:t>
      </w:r>
    </w:p>
    <w:p w14:paraId="16219A8E">
      <w:pPr>
        <w:snapToGrid w:val="0"/>
        <w:spacing w:before="120" w:beforeLines="50" w:after="50"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2.投标人按照采购人或者采购代理机构的授意撤换、修改投标文件或者投标文件；</w:t>
      </w:r>
    </w:p>
    <w:p w14:paraId="11CAE97A">
      <w:pPr>
        <w:snapToGrid w:val="0"/>
        <w:spacing w:before="120" w:beforeLines="50" w:after="50"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3.投标人之间协商报价、技术方案等投标文件或者投标文件的实质性内容；</w:t>
      </w:r>
    </w:p>
    <w:p w14:paraId="3E0EC2AD">
      <w:pPr>
        <w:snapToGrid w:val="0"/>
        <w:spacing w:before="120" w:beforeLines="50" w:after="50"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4.属于同一集团、协会、商会等组织成员的投标人按照该组织要求协同参加政府采购活动；</w:t>
      </w:r>
    </w:p>
    <w:p w14:paraId="0FC29C0E">
      <w:pPr>
        <w:snapToGrid w:val="0"/>
        <w:spacing w:before="120" w:beforeLines="50" w:after="50"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5.投标人之间事先约定一致抬高或者压低投标报价，或者在招标项目中事先约定轮流以高价位或者低价位中标，或者事先约定由某一特定投标人中标，然后再参加投标；</w:t>
      </w:r>
    </w:p>
    <w:p w14:paraId="7A2136E6">
      <w:pPr>
        <w:snapToGrid w:val="0"/>
        <w:spacing w:before="120" w:beforeLines="50" w:after="50"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6.投标人之间商定部分投标人放弃参加政府采购活动或者放弃中标；</w:t>
      </w:r>
    </w:p>
    <w:p w14:paraId="1DE29871">
      <w:pPr>
        <w:snapToGrid w:val="0"/>
        <w:spacing w:before="120" w:beforeLines="50" w:after="50"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7.投标人与采购人或者采购代理机构之间、投标人相互之间，为谋求特定投标人中标或者排斥其他投标人的其他串通行为。</w:t>
      </w:r>
    </w:p>
    <w:p w14:paraId="44A58B9E">
      <w:pPr>
        <w:snapToGrid w:val="0"/>
        <w:spacing w:before="120" w:beforeLines="50" w:after="50" w:line="360" w:lineRule="auto"/>
        <w:ind w:firstLine="413" w:firstLineChars="196"/>
        <w:jc w:val="left"/>
        <w:rPr>
          <w:rFonts w:hint="eastAsia" w:ascii="宋体" w:hAnsi="宋体"/>
          <w:b/>
          <w:color w:val="auto"/>
          <w:szCs w:val="21"/>
          <w:highlight w:val="none"/>
        </w:rPr>
      </w:pPr>
      <w:r>
        <w:rPr>
          <w:rFonts w:hint="eastAsia" w:ascii="宋体" w:hAnsi="宋体"/>
          <w:b/>
          <w:color w:val="auto"/>
          <w:szCs w:val="21"/>
          <w:highlight w:val="none"/>
        </w:rPr>
        <w:t>以上情形一经核查属实，我方愿意承担一切后果，接受政府采购监管部门对我方认定存在围标串标行为，并不再寻求任何旨在减轻或者免除法律责任的辩解。</w:t>
      </w:r>
    </w:p>
    <w:p w14:paraId="46BBBA2F">
      <w:pPr>
        <w:snapToGrid w:val="0"/>
        <w:spacing w:line="360" w:lineRule="auto"/>
        <w:ind w:firstLine="4935" w:firstLineChars="2350"/>
        <w:rPr>
          <w:rFonts w:hint="eastAsia" w:ascii="仿宋_GB2312" w:hAnsi="仿宋" w:eastAsia="仿宋_GB2312" w:cs="仿宋_GB2312"/>
          <w:color w:val="auto"/>
          <w:kern w:val="0"/>
          <w:sz w:val="24"/>
          <w:highlight w:val="none"/>
        </w:rPr>
      </w:pPr>
      <w:r>
        <w:rPr>
          <w:rFonts w:hAnsi="宋体"/>
          <w:color w:val="auto"/>
          <w:szCs w:val="21"/>
          <w:highlight w:val="none"/>
        </w:rPr>
        <w:t xml:space="preserve">  </w:t>
      </w:r>
      <w:r>
        <w:rPr>
          <w:rFonts w:hint="eastAsia" w:ascii="仿宋_GB2312" w:hAnsi="仿宋" w:eastAsia="仿宋_GB2312" w:cs="仿宋_GB2312"/>
          <w:color w:val="auto"/>
          <w:kern w:val="0"/>
          <w:sz w:val="24"/>
          <w:highlight w:val="none"/>
          <w:lang w:val="zh-CN"/>
        </w:rPr>
        <w:t>投标人名称(电子签章)：</w:t>
      </w:r>
    </w:p>
    <w:p w14:paraId="5D139618">
      <w:pPr>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702576BA">
      <w:pPr>
        <w:snapToGrid w:val="0"/>
        <w:spacing w:before="295" w:after="295" w:line="360" w:lineRule="auto"/>
        <w:jc w:val="center"/>
        <w:rPr>
          <w:rFonts w:hint="eastAsia" w:ascii="宋体" w:hAnsi="宋体"/>
          <w:b/>
          <w:color w:val="auto"/>
          <w:sz w:val="24"/>
          <w:szCs w:val="20"/>
          <w:highlight w:val="none"/>
        </w:rPr>
      </w:pPr>
      <w:r>
        <w:rPr>
          <w:rFonts w:hint="eastAsia" w:ascii="宋体" w:hAnsi="宋体"/>
          <w:b/>
          <w:color w:val="auto"/>
          <w:sz w:val="24"/>
          <w:szCs w:val="20"/>
          <w:highlight w:val="none"/>
        </w:rPr>
        <w:br w:type="page"/>
      </w:r>
      <w:r>
        <w:rPr>
          <w:rFonts w:hint="eastAsia"/>
          <w:b/>
          <w:bCs/>
          <w:color w:val="auto"/>
          <w:sz w:val="30"/>
          <w:szCs w:val="30"/>
          <w:highlight w:val="none"/>
        </w:rPr>
        <w:t>二、法定代表人身份证明</w:t>
      </w:r>
    </w:p>
    <w:p w14:paraId="2C198153">
      <w:pPr>
        <w:spacing w:before="240" w:beforeLines="100" w:after="120" w:afterLines="50"/>
        <w:ind w:left="540"/>
        <w:jc w:val="center"/>
        <w:rPr>
          <w:rFonts w:hint="eastAsia" w:ascii="宋体" w:hAnsi="Courier New"/>
          <w:b/>
          <w:color w:val="auto"/>
          <w:sz w:val="32"/>
          <w:szCs w:val="32"/>
          <w:highlight w:val="none"/>
        </w:rPr>
      </w:pPr>
    </w:p>
    <w:p w14:paraId="28926F52">
      <w:pPr>
        <w:spacing w:before="240" w:beforeLines="100" w:after="120" w:afterLines="50"/>
        <w:ind w:left="540"/>
        <w:jc w:val="center"/>
        <w:rPr>
          <w:rFonts w:hint="eastAsia" w:ascii="黑体" w:hAnsi="宋体" w:eastAsia="黑体"/>
          <w:color w:val="auto"/>
          <w:sz w:val="32"/>
          <w:szCs w:val="32"/>
          <w:highlight w:val="none"/>
        </w:rPr>
      </w:pPr>
      <w:r>
        <w:rPr>
          <w:rFonts w:hint="eastAsia" w:ascii="宋体" w:hAnsi="Courier New"/>
          <w:b/>
          <w:color w:val="auto"/>
          <w:sz w:val="32"/>
          <w:szCs w:val="32"/>
          <w:highlight w:val="none"/>
        </w:rPr>
        <w:t>法定代表人身份证明</w:t>
      </w:r>
    </w:p>
    <w:p w14:paraId="3725F69F">
      <w:pPr>
        <w:spacing w:line="500" w:lineRule="exact"/>
        <w:ind w:left="540"/>
        <w:rPr>
          <w:rFonts w:hint="eastAsia" w:ascii="宋体" w:hAnsi="宋体"/>
          <w:color w:val="auto"/>
          <w:sz w:val="24"/>
          <w:highlight w:val="none"/>
        </w:rPr>
      </w:pPr>
      <w:r>
        <w:rPr>
          <w:rFonts w:hint="eastAsia" w:ascii="宋体" w:hAnsi="宋体"/>
          <w:color w:val="auto"/>
          <w:sz w:val="24"/>
          <w:highlight w:val="none"/>
        </w:rPr>
        <w:t>投 标 人：</w:t>
      </w:r>
      <w:r>
        <w:rPr>
          <w:rFonts w:hint="eastAsia" w:ascii="宋体" w:hAnsi="宋体"/>
          <w:color w:val="auto"/>
          <w:sz w:val="24"/>
          <w:highlight w:val="none"/>
          <w:u w:val="single"/>
        </w:rPr>
        <w:t xml:space="preserve">                                                        </w:t>
      </w:r>
    </w:p>
    <w:p w14:paraId="3A11EEAA">
      <w:pPr>
        <w:spacing w:line="500" w:lineRule="exact"/>
        <w:ind w:left="540"/>
        <w:rPr>
          <w:rFonts w:hint="eastAsia" w:ascii="宋体" w:hAnsi="宋体"/>
          <w:color w:val="auto"/>
          <w:sz w:val="24"/>
          <w:highlight w:val="none"/>
        </w:rPr>
      </w:pPr>
      <w:r>
        <w:rPr>
          <w:rFonts w:hint="eastAsia" w:ascii="宋体" w:hAnsi="宋体"/>
          <w:color w:val="auto"/>
          <w:sz w:val="24"/>
          <w:highlight w:val="none"/>
        </w:rPr>
        <w:t>地    址：</w:t>
      </w:r>
      <w:r>
        <w:rPr>
          <w:rFonts w:hint="eastAsia" w:ascii="宋体" w:hAnsi="宋体"/>
          <w:color w:val="auto"/>
          <w:sz w:val="24"/>
          <w:highlight w:val="none"/>
          <w:u w:val="single"/>
        </w:rPr>
        <w:t xml:space="preserve">                                                        </w:t>
      </w:r>
    </w:p>
    <w:p w14:paraId="1372CBCF">
      <w:pPr>
        <w:spacing w:line="500" w:lineRule="exact"/>
        <w:ind w:left="540"/>
        <w:rPr>
          <w:rFonts w:hint="eastAsia" w:ascii="宋体" w:hAnsi="宋体"/>
          <w:color w:val="auto"/>
          <w:sz w:val="24"/>
          <w:highlight w:val="none"/>
        </w:rPr>
      </w:pPr>
      <w:r>
        <w:rPr>
          <w:rFonts w:hint="eastAsia" w:ascii="宋体" w:hAnsi="宋体"/>
          <w:color w:val="auto"/>
          <w:sz w:val="24"/>
          <w:highlight w:val="none"/>
        </w:rPr>
        <w:t>姓    名：</w:t>
      </w:r>
      <w:r>
        <w:rPr>
          <w:rFonts w:hint="eastAsia" w:ascii="宋体" w:hAnsi="宋体"/>
          <w:color w:val="auto"/>
          <w:sz w:val="24"/>
          <w:highlight w:val="none"/>
          <w:u w:val="single"/>
        </w:rPr>
        <w:t xml:space="preserve">                          </w:t>
      </w:r>
      <w:r>
        <w:rPr>
          <w:rFonts w:hint="eastAsia" w:ascii="宋体" w:hAnsi="宋体"/>
          <w:color w:val="auto"/>
          <w:sz w:val="24"/>
          <w:highlight w:val="none"/>
        </w:rPr>
        <w:t>性      别：</w:t>
      </w:r>
      <w:r>
        <w:rPr>
          <w:rFonts w:hint="eastAsia" w:ascii="宋体" w:hAnsi="宋体"/>
          <w:color w:val="auto"/>
          <w:sz w:val="24"/>
          <w:highlight w:val="none"/>
          <w:u w:val="single"/>
        </w:rPr>
        <w:t xml:space="preserve">                </w:t>
      </w:r>
    </w:p>
    <w:p w14:paraId="49919DB3">
      <w:pPr>
        <w:spacing w:line="500" w:lineRule="exact"/>
        <w:ind w:left="540"/>
        <w:rPr>
          <w:rFonts w:hint="eastAsia" w:ascii="宋体" w:hAnsi="宋体"/>
          <w:color w:val="auto"/>
          <w:sz w:val="24"/>
          <w:highlight w:val="none"/>
          <w:u w:val="single"/>
        </w:rPr>
      </w:pPr>
      <w:r>
        <w:rPr>
          <w:rFonts w:hint="eastAsia" w:ascii="宋体" w:hAnsi="宋体"/>
          <w:color w:val="auto"/>
          <w:sz w:val="24"/>
          <w:highlight w:val="none"/>
        </w:rPr>
        <w:t>年    龄：</w:t>
      </w:r>
      <w:r>
        <w:rPr>
          <w:rFonts w:hint="eastAsia" w:ascii="宋体" w:hAnsi="宋体"/>
          <w:color w:val="auto"/>
          <w:sz w:val="24"/>
          <w:highlight w:val="none"/>
          <w:u w:val="single"/>
        </w:rPr>
        <w:t xml:space="preserve">                          </w:t>
      </w:r>
      <w:r>
        <w:rPr>
          <w:rFonts w:hint="eastAsia" w:ascii="宋体" w:hAnsi="宋体"/>
          <w:color w:val="auto"/>
          <w:sz w:val="24"/>
          <w:highlight w:val="none"/>
        </w:rPr>
        <w:t>职      务：</w:t>
      </w:r>
      <w:r>
        <w:rPr>
          <w:rFonts w:hint="eastAsia" w:ascii="宋体" w:hAnsi="宋体"/>
          <w:color w:val="auto"/>
          <w:sz w:val="24"/>
          <w:highlight w:val="none"/>
          <w:u w:val="single"/>
        </w:rPr>
        <w:t xml:space="preserve">                </w:t>
      </w:r>
    </w:p>
    <w:p w14:paraId="69660DD1">
      <w:pPr>
        <w:spacing w:line="500" w:lineRule="exact"/>
        <w:ind w:left="540"/>
        <w:rPr>
          <w:rFonts w:hint="eastAsia" w:ascii="宋体" w:hAnsi="宋体"/>
          <w:color w:val="auto"/>
          <w:sz w:val="24"/>
          <w:highlight w:val="none"/>
        </w:rPr>
      </w:pPr>
      <w:r>
        <w:rPr>
          <w:rFonts w:hint="eastAsia" w:ascii="宋体" w:hAnsi="宋体"/>
          <w:color w:val="auto"/>
          <w:sz w:val="24"/>
          <w:highlight w:val="none"/>
        </w:rPr>
        <w:t>身份证</w:t>
      </w:r>
      <w:r>
        <w:rPr>
          <w:rFonts w:hint="eastAsia"/>
          <w:color w:val="auto"/>
          <w:sz w:val="24"/>
          <w:highlight w:val="none"/>
        </w:rPr>
        <w:t>号码：</w:t>
      </w:r>
      <w:r>
        <w:rPr>
          <w:color w:val="auto"/>
          <w:sz w:val="24"/>
          <w:highlight w:val="none"/>
          <w:u w:val="single"/>
        </w:rPr>
        <w:t xml:space="preserve">                                 </w:t>
      </w:r>
    </w:p>
    <w:p w14:paraId="0B776FF8">
      <w:pPr>
        <w:spacing w:line="500" w:lineRule="exact"/>
        <w:ind w:left="540"/>
        <w:rPr>
          <w:rFonts w:hint="eastAsia" w:ascii="宋体" w:hAnsi="宋体"/>
          <w:color w:val="auto"/>
          <w:sz w:val="24"/>
          <w:highlight w:val="none"/>
        </w:rPr>
      </w:pPr>
      <w:r>
        <w:rPr>
          <w:rFonts w:hint="eastAsia" w:ascii="宋体" w:hAnsi="宋体"/>
          <w:color w:val="auto"/>
          <w:sz w:val="24"/>
          <w:highlight w:val="none"/>
        </w:rPr>
        <w:t>系</w:t>
      </w:r>
      <w:r>
        <w:rPr>
          <w:rFonts w:hint="eastAsia" w:ascii="宋体" w:hAnsi="宋体"/>
          <w:color w:val="auto"/>
          <w:sz w:val="24"/>
          <w:highlight w:val="none"/>
          <w:u w:val="single"/>
        </w:rPr>
        <w:t xml:space="preserve">            （投标人名称）              </w:t>
      </w:r>
      <w:r>
        <w:rPr>
          <w:rFonts w:hint="eastAsia" w:ascii="宋体" w:hAnsi="宋体"/>
          <w:color w:val="auto"/>
          <w:sz w:val="24"/>
          <w:highlight w:val="none"/>
        </w:rPr>
        <w:t>的法定代表人。</w:t>
      </w:r>
    </w:p>
    <w:p w14:paraId="5CF868F9">
      <w:pPr>
        <w:spacing w:line="500" w:lineRule="exact"/>
        <w:ind w:left="540"/>
        <w:rPr>
          <w:rFonts w:hint="eastAsia" w:ascii="宋体" w:hAnsi="宋体"/>
          <w:color w:val="auto"/>
          <w:sz w:val="24"/>
          <w:highlight w:val="none"/>
        </w:rPr>
      </w:pPr>
      <w:r>
        <w:rPr>
          <w:rFonts w:hint="eastAsia" w:ascii="宋体" w:hAnsi="宋体"/>
          <w:color w:val="auto"/>
          <w:sz w:val="24"/>
          <w:highlight w:val="none"/>
        </w:rPr>
        <w:t>特此证明。</w:t>
      </w:r>
    </w:p>
    <w:p w14:paraId="03CBC4CC">
      <w:pPr>
        <w:spacing w:line="500" w:lineRule="exact"/>
        <w:ind w:left="540"/>
        <w:rPr>
          <w:rFonts w:hint="eastAsia" w:ascii="宋体" w:hAnsi="宋体"/>
          <w:color w:val="auto"/>
          <w:sz w:val="24"/>
          <w:highlight w:val="none"/>
        </w:rPr>
      </w:pPr>
    </w:p>
    <w:p w14:paraId="5986098B">
      <w:pPr>
        <w:spacing w:line="500" w:lineRule="exact"/>
        <w:ind w:left="540"/>
        <w:rPr>
          <w:rFonts w:hint="eastAsia" w:ascii="宋体" w:hAnsi="宋体"/>
          <w:color w:val="auto"/>
          <w:sz w:val="24"/>
          <w:highlight w:val="none"/>
        </w:rPr>
      </w:pPr>
    </w:p>
    <w:p w14:paraId="682C79A5">
      <w:pPr>
        <w:spacing w:line="500" w:lineRule="exact"/>
        <w:ind w:left="540"/>
        <w:rPr>
          <w:rFonts w:hint="eastAsia" w:ascii="宋体" w:hAnsi="宋体"/>
          <w:color w:val="auto"/>
          <w:sz w:val="24"/>
          <w:highlight w:val="none"/>
        </w:rPr>
      </w:pPr>
      <w:r>
        <w:rPr>
          <w:rFonts w:hint="eastAsia" w:ascii="宋体" w:hAnsi="宋体"/>
          <w:color w:val="auto"/>
          <w:sz w:val="24"/>
          <w:highlight w:val="none"/>
        </w:rPr>
        <w:t>附件：法定代表人有效身份证正反面复印件</w:t>
      </w:r>
    </w:p>
    <w:p w14:paraId="514C413A">
      <w:pPr>
        <w:spacing w:line="500" w:lineRule="exact"/>
        <w:ind w:left="540"/>
        <w:rPr>
          <w:rFonts w:hint="eastAsia" w:ascii="宋体" w:hAnsi="宋体"/>
          <w:color w:val="auto"/>
          <w:sz w:val="24"/>
          <w:highlight w:val="none"/>
        </w:rPr>
      </w:pPr>
    </w:p>
    <w:p w14:paraId="238FE082">
      <w:pPr>
        <w:snapToGrid w:val="0"/>
        <w:spacing w:line="360" w:lineRule="auto"/>
        <w:ind w:firstLine="4935" w:firstLineChars="2350"/>
        <w:rPr>
          <w:rFonts w:hint="eastAsia" w:ascii="仿宋_GB2312" w:hAnsi="仿宋" w:eastAsia="仿宋_GB2312" w:cs="仿宋_GB2312"/>
          <w:color w:val="auto"/>
          <w:kern w:val="0"/>
          <w:sz w:val="24"/>
          <w:highlight w:val="none"/>
        </w:rPr>
      </w:pPr>
      <w:r>
        <w:rPr>
          <w:rFonts w:hAnsi="宋体"/>
          <w:color w:val="auto"/>
          <w:szCs w:val="21"/>
          <w:highlight w:val="none"/>
        </w:rPr>
        <w:t xml:space="preserve">  </w:t>
      </w:r>
      <w:r>
        <w:rPr>
          <w:rFonts w:hint="eastAsia" w:ascii="仿宋_GB2312" w:hAnsi="仿宋" w:eastAsia="仿宋_GB2312" w:cs="仿宋_GB2312"/>
          <w:color w:val="auto"/>
          <w:kern w:val="0"/>
          <w:sz w:val="24"/>
          <w:highlight w:val="none"/>
          <w:lang w:val="zh-CN"/>
        </w:rPr>
        <w:t>投标人名称(电子签章)：</w:t>
      </w:r>
    </w:p>
    <w:p w14:paraId="773EE009">
      <w:pPr>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40D346EF">
      <w:pPr>
        <w:snapToGrid w:val="0"/>
        <w:spacing w:before="120" w:beforeLines="50" w:after="50"/>
        <w:jc w:val="center"/>
        <w:rPr>
          <w:rFonts w:hint="eastAsia" w:ascii="宋体" w:hAnsi="宋体"/>
          <w:b/>
          <w:color w:val="auto"/>
          <w:sz w:val="24"/>
          <w:highlight w:val="none"/>
        </w:rPr>
      </w:pPr>
    </w:p>
    <w:p w14:paraId="2ABFC851">
      <w:pPr>
        <w:snapToGrid w:val="0"/>
        <w:spacing w:before="120" w:beforeLines="50" w:after="50"/>
        <w:ind w:firstLine="600" w:firstLineChars="250"/>
        <w:jc w:val="left"/>
        <w:rPr>
          <w:rFonts w:hint="eastAsia" w:ascii="宋体" w:hAnsi="宋体"/>
          <w:color w:val="auto"/>
          <w:sz w:val="24"/>
          <w:highlight w:val="none"/>
        </w:rPr>
      </w:pPr>
      <w:r>
        <w:rPr>
          <w:rFonts w:hint="eastAsia" w:ascii="宋体" w:hAnsi="宋体"/>
          <w:color w:val="auto"/>
          <w:sz w:val="24"/>
          <w:highlight w:val="none"/>
        </w:rPr>
        <w:t>注：自然人投标的无需提供</w:t>
      </w:r>
    </w:p>
    <w:p w14:paraId="1FBD4BC5">
      <w:pPr>
        <w:snapToGrid w:val="0"/>
        <w:spacing w:before="120" w:beforeLines="50" w:after="50"/>
        <w:ind w:firstLine="600" w:firstLineChars="250"/>
        <w:jc w:val="left"/>
        <w:rPr>
          <w:rFonts w:hint="eastAsia" w:ascii="宋体" w:hAnsi="宋体"/>
          <w:color w:val="auto"/>
          <w:sz w:val="24"/>
          <w:highlight w:val="none"/>
        </w:rPr>
      </w:pPr>
    </w:p>
    <w:p w14:paraId="74D0B6ED">
      <w:pPr>
        <w:snapToGrid w:val="0"/>
        <w:spacing w:before="120" w:beforeLines="50" w:after="50"/>
        <w:ind w:firstLine="602" w:firstLineChars="250"/>
        <w:jc w:val="left"/>
        <w:rPr>
          <w:rFonts w:hint="eastAsia" w:ascii="宋体" w:hAnsi="宋体"/>
          <w:b/>
          <w:color w:val="auto"/>
          <w:sz w:val="24"/>
          <w:szCs w:val="20"/>
          <w:highlight w:val="none"/>
        </w:rPr>
      </w:pPr>
    </w:p>
    <w:tbl>
      <w:tblPr>
        <w:tblStyle w:val="33"/>
        <w:tblpPr w:leftFromText="180" w:rightFromText="180" w:vertAnchor="text" w:horzAnchor="margin" w:tblpY="1169"/>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14:paraId="55B79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tcBorders>
              <w:top w:val="single" w:color="auto" w:sz="4" w:space="0"/>
              <w:left w:val="single" w:color="auto" w:sz="4" w:space="0"/>
              <w:bottom w:val="single" w:color="auto" w:sz="4" w:space="0"/>
              <w:right w:val="single" w:color="auto" w:sz="4" w:space="0"/>
            </w:tcBorders>
            <w:noWrap w:val="0"/>
            <w:vAlign w:val="top"/>
          </w:tcPr>
          <w:p w14:paraId="5C554DBB">
            <w:pPr>
              <w:keepNext w:val="0"/>
              <w:keepLines w:val="0"/>
              <w:suppressLineNumbers w:val="0"/>
              <w:spacing w:before="0" w:beforeAutospacing="0" w:after="0" w:afterAutospacing="0" w:line="360" w:lineRule="auto"/>
              <w:ind w:left="0" w:right="0"/>
              <w:rPr>
                <w:rFonts w:hint="default" w:ascii="宋体" w:hAnsi="Times New Roman" w:cs="Times New Roman"/>
                <w:b/>
                <w:color w:val="auto"/>
                <w:sz w:val="24"/>
                <w:highlight w:val="none"/>
              </w:rPr>
            </w:pPr>
          </w:p>
          <w:p w14:paraId="58909EF0">
            <w:pPr>
              <w:keepNext w:val="0"/>
              <w:keepLines w:val="0"/>
              <w:suppressLineNumbers w:val="0"/>
              <w:spacing w:before="0" w:beforeAutospacing="0" w:after="0" w:afterAutospacing="0" w:line="360" w:lineRule="auto"/>
              <w:ind w:left="0" w:right="0"/>
              <w:rPr>
                <w:rFonts w:hint="default" w:ascii="宋体" w:hAnsi="Times New Roman" w:cs="Times New Roman"/>
                <w:b/>
                <w:color w:val="auto"/>
                <w:sz w:val="24"/>
                <w:highlight w:val="none"/>
              </w:rPr>
            </w:pPr>
            <w:r>
              <w:rPr>
                <w:rFonts w:hint="eastAsia" w:ascii="宋体" w:hAnsi="Times New Roman" w:cs="Times New Roman"/>
                <w:b/>
                <w:color w:val="auto"/>
                <w:sz w:val="24"/>
                <w:highlight w:val="none"/>
              </w:rPr>
              <w:t>法定代表身份证复印件粘帖处（正、反面）</w:t>
            </w:r>
          </w:p>
        </w:tc>
      </w:tr>
    </w:tbl>
    <w:p w14:paraId="4DF3BD9E">
      <w:pPr>
        <w:snapToGrid w:val="0"/>
        <w:spacing w:before="295" w:after="295" w:line="360" w:lineRule="auto"/>
        <w:jc w:val="center"/>
        <w:rPr>
          <w:rFonts w:hint="eastAsia" w:ascii="宋体" w:hAnsi="宋体"/>
          <w:b/>
          <w:color w:val="auto"/>
          <w:sz w:val="24"/>
          <w:szCs w:val="20"/>
          <w:highlight w:val="none"/>
        </w:rPr>
      </w:pPr>
      <w:r>
        <w:rPr>
          <w:rFonts w:hint="eastAsia" w:ascii="宋体" w:hAnsi="宋体"/>
          <w:b/>
          <w:color w:val="auto"/>
          <w:sz w:val="24"/>
          <w:szCs w:val="20"/>
          <w:highlight w:val="none"/>
        </w:rPr>
        <w:t>附件：</w:t>
      </w:r>
      <w:r>
        <w:rPr>
          <w:rFonts w:hint="eastAsia" w:ascii="宋体" w:hAnsi="宋体"/>
          <w:b/>
          <w:color w:val="auto"/>
          <w:sz w:val="24"/>
          <w:szCs w:val="20"/>
          <w:highlight w:val="none"/>
        </w:rPr>
        <w:br w:type="page"/>
      </w:r>
      <w:r>
        <w:rPr>
          <w:rFonts w:hint="eastAsia"/>
          <w:b/>
          <w:bCs/>
          <w:color w:val="auto"/>
          <w:sz w:val="30"/>
          <w:szCs w:val="30"/>
          <w:highlight w:val="none"/>
        </w:rPr>
        <w:t>三、法定代表人授权委托书（如有委托时）</w:t>
      </w:r>
    </w:p>
    <w:p w14:paraId="4DEDD4DA">
      <w:pPr>
        <w:snapToGrid w:val="0"/>
        <w:spacing w:before="120" w:beforeLines="50" w:after="50"/>
        <w:jc w:val="center"/>
        <w:rPr>
          <w:rFonts w:hint="eastAsia" w:ascii="宋体" w:hAnsi="宋体"/>
          <w:b/>
          <w:color w:val="auto"/>
          <w:sz w:val="32"/>
          <w:szCs w:val="32"/>
          <w:highlight w:val="none"/>
        </w:rPr>
      </w:pPr>
      <w:r>
        <w:rPr>
          <w:rFonts w:hint="eastAsia" w:ascii="宋体" w:hAnsi="宋体"/>
          <w:b/>
          <w:color w:val="auto"/>
          <w:sz w:val="32"/>
          <w:szCs w:val="32"/>
          <w:highlight w:val="none"/>
        </w:rPr>
        <w:t>法定代表人授权委托书</w:t>
      </w:r>
    </w:p>
    <w:p w14:paraId="42356716">
      <w:pPr>
        <w:snapToGrid w:val="0"/>
        <w:spacing w:before="120" w:beforeLines="50" w:after="50"/>
        <w:jc w:val="center"/>
        <w:rPr>
          <w:rFonts w:hint="eastAsia" w:ascii="宋体" w:hAnsi="宋体"/>
          <w:b/>
          <w:color w:val="auto"/>
          <w:sz w:val="24"/>
          <w:highlight w:val="none"/>
        </w:rPr>
      </w:pPr>
    </w:p>
    <w:p w14:paraId="2379930E">
      <w:pPr>
        <w:spacing w:line="440" w:lineRule="exact"/>
        <w:ind w:firstLine="420" w:firstLineChars="200"/>
        <w:rPr>
          <w:rFonts w:hint="eastAsia"/>
          <w:color w:val="auto"/>
          <w:szCs w:val="20"/>
          <w:highlight w:val="none"/>
        </w:rPr>
      </w:pPr>
      <w:r>
        <w:rPr>
          <w:rFonts w:hint="eastAsia"/>
          <w:color w:val="auto"/>
          <w:szCs w:val="20"/>
          <w:highlight w:val="none"/>
        </w:rPr>
        <w:t>致：</w:t>
      </w:r>
      <w:r>
        <w:rPr>
          <w:color w:val="auto"/>
          <w:szCs w:val="20"/>
          <w:highlight w:val="none"/>
          <w:u w:val="single"/>
        </w:rPr>
        <w:t xml:space="preserve"> </w:t>
      </w:r>
      <w:r>
        <w:rPr>
          <w:rFonts w:hint="eastAsia"/>
          <w:color w:val="auto"/>
          <w:szCs w:val="20"/>
          <w:highlight w:val="none"/>
          <w:u w:val="single"/>
        </w:rPr>
        <w:t>广西嘉达工程咨询管理有限公司</w:t>
      </w:r>
      <w:r>
        <w:rPr>
          <w:color w:val="auto"/>
          <w:szCs w:val="20"/>
          <w:highlight w:val="none"/>
          <w:u w:val="single"/>
        </w:rPr>
        <w:t xml:space="preserve"> </w:t>
      </w:r>
    </w:p>
    <w:p w14:paraId="074577C9">
      <w:pPr>
        <w:spacing w:line="440" w:lineRule="exact"/>
        <w:ind w:firstLine="420" w:firstLineChars="200"/>
        <w:rPr>
          <w:color w:val="auto"/>
          <w:szCs w:val="20"/>
          <w:highlight w:val="none"/>
        </w:rPr>
      </w:pPr>
      <w:r>
        <w:rPr>
          <w:rFonts w:hint="eastAsia"/>
          <w:color w:val="auto"/>
          <w:szCs w:val="20"/>
          <w:highlight w:val="none"/>
        </w:rPr>
        <w:t>本人</w:t>
      </w:r>
      <w:r>
        <w:rPr>
          <w:color w:val="auto"/>
          <w:szCs w:val="20"/>
          <w:highlight w:val="none"/>
          <w:u w:val="single"/>
        </w:rPr>
        <w:t xml:space="preserve">        </w:t>
      </w:r>
      <w:r>
        <w:rPr>
          <w:rFonts w:hint="eastAsia"/>
          <w:color w:val="auto"/>
          <w:szCs w:val="20"/>
          <w:highlight w:val="none"/>
        </w:rPr>
        <w:t>（姓名）系</w:t>
      </w:r>
      <w:r>
        <w:rPr>
          <w:color w:val="auto"/>
          <w:szCs w:val="20"/>
          <w:highlight w:val="none"/>
          <w:u w:val="single"/>
        </w:rPr>
        <w:t xml:space="preserve">                 </w:t>
      </w:r>
      <w:r>
        <w:rPr>
          <w:rFonts w:hint="eastAsia"/>
          <w:color w:val="auto"/>
          <w:szCs w:val="20"/>
          <w:highlight w:val="none"/>
        </w:rPr>
        <w:t>（投标人名称）的法定代表人，现授权我单位在职正式员工</w:t>
      </w:r>
      <w:r>
        <w:rPr>
          <w:color w:val="auto"/>
          <w:szCs w:val="20"/>
          <w:highlight w:val="none"/>
          <w:u w:val="single"/>
        </w:rPr>
        <w:t xml:space="preserve">        </w:t>
      </w:r>
      <w:r>
        <w:rPr>
          <w:rFonts w:hint="eastAsia"/>
          <w:color w:val="auto"/>
          <w:szCs w:val="20"/>
          <w:highlight w:val="none"/>
        </w:rPr>
        <w:t>（姓名和职务）为我方代理人。代理人根据授权，以我方名义签署、澄清、说明、补正、递交、撤回、修改贵方组织的</w:t>
      </w:r>
      <w:r>
        <w:rPr>
          <w:rFonts w:hint="eastAsia" w:ascii="宋体" w:hAnsi="Courier New"/>
          <w:color w:val="auto"/>
          <w:szCs w:val="20"/>
          <w:highlight w:val="none"/>
          <w:u w:val="single"/>
        </w:rPr>
        <w:t xml:space="preserve">          </w:t>
      </w:r>
      <w:r>
        <w:rPr>
          <w:rFonts w:hint="eastAsia" w:ascii="宋体" w:hAnsi="Courier New"/>
          <w:color w:val="auto"/>
          <w:szCs w:val="20"/>
          <w:highlight w:val="none"/>
        </w:rPr>
        <w:t>项目（项目编号：</w:t>
      </w:r>
      <w:r>
        <w:rPr>
          <w:rFonts w:hint="eastAsia" w:ascii="宋体" w:hAnsi="宋体"/>
          <w:color w:val="auto"/>
          <w:szCs w:val="20"/>
          <w:highlight w:val="none"/>
          <w:u w:val="single"/>
        </w:rPr>
        <w:t xml:space="preserve">           </w:t>
      </w:r>
      <w:r>
        <w:rPr>
          <w:rFonts w:hint="eastAsia" w:ascii="宋体" w:hAnsi="Courier New"/>
          <w:color w:val="auto"/>
          <w:szCs w:val="20"/>
          <w:highlight w:val="none"/>
        </w:rPr>
        <w:t>）</w:t>
      </w:r>
      <w:r>
        <w:rPr>
          <w:rFonts w:hint="eastAsia"/>
          <w:color w:val="auto"/>
          <w:szCs w:val="20"/>
          <w:highlight w:val="none"/>
        </w:rPr>
        <w:t>的投标文件、签订合同和处理一切有关事宜，其法律后果由我方承担。</w:t>
      </w:r>
    </w:p>
    <w:p w14:paraId="096DCAD3">
      <w:pPr>
        <w:spacing w:line="440" w:lineRule="exact"/>
        <w:ind w:firstLine="420" w:firstLineChars="200"/>
        <w:rPr>
          <w:color w:val="auto"/>
          <w:szCs w:val="20"/>
          <w:highlight w:val="none"/>
        </w:rPr>
      </w:pPr>
      <w:r>
        <w:rPr>
          <w:rFonts w:hint="eastAsia"/>
          <w:color w:val="auto"/>
          <w:szCs w:val="20"/>
          <w:highlight w:val="none"/>
        </w:rPr>
        <w:t>本授权书于</w:t>
      </w:r>
      <w:r>
        <w:rPr>
          <w:rFonts w:hint="eastAsia" w:ascii="宋体" w:hAnsi="Courier New"/>
          <w:color w:val="auto"/>
          <w:spacing w:val="10"/>
          <w:sz w:val="24"/>
          <w:szCs w:val="20"/>
          <w:highlight w:val="none"/>
          <w:u w:val="single"/>
        </w:rPr>
        <w:t xml:space="preserve">    </w:t>
      </w:r>
      <w:r>
        <w:rPr>
          <w:rFonts w:hint="eastAsia"/>
          <w:color w:val="auto"/>
          <w:szCs w:val="20"/>
          <w:highlight w:val="none"/>
        </w:rPr>
        <w:t>年</w:t>
      </w:r>
      <w:r>
        <w:rPr>
          <w:rFonts w:hint="eastAsia" w:ascii="宋体" w:hAnsi="Courier New"/>
          <w:color w:val="auto"/>
          <w:spacing w:val="10"/>
          <w:sz w:val="24"/>
          <w:szCs w:val="20"/>
          <w:highlight w:val="none"/>
          <w:u w:val="single"/>
        </w:rPr>
        <w:t xml:space="preserve">    </w:t>
      </w:r>
      <w:r>
        <w:rPr>
          <w:rFonts w:hint="eastAsia"/>
          <w:color w:val="auto"/>
          <w:szCs w:val="20"/>
          <w:highlight w:val="none"/>
        </w:rPr>
        <w:t>月</w:t>
      </w:r>
      <w:r>
        <w:rPr>
          <w:rFonts w:hint="eastAsia" w:ascii="宋体" w:hAnsi="Courier New"/>
          <w:color w:val="auto"/>
          <w:spacing w:val="10"/>
          <w:sz w:val="24"/>
          <w:szCs w:val="20"/>
          <w:highlight w:val="none"/>
          <w:u w:val="single"/>
        </w:rPr>
        <w:t xml:space="preserve">    </w:t>
      </w:r>
      <w:r>
        <w:rPr>
          <w:rFonts w:hint="eastAsia"/>
          <w:color w:val="auto"/>
          <w:szCs w:val="20"/>
          <w:highlight w:val="none"/>
        </w:rPr>
        <w:t>日签字生效，委托期限：</w:t>
      </w:r>
      <w:r>
        <w:rPr>
          <w:rFonts w:hint="eastAsia" w:ascii="宋体" w:hAnsi="Courier New"/>
          <w:color w:val="auto"/>
          <w:spacing w:val="10"/>
          <w:sz w:val="24"/>
          <w:szCs w:val="20"/>
          <w:highlight w:val="none"/>
          <w:u w:val="single"/>
        </w:rPr>
        <w:t xml:space="preserve">    </w:t>
      </w:r>
      <w:r>
        <w:rPr>
          <w:rFonts w:hint="eastAsia"/>
          <w:color w:val="auto"/>
          <w:szCs w:val="20"/>
          <w:highlight w:val="none"/>
        </w:rPr>
        <w:t>。</w:t>
      </w:r>
    </w:p>
    <w:p w14:paraId="5FB50901">
      <w:pPr>
        <w:spacing w:line="360" w:lineRule="auto"/>
        <w:ind w:firstLine="420"/>
        <w:rPr>
          <w:color w:val="auto"/>
          <w:szCs w:val="20"/>
          <w:highlight w:val="none"/>
        </w:rPr>
      </w:pPr>
      <w:r>
        <w:rPr>
          <w:rFonts w:hint="eastAsia"/>
          <w:color w:val="auto"/>
          <w:szCs w:val="20"/>
          <w:highlight w:val="none"/>
        </w:rPr>
        <w:t>代理人无转委托权。</w:t>
      </w:r>
    </w:p>
    <w:p w14:paraId="3277CEE3">
      <w:pPr>
        <w:spacing w:line="360" w:lineRule="auto"/>
        <w:ind w:firstLine="420"/>
        <w:rPr>
          <w:color w:val="auto"/>
          <w:szCs w:val="20"/>
          <w:highlight w:val="none"/>
        </w:rPr>
      </w:pPr>
    </w:p>
    <w:p w14:paraId="2C554A2E">
      <w:pPr>
        <w:spacing w:line="360" w:lineRule="auto"/>
        <w:ind w:firstLine="420"/>
        <w:rPr>
          <w:color w:val="auto"/>
          <w:szCs w:val="20"/>
          <w:highlight w:val="none"/>
          <w:u w:val="single"/>
        </w:rPr>
      </w:pPr>
      <w:r>
        <w:rPr>
          <w:rFonts w:hint="eastAsia"/>
          <w:color w:val="auto"/>
          <w:szCs w:val="20"/>
          <w:highlight w:val="none"/>
        </w:rPr>
        <w:t>投标人（或联合体投标</w:t>
      </w:r>
      <w:r>
        <w:rPr>
          <w:rFonts w:hint="eastAsia" w:ascii="宋体" w:hAnsi="Courier New" w:cs="宋体"/>
          <w:color w:val="auto"/>
          <w:kern w:val="0"/>
          <w:szCs w:val="21"/>
          <w:highlight w:val="none"/>
        </w:rPr>
        <w:t>牵头人名称</w:t>
      </w:r>
      <w:r>
        <w:rPr>
          <w:rFonts w:hint="eastAsia"/>
          <w:color w:val="auto"/>
          <w:szCs w:val="20"/>
          <w:highlight w:val="none"/>
        </w:rPr>
        <w:t>）（盖单位公章）：</w:t>
      </w:r>
      <w:r>
        <w:rPr>
          <w:color w:val="auto"/>
          <w:szCs w:val="20"/>
          <w:highlight w:val="none"/>
          <w:u w:val="single"/>
        </w:rPr>
        <w:t xml:space="preserve">                                    </w:t>
      </w:r>
    </w:p>
    <w:p w14:paraId="77B72F69">
      <w:pPr>
        <w:spacing w:line="360" w:lineRule="auto"/>
        <w:ind w:firstLine="420"/>
        <w:rPr>
          <w:color w:val="auto"/>
          <w:szCs w:val="20"/>
          <w:highlight w:val="none"/>
          <w:u w:val="single"/>
        </w:rPr>
      </w:pPr>
      <w:r>
        <w:rPr>
          <w:rFonts w:hint="eastAsia"/>
          <w:color w:val="auto"/>
          <w:szCs w:val="20"/>
          <w:highlight w:val="none"/>
        </w:rPr>
        <w:t>法定代表人（签字）：</w:t>
      </w:r>
      <w:r>
        <w:rPr>
          <w:color w:val="auto"/>
          <w:szCs w:val="20"/>
          <w:highlight w:val="none"/>
          <w:u w:val="single"/>
        </w:rPr>
        <w:t xml:space="preserve">                                </w:t>
      </w:r>
    </w:p>
    <w:p w14:paraId="04278F6C">
      <w:pPr>
        <w:spacing w:line="360" w:lineRule="auto"/>
        <w:ind w:firstLine="420"/>
        <w:rPr>
          <w:color w:val="auto"/>
          <w:szCs w:val="20"/>
          <w:highlight w:val="none"/>
          <w:u w:val="single"/>
        </w:rPr>
      </w:pPr>
      <w:r>
        <w:rPr>
          <w:rFonts w:hint="eastAsia"/>
          <w:color w:val="auto"/>
          <w:szCs w:val="20"/>
          <w:highlight w:val="none"/>
        </w:rPr>
        <w:t>法定代表人身份证号码：</w:t>
      </w:r>
      <w:r>
        <w:rPr>
          <w:color w:val="auto"/>
          <w:szCs w:val="20"/>
          <w:highlight w:val="none"/>
          <w:u w:val="single"/>
        </w:rPr>
        <w:t xml:space="preserve">                                   </w:t>
      </w:r>
    </w:p>
    <w:p w14:paraId="4FA495FD">
      <w:pPr>
        <w:spacing w:line="360" w:lineRule="auto"/>
        <w:ind w:firstLine="420" w:firstLineChars="200"/>
        <w:rPr>
          <w:color w:val="auto"/>
          <w:szCs w:val="20"/>
          <w:highlight w:val="none"/>
        </w:rPr>
      </w:pPr>
      <w:r>
        <w:rPr>
          <w:rFonts w:hint="eastAsia"/>
          <w:color w:val="auto"/>
          <w:szCs w:val="20"/>
          <w:highlight w:val="none"/>
        </w:rPr>
        <w:t>委托代理人（签字）：</w:t>
      </w:r>
      <w:r>
        <w:rPr>
          <w:color w:val="auto"/>
          <w:szCs w:val="20"/>
          <w:highlight w:val="none"/>
          <w:u w:val="single"/>
        </w:rPr>
        <w:t xml:space="preserve">                                </w:t>
      </w:r>
    </w:p>
    <w:p w14:paraId="688B87AB">
      <w:pPr>
        <w:spacing w:line="360" w:lineRule="auto"/>
        <w:ind w:firstLine="420"/>
        <w:rPr>
          <w:color w:val="auto"/>
          <w:szCs w:val="20"/>
          <w:highlight w:val="none"/>
          <w:u w:val="single"/>
        </w:rPr>
      </w:pPr>
      <w:r>
        <w:rPr>
          <w:rFonts w:hint="eastAsia"/>
          <w:color w:val="auto"/>
          <w:szCs w:val="20"/>
          <w:highlight w:val="none"/>
        </w:rPr>
        <w:t>委托代理人身份证号码：</w:t>
      </w:r>
      <w:r>
        <w:rPr>
          <w:color w:val="auto"/>
          <w:szCs w:val="20"/>
          <w:highlight w:val="none"/>
          <w:u w:val="single"/>
        </w:rPr>
        <w:t xml:space="preserve">                                   </w:t>
      </w:r>
    </w:p>
    <w:p w14:paraId="6F499675">
      <w:pPr>
        <w:spacing w:line="360" w:lineRule="auto"/>
        <w:ind w:firstLine="420"/>
        <w:rPr>
          <w:color w:val="auto"/>
          <w:szCs w:val="20"/>
          <w:highlight w:val="none"/>
          <w:u w:val="single"/>
        </w:rPr>
      </w:pPr>
    </w:p>
    <w:p w14:paraId="6B631F60">
      <w:pPr>
        <w:spacing w:line="360" w:lineRule="auto"/>
        <w:ind w:firstLine="420"/>
        <w:rPr>
          <w:color w:val="auto"/>
          <w:szCs w:val="20"/>
          <w:highlight w:val="none"/>
          <w:u w:val="single"/>
        </w:rPr>
      </w:pPr>
      <w:r>
        <w:rPr>
          <w:rFonts w:hint="eastAsia" w:ascii="宋体" w:hAnsi="Courier New" w:cs="宋体"/>
          <w:color w:val="auto"/>
          <w:kern w:val="0"/>
          <w:szCs w:val="21"/>
          <w:highlight w:val="none"/>
        </w:rPr>
        <w:t>成员一名称：</w:t>
      </w:r>
      <w:r>
        <w:rPr>
          <w:rFonts w:hint="eastAsia"/>
          <w:color w:val="auto"/>
          <w:szCs w:val="20"/>
          <w:highlight w:val="none"/>
        </w:rPr>
        <w:t>（盖单位公章）：</w:t>
      </w:r>
      <w:r>
        <w:rPr>
          <w:color w:val="auto"/>
          <w:szCs w:val="20"/>
          <w:highlight w:val="none"/>
          <w:u w:val="single"/>
        </w:rPr>
        <w:t xml:space="preserve">                                    </w:t>
      </w:r>
    </w:p>
    <w:p w14:paraId="31337306">
      <w:pPr>
        <w:spacing w:line="360" w:lineRule="auto"/>
        <w:ind w:firstLine="420"/>
        <w:rPr>
          <w:color w:val="auto"/>
          <w:szCs w:val="20"/>
          <w:highlight w:val="none"/>
          <w:u w:val="single"/>
        </w:rPr>
      </w:pPr>
      <w:r>
        <w:rPr>
          <w:rFonts w:hint="eastAsia"/>
          <w:color w:val="auto"/>
          <w:szCs w:val="20"/>
          <w:highlight w:val="none"/>
        </w:rPr>
        <w:t>法定代表人（签字）：</w:t>
      </w:r>
      <w:r>
        <w:rPr>
          <w:color w:val="auto"/>
          <w:szCs w:val="20"/>
          <w:highlight w:val="none"/>
          <w:u w:val="single"/>
        </w:rPr>
        <w:t xml:space="preserve">                                </w:t>
      </w:r>
    </w:p>
    <w:p w14:paraId="5EF3B545">
      <w:pPr>
        <w:spacing w:line="360" w:lineRule="auto"/>
        <w:ind w:firstLine="420"/>
        <w:rPr>
          <w:color w:val="auto"/>
          <w:szCs w:val="20"/>
          <w:highlight w:val="none"/>
          <w:u w:val="single"/>
        </w:rPr>
      </w:pPr>
    </w:p>
    <w:p w14:paraId="0720B9E0">
      <w:pPr>
        <w:autoSpaceDE w:val="0"/>
        <w:autoSpaceDN w:val="0"/>
        <w:adjustRightInd w:val="0"/>
        <w:spacing w:line="360" w:lineRule="auto"/>
        <w:ind w:firstLine="420" w:firstLineChars="200"/>
        <w:jc w:val="left"/>
        <w:rPr>
          <w:rFonts w:ascii="宋体" w:cs="宋体"/>
          <w:color w:val="auto"/>
          <w:kern w:val="0"/>
          <w:szCs w:val="21"/>
          <w:highlight w:val="none"/>
        </w:rPr>
      </w:pPr>
      <w:r>
        <w:rPr>
          <w:rFonts w:hint="eastAsia" w:ascii="宋体" w:cs="宋体"/>
          <w:color w:val="auto"/>
          <w:kern w:val="0"/>
          <w:szCs w:val="21"/>
          <w:highlight w:val="none"/>
        </w:rPr>
        <w:t>成员二名称：</w:t>
      </w:r>
      <w:r>
        <w:rPr>
          <w:rFonts w:hint="eastAsia" w:ascii="宋体" w:cs="宋体"/>
          <w:color w:val="auto"/>
          <w:kern w:val="0"/>
          <w:szCs w:val="21"/>
          <w:highlight w:val="none"/>
          <w:u w:val="single"/>
        </w:rPr>
        <w:t xml:space="preserve">                                       </w:t>
      </w:r>
      <w:r>
        <w:rPr>
          <w:rFonts w:hint="eastAsia" w:ascii="宋体" w:cs="宋体"/>
          <w:color w:val="auto"/>
          <w:kern w:val="0"/>
          <w:szCs w:val="21"/>
          <w:highlight w:val="none"/>
        </w:rPr>
        <w:t>（盖单位公章）</w:t>
      </w:r>
    </w:p>
    <w:p w14:paraId="582594A3">
      <w:pPr>
        <w:autoSpaceDE w:val="0"/>
        <w:autoSpaceDN w:val="0"/>
        <w:adjustRightInd w:val="0"/>
        <w:spacing w:line="360" w:lineRule="auto"/>
        <w:ind w:firstLine="420" w:firstLineChars="200"/>
        <w:jc w:val="left"/>
        <w:rPr>
          <w:rFonts w:hint="eastAsia" w:ascii="宋体" w:cs="宋体"/>
          <w:color w:val="auto"/>
          <w:kern w:val="0"/>
          <w:szCs w:val="21"/>
          <w:highlight w:val="none"/>
        </w:rPr>
      </w:pPr>
      <w:r>
        <w:rPr>
          <w:rFonts w:hint="eastAsia" w:ascii="宋体" w:cs="宋体"/>
          <w:color w:val="auto"/>
          <w:kern w:val="0"/>
          <w:szCs w:val="21"/>
          <w:highlight w:val="none"/>
        </w:rPr>
        <w:t>法定代表人或其委托代理人：</w:t>
      </w:r>
      <w:r>
        <w:rPr>
          <w:rFonts w:hint="eastAsia" w:ascii="宋体" w:cs="宋体"/>
          <w:color w:val="auto"/>
          <w:kern w:val="0"/>
          <w:szCs w:val="21"/>
          <w:highlight w:val="none"/>
          <w:u w:val="single"/>
        </w:rPr>
        <w:t xml:space="preserve">                         </w:t>
      </w:r>
      <w:r>
        <w:rPr>
          <w:rFonts w:hint="eastAsia" w:ascii="宋体" w:cs="宋体"/>
          <w:color w:val="auto"/>
          <w:kern w:val="0"/>
          <w:szCs w:val="21"/>
          <w:highlight w:val="none"/>
        </w:rPr>
        <w:t>（签字）</w:t>
      </w:r>
    </w:p>
    <w:p w14:paraId="001B0525">
      <w:pPr>
        <w:ind w:firstLine="420" w:firstLineChars="200"/>
        <w:rPr>
          <w:rFonts w:hint="eastAsia" w:ascii="宋体" w:hAnsi="Courier New"/>
          <w:color w:val="auto"/>
          <w:szCs w:val="20"/>
          <w:highlight w:val="none"/>
        </w:rPr>
      </w:pPr>
      <w:r>
        <w:rPr>
          <w:rFonts w:hint="eastAsia" w:ascii="宋体" w:hAnsi="Courier New"/>
          <w:color w:val="auto"/>
          <w:szCs w:val="20"/>
          <w:highlight w:val="none"/>
        </w:rPr>
        <w:t>......</w:t>
      </w:r>
    </w:p>
    <w:p w14:paraId="55D3F656">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注：</w:t>
      </w:r>
    </w:p>
    <w:p w14:paraId="7AD35F05">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1.法定代表人和委托代理人在授权委托书上签名</w:t>
      </w:r>
    </w:p>
    <w:p w14:paraId="2522A351">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2.以联合体形式投标的，本授权委托书应由联合体牵头人的法定代表人按上述规定签署。</w:t>
      </w:r>
    </w:p>
    <w:p w14:paraId="1B5EB4F1">
      <w:pPr>
        <w:snapToGrid w:val="0"/>
        <w:spacing w:before="50" w:after="120" w:afterLines="50"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3. 供应商为其他组织或者自然人时，本招标文件规定的法定代表人指负责人或者自然人。本招标文件所称负责人是指参加投标的其他组织营业执照上的负责人，本招标文件所称自然人指参与投标的自然人本人。</w:t>
      </w:r>
    </w:p>
    <w:p w14:paraId="4154922C">
      <w:pPr>
        <w:snapToGrid w:val="0"/>
        <w:spacing w:before="50" w:after="120" w:afterLines="50"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4. 若为联合体投标须各方签字或盖章。</w:t>
      </w:r>
    </w:p>
    <w:p w14:paraId="675BA2E8">
      <w:pPr>
        <w:spacing w:line="360" w:lineRule="auto"/>
        <w:rPr>
          <w:rFonts w:hint="eastAsia" w:ascii="宋体"/>
          <w:b/>
          <w:color w:val="auto"/>
          <w:sz w:val="24"/>
          <w:highlight w:val="none"/>
        </w:rPr>
      </w:pPr>
    </w:p>
    <w:p w14:paraId="394B4D0C">
      <w:pPr>
        <w:spacing w:line="360" w:lineRule="auto"/>
        <w:rPr>
          <w:rFonts w:hint="eastAsia" w:ascii="宋体"/>
          <w:b/>
          <w:color w:val="auto"/>
          <w:sz w:val="24"/>
          <w:highlight w:val="none"/>
        </w:rPr>
      </w:pPr>
    </w:p>
    <w:p w14:paraId="29C168B5">
      <w:pPr>
        <w:spacing w:line="360" w:lineRule="auto"/>
        <w:rPr>
          <w:rFonts w:hint="eastAsia"/>
          <w:b/>
          <w:color w:val="auto"/>
          <w:sz w:val="24"/>
          <w:highlight w:val="none"/>
        </w:rPr>
      </w:pPr>
      <w:r>
        <w:rPr>
          <w:rFonts w:hint="eastAsia" w:ascii="宋体"/>
          <w:b/>
          <w:color w:val="auto"/>
          <w:sz w:val="24"/>
          <w:highlight w:val="none"/>
        </w:rPr>
        <w:t>附件：</w:t>
      </w:r>
    </w:p>
    <w:tbl>
      <w:tblPr>
        <w:tblStyle w:val="33"/>
        <w:tblpPr w:leftFromText="180" w:rightFromText="180" w:vertAnchor="text" w:horzAnchor="margin" w:tblpY="263"/>
        <w:tblW w:w="79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0"/>
      </w:tblGrid>
      <w:tr w14:paraId="70630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0" w:hRule="atLeast"/>
        </w:trPr>
        <w:tc>
          <w:tcPr>
            <w:tcW w:w="7985" w:type="dxa"/>
            <w:tcBorders>
              <w:top w:val="single" w:color="auto" w:sz="4" w:space="0"/>
              <w:left w:val="single" w:color="auto" w:sz="4" w:space="0"/>
              <w:bottom w:val="single" w:color="auto" w:sz="4" w:space="0"/>
              <w:right w:val="single" w:color="auto" w:sz="4" w:space="0"/>
            </w:tcBorders>
            <w:noWrap w:val="0"/>
            <w:vAlign w:val="top"/>
          </w:tcPr>
          <w:p w14:paraId="18AB526F">
            <w:pPr>
              <w:keepNext w:val="0"/>
              <w:keepLines w:val="0"/>
              <w:suppressLineNumbers w:val="0"/>
              <w:spacing w:before="0" w:beforeAutospacing="0" w:after="0" w:afterAutospacing="0" w:line="360" w:lineRule="auto"/>
              <w:ind w:left="0" w:right="0"/>
              <w:rPr>
                <w:rFonts w:hint="default" w:ascii="宋体" w:hAnsi="Times New Roman" w:cs="Times New Roman"/>
                <w:b/>
                <w:color w:val="auto"/>
                <w:sz w:val="24"/>
                <w:highlight w:val="none"/>
              </w:rPr>
            </w:pPr>
          </w:p>
          <w:p w14:paraId="129B2F27">
            <w:pPr>
              <w:keepNext w:val="0"/>
              <w:keepLines w:val="0"/>
              <w:suppressLineNumbers w:val="0"/>
              <w:spacing w:before="0" w:beforeAutospacing="0" w:after="0" w:afterAutospacing="0" w:line="360" w:lineRule="auto"/>
              <w:ind w:left="0" w:right="0"/>
              <w:rPr>
                <w:rFonts w:hint="default" w:ascii="宋体" w:hAnsi="Times New Roman" w:cs="Times New Roman"/>
                <w:b/>
                <w:color w:val="auto"/>
                <w:sz w:val="24"/>
                <w:highlight w:val="none"/>
              </w:rPr>
            </w:pPr>
            <w:r>
              <w:rPr>
                <w:rFonts w:hint="eastAsia" w:ascii="宋体" w:hAnsi="Times New Roman" w:cs="Times New Roman"/>
                <w:b/>
                <w:color w:val="auto"/>
                <w:sz w:val="24"/>
                <w:highlight w:val="none"/>
              </w:rPr>
              <w:t>全权代表身份证复印件粘帖处（正、反面）</w:t>
            </w:r>
          </w:p>
        </w:tc>
      </w:tr>
    </w:tbl>
    <w:p w14:paraId="36430307">
      <w:pPr>
        <w:snapToGrid w:val="0"/>
        <w:spacing w:before="50" w:after="120" w:afterLines="50" w:line="360" w:lineRule="auto"/>
        <w:jc w:val="left"/>
        <w:rPr>
          <w:rFonts w:hint="eastAsia" w:ascii="仿宋_GB2312" w:hAnsi="仿宋_GB2312" w:eastAsia="仿宋_GB2312" w:cs="仿宋_GB2312"/>
          <w:color w:val="auto"/>
          <w:szCs w:val="21"/>
          <w:highlight w:val="none"/>
        </w:rPr>
      </w:pPr>
    </w:p>
    <w:p w14:paraId="61EF1369">
      <w:pPr>
        <w:snapToGrid w:val="0"/>
        <w:spacing w:before="120" w:beforeLines="50" w:after="50"/>
        <w:ind w:firstLine="566" w:firstLineChars="236"/>
        <w:jc w:val="center"/>
        <w:rPr>
          <w:rFonts w:hint="eastAsia" w:ascii="宋体" w:hAnsi="宋体"/>
          <w:color w:val="auto"/>
          <w:highlight w:val="none"/>
        </w:rPr>
      </w:pPr>
      <w:r>
        <w:rPr>
          <w:rFonts w:hint="eastAsia" w:ascii="宋体" w:hAnsi="宋体"/>
          <w:color w:val="auto"/>
          <w:sz w:val="24"/>
          <w:highlight w:val="none"/>
        </w:rPr>
        <w:t xml:space="preserve"> </w:t>
      </w:r>
      <w:r>
        <w:rPr>
          <w:rFonts w:hint="eastAsia" w:ascii="宋体" w:hAnsi="宋体"/>
          <w:color w:val="auto"/>
          <w:sz w:val="24"/>
          <w:highlight w:val="none"/>
        </w:rPr>
        <w:br w:type="page"/>
      </w:r>
    </w:p>
    <w:p w14:paraId="3177D48F">
      <w:pPr>
        <w:jc w:val="center"/>
        <w:rPr>
          <w:rFonts w:hint="eastAsia"/>
          <w:b/>
          <w:bCs/>
          <w:color w:val="auto"/>
          <w:sz w:val="30"/>
          <w:szCs w:val="30"/>
          <w:highlight w:val="none"/>
        </w:rPr>
      </w:pPr>
      <w:r>
        <w:rPr>
          <w:rFonts w:hint="eastAsia"/>
          <w:b/>
          <w:bCs/>
          <w:color w:val="auto"/>
          <w:sz w:val="30"/>
          <w:szCs w:val="30"/>
          <w:highlight w:val="none"/>
        </w:rPr>
        <w:t>四、商务条款偏离表</w:t>
      </w:r>
    </w:p>
    <w:p w14:paraId="7FAD1183">
      <w:pPr>
        <w:jc w:val="center"/>
        <w:rPr>
          <w:rFonts w:ascii="宋体" w:hAnsi="宋体"/>
          <w:b/>
          <w:color w:val="auto"/>
          <w:sz w:val="24"/>
          <w:szCs w:val="20"/>
          <w:highlight w:val="none"/>
        </w:rPr>
      </w:pPr>
      <w:r>
        <w:rPr>
          <w:rFonts w:hint="eastAsia" w:ascii="宋体" w:hAnsi="宋体"/>
          <w:color w:val="auto"/>
          <w:sz w:val="30"/>
          <w:szCs w:val="20"/>
          <w:highlight w:val="none"/>
        </w:rPr>
        <w:t>(注：按项目需求表具体项目修改)</w:t>
      </w:r>
    </w:p>
    <w:p w14:paraId="68B9D4FA">
      <w:pPr>
        <w:snapToGrid w:val="0"/>
        <w:spacing w:before="50"/>
        <w:jc w:val="left"/>
        <w:rPr>
          <w:rFonts w:hint="eastAsia" w:ascii="宋体" w:hAnsi="宋体"/>
          <w:color w:val="auto"/>
          <w:sz w:val="24"/>
          <w:highlight w:val="none"/>
        </w:rPr>
      </w:pPr>
    </w:p>
    <w:p w14:paraId="1D4DF4A4">
      <w:pPr>
        <w:spacing w:line="360" w:lineRule="auto"/>
        <w:ind w:left="-424" w:leftChars="-202" w:firstLine="846"/>
        <w:rPr>
          <w:rFonts w:hint="eastAsia" w:ascii="宋体" w:hAnsi="宋体"/>
          <w:color w:val="auto"/>
          <w:sz w:val="24"/>
          <w:highlight w:val="none"/>
        </w:rPr>
      </w:pPr>
      <w:r>
        <w:rPr>
          <w:rFonts w:hint="eastAsia"/>
          <w:color w:val="auto"/>
          <w:szCs w:val="20"/>
          <w:highlight w:val="none"/>
        </w:rPr>
        <w:t>请逐条对应本项目招标文件第二章“服务需求一览表”中“商务条款”的要求，详细填写相应的具体内容。“偏离说明”一栏应当选择“正偏离”、“负偏离”或“无偏离”进行填写。</w:t>
      </w:r>
    </w:p>
    <w:tbl>
      <w:tblPr>
        <w:tblStyle w:val="33"/>
        <w:tblpPr w:leftFromText="180" w:rightFromText="180" w:vertAnchor="text" w:horzAnchor="margin" w:tblpXSpec="center" w:tblpY="9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14:paraId="02C03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14:paraId="30192C1B">
            <w:pPr>
              <w:keepNext w:val="0"/>
              <w:keepLines w:val="0"/>
              <w:suppressLineNumbers w:val="0"/>
              <w:spacing w:before="0" w:beforeAutospacing="0" w:after="0" w:afterAutospacing="0" w:line="340" w:lineRule="exact"/>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项号</w:t>
            </w:r>
          </w:p>
        </w:tc>
        <w:tc>
          <w:tcPr>
            <w:tcW w:w="3926" w:type="dxa"/>
            <w:tcBorders>
              <w:top w:val="single" w:color="auto" w:sz="4" w:space="0"/>
              <w:left w:val="single" w:color="auto" w:sz="4" w:space="0"/>
              <w:bottom w:val="single" w:color="auto" w:sz="4" w:space="0"/>
              <w:right w:val="single" w:color="auto" w:sz="4" w:space="0"/>
            </w:tcBorders>
            <w:noWrap w:val="0"/>
            <w:vAlign w:val="center"/>
          </w:tcPr>
          <w:p w14:paraId="5A0C0E9A">
            <w:pPr>
              <w:keepNext w:val="0"/>
              <w:keepLines w:val="0"/>
              <w:suppressLineNumbers w:val="0"/>
              <w:spacing w:before="0" w:beforeAutospacing="0" w:after="0" w:afterAutospacing="0" w:line="340" w:lineRule="exact"/>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招标文件的商务需求</w:t>
            </w:r>
          </w:p>
        </w:tc>
        <w:tc>
          <w:tcPr>
            <w:tcW w:w="3589" w:type="dxa"/>
            <w:tcBorders>
              <w:top w:val="single" w:color="auto" w:sz="4" w:space="0"/>
              <w:left w:val="single" w:color="auto" w:sz="4" w:space="0"/>
              <w:bottom w:val="single" w:color="auto" w:sz="4" w:space="0"/>
              <w:right w:val="single" w:color="auto" w:sz="4" w:space="0"/>
            </w:tcBorders>
            <w:noWrap w:val="0"/>
            <w:vAlign w:val="center"/>
          </w:tcPr>
          <w:p w14:paraId="000B548B">
            <w:pPr>
              <w:keepNext w:val="0"/>
              <w:keepLines w:val="0"/>
              <w:suppressLineNumbers w:val="0"/>
              <w:spacing w:before="0" w:beforeAutospacing="0" w:after="0" w:afterAutospacing="0" w:line="340" w:lineRule="exact"/>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投标文件承诺的商务条款</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6814C4FD">
            <w:pPr>
              <w:keepNext w:val="0"/>
              <w:keepLines w:val="0"/>
              <w:suppressLineNumbers w:val="0"/>
              <w:spacing w:before="0" w:beforeAutospacing="0" w:after="0" w:afterAutospacing="0" w:line="340" w:lineRule="exact"/>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偏离说明</w:t>
            </w:r>
          </w:p>
        </w:tc>
      </w:tr>
      <w:tr w14:paraId="24E3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70FD617E">
            <w:pPr>
              <w:keepNext w:val="0"/>
              <w:keepLines w:val="0"/>
              <w:suppressLineNumbers w:val="0"/>
              <w:spacing w:before="0" w:beforeAutospacing="0" w:after="0" w:afterAutospacing="0" w:line="34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一</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080FAAA2">
            <w:pPr>
              <w:keepNext w:val="0"/>
              <w:keepLines w:val="0"/>
              <w:suppressLineNumbers w:val="0"/>
              <w:spacing w:before="0" w:beforeAutospacing="0" w:after="0" w:afterAutospacing="0" w:line="34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1  ……</w:t>
            </w:r>
          </w:p>
          <w:p w14:paraId="6413901E">
            <w:pPr>
              <w:keepNext w:val="0"/>
              <w:keepLines w:val="0"/>
              <w:suppressLineNumbers w:val="0"/>
              <w:spacing w:before="0" w:beforeAutospacing="0" w:after="0" w:afterAutospacing="0" w:line="34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2  ……</w:t>
            </w:r>
          </w:p>
          <w:p w14:paraId="51873B63">
            <w:pPr>
              <w:keepNext w:val="0"/>
              <w:keepLines w:val="0"/>
              <w:suppressLineNumbers w:val="0"/>
              <w:spacing w:before="0" w:beforeAutospacing="0" w:after="0" w:afterAutospacing="0" w:line="34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3  ……</w:t>
            </w:r>
          </w:p>
          <w:p w14:paraId="7E566251">
            <w:pPr>
              <w:keepNext w:val="0"/>
              <w:keepLines w:val="0"/>
              <w:suppressLineNumbers w:val="0"/>
              <w:spacing w:before="0" w:beforeAutospacing="0" w:after="0" w:afterAutospacing="0" w:line="34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14:paraId="5A3644C4">
            <w:pPr>
              <w:keepNext w:val="0"/>
              <w:keepLines w:val="0"/>
              <w:suppressLineNumbers w:val="0"/>
              <w:spacing w:before="0" w:beforeAutospacing="0" w:after="0" w:afterAutospacing="0" w:line="34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1  ……</w:t>
            </w:r>
          </w:p>
          <w:p w14:paraId="6930B3F2">
            <w:pPr>
              <w:keepNext w:val="0"/>
              <w:keepLines w:val="0"/>
              <w:suppressLineNumbers w:val="0"/>
              <w:spacing w:before="0" w:beforeAutospacing="0" w:after="0" w:afterAutospacing="0" w:line="34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2  ……</w:t>
            </w:r>
          </w:p>
          <w:p w14:paraId="2F874C7D">
            <w:pPr>
              <w:keepNext w:val="0"/>
              <w:keepLines w:val="0"/>
              <w:suppressLineNumbers w:val="0"/>
              <w:spacing w:before="0" w:beforeAutospacing="0" w:after="0" w:afterAutospacing="0" w:line="34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3  ……</w:t>
            </w:r>
          </w:p>
          <w:p w14:paraId="79203DC6">
            <w:pPr>
              <w:keepNext w:val="0"/>
              <w:keepLines w:val="0"/>
              <w:suppressLineNumbers w:val="0"/>
              <w:spacing w:before="0" w:beforeAutospacing="0" w:after="0" w:afterAutospacing="0" w:line="34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14:paraId="26DEAA4D">
            <w:pPr>
              <w:keepNext w:val="0"/>
              <w:keepLines w:val="0"/>
              <w:suppressLineNumbers w:val="0"/>
              <w:spacing w:before="0" w:beforeAutospacing="0" w:after="0" w:afterAutospacing="0" w:line="30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正偏离（负偏离或无偏离）</w:t>
            </w:r>
          </w:p>
        </w:tc>
      </w:tr>
      <w:tr w14:paraId="74DA0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0A97D057">
            <w:pPr>
              <w:keepNext w:val="0"/>
              <w:keepLines w:val="0"/>
              <w:suppressLineNumbers w:val="0"/>
              <w:spacing w:before="0" w:beforeAutospacing="0" w:after="0" w:afterAutospacing="0" w:line="34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二</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2637515B">
            <w:pPr>
              <w:keepNext w:val="0"/>
              <w:keepLines w:val="0"/>
              <w:suppressLineNumbers w:val="0"/>
              <w:spacing w:before="0" w:beforeAutospacing="0" w:after="0" w:afterAutospacing="0" w:line="34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1  ……</w:t>
            </w:r>
          </w:p>
          <w:p w14:paraId="6099B2D1">
            <w:pPr>
              <w:keepNext w:val="0"/>
              <w:keepLines w:val="0"/>
              <w:suppressLineNumbers w:val="0"/>
              <w:spacing w:before="0" w:beforeAutospacing="0" w:after="0" w:afterAutospacing="0" w:line="34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2  ……</w:t>
            </w:r>
          </w:p>
          <w:p w14:paraId="571CFC1D">
            <w:pPr>
              <w:keepNext w:val="0"/>
              <w:keepLines w:val="0"/>
              <w:suppressLineNumbers w:val="0"/>
              <w:spacing w:before="0" w:beforeAutospacing="0" w:after="0" w:afterAutospacing="0" w:line="34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3  ……</w:t>
            </w:r>
          </w:p>
          <w:p w14:paraId="7A215EE0">
            <w:pPr>
              <w:keepNext w:val="0"/>
              <w:keepLines w:val="0"/>
              <w:suppressLineNumbers w:val="0"/>
              <w:spacing w:before="0" w:beforeAutospacing="0" w:after="0" w:afterAutospacing="0" w:line="34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14:paraId="3A34C1F8">
            <w:pPr>
              <w:keepNext w:val="0"/>
              <w:keepLines w:val="0"/>
              <w:suppressLineNumbers w:val="0"/>
              <w:spacing w:before="0" w:beforeAutospacing="0" w:after="0" w:afterAutospacing="0" w:line="34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1  ……</w:t>
            </w:r>
          </w:p>
          <w:p w14:paraId="53D28F9D">
            <w:pPr>
              <w:keepNext w:val="0"/>
              <w:keepLines w:val="0"/>
              <w:suppressLineNumbers w:val="0"/>
              <w:spacing w:before="0" w:beforeAutospacing="0" w:after="0" w:afterAutospacing="0" w:line="34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2  ……</w:t>
            </w:r>
          </w:p>
          <w:p w14:paraId="659DF5F3">
            <w:pPr>
              <w:keepNext w:val="0"/>
              <w:keepLines w:val="0"/>
              <w:suppressLineNumbers w:val="0"/>
              <w:spacing w:before="0" w:beforeAutospacing="0" w:after="0" w:afterAutospacing="0" w:line="34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3  ……</w:t>
            </w:r>
          </w:p>
          <w:p w14:paraId="12B317C6">
            <w:pPr>
              <w:keepNext w:val="0"/>
              <w:keepLines w:val="0"/>
              <w:suppressLineNumbers w:val="0"/>
              <w:spacing w:before="0" w:beforeAutospacing="0" w:after="0" w:afterAutospacing="0" w:line="34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14:paraId="3EDE9615">
            <w:pPr>
              <w:keepNext w:val="0"/>
              <w:keepLines w:val="0"/>
              <w:suppressLineNumbers w:val="0"/>
              <w:spacing w:before="0" w:beforeAutospacing="0" w:after="0" w:afterAutospacing="0" w:line="30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正偏离（负偏离或无偏离）</w:t>
            </w:r>
          </w:p>
        </w:tc>
      </w:tr>
      <w:tr w14:paraId="5626D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2E644894">
            <w:pPr>
              <w:keepNext w:val="0"/>
              <w:keepLines w:val="0"/>
              <w:suppressLineNumbers w:val="0"/>
              <w:spacing w:before="0" w:beforeAutospacing="0" w:after="0" w:afterAutospacing="0" w:line="34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7C464F77">
            <w:pPr>
              <w:keepNext w:val="0"/>
              <w:keepLines w:val="0"/>
              <w:suppressLineNumbers w:val="0"/>
              <w:spacing w:before="0" w:beforeAutospacing="0" w:after="0" w:afterAutospacing="0" w:line="34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1  ……</w:t>
            </w:r>
          </w:p>
          <w:p w14:paraId="5D6E8D25">
            <w:pPr>
              <w:keepNext w:val="0"/>
              <w:keepLines w:val="0"/>
              <w:suppressLineNumbers w:val="0"/>
              <w:spacing w:before="0" w:beforeAutospacing="0" w:after="0" w:afterAutospacing="0" w:line="34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2  ……</w:t>
            </w:r>
          </w:p>
          <w:p w14:paraId="19EB9127">
            <w:pPr>
              <w:keepNext w:val="0"/>
              <w:keepLines w:val="0"/>
              <w:suppressLineNumbers w:val="0"/>
              <w:spacing w:before="0" w:beforeAutospacing="0" w:after="0" w:afterAutospacing="0" w:line="34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3  ……</w:t>
            </w:r>
          </w:p>
          <w:p w14:paraId="1596528E">
            <w:pPr>
              <w:keepNext w:val="0"/>
              <w:keepLines w:val="0"/>
              <w:suppressLineNumbers w:val="0"/>
              <w:spacing w:before="0" w:beforeAutospacing="0" w:after="0" w:afterAutospacing="0" w:line="34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14:paraId="0144A0D9">
            <w:pPr>
              <w:keepNext w:val="0"/>
              <w:keepLines w:val="0"/>
              <w:suppressLineNumbers w:val="0"/>
              <w:spacing w:before="0" w:beforeAutospacing="0" w:after="0" w:afterAutospacing="0" w:line="34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1  ……</w:t>
            </w:r>
          </w:p>
          <w:p w14:paraId="13A8A42D">
            <w:pPr>
              <w:keepNext w:val="0"/>
              <w:keepLines w:val="0"/>
              <w:suppressLineNumbers w:val="0"/>
              <w:spacing w:before="0" w:beforeAutospacing="0" w:after="0" w:afterAutospacing="0" w:line="34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2  ……</w:t>
            </w:r>
          </w:p>
          <w:p w14:paraId="1947EC56">
            <w:pPr>
              <w:keepNext w:val="0"/>
              <w:keepLines w:val="0"/>
              <w:suppressLineNumbers w:val="0"/>
              <w:spacing w:before="0" w:beforeAutospacing="0" w:after="0" w:afterAutospacing="0" w:line="34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3  ……</w:t>
            </w:r>
          </w:p>
          <w:p w14:paraId="0A97AB1B">
            <w:pPr>
              <w:keepNext w:val="0"/>
              <w:keepLines w:val="0"/>
              <w:suppressLineNumbers w:val="0"/>
              <w:spacing w:before="0" w:beforeAutospacing="0" w:after="0" w:afterAutospacing="0" w:line="34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14:paraId="2BB0E12B">
            <w:pPr>
              <w:keepNext w:val="0"/>
              <w:keepLines w:val="0"/>
              <w:suppressLineNumbers w:val="0"/>
              <w:spacing w:before="0" w:beforeAutospacing="0" w:after="0" w:afterAutospacing="0" w:line="30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正偏离（负偏离或无偏离）</w:t>
            </w:r>
          </w:p>
        </w:tc>
      </w:tr>
      <w:tr w14:paraId="2C315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480" w:type="dxa"/>
            <w:gridSpan w:val="4"/>
            <w:tcBorders>
              <w:top w:val="single" w:color="auto" w:sz="4" w:space="0"/>
              <w:left w:val="single" w:color="auto" w:sz="4" w:space="0"/>
              <w:bottom w:val="single" w:color="auto" w:sz="4" w:space="0"/>
              <w:right w:val="single" w:color="auto" w:sz="4" w:space="0"/>
            </w:tcBorders>
            <w:noWrap w:val="0"/>
            <w:vAlign w:val="top"/>
          </w:tcPr>
          <w:p w14:paraId="51B09B38">
            <w:pPr>
              <w:keepNext w:val="0"/>
              <w:keepLines w:val="0"/>
              <w:suppressLineNumbers w:val="0"/>
              <w:spacing w:before="0" w:beforeAutospacing="0" w:after="0" w:afterAutospacing="0" w:line="340" w:lineRule="exact"/>
              <w:ind w:left="0" w:right="0"/>
              <w:rPr>
                <w:rFonts w:hint="default" w:ascii="宋体" w:hAnsi="宋体" w:cs="Times New Roman"/>
                <w:color w:val="auto"/>
                <w:szCs w:val="21"/>
                <w:highlight w:val="none"/>
              </w:rPr>
            </w:pP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分标（此处有分标时填写具体分标号，无分标时填写“无”）</w:t>
            </w:r>
          </w:p>
        </w:tc>
      </w:tr>
    </w:tbl>
    <w:p w14:paraId="3CA630A8">
      <w:pPr>
        <w:spacing w:line="360" w:lineRule="auto"/>
        <w:ind w:left="-708" w:leftChars="-337"/>
        <w:rPr>
          <w:rFonts w:hint="eastAsia"/>
          <w:color w:val="auto"/>
          <w:szCs w:val="20"/>
          <w:highlight w:val="none"/>
        </w:rPr>
      </w:pPr>
    </w:p>
    <w:p w14:paraId="5F8077C9">
      <w:pPr>
        <w:spacing w:line="360" w:lineRule="auto"/>
        <w:ind w:left="-708" w:leftChars="-337"/>
        <w:rPr>
          <w:color w:val="auto"/>
          <w:szCs w:val="20"/>
          <w:highlight w:val="none"/>
        </w:rPr>
      </w:pPr>
      <w:r>
        <w:rPr>
          <w:rFonts w:hint="eastAsia"/>
          <w:color w:val="auto"/>
          <w:szCs w:val="20"/>
          <w:highlight w:val="none"/>
        </w:rPr>
        <w:t>注：</w:t>
      </w:r>
    </w:p>
    <w:p w14:paraId="17E79DBF">
      <w:pPr>
        <w:spacing w:line="360" w:lineRule="auto"/>
        <w:ind w:left="-708" w:leftChars="-337" w:firstLine="420" w:firstLineChars="200"/>
        <w:rPr>
          <w:color w:val="auto"/>
          <w:szCs w:val="20"/>
          <w:highlight w:val="none"/>
        </w:rPr>
      </w:pPr>
      <w:r>
        <w:rPr>
          <w:color w:val="auto"/>
          <w:szCs w:val="20"/>
          <w:highlight w:val="none"/>
        </w:rPr>
        <w:t>1.</w:t>
      </w:r>
      <w:r>
        <w:rPr>
          <w:rFonts w:hint="eastAsia"/>
          <w:color w:val="auto"/>
          <w:szCs w:val="20"/>
          <w:highlight w:val="none"/>
        </w:rPr>
        <w:t>表格内容均需按要求填写并盖章。</w:t>
      </w:r>
    </w:p>
    <w:p w14:paraId="35135A87">
      <w:pPr>
        <w:spacing w:line="360" w:lineRule="auto"/>
        <w:ind w:left="-708" w:leftChars="-337" w:firstLine="420" w:firstLineChars="200"/>
        <w:rPr>
          <w:color w:val="auto"/>
          <w:szCs w:val="20"/>
          <w:highlight w:val="none"/>
        </w:rPr>
      </w:pPr>
      <w:r>
        <w:rPr>
          <w:rFonts w:hint="eastAsia"/>
          <w:color w:val="auto"/>
          <w:szCs w:val="20"/>
          <w:highlight w:val="none"/>
          <w:lang w:val="en-US" w:eastAsia="zh-CN"/>
        </w:rPr>
        <w:t>2</w:t>
      </w:r>
      <w:r>
        <w:rPr>
          <w:color w:val="auto"/>
          <w:szCs w:val="20"/>
          <w:highlight w:val="none"/>
        </w:rPr>
        <w:t>.</w:t>
      </w:r>
      <w:r>
        <w:rPr>
          <w:rFonts w:hint="eastAsia"/>
          <w:color w:val="auto"/>
          <w:szCs w:val="20"/>
          <w:highlight w:val="none"/>
        </w:rPr>
        <w:t>当投标文件的商务内容低于招标文件要求时，投标人应当如实写明“负偏离”，否则视为虚假应标。</w:t>
      </w:r>
    </w:p>
    <w:p w14:paraId="4D392CD2">
      <w:pPr>
        <w:spacing w:line="360" w:lineRule="auto"/>
        <w:ind w:left="-708" w:leftChars="-337" w:firstLine="420" w:firstLineChars="200"/>
        <w:rPr>
          <w:color w:val="auto"/>
          <w:szCs w:val="20"/>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.采购需求中带“▲”及“★”的条款，也要分别在本表“</w:t>
      </w:r>
      <w:r>
        <w:rPr>
          <w:rFonts w:hint="eastAsia" w:ascii="宋体" w:hAnsi="宋体"/>
          <w:color w:val="auto"/>
          <w:szCs w:val="21"/>
          <w:highlight w:val="none"/>
        </w:rPr>
        <w:t>投标文件的商务需求</w:t>
      </w:r>
      <w:r>
        <w:rPr>
          <w:rFonts w:hint="eastAsia" w:ascii="宋体" w:hAnsi="宋体" w:cs="宋体"/>
          <w:color w:val="auto"/>
          <w:szCs w:val="21"/>
          <w:highlight w:val="none"/>
        </w:rPr>
        <w:t>”、“</w:t>
      </w:r>
      <w:r>
        <w:rPr>
          <w:rFonts w:hint="eastAsia" w:ascii="宋体" w:hAnsi="宋体"/>
          <w:color w:val="auto"/>
          <w:szCs w:val="21"/>
          <w:highlight w:val="none"/>
        </w:rPr>
        <w:t>投标文件承诺的商务条款</w:t>
      </w:r>
      <w:r>
        <w:rPr>
          <w:rFonts w:hint="eastAsia" w:ascii="宋体" w:hAnsi="宋体" w:cs="宋体"/>
          <w:color w:val="auto"/>
          <w:szCs w:val="21"/>
          <w:highlight w:val="none"/>
        </w:rPr>
        <w:t>”中标记。</w:t>
      </w:r>
    </w:p>
    <w:p w14:paraId="2F33BFEA">
      <w:pPr>
        <w:snapToGrid w:val="0"/>
        <w:spacing w:before="50" w:after="50"/>
        <w:rPr>
          <w:rFonts w:ascii="宋体" w:hAnsi="宋体"/>
          <w:color w:val="auto"/>
          <w:sz w:val="24"/>
          <w:highlight w:val="none"/>
        </w:rPr>
      </w:pPr>
    </w:p>
    <w:p w14:paraId="2D150108">
      <w:pPr>
        <w:snapToGrid w:val="0"/>
        <w:spacing w:line="360" w:lineRule="auto"/>
        <w:ind w:firstLine="4935" w:firstLineChars="2350"/>
        <w:rPr>
          <w:rFonts w:hint="eastAsia" w:ascii="仿宋_GB2312" w:hAnsi="仿宋" w:eastAsia="仿宋_GB2312" w:cs="仿宋_GB2312"/>
          <w:color w:val="auto"/>
          <w:kern w:val="0"/>
          <w:sz w:val="24"/>
          <w:highlight w:val="none"/>
        </w:rPr>
      </w:pPr>
      <w:r>
        <w:rPr>
          <w:rFonts w:hAnsi="宋体"/>
          <w:color w:val="auto"/>
          <w:szCs w:val="21"/>
          <w:highlight w:val="none"/>
        </w:rPr>
        <w:t xml:space="preserve">  </w:t>
      </w:r>
      <w:r>
        <w:rPr>
          <w:rFonts w:hint="eastAsia" w:ascii="仿宋_GB2312" w:hAnsi="仿宋" w:eastAsia="仿宋_GB2312" w:cs="仿宋_GB2312"/>
          <w:color w:val="auto"/>
          <w:kern w:val="0"/>
          <w:sz w:val="24"/>
          <w:highlight w:val="none"/>
          <w:lang w:val="zh-CN"/>
        </w:rPr>
        <w:t>投标人名称(电子签章)：</w:t>
      </w:r>
    </w:p>
    <w:p w14:paraId="116B61F6">
      <w:pPr>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55B5B44C">
      <w:pPr>
        <w:widowControl/>
        <w:jc w:val="left"/>
        <w:rPr>
          <w:rFonts w:ascii="宋体" w:hAnsi="宋体"/>
          <w:color w:val="auto"/>
          <w:szCs w:val="21"/>
          <w:highlight w:val="none"/>
        </w:rPr>
        <w:sectPr>
          <w:pgSz w:w="11906" w:h="16838"/>
          <w:pgMar w:top="1440" w:right="1797" w:bottom="1440" w:left="1797" w:header="851" w:footer="992" w:gutter="0"/>
          <w:cols w:space="720" w:num="1"/>
        </w:sectPr>
      </w:pPr>
    </w:p>
    <w:p w14:paraId="4FB54C84">
      <w:pPr>
        <w:snapToGrid w:val="0"/>
        <w:spacing w:before="165" w:beforeLines="50" w:after="50"/>
        <w:ind w:firstLine="602" w:firstLineChars="200"/>
        <w:jc w:val="center"/>
        <w:rPr>
          <w:rFonts w:hint="eastAsia"/>
          <w:b/>
          <w:bCs/>
          <w:color w:val="auto"/>
          <w:sz w:val="30"/>
          <w:szCs w:val="30"/>
          <w:highlight w:val="none"/>
        </w:rPr>
      </w:pPr>
      <w:r>
        <w:rPr>
          <w:rFonts w:hint="eastAsia"/>
          <w:b/>
          <w:bCs/>
          <w:color w:val="auto"/>
          <w:sz w:val="30"/>
          <w:szCs w:val="30"/>
          <w:highlight w:val="none"/>
        </w:rPr>
        <w:t>五、投标人情况介绍</w:t>
      </w:r>
    </w:p>
    <w:p w14:paraId="684DB8AB">
      <w:pPr>
        <w:spacing w:line="360" w:lineRule="auto"/>
        <w:ind w:firstLine="4048" w:firstLineChars="1687"/>
        <w:rPr>
          <w:rFonts w:ascii="仿宋_GB2312" w:hAnsi="仿宋" w:eastAsia="仿宋_GB2312" w:cs="仿宋_GB2312"/>
          <w:color w:val="auto"/>
          <w:kern w:val="0"/>
          <w:sz w:val="24"/>
          <w:highlight w:val="none"/>
        </w:rPr>
      </w:pPr>
      <w:r>
        <w:rPr>
          <w:rFonts w:hint="eastAsia" w:ascii="宋体" w:hAnsi="宋体"/>
          <w:color w:val="auto"/>
          <w:sz w:val="24"/>
          <w:highlight w:val="none"/>
        </w:rPr>
        <w:t>（格式自拟）</w:t>
      </w:r>
    </w:p>
    <w:p w14:paraId="2E0F357F">
      <w:pPr>
        <w:snapToGrid w:val="0"/>
        <w:spacing w:line="360" w:lineRule="auto"/>
        <w:ind w:firstLine="4935" w:firstLineChars="2350"/>
        <w:rPr>
          <w:rFonts w:hint="eastAsia" w:hAnsi="宋体"/>
          <w:color w:val="auto"/>
          <w:szCs w:val="21"/>
          <w:highlight w:val="none"/>
        </w:rPr>
      </w:pPr>
      <w:r>
        <w:rPr>
          <w:rFonts w:hAnsi="宋体"/>
          <w:color w:val="auto"/>
          <w:szCs w:val="21"/>
          <w:highlight w:val="none"/>
        </w:rPr>
        <w:t xml:space="preserve"> </w:t>
      </w:r>
    </w:p>
    <w:p w14:paraId="2C7183CD">
      <w:pPr>
        <w:snapToGrid w:val="0"/>
        <w:spacing w:line="360" w:lineRule="auto"/>
        <w:ind w:firstLine="4935" w:firstLineChars="2350"/>
        <w:rPr>
          <w:rFonts w:hAnsi="宋体"/>
          <w:color w:val="auto"/>
          <w:szCs w:val="21"/>
          <w:highlight w:val="none"/>
        </w:rPr>
      </w:pPr>
    </w:p>
    <w:p w14:paraId="09618A28">
      <w:pPr>
        <w:snapToGrid w:val="0"/>
        <w:spacing w:line="360" w:lineRule="auto"/>
        <w:ind w:firstLine="4935" w:firstLineChars="2350"/>
        <w:rPr>
          <w:rFonts w:hAnsi="宋体"/>
          <w:color w:val="auto"/>
          <w:szCs w:val="21"/>
          <w:highlight w:val="none"/>
        </w:rPr>
      </w:pPr>
    </w:p>
    <w:p w14:paraId="645D97A1">
      <w:pPr>
        <w:snapToGrid w:val="0"/>
        <w:spacing w:line="360" w:lineRule="auto"/>
        <w:ind w:firstLine="4935" w:firstLineChars="2350"/>
        <w:rPr>
          <w:rFonts w:hAnsi="宋体"/>
          <w:color w:val="auto"/>
          <w:szCs w:val="21"/>
          <w:highlight w:val="none"/>
        </w:rPr>
      </w:pPr>
    </w:p>
    <w:p w14:paraId="1F83E7FA">
      <w:pPr>
        <w:snapToGrid w:val="0"/>
        <w:spacing w:line="360" w:lineRule="auto"/>
        <w:ind w:firstLine="4935" w:firstLineChars="2350"/>
        <w:rPr>
          <w:rFonts w:ascii="仿宋_GB2312" w:hAnsi="仿宋" w:eastAsia="仿宋_GB2312" w:cs="仿宋_GB2312"/>
          <w:color w:val="auto"/>
          <w:kern w:val="0"/>
          <w:sz w:val="24"/>
          <w:highlight w:val="none"/>
        </w:rPr>
      </w:pPr>
      <w:r>
        <w:rPr>
          <w:rFonts w:hAnsi="宋体"/>
          <w:color w:val="auto"/>
          <w:szCs w:val="21"/>
          <w:highlight w:val="none"/>
        </w:rPr>
        <w:t xml:space="preserve">  </w:t>
      </w:r>
      <w:r>
        <w:rPr>
          <w:rFonts w:hint="eastAsia" w:ascii="仿宋_GB2312" w:hAnsi="仿宋" w:eastAsia="仿宋_GB2312" w:cs="仿宋_GB2312"/>
          <w:color w:val="auto"/>
          <w:kern w:val="0"/>
          <w:sz w:val="24"/>
          <w:highlight w:val="none"/>
          <w:lang w:val="zh-CN"/>
        </w:rPr>
        <w:t>投标人名称(电子签章)：</w:t>
      </w:r>
    </w:p>
    <w:p w14:paraId="0D3C9765">
      <w:pPr>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74F19FC6">
      <w:pPr>
        <w:snapToGrid w:val="0"/>
        <w:spacing w:before="165" w:beforeLines="50" w:after="50"/>
        <w:ind w:firstLine="602" w:firstLineChars="200"/>
        <w:jc w:val="center"/>
        <w:rPr>
          <w:rFonts w:hint="eastAsia"/>
          <w:b/>
          <w:bCs/>
          <w:color w:val="auto"/>
          <w:sz w:val="30"/>
          <w:szCs w:val="30"/>
          <w:highlight w:val="none"/>
        </w:rPr>
      </w:pPr>
    </w:p>
    <w:p w14:paraId="1C95FA82">
      <w:pPr>
        <w:widowControl/>
        <w:jc w:val="left"/>
        <w:rPr>
          <w:b/>
          <w:bCs/>
          <w:color w:val="auto"/>
          <w:sz w:val="30"/>
          <w:szCs w:val="30"/>
          <w:highlight w:val="none"/>
        </w:rPr>
        <w:sectPr>
          <w:pgSz w:w="11906" w:h="16838"/>
          <w:pgMar w:top="1134" w:right="1134" w:bottom="1134" w:left="1134" w:header="720" w:footer="720" w:gutter="0"/>
          <w:cols w:space="720" w:num="1"/>
          <w:docGrid w:type="lines" w:linePitch="331" w:charSpace="0"/>
        </w:sectPr>
      </w:pPr>
    </w:p>
    <w:p w14:paraId="4EC0951B">
      <w:pPr>
        <w:snapToGrid w:val="0"/>
        <w:spacing w:before="165" w:beforeLines="50" w:after="50"/>
        <w:ind w:firstLine="602" w:firstLineChars="200"/>
        <w:jc w:val="center"/>
        <w:rPr>
          <w:b/>
          <w:bCs/>
          <w:color w:val="auto"/>
          <w:sz w:val="30"/>
          <w:szCs w:val="30"/>
          <w:highlight w:val="none"/>
        </w:rPr>
      </w:pPr>
      <w:r>
        <w:rPr>
          <w:rFonts w:hint="eastAsia"/>
          <w:b/>
          <w:bCs/>
          <w:color w:val="auto"/>
          <w:sz w:val="30"/>
          <w:szCs w:val="30"/>
          <w:highlight w:val="none"/>
        </w:rPr>
        <w:t>六、投标人类似的业绩证明文件（如有要求）</w:t>
      </w:r>
    </w:p>
    <w:p w14:paraId="30803B1A">
      <w:pPr>
        <w:pStyle w:val="26"/>
        <w:snapToGrid w:val="0"/>
        <w:ind w:left="480" w:hanging="480"/>
        <w:rPr>
          <w:rFonts w:ascii="宋体" w:hAnsi="宋体"/>
          <w:color w:val="auto"/>
          <w:sz w:val="24"/>
          <w:highlight w:val="none"/>
        </w:rPr>
      </w:pPr>
    </w:p>
    <w:p w14:paraId="5EC4AFA1">
      <w:pPr>
        <w:pStyle w:val="26"/>
        <w:snapToGrid w:val="0"/>
        <w:ind w:left="480" w:hanging="480"/>
        <w:rPr>
          <w:rFonts w:hint="eastAsia" w:ascii="宋体" w:hAnsi="宋体"/>
          <w:color w:val="auto"/>
          <w:sz w:val="24"/>
          <w:highlight w:val="none"/>
        </w:rPr>
      </w:pPr>
    </w:p>
    <w:p w14:paraId="1CED6509">
      <w:pPr>
        <w:pStyle w:val="26"/>
        <w:snapToGrid w:val="0"/>
        <w:ind w:left="480" w:hanging="480"/>
        <w:rPr>
          <w:rFonts w:hint="eastAsia" w:ascii="宋体" w:hAnsi="宋体"/>
          <w:color w:val="auto"/>
          <w:sz w:val="24"/>
          <w:highlight w:val="none"/>
        </w:rPr>
      </w:pPr>
    </w:p>
    <w:p w14:paraId="509C5380">
      <w:pPr>
        <w:autoSpaceDE w:val="0"/>
        <w:autoSpaceDN w:val="0"/>
        <w:spacing w:line="360" w:lineRule="auto"/>
        <w:ind w:firstLine="120"/>
        <w:rPr>
          <w:rFonts w:hint="eastAsia" w:ascii="宋体" w:hAnsi="宋体"/>
          <w:color w:val="auto"/>
          <w:sz w:val="24"/>
          <w:highlight w:val="none"/>
        </w:rPr>
      </w:pPr>
      <w:r>
        <w:rPr>
          <w:rFonts w:hint="eastAsia" w:ascii="仿宋_GB2312" w:hAnsi="仿宋" w:eastAsia="仿宋_GB2312" w:cs="仿宋_GB2312"/>
          <w:b/>
          <w:color w:val="auto"/>
          <w:sz w:val="24"/>
          <w:highlight w:val="none"/>
        </w:rPr>
        <w:t>附表 ：相关项目业绩一览表</w:t>
      </w:r>
    </w:p>
    <w:tbl>
      <w:tblPr>
        <w:tblStyle w:val="33"/>
        <w:tblW w:w="0" w:type="auto"/>
        <w:tblInd w:w="-1"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28"/>
        <w:gridCol w:w="3420"/>
        <w:gridCol w:w="1715"/>
        <w:gridCol w:w="2282"/>
        <w:gridCol w:w="2254"/>
        <w:gridCol w:w="2268"/>
      </w:tblGrid>
      <w:tr w14:paraId="65F8A5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2628" w:type="dxa"/>
            <w:vMerge w:val="restart"/>
            <w:tcBorders>
              <w:top w:val="single" w:color="auto" w:sz="4" w:space="0"/>
              <w:left w:val="single" w:color="auto" w:sz="4" w:space="0"/>
              <w:bottom w:val="single" w:color="auto" w:sz="4" w:space="0"/>
              <w:right w:val="single" w:color="auto" w:sz="4" w:space="0"/>
            </w:tcBorders>
            <w:noWrap w:val="0"/>
            <w:vAlign w:val="center"/>
          </w:tcPr>
          <w:p w14:paraId="0763182C">
            <w:pPr>
              <w:keepNext w:val="0"/>
              <w:keepLines w:val="0"/>
              <w:suppressLineNumbers w:val="0"/>
              <w:snapToGrid w:val="0"/>
              <w:spacing w:before="0" w:beforeAutospacing="0" w:after="0" w:afterAutospacing="0" w:line="240" w:lineRule="exact"/>
              <w:ind w:left="0" w:right="0"/>
              <w:jc w:val="center"/>
              <w:rPr>
                <w:rFonts w:hint="default" w:ascii="宋体" w:hAnsi="宋体" w:cs="Times New Roman"/>
                <w:color w:val="auto"/>
                <w:sz w:val="24"/>
                <w:highlight w:val="none"/>
              </w:rPr>
            </w:pPr>
            <w:r>
              <w:rPr>
                <w:rFonts w:hint="eastAsia" w:ascii="宋体" w:hAnsi="宋体" w:cs="Times New Roman"/>
                <w:color w:val="auto"/>
                <w:sz w:val="24"/>
                <w:highlight w:val="none"/>
              </w:rPr>
              <w:t>采购人名称</w:t>
            </w:r>
          </w:p>
        </w:tc>
        <w:tc>
          <w:tcPr>
            <w:tcW w:w="3420" w:type="dxa"/>
            <w:vMerge w:val="restart"/>
            <w:tcBorders>
              <w:top w:val="single" w:color="auto" w:sz="4" w:space="0"/>
              <w:left w:val="single" w:color="auto" w:sz="4" w:space="0"/>
              <w:bottom w:val="single" w:color="auto" w:sz="4" w:space="0"/>
              <w:right w:val="single" w:color="auto" w:sz="4" w:space="0"/>
            </w:tcBorders>
            <w:noWrap w:val="0"/>
            <w:vAlign w:val="center"/>
          </w:tcPr>
          <w:p w14:paraId="0D6032A9">
            <w:pPr>
              <w:keepNext w:val="0"/>
              <w:keepLines w:val="0"/>
              <w:suppressLineNumbers w:val="0"/>
              <w:snapToGrid w:val="0"/>
              <w:spacing w:before="0" w:beforeAutospacing="0" w:after="0" w:afterAutospacing="0" w:line="240" w:lineRule="exact"/>
              <w:ind w:left="0" w:right="0"/>
              <w:jc w:val="center"/>
              <w:rPr>
                <w:rFonts w:hint="default" w:ascii="宋体" w:hAnsi="宋体" w:cs="Times New Roman"/>
                <w:color w:val="auto"/>
                <w:sz w:val="24"/>
                <w:highlight w:val="none"/>
              </w:rPr>
            </w:pPr>
            <w:r>
              <w:rPr>
                <w:rFonts w:hint="eastAsia" w:ascii="宋体" w:hAnsi="宋体" w:cs="Times New Roman"/>
                <w:color w:val="auto"/>
                <w:sz w:val="24"/>
                <w:highlight w:val="none"/>
              </w:rPr>
              <w:t>项目名称</w:t>
            </w:r>
          </w:p>
        </w:tc>
        <w:tc>
          <w:tcPr>
            <w:tcW w:w="1715" w:type="dxa"/>
            <w:vMerge w:val="restart"/>
            <w:tcBorders>
              <w:top w:val="single" w:color="auto" w:sz="4" w:space="0"/>
              <w:left w:val="single" w:color="auto" w:sz="4" w:space="0"/>
              <w:bottom w:val="single" w:color="auto" w:sz="4" w:space="0"/>
              <w:right w:val="single" w:color="auto" w:sz="4" w:space="0"/>
            </w:tcBorders>
            <w:noWrap w:val="0"/>
            <w:vAlign w:val="center"/>
          </w:tcPr>
          <w:p w14:paraId="3B080AE2">
            <w:pPr>
              <w:keepNext w:val="0"/>
              <w:keepLines w:val="0"/>
              <w:suppressLineNumbers w:val="0"/>
              <w:snapToGrid w:val="0"/>
              <w:spacing w:before="0" w:beforeAutospacing="0" w:after="0" w:afterAutospacing="0" w:line="240" w:lineRule="exact"/>
              <w:ind w:left="0" w:right="0"/>
              <w:jc w:val="center"/>
              <w:rPr>
                <w:rFonts w:hint="default" w:ascii="宋体" w:hAnsi="宋体" w:cs="Times New Roman"/>
                <w:color w:val="auto"/>
                <w:sz w:val="24"/>
                <w:highlight w:val="none"/>
              </w:rPr>
            </w:pPr>
            <w:r>
              <w:rPr>
                <w:rFonts w:hint="eastAsia" w:ascii="宋体" w:hAnsi="宋体" w:cs="Times New Roman"/>
                <w:color w:val="auto"/>
                <w:sz w:val="24"/>
                <w:highlight w:val="none"/>
              </w:rPr>
              <w:t>合同</w:t>
            </w:r>
          </w:p>
          <w:p w14:paraId="3114B0EA">
            <w:pPr>
              <w:keepNext w:val="0"/>
              <w:keepLines w:val="0"/>
              <w:suppressLineNumbers w:val="0"/>
              <w:snapToGrid w:val="0"/>
              <w:spacing w:before="0" w:beforeAutospacing="0" w:after="0" w:afterAutospacing="0" w:line="240" w:lineRule="exact"/>
              <w:ind w:left="0" w:right="0"/>
              <w:jc w:val="center"/>
              <w:rPr>
                <w:rFonts w:hint="default" w:ascii="宋体" w:hAnsi="宋体" w:cs="Times New Roman"/>
                <w:color w:val="auto"/>
                <w:sz w:val="24"/>
                <w:highlight w:val="none"/>
              </w:rPr>
            </w:pPr>
            <w:r>
              <w:rPr>
                <w:rFonts w:hint="eastAsia" w:ascii="宋体" w:hAnsi="宋体" w:cs="Times New Roman"/>
                <w:color w:val="auto"/>
                <w:sz w:val="24"/>
                <w:highlight w:val="none"/>
              </w:rPr>
              <w:t>金额</w:t>
            </w:r>
          </w:p>
          <w:p w14:paraId="00173E3E">
            <w:pPr>
              <w:keepNext w:val="0"/>
              <w:keepLines w:val="0"/>
              <w:suppressLineNumbers w:val="0"/>
              <w:snapToGrid w:val="0"/>
              <w:spacing w:before="0" w:beforeAutospacing="0" w:after="0" w:afterAutospacing="0" w:line="240" w:lineRule="exact"/>
              <w:ind w:left="0" w:right="0"/>
              <w:jc w:val="center"/>
              <w:rPr>
                <w:rFonts w:hint="default" w:ascii="宋体" w:hAnsi="宋体" w:cs="Times New Roman"/>
                <w:color w:val="auto"/>
                <w:sz w:val="24"/>
                <w:highlight w:val="none"/>
              </w:rPr>
            </w:pPr>
            <w:r>
              <w:rPr>
                <w:rFonts w:hint="eastAsia" w:ascii="宋体" w:hAnsi="宋体" w:cs="Times New Roman"/>
                <w:color w:val="auto"/>
                <w:sz w:val="24"/>
                <w:highlight w:val="none"/>
              </w:rPr>
              <w:t>（万元）</w:t>
            </w:r>
          </w:p>
        </w:tc>
        <w:tc>
          <w:tcPr>
            <w:tcW w:w="4536" w:type="dxa"/>
            <w:gridSpan w:val="2"/>
            <w:tcBorders>
              <w:top w:val="single" w:color="auto" w:sz="4" w:space="0"/>
              <w:left w:val="single" w:color="auto" w:sz="4" w:space="0"/>
              <w:bottom w:val="single" w:color="auto" w:sz="4" w:space="0"/>
              <w:right w:val="single" w:color="auto" w:sz="4" w:space="0"/>
            </w:tcBorders>
            <w:noWrap w:val="0"/>
            <w:vAlign w:val="center"/>
          </w:tcPr>
          <w:p w14:paraId="1C50A92D">
            <w:pPr>
              <w:keepNext w:val="0"/>
              <w:keepLines w:val="0"/>
              <w:suppressLineNumbers w:val="0"/>
              <w:snapToGrid w:val="0"/>
              <w:spacing w:before="0" w:beforeAutospacing="0" w:after="0" w:afterAutospacing="0" w:line="240" w:lineRule="exact"/>
              <w:ind w:left="0" w:right="0"/>
              <w:jc w:val="center"/>
              <w:rPr>
                <w:rFonts w:hint="default" w:ascii="宋体" w:hAnsi="宋体" w:cs="Times New Roman"/>
                <w:color w:val="auto"/>
                <w:sz w:val="24"/>
                <w:highlight w:val="none"/>
              </w:rPr>
            </w:pPr>
            <w:r>
              <w:rPr>
                <w:rFonts w:hint="eastAsia" w:ascii="宋体" w:hAnsi="宋体" w:cs="Times New Roman"/>
                <w:color w:val="auto"/>
                <w:sz w:val="24"/>
                <w:highlight w:val="none"/>
              </w:rPr>
              <w:t>附件在投标文件中页码</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0F4707C4">
            <w:pPr>
              <w:keepNext w:val="0"/>
              <w:keepLines w:val="0"/>
              <w:suppressLineNumbers w:val="0"/>
              <w:snapToGrid w:val="0"/>
              <w:spacing w:before="0" w:beforeAutospacing="0" w:after="0" w:afterAutospacing="0" w:line="240" w:lineRule="exact"/>
              <w:ind w:left="0" w:right="0"/>
              <w:jc w:val="center"/>
              <w:rPr>
                <w:rFonts w:hint="default" w:ascii="宋体" w:hAnsi="宋体" w:cs="Times New Roman"/>
                <w:color w:val="auto"/>
                <w:sz w:val="24"/>
                <w:highlight w:val="none"/>
              </w:rPr>
            </w:pPr>
            <w:r>
              <w:rPr>
                <w:rFonts w:hint="eastAsia" w:ascii="宋体" w:hAnsi="宋体" w:cs="Times New Roman"/>
                <w:color w:val="auto"/>
                <w:sz w:val="24"/>
                <w:highlight w:val="none"/>
              </w:rPr>
              <w:t>采购人联系人及</w:t>
            </w:r>
          </w:p>
          <w:p w14:paraId="3D42ED1A">
            <w:pPr>
              <w:keepNext w:val="0"/>
              <w:keepLines w:val="0"/>
              <w:suppressLineNumbers w:val="0"/>
              <w:snapToGrid w:val="0"/>
              <w:spacing w:before="0" w:beforeAutospacing="0" w:after="0" w:afterAutospacing="0" w:line="240" w:lineRule="exact"/>
              <w:ind w:left="0" w:right="0"/>
              <w:jc w:val="center"/>
              <w:rPr>
                <w:rFonts w:hint="default" w:ascii="宋体" w:hAnsi="宋体" w:cs="Times New Roman"/>
                <w:color w:val="auto"/>
                <w:sz w:val="24"/>
                <w:highlight w:val="none"/>
              </w:rPr>
            </w:pPr>
            <w:r>
              <w:rPr>
                <w:rFonts w:hint="eastAsia" w:ascii="宋体" w:hAnsi="宋体" w:cs="Times New Roman"/>
                <w:color w:val="auto"/>
                <w:sz w:val="24"/>
                <w:highlight w:val="none"/>
              </w:rPr>
              <w:t>联系电话</w:t>
            </w:r>
          </w:p>
        </w:tc>
      </w:tr>
      <w:tr w14:paraId="141C57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2628" w:type="dxa"/>
            <w:vMerge w:val="continue"/>
            <w:tcBorders>
              <w:top w:val="single" w:color="auto" w:sz="4" w:space="0"/>
              <w:left w:val="single" w:color="auto" w:sz="4" w:space="0"/>
              <w:bottom w:val="single" w:color="auto" w:sz="4" w:space="0"/>
              <w:right w:val="single" w:color="auto" w:sz="4" w:space="0"/>
            </w:tcBorders>
            <w:noWrap w:val="0"/>
            <w:vAlign w:val="center"/>
          </w:tcPr>
          <w:p w14:paraId="16A13451">
            <w:pPr>
              <w:keepNext w:val="0"/>
              <w:keepLines w:val="0"/>
              <w:widowControl/>
              <w:suppressLineNumbers w:val="0"/>
              <w:spacing w:before="0" w:beforeAutospacing="0" w:after="0" w:afterAutospacing="0"/>
              <w:ind w:left="0" w:right="0"/>
              <w:jc w:val="left"/>
              <w:rPr>
                <w:rFonts w:hint="default" w:ascii="宋体" w:hAnsi="宋体" w:cs="Times New Roman"/>
                <w:color w:val="auto"/>
                <w:sz w:val="24"/>
                <w:highlight w:val="none"/>
              </w:rPr>
            </w:pPr>
          </w:p>
        </w:tc>
        <w:tc>
          <w:tcPr>
            <w:tcW w:w="3420" w:type="dxa"/>
            <w:vMerge w:val="continue"/>
            <w:tcBorders>
              <w:top w:val="single" w:color="auto" w:sz="4" w:space="0"/>
              <w:left w:val="single" w:color="auto" w:sz="4" w:space="0"/>
              <w:bottom w:val="single" w:color="auto" w:sz="4" w:space="0"/>
              <w:right w:val="single" w:color="auto" w:sz="4" w:space="0"/>
            </w:tcBorders>
            <w:noWrap w:val="0"/>
            <w:vAlign w:val="center"/>
          </w:tcPr>
          <w:p w14:paraId="3E9175DA">
            <w:pPr>
              <w:keepNext w:val="0"/>
              <w:keepLines w:val="0"/>
              <w:widowControl/>
              <w:suppressLineNumbers w:val="0"/>
              <w:spacing w:before="0" w:beforeAutospacing="0" w:after="0" w:afterAutospacing="0"/>
              <w:ind w:left="0" w:right="0"/>
              <w:jc w:val="left"/>
              <w:rPr>
                <w:rFonts w:hint="default" w:ascii="宋体" w:hAnsi="宋体" w:cs="Times New Roman"/>
                <w:color w:val="auto"/>
                <w:sz w:val="24"/>
                <w:highlight w:val="none"/>
              </w:rPr>
            </w:pPr>
          </w:p>
        </w:tc>
        <w:tc>
          <w:tcPr>
            <w:tcW w:w="1715" w:type="dxa"/>
            <w:vMerge w:val="continue"/>
            <w:tcBorders>
              <w:top w:val="single" w:color="auto" w:sz="4" w:space="0"/>
              <w:left w:val="single" w:color="auto" w:sz="4" w:space="0"/>
              <w:bottom w:val="single" w:color="auto" w:sz="4" w:space="0"/>
              <w:right w:val="single" w:color="auto" w:sz="4" w:space="0"/>
            </w:tcBorders>
            <w:noWrap w:val="0"/>
            <w:vAlign w:val="center"/>
          </w:tcPr>
          <w:p w14:paraId="6310CFFE">
            <w:pPr>
              <w:keepNext w:val="0"/>
              <w:keepLines w:val="0"/>
              <w:widowControl/>
              <w:suppressLineNumbers w:val="0"/>
              <w:spacing w:before="0" w:beforeAutospacing="0" w:after="0" w:afterAutospacing="0"/>
              <w:ind w:left="0" w:right="0"/>
              <w:jc w:val="left"/>
              <w:rPr>
                <w:rFonts w:hint="default" w:ascii="宋体" w:hAnsi="宋体" w:cs="Times New Roman"/>
                <w:color w:val="auto"/>
                <w:sz w:val="24"/>
                <w:highlight w:val="none"/>
              </w:rPr>
            </w:pPr>
          </w:p>
        </w:tc>
        <w:tc>
          <w:tcPr>
            <w:tcW w:w="2282" w:type="dxa"/>
            <w:tcBorders>
              <w:top w:val="single" w:color="auto" w:sz="4" w:space="0"/>
              <w:left w:val="single" w:color="auto" w:sz="4" w:space="0"/>
              <w:bottom w:val="single" w:color="auto" w:sz="4" w:space="0"/>
              <w:right w:val="single" w:color="auto" w:sz="4" w:space="0"/>
            </w:tcBorders>
            <w:noWrap w:val="0"/>
            <w:vAlign w:val="center"/>
          </w:tcPr>
          <w:p w14:paraId="2518E98A">
            <w:pPr>
              <w:keepNext w:val="0"/>
              <w:keepLines w:val="0"/>
              <w:suppressLineNumbers w:val="0"/>
              <w:snapToGrid w:val="0"/>
              <w:spacing w:before="0" w:beforeAutospacing="0" w:after="0" w:afterAutospacing="0" w:line="240" w:lineRule="exact"/>
              <w:ind w:left="0" w:right="0"/>
              <w:jc w:val="center"/>
              <w:rPr>
                <w:rFonts w:hint="default" w:ascii="宋体" w:hAnsi="宋体" w:cs="Times New Roman"/>
                <w:color w:val="auto"/>
                <w:sz w:val="24"/>
                <w:highlight w:val="none"/>
              </w:rPr>
            </w:pPr>
            <w:r>
              <w:rPr>
                <w:rFonts w:hint="eastAsia" w:ascii="宋体" w:hAnsi="宋体" w:cs="Times New Roman"/>
                <w:color w:val="auto"/>
                <w:sz w:val="24"/>
                <w:highlight w:val="none"/>
              </w:rPr>
              <w:t>合同</w:t>
            </w:r>
          </w:p>
        </w:tc>
        <w:tc>
          <w:tcPr>
            <w:tcW w:w="2254" w:type="dxa"/>
            <w:tcBorders>
              <w:top w:val="single" w:color="auto" w:sz="4" w:space="0"/>
              <w:left w:val="single" w:color="auto" w:sz="4" w:space="0"/>
              <w:bottom w:val="single" w:color="auto" w:sz="4" w:space="0"/>
              <w:right w:val="single" w:color="auto" w:sz="4" w:space="0"/>
            </w:tcBorders>
            <w:noWrap w:val="0"/>
            <w:vAlign w:val="center"/>
          </w:tcPr>
          <w:p w14:paraId="43D21206">
            <w:pPr>
              <w:keepNext w:val="0"/>
              <w:keepLines w:val="0"/>
              <w:suppressLineNumbers w:val="0"/>
              <w:snapToGrid w:val="0"/>
              <w:spacing w:before="0" w:beforeAutospacing="0" w:after="0" w:afterAutospacing="0" w:line="240" w:lineRule="exact"/>
              <w:ind w:left="0" w:right="0"/>
              <w:jc w:val="center"/>
              <w:rPr>
                <w:rFonts w:hint="default" w:ascii="宋体" w:hAnsi="宋体" w:eastAsia="宋体" w:cs="Times New Roman"/>
                <w:color w:val="auto"/>
                <w:sz w:val="24"/>
                <w:highlight w:val="none"/>
                <w:lang w:val="en-US" w:eastAsia="zh-CN"/>
              </w:rPr>
            </w:pPr>
            <w:r>
              <w:rPr>
                <w:rFonts w:hint="eastAsia" w:ascii="宋体" w:hAnsi="宋体" w:cs="Times New Roman"/>
                <w:color w:val="auto"/>
                <w:sz w:val="24"/>
                <w:highlight w:val="none"/>
                <w:lang w:val="en-US" w:eastAsia="zh-CN"/>
              </w:rPr>
              <w:t>证明材料</w:t>
            </w:r>
          </w:p>
        </w:tc>
        <w:tc>
          <w:tcPr>
            <w:tcW w:w="2268" w:type="dxa"/>
            <w:tcBorders>
              <w:top w:val="single" w:color="auto" w:sz="4" w:space="0"/>
              <w:left w:val="single" w:color="auto" w:sz="4" w:space="0"/>
              <w:right w:val="single" w:color="auto" w:sz="4" w:space="0"/>
            </w:tcBorders>
            <w:noWrap w:val="0"/>
            <w:vAlign w:val="center"/>
          </w:tcPr>
          <w:p w14:paraId="41D6650E">
            <w:pPr>
              <w:keepNext w:val="0"/>
              <w:keepLines w:val="0"/>
              <w:widowControl/>
              <w:suppressLineNumbers w:val="0"/>
              <w:spacing w:before="0" w:beforeAutospacing="0" w:after="0" w:afterAutospacing="0"/>
              <w:ind w:left="0" w:right="0"/>
              <w:jc w:val="left"/>
              <w:rPr>
                <w:rFonts w:hint="default" w:ascii="宋体" w:hAnsi="宋体" w:cs="Times New Roman"/>
                <w:color w:val="auto"/>
                <w:sz w:val="24"/>
                <w:highlight w:val="none"/>
              </w:rPr>
            </w:pPr>
          </w:p>
        </w:tc>
      </w:tr>
      <w:tr w14:paraId="109B00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2628" w:type="dxa"/>
            <w:tcBorders>
              <w:top w:val="single" w:color="auto" w:sz="4" w:space="0"/>
              <w:left w:val="single" w:color="auto" w:sz="4" w:space="0"/>
              <w:bottom w:val="single" w:color="auto" w:sz="4" w:space="0"/>
              <w:right w:val="single" w:color="auto" w:sz="4" w:space="0"/>
            </w:tcBorders>
            <w:noWrap w:val="0"/>
            <w:vAlign w:val="top"/>
          </w:tcPr>
          <w:p w14:paraId="5AA872A1">
            <w:pPr>
              <w:keepNext w:val="0"/>
              <w:keepLines w:val="0"/>
              <w:suppressLineNumbers w:val="0"/>
              <w:snapToGrid w:val="0"/>
              <w:spacing w:before="0" w:beforeAutospacing="0" w:after="0" w:afterAutospacing="0" w:line="240" w:lineRule="exact"/>
              <w:ind w:left="0" w:right="0"/>
              <w:jc w:val="left"/>
              <w:rPr>
                <w:rFonts w:hint="default" w:ascii="宋体" w:hAnsi="宋体" w:cs="Times New Roman"/>
                <w:color w:val="auto"/>
                <w:sz w:val="24"/>
                <w:highlight w:val="none"/>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13CDC47C">
            <w:pPr>
              <w:keepNext w:val="0"/>
              <w:keepLines w:val="0"/>
              <w:suppressLineNumbers w:val="0"/>
              <w:snapToGrid w:val="0"/>
              <w:spacing w:before="0" w:beforeAutospacing="0" w:after="0" w:afterAutospacing="0" w:line="240" w:lineRule="exact"/>
              <w:ind w:left="0" w:right="0"/>
              <w:jc w:val="left"/>
              <w:rPr>
                <w:rFonts w:hint="default" w:ascii="宋体" w:hAnsi="宋体" w:cs="Times New Roman"/>
                <w:color w:val="auto"/>
                <w:sz w:val="24"/>
                <w:highlight w:val="none"/>
              </w:rPr>
            </w:pPr>
          </w:p>
        </w:tc>
        <w:tc>
          <w:tcPr>
            <w:tcW w:w="1715" w:type="dxa"/>
            <w:tcBorders>
              <w:top w:val="single" w:color="auto" w:sz="4" w:space="0"/>
              <w:left w:val="single" w:color="auto" w:sz="4" w:space="0"/>
              <w:bottom w:val="single" w:color="auto" w:sz="4" w:space="0"/>
              <w:right w:val="single" w:color="auto" w:sz="4" w:space="0"/>
            </w:tcBorders>
            <w:noWrap w:val="0"/>
            <w:vAlign w:val="top"/>
          </w:tcPr>
          <w:p w14:paraId="4E7F51B5">
            <w:pPr>
              <w:keepNext w:val="0"/>
              <w:keepLines w:val="0"/>
              <w:suppressLineNumbers w:val="0"/>
              <w:snapToGrid w:val="0"/>
              <w:spacing w:before="0" w:beforeAutospacing="0" w:after="0" w:afterAutospacing="0" w:line="240" w:lineRule="exact"/>
              <w:ind w:left="0" w:right="0"/>
              <w:jc w:val="left"/>
              <w:rPr>
                <w:rFonts w:hint="default" w:ascii="宋体" w:hAnsi="宋体" w:cs="Times New Roman"/>
                <w:color w:val="auto"/>
                <w:sz w:val="24"/>
                <w:highlight w:val="none"/>
              </w:rPr>
            </w:pPr>
          </w:p>
        </w:tc>
        <w:tc>
          <w:tcPr>
            <w:tcW w:w="2282" w:type="dxa"/>
            <w:tcBorders>
              <w:top w:val="single" w:color="auto" w:sz="4" w:space="0"/>
              <w:left w:val="single" w:color="auto" w:sz="4" w:space="0"/>
              <w:bottom w:val="single" w:color="auto" w:sz="4" w:space="0"/>
              <w:right w:val="single" w:color="auto" w:sz="4" w:space="0"/>
            </w:tcBorders>
            <w:noWrap w:val="0"/>
            <w:vAlign w:val="top"/>
          </w:tcPr>
          <w:p w14:paraId="0B8032F5">
            <w:pPr>
              <w:keepNext w:val="0"/>
              <w:keepLines w:val="0"/>
              <w:suppressLineNumbers w:val="0"/>
              <w:snapToGrid w:val="0"/>
              <w:spacing w:before="0" w:beforeAutospacing="0" w:after="0" w:afterAutospacing="0" w:line="240" w:lineRule="exact"/>
              <w:ind w:left="0" w:right="0"/>
              <w:jc w:val="left"/>
              <w:rPr>
                <w:rFonts w:hint="default" w:ascii="宋体" w:hAnsi="宋体" w:cs="Times New Roman"/>
                <w:color w:val="auto"/>
                <w:sz w:val="24"/>
                <w:highlight w:val="none"/>
              </w:rPr>
            </w:pPr>
          </w:p>
        </w:tc>
        <w:tc>
          <w:tcPr>
            <w:tcW w:w="2254" w:type="dxa"/>
            <w:tcBorders>
              <w:top w:val="single" w:color="auto" w:sz="4" w:space="0"/>
              <w:left w:val="single" w:color="auto" w:sz="4" w:space="0"/>
              <w:bottom w:val="single" w:color="auto" w:sz="4" w:space="0"/>
              <w:right w:val="single" w:color="auto" w:sz="4" w:space="0"/>
            </w:tcBorders>
            <w:noWrap w:val="0"/>
            <w:vAlign w:val="top"/>
          </w:tcPr>
          <w:p w14:paraId="0690380D">
            <w:pPr>
              <w:keepNext w:val="0"/>
              <w:keepLines w:val="0"/>
              <w:suppressLineNumbers w:val="0"/>
              <w:snapToGrid w:val="0"/>
              <w:spacing w:before="0" w:beforeAutospacing="0" w:after="0" w:afterAutospacing="0" w:line="240" w:lineRule="exact"/>
              <w:ind w:left="0" w:right="0"/>
              <w:jc w:val="left"/>
              <w:rPr>
                <w:rFonts w:hint="default" w:ascii="宋体" w:hAnsi="宋体" w:cs="Times New Roman"/>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noWrap w:val="0"/>
            <w:vAlign w:val="top"/>
          </w:tcPr>
          <w:p w14:paraId="27A19580">
            <w:pPr>
              <w:keepNext w:val="0"/>
              <w:keepLines w:val="0"/>
              <w:suppressLineNumbers w:val="0"/>
              <w:snapToGrid w:val="0"/>
              <w:spacing w:before="0" w:beforeAutospacing="0" w:after="0" w:afterAutospacing="0" w:line="240" w:lineRule="exact"/>
              <w:ind w:left="0" w:right="0"/>
              <w:jc w:val="left"/>
              <w:rPr>
                <w:rFonts w:hint="default" w:ascii="宋体" w:hAnsi="宋体" w:cs="Times New Roman"/>
                <w:color w:val="auto"/>
                <w:sz w:val="24"/>
                <w:highlight w:val="none"/>
              </w:rPr>
            </w:pPr>
          </w:p>
        </w:tc>
      </w:tr>
      <w:tr w14:paraId="046C4F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noWrap w:val="0"/>
            <w:vAlign w:val="top"/>
          </w:tcPr>
          <w:p w14:paraId="6A94FE46">
            <w:pPr>
              <w:keepNext w:val="0"/>
              <w:keepLines w:val="0"/>
              <w:suppressLineNumbers w:val="0"/>
              <w:snapToGrid w:val="0"/>
              <w:spacing w:before="50" w:beforeAutospacing="0" w:after="165" w:afterLines="50" w:afterAutospacing="0" w:line="400" w:lineRule="exact"/>
              <w:ind w:left="0" w:right="0"/>
              <w:jc w:val="left"/>
              <w:rPr>
                <w:rFonts w:hint="default" w:ascii="宋体" w:hAnsi="宋体" w:cs="Times New Roman"/>
                <w:color w:val="auto"/>
                <w:sz w:val="24"/>
                <w:highlight w:val="none"/>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0FB338B6">
            <w:pPr>
              <w:keepNext w:val="0"/>
              <w:keepLines w:val="0"/>
              <w:suppressLineNumbers w:val="0"/>
              <w:snapToGrid w:val="0"/>
              <w:spacing w:before="50" w:beforeAutospacing="0" w:after="165" w:afterLines="50" w:afterAutospacing="0" w:line="400" w:lineRule="exact"/>
              <w:ind w:left="0" w:right="0"/>
              <w:jc w:val="left"/>
              <w:rPr>
                <w:rFonts w:hint="default" w:ascii="宋体" w:hAnsi="宋体" w:cs="Times New Roman"/>
                <w:color w:val="auto"/>
                <w:sz w:val="24"/>
                <w:highlight w:val="none"/>
              </w:rPr>
            </w:pPr>
          </w:p>
        </w:tc>
        <w:tc>
          <w:tcPr>
            <w:tcW w:w="1715" w:type="dxa"/>
            <w:tcBorders>
              <w:top w:val="single" w:color="auto" w:sz="4" w:space="0"/>
              <w:left w:val="single" w:color="auto" w:sz="4" w:space="0"/>
              <w:bottom w:val="single" w:color="auto" w:sz="4" w:space="0"/>
              <w:right w:val="single" w:color="auto" w:sz="4" w:space="0"/>
            </w:tcBorders>
            <w:noWrap w:val="0"/>
            <w:vAlign w:val="top"/>
          </w:tcPr>
          <w:p w14:paraId="10B65E9E">
            <w:pPr>
              <w:keepNext w:val="0"/>
              <w:keepLines w:val="0"/>
              <w:suppressLineNumbers w:val="0"/>
              <w:snapToGrid w:val="0"/>
              <w:spacing w:before="50" w:beforeAutospacing="0" w:after="165" w:afterLines="50" w:afterAutospacing="0" w:line="400" w:lineRule="exact"/>
              <w:ind w:left="0" w:right="0"/>
              <w:jc w:val="left"/>
              <w:rPr>
                <w:rFonts w:hint="default" w:ascii="宋体" w:hAnsi="宋体" w:cs="Times New Roman"/>
                <w:color w:val="auto"/>
                <w:sz w:val="24"/>
                <w:highlight w:val="none"/>
              </w:rPr>
            </w:pPr>
          </w:p>
        </w:tc>
        <w:tc>
          <w:tcPr>
            <w:tcW w:w="2282" w:type="dxa"/>
            <w:tcBorders>
              <w:top w:val="single" w:color="auto" w:sz="4" w:space="0"/>
              <w:left w:val="single" w:color="auto" w:sz="4" w:space="0"/>
              <w:bottom w:val="single" w:color="auto" w:sz="4" w:space="0"/>
              <w:right w:val="single" w:color="auto" w:sz="4" w:space="0"/>
            </w:tcBorders>
            <w:noWrap w:val="0"/>
            <w:vAlign w:val="top"/>
          </w:tcPr>
          <w:p w14:paraId="57419DB7">
            <w:pPr>
              <w:keepNext w:val="0"/>
              <w:keepLines w:val="0"/>
              <w:suppressLineNumbers w:val="0"/>
              <w:snapToGrid w:val="0"/>
              <w:spacing w:before="50" w:beforeAutospacing="0" w:after="165" w:afterLines="50" w:afterAutospacing="0" w:line="400" w:lineRule="exact"/>
              <w:ind w:left="0" w:right="0"/>
              <w:jc w:val="left"/>
              <w:rPr>
                <w:rFonts w:hint="default" w:ascii="宋体" w:hAnsi="宋体" w:cs="Times New Roman"/>
                <w:color w:val="auto"/>
                <w:sz w:val="24"/>
                <w:highlight w:val="none"/>
              </w:rPr>
            </w:pPr>
          </w:p>
        </w:tc>
        <w:tc>
          <w:tcPr>
            <w:tcW w:w="2254" w:type="dxa"/>
            <w:tcBorders>
              <w:top w:val="single" w:color="auto" w:sz="4" w:space="0"/>
              <w:left w:val="single" w:color="auto" w:sz="4" w:space="0"/>
              <w:bottom w:val="single" w:color="auto" w:sz="4" w:space="0"/>
              <w:right w:val="single" w:color="auto" w:sz="4" w:space="0"/>
            </w:tcBorders>
            <w:noWrap w:val="0"/>
            <w:vAlign w:val="top"/>
          </w:tcPr>
          <w:p w14:paraId="5C2DBEA5">
            <w:pPr>
              <w:keepNext w:val="0"/>
              <w:keepLines w:val="0"/>
              <w:suppressLineNumbers w:val="0"/>
              <w:snapToGrid w:val="0"/>
              <w:spacing w:before="50" w:beforeAutospacing="0" w:after="165" w:afterLines="50" w:afterAutospacing="0" w:line="400" w:lineRule="exact"/>
              <w:ind w:left="0" w:right="0"/>
              <w:jc w:val="left"/>
              <w:rPr>
                <w:rFonts w:hint="default" w:ascii="宋体" w:hAnsi="宋体" w:cs="Times New Roman"/>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noWrap w:val="0"/>
            <w:vAlign w:val="top"/>
          </w:tcPr>
          <w:p w14:paraId="46A7110C">
            <w:pPr>
              <w:keepNext w:val="0"/>
              <w:keepLines w:val="0"/>
              <w:suppressLineNumbers w:val="0"/>
              <w:snapToGrid w:val="0"/>
              <w:spacing w:before="50" w:beforeAutospacing="0" w:after="165" w:afterLines="50" w:afterAutospacing="0" w:line="400" w:lineRule="exact"/>
              <w:ind w:left="0" w:right="0"/>
              <w:jc w:val="left"/>
              <w:rPr>
                <w:rFonts w:hint="default" w:ascii="宋体" w:hAnsi="宋体" w:cs="Times New Roman"/>
                <w:color w:val="auto"/>
                <w:sz w:val="24"/>
                <w:highlight w:val="none"/>
              </w:rPr>
            </w:pPr>
          </w:p>
        </w:tc>
      </w:tr>
      <w:tr w14:paraId="76ADB0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628" w:type="dxa"/>
            <w:tcBorders>
              <w:top w:val="single" w:color="auto" w:sz="4" w:space="0"/>
              <w:left w:val="single" w:color="auto" w:sz="4" w:space="0"/>
              <w:bottom w:val="single" w:color="auto" w:sz="4" w:space="0"/>
              <w:right w:val="single" w:color="auto" w:sz="4" w:space="0"/>
            </w:tcBorders>
            <w:noWrap w:val="0"/>
            <w:vAlign w:val="top"/>
          </w:tcPr>
          <w:p w14:paraId="1AA6242B">
            <w:pPr>
              <w:keepNext w:val="0"/>
              <w:keepLines w:val="0"/>
              <w:suppressLineNumbers w:val="0"/>
              <w:snapToGrid w:val="0"/>
              <w:spacing w:before="50" w:beforeAutospacing="0" w:after="165" w:afterLines="50" w:afterAutospacing="0" w:line="400" w:lineRule="exact"/>
              <w:ind w:left="0" w:right="0"/>
              <w:jc w:val="left"/>
              <w:rPr>
                <w:rFonts w:hint="default" w:ascii="宋体" w:hAnsi="宋体" w:cs="Times New Roman"/>
                <w:color w:val="auto"/>
                <w:sz w:val="24"/>
                <w:highlight w:val="none"/>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02C127EE">
            <w:pPr>
              <w:keepNext w:val="0"/>
              <w:keepLines w:val="0"/>
              <w:suppressLineNumbers w:val="0"/>
              <w:snapToGrid w:val="0"/>
              <w:spacing w:before="50" w:beforeAutospacing="0" w:after="165" w:afterLines="50" w:afterAutospacing="0" w:line="400" w:lineRule="exact"/>
              <w:ind w:left="0" w:right="0"/>
              <w:jc w:val="left"/>
              <w:rPr>
                <w:rFonts w:hint="default" w:ascii="宋体" w:hAnsi="宋体" w:cs="Times New Roman"/>
                <w:color w:val="auto"/>
                <w:sz w:val="24"/>
                <w:highlight w:val="none"/>
              </w:rPr>
            </w:pPr>
          </w:p>
        </w:tc>
        <w:tc>
          <w:tcPr>
            <w:tcW w:w="1715" w:type="dxa"/>
            <w:tcBorders>
              <w:top w:val="single" w:color="auto" w:sz="4" w:space="0"/>
              <w:left w:val="single" w:color="auto" w:sz="4" w:space="0"/>
              <w:bottom w:val="single" w:color="auto" w:sz="4" w:space="0"/>
              <w:right w:val="single" w:color="auto" w:sz="4" w:space="0"/>
            </w:tcBorders>
            <w:noWrap w:val="0"/>
            <w:vAlign w:val="top"/>
          </w:tcPr>
          <w:p w14:paraId="1EBCAA30">
            <w:pPr>
              <w:keepNext w:val="0"/>
              <w:keepLines w:val="0"/>
              <w:suppressLineNumbers w:val="0"/>
              <w:snapToGrid w:val="0"/>
              <w:spacing w:before="50" w:beforeAutospacing="0" w:after="165" w:afterLines="50" w:afterAutospacing="0" w:line="400" w:lineRule="exact"/>
              <w:ind w:left="0" w:right="0"/>
              <w:jc w:val="left"/>
              <w:rPr>
                <w:rFonts w:hint="default" w:ascii="宋体" w:hAnsi="宋体" w:cs="Times New Roman"/>
                <w:color w:val="auto"/>
                <w:sz w:val="24"/>
                <w:highlight w:val="none"/>
              </w:rPr>
            </w:pPr>
          </w:p>
        </w:tc>
        <w:tc>
          <w:tcPr>
            <w:tcW w:w="2282" w:type="dxa"/>
            <w:tcBorders>
              <w:top w:val="single" w:color="auto" w:sz="4" w:space="0"/>
              <w:left w:val="single" w:color="auto" w:sz="4" w:space="0"/>
              <w:bottom w:val="single" w:color="auto" w:sz="4" w:space="0"/>
              <w:right w:val="single" w:color="auto" w:sz="4" w:space="0"/>
            </w:tcBorders>
            <w:noWrap w:val="0"/>
            <w:vAlign w:val="top"/>
          </w:tcPr>
          <w:p w14:paraId="756013BE">
            <w:pPr>
              <w:keepNext w:val="0"/>
              <w:keepLines w:val="0"/>
              <w:suppressLineNumbers w:val="0"/>
              <w:snapToGrid w:val="0"/>
              <w:spacing w:before="50" w:beforeAutospacing="0" w:after="165" w:afterLines="50" w:afterAutospacing="0" w:line="400" w:lineRule="exact"/>
              <w:ind w:left="0" w:right="0"/>
              <w:jc w:val="left"/>
              <w:rPr>
                <w:rFonts w:hint="default" w:ascii="宋体" w:hAnsi="宋体" w:cs="Times New Roman"/>
                <w:color w:val="auto"/>
                <w:sz w:val="24"/>
                <w:highlight w:val="none"/>
              </w:rPr>
            </w:pPr>
          </w:p>
        </w:tc>
        <w:tc>
          <w:tcPr>
            <w:tcW w:w="2254" w:type="dxa"/>
            <w:tcBorders>
              <w:top w:val="single" w:color="auto" w:sz="4" w:space="0"/>
              <w:left w:val="single" w:color="auto" w:sz="4" w:space="0"/>
              <w:bottom w:val="single" w:color="auto" w:sz="4" w:space="0"/>
              <w:right w:val="single" w:color="auto" w:sz="4" w:space="0"/>
            </w:tcBorders>
            <w:noWrap w:val="0"/>
            <w:vAlign w:val="top"/>
          </w:tcPr>
          <w:p w14:paraId="328FF61A">
            <w:pPr>
              <w:keepNext w:val="0"/>
              <w:keepLines w:val="0"/>
              <w:suppressLineNumbers w:val="0"/>
              <w:snapToGrid w:val="0"/>
              <w:spacing w:before="50" w:beforeAutospacing="0" w:after="165" w:afterLines="50" w:afterAutospacing="0" w:line="400" w:lineRule="exact"/>
              <w:ind w:left="0" w:right="0"/>
              <w:jc w:val="left"/>
              <w:rPr>
                <w:rFonts w:hint="default" w:ascii="宋体" w:hAnsi="宋体" w:cs="Times New Roman"/>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noWrap w:val="0"/>
            <w:vAlign w:val="top"/>
          </w:tcPr>
          <w:p w14:paraId="2CC69312">
            <w:pPr>
              <w:keepNext w:val="0"/>
              <w:keepLines w:val="0"/>
              <w:suppressLineNumbers w:val="0"/>
              <w:snapToGrid w:val="0"/>
              <w:spacing w:before="50" w:beforeAutospacing="0" w:after="165" w:afterLines="50" w:afterAutospacing="0" w:line="400" w:lineRule="exact"/>
              <w:ind w:left="0" w:right="0"/>
              <w:jc w:val="left"/>
              <w:rPr>
                <w:rFonts w:hint="default" w:ascii="宋体" w:hAnsi="宋体" w:cs="Times New Roman"/>
                <w:color w:val="auto"/>
                <w:sz w:val="24"/>
                <w:highlight w:val="none"/>
              </w:rPr>
            </w:pPr>
          </w:p>
        </w:tc>
      </w:tr>
      <w:tr w14:paraId="042B62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noWrap w:val="0"/>
            <w:vAlign w:val="top"/>
          </w:tcPr>
          <w:p w14:paraId="41AFF3DD">
            <w:pPr>
              <w:keepNext w:val="0"/>
              <w:keepLines w:val="0"/>
              <w:suppressLineNumbers w:val="0"/>
              <w:snapToGrid w:val="0"/>
              <w:spacing w:before="50" w:beforeAutospacing="0" w:after="165" w:afterLines="50" w:afterAutospacing="0" w:line="400" w:lineRule="exact"/>
              <w:ind w:left="0" w:right="0"/>
              <w:jc w:val="left"/>
              <w:rPr>
                <w:rFonts w:hint="default" w:ascii="宋体" w:hAnsi="宋体" w:cs="Times New Roman"/>
                <w:color w:val="auto"/>
                <w:sz w:val="24"/>
                <w:highlight w:val="none"/>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1B395B64">
            <w:pPr>
              <w:keepNext w:val="0"/>
              <w:keepLines w:val="0"/>
              <w:suppressLineNumbers w:val="0"/>
              <w:snapToGrid w:val="0"/>
              <w:spacing w:before="50" w:beforeAutospacing="0" w:after="165" w:afterLines="50" w:afterAutospacing="0" w:line="400" w:lineRule="exact"/>
              <w:ind w:left="0" w:right="0"/>
              <w:jc w:val="left"/>
              <w:rPr>
                <w:rFonts w:hint="default" w:ascii="宋体" w:hAnsi="宋体" w:cs="Times New Roman"/>
                <w:color w:val="auto"/>
                <w:sz w:val="24"/>
                <w:highlight w:val="none"/>
              </w:rPr>
            </w:pPr>
          </w:p>
        </w:tc>
        <w:tc>
          <w:tcPr>
            <w:tcW w:w="1715" w:type="dxa"/>
            <w:tcBorders>
              <w:top w:val="single" w:color="auto" w:sz="4" w:space="0"/>
              <w:left w:val="single" w:color="auto" w:sz="4" w:space="0"/>
              <w:bottom w:val="single" w:color="auto" w:sz="4" w:space="0"/>
              <w:right w:val="single" w:color="auto" w:sz="4" w:space="0"/>
            </w:tcBorders>
            <w:noWrap w:val="0"/>
            <w:vAlign w:val="top"/>
          </w:tcPr>
          <w:p w14:paraId="34A3E6B3">
            <w:pPr>
              <w:keepNext w:val="0"/>
              <w:keepLines w:val="0"/>
              <w:suppressLineNumbers w:val="0"/>
              <w:snapToGrid w:val="0"/>
              <w:spacing w:before="50" w:beforeAutospacing="0" w:after="165" w:afterLines="50" w:afterAutospacing="0" w:line="400" w:lineRule="exact"/>
              <w:ind w:left="0" w:right="0"/>
              <w:jc w:val="left"/>
              <w:rPr>
                <w:rFonts w:hint="default" w:ascii="宋体" w:hAnsi="宋体" w:cs="Times New Roman"/>
                <w:color w:val="auto"/>
                <w:sz w:val="24"/>
                <w:highlight w:val="none"/>
              </w:rPr>
            </w:pPr>
          </w:p>
        </w:tc>
        <w:tc>
          <w:tcPr>
            <w:tcW w:w="2282" w:type="dxa"/>
            <w:tcBorders>
              <w:top w:val="single" w:color="auto" w:sz="4" w:space="0"/>
              <w:left w:val="single" w:color="auto" w:sz="4" w:space="0"/>
              <w:bottom w:val="single" w:color="auto" w:sz="4" w:space="0"/>
              <w:right w:val="single" w:color="auto" w:sz="4" w:space="0"/>
            </w:tcBorders>
            <w:noWrap w:val="0"/>
            <w:vAlign w:val="top"/>
          </w:tcPr>
          <w:p w14:paraId="69F9EAFD">
            <w:pPr>
              <w:keepNext w:val="0"/>
              <w:keepLines w:val="0"/>
              <w:suppressLineNumbers w:val="0"/>
              <w:snapToGrid w:val="0"/>
              <w:spacing w:before="50" w:beforeAutospacing="0" w:after="165" w:afterLines="50" w:afterAutospacing="0" w:line="400" w:lineRule="exact"/>
              <w:ind w:left="0" w:right="0"/>
              <w:jc w:val="left"/>
              <w:rPr>
                <w:rFonts w:hint="default" w:ascii="宋体" w:hAnsi="宋体" w:cs="Times New Roman"/>
                <w:color w:val="auto"/>
                <w:sz w:val="24"/>
                <w:highlight w:val="none"/>
              </w:rPr>
            </w:pPr>
          </w:p>
        </w:tc>
        <w:tc>
          <w:tcPr>
            <w:tcW w:w="2254" w:type="dxa"/>
            <w:tcBorders>
              <w:top w:val="single" w:color="auto" w:sz="4" w:space="0"/>
              <w:left w:val="single" w:color="auto" w:sz="4" w:space="0"/>
              <w:bottom w:val="single" w:color="auto" w:sz="4" w:space="0"/>
              <w:right w:val="single" w:color="auto" w:sz="4" w:space="0"/>
            </w:tcBorders>
            <w:noWrap w:val="0"/>
            <w:vAlign w:val="top"/>
          </w:tcPr>
          <w:p w14:paraId="3A7F21C5">
            <w:pPr>
              <w:keepNext w:val="0"/>
              <w:keepLines w:val="0"/>
              <w:suppressLineNumbers w:val="0"/>
              <w:snapToGrid w:val="0"/>
              <w:spacing w:before="50" w:beforeAutospacing="0" w:after="165" w:afterLines="50" w:afterAutospacing="0" w:line="400" w:lineRule="exact"/>
              <w:ind w:left="0" w:right="0"/>
              <w:jc w:val="left"/>
              <w:rPr>
                <w:rFonts w:hint="default" w:ascii="宋体" w:hAnsi="宋体" w:cs="Times New Roman"/>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noWrap w:val="0"/>
            <w:vAlign w:val="top"/>
          </w:tcPr>
          <w:p w14:paraId="1BA2852C">
            <w:pPr>
              <w:keepNext w:val="0"/>
              <w:keepLines w:val="0"/>
              <w:suppressLineNumbers w:val="0"/>
              <w:snapToGrid w:val="0"/>
              <w:spacing w:before="50" w:beforeAutospacing="0" w:after="165" w:afterLines="50" w:afterAutospacing="0" w:line="400" w:lineRule="exact"/>
              <w:ind w:left="0" w:right="0"/>
              <w:jc w:val="left"/>
              <w:rPr>
                <w:rFonts w:hint="default" w:ascii="宋体" w:hAnsi="宋体" w:cs="Times New Roman"/>
                <w:color w:val="auto"/>
                <w:sz w:val="24"/>
                <w:highlight w:val="none"/>
              </w:rPr>
            </w:pPr>
          </w:p>
        </w:tc>
      </w:tr>
      <w:tr w14:paraId="19659E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noWrap w:val="0"/>
            <w:vAlign w:val="top"/>
          </w:tcPr>
          <w:p w14:paraId="7ED4C519">
            <w:pPr>
              <w:keepNext w:val="0"/>
              <w:keepLines w:val="0"/>
              <w:suppressLineNumbers w:val="0"/>
              <w:snapToGrid w:val="0"/>
              <w:spacing w:before="50" w:beforeAutospacing="0" w:after="165" w:afterLines="50" w:afterAutospacing="0" w:line="400" w:lineRule="exact"/>
              <w:ind w:left="0" w:right="0"/>
              <w:jc w:val="left"/>
              <w:rPr>
                <w:rFonts w:hint="default" w:ascii="宋体" w:hAnsi="宋体" w:cs="Times New Roman"/>
                <w:color w:val="auto"/>
                <w:sz w:val="24"/>
                <w:highlight w:val="none"/>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45AA10B0">
            <w:pPr>
              <w:keepNext w:val="0"/>
              <w:keepLines w:val="0"/>
              <w:suppressLineNumbers w:val="0"/>
              <w:snapToGrid w:val="0"/>
              <w:spacing w:before="50" w:beforeAutospacing="0" w:after="165" w:afterLines="50" w:afterAutospacing="0" w:line="400" w:lineRule="exact"/>
              <w:ind w:left="0" w:right="0"/>
              <w:jc w:val="left"/>
              <w:rPr>
                <w:rFonts w:hint="default" w:ascii="宋体" w:hAnsi="宋体" w:cs="Times New Roman"/>
                <w:color w:val="auto"/>
                <w:sz w:val="24"/>
                <w:highlight w:val="none"/>
              </w:rPr>
            </w:pPr>
          </w:p>
        </w:tc>
        <w:tc>
          <w:tcPr>
            <w:tcW w:w="1715" w:type="dxa"/>
            <w:tcBorders>
              <w:top w:val="single" w:color="auto" w:sz="4" w:space="0"/>
              <w:left w:val="single" w:color="auto" w:sz="4" w:space="0"/>
              <w:bottom w:val="single" w:color="auto" w:sz="4" w:space="0"/>
              <w:right w:val="single" w:color="auto" w:sz="4" w:space="0"/>
            </w:tcBorders>
            <w:noWrap w:val="0"/>
            <w:vAlign w:val="top"/>
          </w:tcPr>
          <w:p w14:paraId="592EE8B7">
            <w:pPr>
              <w:keepNext w:val="0"/>
              <w:keepLines w:val="0"/>
              <w:suppressLineNumbers w:val="0"/>
              <w:snapToGrid w:val="0"/>
              <w:spacing w:before="50" w:beforeAutospacing="0" w:after="165" w:afterLines="50" w:afterAutospacing="0" w:line="400" w:lineRule="exact"/>
              <w:ind w:left="0" w:right="0"/>
              <w:jc w:val="left"/>
              <w:rPr>
                <w:rFonts w:hint="default" w:ascii="宋体" w:hAnsi="宋体" w:cs="Times New Roman"/>
                <w:color w:val="auto"/>
                <w:sz w:val="24"/>
                <w:highlight w:val="none"/>
              </w:rPr>
            </w:pPr>
          </w:p>
        </w:tc>
        <w:tc>
          <w:tcPr>
            <w:tcW w:w="2282" w:type="dxa"/>
            <w:tcBorders>
              <w:top w:val="single" w:color="auto" w:sz="4" w:space="0"/>
              <w:left w:val="single" w:color="auto" w:sz="4" w:space="0"/>
              <w:bottom w:val="single" w:color="auto" w:sz="4" w:space="0"/>
              <w:right w:val="single" w:color="auto" w:sz="4" w:space="0"/>
            </w:tcBorders>
            <w:noWrap w:val="0"/>
            <w:vAlign w:val="top"/>
          </w:tcPr>
          <w:p w14:paraId="6CAD4976">
            <w:pPr>
              <w:keepNext w:val="0"/>
              <w:keepLines w:val="0"/>
              <w:suppressLineNumbers w:val="0"/>
              <w:snapToGrid w:val="0"/>
              <w:spacing w:before="50" w:beforeAutospacing="0" w:after="165" w:afterLines="50" w:afterAutospacing="0" w:line="400" w:lineRule="exact"/>
              <w:ind w:left="0" w:right="0"/>
              <w:jc w:val="left"/>
              <w:rPr>
                <w:rFonts w:hint="default" w:ascii="宋体" w:hAnsi="宋体" w:cs="Times New Roman"/>
                <w:color w:val="auto"/>
                <w:sz w:val="24"/>
                <w:highlight w:val="none"/>
              </w:rPr>
            </w:pPr>
          </w:p>
        </w:tc>
        <w:tc>
          <w:tcPr>
            <w:tcW w:w="2254" w:type="dxa"/>
            <w:tcBorders>
              <w:top w:val="single" w:color="auto" w:sz="4" w:space="0"/>
              <w:left w:val="single" w:color="auto" w:sz="4" w:space="0"/>
              <w:bottom w:val="single" w:color="auto" w:sz="4" w:space="0"/>
              <w:right w:val="single" w:color="auto" w:sz="4" w:space="0"/>
            </w:tcBorders>
            <w:noWrap w:val="0"/>
            <w:vAlign w:val="top"/>
          </w:tcPr>
          <w:p w14:paraId="1C74450D">
            <w:pPr>
              <w:keepNext w:val="0"/>
              <w:keepLines w:val="0"/>
              <w:suppressLineNumbers w:val="0"/>
              <w:snapToGrid w:val="0"/>
              <w:spacing w:before="50" w:beforeAutospacing="0" w:after="165" w:afterLines="50" w:afterAutospacing="0" w:line="400" w:lineRule="exact"/>
              <w:ind w:left="0" w:right="0"/>
              <w:jc w:val="left"/>
              <w:rPr>
                <w:rFonts w:hint="default" w:ascii="宋体" w:hAnsi="宋体" w:cs="Times New Roman"/>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noWrap w:val="0"/>
            <w:vAlign w:val="top"/>
          </w:tcPr>
          <w:p w14:paraId="439C956E">
            <w:pPr>
              <w:keepNext w:val="0"/>
              <w:keepLines w:val="0"/>
              <w:suppressLineNumbers w:val="0"/>
              <w:snapToGrid w:val="0"/>
              <w:spacing w:before="50" w:beforeAutospacing="0" w:after="165" w:afterLines="50" w:afterAutospacing="0" w:line="400" w:lineRule="exact"/>
              <w:ind w:left="0" w:right="0"/>
              <w:jc w:val="left"/>
              <w:rPr>
                <w:rFonts w:hint="default" w:ascii="宋体" w:hAnsi="宋体" w:cs="Times New Roman"/>
                <w:color w:val="auto"/>
                <w:sz w:val="24"/>
                <w:highlight w:val="none"/>
              </w:rPr>
            </w:pPr>
          </w:p>
        </w:tc>
      </w:tr>
    </w:tbl>
    <w:p w14:paraId="3D7D13D8">
      <w:pPr>
        <w:spacing w:line="360" w:lineRule="auto"/>
        <w:ind w:left="72"/>
        <w:rPr>
          <w:rFonts w:hint="eastAsia"/>
          <w:color w:val="auto"/>
          <w:szCs w:val="20"/>
          <w:highlight w:val="none"/>
        </w:rPr>
      </w:pPr>
      <w:r>
        <w:rPr>
          <w:rFonts w:hint="eastAsia"/>
          <w:color w:val="auto"/>
          <w:szCs w:val="20"/>
          <w:highlight w:val="none"/>
        </w:rPr>
        <w:t>注：投标人可按上述的格式自行编制。</w:t>
      </w:r>
    </w:p>
    <w:p w14:paraId="7B2CF48E">
      <w:pPr>
        <w:snapToGrid w:val="0"/>
        <w:spacing w:line="360" w:lineRule="auto"/>
        <w:ind w:firstLine="4935" w:firstLineChars="2350"/>
        <w:rPr>
          <w:rFonts w:hAnsi="宋体"/>
          <w:color w:val="auto"/>
          <w:szCs w:val="21"/>
          <w:highlight w:val="none"/>
        </w:rPr>
      </w:pPr>
      <w:r>
        <w:rPr>
          <w:rFonts w:hAnsi="宋体"/>
          <w:color w:val="auto"/>
          <w:szCs w:val="21"/>
          <w:highlight w:val="none"/>
        </w:rPr>
        <w:t xml:space="preserve"> </w:t>
      </w:r>
    </w:p>
    <w:p w14:paraId="33E643B6">
      <w:pPr>
        <w:snapToGrid w:val="0"/>
        <w:spacing w:line="360" w:lineRule="auto"/>
        <w:ind w:firstLine="4935" w:firstLineChars="2350"/>
        <w:rPr>
          <w:rFonts w:hAnsi="宋体"/>
          <w:color w:val="auto"/>
          <w:szCs w:val="21"/>
          <w:highlight w:val="none"/>
        </w:rPr>
      </w:pPr>
    </w:p>
    <w:p w14:paraId="63E1D4C7">
      <w:pPr>
        <w:snapToGrid w:val="0"/>
        <w:spacing w:line="360" w:lineRule="auto"/>
        <w:ind w:firstLine="10080" w:firstLineChars="4800"/>
        <w:rPr>
          <w:rFonts w:ascii="仿宋_GB2312" w:hAnsi="仿宋" w:eastAsia="仿宋_GB2312" w:cs="仿宋_GB2312"/>
          <w:color w:val="auto"/>
          <w:kern w:val="0"/>
          <w:sz w:val="24"/>
          <w:highlight w:val="none"/>
        </w:rPr>
      </w:pPr>
      <w:r>
        <w:rPr>
          <w:rFonts w:hAnsi="宋体"/>
          <w:color w:val="auto"/>
          <w:szCs w:val="21"/>
          <w:highlight w:val="none"/>
        </w:rPr>
        <w:t xml:space="preserve"> </w:t>
      </w:r>
      <w:r>
        <w:rPr>
          <w:rFonts w:hint="eastAsia" w:ascii="仿宋_GB2312" w:hAnsi="仿宋" w:eastAsia="仿宋_GB2312" w:cs="仿宋_GB2312"/>
          <w:color w:val="auto"/>
          <w:kern w:val="0"/>
          <w:sz w:val="24"/>
          <w:highlight w:val="none"/>
          <w:lang w:val="zh-CN"/>
        </w:rPr>
        <w:t>投标人名称(电子签章)：</w:t>
      </w:r>
    </w:p>
    <w:p w14:paraId="276D7414">
      <w:pPr>
        <w:snapToGrid w:val="0"/>
        <w:spacing w:line="360" w:lineRule="auto"/>
        <w:ind w:firstLine="10080" w:firstLineChars="420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6A0979A5">
      <w:pPr>
        <w:widowControl/>
        <w:spacing w:line="360" w:lineRule="auto"/>
        <w:jc w:val="left"/>
        <w:rPr>
          <w:rFonts w:ascii="仿宋_GB2312" w:hAnsi="仿宋" w:eastAsia="仿宋_GB2312" w:cs="仿宋_GB2312"/>
          <w:color w:val="auto"/>
          <w:kern w:val="0"/>
          <w:sz w:val="24"/>
          <w:highlight w:val="none"/>
          <w:lang w:val="zh-CN"/>
        </w:rPr>
        <w:sectPr>
          <w:pgSz w:w="16838" w:h="11906" w:orient="landscape"/>
          <w:pgMar w:top="1134" w:right="1134" w:bottom="1134" w:left="1134" w:header="720" w:footer="720" w:gutter="0"/>
          <w:cols w:space="720" w:num="1"/>
          <w:docGrid w:type="lines" w:linePitch="331" w:charSpace="0"/>
        </w:sectPr>
      </w:pPr>
    </w:p>
    <w:p w14:paraId="5348D0C8">
      <w:pPr>
        <w:jc w:val="center"/>
        <w:outlineLvl w:val="1"/>
        <w:rPr>
          <w:rFonts w:hint="eastAsia" w:ascii="宋体" w:hAnsi="宋体"/>
          <w:b/>
          <w:bCs/>
          <w:color w:val="auto"/>
          <w:sz w:val="28"/>
          <w:szCs w:val="28"/>
          <w:highlight w:val="none"/>
        </w:rPr>
      </w:pPr>
      <w:bookmarkStart w:id="578" w:name="_Toc5670"/>
      <w:bookmarkStart w:id="579" w:name="_Toc19686839"/>
      <w:r>
        <w:rPr>
          <w:rFonts w:hint="eastAsia" w:ascii="宋体" w:hAnsi="宋体"/>
          <w:b/>
          <w:bCs/>
          <w:color w:val="auto"/>
          <w:sz w:val="28"/>
          <w:szCs w:val="28"/>
          <w:highlight w:val="none"/>
        </w:rPr>
        <w:t>第四节 技术文件格式</w:t>
      </w:r>
      <w:bookmarkEnd w:id="578"/>
      <w:bookmarkEnd w:id="579"/>
    </w:p>
    <w:p w14:paraId="7F9FAA8B">
      <w:pPr>
        <w:snapToGrid w:val="0"/>
        <w:spacing w:before="165"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电子投标文件</w:t>
      </w:r>
    </w:p>
    <w:p w14:paraId="7F16ADED">
      <w:pPr>
        <w:snapToGrid w:val="0"/>
        <w:spacing w:before="165" w:beforeLines="50" w:after="50"/>
        <w:rPr>
          <w:rFonts w:hint="eastAsia" w:ascii="宋体" w:hAnsi="宋体"/>
          <w:color w:val="auto"/>
          <w:sz w:val="24"/>
          <w:szCs w:val="20"/>
          <w:highlight w:val="none"/>
        </w:rPr>
      </w:pPr>
    </w:p>
    <w:p w14:paraId="060FF35B">
      <w:pPr>
        <w:snapToGrid w:val="0"/>
        <w:spacing w:before="165" w:beforeLines="50" w:after="50"/>
        <w:jc w:val="center"/>
        <w:rPr>
          <w:rFonts w:hint="eastAsia" w:ascii="宋体" w:hAnsi="宋体"/>
          <w:b/>
          <w:bCs/>
          <w:color w:val="auto"/>
          <w:sz w:val="32"/>
          <w:szCs w:val="32"/>
          <w:highlight w:val="none"/>
        </w:rPr>
      </w:pPr>
    </w:p>
    <w:p w14:paraId="62094410">
      <w:pPr>
        <w:snapToGrid w:val="0"/>
        <w:spacing w:before="165" w:beforeLines="50" w:after="50"/>
        <w:jc w:val="center"/>
        <w:rPr>
          <w:rFonts w:hint="eastAsia" w:ascii="宋体" w:hAnsi="宋体"/>
          <w:b/>
          <w:bCs/>
          <w:color w:val="auto"/>
          <w:sz w:val="32"/>
          <w:szCs w:val="32"/>
          <w:highlight w:val="none"/>
        </w:rPr>
      </w:pPr>
    </w:p>
    <w:p w14:paraId="46784D29">
      <w:pPr>
        <w:snapToGrid w:val="0"/>
        <w:spacing w:before="165" w:beforeLines="50" w:after="50"/>
        <w:jc w:val="center"/>
        <w:rPr>
          <w:rFonts w:hint="eastAsia" w:ascii="宋体" w:hAnsi="宋体"/>
          <w:b/>
          <w:bCs/>
          <w:color w:val="auto"/>
          <w:sz w:val="32"/>
          <w:szCs w:val="32"/>
          <w:highlight w:val="none"/>
        </w:rPr>
      </w:pPr>
    </w:p>
    <w:p w14:paraId="1F1C95AE">
      <w:pPr>
        <w:snapToGrid w:val="0"/>
        <w:spacing w:before="165" w:beforeLines="50" w:after="50"/>
        <w:jc w:val="center"/>
        <w:rPr>
          <w:rFonts w:hint="eastAsia" w:ascii="宋体" w:hAnsi="宋体"/>
          <w:b/>
          <w:bCs/>
          <w:color w:val="auto"/>
          <w:sz w:val="32"/>
          <w:szCs w:val="32"/>
          <w:highlight w:val="none"/>
        </w:rPr>
      </w:pPr>
      <w:r>
        <w:rPr>
          <w:rFonts w:hint="eastAsia" w:ascii="宋体" w:hAnsi="宋体"/>
          <w:b/>
          <w:bCs/>
          <w:color w:val="auto"/>
          <w:sz w:val="32"/>
          <w:szCs w:val="32"/>
          <w:highlight w:val="none"/>
        </w:rPr>
        <w:t>技术文件（封面）</w:t>
      </w:r>
    </w:p>
    <w:p w14:paraId="0E732233">
      <w:pPr>
        <w:snapToGrid w:val="0"/>
        <w:spacing w:before="165" w:beforeLines="50" w:after="50"/>
        <w:rPr>
          <w:rFonts w:hint="eastAsia" w:ascii="宋体" w:hAnsi="宋体"/>
          <w:bCs/>
          <w:color w:val="auto"/>
          <w:sz w:val="24"/>
          <w:szCs w:val="20"/>
          <w:highlight w:val="none"/>
        </w:rPr>
      </w:pPr>
    </w:p>
    <w:p w14:paraId="0D966F62">
      <w:pPr>
        <w:snapToGrid w:val="0"/>
        <w:spacing w:before="165"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 xml:space="preserve">项目名称： </w:t>
      </w:r>
    </w:p>
    <w:p w14:paraId="25501820">
      <w:pPr>
        <w:snapToGrid w:val="0"/>
        <w:spacing w:before="165"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 xml:space="preserve">项目编号： </w:t>
      </w:r>
    </w:p>
    <w:p w14:paraId="2E86BB9C">
      <w:pPr>
        <w:snapToGrid w:val="0"/>
        <w:spacing w:before="165"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所投分标：</w:t>
      </w:r>
    </w:p>
    <w:p w14:paraId="2F4761EF">
      <w:pPr>
        <w:snapToGrid w:val="0"/>
        <w:spacing w:before="165"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投标人名称：</w:t>
      </w:r>
    </w:p>
    <w:p w14:paraId="4A428F91">
      <w:pPr>
        <w:snapToGrid w:val="0"/>
        <w:spacing w:before="165"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投标人地址：</w:t>
      </w:r>
    </w:p>
    <w:p w14:paraId="4ECB3640">
      <w:pPr>
        <w:snapToGrid w:val="0"/>
        <w:spacing w:before="165" w:beforeLines="50" w:after="50"/>
        <w:ind w:firstLine="645"/>
        <w:jc w:val="center"/>
        <w:rPr>
          <w:rFonts w:hint="eastAsia" w:ascii="宋体" w:hAnsi="宋体"/>
          <w:color w:val="auto"/>
          <w:sz w:val="24"/>
          <w:highlight w:val="none"/>
        </w:rPr>
      </w:pPr>
      <w:r>
        <w:rPr>
          <w:rFonts w:hint="eastAsia" w:ascii="宋体" w:hAnsi="宋体"/>
          <w:color w:val="auto"/>
          <w:sz w:val="24"/>
          <w:highlight w:val="none"/>
        </w:rPr>
        <w:t xml:space="preserve">                        年    月    日</w:t>
      </w:r>
    </w:p>
    <w:p w14:paraId="53A49E88">
      <w:pPr>
        <w:snapToGrid w:val="0"/>
        <w:spacing w:before="165" w:beforeLines="50" w:after="50"/>
        <w:ind w:firstLine="645"/>
        <w:jc w:val="center"/>
        <w:rPr>
          <w:rFonts w:hint="eastAsia" w:ascii="宋体" w:hAnsi="宋体"/>
          <w:color w:val="auto"/>
          <w:sz w:val="24"/>
          <w:szCs w:val="20"/>
          <w:highlight w:val="none"/>
        </w:rPr>
      </w:pPr>
    </w:p>
    <w:p w14:paraId="191E2C01">
      <w:pPr>
        <w:jc w:val="center"/>
        <w:rPr>
          <w:rFonts w:hint="eastAsia" w:ascii="仿宋_GB2312" w:hAnsi="仿宋" w:eastAsia="仿宋_GB2312" w:cs="仿宋_GB2312"/>
          <w:b/>
          <w:color w:val="auto"/>
          <w:kern w:val="0"/>
          <w:sz w:val="28"/>
          <w:szCs w:val="28"/>
          <w:highlight w:val="none"/>
        </w:rPr>
      </w:pPr>
      <w:r>
        <w:rPr>
          <w:rFonts w:hint="eastAsia" w:ascii="宋体" w:hAnsi="宋体"/>
          <w:b/>
          <w:bCs/>
          <w:color w:val="auto"/>
          <w:sz w:val="24"/>
          <w:highlight w:val="none"/>
        </w:rPr>
        <w:br w:type="page"/>
      </w:r>
      <w:r>
        <w:rPr>
          <w:rFonts w:hint="eastAsia" w:ascii="仿宋_GB2312" w:hAnsi="仿宋" w:eastAsia="仿宋_GB2312" w:cs="仿宋_GB2312"/>
          <w:b/>
          <w:color w:val="auto"/>
          <w:kern w:val="0"/>
          <w:sz w:val="28"/>
          <w:szCs w:val="28"/>
          <w:highlight w:val="none"/>
        </w:rPr>
        <w:t>技术文件目录</w:t>
      </w:r>
    </w:p>
    <w:p w14:paraId="582D0436">
      <w:pPr>
        <w:pStyle w:val="100"/>
        <w:spacing w:line="360" w:lineRule="auto"/>
        <w:rPr>
          <w:rFonts w:hint="eastAsia" w:cs="仿宋_GB2312"/>
          <w:color w:val="auto"/>
          <w:highlight w:val="none"/>
        </w:rPr>
      </w:pPr>
      <w:r>
        <w:rPr>
          <w:rFonts w:hint="eastAsia" w:cs="仿宋_GB2312"/>
          <w:color w:val="auto"/>
          <w:highlight w:val="none"/>
        </w:rPr>
        <w:t>一、投标服务技术需求偏离表…………………………………………………（页码）</w:t>
      </w:r>
    </w:p>
    <w:p w14:paraId="62B4C466">
      <w:pPr>
        <w:pStyle w:val="100"/>
        <w:spacing w:line="360" w:lineRule="auto"/>
        <w:rPr>
          <w:rFonts w:hint="eastAsia" w:cs="仿宋_GB2312"/>
          <w:color w:val="auto"/>
          <w:highlight w:val="none"/>
        </w:rPr>
      </w:pPr>
      <w:r>
        <w:rPr>
          <w:rFonts w:hint="eastAsia" w:cs="仿宋_GB2312"/>
          <w:color w:val="auto"/>
          <w:highlight w:val="none"/>
        </w:rPr>
        <w:t>二、组织服务方案…………………………………………………………………（页码）</w:t>
      </w:r>
    </w:p>
    <w:p w14:paraId="404715DF">
      <w:pPr>
        <w:pStyle w:val="100"/>
        <w:spacing w:line="360" w:lineRule="auto"/>
        <w:rPr>
          <w:rFonts w:hint="eastAsia" w:cs="仿宋_GB2312"/>
          <w:color w:val="auto"/>
          <w:highlight w:val="none"/>
        </w:rPr>
      </w:pPr>
      <w:r>
        <w:rPr>
          <w:rFonts w:hint="eastAsia" w:cs="仿宋_GB2312"/>
          <w:color w:val="auto"/>
          <w:highlight w:val="none"/>
        </w:rPr>
        <w:t>三、售后服务方案 ………………………………</w:t>
      </w:r>
      <w:r>
        <w:rPr>
          <w:rFonts w:hint="eastAsia" w:cs="仿宋_GB2312"/>
          <w:color w:val="auto"/>
          <w:highlight w:val="none"/>
          <w:lang w:val="zh-CN"/>
        </w:rPr>
        <w:t>………</w:t>
      </w:r>
      <w:r>
        <w:rPr>
          <w:rFonts w:hint="eastAsia" w:cs="仿宋_GB2312"/>
          <w:color w:val="auto"/>
          <w:highlight w:val="none"/>
        </w:rPr>
        <w:t>…………………………（页码）</w:t>
      </w:r>
    </w:p>
    <w:p w14:paraId="3BBBED9B">
      <w:pPr>
        <w:pStyle w:val="100"/>
        <w:spacing w:line="360" w:lineRule="auto"/>
        <w:rPr>
          <w:rFonts w:hint="eastAsia" w:cs="仿宋_GB2312"/>
          <w:color w:val="auto"/>
          <w:highlight w:val="none"/>
        </w:rPr>
      </w:pPr>
      <w:r>
        <w:rPr>
          <w:rFonts w:hint="eastAsia" w:cs="仿宋_GB2312"/>
          <w:color w:val="auto"/>
          <w:highlight w:val="none"/>
        </w:rPr>
        <w:t>四、</w:t>
      </w:r>
      <w:r>
        <w:rPr>
          <w:rFonts w:hint="eastAsia" w:cs="仿宋_GB2312"/>
          <w:color w:val="auto"/>
          <w:highlight w:val="none"/>
          <w:lang w:val="zh-CN"/>
        </w:rPr>
        <w:t>项目实施人员一览表 ………………………………</w:t>
      </w:r>
      <w:r>
        <w:rPr>
          <w:rFonts w:hint="eastAsia" w:cs="仿宋_GB2312"/>
          <w:color w:val="auto"/>
          <w:highlight w:val="none"/>
        </w:rPr>
        <w:t>………………………（页码）</w:t>
      </w:r>
    </w:p>
    <w:p w14:paraId="7FC83BB2">
      <w:pPr>
        <w:pStyle w:val="100"/>
        <w:spacing w:line="360" w:lineRule="auto"/>
        <w:rPr>
          <w:rFonts w:hint="eastAsia" w:cs="仿宋_GB2312"/>
          <w:color w:val="auto"/>
          <w:highlight w:val="none"/>
        </w:rPr>
      </w:pPr>
      <w:r>
        <w:rPr>
          <w:rFonts w:hint="eastAsia" w:cs="仿宋_GB2312"/>
          <w:color w:val="auto"/>
          <w:highlight w:val="none"/>
        </w:rPr>
        <w:t>五、投标人对项目的合理化建议和改进措施</w:t>
      </w:r>
      <w:r>
        <w:rPr>
          <w:rFonts w:hint="eastAsia" w:cs="仿宋_GB2312"/>
          <w:color w:val="auto"/>
          <w:highlight w:val="none"/>
          <w:lang w:val="zh-CN"/>
        </w:rPr>
        <w:t>………………………</w:t>
      </w:r>
      <w:r>
        <w:rPr>
          <w:rFonts w:hint="eastAsia" w:cs="仿宋_GB2312"/>
          <w:color w:val="auto"/>
          <w:highlight w:val="none"/>
        </w:rPr>
        <w:t>………（页码）</w:t>
      </w:r>
    </w:p>
    <w:p w14:paraId="40F54531">
      <w:pPr>
        <w:pStyle w:val="100"/>
        <w:spacing w:line="360" w:lineRule="auto"/>
        <w:ind w:left="721" w:leftChars="229" w:hanging="240" w:hangingChars="100"/>
        <w:rPr>
          <w:rFonts w:hint="eastAsia" w:eastAsia="仿宋_GB2312" w:cs="仿宋_GB2312"/>
          <w:color w:val="auto"/>
          <w:highlight w:val="none"/>
          <w:lang w:val="en-US" w:eastAsia="zh-CN"/>
        </w:rPr>
      </w:pPr>
      <w:r>
        <w:rPr>
          <w:rFonts w:hint="eastAsia" w:cs="仿宋_GB2312"/>
          <w:color w:val="auto"/>
          <w:highlight w:val="none"/>
          <w:lang w:val="en-US" w:eastAsia="zh-CN"/>
        </w:rPr>
        <w:t>六、多媒体设备清单《南宁市城市规划展示馆布展内容升级改造项目多媒体设备主要技术列表》</w:t>
      </w:r>
      <w:r>
        <w:rPr>
          <w:rFonts w:hint="eastAsia" w:cs="仿宋_GB2312"/>
          <w:color w:val="auto"/>
          <w:highlight w:val="none"/>
          <w:lang w:val="zh-CN"/>
        </w:rPr>
        <w:t>………………………</w:t>
      </w:r>
      <w:r>
        <w:rPr>
          <w:rFonts w:hint="eastAsia" w:cs="仿宋_GB2312"/>
          <w:color w:val="auto"/>
          <w:highlight w:val="none"/>
        </w:rPr>
        <w:t>………（页码）</w:t>
      </w:r>
    </w:p>
    <w:p w14:paraId="46DAAF1A">
      <w:pPr>
        <w:pStyle w:val="100"/>
        <w:spacing w:line="360" w:lineRule="auto"/>
        <w:ind w:left="961" w:leftChars="229" w:hanging="480" w:hangingChars="200"/>
        <w:rPr>
          <w:rFonts w:hint="eastAsia" w:cs="仿宋_GB2312"/>
          <w:color w:val="auto"/>
          <w:highlight w:val="none"/>
        </w:rPr>
      </w:pPr>
      <w:r>
        <w:rPr>
          <w:rFonts w:hint="eastAsia" w:cs="仿宋_GB2312"/>
          <w:color w:val="auto"/>
          <w:highlight w:val="none"/>
          <w:lang w:val="en-US" w:eastAsia="zh-CN"/>
        </w:rPr>
        <w:t>七</w:t>
      </w:r>
      <w:r>
        <w:rPr>
          <w:rFonts w:hint="eastAsia" w:cs="仿宋_GB2312"/>
          <w:color w:val="auto"/>
          <w:highlight w:val="none"/>
        </w:rPr>
        <w:t>、除招标文件规定必须提供以外，投标人需要说明的其他文件和说明</w:t>
      </w:r>
      <w:r>
        <w:rPr>
          <w:rFonts w:hint="eastAsia" w:cs="仿宋_GB2312"/>
          <w:color w:val="auto"/>
          <w:highlight w:val="none"/>
          <w:lang w:val="zh-CN"/>
        </w:rPr>
        <w:t>……………………………………………</w:t>
      </w:r>
      <w:r>
        <w:rPr>
          <w:rFonts w:hint="eastAsia" w:cs="仿宋_GB2312"/>
          <w:color w:val="auto"/>
          <w:highlight w:val="none"/>
        </w:rPr>
        <w:t>（页码）</w:t>
      </w:r>
    </w:p>
    <w:p w14:paraId="009B616D">
      <w:pPr>
        <w:spacing w:line="360" w:lineRule="auto"/>
        <w:rPr>
          <w:rFonts w:hint="eastAsia"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注：以上目录是基本格式要求，各投标人可根据自身情况进一步向下增加内容或细化。</w:t>
      </w:r>
    </w:p>
    <w:p w14:paraId="7709F845">
      <w:pPr>
        <w:snapToGrid w:val="0"/>
        <w:spacing w:before="165" w:beforeLines="50" w:after="50"/>
        <w:ind w:left="143" w:leftChars="68" w:firstLine="472" w:firstLineChars="196"/>
        <w:jc w:val="left"/>
        <w:rPr>
          <w:rFonts w:hint="eastAsia" w:ascii="宋体" w:hAnsi="宋体"/>
          <w:b/>
          <w:color w:val="auto"/>
          <w:sz w:val="24"/>
          <w:highlight w:val="none"/>
        </w:rPr>
      </w:pPr>
    </w:p>
    <w:p w14:paraId="1D8DE543">
      <w:pPr>
        <w:snapToGrid w:val="0"/>
        <w:spacing w:before="165" w:beforeLines="50" w:after="50"/>
        <w:ind w:left="143" w:leftChars="68" w:firstLine="472" w:firstLineChars="196"/>
        <w:jc w:val="left"/>
        <w:rPr>
          <w:rFonts w:hint="eastAsia" w:ascii="宋体" w:hAnsi="宋体"/>
          <w:b/>
          <w:color w:val="auto"/>
          <w:sz w:val="24"/>
          <w:highlight w:val="none"/>
        </w:rPr>
      </w:pPr>
      <w:r>
        <w:rPr>
          <w:rFonts w:hint="eastAsia" w:ascii="宋体" w:hAnsi="宋体"/>
          <w:b/>
          <w:color w:val="auto"/>
          <w:sz w:val="24"/>
          <w:highlight w:val="none"/>
        </w:rPr>
        <w:br w:type="page"/>
      </w:r>
      <w:r>
        <w:rPr>
          <w:rFonts w:hint="eastAsia" w:ascii="宋体" w:hAnsi="宋体"/>
          <w:b/>
          <w:color w:val="auto"/>
          <w:sz w:val="24"/>
          <w:highlight w:val="none"/>
        </w:rPr>
        <w:t xml:space="preserve"> </w:t>
      </w:r>
    </w:p>
    <w:p w14:paraId="6C8CFB30">
      <w:pPr>
        <w:spacing w:line="500" w:lineRule="exact"/>
        <w:jc w:val="center"/>
        <w:rPr>
          <w:rFonts w:hint="eastAsia"/>
          <w:b/>
          <w:bCs/>
          <w:color w:val="auto"/>
          <w:sz w:val="30"/>
          <w:szCs w:val="30"/>
          <w:highlight w:val="none"/>
        </w:rPr>
      </w:pPr>
      <w:r>
        <w:rPr>
          <w:rFonts w:hint="eastAsia"/>
          <w:b/>
          <w:bCs/>
          <w:color w:val="auto"/>
          <w:sz w:val="30"/>
          <w:szCs w:val="30"/>
          <w:highlight w:val="none"/>
        </w:rPr>
        <w:t>一、投标服务技术需求偏离表</w:t>
      </w:r>
    </w:p>
    <w:p w14:paraId="4319CE81">
      <w:pPr>
        <w:spacing w:line="440" w:lineRule="exact"/>
        <w:ind w:firstLine="420" w:firstLineChars="200"/>
        <w:rPr>
          <w:rFonts w:ascii="宋体" w:hAnsi="Courier New"/>
          <w:color w:val="auto"/>
          <w:szCs w:val="20"/>
          <w:highlight w:val="none"/>
        </w:rPr>
      </w:pPr>
    </w:p>
    <w:p w14:paraId="39B7A419">
      <w:pPr>
        <w:spacing w:line="600" w:lineRule="exact"/>
        <w:ind w:firstLine="480" w:firstLineChars="200"/>
        <w:rPr>
          <w:rFonts w:hint="eastAsia" w:ascii="宋体" w:hAnsi="宋体"/>
          <w:color w:val="auto"/>
          <w:sz w:val="24"/>
          <w:highlight w:val="none"/>
        </w:rPr>
      </w:pPr>
      <w:r>
        <w:rPr>
          <w:rFonts w:hint="eastAsia" w:ascii="宋体" w:hAnsi="宋体"/>
          <w:color w:val="auto"/>
          <w:sz w:val="24"/>
          <w:highlight w:val="none"/>
        </w:rPr>
        <w:t>请根据所投服务的实际技术参数，</w:t>
      </w:r>
      <w:r>
        <w:rPr>
          <w:rFonts w:hint="eastAsia" w:ascii="宋体" w:hAnsi="宋体"/>
          <w:b/>
          <w:color w:val="auto"/>
          <w:sz w:val="28"/>
          <w:szCs w:val="28"/>
          <w:highlight w:val="none"/>
        </w:rPr>
        <w:t>逐条对应</w:t>
      </w:r>
      <w:r>
        <w:rPr>
          <w:rFonts w:hint="eastAsia" w:ascii="宋体" w:hAnsi="宋体"/>
          <w:color w:val="auto"/>
          <w:sz w:val="24"/>
          <w:highlight w:val="none"/>
        </w:rPr>
        <w:t>本项目招标文件第二章“服务需求一览表”中的</w:t>
      </w:r>
      <w:r>
        <w:rPr>
          <w:rFonts w:hint="eastAsia" w:ascii="宋体" w:hAnsi="宋体"/>
          <w:b/>
          <w:color w:val="auto"/>
          <w:sz w:val="28"/>
          <w:szCs w:val="28"/>
          <w:highlight w:val="none"/>
          <w:lang w:val="en-US" w:eastAsia="zh-CN"/>
        </w:rPr>
        <w:t>技术条款</w:t>
      </w:r>
      <w:r>
        <w:rPr>
          <w:rFonts w:hint="eastAsia" w:ascii="宋体" w:hAnsi="宋体"/>
          <w:color w:val="auto"/>
          <w:sz w:val="24"/>
          <w:highlight w:val="none"/>
        </w:rPr>
        <w:t>详细填写相应的具体内容。“偏离说明”一栏应当选择“正偏离”、“负偏离”或“无偏离”进行填写。</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260"/>
        <w:gridCol w:w="2310"/>
        <w:gridCol w:w="1516"/>
        <w:gridCol w:w="3297"/>
        <w:gridCol w:w="1168"/>
      </w:tblGrid>
      <w:tr w14:paraId="28674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634" w:type="dxa"/>
            <w:vMerge w:val="restart"/>
            <w:tcBorders>
              <w:top w:val="single" w:color="auto" w:sz="4" w:space="0"/>
              <w:left w:val="single" w:color="auto" w:sz="4" w:space="0"/>
              <w:bottom w:val="single" w:color="auto" w:sz="4" w:space="0"/>
              <w:right w:val="single" w:color="auto" w:sz="4" w:space="0"/>
            </w:tcBorders>
            <w:noWrap w:val="0"/>
            <w:vAlign w:val="center"/>
          </w:tcPr>
          <w:p w14:paraId="222D2A03">
            <w:pPr>
              <w:keepNext w:val="0"/>
              <w:keepLines w:val="0"/>
              <w:suppressLineNumbers w:val="0"/>
              <w:spacing w:before="0" w:beforeAutospacing="0" w:after="0" w:afterAutospacing="0"/>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项号</w:t>
            </w:r>
          </w:p>
        </w:tc>
        <w:tc>
          <w:tcPr>
            <w:tcW w:w="3570" w:type="dxa"/>
            <w:gridSpan w:val="2"/>
            <w:tcBorders>
              <w:top w:val="single" w:color="auto" w:sz="4" w:space="0"/>
              <w:left w:val="single" w:color="auto" w:sz="4" w:space="0"/>
              <w:bottom w:val="single" w:color="auto" w:sz="4" w:space="0"/>
              <w:right w:val="single" w:color="auto" w:sz="4" w:space="0"/>
            </w:tcBorders>
            <w:noWrap w:val="0"/>
            <w:vAlign w:val="center"/>
          </w:tcPr>
          <w:p w14:paraId="2E29A1E8">
            <w:pPr>
              <w:keepNext w:val="0"/>
              <w:keepLines w:val="0"/>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招标文件需求</w:t>
            </w:r>
          </w:p>
        </w:tc>
        <w:tc>
          <w:tcPr>
            <w:tcW w:w="4813" w:type="dxa"/>
            <w:gridSpan w:val="2"/>
            <w:tcBorders>
              <w:top w:val="single" w:color="auto" w:sz="4" w:space="0"/>
              <w:left w:val="single" w:color="auto" w:sz="4" w:space="0"/>
              <w:bottom w:val="single" w:color="auto" w:sz="4" w:space="0"/>
              <w:right w:val="single" w:color="auto" w:sz="4" w:space="0"/>
            </w:tcBorders>
            <w:noWrap w:val="0"/>
            <w:vAlign w:val="center"/>
          </w:tcPr>
          <w:p w14:paraId="0649C409">
            <w:pPr>
              <w:keepNext w:val="0"/>
              <w:keepLines w:val="0"/>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投标文件承诺</w:t>
            </w:r>
          </w:p>
        </w:tc>
        <w:tc>
          <w:tcPr>
            <w:tcW w:w="1168" w:type="dxa"/>
            <w:vMerge w:val="restart"/>
            <w:tcBorders>
              <w:top w:val="single" w:color="auto" w:sz="4" w:space="0"/>
              <w:left w:val="single" w:color="auto" w:sz="4" w:space="0"/>
              <w:bottom w:val="single" w:color="auto" w:sz="4" w:space="0"/>
              <w:right w:val="single" w:color="auto" w:sz="4" w:space="0"/>
            </w:tcBorders>
            <w:noWrap w:val="0"/>
            <w:vAlign w:val="center"/>
          </w:tcPr>
          <w:p w14:paraId="71C6DA6E">
            <w:pPr>
              <w:keepNext w:val="0"/>
              <w:keepLines w:val="0"/>
              <w:suppressLineNumbers w:val="0"/>
              <w:spacing w:before="0" w:beforeAutospacing="0" w:after="0" w:afterAutospacing="0"/>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偏离说明</w:t>
            </w:r>
          </w:p>
        </w:tc>
      </w:tr>
      <w:tr w14:paraId="632EA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10185" w:type="dxa"/>
            <w:vMerge w:val="continue"/>
            <w:tcBorders>
              <w:top w:val="single" w:color="auto" w:sz="4" w:space="0"/>
              <w:left w:val="single" w:color="auto" w:sz="4" w:space="0"/>
              <w:bottom w:val="single" w:color="auto" w:sz="4" w:space="0"/>
              <w:right w:val="single" w:color="auto" w:sz="4" w:space="0"/>
            </w:tcBorders>
            <w:noWrap w:val="0"/>
            <w:vAlign w:val="center"/>
          </w:tcPr>
          <w:p w14:paraId="5B70D322">
            <w:pPr>
              <w:keepNext w:val="0"/>
              <w:keepLines w:val="0"/>
              <w:widowControl/>
              <w:suppressLineNumbers w:val="0"/>
              <w:spacing w:before="0" w:beforeAutospacing="0" w:after="0" w:afterAutospacing="0"/>
              <w:ind w:left="0" w:right="0"/>
              <w:jc w:val="left"/>
              <w:rPr>
                <w:rFonts w:hint="default" w:ascii="宋体" w:hAnsi="宋体" w:cs="Times New Roman"/>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27BB390">
            <w:pPr>
              <w:keepNext w:val="0"/>
              <w:keepLines w:val="0"/>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服务名称</w:t>
            </w:r>
          </w:p>
        </w:tc>
        <w:tc>
          <w:tcPr>
            <w:tcW w:w="2310" w:type="dxa"/>
            <w:tcBorders>
              <w:top w:val="single" w:color="auto" w:sz="4" w:space="0"/>
              <w:left w:val="single" w:color="auto" w:sz="4" w:space="0"/>
              <w:bottom w:val="single" w:color="auto" w:sz="4" w:space="0"/>
              <w:right w:val="single" w:color="auto" w:sz="4" w:space="0"/>
            </w:tcBorders>
            <w:noWrap w:val="0"/>
            <w:vAlign w:val="center"/>
          </w:tcPr>
          <w:p w14:paraId="44002AE7">
            <w:pPr>
              <w:keepNext w:val="0"/>
              <w:keepLines w:val="0"/>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服务参数</w:t>
            </w:r>
          </w:p>
        </w:tc>
        <w:tc>
          <w:tcPr>
            <w:tcW w:w="1516" w:type="dxa"/>
            <w:tcBorders>
              <w:top w:val="single" w:color="auto" w:sz="4" w:space="0"/>
              <w:left w:val="single" w:color="auto" w:sz="4" w:space="0"/>
              <w:bottom w:val="single" w:color="auto" w:sz="4" w:space="0"/>
              <w:right w:val="single" w:color="auto" w:sz="4" w:space="0"/>
            </w:tcBorders>
            <w:noWrap w:val="0"/>
            <w:vAlign w:val="center"/>
          </w:tcPr>
          <w:p w14:paraId="39295B56">
            <w:pPr>
              <w:keepNext w:val="0"/>
              <w:keepLines w:val="0"/>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服务名称</w:t>
            </w:r>
          </w:p>
        </w:tc>
        <w:tc>
          <w:tcPr>
            <w:tcW w:w="3297" w:type="dxa"/>
            <w:tcBorders>
              <w:top w:val="single" w:color="auto" w:sz="4" w:space="0"/>
              <w:left w:val="single" w:color="auto" w:sz="4" w:space="0"/>
              <w:bottom w:val="single" w:color="auto" w:sz="4" w:space="0"/>
              <w:right w:val="single" w:color="auto" w:sz="4" w:space="0"/>
            </w:tcBorders>
            <w:noWrap w:val="0"/>
            <w:vAlign w:val="center"/>
          </w:tcPr>
          <w:p w14:paraId="6E351F12">
            <w:pPr>
              <w:keepNext w:val="0"/>
              <w:keepLines w:val="0"/>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所提供服务的内容</w:t>
            </w:r>
          </w:p>
        </w:tc>
        <w:tc>
          <w:tcPr>
            <w:tcW w:w="1168" w:type="dxa"/>
            <w:vMerge w:val="continue"/>
            <w:tcBorders>
              <w:top w:val="single" w:color="auto" w:sz="4" w:space="0"/>
              <w:left w:val="single" w:color="auto" w:sz="4" w:space="0"/>
              <w:bottom w:val="single" w:color="auto" w:sz="4" w:space="0"/>
              <w:right w:val="single" w:color="auto" w:sz="4" w:space="0"/>
            </w:tcBorders>
            <w:noWrap w:val="0"/>
            <w:vAlign w:val="center"/>
          </w:tcPr>
          <w:p w14:paraId="00958F0B">
            <w:pPr>
              <w:keepNext w:val="0"/>
              <w:keepLines w:val="0"/>
              <w:widowControl/>
              <w:suppressLineNumbers w:val="0"/>
              <w:spacing w:before="0" w:beforeAutospacing="0" w:after="0" w:afterAutospacing="0"/>
              <w:ind w:left="0" w:right="0"/>
              <w:jc w:val="left"/>
              <w:rPr>
                <w:rFonts w:hint="default" w:ascii="宋体" w:hAnsi="宋体" w:cs="Times New Roman"/>
                <w:color w:val="auto"/>
                <w:szCs w:val="21"/>
                <w:highlight w:val="none"/>
              </w:rPr>
            </w:pPr>
          </w:p>
        </w:tc>
      </w:tr>
      <w:tr w14:paraId="7040D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noWrap w:val="0"/>
            <w:vAlign w:val="center"/>
          </w:tcPr>
          <w:p w14:paraId="53B4B759">
            <w:pPr>
              <w:keepNext w:val="0"/>
              <w:keepLines w:val="0"/>
              <w:suppressLineNumbers w:val="0"/>
              <w:spacing w:before="0" w:beforeAutospacing="0" w:after="0" w:afterAutospacing="0"/>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1</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3D0FCFE">
            <w:pPr>
              <w:keepNext w:val="0"/>
              <w:keepLines w:val="0"/>
              <w:suppressLineNumbers w:val="0"/>
              <w:spacing w:before="0" w:beforeAutospacing="0" w:after="0" w:afterAutospacing="0"/>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w:t>
            </w:r>
          </w:p>
        </w:tc>
        <w:tc>
          <w:tcPr>
            <w:tcW w:w="2310" w:type="dxa"/>
            <w:tcBorders>
              <w:top w:val="single" w:color="auto" w:sz="4" w:space="0"/>
              <w:left w:val="single" w:color="auto" w:sz="4" w:space="0"/>
              <w:bottom w:val="single" w:color="auto" w:sz="4" w:space="0"/>
              <w:right w:val="single" w:color="auto" w:sz="4" w:space="0"/>
            </w:tcBorders>
            <w:noWrap w:val="0"/>
            <w:vAlign w:val="center"/>
          </w:tcPr>
          <w:p w14:paraId="758B5820">
            <w:pPr>
              <w:keepNext w:val="0"/>
              <w:keepLines w:val="0"/>
              <w:suppressLineNumbers w:val="0"/>
              <w:spacing w:before="0" w:beforeAutospacing="0" w:after="0" w:afterAutospacing="0"/>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1  ……</w:t>
            </w:r>
          </w:p>
          <w:p w14:paraId="076341E4">
            <w:pPr>
              <w:keepNext w:val="0"/>
              <w:keepLines w:val="0"/>
              <w:suppressLineNumbers w:val="0"/>
              <w:spacing w:before="0" w:beforeAutospacing="0" w:after="0" w:afterAutospacing="0"/>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2  ……</w:t>
            </w:r>
          </w:p>
          <w:p w14:paraId="7EE1A6BA">
            <w:pPr>
              <w:keepNext w:val="0"/>
              <w:keepLines w:val="0"/>
              <w:suppressLineNumbers w:val="0"/>
              <w:spacing w:before="0" w:beforeAutospacing="0" w:after="0" w:afterAutospacing="0"/>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3  ……</w:t>
            </w:r>
          </w:p>
          <w:p w14:paraId="76504480">
            <w:pPr>
              <w:keepNext w:val="0"/>
              <w:keepLines w:val="0"/>
              <w:suppressLineNumbers w:val="0"/>
              <w:spacing w:before="0" w:beforeAutospacing="0" w:after="0" w:afterAutospacing="0"/>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w:t>
            </w:r>
          </w:p>
        </w:tc>
        <w:tc>
          <w:tcPr>
            <w:tcW w:w="1516" w:type="dxa"/>
            <w:tcBorders>
              <w:top w:val="single" w:color="auto" w:sz="4" w:space="0"/>
              <w:left w:val="single" w:color="auto" w:sz="4" w:space="0"/>
              <w:bottom w:val="single" w:color="auto" w:sz="4" w:space="0"/>
              <w:right w:val="single" w:color="auto" w:sz="4" w:space="0"/>
            </w:tcBorders>
            <w:noWrap w:val="0"/>
            <w:vAlign w:val="center"/>
          </w:tcPr>
          <w:p w14:paraId="0DB6CC8C">
            <w:pPr>
              <w:keepNext w:val="0"/>
              <w:keepLines w:val="0"/>
              <w:suppressLineNumbers w:val="0"/>
              <w:spacing w:before="0" w:beforeAutospacing="0" w:after="0" w:afterAutospacing="0"/>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w:t>
            </w:r>
          </w:p>
        </w:tc>
        <w:tc>
          <w:tcPr>
            <w:tcW w:w="3297" w:type="dxa"/>
            <w:tcBorders>
              <w:top w:val="single" w:color="auto" w:sz="4" w:space="0"/>
              <w:left w:val="single" w:color="auto" w:sz="4" w:space="0"/>
              <w:bottom w:val="single" w:color="auto" w:sz="4" w:space="0"/>
              <w:right w:val="single" w:color="auto" w:sz="4" w:space="0"/>
            </w:tcBorders>
            <w:noWrap w:val="0"/>
            <w:vAlign w:val="center"/>
          </w:tcPr>
          <w:p w14:paraId="4CA5DF4D">
            <w:pPr>
              <w:keepNext w:val="0"/>
              <w:keepLines w:val="0"/>
              <w:suppressLineNumbers w:val="0"/>
              <w:spacing w:before="0" w:beforeAutospacing="0" w:after="0" w:afterAutospacing="0"/>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1  ……</w:t>
            </w:r>
          </w:p>
          <w:p w14:paraId="07017D3A">
            <w:pPr>
              <w:keepNext w:val="0"/>
              <w:keepLines w:val="0"/>
              <w:suppressLineNumbers w:val="0"/>
              <w:spacing w:before="0" w:beforeAutospacing="0" w:after="0" w:afterAutospacing="0"/>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2  ……</w:t>
            </w:r>
          </w:p>
          <w:p w14:paraId="65D897AE">
            <w:pPr>
              <w:keepNext w:val="0"/>
              <w:keepLines w:val="0"/>
              <w:suppressLineNumbers w:val="0"/>
              <w:spacing w:before="0" w:beforeAutospacing="0" w:after="0" w:afterAutospacing="0"/>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3  ……</w:t>
            </w:r>
          </w:p>
          <w:p w14:paraId="65D6F7C8">
            <w:pPr>
              <w:keepNext w:val="0"/>
              <w:keepLines w:val="0"/>
              <w:suppressLineNumbers w:val="0"/>
              <w:spacing w:before="0" w:beforeAutospacing="0" w:after="0" w:afterAutospacing="0"/>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w:t>
            </w:r>
          </w:p>
        </w:tc>
        <w:tc>
          <w:tcPr>
            <w:tcW w:w="1168" w:type="dxa"/>
            <w:tcBorders>
              <w:top w:val="single" w:color="auto" w:sz="4" w:space="0"/>
              <w:left w:val="single" w:color="auto" w:sz="4" w:space="0"/>
              <w:bottom w:val="single" w:color="auto" w:sz="4" w:space="0"/>
              <w:right w:val="single" w:color="auto" w:sz="4" w:space="0"/>
            </w:tcBorders>
            <w:noWrap w:val="0"/>
            <w:vAlign w:val="center"/>
          </w:tcPr>
          <w:p w14:paraId="674D1EC6">
            <w:pPr>
              <w:keepNext w:val="0"/>
              <w:keepLines w:val="0"/>
              <w:suppressLineNumbers w:val="0"/>
              <w:spacing w:before="0" w:beforeAutospacing="0" w:after="0" w:afterAutospacing="0"/>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正偏离（负偏离或无偏离）</w:t>
            </w:r>
          </w:p>
        </w:tc>
      </w:tr>
      <w:tr w14:paraId="557FE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noWrap w:val="0"/>
            <w:vAlign w:val="center"/>
          </w:tcPr>
          <w:p w14:paraId="43834E14">
            <w:pPr>
              <w:keepNext w:val="0"/>
              <w:keepLines w:val="0"/>
              <w:suppressLineNumbers w:val="0"/>
              <w:spacing w:before="0" w:beforeAutospacing="0" w:after="0" w:afterAutospacing="0"/>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2</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8065E27">
            <w:pPr>
              <w:keepNext w:val="0"/>
              <w:keepLines w:val="0"/>
              <w:suppressLineNumbers w:val="0"/>
              <w:spacing w:before="0" w:beforeAutospacing="0" w:after="0" w:afterAutospacing="0"/>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w:t>
            </w:r>
          </w:p>
        </w:tc>
        <w:tc>
          <w:tcPr>
            <w:tcW w:w="2310" w:type="dxa"/>
            <w:tcBorders>
              <w:top w:val="single" w:color="auto" w:sz="4" w:space="0"/>
              <w:left w:val="single" w:color="auto" w:sz="4" w:space="0"/>
              <w:bottom w:val="single" w:color="auto" w:sz="4" w:space="0"/>
              <w:right w:val="single" w:color="auto" w:sz="4" w:space="0"/>
            </w:tcBorders>
            <w:noWrap w:val="0"/>
            <w:vAlign w:val="center"/>
          </w:tcPr>
          <w:p w14:paraId="77320CC8">
            <w:pPr>
              <w:keepNext w:val="0"/>
              <w:keepLines w:val="0"/>
              <w:suppressLineNumbers w:val="0"/>
              <w:spacing w:before="0" w:beforeAutospacing="0" w:after="0" w:afterAutospacing="0"/>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1  ……</w:t>
            </w:r>
          </w:p>
          <w:p w14:paraId="698EBB5A">
            <w:pPr>
              <w:keepNext w:val="0"/>
              <w:keepLines w:val="0"/>
              <w:suppressLineNumbers w:val="0"/>
              <w:spacing w:before="0" w:beforeAutospacing="0" w:after="0" w:afterAutospacing="0"/>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2  ……</w:t>
            </w:r>
          </w:p>
          <w:p w14:paraId="1AF327EE">
            <w:pPr>
              <w:keepNext w:val="0"/>
              <w:keepLines w:val="0"/>
              <w:suppressLineNumbers w:val="0"/>
              <w:spacing w:before="0" w:beforeAutospacing="0" w:after="0" w:afterAutospacing="0"/>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3  ……</w:t>
            </w:r>
          </w:p>
          <w:p w14:paraId="68779690">
            <w:pPr>
              <w:keepNext w:val="0"/>
              <w:keepLines w:val="0"/>
              <w:suppressLineNumbers w:val="0"/>
              <w:spacing w:before="0" w:beforeAutospacing="0" w:after="0" w:afterAutospacing="0"/>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w:t>
            </w:r>
          </w:p>
        </w:tc>
        <w:tc>
          <w:tcPr>
            <w:tcW w:w="1516" w:type="dxa"/>
            <w:tcBorders>
              <w:top w:val="single" w:color="auto" w:sz="4" w:space="0"/>
              <w:left w:val="single" w:color="auto" w:sz="4" w:space="0"/>
              <w:bottom w:val="single" w:color="auto" w:sz="4" w:space="0"/>
              <w:right w:val="single" w:color="auto" w:sz="4" w:space="0"/>
            </w:tcBorders>
            <w:noWrap w:val="0"/>
            <w:vAlign w:val="center"/>
          </w:tcPr>
          <w:p w14:paraId="4F4F90E6">
            <w:pPr>
              <w:keepNext w:val="0"/>
              <w:keepLines w:val="0"/>
              <w:suppressLineNumbers w:val="0"/>
              <w:spacing w:before="0" w:beforeAutospacing="0" w:after="0" w:afterAutospacing="0"/>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w:t>
            </w:r>
          </w:p>
        </w:tc>
        <w:tc>
          <w:tcPr>
            <w:tcW w:w="3297" w:type="dxa"/>
            <w:tcBorders>
              <w:top w:val="single" w:color="auto" w:sz="4" w:space="0"/>
              <w:left w:val="single" w:color="auto" w:sz="4" w:space="0"/>
              <w:bottom w:val="single" w:color="auto" w:sz="4" w:space="0"/>
              <w:right w:val="single" w:color="auto" w:sz="4" w:space="0"/>
            </w:tcBorders>
            <w:noWrap w:val="0"/>
            <w:vAlign w:val="center"/>
          </w:tcPr>
          <w:p w14:paraId="362969BD">
            <w:pPr>
              <w:keepNext w:val="0"/>
              <w:keepLines w:val="0"/>
              <w:suppressLineNumbers w:val="0"/>
              <w:spacing w:before="0" w:beforeAutospacing="0" w:after="0" w:afterAutospacing="0"/>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1  ……</w:t>
            </w:r>
          </w:p>
          <w:p w14:paraId="3612125C">
            <w:pPr>
              <w:keepNext w:val="0"/>
              <w:keepLines w:val="0"/>
              <w:suppressLineNumbers w:val="0"/>
              <w:spacing w:before="0" w:beforeAutospacing="0" w:after="0" w:afterAutospacing="0"/>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2  ……</w:t>
            </w:r>
          </w:p>
          <w:p w14:paraId="1C26B083">
            <w:pPr>
              <w:keepNext w:val="0"/>
              <w:keepLines w:val="0"/>
              <w:suppressLineNumbers w:val="0"/>
              <w:spacing w:before="0" w:beforeAutospacing="0" w:after="0" w:afterAutospacing="0"/>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3  ……</w:t>
            </w:r>
          </w:p>
          <w:p w14:paraId="7C3733C3">
            <w:pPr>
              <w:keepNext w:val="0"/>
              <w:keepLines w:val="0"/>
              <w:suppressLineNumbers w:val="0"/>
              <w:spacing w:before="0" w:beforeAutospacing="0" w:after="0" w:afterAutospacing="0"/>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w:t>
            </w:r>
          </w:p>
        </w:tc>
        <w:tc>
          <w:tcPr>
            <w:tcW w:w="1168" w:type="dxa"/>
            <w:tcBorders>
              <w:top w:val="single" w:color="auto" w:sz="4" w:space="0"/>
              <w:left w:val="single" w:color="auto" w:sz="4" w:space="0"/>
              <w:bottom w:val="single" w:color="auto" w:sz="4" w:space="0"/>
              <w:right w:val="single" w:color="auto" w:sz="4" w:space="0"/>
            </w:tcBorders>
            <w:noWrap w:val="0"/>
            <w:vAlign w:val="center"/>
          </w:tcPr>
          <w:p w14:paraId="62320C52">
            <w:pPr>
              <w:keepNext w:val="0"/>
              <w:keepLines w:val="0"/>
              <w:suppressLineNumbers w:val="0"/>
              <w:spacing w:before="0" w:beforeAutospacing="0" w:after="0" w:afterAutospacing="0"/>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正偏离（负偏离或无偏离）</w:t>
            </w:r>
          </w:p>
        </w:tc>
      </w:tr>
      <w:tr w14:paraId="3A59D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noWrap w:val="0"/>
            <w:vAlign w:val="center"/>
          </w:tcPr>
          <w:p w14:paraId="4CD89974">
            <w:pPr>
              <w:keepNext w:val="0"/>
              <w:keepLines w:val="0"/>
              <w:suppressLineNumbers w:val="0"/>
              <w:spacing w:before="0" w:beforeAutospacing="0" w:after="0" w:afterAutospacing="0"/>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3F3F562">
            <w:pPr>
              <w:keepNext w:val="0"/>
              <w:keepLines w:val="0"/>
              <w:suppressLineNumbers w:val="0"/>
              <w:spacing w:before="0" w:beforeAutospacing="0" w:after="0" w:afterAutospacing="0"/>
              <w:ind w:left="0" w:right="0"/>
              <w:rPr>
                <w:rFonts w:hint="default" w:ascii="宋体" w:hAnsi="宋体" w:cs="Times New Roman"/>
                <w:color w:val="auto"/>
                <w:szCs w:val="21"/>
                <w:highlight w:val="none"/>
              </w:rPr>
            </w:pPr>
          </w:p>
        </w:tc>
        <w:tc>
          <w:tcPr>
            <w:tcW w:w="2310" w:type="dxa"/>
            <w:tcBorders>
              <w:top w:val="single" w:color="auto" w:sz="4" w:space="0"/>
              <w:left w:val="single" w:color="auto" w:sz="4" w:space="0"/>
              <w:bottom w:val="single" w:color="auto" w:sz="4" w:space="0"/>
              <w:right w:val="single" w:color="auto" w:sz="4" w:space="0"/>
            </w:tcBorders>
            <w:noWrap w:val="0"/>
            <w:vAlign w:val="center"/>
          </w:tcPr>
          <w:p w14:paraId="3CB0F3AC">
            <w:pPr>
              <w:keepNext w:val="0"/>
              <w:keepLines w:val="0"/>
              <w:suppressLineNumbers w:val="0"/>
              <w:spacing w:before="0" w:beforeAutospacing="0" w:after="0" w:afterAutospacing="0"/>
              <w:ind w:left="0" w:right="0"/>
              <w:rPr>
                <w:rFonts w:hint="default" w:ascii="宋体" w:hAnsi="宋体" w:cs="Times New Roman"/>
                <w:color w:val="auto"/>
                <w:szCs w:val="21"/>
                <w:highlight w:val="none"/>
              </w:rPr>
            </w:pPr>
          </w:p>
        </w:tc>
        <w:tc>
          <w:tcPr>
            <w:tcW w:w="1516" w:type="dxa"/>
            <w:tcBorders>
              <w:top w:val="single" w:color="auto" w:sz="4" w:space="0"/>
              <w:left w:val="single" w:color="auto" w:sz="4" w:space="0"/>
              <w:bottom w:val="single" w:color="auto" w:sz="4" w:space="0"/>
              <w:right w:val="single" w:color="auto" w:sz="4" w:space="0"/>
            </w:tcBorders>
            <w:noWrap w:val="0"/>
            <w:vAlign w:val="center"/>
          </w:tcPr>
          <w:p w14:paraId="66A61440">
            <w:pPr>
              <w:keepNext w:val="0"/>
              <w:keepLines w:val="0"/>
              <w:suppressLineNumbers w:val="0"/>
              <w:spacing w:before="0" w:beforeAutospacing="0" w:after="0" w:afterAutospacing="0"/>
              <w:ind w:left="0" w:right="0"/>
              <w:rPr>
                <w:rFonts w:hint="default" w:ascii="宋体" w:hAnsi="宋体" w:cs="Times New Roman"/>
                <w:color w:val="auto"/>
                <w:szCs w:val="21"/>
                <w:highlight w:val="none"/>
              </w:rPr>
            </w:pPr>
          </w:p>
        </w:tc>
        <w:tc>
          <w:tcPr>
            <w:tcW w:w="3297" w:type="dxa"/>
            <w:tcBorders>
              <w:top w:val="single" w:color="auto" w:sz="4" w:space="0"/>
              <w:left w:val="single" w:color="auto" w:sz="4" w:space="0"/>
              <w:bottom w:val="single" w:color="auto" w:sz="4" w:space="0"/>
              <w:right w:val="single" w:color="auto" w:sz="4" w:space="0"/>
            </w:tcBorders>
            <w:noWrap w:val="0"/>
            <w:vAlign w:val="center"/>
          </w:tcPr>
          <w:p w14:paraId="1BD3EF9A">
            <w:pPr>
              <w:keepNext w:val="0"/>
              <w:keepLines w:val="0"/>
              <w:suppressLineNumbers w:val="0"/>
              <w:spacing w:before="0" w:beforeAutospacing="0" w:after="0" w:afterAutospacing="0"/>
              <w:ind w:left="0" w:right="0"/>
              <w:rPr>
                <w:rFonts w:hint="default" w:ascii="宋体" w:hAnsi="宋体" w:cs="Times New Roman"/>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455B804A">
            <w:pPr>
              <w:keepNext w:val="0"/>
              <w:keepLines w:val="0"/>
              <w:suppressLineNumbers w:val="0"/>
              <w:spacing w:before="0" w:beforeAutospacing="0" w:after="0" w:afterAutospacing="0"/>
              <w:ind w:left="0" w:right="0"/>
              <w:rPr>
                <w:rFonts w:hint="default" w:ascii="宋体" w:hAnsi="宋体" w:cs="Times New Roman"/>
                <w:color w:val="auto"/>
                <w:szCs w:val="21"/>
                <w:highlight w:val="none"/>
              </w:rPr>
            </w:pPr>
          </w:p>
        </w:tc>
      </w:tr>
      <w:tr w14:paraId="4A45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0185" w:type="dxa"/>
            <w:gridSpan w:val="6"/>
            <w:tcBorders>
              <w:top w:val="single" w:color="auto" w:sz="4" w:space="0"/>
              <w:left w:val="single" w:color="auto" w:sz="4" w:space="0"/>
              <w:bottom w:val="single" w:color="auto" w:sz="4" w:space="0"/>
              <w:right w:val="single" w:color="auto" w:sz="4" w:space="0"/>
            </w:tcBorders>
            <w:noWrap w:val="0"/>
            <w:vAlign w:val="center"/>
          </w:tcPr>
          <w:p w14:paraId="4C812F58">
            <w:pPr>
              <w:keepNext w:val="0"/>
              <w:keepLines w:val="0"/>
              <w:suppressLineNumbers w:val="0"/>
              <w:spacing w:before="0" w:beforeAutospacing="0" w:after="0" w:afterAutospacing="0"/>
              <w:ind w:left="0" w:right="0"/>
              <w:rPr>
                <w:rFonts w:hint="default" w:ascii="宋体" w:hAnsi="宋体" w:cs="Times New Roman"/>
                <w:color w:val="auto"/>
                <w:szCs w:val="21"/>
                <w:highlight w:val="none"/>
              </w:rPr>
            </w:pP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分标（此处有分标时填写具体分标号，无分标时填写“无”）</w:t>
            </w:r>
          </w:p>
        </w:tc>
      </w:tr>
    </w:tbl>
    <w:p w14:paraId="530BAA2F">
      <w:pPr>
        <w:spacing w:line="360" w:lineRule="auto"/>
        <w:rPr>
          <w:rFonts w:hint="eastAsia" w:ascii="宋体" w:hAnsi="宋体"/>
          <w:color w:val="auto"/>
          <w:szCs w:val="21"/>
          <w:highlight w:val="none"/>
        </w:rPr>
      </w:pPr>
      <w:r>
        <w:rPr>
          <w:rFonts w:hint="eastAsia" w:ascii="宋体" w:hAnsi="宋体"/>
          <w:color w:val="auto"/>
          <w:szCs w:val="21"/>
          <w:highlight w:val="none"/>
        </w:rPr>
        <w:t>注：</w:t>
      </w:r>
    </w:p>
    <w:p w14:paraId="1A819CBF">
      <w:pPr>
        <w:spacing w:line="360" w:lineRule="auto"/>
        <w:rPr>
          <w:rFonts w:hint="eastAsia" w:ascii="宋体" w:hAnsi="宋体"/>
          <w:color w:val="auto"/>
          <w:szCs w:val="21"/>
          <w:highlight w:val="none"/>
        </w:rPr>
      </w:pPr>
      <w:r>
        <w:rPr>
          <w:rFonts w:hint="eastAsia" w:ascii="宋体" w:hAnsi="宋体" w:cs="宋体"/>
          <w:color w:val="auto"/>
          <w:szCs w:val="21"/>
          <w:highlight w:val="none"/>
        </w:rPr>
        <w:t>1.</w:t>
      </w:r>
      <w:r>
        <w:rPr>
          <w:rFonts w:hint="eastAsia" w:ascii="宋体" w:hAnsi="宋体"/>
          <w:color w:val="auto"/>
          <w:szCs w:val="21"/>
          <w:highlight w:val="none"/>
        </w:rPr>
        <w:t>表格内容均需按要求填写并盖章。</w:t>
      </w:r>
    </w:p>
    <w:p w14:paraId="3CE49664">
      <w:pPr>
        <w:spacing w:line="360" w:lineRule="auto"/>
        <w:rPr>
          <w:rFonts w:hint="eastAsia" w:ascii="宋体" w:hAnsi="宋体"/>
          <w:color w:val="auto"/>
          <w:szCs w:val="21"/>
          <w:highlight w:val="none"/>
        </w:rPr>
      </w:pPr>
      <w:r>
        <w:rPr>
          <w:rFonts w:hint="eastAsia" w:ascii="宋体" w:hAnsi="宋体"/>
          <w:bCs/>
          <w:color w:val="auto"/>
          <w:szCs w:val="21"/>
          <w:highlight w:val="none"/>
        </w:rPr>
        <w:t>2.当投标文件的服务内容低于招标文件要求时，投标人应当如实写明“负偏离”，否则视为虚假应标。</w:t>
      </w:r>
    </w:p>
    <w:p w14:paraId="67BE52AE">
      <w:pPr>
        <w:spacing w:line="360" w:lineRule="auto"/>
        <w:rPr>
          <w:rFonts w:hint="eastAsia" w:ascii="宋体" w:hAnsi="Courier New"/>
          <w:color w:val="auto"/>
          <w:szCs w:val="20"/>
          <w:highlight w:val="none"/>
        </w:rPr>
      </w:pPr>
      <w:r>
        <w:rPr>
          <w:rFonts w:hint="eastAsia" w:ascii="宋体" w:hAnsi="Courier New"/>
          <w:color w:val="auto"/>
          <w:szCs w:val="20"/>
          <w:highlight w:val="none"/>
        </w:rPr>
        <w:t>3.</w:t>
      </w:r>
      <w:r>
        <w:rPr>
          <w:rFonts w:hint="eastAsia" w:ascii="宋体" w:hAnsi="宋体" w:cs="宋体"/>
          <w:color w:val="auto"/>
          <w:szCs w:val="21"/>
          <w:highlight w:val="none"/>
        </w:rPr>
        <w:t>采购需求中带“▲”及“★”的条款，也要分别在本表“</w:t>
      </w:r>
      <w:r>
        <w:rPr>
          <w:rFonts w:hint="eastAsia" w:ascii="宋体" w:hAnsi="宋体"/>
          <w:color w:val="auto"/>
          <w:szCs w:val="21"/>
          <w:highlight w:val="none"/>
        </w:rPr>
        <w:t>服务参数</w:t>
      </w:r>
      <w:r>
        <w:rPr>
          <w:rFonts w:hint="eastAsia" w:ascii="宋体" w:hAnsi="宋体" w:cs="宋体"/>
          <w:color w:val="auto"/>
          <w:szCs w:val="21"/>
          <w:highlight w:val="none"/>
        </w:rPr>
        <w:t>”、“</w:t>
      </w:r>
      <w:r>
        <w:rPr>
          <w:rFonts w:hint="eastAsia" w:ascii="宋体" w:hAnsi="宋体"/>
          <w:color w:val="auto"/>
          <w:szCs w:val="21"/>
          <w:highlight w:val="none"/>
        </w:rPr>
        <w:t>所提供服务的内容</w:t>
      </w:r>
      <w:r>
        <w:rPr>
          <w:rFonts w:hint="eastAsia" w:ascii="宋体" w:hAnsi="宋体" w:cs="宋体"/>
          <w:color w:val="auto"/>
          <w:szCs w:val="21"/>
          <w:highlight w:val="none"/>
        </w:rPr>
        <w:t>”中标记。</w:t>
      </w:r>
    </w:p>
    <w:p w14:paraId="0E57203A">
      <w:pPr>
        <w:snapToGrid w:val="0"/>
        <w:spacing w:line="360" w:lineRule="auto"/>
        <w:ind w:firstLine="5640" w:firstLineChars="2350"/>
        <w:rPr>
          <w:rFonts w:hint="eastAsia" w:ascii="仿宋_GB2312" w:hAnsi="仿宋" w:eastAsia="仿宋_GB2312" w:cs="仿宋_GB2312"/>
          <w:color w:val="auto"/>
          <w:kern w:val="0"/>
          <w:sz w:val="24"/>
          <w:highlight w:val="none"/>
          <w:lang w:val="zh-CN"/>
        </w:rPr>
      </w:pPr>
    </w:p>
    <w:p w14:paraId="080381F0">
      <w:pPr>
        <w:snapToGrid w:val="0"/>
        <w:spacing w:line="360" w:lineRule="auto"/>
        <w:ind w:firstLine="5640" w:firstLineChars="235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4885DA36">
      <w:pPr>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4DBF8E0C">
      <w:pPr>
        <w:widowControl/>
        <w:jc w:val="left"/>
        <w:rPr>
          <w:rFonts w:ascii="宋体" w:hAnsi="宋体"/>
          <w:color w:val="auto"/>
          <w:sz w:val="30"/>
          <w:szCs w:val="20"/>
          <w:highlight w:val="none"/>
        </w:rPr>
        <w:sectPr>
          <w:pgSz w:w="11906" w:h="16838"/>
          <w:pgMar w:top="1134" w:right="1134" w:bottom="1134" w:left="1134" w:header="720" w:footer="720" w:gutter="0"/>
          <w:cols w:space="720" w:num="1"/>
          <w:docGrid w:type="lines" w:linePitch="331" w:charSpace="0"/>
        </w:sectPr>
      </w:pPr>
    </w:p>
    <w:p w14:paraId="6CAAFA6A">
      <w:pPr>
        <w:snapToGrid w:val="0"/>
        <w:spacing w:before="165" w:beforeLines="50" w:after="50"/>
        <w:jc w:val="center"/>
        <w:rPr>
          <w:rFonts w:hint="eastAsia"/>
          <w:b/>
          <w:bCs/>
          <w:color w:val="auto"/>
          <w:sz w:val="30"/>
          <w:szCs w:val="30"/>
          <w:highlight w:val="none"/>
        </w:rPr>
      </w:pPr>
      <w:r>
        <w:rPr>
          <w:rFonts w:hint="eastAsia"/>
          <w:b/>
          <w:bCs/>
          <w:color w:val="auto"/>
          <w:sz w:val="30"/>
          <w:szCs w:val="30"/>
          <w:highlight w:val="none"/>
        </w:rPr>
        <w:t>二、组织服务方案</w:t>
      </w:r>
    </w:p>
    <w:p w14:paraId="2F3E9EA3">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（由投标人根据采购需求及招标文件要求编制）</w:t>
      </w:r>
    </w:p>
    <w:p w14:paraId="2341B0F2">
      <w:pPr>
        <w:rPr>
          <w:rFonts w:hint="eastAsia" w:ascii="仿宋_GB2312" w:hAnsi="仿宋" w:eastAsia="仿宋_GB2312" w:cs="仿宋_GB2312"/>
          <w:b/>
          <w:bCs/>
          <w:color w:val="auto"/>
          <w:kern w:val="0"/>
          <w:sz w:val="24"/>
          <w:highlight w:val="none"/>
          <w:lang w:val="zh-CN"/>
        </w:rPr>
      </w:pPr>
    </w:p>
    <w:p w14:paraId="222FB7E6">
      <w:pPr>
        <w:rPr>
          <w:rFonts w:hint="eastAsia" w:ascii="仿宋_GB2312" w:hAnsi="仿宋" w:eastAsia="仿宋_GB2312" w:cs="仿宋_GB2312"/>
          <w:b/>
          <w:bCs/>
          <w:color w:val="auto"/>
          <w:kern w:val="0"/>
          <w:sz w:val="24"/>
          <w:highlight w:val="none"/>
          <w:lang w:val="zh-CN"/>
        </w:rPr>
      </w:pPr>
    </w:p>
    <w:p w14:paraId="3D70A6FA">
      <w:pPr>
        <w:rPr>
          <w:rFonts w:hint="eastAsia" w:ascii="仿宋_GB2312" w:hAnsi="仿宋" w:eastAsia="仿宋_GB2312" w:cs="仿宋_GB2312"/>
          <w:b/>
          <w:bCs/>
          <w:color w:val="auto"/>
          <w:kern w:val="0"/>
          <w:sz w:val="24"/>
          <w:highlight w:val="none"/>
          <w:lang w:val="zh-CN"/>
        </w:rPr>
      </w:pPr>
    </w:p>
    <w:p w14:paraId="0EDE7A10">
      <w:pPr>
        <w:autoSpaceDE w:val="0"/>
        <w:autoSpaceDN w:val="0"/>
        <w:spacing w:line="360" w:lineRule="auto"/>
        <w:ind w:firstLine="4440" w:firstLineChars="185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投标人名称（电子签章）：</w:t>
      </w:r>
    </w:p>
    <w:p w14:paraId="16828F9C">
      <w:pPr>
        <w:autoSpaceDE w:val="0"/>
        <w:autoSpaceDN w:val="0"/>
        <w:spacing w:line="360" w:lineRule="auto"/>
        <w:rPr>
          <w:rFonts w:hint="eastAsia" w:ascii="仿宋_GB2312" w:hAnsi="仿宋" w:eastAsia="仿宋_GB2312" w:cs="仿宋_GB2312"/>
          <w:b/>
          <w:bCs/>
          <w:color w:val="auto"/>
          <w:sz w:val="32"/>
          <w:szCs w:val="32"/>
          <w:highlight w:val="none"/>
        </w:rPr>
      </w:pP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日期：  年  月   日</w:t>
      </w:r>
    </w:p>
    <w:p w14:paraId="7AA757A3">
      <w:pPr>
        <w:snapToGrid w:val="0"/>
        <w:spacing w:line="360" w:lineRule="auto"/>
        <w:ind w:firstLine="4935" w:firstLineChars="2350"/>
        <w:rPr>
          <w:rFonts w:hint="eastAsia" w:hAnsi="宋体"/>
          <w:color w:val="auto"/>
          <w:szCs w:val="21"/>
          <w:highlight w:val="none"/>
        </w:rPr>
      </w:pPr>
      <w:r>
        <w:rPr>
          <w:rFonts w:hAnsi="宋体"/>
          <w:color w:val="auto"/>
          <w:szCs w:val="21"/>
          <w:highlight w:val="none"/>
        </w:rPr>
        <w:t xml:space="preserve"> </w:t>
      </w:r>
    </w:p>
    <w:p w14:paraId="0D9A7B49">
      <w:pPr>
        <w:snapToGrid w:val="0"/>
        <w:spacing w:before="165" w:beforeLines="50" w:after="50"/>
        <w:jc w:val="center"/>
        <w:rPr>
          <w:b/>
          <w:bCs/>
          <w:color w:val="auto"/>
          <w:sz w:val="30"/>
          <w:szCs w:val="30"/>
          <w:highlight w:val="none"/>
        </w:rPr>
      </w:pPr>
      <w:r>
        <w:rPr>
          <w:rFonts w:hint="eastAsia"/>
          <w:b/>
          <w:bCs/>
          <w:color w:val="auto"/>
          <w:sz w:val="30"/>
          <w:szCs w:val="30"/>
          <w:highlight w:val="none"/>
        </w:rPr>
        <w:t>三、售后服务方案</w:t>
      </w:r>
    </w:p>
    <w:p w14:paraId="7CB150B9">
      <w:pPr>
        <w:autoSpaceDE w:val="0"/>
        <w:autoSpaceDN w:val="0"/>
        <w:spacing w:line="360" w:lineRule="auto"/>
        <w:jc w:val="center"/>
        <w:rPr>
          <w:rFonts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（由投标人根据采购需求及招标文件要求编制）</w:t>
      </w:r>
    </w:p>
    <w:p w14:paraId="7C3AA56A">
      <w:pPr>
        <w:snapToGrid w:val="0"/>
        <w:spacing w:before="165" w:beforeLines="50" w:after="50"/>
        <w:ind w:left="142"/>
        <w:jc w:val="center"/>
        <w:rPr>
          <w:rFonts w:hint="eastAsia" w:ascii="宋体" w:hAnsi="宋体"/>
          <w:b/>
          <w:color w:val="auto"/>
          <w:sz w:val="32"/>
          <w:szCs w:val="32"/>
          <w:highlight w:val="none"/>
        </w:rPr>
      </w:pPr>
    </w:p>
    <w:p w14:paraId="1AB02A7C">
      <w:pPr>
        <w:snapToGrid w:val="0"/>
        <w:spacing w:before="165" w:beforeLines="50" w:after="50"/>
        <w:ind w:left="142"/>
        <w:jc w:val="center"/>
        <w:rPr>
          <w:rFonts w:hint="eastAsia" w:ascii="宋体" w:hAnsi="宋体"/>
          <w:b/>
          <w:color w:val="auto"/>
          <w:sz w:val="32"/>
          <w:szCs w:val="32"/>
          <w:highlight w:val="none"/>
        </w:rPr>
      </w:pPr>
    </w:p>
    <w:p w14:paraId="17C72D13">
      <w:pPr>
        <w:snapToGrid w:val="0"/>
        <w:spacing w:before="165" w:beforeLines="50" w:after="50"/>
        <w:ind w:left="142"/>
        <w:jc w:val="center"/>
        <w:rPr>
          <w:rFonts w:hint="eastAsia" w:ascii="宋体" w:hAnsi="宋体"/>
          <w:b/>
          <w:color w:val="auto"/>
          <w:sz w:val="32"/>
          <w:szCs w:val="32"/>
          <w:highlight w:val="none"/>
        </w:rPr>
      </w:pPr>
    </w:p>
    <w:p w14:paraId="4F176A5A">
      <w:pPr>
        <w:snapToGrid w:val="0"/>
        <w:spacing w:before="165" w:beforeLines="50" w:after="50"/>
        <w:ind w:left="142"/>
        <w:jc w:val="center"/>
        <w:rPr>
          <w:rFonts w:hint="eastAsia" w:ascii="宋体" w:hAnsi="宋体"/>
          <w:b/>
          <w:color w:val="auto"/>
          <w:sz w:val="32"/>
          <w:szCs w:val="32"/>
          <w:highlight w:val="none"/>
        </w:rPr>
      </w:pPr>
    </w:p>
    <w:p w14:paraId="5B24D25A">
      <w:pPr>
        <w:snapToGrid w:val="0"/>
        <w:spacing w:before="165" w:beforeLines="50" w:after="50"/>
        <w:ind w:left="142"/>
        <w:jc w:val="center"/>
        <w:rPr>
          <w:rFonts w:hint="eastAsia" w:ascii="宋体" w:hAnsi="宋体"/>
          <w:b/>
          <w:color w:val="auto"/>
          <w:sz w:val="32"/>
          <w:szCs w:val="32"/>
          <w:highlight w:val="none"/>
        </w:rPr>
      </w:pPr>
    </w:p>
    <w:p w14:paraId="6CA3D881">
      <w:pPr>
        <w:snapToGrid w:val="0"/>
        <w:spacing w:before="165" w:beforeLines="50" w:after="50"/>
        <w:ind w:left="142"/>
        <w:jc w:val="center"/>
        <w:rPr>
          <w:rFonts w:hint="eastAsia" w:ascii="宋体" w:hAnsi="宋体"/>
          <w:b/>
          <w:color w:val="auto"/>
          <w:sz w:val="32"/>
          <w:szCs w:val="32"/>
          <w:highlight w:val="none"/>
        </w:rPr>
      </w:pPr>
    </w:p>
    <w:p w14:paraId="467EE2F0">
      <w:pPr>
        <w:snapToGrid w:val="0"/>
        <w:spacing w:before="165" w:beforeLines="50" w:after="50"/>
        <w:ind w:left="142"/>
        <w:jc w:val="center"/>
        <w:rPr>
          <w:rFonts w:hint="eastAsia" w:ascii="宋体" w:hAnsi="宋体"/>
          <w:b/>
          <w:color w:val="auto"/>
          <w:sz w:val="32"/>
          <w:szCs w:val="32"/>
          <w:highlight w:val="none"/>
        </w:rPr>
      </w:pPr>
    </w:p>
    <w:p w14:paraId="16DCB55C">
      <w:pPr>
        <w:snapToGrid w:val="0"/>
        <w:spacing w:before="165" w:beforeLines="50" w:after="50"/>
        <w:ind w:left="142"/>
        <w:jc w:val="center"/>
        <w:rPr>
          <w:rFonts w:hint="eastAsia" w:ascii="宋体" w:hAnsi="宋体"/>
          <w:b/>
          <w:color w:val="auto"/>
          <w:sz w:val="32"/>
          <w:szCs w:val="32"/>
          <w:highlight w:val="none"/>
        </w:rPr>
      </w:pPr>
    </w:p>
    <w:p w14:paraId="0E802366">
      <w:pPr>
        <w:snapToGrid w:val="0"/>
        <w:spacing w:before="165" w:beforeLines="50" w:after="50"/>
        <w:ind w:left="142"/>
        <w:jc w:val="center"/>
        <w:rPr>
          <w:rFonts w:hint="eastAsia" w:ascii="宋体" w:hAnsi="宋体"/>
          <w:b/>
          <w:color w:val="auto"/>
          <w:sz w:val="32"/>
          <w:szCs w:val="32"/>
          <w:highlight w:val="none"/>
        </w:rPr>
      </w:pPr>
    </w:p>
    <w:p w14:paraId="05725799">
      <w:pPr>
        <w:snapToGrid w:val="0"/>
        <w:spacing w:before="165" w:beforeLines="50" w:after="50"/>
        <w:ind w:left="142"/>
        <w:jc w:val="center"/>
        <w:rPr>
          <w:rFonts w:hint="eastAsia" w:ascii="宋体" w:hAnsi="宋体"/>
          <w:b/>
          <w:color w:val="auto"/>
          <w:sz w:val="32"/>
          <w:szCs w:val="32"/>
          <w:highlight w:val="none"/>
        </w:rPr>
      </w:pPr>
    </w:p>
    <w:p w14:paraId="7213D9EB">
      <w:pPr>
        <w:snapToGrid w:val="0"/>
        <w:spacing w:before="165" w:beforeLines="50" w:after="50"/>
        <w:ind w:left="142"/>
        <w:jc w:val="center"/>
        <w:rPr>
          <w:rFonts w:hint="eastAsia" w:ascii="宋体" w:hAnsi="宋体"/>
          <w:b/>
          <w:color w:val="auto"/>
          <w:sz w:val="32"/>
          <w:szCs w:val="32"/>
          <w:highlight w:val="none"/>
        </w:rPr>
      </w:pPr>
    </w:p>
    <w:p w14:paraId="7ED57367">
      <w:pPr>
        <w:snapToGrid w:val="0"/>
        <w:spacing w:before="165" w:beforeLines="50" w:after="50"/>
        <w:ind w:left="142"/>
        <w:jc w:val="center"/>
        <w:rPr>
          <w:rFonts w:hint="eastAsia" w:ascii="宋体" w:hAnsi="宋体"/>
          <w:b/>
          <w:color w:val="auto"/>
          <w:sz w:val="32"/>
          <w:szCs w:val="32"/>
          <w:highlight w:val="none"/>
        </w:rPr>
      </w:pPr>
    </w:p>
    <w:p w14:paraId="33B3112F">
      <w:pPr>
        <w:snapToGrid w:val="0"/>
        <w:spacing w:before="165" w:beforeLines="50" w:after="50"/>
        <w:ind w:left="142"/>
        <w:jc w:val="center"/>
        <w:rPr>
          <w:rFonts w:hint="eastAsia" w:ascii="宋体" w:hAnsi="宋体"/>
          <w:b/>
          <w:color w:val="auto"/>
          <w:sz w:val="32"/>
          <w:szCs w:val="32"/>
          <w:highlight w:val="none"/>
        </w:rPr>
      </w:pPr>
    </w:p>
    <w:p w14:paraId="492FB447">
      <w:pPr>
        <w:snapToGrid w:val="0"/>
        <w:spacing w:before="165" w:beforeLines="50" w:after="50"/>
        <w:ind w:left="142"/>
        <w:jc w:val="center"/>
        <w:rPr>
          <w:rFonts w:hint="eastAsia" w:ascii="宋体" w:hAnsi="宋体"/>
          <w:b/>
          <w:color w:val="auto"/>
          <w:sz w:val="32"/>
          <w:szCs w:val="32"/>
          <w:highlight w:val="none"/>
        </w:rPr>
      </w:pPr>
    </w:p>
    <w:p w14:paraId="60813491">
      <w:pPr>
        <w:snapToGrid w:val="0"/>
        <w:spacing w:before="165" w:beforeLines="50" w:after="50"/>
        <w:ind w:left="142"/>
        <w:jc w:val="center"/>
        <w:rPr>
          <w:rFonts w:hint="eastAsia" w:ascii="宋体" w:hAnsi="宋体"/>
          <w:b/>
          <w:color w:val="auto"/>
          <w:sz w:val="32"/>
          <w:szCs w:val="32"/>
          <w:highlight w:val="none"/>
        </w:rPr>
      </w:pPr>
    </w:p>
    <w:p w14:paraId="7E6C6238">
      <w:pPr>
        <w:snapToGrid w:val="0"/>
        <w:spacing w:before="165" w:beforeLines="50" w:after="50"/>
        <w:ind w:left="142"/>
        <w:jc w:val="center"/>
        <w:rPr>
          <w:rFonts w:hint="eastAsia" w:ascii="宋体" w:hAnsi="宋体"/>
          <w:b/>
          <w:color w:val="auto"/>
          <w:sz w:val="32"/>
          <w:szCs w:val="32"/>
          <w:highlight w:val="none"/>
        </w:rPr>
      </w:pPr>
    </w:p>
    <w:p w14:paraId="2DB82067">
      <w:pPr>
        <w:snapToGrid w:val="0"/>
        <w:spacing w:before="165" w:beforeLines="50" w:after="50"/>
        <w:ind w:left="142"/>
        <w:jc w:val="center"/>
        <w:rPr>
          <w:rFonts w:hint="eastAsia" w:ascii="宋体" w:hAnsi="宋体"/>
          <w:b/>
          <w:color w:val="auto"/>
          <w:sz w:val="32"/>
          <w:szCs w:val="32"/>
          <w:highlight w:val="none"/>
        </w:rPr>
      </w:pPr>
    </w:p>
    <w:p w14:paraId="348D2AFD">
      <w:pPr>
        <w:snapToGrid w:val="0"/>
        <w:spacing w:before="165" w:beforeLines="50" w:after="50"/>
        <w:ind w:left="142"/>
        <w:jc w:val="center"/>
        <w:rPr>
          <w:rFonts w:hint="eastAsia" w:ascii="宋体" w:hAnsi="宋体"/>
          <w:b/>
          <w:color w:val="auto"/>
          <w:sz w:val="32"/>
          <w:szCs w:val="32"/>
          <w:highlight w:val="none"/>
        </w:rPr>
      </w:pPr>
      <w:r>
        <w:rPr>
          <w:rFonts w:hint="eastAsia" w:ascii="宋体" w:hAnsi="宋体"/>
          <w:b/>
          <w:color w:val="auto"/>
          <w:sz w:val="32"/>
          <w:szCs w:val="32"/>
          <w:highlight w:val="none"/>
        </w:rPr>
        <w:t>四、项目实施人员一览表</w:t>
      </w:r>
    </w:p>
    <w:p w14:paraId="0C030992">
      <w:pPr>
        <w:spacing w:line="360" w:lineRule="auto"/>
        <w:jc w:val="center"/>
        <w:rPr>
          <w:rFonts w:hint="eastAsia" w:ascii="仿宋_GB2312" w:hAnsi="仿宋" w:eastAsia="仿宋_GB2312" w:cs="仿宋_GB2312"/>
          <w:b/>
          <w:bCs/>
          <w:color w:val="auto"/>
          <w:sz w:val="24"/>
          <w:highlight w:val="none"/>
        </w:rPr>
      </w:pPr>
      <w:r>
        <w:rPr>
          <w:rFonts w:hint="eastAsia" w:ascii="仿宋_GB2312" w:hAnsi="仿宋" w:eastAsia="仿宋_GB2312" w:cs="仿宋_GB2312"/>
          <w:color w:val="auto"/>
          <w:sz w:val="24"/>
          <w:highlight w:val="none"/>
        </w:rPr>
        <w:t>（由投标人根据采购需求及招标文件要求编制）</w:t>
      </w:r>
    </w:p>
    <w:p w14:paraId="4750449E">
      <w:pPr>
        <w:rPr>
          <w:rFonts w:hint="eastAsia" w:ascii="宋体" w:hAnsi="Courier New"/>
          <w:color w:val="auto"/>
          <w:sz w:val="24"/>
          <w:highlight w:val="none"/>
        </w:rPr>
      </w:pPr>
      <w:r>
        <w:rPr>
          <w:rFonts w:hint="eastAsia" w:ascii="宋体" w:hAnsi="Courier New"/>
          <w:color w:val="auto"/>
          <w:sz w:val="24"/>
          <w:highlight w:val="none"/>
        </w:rPr>
        <w:t>所投分标：</w:t>
      </w:r>
      <w:r>
        <w:rPr>
          <w:rFonts w:hint="eastAsia" w:ascii="宋体" w:hAnsi="Courier New"/>
          <w:color w:val="auto"/>
          <w:sz w:val="24"/>
          <w:highlight w:val="none"/>
          <w:u w:val="single"/>
        </w:rPr>
        <w:t xml:space="preserve">     </w:t>
      </w:r>
      <w:r>
        <w:rPr>
          <w:rFonts w:hint="eastAsia" w:ascii="宋体" w:hAnsi="Courier New"/>
          <w:color w:val="auto"/>
          <w:sz w:val="24"/>
          <w:highlight w:val="none"/>
        </w:rPr>
        <w:t>分标</w:t>
      </w:r>
    </w:p>
    <w:p w14:paraId="69512BF8">
      <w:pPr>
        <w:keepNext/>
        <w:autoSpaceDE w:val="0"/>
        <w:autoSpaceDN w:val="0"/>
        <w:spacing w:line="360" w:lineRule="auto"/>
        <w:ind w:firstLine="477"/>
        <w:rPr>
          <w:rFonts w:hint="eastAsia"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附表A：本项目的项目负责人情况表</w:t>
      </w:r>
    </w:p>
    <w:tbl>
      <w:tblPr>
        <w:tblStyle w:val="33"/>
        <w:tblW w:w="0" w:type="auto"/>
        <w:tblInd w:w="2" w:type="dxa"/>
        <w:tblLayout w:type="fixed"/>
        <w:tblCellMar>
          <w:top w:w="0" w:type="dxa"/>
          <w:left w:w="108" w:type="dxa"/>
          <w:bottom w:w="0" w:type="dxa"/>
          <w:right w:w="108" w:type="dxa"/>
        </w:tblCellMar>
      </w:tblPr>
      <w:tblGrid>
        <w:gridCol w:w="2061"/>
        <w:gridCol w:w="1287"/>
        <w:gridCol w:w="1260"/>
        <w:gridCol w:w="4147"/>
      </w:tblGrid>
      <w:tr w14:paraId="48C8863C">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4D38EFB">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14:paraId="00042F20">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39FA5C8E">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14:paraId="5390AFC5">
            <w:pPr>
              <w:keepNext w:val="0"/>
              <w:keepLines w:val="0"/>
              <w:suppressLineNumbers w:val="0"/>
              <w:autoSpaceDE w:val="0"/>
              <w:autoSpaceDN w:val="0"/>
              <w:spacing w:before="0" w:beforeAutospacing="0" w:after="0" w:afterAutospacing="0" w:line="360" w:lineRule="auto"/>
              <w:ind w:left="0" w:right="0"/>
              <w:rPr>
                <w:rFonts w:hint="default"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投标截止时间前三年业绩及承担的主要工作情况，曾担任项目负责人的项目应列明细</w:t>
            </w:r>
          </w:p>
        </w:tc>
      </w:tr>
      <w:tr w14:paraId="678F835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940F350">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607B6143">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7A6AEF9B">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14:paraId="5772C5B0">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 w:eastAsia="仿宋_GB2312" w:cs="仿宋_GB2312"/>
                <w:color w:val="auto"/>
                <w:sz w:val="24"/>
                <w:highlight w:val="none"/>
              </w:rPr>
            </w:pPr>
          </w:p>
        </w:tc>
      </w:tr>
      <w:tr w14:paraId="3B0040C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DB9D9B5">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3CC299A9">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51FDB843">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48614572">
            <w:pPr>
              <w:keepNext w:val="0"/>
              <w:keepLines w:val="0"/>
              <w:widowControl/>
              <w:suppressLineNumbers w:val="0"/>
              <w:spacing w:before="0" w:beforeAutospacing="0" w:after="0" w:afterAutospacing="0"/>
              <w:ind w:left="0" w:right="0"/>
              <w:jc w:val="left"/>
              <w:rPr>
                <w:rFonts w:hint="default" w:ascii="仿宋_GB2312" w:hAnsi="仿宋" w:eastAsia="仿宋_GB2312" w:cs="仿宋_GB2312"/>
                <w:color w:val="auto"/>
                <w:sz w:val="24"/>
                <w:highlight w:val="none"/>
              </w:rPr>
            </w:pPr>
          </w:p>
        </w:tc>
      </w:tr>
      <w:tr w14:paraId="561B714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5CF965FE">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6771BD4B">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1AC81368">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0FAC447E">
            <w:pPr>
              <w:keepNext w:val="0"/>
              <w:keepLines w:val="0"/>
              <w:widowControl/>
              <w:suppressLineNumbers w:val="0"/>
              <w:spacing w:before="0" w:beforeAutospacing="0" w:after="0" w:afterAutospacing="0"/>
              <w:ind w:left="0" w:right="0"/>
              <w:jc w:val="left"/>
              <w:rPr>
                <w:rFonts w:hint="default" w:ascii="仿宋_GB2312" w:hAnsi="仿宋" w:eastAsia="仿宋_GB2312" w:cs="仿宋_GB2312"/>
                <w:color w:val="auto"/>
                <w:sz w:val="24"/>
                <w:highlight w:val="none"/>
              </w:rPr>
            </w:pPr>
          </w:p>
        </w:tc>
      </w:tr>
      <w:tr w14:paraId="771E9E5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6F2F103D">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7CAF5C40">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49533E94">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2053097E">
            <w:pPr>
              <w:keepNext w:val="0"/>
              <w:keepLines w:val="0"/>
              <w:widowControl/>
              <w:suppressLineNumbers w:val="0"/>
              <w:spacing w:before="0" w:beforeAutospacing="0" w:after="0" w:afterAutospacing="0"/>
              <w:ind w:left="0" w:right="0"/>
              <w:jc w:val="left"/>
              <w:rPr>
                <w:rFonts w:hint="default" w:ascii="仿宋_GB2312" w:hAnsi="仿宋" w:eastAsia="仿宋_GB2312" w:cs="仿宋_GB2312"/>
                <w:color w:val="auto"/>
                <w:sz w:val="24"/>
                <w:highlight w:val="none"/>
              </w:rPr>
            </w:pPr>
          </w:p>
        </w:tc>
      </w:tr>
      <w:tr w14:paraId="260DC5AC">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76C926F9">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21795B29">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732FEB5A">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4DD127DE">
            <w:pPr>
              <w:keepNext w:val="0"/>
              <w:keepLines w:val="0"/>
              <w:widowControl/>
              <w:suppressLineNumbers w:val="0"/>
              <w:spacing w:before="0" w:beforeAutospacing="0" w:after="0" w:afterAutospacing="0"/>
              <w:ind w:left="0" w:right="0"/>
              <w:jc w:val="left"/>
              <w:rPr>
                <w:rFonts w:hint="default" w:ascii="仿宋_GB2312" w:hAnsi="仿宋" w:eastAsia="仿宋_GB2312" w:cs="仿宋_GB2312"/>
                <w:color w:val="auto"/>
                <w:sz w:val="24"/>
                <w:highlight w:val="none"/>
              </w:rPr>
            </w:pPr>
          </w:p>
        </w:tc>
      </w:tr>
      <w:tr w14:paraId="7170249B">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0BAC3C0A">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6FA9B717">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74BE91BA">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40803593">
            <w:pPr>
              <w:keepNext w:val="0"/>
              <w:keepLines w:val="0"/>
              <w:widowControl/>
              <w:suppressLineNumbers w:val="0"/>
              <w:spacing w:before="0" w:beforeAutospacing="0" w:after="0" w:afterAutospacing="0"/>
              <w:ind w:left="0" w:right="0"/>
              <w:jc w:val="left"/>
              <w:rPr>
                <w:rFonts w:hint="default" w:ascii="仿宋_GB2312" w:hAnsi="仿宋" w:eastAsia="仿宋_GB2312" w:cs="仿宋_GB2312"/>
                <w:color w:val="auto"/>
                <w:sz w:val="24"/>
                <w:highlight w:val="none"/>
              </w:rPr>
            </w:pPr>
          </w:p>
        </w:tc>
      </w:tr>
      <w:tr w14:paraId="009B7595">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526F7A6C">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6F6D2679">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17460FD5">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27B8EAD8">
            <w:pPr>
              <w:keepNext w:val="0"/>
              <w:keepLines w:val="0"/>
              <w:widowControl/>
              <w:suppressLineNumbers w:val="0"/>
              <w:spacing w:before="0" w:beforeAutospacing="0" w:after="0" w:afterAutospacing="0"/>
              <w:ind w:left="0" w:right="0"/>
              <w:jc w:val="left"/>
              <w:rPr>
                <w:rFonts w:hint="default" w:ascii="仿宋_GB2312" w:hAnsi="仿宋" w:eastAsia="仿宋_GB2312" w:cs="仿宋_GB2312"/>
                <w:color w:val="auto"/>
                <w:sz w:val="24"/>
                <w:highlight w:val="none"/>
              </w:rPr>
            </w:pPr>
          </w:p>
        </w:tc>
      </w:tr>
      <w:tr w14:paraId="547CA67E">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09472ABA">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1C262768">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27323C56">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0EA47A14">
            <w:pPr>
              <w:keepNext w:val="0"/>
              <w:keepLines w:val="0"/>
              <w:widowControl/>
              <w:suppressLineNumbers w:val="0"/>
              <w:spacing w:before="0" w:beforeAutospacing="0" w:after="0" w:afterAutospacing="0"/>
              <w:ind w:left="0" w:right="0"/>
              <w:jc w:val="left"/>
              <w:rPr>
                <w:rFonts w:hint="default" w:ascii="仿宋_GB2312" w:hAnsi="仿宋" w:eastAsia="仿宋_GB2312" w:cs="仿宋_GB2312"/>
                <w:color w:val="auto"/>
                <w:sz w:val="24"/>
                <w:highlight w:val="none"/>
              </w:rPr>
            </w:pPr>
          </w:p>
        </w:tc>
      </w:tr>
      <w:tr w14:paraId="64B0D343">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89F82C1">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35AA642D">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5D5E74F4">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5B77FE90">
            <w:pPr>
              <w:keepNext w:val="0"/>
              <w:keepLines w:val="0"/>
              <w:widowControl/>
              <w:suppressLineNumbers w:val="0"/>
              <w:spacing w:before="0" w:beforeAutospacing="0" w:after="0" w:afterAutospacing="0"/>
              <w:ind w:left="0" w:right="0"/>
              <w:jc w:val="left"/>
              <w:rPr>
                <w:rFonts w:hint="default" w:ascii="仿宋_GB2312" w:hAnsi="仿宋" w:eastAsia="仿宋_GB2312" w:cs="仿宋_GB2312"/>
                <w:color w:val="auto"/>
                <w:sz w:val="24"/>
                <w:highlight w:val="none"/>
              </w:rPr>
            </w:pPr>
          </w:p>
        </w:tc>
      </w:tr>
    </w:tbl>
    <w:p w14:paraId="3556432E">
      <w:pPr>
        <w:autoSpaceDE w:val="0"/>
        <w:autoSpaceDN w:val="0"/>
        <w:spacing w:line="360" w:lineRule="auto"/>
        <w:rPr>
          <w:rFonts w:hint="eastAsia"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注：如有请随表提交相应的证书复印件</w:t>
      </w:r>
    </w:p>
    <w:p w14:paraId="67AEA6D0">
      <w:pPr>
        <w:autoSpaceDE w:val="0"/>
        <w:autoSpaceDN w:val="0"/>
        <w:spacing w:line="360" w:lineRule="auto"/>
        <w:rPr>
          <w:rFonts w:hint="eastAsia"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附表B：本项目的项目小组人员情况表</w:t>
      </w:r>
      <w:r>
        <w:rPr>
          <w:rFonts w:hint="eastAsia" w:ascii="仿宋_GB2312" w:hAnsi="仿宋" w:eastAsia="仿宋_GB2312" w:cs="仿宋_GB2312"/>
          <w:color w:val="auto"/>
          <w:sz w:val="24"/>
          <w:highlight w:val="none"/>
        </w:rPr>
        <w:t>（按此格式自制）</w:t>
      </w:r>
    </w:p>
    <w:tbl>
      <w:tblPr>
        <w:tblStyle w:val="33"/>
        <w:tblW w:w="0" w:type="auto"/>
        <w:tblInd w:w="-6"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E4663FE">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14:paraId="3980FDCD">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7AA88040">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44A4C998">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14:paraId="40CA887F">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14:paraId="642AC128">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学历</w:t>
            </w:r>
          </w:p>
          <w:p w14:paraId="528FBB8A">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796217E7">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专业</w:t>
            </w:r>
          </w:p>
          <w:p w14:paraId="6C85DBA0">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6540C438">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职称</w:t>
            </w:r>
          </w:p>
          <w:p w14:paraId="3FFCC6C1">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19B0D36A">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3663BD9C">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14:paraId="622AB945">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参与本项目的到位情况</w:t>
            </w:r>
          </w:p>
        </w:tc>
      </w:tr>
      <w:tr w14:paraId="28CA156D">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667C7CC3">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38035DB3">
            <w:pPr>
              <w:keepNext w:val="0"/>
              <w:keepLines w:val="0"/>
              <w:suppressLineNumbers w:val="0"/>
              <w:autoSpaceDE w:val="0"/>
              <w:autoSpaceDN w:val="0"/>
              <w:spacing w:before="0" w:beforeAutospacing="0" w:after="0" w:afterAutospacing="0" w:line="360" w:lineRule="auto"/>
              <w:ind w:left="0" w:right="0"/>
              <w:rPr>
                <w:rFonts w:hint="default" w:ascii="仿宋_GB2312" w:hAnsi="仿宋"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015ECA6D">
            <w:pPr>
              <w:keepNext w:val="0"/>
              <w:keepLines w:val="0"/>
              <w:suppressLineNumbers w:val="0"/>
              <w:autoSpaceDE w:val="0"/>
              <w:autoSpaceDN w:val="0"/>
              <w:spacing w:before="0" w:beforeAutospacing="0" w:after="0" w:afterAutospacing="0" w:line="360" w:lineRule="auto"/>
              <w:ind w:left="0" w:right="0"/>
              <w:rPr>
                <w:rFonts w:hint="default" w:ascii="仿宋_GB2312" w:hAnsi="仿宋"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030F6481">
            <w:pPr>
              <w:keepNext w:val="0"/>
              <w:keepLines w:val="0"/>
              <w:suppressLineNumbers w:val="0"/>
              <w:autoSpaceDE w:val="0"/>
              <w:autoSpaceDN w:val="0"/>
              <w:spacing w:before="0" w:beforeAutospacing="0" w:after="0" w:afterAutospacing="0" w:line="360" w:lineRule="auto"/>
              <w:ind w:left="0" w:right="0"/>
              <w:rPr>
                <w:rFonts w:hint="default" w:ascii="仿宋_GB2312" w:hAnsi="仿宋"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7E3B98A2">
            <w:pPr>
              <w:keepNext w:val="0"/>
              <w:keepLines w:val="0"/>
              <w:suppressLineNumbers w:val="0"/>
              <w:autoSpaceDE w:val="0"/>
              <w:autoSpaceDN w:val="0"/>
              <w:spacing w:before="0" w:beforeAutospacing="0" w:after="0" w:afterAutospacing="0" w:line="360" w:lineRule="auto"/>
              <w:ind w:left="0" w:right="0"/>
              <w:rPr>
                <w:rFonts w:hint="default"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88FD12E">
            <w:pPr>
              <w:keepNext w:val="0"/>
              <w:keepLines w:val="0"/>
              <w:suppressLineNumbers w:val="0"/>
              <w:autoSpaceDE w:val="0"/>
              <w:autoSpaceDN w:val="0"/>
              <w:spacing w:before="0" w:beforeAutospacing="0" w:after="0" w:afterAutospacing="0" w:line="360" w:lineRule="auto"/>
              <w:ind w:left="0" w:right="0"/>
              <w:rPr>
                <w:rFonts w:hint="default"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1DB19E9">
            <w:pPr>
              <w:keepNext w:val="0"/>
              <w:keepLines w:val="0"/>
              <w:suppressLineNumbers w:val="0"/>
              <w:autoSpaceDE w:val="0"/>
              <w:autoSpaceDN w:val="0"/>
              <w:spacing w:before="0" w:beforeAutospacing="0" w:after="0" w:afterAutospacing="0" w:line="360" w:lineRule="auto"/>
              <w:ind w:left="0" w:right="0"/>
              <w:rPr>
                <w:rFonts w:hint="default" w:ascii="仿宋_GB2312" w:hAnsi="仿宋"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6463C05A">
            <w:pPr>
              <w:keepNext w:val="0"/>
              <w:keepLines w:val="0"/>
              <w:suppressLineNumbers w:val="0"/>
              <w:autoSpaceDE w:val="0"/>
              <w:autoSpaceDN w:val="0"/>
              <w:spacing w:before="0" w:beforeAutospacing="0" w:after="0" w:afterAutospacing="0" w:line="360" w:lineRule="auto"/>
              <w:ind w:left="0" w:right="0"/>
              <w:rPr>
                <w:rFonts w:hint="default" w:ascii="仿宋_GB2312" w:hAnsi="仿宋"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3BB0F6BE">
            <w:pPr>
              <w:keepNext w:val="0"/>
              <w:keepLines w:val="0"/>
              <w:suppressLineNumbers w:val="0"/>
              <w:autoSpaceDE w:val="0"/>
              <w:autoSpaceDN w:val="0"/>
              <w:spacing w:before="0" w:beforeAutospacing="0" w:after="0" w:afterAutospacing="0" w:line="360" w:lineRule="auto"/>
              <w:ind w:left="0" w:right="0"/>
              <w:rPr>
                <w:rFonts w:hint="default" w:ascii="仿宋_GB2312" w:hAnsi="仿宋"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7C7FC23E">
            <w:pPr>
              <w:keepNext w:val="0"/>
              <w:keepLines w:val="0"/>
              <w:suppressLineNumbers w:val="0"/>
              <w:autoSpaceDE w:val="0"/>
              <w:autoSpaceDN w:val="0"/>
              <w:spacing w:before="0" w:beforeAutospacing="0" w:after="0" w:afterAutospacing="0" w:line="360" w:lineRule="auto"/>
              <w:ind w:left="0" w:right="0"/>
              <w:rPr>
                <w:rFonts w:hint="default" w:ascii="仿宋_GB2312" w:hAnsi="仿宋" w:eastAsia="仿宋_GB2312" w:cs="仿宋_GB2312"/>
                <w:color w:val="auto"/>
                <w:sz w:val="24"/>
                <w:highlight w:val="none"/>
              </w:rPr>
            </w:pPr>
          </w:p>
        </w:tc>
      </w:tr>
      <w:tr w14:paraId="1A8AFA5B">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2830AC57">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2C55CED9">
            <w:pPr>
              <w:keepNext w:val="0"/>
              <w:keepLines w:val="0"/>
              <w:suppressLineNumbers w:val="0"/>
              <w:autoSpaceDE w:val="0"/>
              <w:autoSpaceDN w:val="0"/>
              <w:spacing w:before="0" w:beforeAutospacing="0" w:after="0" w:afterAutospacing="0" w:line="360" w:lineRule="auto"/>
              <w:ind w:left="0" w:right="0"/>
              <w:rPr>
                <w:rFonts w:hint="default" w:ascii="仿宋_GB2312" w:hAnsi="仿宋"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09AEAB0D">
            <w:pPr>
              <w:keepNext w:val="0"/>
              <w:keepLines w:val="0"/>
              <w:suppressLineNumbers w:val="0"/>
              <w:autoSpaceDE w:val="0"/>
              <w:autoSpaceDN w:val="0"/>
              <w:spacing w:before="0" w:beforeAutospacing="0" w:after="0" w:afterAutospacing="0" w:line="360" w:lineRule="auto"/>
              <w:ind w:left="0" w:right="0"/>
              <w:rPr>
                <w:rFonts w:hint="default" w:ascii="仿宋_GB2312" w:hAnsi="仿宋"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32AAA485">
            <w:pPr>
              <w:keepNext w:val="0"/>
              <w:keepLines w:val="0"/>
              <w:suppressLineNumbers w:val="0"/>
              <w:autoSpaceDE w:val="0"/>
              <w:autoSpaceDN w:val="0"/>
              <w:spacing w:before="0" w:beforeAutospacing="0" w:after="0" w:afterAutospacing="0" w:line="360" w:lineRule="auto"/>
              <w:ind w:left="0" w:right="0"/>
              <w:rPr>
                <w:rFonts w:hint="default" w:ascii="仿宋_GB2312" w:hAnsi="仿宋"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332D2F62">
            <w:pPr>
              <w:keepNext w:val="0"/>
              <w:keepLines w:val="0"/>
              <w:suppressLineNumbers w:val="0"/>
              <w:autoSpaceDE w:val="0"/>
              <w:autoSpaceDN w:val="0"/>
              <w:spacing w:before="0" w:beforeAutospacing="0" w:after="0" w:afterAutospacing="0" w:line="360" w:lineRule="auto"/>
              <w:ind w:left="0" w:right="0"/>
              <w:rPr>
                <w:rFonts w:hint="default"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002272B">
            <w:pPr>
              <w:keepNext w:val="0"/>
              <w:keepLines w:val="0"/>
              <w:suppressLineNumbers w:val="0"/>
              <w:autoSpaceDE w:val="0"/>
              <w:autoSpaceDN w:val="0"/>
              <w:spacing w:before="0" w:beforeAutospacing="0" w:after="0" w:afterAutospacing="0" w:line="360" w:lineRule="auto"/>
              <w:ind w:left="0" w:right="0"/>
              <w:rPr>
                <w:rFonts w:hint="default"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917B09C">
            <w:pPr>
              <w:keepNext w:val="0"/>
              <w:keepLines w:val="0"/>
              <w:suppressLineNumbers w:val="0"/>
              <w:autoSpaceDE w:val="0"/>
              <w:autoSpaceDN w:val="0"/>
              <w:spacing w:before="0" w:beforeAutospacing="0" w:after="0" w:afterAutospacing="0" w:line="360" w:lineRule="auto"/>
              <w:ind w:left="0" w:right="0"/>
              <w:rPr>
                <w:rFonts w:hint="default" w:ascii="仿宋_GB2312" w:hAnsi="仿宋"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33A754F1">
            <w:pPr>
              <w:keepNext w:val="0"/>
              <w:keepLines w:val="0"/>
              <w:suppressLineNumbers w:val="0"/>
              <w:autoSpaceDE w:val="0"/>
              <w:autoSpaceDN w:val="0"/>
              <w:spacing w:before="0" w:beforeAutospacing="0" w:after="0" w:afterAutospacing="0" w:line="360" w:lineRule="auto"/>
              <w:ind w:left="0" w:right="0"/>
              <w:rPr>
                <w:rFonts w:hint="default" w:ascii="仿宋_GB2312" w:hAnsi="仿宋"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48C2CD0B">
            <w:pPr>
              <w:keepNext w:val="0"/>
              <w:keepLines w:val="0"/>
              <w:suppressLineNumbers w:val="0"/>
              <w:autoSpaceDE w:val="0"/>
              <w:autoSpaceDN w:val="0"/>
              <w:spacing w:before="0" w:beforeAutospacing="0" w:after="0" w:afterAutospacing="0" w:line="360" w:lineRule="auto"/>
              <w:ind w:left="0" w:right="0"/>
              <w:rPr>
                <w:rFonts w:hint="default" w:ascii="仿宋_GB2312" w:hAnsi="仿宋"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4311A3CA">
            <w:pPr>
              <w:keepNext w:val="0"/>
              <w:keepLines w:val="0"/>
              <w:suppressLineNumbers w:val="0"/>
              <w:autoSpaceDE w:val="0"/>
              <w:autoSpaceDN w:val="0"/>
              <w:spacing w:before="0" w:beforeAutospacing="0" w:after="0" w:afterAutospacing="0" w:line="360" w:lineRule="auto"/>
              <w:ind w:left="0" w:right="0"/>
              <w:rPr>
                <w:rFonts w:hint="default" w:ascii="仿宋_GB2312" w:hAnsi="仿宋" w:eastAsia="仿宋_GB2312" w:cs="仿宋_GB2312"/>
                <w:color w:val="auto"/>
                <w:sz w:val="24"/>
                <w:highlight w:val="none"/>
              </w:rPr>
            </w:pPr>
          </w:p>
        </w:tc>
      </w:tr>
    </w:tbl>
    <w:p w14:paraId="186C3CC8">
      <w:pPr>
        <w:spacing w:line="360" w:lineRule="auto"/>
        <w:rPr>
          <w:rFonts w:hint="eastAsia"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注：投标人可按上述的格式自行编制，如有请随表提交相应的证书复印件</w:t>
      </w:r>
    </w:p>
    <w:p w14:paraId="5DED2395">
      <w:pPr>
        <w:spacing w:line="360" w:lineRule="auto"/>
        <w:rPr>
          <w:rFonts w:hint="eastAsia" w:ascii="仿宋_GB2312" w:hAnsi="仿宋" w:eastAsia="仿宋_GB2312" w:cs="仿宋_GB2312"/>
          <w:b/>
          <w:bCs/>
          <w:color w:val="auto"/>
          <w:sz w:val="24"/>
          <w:highlight w:val="none"/>
        </w:rPr>
      </w:pPr>
      <w:r>
        <w:rPr>
          <w:rFonts w:hint="eastAsia" w:ascii="仿宋_GB2312" w:hAnsi="仿宋" w:eastAsia="仿宋_GB2312" w:cs="仿宋_GB2312"/>
          <w:b/>
          <w:color w:val="auto"/>
          <w:sz w:val="24"/>
          <w:highlight w:val="none"/>
        </w:rPr>
        <w:t>附表C：本项目的项目负责人和小组人员近</w:t>
      </w:r>
      <w:r>
        <w:rPr>
          <w:rFonts w:hint="eastAsia" w:ascii="仿宋_GB2312" w:hAnsi="仿宋" w:eastAsia="仿宋_GB2312" w:cs="仿宋_GB2312"/>
          <w:b/>
          <w:color w:val="auto"/>
          <w:sz w:val="24"/>
          <w:highlight w:val="none"/>
          <w:lang w:val="en-US" w:eastAsia="zh-CN"/>
        </w:rPr>
        <w:t>3</w:t>
      </w:r>
      <w:r>
        <w:rPr>
          <w:rFonts w:hint="eastAsia" w:ascii="仿宋_GB2312" w:hAnsi="仿宋" w:eastAsia="仿宋_GB2312" w:cs="仿宋_GB2312"/>
          <w:b/>
          <w:color w:val="auto"/>
          <w:sz w:val="24"/>
          <w:highlight w:val="none"/>
        </w:rPr>
        <w:t>个月交纳社保记录情况表或与投标人签订的劳动合同</w:t>
      </w:r>
      <w:r>
        <w:rPr>
          <w:rFonts w:hint="eastAsia" w:ascii="仿宋_GB2312" w:hAnsi="仿宋" w:eastAsia="仿宋_GB2312" w:cs="仿宋_GB2312"/>
          <w:color w:val="auto"/>
          <w:sz w:val="24"/>
          <w:highlight w:val="none"/>
        </w:rPr>
        <w:t>（以社保局缴纳凭证作附件）</w:t>
      </w:r>
    </w:p>
    <w:p w14:paraId="3774398E">
      <w:pPr>
        <w:snapToGrid w:val="0"/>
        <w:spacing w:line="360" w:lineRule="auto"/>
        <w:ind w:firstLine="4320" w:firstLineChars="18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052ECD59">
      <w:pPr>
        <w:autoSpaceDE w:val="0"/>
        <w:autoSpaceDN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日期：  年  月   日</w:t>
      </w:r>
    </w:p>
    <w:p w14:paraId="0F081F45">
      <w:pPr>
        <w:snapToGrid w:val="0"/>
        <w:spacing w:before="50" w:after="50"/>
        <w:rPr>
          <w:rFonts w:hint="eastAsia" w:ascii="宋体" w:hAnsi="宋体"/>
          <w:color w:val="auto"/>
          <w:sz w:val="24"/>
          <w:highlight w:val="none"/>
        </w:rPr>
      </w:pPr>
    </w:p>
    <w:p w14:paraId="54AC3E7B">
      <w:pPr>
        <w:snapToGrid w:val="0"/>
        <w:spacing w:before="165" w:beforeLines="50" w:after="50"/>
        <w:jc w:val="left"/>
        <w:rPr>
          <w:rFonts w:hint="eastAsia" w:ascii="宋体" w:hAnsi="宋体"/>
          <w:color w:val="auto"/>
          <w:sz w:val="24"/>
          <w:highlight w:val="none"/>
        </w:rPr>
      </w:pPr>
      <w:r>
        <w:rPr>
          <w:rFonts w:hint="eastAsia" w:ascii="宋体" w:hAnsi="宋体"/>
          <w:b/>
          <w:color w:val="auto"/>
          <w:sz w:val="24"/>
          <w:highlight w:val="none"/>
        </w:rPr>
        <w:br w:type="page"/>
      </w:r>
      <w:r>
        <w:rPr>
          <w:rFonts w:hint="eastAsia" w:ascii="宋体" w:hAnsi="宋体"/>
          <w:color w:val="auto"/>
          <w:sz w:val="24"/>
          <w:highlight w:val="none"/>
        </w:rPr>
        <w:t xml:space="preserve"> </w:t>
      </w:r>
    </w:p>
    <w:p w14:paraId="6AAA4345">
      <w:pPr>
        <w:snapToGrid w:val="0"/>
        <w:spacing w:before="165" w:beforeLines="50" w:after="50"/>
        <w:ind w:left="142"/>
        <w:jc w:val="center"/>
        <w:rPr>
          <w:rFonts w:hint="eastAsia" w:ascii="宋体" w:hAnsi="宋体"/>
          <w:b/>
          <w:color w:val="auto"/>
          <w:sz w:val="32"/>
          <w:szCs w:val="32"/>
          <w:highlight w:val="none"/>
        </w:rPr>
      </w:pPr>
      <w:r>
        <w:rPr>
          <w:rFonts w:hint="eastAsia" w:ascii="宋体" w:hAnsi="宋体"/>
          <w:b/>
          <w:color w:val="auto"/>
          <w:sz w:val="32"/>
          <w:szCs w:val="32"/>
          <w:highlight w:val="none"/>
        </w:rPr>
        <w:t>五、投标人对项目的合理化建议和改进措施</w:t>
      </w:r>
    </w:p>
    <w:p w14:paraId="265CEF6F">
      <w:pPr>
        <w:spacing w:line="360" w:lineRule="auto"/>
        <w:ind w:firstLine="4048" w:firstLineChars="1687"/>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（格式自拟）</w:t>
      </w:r>
    </w:p>
    <w:p w14:paraId="21377D1A">
      <w:pPr>
        <w:snapToGrid w:val="0"/>
        <w:spacing w:line="360" w:lineRule="auto"/>
        <w:ind w:firstLine="4935" w:firstLineChars="2350"/>
        <w:rPr>
          <w:rFonts w:hint="eastAsia" w:hAnsi="宋体"/>
          <w:color w:val="auto"/>
          <w:szCs w:val="21"/>
          <w:highlight w:val="none"/>
        </w:rPr>
      </w:pPr>
      <w:r>
        <w:rPr>
          <w:rFonts w:hAnsi="宋体"/>
          <w:color w:val="auto"/>
          <w:szCs w:val="21"/>
          <w:highlight w:val="none"/>
        </w:rPr>
        <w:t xml:space="preserve"> </w:t>
      </w:r>
    </w:p>
    <w:p w14:paraId="36644706">
      <w:pPr>
        <w:snapToGrid w:val="0"/>
        <w:spacing w:line="360" w:lineRule="auto"/>
        <w:ind w:firstLine="4935" w:firstLineChars="2350"/>
        <w:rPr>
          <w:rFonts w:hAnsi="宋体"/>
          <w:color w:val="auto"/>
          <w:szCs w:val="21"/>
          <w:highlight w:val="none"/>
        </w:rPr>
      </w:pPr>
    </w:p>
    <w:p w14:paraId="06AE9EE2">
      <w:pPr>
        <w:snapToGrid w:val="0"/>
        <w:spacing w:line="360" w:lineRule="auto"/>
        <w:ind w:firstLine="4935" w:firstLineChars="2350"/>
        <w:rPr>
          <w:rFonts w:hAnsi="宋体"/>
          <w:color w:val="auto"/>
          <w:szCs w:val="21"/>
          <w:highlight w:val="none"/>
        </w:rPr>
      </w:pPr>
    </w:p>
    <w:p w14:paraId="519A97A1">
      <w:pPr>
        <w:snapToGrid w:val="0"/>
        <w:spacing w:line="360" w:lineRule="auto"/>
        <w:ind w:firstLine="4935" w:firstLineChars="2350"/>
        <w:rPr>
          <w:rFonts w:hAnsi="宋体"/>
          <w:color w:val="auto"/>
          <w:szCs w:val="21"/>
          <w:highlight w:val="none"/>
        </w:rPr>
      </w:pPr>
    </w:p>
    <w:p w14:paraId="31584442">
      <w:pPr>
        <w:snapToGrid w:val="0"/>
        <w:spacing w:line="360" w:lineRule="auto"/>
        <w:ind w:firstLine="4935" w:firstLineChars="2350"/>
        <w:rPr>
          <w:rFonts w:ascii="仿宋_GB2312" w:hAnsi="仿宋" w:eastAsia="仿宋_GB2312" w:cs="仿宋_GB2312"/>
          <w:color w:val="auto"/>
          <w:kern w:val="0"/>
          <w:sz w:val="24"/>
          <w:highlight w:val="none"/>
        </w:rPr>
      </w:pPr>
      <w:r>
        <w:rPr>
          <w:rFonts w:hAnsi="宋体"/>
          <w:color w:val="auto"/>
          <w:szCs w:val="21"/>
          <w:highlight w:val="none"/>
        </w:rPr>
        <w:t xml:space="preserve">  </w:t>
      </w:r>
      <w:r>
        <w:rPr>
          <w:rFonts w:hint="eastAsia" w:ascii="仿宋_GB2312" w:hAnsi="仿宋" w:eastAsia="仿宋_GB2312" w:cs="仿宋_GB2312"/>
          <w:color w:val="auto"/>
          <w:kern w:val="0"/>
          <w:sz w:val="24"/>
          <w:highlight w:val="none"/>
          <w:lang w:val="zh-CN"/>
        </w:rPr>
        <w:t>投标人名称(电子签章)：</w:t>
      </w:r>
    </w:p>
    <w:p w14:paraId="067B3347">
      <w:pPr>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3208DD43">
      <w:pPr>
        <w:spacing w:line="360" w:lineRule="auto"/>
        <w:jc w:val="center"/>
        <w:rPr>
          <w:rFonts w:hint="eastAsia" w:ascii="宋体" w:hAnsi="宋体" w:eastAsia="宋体" w:cs="Times New Roman"/>
          <w:b/>
          <w:color w:val="auto"/>
          <w:sz w:val="32"/>
          <w:szCs w:val="32"/>
          <w:highlight w:val="none"/>
          <w:lang w:val="zh-CN" w:eastAsia="zh-CN"/>
        </w:rPr>
      </w:pPr>
    </w:p>
    <w:p w14:paraId="61411147">
      <w:pPr>
        <w:spacing w:line="360" w:lineRule="auto"/>
        <w:jc w:val="center"/>
        <w:rPr>
          <w:rFonts w:hint="eastAsia" w:ascii="宋体" w:hAnsi="宋体" w:eastAsia="宋体" w:cs="Times New Roman"/>
          <w:b/>
          <w:color w:val="auto"/>
          <w:sz w:val="32"/>
          <w:szCs w:val="32"/>
          <w:highlight w:val="none"/>
          <w:lang w:val="zh-CN" w:eastAsia="zh-CN"/>
        </w:rPr>
      </w:pPr>
    </w:p>
    <w:p w14:paraId="30D3683D">
      <w:pPr>
        <w:spacing w:line="360" w:lineRule="auto"/>
        <w:jc w:val="center"/>
        <w:rPr>
          <w:rFonts w:hint="eastAsia" w:ascii="宋体" w:hAnsi="宋体" w:eastAsia="宋体" w:cs="Times New Roman"/>
          <w:b/>
          <w:color w:val="auto"/>
          <w:sz w:val="32"/>
          <w:szCs w:val="32"/>
          <w:highlight w:val="none"/>
          <w:lang w:val="zh-CN" w:eastAsia="zh-CN"/>
        </w:rPr>
      </w:pPr>
    </w:p>
    <w:p w14:paraId="185DCF8F">
      <w:pPr>
        <w:spacing w:line="360" w:lineRule="auto"/>
        <w:jc w:val="center"/>
        <w:rPr>
          <w:rFonts w:hint="eastAsia" w:ascii="宋体" w:hAnsi="宋体" w:eastAsia="宋体" w:cs="Times New Roman"/>
          <w:b/>
          <w:color w:val="auto"/>
          <w:sz w:val="32"/>
          <w:szCs w:val="32"/>
          <w:highlight w:val="none"/>
          <w:lang w:val="zh-CN" w:eastAsia="zh-CN"/>
        </w:rPr>
      </w:pPr>
    </w:p>
    <w:p w14:paraId="6E9E11C6">
      <w:pPr>
        <w:spacing w:line="360" w:lineRule="auto"/>
        <w:jc w:val="center"/>
        <w:rPr>
          <w:rFonts w:hint="eastAsia" w:ascii="宋体" w:hAnsi="宋体" w:eastAsia="宋体" w:cs="Times New Roman"/>
          <w:b/>
          <w:color w:val="auto"/>
          <w:sz w:val="32"/>
          <w:szCs w:val="32"/>
          <w:highlight w:val="none"/>
          <w:lang w:val="zh-CN" w:eastAsia="zh-CN"/>
        </w:rPr>
      </w:pPr>
    </w:p>
    <w:p w14:paraId="5DE859FD">
      <w:pPr>
        <w:spacing w:line="360" w:lineRule="auto"/>
        <w:jc w:val="center"/>
        <w:rPr>
          <w:rFonts w:hint="eastAsia" w:ascii="宋体" w:hAnsi="宋体" w:eastAsia="宋体" w:cs="Times New Roman"/>
          <w:b/>
          <w:color w:val="auto"/>
          <w:sz w:val="32"/>
          <w:szCs w:val="32"/>
          <w:highlight w:val="none"/>
          <w:lang w:val="zh-CN" w:eastAsia="zh-CN"/>
        </w:rPr>
      </w:pPr>
    </w:p>
    <w:p w14:paraId="1C47A38E">
      <w:pPr>
        <w:spacing w:line="360" w:lineRule="auto"/>
        <w:jc w:val="center"/>
        <w:rPr>
          <w:rFonts w:hint="eastAsia" w:ascii="宋体" w:hAnsi="宋体" w:eastAsia="宋体" w:cs="Times New Roman"/>
          <w:b/>
          <w:color w:val="auto"/>
          <w:sz w:val="32"/>
          <w:szCs w:val="32"/>
          <w:highlight w:val="none"/>
          <w:lang w:val="zh-CN" w:eastAsia="zh-CN"/>
        </w:rPr>
      </w:pPr>
    </w:p>
    <w:p w14:paraId="11D8B37D">
      <w:pPr>
        <w:spacing w:line="360" w:lineRule="auto"/>
        <w:jc w:val="center"/>
        <w:rPr>
          <w:rFonts w:hint="eastAsia" w:ascii="宋体" w:hAnsi="宋体" w:eastAsia="宋体" w:cs="Times New Roman"/>
          <w:b/>
          <w:color w:val="auto"/>
          <w:sz w:val="32"/>
          <w:szCs w:val="32"/>
          <w:highlight w:val="none"/>
          <w:lang w:val="zh-CN" w:eastAsia="zh-CN"/>
        </w:rPr>
      </w:pPr>
    </w:p>
    <w:p w14:paraId="3C54033F">
      <w:pPr>
        <w:spacing w:line="360" w:lineRule="auto"/>
        <w:jc w:val="center"/>
        <w:rPr>
          <w:rFonts w:hint="eastAsia" w:ascii="宋体" w:hAnsi="宋体" w:eastAsia="宋体" w:cs="Times New Roman"/>
          <w:b/>
          <w:color w:val="auto"/>
          <w:sz w:val="32"/>
          <w:szCs w:val="32"/>
          <w:highlight w:val="none"/>
          <w:lang w:val="zh-CN" w:eastAsia="zh-CN"/>
        </w:rPr>
      </w:pPr>
    </w:p>
    <w:p w14:paraId="6FD982D9">
      <w:pPr>
        <w:spacing w:line="360" w:lineRule="auto"/>
        <w:jc w:val="center"/>
        <w:rPr>
          <w:rFonts w:hint="eastAsia" w:ascii="宋体" w:hAnsi="宋体" w:eastAsia="宋体" w:cs="Times New Roman"/>
          <w:b/>
          <w:color w:val="auto"/>
          <w:sz w:val="32"/>
          <w:szCs w:val="32"/>
          <w:highlight w:val="none"/>
          <w:lang w:val="zh-CN" w:eastAsia="zh-CN"/>
        </w:rPr>
      </w:pPr>
    </w:p>
    <w:p w14:paraId="7DC8F89E">
      <w:pPr>
        <w:spacing w:line="360" w:lineRule="auto"/>
        <w:jc w:val="center"/>
        <w:rPr>
          <w:rFonts w:hint="eastAsia" w:ascii="宋体" w:hAnsi="宋体" w:eastAsia="宋体" w:cs="Times New Roman"/>
          <w:b/>
          <w:color w:val="auto"/>
          <w:sz w:val="32"/>
          <w:szCs w:val="32"/>
          <w:highlight w:val="none"/>
          <w:lang w:val="zh-CN" w:eastAsia="zh-CN"/>
        </w:rPr>
      </w:pPr>
    </w:p>
    <w:p w14:paraId="321C1016">
      <w:pPr>
        <w:spacing w:line="360" w:lineRule="auto"/>
        <w:jc w:val="center"/>
        <w:rPr>
          <w:rFonts w:hint="eastAsia" w:ascii="宋体" w:hAnsi="宋体" w:eastAsia="宋体" w:cs="Times New Roman"/>
          <w:b/>
          <w:color w:val="auto"/>
          <w:sz w:val="32"/>
          <w:szCs w:val="32"/>
          <w:highlight w:val="none"/>
          <w:lang w:val="zh-CN" w:eastAsia="zh-CN"/>
        </w:rPr>
      </w:pPr>
    </w:p>
    <w:p w14:paraId="11922333">
      <w:pPr>
        <w:spacing w:line="360" w:lineRule="auto"/>
        <w:jc w:val="center"/>
        <w:rPr>
          <w:rFonts w:hint="eastAsia" w:ascii="宋体" w:hAnsi="宋体" w:eastAsia="宋体" w:cs="Times New Roman"/>
          <w:b/>
          <w:color w:val="auto"/>
          <w:sz w:val="32"/>
          <w:szCs w:val="32"/>
          <w:highlight w:val="none"/>
          <w:lang w:val="zh-CN" w:eastAsia="zh-CN"/>
        </w:rPr>
      </w:pPr>
    </w:p>
    <w:p w14:paraId="21FE8325">
      <w:pPr>
        <w:spacing w:line="360" w:lineRule="auto"/>
        <w:jc w:val="center"/>
        <w:rPr>
          <w:rFonts w:hint="eastAsia" w:ascii="宋体" w:hAnsi="宋体" w:eastAsia="宋体" w:cs="Times New Roman"/>
          <w:b/>
          <w:color w:val="auto"/>
          <w:sz w:val="32"/>
          <w:szCs w:val="32"/>
          <w:highlight w:val="none"/>
          <w:lang w:val="zh-CN" w:eastAsia="zh-CN"/>
        </w:rPr>
      </w:pPr>
    </w:p>
    <w:p w14:paraId="29CAF41F">
      <w:pPr>
        <w:spacing w:line="360" w:lineRule="auto"/>
        <w:jc w:val="center"/>
        <w:rPr>
          <w:rFonts w:hint="eastAsia" w:ascii="宋体" w:hAnsi="宋体" w:eastAsia="宋体" w:cs="Times New Roman"/>
          <w:b/>
          <w:color w:val="auto"/>
          <w:sz w:val="32"/>
          <w:szCs w:val="32"/>
          <w:highlight w:val="none"/>
          <w:lang w:val="zh-CN" w:eastAsia="zh-CN"/>
        </w:rPr>
      </w:pPr>
    </w:p>
    <w:p w14:paraId="4CC7F46A">
      <w:pPr>
        <w:spacing w:line="360" w:lineRule="auto"/>
        <w:jc w:val="center"/>
        <w:rPr>
          <w:rFonts w:hint="eastAsia" w:ascii="宋体" w:hAnsi="宋体" w:eastAsia="宋体" w:cs="Times New Roman"/>
          <w:b/>
          <w:color w:val="auto"/>
          <w:sz w:val="32"/>
          <w:szCs w:val="32"/>
          <w:highlight w:val="none"/>
          <w:lang w:val="zh-CN" w:eastAsia="zh-CN"/>
        </w:rPr>
      </w:pPr>
    </w:p>
    <w:p w14:paraId="47AD5A4F">
      <w:pPr>
        <w:spacing w:line="360" w:lineRule="auto"/>
        <w:jc w:val="center"/>
        <w:rPr>
          <w:rFonts w:hint="eastAsia" w:ascii="宋体" w:hAnsi="宋体" w:eastAsia="宋体" w:cs="Times New Roman"/>
          <w:b/>
          <w:color w:val="auto"/>
          <w:sz w:val="32"/>
          <w:szCs w:val="32"/>
          <w:highlight w:val="none"/>
          <w:lang w:val="zh-CN" w:eastAsia="zh-CN"/>
        </w:rPr>
      </w:pPr>
      <w:r>
        <w:rPr>
          <w:rFonts w:hint="eastAsia" w:ascii="宋体" w:hAnsi="宋体" w:eastAsia="宋体" w:cs="Times New Roman"/>
          <w:b/>
          <w:color w:val="auto"/>
          <w:sz w:val="32"/>
          <w:szCs w:val="32"/>
          <w:highlight w:val="none"/>
          <w:lang w:val="en-US" w:eastAsia="zh-CN"/>
        </w:rPr>
        <w:t>六、</w:t>
      </w:r>
      <w:r>
        <w:rPr>
          <w:rFonts w:hint="eastAsia" w:ascii="宋体" w:hAnsi="宋体" w:eastAsia="宋体" w:cs="Times New Roman"/>
          <w:b/>
          <w:color w:val="auto"/>
          <w:sz w:val="32"/>
          <w:szCs w:val="32"/>
          <w:highlight w:val="none"/>
          <w:lang w:val="zh-CN" w:eastAsia="zh-CN"/>
        </w:rPr>
        <w:t>多媒体设备</w:t>
      </w:r>
      <w:r>
        <w:rPr>
          <w:rFonts w:hint="eastAsia" w:ascii="宋体" w:hAnsi="宋体" w:eastAsia="宋体" w:cs="Times New Roman"/>
          <w:b/>
          <w:color w:val="auto"/>
          <w:sz w:val="32"/>
          <w:szCs w:val="32"/>
          <w:highlight w:val="none"/>
          <w:lang w:val="en-US" w:eastAsia="zh-CN"/>
        </w:rPr>
        <w:t>清单</w:t>
      </w:r>
      <w:r>
        <w:rPr>
          <w:rFonts w:hint="eastAsia" w:ascii="宋体" w:hAnsi="宋体" w:eastAsia="宋体" w:cs="Times New Roman"/>
          <w:b/>
          <w:color w:val="auto"/>
          <w:sz w:val="32"/>
          <w:szCs w:val="32"/>
          <w:highlight w:val="none"/>
          <w:lang w:val="zh-CN" w:eastAsia="zh-CN"/>
        </w:rPr>
        <w:t>《南宁市城市规划展示馆布展内容升级改造项目多媒体设备主要技术列表》</w:t>
      </w:r>
    </w:p>
    <w:p w14:paraId="07F47C17">
      <w:pPr>
        <w:spacing w:line="360" w:lineRule="auto"/>
        <w:jc w:val="center"/>
        <w:rPr>
          <w:rFonts w:hint="eastAsia" w:ascii="宋体" w:hAnsi="宋体" w:eastAsia="宋体" w:cs="Times New Roman"/>
          <w:b/>
          <w:color w:val="auto"/>
          <w:sz w:val="32"/>
          <w:szCs w:val="32"/>
          <w:highlight w:val="none"/>
          <w:lang w:val="zh-CN" w:eastAsia="zh-CN"/>
        </w:rPr>
      </w:pPr>
    </w:p>
    <w:tbl>
      <w:tblPr>
        <w:tblStyle w:val="33"/>
        <w:tblW w:w="4392"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015"/>
        <w:gridCol w:w="1720"/>
        <w:gridCol w:w="1109"/>
        <w:gridCol w:w="1109"/>
        <w:gridCol w:w="1233"/>
        <w:gridCol w:w="2470"/>
      </w:tblGrid>
      <w:tr w14:paraId="48DD7A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79" w:hRule="atLeast"/>
          <w:jc w:val="center"/>
        </w:trPr>
        <w:tc>
          <w:tcPr>
            <w:tcW w:w="586" w:type="pct"/>
            <w:tcBorders>
              <w:top w:val="single" w:color="auto" w:sz="4" w:space="0"/>
              <w:left w:val="single" w:color="auto" w:sz="4" w:space="0"/>
              <w:bottom w:val="single" w:color="auto" w:sz="4" w:space="0"/>
              <w:right w:val="single" w:color="auto" w:sz="4" w:space="0"/>
            </w:tcBorders>
            <w:noWrap w:val="0"/>
            <w:vAlign w:val="center"/>
          </w:tcPr>
          <w:p w14:paraId="1F533578">
            <w:pPr>
              <w:keepNext w:val="0"/>
              <w:keepLines w:val="0"/>
              <w:suppressLineNumbers w:val="0"/>
              <w:snapToGrid w:val="0"/>
              <w:spacing w:before="50" w:beforeAutospacing="0" w:after="50" w:afterAutospacing="0"/>
              <w:ind w:left="0" w:right="0"/>
              <w:jc w:val="center"/>
              <w:rPr>
                <w:rFonts w:hint="default" w:ascii="宋体" w:hAnsi="宋体" w:cs="Times New Roman"/>
                <w:color w:val="auto"/>
                <w:sz w:val="24"/>
                <w:highlight w:val="none"/>
              </w:rPr>
            </w:pPr>
            <w:r>
              <w:rPr>
                <w:rFonts w:hint="eastAsia" w:ascii="宋体" w:hAnsi="宋体" w:cs="Times New Roman"/>
                <w:color w:val="auto"/>
                <w:sz w:val="24"/>
                <w:highlight w:val="none"/>
              </w:rPr>
              <w:t>序号</w:t>
            </w:r>
          </w:p>
        </w:tc>
        <w:tc>
          <w:tcPr>
            <w:tcW w:w="993" w:type="pct"/>
            <w:tcBorders>
              <w:top w:val="single" w:color="auto" w:sz="4" w:space="0"/>
              <w:left w:val="single" w:color="auto" w:sz="4" w:space="0"/>
              <w:bottom w:val="single" w:color="auto" w:sz="4" w:space="0"/>
              <w:right w:val="single" w:color="auto" w:sz="4" w:space="0"/>
            </w:tcBorders>
            <w:noWrap w:val="0"/>
            <w:vAlign w:val="center"/>
          </w:tcPr>
          <w:p w14:paraId="1DE8F0DA">
            <w:pPr>
              <w:keepNext w:val="0"/>
              <w:keepLines w:val="0"/>
              <w:suppressLineNumbers w:val="0"/>
              <w:snapToGrid w:val="0"/>
              <w:spacing w:before="50" w:beforeAutospacing="0" w:after="50" w:afterAutospacing="0"/>
              <w:ind w:left="0" w:right="0"/>
              <w:jc w:val="center"/>
              <w:rPr>
                <w:rFonts w:hint="default" w:ascii="宋体" w:hAnsi="宋体" w:cs="Times New Roman"/>
                <w:color w:val="auto"/>
                <w:sz w:val="24"/>
                <w:highlight w:val="none"/>
              </w:rPr>
            </w:pPr>
            <w:r>
              <w:rPr>
                <w:rFonts w:hint="eastAsia" w:ascii="宋体" w:hAnsi="宋体" w:cs="Times New Roman"/>
                <w:color w:val="auto"/>
                <w:sz w:val="24"/>
                <w:highlight w:val="none"/>
                <w:lang w:val="en-US" w:eastAsia="zh-CN"/>
              </w:rPr>
              <w:t>设备</w:t>
            </w:r>
            <w:r>
              <w:rPr>
                <w:rFonts w:hint="eastAsia" w:ascii="宋体" w:hAnsi="宋体" w:cs="Times New Roman"/>
                <w:color w:val="auto"/>
                <w:sz w:val="24"/>
                <w:highlight w:val="none"/>
              </w:rPr>
              <w:t>名称</w:t>
            </w:r>
          </w:p>
        </w:tc>
        <w:tc>
          <w:tcPr>
            <w:tcW w:w="640" w:type="pct"/>
            <w:tcBorders>
              <w:top w:val="single" w:color="auto" w:sz="4" w:space="0"/>
              <w:left w:val="single" w:color="auto" w:sz="4" w:space="0"/>
              <w:bottom w:val="single" w:color="auto" w:sz="4" w:space="0"/>
              <w:right w:val="single" w:color="auto" w:sz="4" w:space="0"/>
            </w:tcBorders>
            <w:noWrap w:val="0"/>
            <w:vAlign w:val="center"/>
          </w:tcPr>
          <w:p w14:paraId="3B24C80B">
            <w:pPr>
              <w:keepNext w:val="0"/>
              <w:keepLines w:val="0"/>
              <w:suppressLineNumbers w:val="0"/>
              <w:snapToGrid w:val="0"/>
              <w:spacing w:before="50" w:beforeAutospacing="0" w:after="50" w:afterAutospacing="0"/>
              <w:ind w:left="0" w:right="0"/>
              <w:jc w:val="center"/>
              <w:rPr>
                <w:rFonts w:hint="default" w:ascii="宋体" w:hAnsi="宋体" w:cs="Times New Roman"/>
                <w:color w:val="auto"/>
                <w:sz w:val="24"/>
                <w:highlight w:val="none"/>
              </w:rPr>
            </w:pPr>
            <w:r>
              <w:rPr>
                <w:rFonts w:hint="eastAsia" w:ascii="宋体" w:hAnsi="宋体" w:cs="Times New Roman"/>
                <w:color w:val="auto"/>
                <w:sz w:val="24"/>
                <w:highlight w:val="none"/>
              </w:rPr>
              <w:t>数量</w:t>
            </w:r>
          </w:p>
        </w:tc>
        <w:tc>
          <w:tcPr>
            <w:tcW w:w="640" w:type="pct"/>
            <w:tcBorders>
              <w:top w:val="single" w:color="auto" w:sz="4" w:space="0"/>
              <w:left w:val="single" w:color="auto" w:sz="4" w:space="0"/>
              <w:bottom w:val="single" w:color="auto" w:sz="4" w:space="0"/>
              <w:right w:val="single" w:color="auto" w:sz="4" w:space="0"/>
            </w:tcBorders>
            <w:noWrap w:val="0"/>
            <w:vAlign w:val="center"/>
          </w:tcPr>
          <w:p w14:paraId="205CD962">
            <w:pPr>
              <w:keepNext w:val="0"/>
              <w:keepLines w:val="0"/>
              <w:suppressLineNumbers w:val="0"/>
              <w:snapToGrid w:val="0"/>
              <w:spacing w:before="50" w:beforeAutospacing="0" w:after="50" w:afterAutospacing="0"/>
              <w:ind w:left="0" w:right="0"/>
              <w:jc w:val="center"/>
              <w:rPr>
                <w:rFonts w:hint="default" w:ascii="宋体" w:hAnsi="宋体" w:cs="Times New Roman"/>
                <w:color w:val="auto"/>
                <w:sz w:val="24"/>
                <w:highlight w:val="none"/>
              </w:rPr>
            </w:pPr>
            <w:r>
              <w:rPr>
                <w:rFonts w:hint="eastAsia" w:ascii="宋体" w:hAnsi="宋体" w:cs="Times New Roman"/>
                <w:color w:val="auto"/>
                <w:sz w:val="24"/>
                <w:highlight w:val="none"/>
              </w:rPr>
              <w:t>单位</w:t>
            </w:r>
          </w:p>
        </w:tc>
        <w:tc>
          <w:tcPr>
            <w:tcW w:w="712" w:type="pct"/>
            <w:tcBorders>
              <w:top w:val="single" w:color="auto" w:sz="4" w:space="0"/>
              <w:left w:val="single" w:color="auto" w:sz="4" w:space="0"/>
              <w:bottom w:val="single" w:color="auto" w:sz="4" w:space="0"/>
              <w:right w:val="single" w:color="auto" w:sz="4" w:space="0"/>
            </w:tcBorders>
            <w:noWrap w:val="0"/>
            <w:vAlign w:val="center"/>
          </w:tcPr>
          <w:p w14:paraId="6CE6277D">
            <w:pPr>
              <w:keepNext w:val="0"/>
              <w:keepLines w:val="0"/>
              <w:suppressLineNumbers w:val="0"/>
              <w:snapToGrid w:val="0"/>
              <w:spacing w:before="50" w:beforeAutospacing="0" w:after="50" w:afterAutospacing="0"/>
              <w:ind w:left="0" w:right="0"/>
              <w:jc w:val="center"/>
              <w:rPr>
                <w:rFonts w:hint="default" w:ascii="宋体" w:hAnsi="宋体" w:cs="Times New Roman"/>
                <w:color w:val="auto"/>
                <w:sz w:val="24"/>
                <w:highlight w:val="none"/>
              </w:rPr>
            </w:pPr>
            <w:r>
              <w:rPr>
                <w:rFonts w:hint="eastAsia" w:ascii="宋体" w:hAnsi="宋体" w:cs="Times New Roman"/>
                <w:color w:val="auto"/>
                <w:sz w:val="24"/>
                <w:highlight w:val="none"/>
              </w:rPr>
              <w:t>品牌</w:t>
            </w:r>
          </w:p>
        </w:tc>
        <w:tc>
          <w:tcPr>
            <w:tcW w:w="1426" w:type="pct"/>
            <w:tcBorders>
              <w:top w:val="single" w:color="auto" w:sz="4" w:space="0"/>
              <w:left w:val="single" w:color="auto" w:sz="4" w:space="0"/>
              <w:bottom w:val="single" w:color="auto" w:sz="4" w:space="0"/>
              <w:right w:val="single" w:color="auto" w:sz="4" w:space="0"/>
            </w:tcBorders>
            <w:noWrap w:val="0"/>
            <w:vAlign w:val="top"/>
          </w:tcPr>
          <w:p w14:paraId="346BB13C">
            <w:pPr>
              <w:keepNext w:val="0"/>
              <w:keepLines w:val="0"/>
              <w:suppressLineNumbers w:val="0"/>
              <w:snapToGrid w:val="0"/>
              <w:spacing w:before="50" w:beforeAutospacing="0" w:after="50" w:afterAutospacing="0"/>
              <w:ind w:left="0" w:right="0"/>
              <w:jc w:val="center"/>
              <w:rPr>
                <w:rFonts w:hint="default" w:ascii="宋体" w:hAnsi="宋体" w:cs="Times New Roman"/>
                <w:color w:val="auto"/>
                <w:sz w:val="24"/>
                <w:highlight w:val="none"/>
              </w:rPr>
            </w:pPr>
          </w:p>
          <w:p w14:paraId="2CED0B44">
            <w:pPr>
              <w:keepNext w:val="0"/>
              <w:keepLines w:val="0"/>
              <w:suppressLineNumbers w:val="0"/>
              <w:snapToGrid w:val="0"/>
              <w:spacing w:before="50" w:beforeAutospacing="0" w:after="50" w:afterAutospacing="0"/>
              <w:ind w:left="0" w:right="0"/>
              <w:jc w:val="center"/>
              <w:rPr>
                <w:rFonts w:hint="default" w:ascii="宋体" w:hAnsi="宋体" w:eastAsia="宋体" w:cs="Times New Roman"/>
                <w:color w:val="auto"/>
                <w:sz w:val="24"/>
                <w:highlight w:val="none"/>
                <w:lang w:eastAsia="zh-CN"/>
              </w:rPr>
            </w:pPr>
            <w:r>
              <w:rPr>
                <w:rFonts w:hint="eastAsia" w:ascii="宋体" w:hAnsi="宋体" w:cs="Times New Roman"/>
                <w:color w:val="auto"/>
                <w:sz w:val="24"/>
                <w:highlight w:val="none"/>
              </w:rPr>
              <w:t>参数</w:t>
            </w:r>
          </w:p>
        </w:tc>
      </w:tr>
      <w:tr w14:paraId="7EAE6E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9" w:hRule="atLeast"/>
          <w:jc w:val="center"/>
        </w:trPr>
        <w:tc>
          <w:tcPr>
            <w:tcW w:w="586" w:type="pct"/>
            <w:tcBorders>
              <w:top w:val="single" w:color="auto" w:sz="4" w:space="0"/>
              <w:left w:val="single" w:color="auto" w:sz="4" w:space="0"/>
              <w:bottom w:val="single" w:color="auto" w:sz="4" w:space="0"/>
              <w:right w:val="single" w:color="auto" w:sz="4" w:space="0"/>
            </w:tcBorders>
            <w:noWrap w:val="0"/>
            <w:vAlign w:val="center"/>
          </w:tcPr>
          <w:p w14:paraId="3215EA1B">
            <w:pPr>
              <w:keepNext w:val="0"/>
              <w:keepLines w:val="0"/>
              <w:suppressLineNumbers w:val="0"/>
              <w:snapToGrid w:val="0"/>
              <w:spacing w:before="50" w:beforeAutospacing="0" w:after="50" w:afterAutospacing="0"/>
              <w:ind w:left="0" w:right="0"/>
              <w:jc w:val="center"/>
              <w:rPr>
                <w:rFonts w:hint="default" w:ascii="宋体" w:hAnsi="宋体" w:cs="Times New Roman"/>
                <w:color w:val="auto"/>
                <w:sz w:val="24"/>
                <w:highlight w:val="none"/>
              </w:rPr>
            </w:pPr>
          </w:p>
        </w:tc>
        <w:tc>
          <w:tcPr>
            <w:tcW w:w="993" w:type="pct"/>
            <w:tcBorders>
              <w:top w:val="single" w:color="auto" w:sz="4" w:space="0"/>
              <w:left w:val="single" w:color="auto" w:sz="4" w:space="0"/>
              <w:bottom w:val="single" w:color="auto" w:sz="4" w:space="0"/>
              <w:right w:val="single" w:color="auto" w:sz="4" w:space="0"/>
            </w:tcBorders>
            <w:noWrap w:val="0"/>
            <w:vAlign w:val="center"/>
          </w:tcPr>
          <w:p w14:paraId="59CE040C">
            <w:pPr>
              <w:keepNext w:val="0"/>
              <w:keepLines w:val="0"/>
              <w:suppressLineNumbers w:val="0"/>
              <w:snapToGrid w:val="0"/>
              <w:spacing w:before="50" w:beforeAutospacing="0" w:after="50" w:afterAutospacing="0"/>
              <w:ind w:left="0" w:right="0"/>
              <w:jc w:val="center"/>
              <w:rPr>
                <w:rFonts w:hint="default" w:ascii="宋体" w:hAnsi="宋体" w:cs="Times New Roman"/>
                <w:color w:val="auto"/>
                <w:sz w:val="24"/>
                <w:highlight w:val="none"/>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2774E045">
            <w:pPr>
              <w:keepNext w:val="0"/>
              <w:keepLines w:val="0"/>
              <w:suppressLineNumbers w:val="0"/>
              <w:snapToGrid w:val="0"/>
              <w:spacing w:before="50" w:beforeAutospacing="0" w:after="50" w:afterAutospacing="0"/>
              <w:ind w:left="0" w:right="0"/>
              <w:jc w:val="center"/>
              <w:rPr>
                <w:rFonts w:hint="default" w:ascii="宋体" w:hAnsi="宋体" w:cs="Times New Roman"/>
                <w:color w:val="auto"/>
                <w:sz w:val="24"/>
                <w:highlight w:val="none"/>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45106EDA">
            <w:pPr>
              <w:keepNext w:val="0"/>
              <w:keepLines w:val="0"/>
              <w:suppressLineNumbers w:val="0"/>
              <w:snapToGrid w:val="0"/>
              <w:spacing w:before="50" w:beforeAutospacing="0" w:after="50" w:afterAutospacing="0"/>
              <w:ind w:left="0" w:right="0"/>
              <w:jc w:val="center"/>
              <w:rPr>
                <w:rFonts w:hint="default" w:ascii="宋体" w:hAnsi="宋体" w:cs="Times New Roman"/>
                <w:color w:val="auto"/>
                <w:sz w:val="24"/>
                <w:highlight w:val="none"/>
              </w:rPr>
            </w:pPr>
          </w:p>
        </w:tc>
        <w:tc>
          <w:tcPr>
            <w:tcW w:w="712" w:type="pct"/>
            <w:tcBorders>
              <w:top w:val="single" w:color="auto" w:sz="4" w:space="0"/>
              <w:left w:val="single" w:color="auto" w:sz="4" w:space="0"/>
              <w:bottom w:val="single" w:color="auto" w:sz="4" w:space="0"/>
              <w:right w:val="single" w:color="auto" w:sz="4" w:space="0"/>
            </w:tcBorders>
            <w:noWrap w:val="0"/>
            <w:vAlign w:val="center"/>
          </w:tcPr>
          <w:p w14:paraId="18ED2D40">
            <w:pPr>
              <w:keepNext w:val="0"/>
              <w:keepLines w:val="0"/>
              <w:suppressLineNumbers w:val="0"/>
              <w:snapToGrid w:val="0"/>
              <w:spacing w:before="50" w:beforeAutospacing="0" w:after="50" w:afterAutospacing="0"/>
              <w:ind w:left="0" w:right="0"/>
              <w:jc w:val="center"/>
              <w:rPr>
                <w:rFonts w:hint="default" w:ascii="宋体" w:hAnsi="宋体" w:cs="Times New Roman"/>
                <w:color w:val="auto"/>
                <w:sz w:val="24"/>
                <w:highlight w:val="none"/>
              </w:rPr>
            </w:pPr>
          </w:p>
        </w:tc>
        <w:tc>
          <w:tcPr>
            <w:tcW w:w="1426" w:type="pct"/>
            <w:tcBorders>
              <w:top w:val="single" w:color="auto" w:sz="4" w:space="0"/>
              <w:left w:val="single" w:color="auto" w:sz="4" w:space="0"/>
              <w:bottom w:val="single" w:color="auto" w:sz="4" w:space="0"/>
              <w:right w:val="single" w:color="auto" w:sz="4" w:space="0"/>
            </w:tcBorders>
            <w:noWrap w:val="0"/>
            <w:vAlign w:val="top"/>
          </w:tcPr>
          <w:p w14:paraId="7559DFB6">
            <w:pPr>
              <w:keepNext w:val="0"/>
              <w:keepLines w:val="0"/>
              <w:suppressLineNumbers w:val="0"/>
              <w:snapToGrid w:val="0"/>
              <w:spacing w:before="50" w:beforeAutospacing="0" w:after="50" w:afterAutospacing="0"/>
              <w:ind w:left="0" w:right="0"/>
              <w:jc w:val="center"/>
              <w:rPr>
                <w:rFonts w:hint="default" w:ascii="宋体" w:hAnsi="宋体" w:cs="Times New Roman"/>
                <w:color w:val="auto"/>
                <w:sz w:val="24"/>
                <w:highlight w:val="none"/>
              </w:rPr>
            </w:pPr>
          </w:p>
        </w:tc>
      </w:tr>
      <w:tr w14:paraId="30830B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5" w:hRule="atLeast"/>
          <w:jc w:val="center"/>
        </w:trPr>
        <w:tc>
          <w:tcPr>
            <w:tcW w:w="586" w:type="pct"/>
            <w:tcBorders>
              <w:top w:val="single" w:color="auto" w:sz="4" w:space="0"/>
              <w:left w:val="single" w:color="auto" w:sz="4" w:space="0"/>
              <w:bottom w:val="single" w:color="auto" w:sz="4" w:space="0"/>
              <w:right w:val="single" w:color="auto" w:sz="4" w:space="0"/>
            </w:tcBorders>
            <w:noWrap w:val="0"/>
            <w:vAlign w:val="center"/>
          </w:tcPr>
          <w:p w14:paraId="6BA974F2">
            <w:pPr>
              <w:keepNext w:val="0"/>
              <w:keepLines w:val="0"/>
              <w:suppressLineNumbers w:val="0"/>
              <w:snapToGrid w:val="0"/>
              <w:spacing w:before="50" w:beforeAutospacing="0" w:after="50" w:afterAutospacing="0"/>
              <w:ind w:left="0" w:right="0"/>
              <w:jc w:val="center"/>
              <w:rPr>
                <w:rFonts w:hint="default" w:ascii="宋体" w:hAnsi="宋体" w:cs="Times New Roman"/>
                <w:color w:val="auto"/>
                <w:sz w:val="24"/>
                <w:highlight w:val="none"/>
              </w:rPr>
            </w:pPr>
          </w:p>
        </w:tc>
        <w:tc>
          <w:tcPr>
            <w:tcW w:w="993" w:type="pct"/>
            <w:tcBorders>
              <w:top w:val="single" w:color="auto" w:sz="4" w:space="0"/>
              <w:left w:val="single" w:color="auto" w:sz="4" w:space="0"/>
              <w:bottom w:val="single" w:color="auto" w:sz="4" w:space="0"/>
              <w:right w:val="single" w:color="auto" w:sz="4" w:space="0"/>
            </w:tcBorders>
            <w:noWrap w:val="0"/>
            <w:vAlign w:val="center"/>
          </w:tcPr>
          <w:p w14:paraId="52383907">
            <w:pPr>
              <w:keepNext w:val="0"/>
              <w:keepLines w:val="0"/>
              <w:suppressLineNumbers w:val="0"/>
              <w:snapToGrid w:val="0"/>
              <w:spacing w:before="50" w:beforeAutospacing="0" w:after="50" w:afterAutospacing="0"/>
              <w:ind w:left="0" w:right="0"/>
              <w:jc w:val="center"/>
              <w:rPr>
                <w:rFonts w:hint="default" w:ascii="宋体" w:hAnsi="宋体" w:cs="Times New Roman"/>
                <w:color w:val="auto"/>
                <w:sz w:val="24"/>
                <w:highlight w:val="none"/>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77ADE49B">
            <w:pPr>
              <w:keepNext w:val="0"/>
              <w:keepLines w:val="0"/>
              <w:suppressLineNumbers w:val="0"/>
              <w:snapToGrid w:val="0"/>
              <w:spacing w:before="50" w:beforeAutospacing="0" w:after="50" w:afterAutospacing="0"/>
              <w:ind w:left="0" w:right="0"/>
              <w:jc w:val="center"/>
              <w:rPr>
                <w:rFonts w:hint="default" w:ascii="宋体" w:hAnsi="宋体" w:cs="Times New Roman"/>
                <w:color w:val="auto"/>
                <w:sz w:val="24"/>
                <w:highlight w:val="none"/>
              </w:rPr>
            </w:pPr>
          </w:p>
        </w:tc>
        <w:tc>
          <w:tcPr>
            <w:tcW w:w="640" w:type="pct"/>
            <w:tcBorders>
              <w:top w:val="single" w:color="auto" w:sz="4" w:space="0"/>
              <w:left w:val="single" w:color="auto" w:sz="4" w:space="0"/>
              <w:bottom w:val="single" w:color="auto" w:sz="4" w:space="0"/>
              <w:right w:val="single" w:color="auto" w:sz="4" w:space="0"/>
            </w:tcBorders>
            <w:noWrap w:val="0"/>
            <w:vAlign w:val="center"/>
          </w:tcPr>
          <w:p w14:paraId="7BCFCE17">
            <w:pPr>
              <w:keepNext w:val="0"/>
              <w:keepLines w:val="0"/>
              <w:suppressLineNumbers w:val="0"/>
              <w:snapToGrid w:val="0"/>
              <w:spacing w:before="50" w:beforeAutospacing="0" w:after="50" w:afterAutospacing="0"/>
              <w:ind w:left="0" w:right="0"/>
              <w:jc w:val="center"/>
              <w:rPr>
                <w:rFonts w:hint="default" w:ascii="宋体" w:hAnsi="宋体" w:cs="Times New Roman"/>
                <w:color w:val="auto"/>
                <w:sz w:val="24"/>
                <w:highlight w:val="none"/>
              </w:rPr>
            </w:pPr>
          </w:p>
        </w:tc>
        <w:tc>
          <w:tcPr>
            <w:tcW w:w="712" w:type="pct"/>
            <w:tcBorders>
              <w:top w:val="single" w:color="auto" w:sz="4" w:space="0"/>
              <w:left w:val="single" w:color="auto" w:sz="4" w:space="0"/>
              <w:bottom w:val="single" w:color="auto" w:sz="4" w:space="0"/>
              <w:right w:val="single" w:color="auto" w:sz="4" w:space="0"/>
            </w:tcBorders>
            <w:noWrap w:val="0"/>
            <w:vAlign w:val="center"/>
          </w:tcPr>
          <w:p w14:paraId="7FA5E2DE">
            <w:pPr>
              <w:keepNext w:val="0"/>
              <w:keepLines w:val="0"/>
              <w:suppressLineNumbers w:val="0"/>
              <w:snapToGrid w:val="0"/>
              <w:spacing w:before="50" w:beforeAutospacing="0" w:after="50" w:afterAutospacing="0"/>
              <w:ind w:left="0" w:right="0"/>
              <w:jc w:val="center"/>
              <w:rPr>
                <w:rFonts w:hint="default" w:ascii="宋体" w:hAnsi="宋体" w:cs="Times New Roman"/>
                <w:color w:val="auto"/>
                <w:sz w:val="24"/>
                <w:highlight w:val="none"/>
              </w:rPr>
            </w:pPr>
          </w:p>
        </w:tc>
        <w:tc>
          <w:tcPr>
            <w:tcW w:w="1426" w:type="pct"/>
            <w:tcBorders>
              <w:top w:val="single" w:color="auto" w:sz="4" w:space="0"/>
              <w:left w:val="single" w:color="auto" w:sz="4" w:space="0"/>
              <w:bottom w:val="single" w:color="auto" w:sz="4" w:space="0"/>
              <w:right w:val="single" w:color="auto" w:sz="4" w:space="0"/>
            </w:tcBorders>
            <w:noWrap w:val="0"/>
            <w:vAlign w:val="top"/>
          </w:tcPr>
          <w:p w14:paraId="70D5A3FB">
            <w:pPr>
              <w:keepNext w:val="0"/>
              <w:keepLines w:val="0"/>
              <w:suppressLineNumbers w:val="0"/>
              <w:snapToGrid w:val="0"/>
              <w:spacing w:before="50" w:beforeAutospacing="0" w:after="50" w:afterAutospacing="0"/>
              <w:ind w:left="0" w:right="0"/>
              <w:jc w:val="center"/>
              <w:rPr>
                <w:rFonts w:hint="default" w:ascii="宋体" w:hAnsi="宋体" w:cs="Times New Roman"/>
                <w:color w:val="auto"/>
                <w:sz w:val="24"/>
                <w:highlight w:val="none"/>
              </w:rPr>
            </w:pPr>
          </w:p>
        </w:tc>
      </w:tr>
      <w:tr w14:paraId="576799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586" w:type="pct"/>
            <w:tcBorders>
              <w:top w:val="single" w:color="auto" w:sz="4" w:space="0"/>
              <w:left w:val="single" w:color="auto" w:sz="4" w:space="0"/>
              <w:bottom w:val="single" w:color="auto" w:sz="4" w:space="0"/>
              <w:right w:val="single" w:color="auto" w:sz="4" w:space="0"/>
            </w:tcBorders>
            <w:noWrap w:val="0"/>
            <w:vAlign w:val="center"/>
          </w:tcPr>
          <w:p w14:paraId="60BB312E">
            <w:pPr>
              <w:keepNext w:val="0"/>
              <w:keepLines w:val="0"/>
              <w:suppressLineNumbers w:val="0"/>
              <w:snapToGrid w:val="0"/>
              <w:spacing w:before="50" w:beforeAutospacing="0" w:after="50" w:afterAutospacing="0"/>
              <w:ind w:left="0" w:right="0"/>
              <w:jc w:val="center"/>
              <w:rPr>
                <w:rFonts w:hint="default" w:ascii="宋体" w:hAnsi="宋体" w:eastAsia="宋体" w:cs="Times New Roman"/>
                <w:color w:val="auto"/>
                <w:sz w:val="24"/>
                <w:highlight w:val="none"/>
                <w:lang w:val="en-US" w:eastAsia="zh-CN"/>
              </w:rPr>
            </w:pPr>
            <w:r>
              <w:rPr>
                <w:rFonts w:hint="eastAsia" w:ascii="宋体" w:hAnsi="宋体" w:cs="Times New Roman"/>
                <w:color w:val="auto"/>
                <w:sz w:val="24"/>
                <w:highlight w:val="none"/>
                <w:lang w:val="en-US" w:eastAsia="zh-CN"/>
              </w:rPr>
              <w:t>...</w:t>
            </w:r>
          </w:p>
        </w:tc>
        <w:tc>
          <w:tcPr>
            <w:tcW w:w="993" w:type="pct"/>
            <w:tcBorders>
              <w:top w:val="single" w:color="auto" w:sz="4" w:space="0"/>
              <w:left w:val="single" w:color="auto" w:sz="4" w:space="0"/>
              <w:bottom w:val="single" w:color="auto" w:sz="4" w:space="0"/>
              <w:right w:val="single" w:color="auto" w:sz="4" w:space="0"/>
            </w:tcBorders>
            <w:noWrap w:val="0"/>
            <w:vAlign w:val="center"/>
          </w:tcPr>
          <w:p w14:paraId="1BE02FB0">
            <w:pPr>
              <w:keepNext w:val="0"/>
              <w:keepLines w:val="0"/>
              <w:suppressLineNumbers w:val="0"/>
              <w:snapToGrid w:val="0"/>
              <w:spacing w:before="50" w:beforeAutospacing="0" w:after="50" w:afterAutospacing="0"/>
              <w:ind w:left="0" w:right="0"/>
              <w:jc w:val="center"/>
              <w:rPr>
                <w:rFonts w:hint="default" w:ascii="宋体" w:hAnsi="宋体" w:eastAsia="宋体" w:cs="Times New Roman"/>
                <w:color w:val="auto"/>
                <w:sz w:val="24"/>
                <w:highlight w:val="none"/>
                <w:lang w:val="en-US" w:eastAsia="zh-CN"/>
              </w:rPr>
            </w:pPr>
            <w:r>
              <w:rPr>
                <w:rFonts w:hint="eastAsia" w:ascii="宋体" w:hAnsi="宋体" w:cs="Times New Roman"/>
                <w:color w:val="auto"/>
                <w:sz w:val="24"/>
                <w:highlight w:val="none"/>
                <w:lang w:val="en-US" w:eastAsia="zh-CN"/>
              </w:rPr>
              <w:t>...</w:t>
            </w:r>
          </w:p>
        </w:tc>
        <w:tc>
          <w:tcPr>
            <w:tcW w:w="640" w:type="pct"/>
            <w:tcBorders>
              <w:top w:val="single" w:color="auto" w:sz="4" w:space="0"/>
              <w:left w:val="single" w:color="auto" w:sz="4" w:space="0"/>
              <w:bottom w:val="single" w:color="auto" w:sz="4" w:space="0"/>
              <w:right w:val="single" w:color="auto" w:sz="4" w:space="0"/>
            </w:tcBorders>
            <w:noWrap w:val="0"/>
            <w:vAlign w:val="center"/>
          </w:tcPr>
          <w:p w14:paraId="12B3DE6B">
            <w:pPr>
              <w:keepNext w:val="0"/>
              <w:keepLines w:val="0"/>
              <w:suppressLineNumbers w:val="0"/>
              <w:snapToGrid w:val="0"/>
              <w:spacing w:before="50" w:beforeAutospacing="0" w:after="50" w:afterAutospacing="0"/>
              <w:ind w:left="0" w:right="0"/>
              <w:jc w:val="center"/>
              <w:rPr>
                <w:rFonts w:hint="default" w:ascii="宋体" w:hAnsi="宋体" w:eastAsia="宋体" w:cs="Times New Roman"/>
                <w:color w:val="auto"/>
                <w:sz w:val="24"/>
                <w:highlight w:val="none"/>
                <w:lang w:val="en-US" w:eastAsia="zh-CN"/>
              </w:rPr>
            </w:pPr>
            <w:r>
              <w:rPr>
                <w:rFonts w:hint="eastAsia" w:ascii="宋体" w:hAnsi="宋体" w:cs="Times New Roman"/>
                <w:color w:val="auto"/>
                <w:sz w:val="24"/>
                <w:highlight w:val="none"/>
                <w:lang w:val="en-US" w:eastAsia="zh-CN"/>
              </w:rPr>
              <w:t>...</w:t>
            </w:r>
          </w:p>
        </w:tc>
        <w:tc>
          <w:tcPr>
            <w:tcW w:w="640" w:type="pct"/>
            <w:tcBorders>
              <w:top w:val="single" w:color="auto" w:sz="4" w:space="0"/>
              <w:left w:val="single" w:color="auto" w:sz="4" w:space="0"/>
              <w:bottom w:val="single" w:color="auto" w:sz="4" w:space="0"/>
              <w:right w:val="single" w:color="auto" w:sz="4" w:space="0"/>
            </w:tcBorders>
            <w:noWrap w:val="0"/>
            <w:vAlign w:val="center"/>
          </w:tcPr>
          <w:p w14:paraId="0F406036">
            <w:pPr>
              <w:keepNext w:val="0"/>
              <w:keepLines w:val="0"/>
              <w:suppressLineNumbers w:val="0"/>
              <w:snapToGrid w:val="0"/>
              <w:spacing w:before="50" w:beforeAutospacing="0" w:after="50" w:afterAutospacing="0"/>
              <w:ind w:left="0" w:right="0"/>
              <w:jc w:val="center"/>
              <w:rPr>
                <w:rFonts w:hint="default" w:ascii="宋体" w:hAnsi="宋体" w:eastAsia="宋体" w:cs="Times New Roman"/>
                <w:color w:val="auto"/>
                <w:sz w:val="24"/>
                <w:highlight w:val="none"/>
                <w:lang w:val="en-US" w:eastAsia="zh-CN"/>
              </w:rPr>
            </w:pPr>
            <w:r>
              <w:rPr>
                <w:rFonts w:hint="eastAsia" w:ascii="宋体" w:hAnsi="宋体" w:cs="Times New Roman"/>
                <w:color w:val="auto"/>
                <w:sz w:val="24"/>
                <w:highlight w:val="none"/>
                <w:lang w:val="en-US" w:eastAsia="zh-CN"/>
              </w:rPr>
              <w:t>...</w:t>
            </w:r>
          </w:p>
        </w:tc>
        <w:tc>
          <w:tcPr>
            <w:tcW w:w="712" w:type="pct"/>
            <w:tcBorders>
              <w:top w:val="single" w:color="auto" w:sz="4" w:space="0"/>
              <w:left w:val="single" w:color="auto" w:sz="4" w:space="0"/>
              <w:bottom w:val="single" w:color="auto" w:sz="4" w:space="0"/>
              <w:right w:val="single" w:color="auto" w:sz="4" w:space="0"/>
            </w:tcBorders>
            <w:noWrap w:val="0"/>
            <w:vAlign w:val="center"/>
          </w:tcPr>
          <w:p w14:paraId="18FFE279">
            <w:pPr>
              <w:keepNext w:val="0"/>
              <w:keepLines w:val="0"/>
              <w:suppressLineNumbers w:val="0"/>
              <w:snapToGrid w:val="0"/>
              <w:spacing w:before="50" w:beforeAutospacing="0" w:after="50" w:afterAutospacing="0"/>
              <w:ind w:left="0" w:right="0"/>
              <w:jc w:val="center"/>
              <w:rPr>
                <w:rFonts w:hint="default" w:ascii="宋体" w:hAnsi="宋体" w:eastAsia="宋体" w:cs="Times New Roman"/>
                <w:color w:val="auto"/>
                <w:sz w:val="24"/>
                <w:highlight w:val="none"/>
                <w:lang w:val="en-US" w:eastAsia="zh-CN"/>
              </w:rPr>
            </w:pPr>
            <w:r>
              <w:rPr>
                <w:rFonts w:hint="eastAsia" w:ascii="宋体" w:hAnsi="宋体" w:cs="Times New Roman"/>
                <w:color w:val="auto"/>
                <w:sz w:val="24"/>
                <w:highlight w:val="none"/>
                <w:lang w:val="en-US" w:eastAsia="zh-CN"/>
              </w:rPr>
              <w:t>...</w:t>
            </w:r>
          </w:p>
        </w:tc>
        <w:tc>
          <w:tcPr>
            <w:tcW w:w="1426" w:type="pct"/>
            <w:tcBorders>
              <w:top w:val="single" w:color="auto" w:sz="4" w:space="0"/>
              <w:left w:val="single" w:color="auto" w:sz="4" w:space="0"/>
              <w:bottom w:val="single" w:color="auto" w:sz="4" w:space="0"/>
              <w:right w:val="single" w:color="auto" w:sz="4" w:space="0"/>
            </w:tcBorders>
            <w:noWrap w:val="0"/>
            <w:vAlign w:val="top"/>
          </w:tcPr>
          <w:p w14:paraId="01062DAA">
            <w:pPr>
              <w:keepNext w:val="0"/>
              <w:keepLines w:val="0"/>
              <w:suppressLineNumbers w:val="0"/>
              <w:snapToGrid w:val="0"/>
              <w:spacing w:before="50" w:beforeAutospacing="0" w:after="50" w:afterAutospacing="0"/>
              <w:ind w:left="0" w:right="0"/>
              <w:jc w:val="center"/>
              <w:rPr>
                <w:rFonts w:hint="default" w:ascii="宋体" w:hAnsi="宋体" w:eastAsia="宋体" w:cs="Times New Roman"/>
                <w:color w:val="auto"/>
                <w:sz w:val="24"/>
                <w:highlight w:val="none"/>
                <w:lang w:val="en-US" w:eastAsia="zh-CN"/>
              </w:rPr>
            </w:pPr>
            <w:r>
              <w:rPr>
                <w:rFonts w:hint="eastAsia" w:ascii="宋体" w:hAnsi="宋体" w:cs="Times New Roman"/>
                <w:color w:val="auto"/>
                <w:sz w:val="24"/>
                <w:highlight w:val="none"/>
                <w:lang w:val="en-US" w:eastAsia="zh-CN"/>
              </w:rPr>
              <w:t>...</w:t>
            </w:r>
          </w:p>
        </w:tc>
      </w:tr>
    </w:tbl>
    <w:p w14:paraId="64C31485">
      <w:pPr>
        <w:spacing w:line="360" w:lineRule="auto"/>
        <w:ind w:firstLine="241" w:firstLineChars="100"/>
        <w:jc w:val="both"/>
        <w:rPr>
          <w:rFonts w:hint="eastAsia" w:ascii="宋体" w:hAnsi="宋体" w:eastAsia="宋体" w:cs="Times New Roman"/>
          <w:b/>
          <w:color w:val="auto"/>
          <w:sz w:val="24"/>
          <w:szCs w:val="24"/>
          <w:highlight w:val="none"/>
          <w:lang w:val="en-US" w:eastAsia="zh-CN"/>
        </w:rPr>
      </w:pPr>
      <w:r>
        <w:rPr>
          <w:rFonts w:hint="eastAsia" w:ascii="宋体" w:hAnsi="宋体" w:eastAsia="宋体" w:cs="Times New Roman"/>
          <w:b/>
          <w:color w:val="auto"/>
          <w:sz w:val="24"/>
          <w:szCs w:val="24"/>
          <w:highlight w:val="none"/>
          <w:lang w:val="en-US" w:eastAsia="zh-CN"/>
        </w:rPr>
        <w:t>注：由投标人根据第二章采购需求中附件1</w:t>
      </w:r>
      <w:r>
        <w:rPr>
          <w:rFonts w:hint="eastAsia" w:ascii="宋体" w:hAnsi="宋体" w:eastAsia="宋体" w:cs="Times New Roman"/>
          <w:b/>
          <w:color w:val="auto"/>
          <w:sz w:val="24"/>
          <w:szCs w:val="24"/>
          <w:highlight w:val="none"/>
          <w:lang w:val="zh-CN" w:eastAsia="zh-CN"/>
        </w:rPr>
        <w:t>《南宁市城市规划展示馆布展内容升级改造项目多媒体设备主要技术列表》</w:t>
      </w:r>
      <w:r>
        <w:rPr>
          <w:rFonts w:hint="eastAsia" w:ascii="宋体" w:hAnsi="宋体" w:eastAsia="宋体" w:cs="Times New Roman"/>
          <w:b/>
          <w:color w:val="auto"/>
          <w:sz w:val="24"/>
          <w:szCs w:val="24"/>
          <w:highlight w:val="none"/>
          <w:lang w:val="en-US" w:eastAsia="zh-CN"/>
        </w:rPr>
        <w:t>自行填写。</w:t>
      </w:r>
    </w:p>
    <w:p w14:paraId="5B883694">
      <w:pPr>
        <w:spacing w:line="360" w:lineRule="auto"/>
        <w:ind w:firstLine="321" w:firstLineChars="100"/>
        <w:jc w:val="both"/>
        <w:rPr>
          <w:rFonts w:hint="eastAsia" w:ascii="宋体" w:hAnsi="宋体" w:eastAsia="宋体" w:cs="Times New Roman"/>
          <w:b/>
          <w:color w:val="auto"/>
          <w:sz w:val="32"/>
          <w:szCs w:val="32"/>
          <w:highlight w:val="none"/>
          <w:lang w:val="en-US" w:eastAsia="zh-CN"/>
        </w:rPr>
      </w:pPr>
    </w:p>
    <w:p w14:paraId="7347F11B">
      <w:pPr>
        <w:spacing w:line="360" w:lineRule="auto"/>
        <w:ind w:firstLine="321" w:firstLineChars="100"/>
        <w:jc w:val="both"/>
        <w:rPr>
          <w:rFonts w:hint="eastAsia" w:ascii="宋体" w:hAnsi="宋体" w:eastAsia="宋体" w:cs="Times New Roman"/>
          <w:b/>
          <w:color w:val="auto"/>
          <w:sz w:val="32"/>
          <w:szCs w:val="32"/>
          <w:highlight w:val="none"/>
          <w:lang w:val="en-US" w:eastAsia="zh-CN"/>
        </w:rPr>
      </w:pPr>
    </w:p>
    <w:p w14:paraId="1D93734C">
      <w:pPr>
        <w:spacing w:line="360" w:lineRule="auto"/>
        <w:ind w:firstLine="321" w:firstLineChars="100"/>
        <w:jc w:val="both"/>
        <w:rPr>
          <w:rFonts w:hint="default" w:ascii="宋体" w:hAnsi="宋体" w:eastAsia="宋体" w:cs="Times New Roman"/>
          <w:b/>
          <w:color w:val="auto"/>
          <w:sz w:val="32"/>
          <w:szCs w:val="32"/>
          <w:highlight w:val="none"/>
          <w:lang w:val="en-US" w:eastAsia="zh-CN"/>
        </w:rPr>
      </w:pPr>
    </w:p>
    <w:p w14:paraId="72ABD59D">
      <w:pPr>
        <w:snapToGrid w:val="0"/>
        <w:spacing w:line="360" w:lineRule="auto"/>
        <w:ind w:firstLine="5040" w:firstLineChars="2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3793A4D8">
      <w:pPr>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09AF8550">
      <w:pPr>
        <w:spacing w:line="360" w:lineRule="auto"/>
        <w:jc w:val="center"/>
        <w:rPr>
          <w:rFonts w:hint="eastAsia" w:ascii="宋体" w:hAnsi="宋体" w:eastAsia="宋体" w:cs="Times New Roman"/>
          <w:b/>
          <w:color w:val="auto"/>
          <w:sz w:val="32"/>
          <w:szCs w:val="32"/>
          <w:highlight w:val="none"/>
          <w:lang w:val="zh-CN" w:eastAsia="zh-CN"/>
        </w:rPr>
      </w:pPr>
    </w:p>
    <w:p w14:paraId="6BB3BD4A">
      <w:pPr>
        <w:spacing w:line="360" w:lineRule="auto"/>
        <w:jc w:val="center"/>
        <w:rPr>
          <w:rFonts w:hint="eastAsia" w:ascii="宋体" w:hAnsi="宋体" w:eastAsia="宋体" w:cs="Times New Roman"/>
          <w:b/>
          <w:color w:val="auto"/>
          <w:sz w:val="32"/>
          <w:szCs w:val="32"/>
          <w:highlight w:val="none"/>
          <w:lang w:val="zh-CN" w:eastAsia="zh-CN"/>
        </w:rPr>
      </w:pPr>
    </w:p>
    <w:p w14:paraId="72EF1D38">
      <w:pPr>
        <w:spacing w:line="360" w:lineRule="auto"/>
        <w:jc w:val="center"/>
        <w:rPr>
          <w:rFonts w:hint="eastAsia" w:ascii="宋体" w:hAnsi="宋体" w:eastAsia="宋体" w:cs="Times New Roman"/>
          <w:b/>
          <w:color w:val="auto"/>
          <w:sz w:val="32"/>
          <w:szCs w:val="32"/>
          <w:highlight w:val="none"/>
          <w:lang w:val="zh-CN" w:eastAsia="zh-CN"/>
        </w:rPr>
      </w:pPr>
    </w:p>
    <w:p w14:paraId="0C95226C">
      <w:pPr>
        <w:spacing w:line="360" w:lineRule="auto"/>
        <w:jc w:val="center"/>
        <w:rPr>
          <w:rFonts w:hint="eastAsia" w:ascii="宋体" w:hAnsi="宋体" w:eastAsia="宋体" w:cs="Times New Roman"/>
          <w:b/>
          <w:color w:val="auto"/>
          <w:sz w:val="32"/>
          <w:szCs w:val="32"/>
          <w:highlight w:val="none"/>
          <w:lang w:val="zh-CN" w:eastAsia="zh-CN"/>
        </w:rPr>
      </w:pPr>
    </w:p>
    <w:p w14:paraId="456DFAAF">
      <w:pPr>
        <w:spacing w:line="360" w:lineRule="auto"/>
        <w:jc w:val="center"/>
        <w:rPr>
          <w:rFonts w:hint="eastAsia" w:ascii="宋体" w:hAnsi="宋体" w:eastAsia="宋体" w:cs="Times New Roman"/>
          <w:b/>
          <w:color w:val="auto"/>
          <w:sz w:val="32"/>
          <w:szCs w:val="32"/>
          <w:highlight w:val="none"/>
          <w:lang w:val="zh-CN" w:eastAsia="zh-CN"/>
        </w:rPr>
      </w:pPr>
    </w:p>
    <w:p w14:paraId="34CC4169">
      <w:pPr>
        <w:spacing w:line="360" w:lineRule="auto"/>
        <w:jc w:val="center"/>
        <w:rPr>
          <w:rFonts w:hint="eastAsia" w:ascii="宋体" w:hAnsi="宋体" w:eastAsia="宋体" w:cs="Times New Roman"/>
          <w:b/>
          <w:color w:val="auto"/>
          <w:sz w:val="32"/>
          <w:szCs w:val="32"/>
          <w:highlight w:val="none"/>
          <w:lang w:val="zh-CN" w:eastAsia="zh-CN"/>
        </w:rPr>
      </w:pPr>
    </w:p>
    <w:p w14:paraId="3B5FFF95">
      <w:pPr>
        <w:spacing w:line="360" w:lineRule="auto"/>
        <w:jc w:val="center"/>
        <w:rPr>
          <w:rFonts w:hint="eastAsia" w:ascii="宋体" w:hAnsi="宋体" w:eastAsia="宋体" w:cs="Times New Roman"/>
          <w:b/>
          <w:color w:val="auto"/>
          <w:sz w:val="32"/>
          <w:szCs w:val="32"/>
          <w:highlight w:val="none"/>
          <w:lang w:val="zh-CN" w:eastAsia="zh-CN"/>
        </w:rPr>
      </w:pPr>
    </w:p>
    <w:p w14:paraId="70E244DF">
      <w:pPr>
        <w:spacing w:line="360" w:lineRule="auto"/>
        <w:jc w:val="center"/>
        <w:rPr>
          <w:rFonts w:hint="eastAsia" w:ascii="宋体" w:hAnsi="宋体" w:eastAsia="宋体" w:cs="Times New Roman"/>
          <w:b/>
          <w:color w:val="auto"/>
          <w:sz w:val="32"/>
          <w:szCs w:val="32"/>
          <w:highlight w:val="none"/>
          <w:lang w:val="zh-CN" w:eastAsia="zh-CN"/>
        </w:rPr>
      </w:pPr>
    </w:p>
    <w:p w14:paraId="04CC35A9">
      <w:pPr>
        <w:spacing w:line="360" w:lineRule="auto"/>
        <w:jc w:val="center"/>
        <w:rPr>
          <w:rFonts w:hint="eastAsia" w:ascii="宋体" w:hAnsi="宋体" w:eastAsia="宋体" w:cs="Times New Roman"/>
          <w:b/>
          <w:color w:val="auto"/>
          <w:sz w:val="32"/>
          <w:szCs w:val="32"/>
          <w:highlight w:val="none"/>
          <w:lang w:val="zh-CN" w:eastAsia="zh-CN"/>
        </w:rPr>
      </w:pPr>
    </w:p>
    <w:p w14:paraId="5727B9AD">
      <w:pPr>
        <w:spacing w:line="360" w:lineRule="auto"/>
        <w:jc w:val="center"/>
        <w:rPr>
          <w:rFonts w:hint="eastAsia" w:ascii="宋体" w:hAnsi="宋体" w:eastAsia="宋体" w:cs="Times New Roman"/>
          <w:b/>
          <w:color w:val="auto"/>
          <w:sz w:val="32"/>
          <w:szCs w:val="32"/>
          <w:highlight w:val="none"/>
          <w:lang w:val="zh-CN" w:eastAsia="zh-CN"/>
        </w:rPr>
      </w:pPr>
    </w:p>
    <w:p w14:paraId="5372CA7D">
      <w:pPr>
        <w:spacing w:line="360" w:lineRule="auto"/>
        <w:jc w:val="center"/>
        <w:rPr>
          <w:rFonts w:hint="eastAsia" w:ascii="宋体" w:hAnsi="宋体" w:eastAsia="宋体" w:cs="Times New Roman"/>
          <w:b/>
          <w:color w:val="auto"/>
          <w:sz w:val="32"/>
          <w:szCs w:val="32"/>
          <w:highlight w:val="none"/>
          <w:lang w:val="zh-CN" w:eastAsia="zh-CN"/>
        </w:rPr>
      </w:pPr>
    </w:p>
    <w:p w14:paraId="5A943961">
      <w:pPr>
        <w:spacing w:line="360" w:lineRule="auto"/>
        <w:jc w:val="center"/>
        <w:rPr>
          <w:rFonts w:hint="eastAsia" w:ascii="宋体" w:hAnsi="宋体" w:eastAsia="宋体" w:cs="Times New Roman"/>
          <w:b/>
          <w:color w:val="auto"/>
          <w:sz w:val="32"/>
          <w:szCs w:val="32"/>
          <w:highlight w:val="none"/>
          <w:lang w:val="zh-CN" w:eastAsia="zh-CN"/>
        </w:rPr>
      </w:pPr>
    </w:p>
    <w:p w14:paraId="349B8AE9">
      <w:pPr>
        <w:spacing w:line="360" w:lineRule="auto"/>
        <w:jc w:val="center"/>
        <w:rPr>
          <w:rFonts w:hint="eastAsia" w:ascii="宋体" w:hAnsi="宋体"/>
          <w:b/>
          <w:color w:val="auto"/>
          <w:sz w:val="32"/>
          <w:szCs w:val="32"/>
          <w:highlight w:val="none"/>
        </w:rPr>
      </w:pPr>
      <w:r>
        <w:rPr>
          <w:rFonts w:hint="eastAsia" w:ascii="宋体" w:hAnsi="宋体" w:eastAsia="宋体" w:cs="Times New Roman"/>
          <w:b/>
          <w:color w:val="auto"/>
          <w:sz w:val="32"/>
          <w:szCs w:val="32"/>
          <w:highlight w:val="none"/>
          <w:lang w:val="en-US" w:eastAsia="zh-CN"/>
        </w:rPr>
        <w:t>七</w:t>
      </w:r>
      <w:r>
        <w:rPr>
          <w:rFonts w:hint="eastAsia" w:ascii="宋体" w:hAnsi="宋体" w:eastAsia="宋体" w:cs="Times New Roman"/>
          <w:b/>
          <w:color w:val="auto"/>
          <w:sz w:val="32"/>
          <w:szCs w:val="32"/>
          <w:highlight w:val="none"/>
        </w:rPr>
        <w:t>、除招标文件规定必须提供以外，投标人</w:t>
      </w:r>
      <w:r>
        <w:rPr>
          <w:rFonts w:hint="eastAsia" w:ascii="宋体" w:hAnsi="宋体"/>
          <w:b/>
          <w:color w:val="auto"/>
          <w:sz w:val="32"/>
          <w:szCs w:val="32"/>
          <w:highlight w:val="none"/>
        </w:rPr>
        <w:t>需要说明的其他文件和说明</w:t>
      </w:r>
    </w:p>
    <w:p w14:paraId="34EE5CDD">
      <w:pPr>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（由投标人根据采购需求自行编制）</w:t>
      </w:r>
    </w:p>
    <w:p w14:paraId="73EEACB5">
      <w:pPr>
        <w:spacing w:line="360" w:lineRule="auto"/>
        <w:jc w:val="center"/>
        <w:rPr>
          <w:rFonts w:hint="eastAsia" w:ascii="仿宋_GB2312" w:hAnsi="仿宋" w:eastAsia="仿宋_GB2312" w:cs="仿宋_GB2312"/>
          <w:color w:val="auto"/>
          <w:sz w:val="18"/>
          <w:szCs w:val="18"/>
          <w:highlight w:val="none"/>
        </w:rPr>
      </w:pPr>
    </w:p>
    <w:p w14:paraId="382D70AC">
      <w:pPr>
        <w:snapToGrid w:val="0"/>
        <w:spacing w:line="360" w:lineRule="auto"/>
        <w:ind w:firstLine="5040" w:firstLineChars="2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5A84169C">
      <w:pPr>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6B8A3569">
      <w:pPr>
        <w:jc w:val="center"/>
        <w:outlineLvl w:val="1"/>
        <w:rPr>
          <w:rFonts w:hint="eastAsia" w:ascii="宋体" w:hAnsi="宋体"/>
          <w:b/>
          <w:bCs/>
          <w:color w:val="auto"/>
          <w:sz w:val="28"/>
          <w:szCs w:val="28"/>
          <w:highlight w:val="none"/>
        </w:rPr>
      </w:pPr>
    </w:p>
    <w:p w14:paraId="0C648BDB">
      <w:pPr>
        <w:jc w:val="center"/>
        <w:outlineLvl w:val="1"/>
        <w:rPr>
          <w:rFonts w:hint="eastAsia" w:ascii="宋体" w:hAnsi="宋体"/>
          <w:b/>
          <w:bCs/>
          <w:color w:val="auto"/>
          <w:sz w:val="28"/>
          <w:szCs w:val="28"/>
          <w:highlight w:val="none"/>
        </w:rPr>
      </w:pPr>
    </w:p>
    <w:p w14:paraId="1D36EF1F">
      <w:pPr>
        <w:jc w:val="center"/>
        <w:outlineLvl w:val="1"/>
        <w:rPr>
          <w:rFonts w:hint="eastAsia" w:ascii="宋体" w:hAnsi="宋体"/>
          <w:b/>
          <w:bCs/>
          <w:color w:val="auto"/>
          <w:sz w:val="28"/>
          <w:szCs w:val="28"/>
          <w:highlight w:val="none"/>
        </w:rPr>
      </w:pPr>
    </w:p>
    <w:p w14:paraId="27ECBDA0">
      <w:pPr>
        <w:jc w:val="center"/>
        <w:outlineLvl w:val="1"/>
        <w:rPr>
          <w:rFonts w:hint="eastAsia" w:ascii="宋体" w:hAnsi="宋体"/>
          <w:b/>
          <w:bCs/>
          <w:color w:val="auto"/>
          <w:sz w:val="28"/>
          <w:szCs w:val="28"/>
          <w:highlight w:val="none"/>
        </w:rPr>
      </w:pPr>
    </w:p>
    <w:p w14:paraId="7E31249C">
      <w:pPr>
        <w:jc w:val="center"/>
        <w:outlineLvl w:val="1"/>
        <w:rPr>
          <w:rFonts w:hint="eastAsia" w:ascii="宋体" w:hAnsi="宋体"/>
          <w:b/>
          <w:bCs/>
          <w:color w:val="auto"/>
          <w:sz w:val="28"/>
          <w:szCs w:val="28"/>
          <w:highlight w:val="none"/>
        </w:rPr>
      </w:pPr>
    </w:p>
    <w:p w14:paraId="2697DD67">
      <w:pPr>
        <w:jc w:val="center"/>
        <w:outlineLvl w:val="1"/>
        <w:rPr>
          <w:rFonts w:hint="eastAsia" w:ascii="宋体" w:hAnsi="宋体"/>
          <w:b/>
          <w:bCs/>
          <w:color w:val="auto"/>
          <w:sz w:val="28"/>
          <w:szCs w:val="28"/>
          <w:highlight w:val="none"/>
        </w:rPr>
      </w:pPr>
    </w:p>
    <w:p w14:paraId="5B910810">
      <w:pPr>
        <w:jc w:val="center"/>
        <w:outlineLvl w:val="1"/>
        <w:rPr>
          <w:rFonts w:hint="eastAsia" w:ascii="宋体" w:hAnsi="宋体"/>
          <w:b/>
          <w:bCs/>
          <w:color w:val="auto"/>
          <w:sz w:val="28"/>
          <w:szCs w:val="28"/>
          <w:highlight w:val="none"/>
        </w:rPr>
      </w:pPr>
    </w:p>
    <w:p w14:paraId="090E52D4">
      <w:pPr>
        <w:jc w:val="center"/>
        <w:outlineLvl w:val="1"/>
        <w:rPr>
          <w:rFonts w:hint="eastAsia" w:ascii="宋体" w:hAnsi="宋体"/>
          <w:b/>
          <w:bCs/>
          <w:color w:val="auto"/>
          <w:sz w:val="28"/>
          <w:szCs w:val="28"/>
          <w:highlight w:val="none"/>
        </w:rPr>
      </w:pPr>
    </w:p>
    <w:p w14:paraId="3EC690A1">
      <w:pPr>
        <w:jc w:val="center"/>
        <w:outlineLvl w:val="1"/>
        <w:rPr>
          <w:rFonts w:hint="eastAsia" w:ascii="宋体" w:hAnsi="宋体"/>
          <w:b/>
          <w:bCs/>
          <w:color w:val="auto"/>
          <w:sz w:val="28"/>
          <w:szCs w:val="28"/>
          <w:highlight w:val="none"/>
        </w:rPr>
      </w:pPr>
    </w:p>
    <w:p w14:paraId="15D37F96">
      <w:pPr>
        <w:jc w:val="center"/>
        <w:outlineLvl w:val="1"/>
        <w:rPr>
          <w:rFonts w:hint="eastAsia" w:ascii="宋体" w:hAnsi="宋体"/>
          <w:b/>
          <w:bCs/>
          <w:color w:val="auto"/>
          <w:sz w:val="28"/>
          <w:szCs w:val="28"/>
          <w:highlight w:val="none"/>
        </w:rPr>
      </w:pPr>
    </w:p>
    <w:p w14:paraId="65D86BAD">
      <w:pPr>
        <w:jc w:val="center"/>
        <w:outlineLvl w:val="1"/>
        <w:rPr>
          <w:rFonts w:hint="eastAsia" w:ascii="宋体" w:hAnsi="宋体"/>
          <w:b/>
          <w:bCs/>
          <w:color w:val="auto"/>
          <w:sz w:val="28"/>
          <w:szCs w:val="28"/>
          <w:highlight w:val="none"/>
        </w:rPr>
      </w:pPr>
    </w:p>
    <w:p w14:paraId="3CB867D2">
      <w:pPr>
        <w:jc w:val="center"/>
        <w:outlineLvl w:val="1"/>
        <w:rPr>
          <w:rFonts w:hint="eastAsia" w:ascii="宋体" w:hAnsi="宋体"/>
          <w:b/>
          <w:bCs/>
          <w:color w:val="auto"/>
          <w:sz w:val="28"/>
          <w:szCs w:val="28"/>
          <w:highlight w:val="none"/>
        </w:rPr>
      </w:pPr>
    </w:p>
    <w:p w14:paraId="636097B3">
      <w:pPr>
        <w:jc w:val="center"/>
        <w:outlineLvl w:val="1"/>
        <w:rPr>
          <w:rFonts w:hint="eastAsia" w:ascii="宋体" w:hAnsi="宋体"/>
          <w:b/>
          <w:bCs/>
          <w:color w:val="auto"/>
          <w:sz w:val="28"/>
          <w:szCs w:val="28"/>
          <w:highlight w:val="none"/>
        </w:rPr>
      </w:pPr>
    </w:p>
    <w:p w14:paraId="5702CED1">
      <w:pPr>
        <w:pStyle w:val="3"/>
        <w:bidi w:val="0"/>
        <w:jc w:val="center"/>
        <w:rPr>
          <w:rFonts w:hint="eastAsia"/>
          <w:color w:val="auto"/>
          <w:highlight w:val="none"/>
        </w:rPr>
      </w:pPr>
      <w:bookmarkStart w:id="580" w:name="_Toc11443"/>
      <w:r>
        <w:rPr>
          <w:rFonts w:hint="eastAsia"/>
          <w:color w:val="auto"/>
          <w:highlight w:val="none"/>
        </w:rPr>
        <w:t>第五节 报价文件格式</w:t>
      </w:r>
      <w:bookmarkEnd w:id="580"/>
    </w:p>
    <w:p w14:paraId="19839558">
      <w:pPr>
        <w:snapToGrid w:val="0"/>
        <w:spacing w:before="165" w:beforeLines="50" w:after="50" w:line="400" w:lineRule="exact"/>
        <w:rPr>
          <w:rFonts w:hint="eastAsia"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电子投标文件</w:t>
      </w:r>
    </w:p>
    <w:p w14:paraId="190C44F1">
      <w:pPr>
        <w:snapToGrid w:val="0"/>
        <w:spacing w:before="165" w:beforeLines="50" w:after="50" w:line="400" w:lineRule="exact"/>
        <w:jc w:val="center"/>
        <w:rPr>
          <w:rFonts w:hint="eastAsia" w:ascii="宋体" w:hAnsi="宋体"/>
          <w:bCs/>
          <w:color w:val="auto"/>
          <w:sz w:val="24"/>
          <w:szCs w:val="20"/>
          <w:highlight w:val="none"/>
        </w:rPr>
      </w:pPr>
    </w:p>
    <w:p w14:paraId="683E7579">
      <w:pPr>
        <w:snapToGrid w:val="0"/>
        <w:spacing w:before="165" w:beforeLines="50" w:after="50" w:line="400" w:lineRule="exact"/>
        <w:jc w:val="center"/>
        <w:rPr>
          <w:rFonts w:hint="eastAsia" w:ascii="宋体" w:hAnsi="宋体"/>
          <w:b/>
          <w:bCs/>
          <w:color w:val="auto"/>
          <w:sz w:val="32"/>
          <w:szCs w:val="32"/>
          <w:highlight w:val="none"/>
        </w:rPr>
      </w:pPr>
      <w:r>
        <w:rPr>
          <w:rFonts w:hint="eastAsia" w:ascii="宋体" w:hAnsi="宋体"/>
          <w:b/>
          <w:bCs/>
          <w:color w:val="auto"/>
          <w:sz w:val="32"/>
          <w:szCs w:val="32"/>
          <w:highlight w:val="none"/>
        </w:rPr>
        <w:t>报价文件（封面）</w:t>
      </w:r>
    </w:p>
    <w:p w14:paraId="2E3EB64B">
      <w:pPr>
        <w:snapToGrid w:val="0"/>
        <w:spacing w:before="165" w:beforeLines="50" w:after="50" w:line="400" w:lineRule="exact"/>
        <w:rPr>
          <w:rFonts w:hint="eastAsia" w:ascii="宋体" w:hAnsi="宋体"/>
          <w:bCs/>
          <w:color w:val="auto"/>
          <w:sz w:val="24"/>
          <w:szCs w:val="20"/>
          <w:highlight w:val="none"/>
        </w:rPr>
      </w:pPr>
    </w:p>
    <w:p w14:paraId="15DEEB61">
      <w:pPr>
        <w:snapToGrid w:val="0"/>
        <w:spacing w:before="165" w:beforeLines="50" w:after="50" w:line="400" w:lineRule="exact"/>
        <w:rPr>
          <w:rFonts w:hint="eastAsia" w:ascii="宋体" w:hAnsi="宋体"/>
          <w:bCs/>
          <w:color w:val="auto"/>
          <w:sz w:val="24"/>
          <w:szCs w:val="20"/>
          <w:highlight w:val="none"/>
        </w:rPr>
      </w:pPr>
    </w:p>
    <w:p w14:paraId="26BF9E0B">
      <w:pPr>
        <w:snapToGrid w:val="0"/>
        <w:spacing w:before="165" w:beforeLines="50" w:after="50" w:line="400" w:lineRule="exact"/>
        <w:rPr>
          <w:rFonts w:hint="eastAsia" w:ascii="宋体" w:hAnsi="宋体"/>
          <w:bCs/>
          <w:color w:val="auto"/>
          <w:sz w:val="24"/>
          <w:szCs w:val="20"/>
          <w:highlight w:val="none"/>
        </w:rPr>
      </w:pPr>
    </w:p>
    <w:p w14:paraId="46BDCBB6">
      <w:pPr>
        <w:snapToGrid w:val="0"/>
        <w:spacing w:before="165" w:beforeLines="50" w:after="50" w:line="400" w:lineRule="exact"/>
        <w:rPr>
          <w:rFonts w:hint="eastAsia" w:ascii="宋体" w:hAnsi="宋体"/>
          <w:bCs/>
          <w:color w:val="auto"/>
          <w:sz w:val="24"/>
          <w:szCs w:val="20"/>
          <w:highlight w:val="none"/>
        </w:rPr>
      </w:pPr>
    </w:p>
    <w:p w14:paraId="24AC4719">
      <w:pPr>
        <w:snapToGrid w:val="0"/>
        <w:spacing w:before="165"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 xml:space="preserve">项目名称：  </w:t>
      </w:r>
    </w:p>
    <w:p w14:paraId="107051F2">
      <w:pPr>
        <w:snapToGrid w:val="0"/>
        <w:spacing w:before="165" w:beforeLines="50" w:after="50" w:line="400" w:lineRule="exact"/>
        <w:ind w:firstLine="360" w:firstLineChars="150"/>
        <w:rPr>
          <w:rFonts w:hint="eastAsia" w:ascii="宋体" w:hAnsi="宋体"/>
          <w:bCs/>
          <w:color w:val="auto"/>
          <w:sz w:val="24"/>
          <w:highlight w:val="none"/>
        </w:rPr>
      </w:pPr>
    </w:p>
    <w:p w14:paraId="21ADC4B1">
      <w:pPr>
        <w:snapToGrid w:val="0"/>
        <w:spacing w:before="165"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 xml:space="preserve">项目编号：  </w:t>
      </w:r>
    </w:p>
    <w:p w14:paraId="4785CB48">
      <w:pPr>
        <w:snapToGrid w:val="0"/>
        <w:spacing w:before="165" w:beforeLines="50" w:after="50" w:line="400" w:lineRule="exact"/>
        <w:ind w:firstLine="360" w:firstLineChars="150"/>
        <w:rPr>
          <w:rFonts w:hint="eastAsia" w:ascii="宋体" w:hAnsi="宋体"/>
          <w:bCs/>
          <w:color w:val="auto"/>
          <w:sz w:val="24"/>
          <w:highlight w:val="none"/>
        </w:rPr>
      </w:pPr>
    </w:p>
    <w:p w14:paraId="7A6B422F">
      <w:pPr>
        <w:snapToGrid w:val="0"/>
        <w:spacing w:before="165"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所投分标：</w:t>
      </w:r>
    </w:p>
    <w:p w14:paraId="57569FA5">
      <w:pPr>
        <w:snapToGrid w:val="0"/>
        <w:spacing w:before="165" w:beforeLines="50" w:after="50" w:line="400" w:lineRule="exact"/>
        <w:ind w:firstLine="360" w:firstLineChars="150"/>
        <w:rPr>
          <w:rFonts w:hint="eastAsia" w:ascii="宋体" w:hAnsi="宋体"/>
          <w:bCs/>
          <w:color w:val="auto"/>
          <w:sz w:val="24"/>
          <w:highlight w:val="none"/>
        </w:rPr>
      </w:pPr>
    </w:p>
    <w:p w14:paraId="39E01BD1">
      <w:pPr>
        <w:snapToGrid w:val="0"/>
        <w:spacing w:before="165"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投标人名称：</w:t>
      </w:r>
    </w:p>
    <w:p w14:paraId="388DD56D">
      <w:pPr>
        <w:snapToGrid w:val="0"/>
        <w:spacing w:before="165" w:beforeLines="50" w:after="50" w:line="400" w:lineRule="exact"/>
        <w:ind w:firstLine="360" w:firstLineChars="150"/>
        <w:rPr>
          <w:rFonts w:hint="eastAsia" w:ascii="宋体" w:hAnsi="宋体"/>
          <w:bCs/>
          <w:color w:val="auto"/>
          <w:sz w:val="24"/>
          <w:highlight w:val="none"/>
        </w:rPr>
      </w:pPr>
    </w:p>
    <w:p w14:paraId="67D54CC4">
      <w:pPr>
        <w:snapToGrid w:val="0"/>
        <w:spacing w:before="165"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投标人地址：</w:t>
      </w:r>
    </w:p>
    <w:p w14:paraId="3F17762D">
      <w:pPr>
        <w:pStyle w:val="8"/>
        <w:snapToGrid w:val="0"/>
        <w:spacing w:before="50" w:after="50" w:line="400" w:lineRule="exact"/>
        <w:ind w:firstLine="960" w:firstLineChars="400"/>
        <w:rPr>
          <w:rFonts w:hint="eastAsia" w:ascii="宋体" w:hAnsi="宋体"/>
          <w:bCs/>
          <w:color w:val="auto"/>
          <w:sz w:val="24"/>
          <w:szCs w:val="24"/>
          <w:highlight w:val="none"/>
        </w:rPr>
      </w:pPr>
    </w:p>
    <w:p w14:paraId="5ABFD985">
      <w:pPr>
        <w:snapToGrid w:val="0"/>
        <w:spacing w:before="165" w:beforeLines="50" w:after="50" w:line="400" w:lineRule="exact"/>
        <w:rPr>
          <w:rFonts w:hint="eastAsia" w:ascii="宋体" w:hAnsi="宋体"/>
          <w:color w:val="auto"/>
          <w:sz w:val="24"/>
          <w:highlight w:val="none"/>
        </w:rPr>
      </w:pPr>
      <w:r>
        <w:rPr>
          <w:rFonts w:hint="eastAsia" w:ascii="宋体" w:hAnsi="宋体"/>
          <w:color w:val="auto"/>
          <w:sz w:val="24"/>
          <w:highlight w:val="none"/>
        </w:rPr>
        <w:t xml:space="preserve">                                                       年  月  日</w:t>
      </w:r>
    </w:p>
    <w:p w14:paraId="6851DA50">
      <w:pPr>
        <w:widowControl/>
        <w:jc w:val="left"/>
        <w:rPr>
          <w:rFonts w:ascii="宋体" w:hAnsi="宋体"/>
          <w:color w:val="auto"/>
          <w:sz w:val="24"/>
          <w:highlight w:val="none"/>
        </w:rPr>
        <w:sectPr>
          <w:pgSz w:w="11906" w:h="16838"/>
          <w:pgMar w:top="1134" w:right="1134" w:bottom="1134" w:left="1134" w:header="720" w:footer="720" w:gutter="0"/>
          <w:cols w:space="720" w:num="1"/>
          <w:docGrid w:type="lines" w:linePitch="331" w:charSpace="0"/>
        </w:sectPr>
      </w:pPr>
    </w:p>
    <w:p w14:paraId="4FF50D16">
      <w:pPr>
        <w:rPr>
          <w:rFonts w:hint="eastAsia" w:ascii="宋体" w:hAnsi="宋体" w:cs="宋体"/>
          <w:color w:val="auto"/>
          <w:highlight w:val="none"/>
        </w:rPr>
      </w:pPr>
    </w:p>
    <w:p w14:paraId="6DA32508">
      <w:pPr>
        <w:snapToGrid w:val="0"/>
        <w:spacing w:before="165" w:beforeLines="50" w:after="50" w:line="400" w:lineRule="exact"/>
        <w:jc w:val="center"/>
        <w:rPr>
          <w:rFonts w:hint="eastAsia" w:ascii="宋体" w:hAnsi="宋体"/>
          <w:b/>
          <w:bCs/>
          <w:color w:val="auto"/>
          <w:sz w:val="32"/>
          <w:szCs w:val="32"/>
          <w:highlight w:val="none"/>
        </w:rPr>
      </w:pPr>
      <w:r>
        <w:rPr>
          <w:rFonts w:hint="eastAsia" w:ascii="宋体" w:hAnsi="宋体"/>
          <w:b/>
          <w:bCs/>
          <w:color w:val="auto"/>
          <w:sz w:val="32"/>
          <w:szCs w:val="32"/>
          <w:highlight w:val="none"/>
        </w:rPr>
        <w:t>报价文件目录</w:t>
      </w:r>
    </w:p>
    <w:p w14:paraId="163D24F6">
      <w:pPr>
        <w:rPr>
          <w:rFonts w:hint="eastAsia" w:ascii="宋体" w:hAnsi="宋体" w:cs="宋体"/>
          <w:color w:val="auto"/>
          <w:highlight w:val="none"/>
        </w:rPr>
      </w:pPr>
    </w:p>
    <w:p w14:paraId="77AB7208">
      <w:pPr>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一、投标函………………………………………………………（页码）</w:t>
      </w:r>
    </w:p>
    <w:p w14:paraId="1453DA24">
      <w:pPr>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二、开标一览表…………………………………………………（页码）</w:t>
      </w:r>
    </w:p>
    <w:p w14:paraId="5D1540D7">
      <w:pPr>
        <w:spacing w:line="360" w:lineRule="auto"/>
        <w:rPr>
          <w:rFonts w:hint="eastAsia" w:ascii="仿宋_GB2312" w:hAnsi="仿宋" w:eastAsia="仿宋_GB2312" w:cs="仿宋_GB2312"/>
          <w:color w:val="auto"/>
          <w:sz w:val="24"/>
          <w:highlight w:val="none"/>
        </w:rPr>
      </w:pPr>
      <w:r>
        <w:rPr>
          <w:rFonts w:hint="eastAsia" w:ascii="仿宋_GB2312" w:hAnsi="仿宋" w:eastAsia="仿宋_GB2312" w:cs="仿宋_GB2312"/>
          <w:color w:val="auto"/>
          <w:kern w:val="0"/>
          <w:sz w:val="24"/>
          <w:highlight w:val="none"/>
        </w:rPr>
        <w:t>三、中小企业声明函……………………………………………（页码）</w:t>
      </w:r>
    </w:p>
    <w:p w14:paraId="58C31E4D">
      <w:pPr>
        <w:rPr>
          <w:rFonts w:hint="eastAsia" w:ascii="仿宋_GB2312" w:hAnsi="仿宋" w:eastAsia="仿宋_GB2312" w:cs="仿宋_GB2312"/>
          <w:color w:val="auto"/>
          <w:kern w:val="0"/>
          <w:sz w:val="24"/>
          <w:highlight w:val="none"/>
        </w:rPr>
      </w:pPr>
    </w:p>
    <w:p w14:paraId="3F45D616">
      <w:pPr>
        <w:widowControl/>
        <w:jc w:val="left"/>
        <w:rPr>
          <w:rFonts w:ascii="宋体" w:hAnsi="宋体"/>
          <w:color w:val="auto"/>
          <w:sz w:val="30"/>
          <w:szCs w:val="20"/>
          <w:highlight w:val="none"/>
        </w:rPr>
      </w:pPr>
    </w:p>
    <w:p w14:paraId="4500AB27">
      <w:pPr>
        <w:spacing w:line="360" w:lineRule="auto"/>
        <w:rPr>
          <w:rFonts w:hint="eastAsia"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注：以上目录是基本格式要求，各投标人可根据自身情况进一步向下增加内容或细化。</w:t>
      </w:r>
    </w:p>
    <w:p w14:paraId="67E0ED92">
      <w:pPr>
        <w:pStyle w:val="72"/>
        <w:rPr>
          <w:color w:val="auto"/>
          <w:highlight w:val="none"/>
        </w:rPr>
        <w:sectPr>
          <w:pgSz w:w="11906" w:h="16838"/>
          <w:pgMar w:top="1134" w:right="1134" w:bottom="1134" w:left="1134" w:header="720" w:footer="720" w:gutter="0"/>
          <w:cols w:space="720" w:num="1"/>
          <w:docGrid w:type="lines" w:linePitch="331" w:charSpace="0"/>
        </w:sectPr>
      </w:pPr>
    </w:p>
    <w:p w14:paraId="6E0DF502">
      <w:pPr>
        <w:spacing w:line="500" w:lineRule="exact"/>
        <w:jc w:val="center"/>
        <w:rPr>
          <w:rFonts w:hint="eastAsia"/>
          <w:b/>
          <w:bCs/>
          <w:color w:val="auto"/>
          <w:sz w:val="30"/>
          <w:szCs w:val="30"/>
          <w:highlight w:val="none"/>
        </w:rPr>
      </w:pPr>
      <w:r>
        <w:rPr>
          <w:rFonts w:hint="eastAsia"/>
          <w:b/>
          <w:bCs/>
          <w:color w:val="auto"/>
          <w:sz w:val="30"/>
          <w:szCs w:val="30"/>
          <w:highlight w:val="none"/>
        </w:rPr>
        <w:t>一、投标函</w:t>
      </w:r>
    </w:p>
    <w:p w14:paraId="4A0D5103">
      <w:pPr>
        <w:spacing w:line="440" w:lineRule="exact"/>
        <w:ind w:firstLine="420" w:firstLineChars="200"/>
        <w:rPr>
          <w:rFonts w:hint="eastAsia"/>
          <w:color w:val="auto"/>
          <w:szCs w:val="20"/>
          <w:highlight w:val="none"/>
        </w:rPr>
      </w:pPr>
      <w:r>
        <w:rPr>
          <w:rFonts w:hint="eastAsia"/>
          <w:color w:val="auto"/>
          <w:szCs w:val="20"/>
          <w:highlight w:val="none"/>
        </w:rPr>
        <w:t>致：</w:t>
      </w:r>
      <w:r>
        <w:rPr>
          <w:rFonts w:hint="eastAsia"/>
          <w:color w:val="auto"/>
          <w:szCs w:val="20"/>
          <w:highlight w:val="none"/>
          <w:u w:val="single"/>
        </w:rPr>
        <w:t>广西嘉达工程咨询管理有限公司</w:t>
      </w:r>
    </w:p>
    <w:p w14:paraId="17891017">
      <w:pPr>
        <w:spacing w:line="440" w:lineRule="exact"/>
        <w:ind w:firstLine="420" w:firstLineChars="200"/>
        <w:rPr>
          <w:rFonts w:ascii="宋体" w:hAnsi="Courier New"/>
          <w:color w:val="auto"/>
          <w:szCs w:val="20"/>
          <w:highlight w:val="none"/>
        </w:rPr>
      </w:pPr>
      <w:r>
        <w:rPr>
          <w:rFonts w:hint="eastAsia" w:ascii="宋体" w:hAnsi="Courier New"/>
          <w:color w:val="auto"/>
          <w:szCs w:val="20"/>
          <w:highlight w:val="none"/>
        </w:rPr>
        <w:t>我方已仔细阅读了贵方组织的</w:t>
      </w:r>
      <w:r>
        <w:rPr>
          <w:rFonts w:hint="eastAsia"/>
          <w:color w:val="auto"/>
          <w:szCs w:val="20"/>
          <w:highlight w:val="none"/>
          <w:u w:val="single"/>
        </w:rPr>
        <w:t xml:space="preserve">                       </w:t>
      </w:r>
      <w:r>
        <w:rPr>
          <w:color w:val="auto"/>
          <w:szCs w:val="20"/>
          <w:highlight w:val="none"/>
          <w:u w:val="single"/>
        </w:rPr>
        <w:t xml:space="preserve"> </w:t>
      </w:r>
      <w:r>
        <w:rPr>
          <w:rFonts w:hint="eastAsia" w:ascii="宋体" w:hAnsi="Courier New"/>
          <w:color w:val="auto"/>
          <w:szCs w:val="20"/>
          <w:highlight w:val="none"/>
        </w:rPr>
        <w:t>项目（项目编号：       ）的招标文件的全部内容，授权</w:t>
      </w:r>
      <w:r>
        <w:rPr>
          <w:color w:val="auto"/>
          <w:szCs w:val="20"/>
          <w:highlight w:val="none"/>
          <w:u w:val="single"/>
        </w:rPr>
        <w:t xml:space="preserve">                      </w:t>
      </w:r>
      <w:r>
        <w:rPr>
          <w:rFonts w:hint="eastAsia" w:ascii="宋体" w:hAnsi="Courier New"/>
          <w:color w:val="auto"/>
          <w:szCs w:val="20"/>
          <w:highlight w:val="none"/>
        </w:rPr>
        <w:t>(全权代表姓名)</w:t>
      </w:r>
      <w:r>
        <w:rPr>
          <w:color w:val="auto"/>
          <w:szCs w:val="20"/>
          <w:highlight w:val="none"/>
          <w:u w:val="single"/>
        </w:rPr>
        <w:t xml:space="preserve">          </w:t>
      </w:r>
      <w:r>
        <w:rPr>
          <w:rFonts w:hint="eastAsia" w:ascii="宋体" w:hAnsi="Courier New"/>
          <w:color w:val="auto"/>
          <w:szCs w:val="20"/>
          <w:highlight w:val="none"/>
        </w:rPr>
        <w:t xml:space="preserve"> (职务、职称)为全权代表，现正式递交下述文件参加贵方组织的本次政府采购活动： </w:t>
      </w:r>
    </w:p>
    <w:p w14:paraId="5AC12E89">
      <w:pPr>
        <w:spacing w:line="440" w:lineRule="exact"/>
        <w:ind w:firstLine="420" w:firstLineChars="200"/>
        <w:rPr>
          <w:rFonts w:hint="eastAsia" w:ascii="宋体" w:hAnsi="Courier New"/>
          <w:color w:val="auto"/>
          <w:szCs w:val="20"/>
          <w:highlight w:val="none"/>
        </w:rPr>
      </w:pPr>
      <w:r>
        <w:rPr>
          <w:rFonts w:hint="eastAsia" w:ascii="宋体" w:hAnsi="Courier New"/>
          <w:color w:val="auto"/>
          <w:szCs w:val="20"/>
          <w:highlight w:val="none"/>
        </w:rPr>
        <w:t>一、报价文件电子版一份（包含按投标人须知前附表要求提交的全部文件）；</w:t>
      </w:r>
    </w:p>
    <w:p w14:paraId="5DE19DF1">
      <w:pPr>
        <w:spacing w:line="440" w:lineRule="exact"/>
        <w:ind w:firstLine="482"/>
        <w:rPr>
          <w:rFonts w:hint="eastAsia" w:ascii="宋体" w:hAnsi="Courier New"/>
          <w:color w:val="auto"/>
          <w:szCs w:val="20"/>
          <w:highlight w:val="none"/>
        </w:rPr>
      </w:pPr>
      <w:r>
        <w:rPr>
          <w:rFonts w:hint="eastAsia" w:ascii="宋体" w:hAnsi="Courier New"/>
          <w:color w:val="auto"/>
          <w:szCs w:val="20"/>
          <w:highlight w:val="none"/>
        </w:rPr>
        <w:t>二、资格文件电子版一份（包含按投标人须知前附表要求提交的全部文件）；</w:t>
      </w:r>
    </w:p>
    <w:p w14:paraId="3A9B6FAF">
      <w:pPr>
        <w:spacing w:line="440" w:lineRule="exact"/>
        <w:ind w:firstLine="482"/>
        <w:rPr>
          <w:rFonts w:hint="eastAsia" w:ascii="宋体" w:hAnsi="Courier New"/>
          <w:color w:val="auto"/>
          <w:szCs w:val="20"/>
          <w:highlight w:val="none"/>
        </w:rPr>
      </w:pPr>
      <w:r>
        <w:rPr>
          <w:rFonts w:hint="eastAsia" w:ascii="宋体" w:hAnsi="Courier New"/>
          <w:color w:val="auto"/>
          <w:szCs w:val="20"/>
          <w:highlight w:val="none"/>
        </w:rPr>
        <w:t>三、</w:t>
      </w:r>
      <w:r>
        <w:rPr>
          <w:rFonts w:hint="eastAsia" w:ascii="宋体" w:hAnsi="宋体"/>
          <w:color w:val="auto"/>
          <w:szCs w:val="20"/>
          <w:highlight w:val="none"/>
        </w:rPr>
        <w:t>技术</w:t>
      </w:r>
      <w:r>
        <w:rPr>
          <w:rFonts w:hint="eastAsia" w:ascii="宋体" w:hAnsi="Courier New"/>
          <w:color w:val="auto"/>
          <w:szCs w:val="20"/>
          <w:highlight w:val="none"/>
        </w:rPr>
        <w:t>文件电子版一份（包含按投标人须知前附表要求提交的全部文件）；</w:t>
      </w:r>
    </w:p>
    <w:p w14:paraId="01D0622C">
      <w:pPr>
        <w:spacing w:line="440" w:lineRule="exact"/>
        <w:ind w:firstLine="482"/>
        <w:rPr>
          <w:rFonts w:hint="eastAsia" w:ascii="宋体" w:hAnsi="Courier New"/>
          <w:color w:val="auto"/>
          <w:szCs w:val="20"/>
          <w:highlight w:val="none"/>
        </w:rPr>
      </w:pPr>
      <w:r>
        <w:rPr>
          <w:rFonts w:hint="eastAsia" w:ascii="宋体" w:hAnsi="宋体"/>
          <w:color w:val="auto"/>
          <w:szCs w:val="20"/>
          <w:highlight w:val="none"/>
        </w:rPr>
        <w:t>四、</w:t>
      </w:r>
      <w:r>
        <w:rPr>
          <w:rFonts w:hint="eastAsia" w:ascii="宋体" w:hAnsi="Courier New"/>
          <w:color w:val="auto"/>
          <w:szCs w:val="20"/>
          <w:highlight w:val="none"/>
        </w:rPr>
        <w:t>商务</w:t>
      </w:r>
      <w:r>
        <w:rPr>
          <w:rFonts w:hint="eastAsia" w:ascii="宋体" w:hAnsi="宋体"/>
          <w:color w:val="auto"/>
          <w:szCs w:val="20"/>
          <w:highlight w:val="none"/>
        </w:rPr>
        <w:t>文件</w:t>
      </w:r>
      <w:r>
        <w:rPr>
          <w:rFonts w:hint="eastAsia" w:ascii="宋体" w:hAnsi="Courier New"/>
          <w:color w:val="auto"/>
          <w:szCs w:val="20"/>
          <w:highlight w:val="none"/>
        </w:rPr>
        <w:t>电子版一份（包含按投标人须知前附表要求提交的全部文件）；</w:t>
      </w:r>
    </w:p>
    <w:p w14:paraId="340CAEBF">
      <w:pPr>
        <w:spacing w:line="440" w:lineRule="exact"/>
        <w:ind w:firstLine="482"/>
        <w:rPr>
          <w:rFonts w:hint="eastAsia"/>
          <w:color w:val="auto"/>
          <w:szCs w:val="20"/>
          <w:highlight w:val="none"/>
        </w:rPr>
      </w:pPr>
      <w:r>
        <w:rPr>
          <w:rFonts w:hint="eastAsia" w:ascii="宋体" w:hAnsi="Courier New"/>
          <w:color w:val="auto"/>
          <w:szCs w:val="20"/>
          <w:highlight w:val="none"/>
        </w:rPr>
        <w:t>据此函，签字人兹宣布：</w:t>
      </w:r>
    </w:p>
    <w:p w14:paraId="16527173">
      <w:pPr>
        <w:spacing w:line="360" w:lineRule="exact"/>
        <w:ind w:firstLine="420" w:firstLineChars="200"/>
        <w:rPr>
          <w:rFonts w:hint="eastAsia" w:ascii="宋体" w:hAnsi="Courier New"/>
          <w:color w:val="auto"/>
          <w:szCs w:val="20"/>
          <w:highlight w:val="none"/>
        </w:rPr>
      </w:pPr>
      <w:r>
        <w:rPr>
          <w:rFonts w:hint="eastAsia" w:ascii="宋体" w:hAnsi="Courier New"/>
          <w:color w:val="auto"/>
          <w:szCs w:val="20"/>
          <w:highlight w:val="none"/>
        </w:rPr>
        <w:t>1、我方愿意以（大写）人民币</w:t>
      </w:r>
      <w:r>
        <w:rPr>
          <w:rFonts w:hint="eastAsia" w:ascii="宋体" w:hAnsi="Courier New"/>
          <w:color w:val="auto"/>
          <w:szCs w:val="20"/>
          <w:highlight w:val="none"/>
          <w:u w:val="single"/>
        </w:rPr>
        <w:t xml:space="preserve">              （￥          元</w:t>
      </w:r>
      <w:r>
        <w:rPr>
          <w:rFonts w:hint="eastAsia" w:ascii="宋体" w:hAnsi="Courier New"/>
          <w:color w:val="auto"/>
          <w:szCs w:val="20"/>
          <w:highlight w:val="none"/>
        </w:rPr>
        <w:t>)的投标总报价，提交服务成果时间 （无分标时填写）：</w:t>
      </w:r>
      <w:r>
        <w:rPr>
          <w:rFonts w:hint="eastAsia" w:ascii="宋体" w:hAnsi="Courier New"/>
          <w:color w:val="auto"/>
          <w:szCs w:val="20"/>
          <w:highlight w:val="none"/>
          <w:u w:val="single"/>
        </w:rPr>
        <w:t xml:space="preserve">           </w:t>
      </w:r>
      <w:r>
        <w:rPr>
          <w:rFonts w:hint="eastAsia" w:ascii="宋体" w:hAnsi="Courier New"/>
          <w:color w:val="auto"/>
          <w:szCs w:val="20"/>
          <w:highlight w:val="none"/>
        </w:rPr>
        <w:t xml:space="preserve"> ，提供本项目采购文件第二章“服务需求一览表”中相应的采购内容。</w:t>
      </w:r>
    </w:p>
    <w:p w14:paraId="746DD803">
      <w:pPr>
        <w:spacing w:line="360" w:lineRule="exact"/>
        <w:ind w:firstLine="420" w:firstLineChars="200"/>
        <w:rPr>
          <w:rFonts w:hint="eastAsia" w:ascii="宋体" w:hAnsi="Courier New"/>
          <w:color w:val="auto"/>
          <w:szCs w:val="20"/>
          <w:highlight w:val="none"/>
        </w:rPr>
      </w:pPr>
      <w:r>
        <w:rPr>
          <w:rFonts w:hint="eastAsia" w:ascii="宋体" w:hAnsi="Courier New"/>
          <w:color w:val="auto"/>
          <w:szCs w:val="20"/>
          <w:highlight w:val="none"/>
        </w:rPr>
        <w:t>2、我方同意自本项目招标文件“第三章 投标人须知”第一节 投标人须知前附表 第21.2项规定的投标截止时间（开标时间）起遵循本投标函，并承诺在“投标人须知前附表”第17.2项规定的投标有效期内不修改、撤销投标文件。</w:t>
      </w:r>
    </w:p>
    <w:p w14:paraId="01C9A885">
      <w:pPr>
        <w:spacing w:line="360" w:lineRule="exact"/>
        <w:ind w:firstLine="420" w:firstLineChars="200"/>
        <w:rPr>
          <w:rFonts w:hint="eastAsia" w:ascii="宋体" w:hAnsi="Courier New"/>
          <w:color w:val="auto"/>
          <w:szCs w:val="20"/>
          <w:highlight w:val="none"/>
          <w:u w:val="single"/>
        </w:rPr>
      </w:pPr>
      <w:r>
        <w:rPr>
          <w:rFonts w:hint="eastAsia" w:ascii="宋体" w:hAnsi="Courier New"/>
          <w:color w:val="auto"/>
          <w:szCs w:val="20"/>
          <w:highlight w:val="none"/>
        </w:rPr>
        <w:t>3、我方所递交的投标文件及有关资料都是内容完整、真实和准确的。</w:t>
      </w:r>
    </w:p>
    <w:p w14:paraId="7BD81F55">
      <w:pPr>
        <w:spacing w:line="440" w:lineRule="exact"/>
        <w:ind w:firstLine="482"/>
        <w:rPr>
          <w:rFonts w:hint="eastAsia" w:ascii="宋体" w:hAnsi="Courier New"/>
          <w:color w:val="auto"/>
          <w:szCs w:val="20"/>
          <w:highlight w:val="none"/>
        </w:rPr>
      </w:pPr>
      <w:r>
        <w:rPr>
          <w:rFonts w:hint="eastAsia" w:ascii="宋体" w:hAnsi="Courier New"/>
          <w:color w:val="auto"/>
          <w:szCs w:val="20"/>
          <w:highlight w:val="none"/>
        </w:rPr>
        <w:t>4、</w:t>
      </w:r>
      <w:r>
        <w:rPr>
          <w:rFonts w:hint="eastAsia" w:ascii="宋体" w:hAnsi="Courier New"/>
          <w:color w:val="auto"/>
          <w:szCs w:val="21"/>
          <w:highlight w:val="none"/>
        </w:rPr>
        <w:t>如本项目采购内容涉及须符合国家强制规定的，我方承诺我方本次投标（包括资格条件和所投产品）均符合国家有关强制规定。</w:t>
      </w:r>
    </w:p>
    <w:p w14:paraId="75D21640">
      <w:pPr>
        <w:spacing w:line="440" w:lineRule="exact"/>
        <w:ind w:firstLine="420" w:firstLineChars="200"/>
        <w:rPr>
          <w:rFonts w:hint="eastAsia" w:ascii="宋体" w:hAnsi="Courier New"/>
          <w:color w:val="auto"/>
          <w:szCs w:val="20"/>
          <w:highlight w:val="none"/>
        </w:rPr>
      </w:pPr>
      <w:r>
        <w:rPr>
          <w:rFonts w:hint="eastAsia" w:ascii="宋体" w:hAnsi="Courier New"/>
          <w:color w:val="auto"/>
          <w:szCs w:val="20"/>
          <w:highlight w:val="none"/>
        </w:rPr>
        <w:t>5、如我方中标，我方承诺在收到中标通知书后，在中标通知书规定的期限内，</w:t>
      </w:r>
      <w:r>
        <w:rPr>
          <w:rFonts w:hint="eastAsia" w:ascii="宋体" w:hAnsi="宋体"/>
          <w:color w:val="auto"/>
          <w:szCs w:val="20"/>
          <w:highlight w:val="none"/>
        </w:rPr>
        <w:t>根据招标文件、我方的投标文件及有关澄清承诺书的要求按第五章“拟签订的合同文本”与采购人订立书面合同，并按照合同约定</w:t>
      </w:r>
      <w:r>
        <w:rPr>
          <w:rFonts w:hint="eastAsia" w:ascii="宋体" w:hAnsi="Courier New"/>
          <w:color w:val="auto"/>
          <w:szCs w:val="20"/>
          <w:highlight w:val="none"/>
        </w:rPr>
        <w:t>承担完成合同的责任和义务。</w:t>
      </w:r>
    </w:p>
    <w:p w14:paraId="31ABF899">
      <w:pPr>
        <w:spacing w:line="440" w:lineRule="exact"/>
        <w:ind w:firstLine="420" w:firstLineChars="200"/>
        <w:rPr>
          <w:rFonts w:hint="eastAsia" w:ascii="宋体" w:hAnsi="Courier New"/>
          <w:color w:val="auto"/>
          <w:szCs w:val="20"/>
          <w:highlight w:val="none"/>
        </w:rPr>
      </w:pPr>
      <w:r>
        <w:rPr>
          <w:rFonts w:hint="eastAsia" w:ascii="宋体" w:hAnsi="Courier New"/>
          <w:color w:val="auto"/>
          <w:szCs w:val="20"/>
          <w:highlight w:val="none"/>
        </w:rPr>
        <w:t>6、我方已详细审核招标文件，我方知道必须放弃提出含糊不清或误解问题的权利。</w:t>
      </w:r>
    </w:p>
    <w:p w14:paraId="0C0A7FBB">
      <w:pPr>
        <w:spacing w:line="440" w:lineRule="exact"/>
        <w:ind w:firstLine="420" w:firstLineChars="200"/>
        <w:rPr>
          <w:rFonts w:hint="eastAsia" w:ascii="宋体" w:hAnsi="Courier New"/>
          <w:color w:val="auto"/>
          <w:szCs w:val="20"/>
          <w:highlight w:val="none"/>
        </w:rPr>
      </w:pPr>
      <w:r>
        <w:rPr>
          <w:rFonts w:hint="eastAsia" w:ascii="宋体" w:hAnsi="Courier New"/>
          <w:color w:val="auto"/>
          <w:szCs w:val="20"/>
          <w:highlight w:val="none"/>
        </w:rPr>
        <w:t>7、我方同意应贵方要求提供与本投标有关的任何数据或资料。若贵方需要，我方愿意提供我方作出的一切承诺的证明材料。</w:t>
      </w:r>
    </w:p>
    <w:p w14:paraId="513B9448">
      <w:pPr>
        <w:spacing w:line="440" w:lineRule="exact"/>
        <w:ind w:firstLine="420" w:firstLineChars="200"/>
        <w:rPr>
          <w:rFonts w:hint="eastAsia" w:ascii="宋体" w:hAnsi="Courier New"/>
          <w:color w:val="auto"/>
          <w:szCs w:val="20"/>
          <w:highlight w:val="none"/>
        </w:rPr>
      </w:pPr>
      <w:r>
        <w:rPr>
          <w:rFonts w:hint="eastAsia" w:ascii="宋体" w:hAnsi="Courier New"/>
          <w:color w:val="auto"/>
          <w:szCs w:val="20"/>
          <w:highlight w:val="none"/>
        </w:rPr>
        <w:t>8、我方完全理解贵方不一定接受投标报价最低的投标人为中标供应商的行为。</w:t>
      </w:r>
    </w:p>
    <w:p w14:paraId="656FC1D4">
      <w:pPr>
        <w:spacing w:line="440" w:lineRule="exact"/>
        <w:ind w:firstLine="420" w:firstLineChars="200"/>
        <w:rPr>
          <w:rFonts w:hint="eastAsia" w:ascii="宋体" w:hAnsi="Courier New"/>
          <w:color w:val="auto"/>
          <w:szCs w:val="20"/>
          <w:highlight w:val="none"/>
        </w:rPr>
      </w:pPr>
      <w:r>
        <w:rPr>
          <w:rFonts w:hint="eastAsia" w:ascii="宋体" w:hAnsi="Courier New"/>
          <w:color w:val="auto"/>
          <w:szCs w:val="20"/>
          <w:highlight w:val="none"/>
        </w:rPr>
        <w:t>9、我方将严格遵守《中华人民共和国政府采购法》第七十七条的规定，即供应商有下列情形之一的，处以采购金额千分之五以上千分之十</w:t>
      </w:r>
      <w:r>
        <w:rPr>
          <w:rFonts w:hint="eastAsia" w:ascii="宋体" w:hAnsi="宋体"/>
          <w:color w:val="auto"/>
          <w:szCs w:val="20"/>
          <w:highlight w:val="none"/>
        </w:rPr>
        <w:t>以下的罚款，列入不良行为记录名单，在一至三年内禁止参加政府采购活动，有违法所得的，并处没收违法所得，情节严重的，由工商行政管理机关吊销营业执照；构成犯罪的，依法追究刑事责任：</w:t>
      </w:r>
    </w:p>
    <w:p w14:paraId="1EBA49F8">
      <w:pPr>
        <w:numPr>
          <w:ilvl w:val="0"/>
          <w:numId w:val="6"/>
        </w:numPr>
        <w:spacing w:line="440" w:lineRule="exact"/>
        <w:rPr>
          <w:rFonts w:hint="eastAsia" w:ascii="宋体" w:hAnsi="宋体"/>
          <w:color w:val="auto"/>
          <w:szCs w:val="20"/>
          <w:highlight w:val="none"/>
        </w:rPr>
      </w:pPr>
      <w:r>
        <w:rPr>
          <w:rFonts w:hint="eastAsia" w:ascii="宋体" w:hAnsi="宋体"/>
          <w:color w:val="auto"/>
          <w:szCs w:val="20"/>
          <w:highlight w:val="none"/>
        </w:rPr>
        <w:t>提供虚假材料谋取中标、成交的；</w:t>
      </w:r>
    </w:p>
    <w:p w14:paraId="72CF108E">
      <w:pPr>
        <w:numPr>
          <w:ilvl w:val="0"/>
          <w:numId w:val="6"/>
        </w:numPr>
        <w:spacing w:line="440" w:lineRule="exact"/>
        <w:rPr>
          <w:rFonts w:hint="eastAsia" w:ascii="宋体" w:hAnsi="宋体"/>
          <w:color w:val="auto"/>
          <w:szCs w:val="20"/>
          <w:highlight w:val="none"/>
        </w:rPr>
      </w:pPr>
      <w:r>
        <w:rPr>
          <w:rFonts w:hint="eastAsia" w:ascii="宋体" w:hAnsi="宋体"/>
          <w:color w:val="auto"/>
          <w:szCs w:val="20"/>
          <w:highlight w:val="none"/>
        </w:rPr>
        <w:t>采取不正当手段诋毁、排挤其他供应商的；</w:t>
      </w:r>
    </w:p>
    <w:p w14:paraId="4AF3809B">
      <w:pPr>
        <w:numPr>
          <w:ilvl w:val="0"/>
          <w:numId w:val="6"/>
        </w:numPr>
        <w:spacing w:line="440" w:lineRule="exact"/>
        <w:rPr>
          <w:rFonts w:hint="eastAsia" w:ascii="宋体" w:hAnsi="Courier New"/>
          <w:color w:val="auto"/>
          <w:szCs w:val="20"/>
          <w:highlight w:val="none"/>
        </w:rPr>
      </w:pPr>
      <w:r>
        <w:rPr>
          <w:rFonts w:hint="eastAsia" w:ascii="宋体" w:hAnsi="宋体"/>
          <w:color w:val="auto"/>
          <w:szCs w:val="20"/>
          <w:highlight w:val="none"/>
        </w:rPr>
        <w:t>与采购人、其他供应商或者采购代理机构恶意串通的；</w:t>
      </w:r>
    </w:p>
    <w:p w14:paraId="4CF8CF54">
      <w:pPr>
        <w:numPr>
          <w:ilvl w:val="0"/>
          <w:numId w:val="6"/>
        </w:numPr>
        <w:spacing w:line="440" w:lineRule="exact"/>
        <w:rPr>
          <w:rFonts w:hint="eastAsia" w:ascii="宋体" w:hAnsi="Courier New"/>
          <w:color w:val="auto"/>
          <w:szCs w:val="20"/>
          <w:highlight w:val="none"/>
        </w:rPr>
      </w:pPr>
      <w:r>
        <w:rPr>
          <w:rFonts w:hint="eastAsia" w:ascii="宋体" w:hAnsi="宋体"/>
          <w:color w:val="auto"/>
          <w:szCs w:val="20"/>
          <w:highlight w:val="none"/>
        </w:rPr>
        <w:t>向采购人、采购代理机构行贿或者提供其他不正当利益的；</w:t>
      </w:r>
    </w:p>
    <w:p w14:paraId="09387983">
      <w:pPr>
        <w:numPr>
          <w:ilvl w:val="0"/>
          <w:numId w:val="6"/>
        </w:numPr>
        <w:spacing w:line="440" w:lineRule="exact"/>
        <w:rPr>
          <w:rFonts w:hint="eastAsia" w:ascii="宋体" w:hAnsi="Courier New"/>
          <w:color w:val="auto"/>
          <w:szCs w:val="20"/>
          <w:highlight w:val="none"/>
        </w:rPr>
      </w:pPr>
      <w:r>
        <w:rPr>
          <w:rFonts w:hint="eastAsia" w:ascii="宋体" w:hAnsi="宋体"/>
          <w:color w:val="auto"/>
          <w:szCs w:val="20"/>
          <w:highlight w:val="none"/>
        </w:rPr>
        <w:t>在招标采购过程中与采购人进行协商谈判的；</w:t>
      </w:r>
    </w:p>
    <w:p w14:paraId="536921EE">
      <w:pPr>
        <w:numPr>
          <w:ilvl w:val="0"/>
          <w:numId w:val="6"/>
        </w:numPr>
        <w:spacing w:line="440" w:lineRule="exact"/>
        <w:rPr>
          <w:rFonts w:hint="eastAsia" w:ascii="宋体" w:hAnsi="Courier New"/>
          <w:color w:val="auto"/>
          <w:szCs w:val="20"/>
          <w:highlight w:val="none"/>
        </w:rPr>
      </w:pPr>
      <w:r>
        <w:rPr>
          <w:rFonts w:hint="eastAsia" w:ascii="宋体" w:hAnsi="宋体"/>
          <w:color w:val="auto"/>
          <w:szCs w:val="20"/>
          <w:highlight w:val="none"/>
        </w:rPr>
        <w:t>拒绝有关部门监督检查或提供虚假情况的。</w:t>
      </w:r>
    </w:p>
    <w:p w14:paraId="15CA2B4D">
      <w:pPr>
        <w:spacing w:line="440" w:lineRule="exact"/>
        <w:ind w:left="420"/>
        <w:rPr>
          <w:rFonts w:hint="eastAsia" w:ascii="宋体" w:hAnsi="Courier New"/>
          <w:color w:val="auto"/>
          <w:szCs w:val="20"/>
          <w:highlight w:val="none"/>
        </w:rPr>
      </w:pPr>
      <w:r>
        <w:rPr>
          <w:rFonts w:hint="eastAsia" w:ascii="宋体" w:hAnsi="Courier New"/>
          <w:color w:val="auto"/>
          <w:szCs w:val="20"/>
          <w:highlight w:val="none"/>
        </w:rPr>
        <w:t>10、我方及由本人担任法定代表人的其他机构最近三年内被处罚的违法行为有：</w:t>
      </w:r>
      <w:r>
        <w:rPr>
          <w:rFonts w:hint="eastAsia" w:ascii="宋体" w:hAnsi="Courier New"/>
          <w:color w:val="auto"/>
          <w:szCs w:val="20"/>
          <w:highlight w:val="none"/>
          <w:u w:val="single"/>
        </w:rPr>
        <w:t xml:space="preserve">                                        </w:t>
      </w:r>
    </w:p>
    <w:p w14:paraId="23C617AA">
      <w:pPr>
        <w:spacing w:line="440" w:lineRule="exact"/>
        <w:ind w:left="420"/>
        <w:rPr>
          <w:rFonts w:hint="eastAsia" w:ascii="宋体" w:hAnsi="Courier New"/>
          <w:color w:val="auto"/>
          <w:szCs w:val="20"/>
          <w:highlight w:val="none"/>
        </w:rPr>
      </w:pPr>
      <w:r>
        <w:rPr>
          <w:rFonts w:hint="eastAsia" w:ascii="宋体" w:hAnsi="Courier New"/>
          <w:color w:val="auto"/>
          <w:szCs w:val="20"/>
          <w:highlight w:val="none"/>
          <w:u w:val="single"/>
        </w:rPr>
        <w:t xml:space="preserve">                                                                                                                        </w:t>
      </w:r>
    </w:p>
    <w:p w14:paraId="2F54997D">
      <w:pPr>
        <w:spacing w:line="360" w:lineRule="auto"/>
        <w:ind w:firstLine="420"/>
        <w:rPr>
          <w:rFonts w:hint="eastAsia" w:ascii="宋体" w:hAnsi="Courier New"/>
          <w:color w:val="auto"/>
          <w:szCs w:val="20"/>
          <w:highlight w:val="none"/>
        </w:rPr>
      </w:pPr>
      <w:r>
        <w:rPr>
          <w:rFonts w:hint="eastAsia" w:ascii="宋体" w:hAnsi="Courier New"/>
          <w:color w:val="auto"/>
          <w:szCs w:val="20"/>
          <w:highlight w:val="none"/>
        </w:rPr>
        <w:t>11、以上事项如有虚假或隐瞒，我方愿意承担一切后果，并不再寻求任何旨在减轻或免除法律责任的辩解。</w:t>
      </w:r>
    </w:p>
    <w:p w14:paraId="64B2CB04">
      <w:pPr>
        <w:spacing w:line="360" w:lineRule="auto"/>
        <w:ind w:firstLine="420"/>
        <w:rPr>
          <w:rFonts w:ascii="宋体" w:hAnsi="Courier New"/>
          <w:color w:val="auto"/>
          <w:szCs w:val="20"/>
          <w:highlight w:val="none"/>
        </w:rPr>
      </w:pPr>
      <w:r>
        <w:rPr>
          <w:rFonts w:hint="eastAsia" w:ascii="宋体" w:hAnsi="Courier New"/>
          <w:color w:val="auto"/>
          <w:szCs w:val="20"/>
          <w:highlight w:val="none"/>
        </w:rPr>
        <w:t>12、与本投标有关的一切正式往来信函请寄：</w:t>
      </w:r>
      <w:r>
        <w:rPr>
          <w:rFonts w:hint="eastAsia" w:ascii="宋体" w:hAnsi="Courier New"/>
          <w:color w:val="auto"/>
          <w:szCs w:val="20"/>
          <w:highlight w:val="none"/>
          <w:u w:val="single"/>
        </w:rPr>
        <w:t xml:space="preserve">                      </w:t>
      </w:r>
    </w:p>
    <w:p w14:paraId="3FD20E92">
      <w:pPr>
        <w:spacing w:line="360" w:lineRule="auto"/>
        <w:ind w:firstLine="420"/>
        <w:rPr>
          <w:rFonts w:hint="eastAsia" w:ascii="宋体" w:hAnsi="Courier New"/>
          <w:color w:val="auto"/>
          <w:szCs w:val="20"/>
          <w:highlight w:val="none"/>
        </w:rPr>
      </w:pPr>
      <w:r>
        <w:rPr>
          <w:rFonts w:hint="eastAsia" w:ascii="宋体" w:hAnsi="Courier New"/>
          <w:color w:val="auto"/>
          <w:szCs w:val="20"/>
          <w:highlight w:val="none"/>
        </w:rPr>
        <w:t>地址：</w:t>
      </w:r>
      <w:r>
        <w:rPr>
          <w:rFonts w:hint="eastAsia" w:ascii="宋体" w:hAnsi="Courier New"/>
          <w:color w:val="auto"/>
          <w:szCs w:val="20"/>
          <w:highlight w:val="none"/>
          <w:u w:val="single"/>
        </w:rPr>
        <w:t xml:space="preserve">                                                        </w:t>
      </w:r>
      <w:r>
        <w:rPr>
          <w:rFonts w:hint="eastAsia" w:ascii="宋体" w:hAnsi="Courier New"/>
          <w:color w:val="auto"/>
          <w:szCs w:val="20"/>
          <w:highlight w:val="none"/>
        </w:rPr>
        <w:t xml:space="preserve"> </w:t>
      </w:r>
    </w:p>
    <w:p w14:paraId="4F5572E7">
      <w:pPr>
        <w:spacing w:line="360" w:lineRule="auto"/>
        <w:ind w:firstLine="420"/>
        <w:rPr>
          <w:rFonts w:hint="eastAsia" w:ascii="宋体" w:hAnsi="Courier New"/>
          <w:color w:val="auto"/>
          <w:szCs w:val="20"/>
          <w:highlight w:val="none"/>
          <w:u w:val="single"/>
        </w:rPr>
      </w:pPr>
      <w:r>
        <w:rPr>
          <w:rFonts w:hint="eastAsia" w:ascii="宋体" w:hAnsi="Courier New"/>
          <w:color w:val="auto"/>
          <w:szCs w:val="20"/>
          <w:highlight w:val="none"/>
        </w:rPr>
        <w:t>电话：</w:t>
      </w:r>
      <w:r>
        <w:rPr>
          <w:rFonts w:hint="eastAsia" w:ascii="宋体" w:hAnsi="Courier New"/>
          <w:color w:val="auto"/>
          <w:szCs w:val="20"/>
          <w:highlight w:val="none"/>
          <w:u w:val="single"/>
        </w:rPr>
        <w:t xml:space="preserve">                                      　　　　　　　　　</w:t>
      </w:r>
    </w:p>
    <w:p w14:paraId="47B053FF">
      <w:pPr>
        <w:spacing w:line="360" w:lineRule="auto"/>
        <w:ind w:firstLine="420"/>
        <w:rPr>
          <w:rFonts w:hint="eastAsia" w:ascii="宋体" w:hAnsi="Courier New"/>
          <w:color w:val="auto"/>
          <w:szCs w:val="20"/>
          <w:highlight w:val="none"/>
        </w:rPr>
      </w:pPr>
      <w:r>
        <w:rPr>
          <w:rFonts w:hint="eastAsia" w:ascii="宋体" w:hAnsi="Courier New"/>
          <w:color w:val="auto"/>
          <w:szCs w:val="20"/>
          <w:highlight w:val="none"/>
        </w:rPr>
        <w:t>传真：</w:t>
      </w:r>
      <w:r>
        <w:rPr>
          <w:rFonts w:hint="eastAsia" w:ascii="宋体" w:hAnsi="Courier New"/>
          <w:color w:val="auto"/>
          <w:szCs w:val="20"/>
          <w:highlight w:val="none"/>
          <w:u w:val="single"/>
        </w:rPr>
        <w:t>　　　　　　　　　　　　　　　　　　　　　　　　　　　　</w:t>
      </w:r>
    </w:p>
    <w:p w14:paraId="1977D70B">
      <w:pPr>
        <w:spacing w:line="360" w:lineRule="auto"/>
        <w:ind w:firstLine="420"/>
        <w:rPr>
          <w:rFonts w:hint="eastAsia" w:ascii="宋体" w:hAnsi="Courier New"/>
          <w:color w:val="auto"/>
          <w:szCs w:val="20"/>
          <w:highlight w:val="none"/>
          <w:u w:val="single"/>
        </w:rPr>
      </w:pPr>
      <w:r>
        <w:rPr>
          <w:rFonts w:hint="eastAsia" w:ascii="宋体" w:hAnsi="Courier New"/>
          <w:color w:val="auto"/>
          <w:szCs w:val="20"/>
          <w:highlight w:val="none"/>
        </w:rPr>
        <w:t>邮政编码：</w:t>
      </w:r>
      <w:r>
        <w:rPr>
          <w:rFonts w:hint="eastAsia" w:ascii="宋体" w:hAnsi="Courier New"/>
          <w:color w:val="auto"/>
          <w:szCs w:val="20"/>
          <w:highlight w:val="none"/>
          <w:u w:val="single"/>
        </w:rPr>
        <w:t xml:space="preserve">                                                    </w:t>
      </w:r>
    </w:p>
    <w:p w14:paraId="55C20648">
      <w:pPr>
        <w:spacing w:line="360" w:lineRule="auto"/>
        <w:ind w:firstLine="420"/>
        <w:rPr>
          <w:rFonts w:hint="eastAsia" w:ascii="宋体" w:hAnsi="Courier New"/>
          <w:color w:val="auto"/>
          <w:szCs w:val="20"/>
          <w:highlight w:val="none"/>
          <w:u w:val="single"/>
        </w:rPr>
      </w:pPr>
      <w:r>
        <w:rPr>
          <w:rFonts w:hint="eastAsia" w:ascii="宋体" w:hAnsi="Courier New"/>
          <w:color w:val="auto"/>
          <w:szCs w:val="20"/>
          <w:highlight w:val="none"/>
        </w:rPr>
        <w:t>开户名称：</w:t>
      </w:r>
      <w:r>
        <w:rPr>
          <w:rFonts w:hint="eastAsia" w:ascii="宋体" w:hAnsi="Courier New"/>
          <w:color w:val="auto"/>
          <w:szCs w:val="20"/>
          <w:highlight w:val="none"/>
          <w:u w:val="single"/>
        </w:rPr>
        <w:t xml:space="preserve">                                                    </w:t>
      </w:r>
    </w:p>
    <w:p w14:paraId="0E7F980B">
      <w:pPr>
        <w:spacing w:line="360" w:lineRule="auto"/>
        <w:ind w:firstLine="420"/>
        <w:rPr>
          <w:rFonts w:hint="eastAsia" w:ascii="宋体" w:hAnsi="Courier New"/>
          <w:color w:val="auto"/>
          <w:szCs w:val="20"/>
          <w:highlight w:val="none"/>
          <w:u w:val="single"/>
        </w:rPr>
      </w:pPr>
      <w:r>
        <w:rPr>
          <w:rFonts w:hint="eastAsia" w:ascii="宋体" w:hAnsi="Courier New"/>
          <w:color w:val="auto"/>
          <w:szCs w:val="20"/>
          <w:highlight w:val="none"/>
        </w:rPr>
        <w:t>开户银行：</w:t>
      </w:r>
      <w:r>
        <w:rPr>
          <w:rFonts w:hint="eastAsia" w:ascii="宋体" w:hAnsi="Courier New"/>
          <w:color w:val="auto"/>
          <w:szCs w:val="20"/>
          <w:highlight w:val="none"/>
          <w:u w:val="single"/>
        </w:rPr>
        <w:t xml:space="preserve">                                                    </w:t>
      </w:r>
    </w:p>
    <w:p w14:paraId="62DF21A9">
      <w:pPr>
        <w:spacing w:line="360" w:lineRule="auto"/>
        <w:ind w:firstLine="420"/>
        <w:rPr>
          <w:rFonts w:hint="eastAsia" w:ascii="宋体" w:hAnsi="Courier New"/>
          <w:color w:val="auto"/>
          <w:szCs w:val="20"/>
          <w:highlight w:val="none"/>
          <w:u w:val="single"/>
        </w:rPr>
      </w:pPr>
      <w:r>
        <w:rPr>
          <w:rFonts w:hint="eastAsia" w:ascii="宋体" w:hAnsi="Courier New"/>
          <w:color w:val="auto"/>
          <w:szCs w:val="20"/>
          <w:highlight w:val="none"/>
        </w:rPr>
        <w:t>银行账号：</w:t>
      </w:r>
      <w:r>
        <w:rPr>
          <w:rFonts w:hint="eastAsia" w:ascii="宋体" w:hAnsi="Courier New"/>
          <w:color w:val="auto"/>
          <w:szCs w:val="20"/>
          <w:highlight w:val="none"/>
          <w:u w:val="single"/>
        </w:rPr>
        <w:t xml:space="preserve">                                                    </w:t>
      </w:r>
    </w:p>
    <w:p w14:paraId="2FE1993A">
      <w:pPr>
        <w:snapToGrid w:val="0"/>
        <w:spacing w:line="360" w:lineRule="auto"/>
        <w:ind w:firstLine="5040" w:firstLineChars="2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45DF170C">
      <w:pPr>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36AFE18E">
      <w:pPr>
        <w:widowControl/>
        <w:spacing w:line="360" w:lineRule="auto"/>
        <w:jc w:val="left"/>
        <w:rPr>
          <w:rFonts w:ascii="仿宋_GB2312" w:hAnsi="仿宋" w:eastAsia="仿宋_GB2312" w:cs="仿宋_GB2312"/>
          <w:color w:val="auto"/>
          <w:kern w:val="0"/>
          <w:sz w:val="24"/>
          <w:highlight w:val="none"/>
          <w:lang w:val="zh-CN"/>
        </w:rPr>
        <w:sectPr>
          <w:pgSz w:w="11906" w:h="16838"/>
          <w:pgMar w:top="1134" w:right="1134" w:bottom="1134" w:left="1134" w:header="720" w:footer="720" w:gutter="0"/>
          <w:cols w:space="720" w:num="1"/>
          <w:docGrid w:type="lines" w:linePitch="331" w:charSpace="0"/>
        </w:sectPr>
      </w:pPr>
    </w:p>
    <w:p w14:paraId="7BD986C7">
      <w:pPr>
        <w:spacing w:line="360" w:lineRule="auto"/>
        <w:jc w:val="center"/>
        <w:rPr>
          <w:rFonts w:hint="eastAsia" w:ascii="宋体" w:hAnsi="Courier New"/>
          <w:b/>
          <w:color w:val="auto"/>
          <w:sz w:val="30"/>
          <w:szCs w:val="30"/>
          <w:highlight w:val="none"/>
        </w:rPr>
      </w:pPr>
      <w:r>
        <w:rPr>
          <w:rFonts w:hint="eastAsia" w:ascii="宋体" w:hAnsi="宋体"/>
          <w:color w:val="auto"/>
          <w:sz w:val="30"/>
          <w:szCs w:val="20"/>
          <w:highlight w:val="none"/>
        </w:rPr>
        <w:t>二、</w:t>
      </w:r>
      <w:r>
        <w:rPr>
          <w:rFonts w:hint="eastAsia" w:ascii="宋体" w:hAnsi="Courier New"/>
          <w:b/>
          <w:color w:val="auto"/>
          <w:sz w:val="30"/>
          <w:szCs w:val="30"/>
          <w:highlight w:val="none"/>
        </w:rPr>
        <w:t>开标一览表</w:t>
      </w:r>
      <w:r>
        <w:rPr>
          <w:rFonts w:hint="eastAsia" w:ascii="仿宋_GB2312" w:hAnsi="仿宋" w:eastAsia="仿宋_GB2312" w:cs="仿宋_GB2312"/>
          <w:b/>
          <w:color w:val="auto"/>
          <w:kern w:val="0"/>
          <w:sz w:val="24"/>
          <w:szCs w:val="20"/>
          <w:highlight w:val="none"/>
          <w:lang w:val="zh-CN"/>
        </w:rPr>
        <w:t>(单位均为人民币元)</w:t>
      </w:r>
    </w:p>
    <w:p w14:paraId="6D9C7BF2">
      <w:pPr>
        <w:snapToGrid w:val="0"/>
        <w:spacing w:before="50" w:after="50" w:line="360" w:lineRule="auto"/>
        <w:rPr>
          <w:rFonts w:hint="eastAsia" w:ascii="宋体" w:hAnsi="宋体"/>
          <w:color w:val="auto"/>
          <w:sz w:val="24"/>
          <w:highlight w:val="none"/>
        </w:rPr>
      </w:pPr>
      <w:r>
        <w:rPr>
          <w:rFonts w:hint="eastAsia" w:ascii="宋体" w:hAnsi="宋体"/>
          <w:color w:val="auto"/>
          <w:sz w:val="24"/>
          <w:highlight w:val="none"/>
        </w:rPr>
        <w:t>项目名称：</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p>
    <w:p w14:paraId="2C9B2275">
      <w:pPr>
        <w:snapToGrid w:val="0"/>
        <w:spacing w:before="50" w:after="50" w:line="360" w:lineRule="auto"/>
        <w:rPr>
          <w:rFonts w:hint="eastAsia" w:ascii="宋体" w:hAnsi="宋体"/>
          <w:color w:val="auto"/>
          <w:sz w:val="24"/>
          <w:highlight w:val="none"/>
        </w:rPr>
      </w:pPr>
      <w:r>
        <w:rPr>
          <w:rFonts w:hint="eastAsia" w:ascii="宋体" w:hAnsi="宋体"/>
          <w:color w:val="auto"/>
          <w:sz w:val="24"/>
          <w:highlight w:val="none"/>
        </w:rPr>
        <w:t>项目编号：</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p>
    <w:p w14:paraId="330BCED8">
      <w:pPr>
        <w:spacing w:line="360" w:lineRule="auto"/>
        <w:rPr>
          <w:rFonts w:hint="eastAsia" w:ascii="宋体" w:hAnsi="宋体"/>
          <w:color w:val="auto"/>
          <w:sz w:val="24"/>
          <w:szCs w:val="20"/>
          <w:highlight w:val="none"/>
        </w:rPr>
      </w:pPr>
      <w:r>
        <w:rPr>
          <w:rFonts w:hint="eastAsia" w:ascii="宋体" w:hAnsi="宋体"/>
          <w:color w:val="auto"/>
          <w:sz w:val="24"/>
          <w:szCs w:val="20"/>
          <w:highlight w:val="none"/>
        </w:rPr>
        <w:t>投标人名称：</w:t>
      </w:r>
      <w:r>
        <w:rPr>
          <w:rFonts w:hint="eastAsia" w:ascii="宋体" w:hAnsi="宋体"/>
          <w:color w:val="auto"/>
          <w:sz w:val="24"/>
          <w:szCs w:val="20"/>
          <w:highlight w:val="none"/>
          <w:u w:val="single"/>
        </w:rPr>
        <w:t xml:space="preserve">                             </w:t>
      </w:r>
      <w:r>
        <w:rPr>
          <w:rFonts w:hint="eastAsia" w:ascii="宋体" w:hAnsi="宋体"/>
          <w:color w:val="auto"/>
          <w:sz w:val="24"/>
          <w:szCs w:val="20"/>
          <w:highlight w:val="none"/>
        </w:rPr>
        <w:t xml:space="preserve">   </w:t>
      </w:r>
    </w:p>
    <w:tbl>
      <w:tblPr>
        <w:tblStyle w:val="33"/>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259"/>
        <w:gridCol w:w="2063"/>
        <w:gridCol w:w="1080"/>
        <w:gridCol w:w="1260"/>
        <w:gridCol w:w="2111"/>
        <w:gridCol w:w="641"/>
      </w:tblGrid>
      <w:tr w14:paraId="6A41F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718" w:type="dxa"/>
            <w:tcBorders>
              <w:top w:val="single" w:color="auto" w:sz="4" w:space="0"/>
              <w:left w:val="single" w:color="auto" w:sz="4" w:space="0"/>
              <w:bottom w:val="single" w:color="auto" w:sz="4" w:space="0"/>
              <w:right w:val="single" w:color="auto" w:sz="4" w:space="0"/>
            </w:tcBorders>
            <w:noWrap w:val="0"/>
            <w:vAlign w:val="center"/>
          </w:tcPr>
          <w:p w14:paraId="4EAE81F9">
            <w:pPr>
              <w:keepNext w:val="0"/>
              <w:keepLines w:val="0"/>
              <w:suppressLineNumbers w:val="0"/>
              <w:spacing w:before="0" w:beforeAutospacing="0" w:after="0" w:afterAutospacing="0"/>
              <w:ind w:left="0" w:right="0"/>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序号</w:t>
            </w:r>
          </w:p>
        </w:tc>
        <w:tc>
          <w:tcPr>
            <w:tcW w:w="1259" w:type="dxa"/>
            <w:tcBorders>
              <w:top w:val="single" w:color="auto" w:sz="4" w:space="0"/>
              <w:left w:val="single" w:color="auto" w:sz="4" w:space="0"/>
              <w:bottom w:val="single" w:color="auto" w:sz="4" w:space="0"/>
              <w:right w:val="single" w:color="auto" w:sz="4" w:space="0"/>
            </w:tcBorders>
            <w:noWrap w:val="0"/>
            <w:vAlign w:val="center"/>
          </w:tcPr>
          <w:p w14:paraId="099C890F">
            <w:pPr>
              <w:keepNext w:val="0"/>
              <w:keepLines w:val="0"/>
              <w:suppressLineNumbers w:val="0"/>
              <w:spacing w:before="0" w:beforeAutospacing="0" w:after="0" w:afterAutospacing="0"/>
              <w:ind w:left="0" w:right="0"/>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服务名称</w:t>
            </w:r>
          </w:p>
        </w:tc>
        <w:tc>
          <w:tcPr>
            <w:tcW w:w="2063" w:type="dxa"/>
            <w:tcBorders>
              <w:top w:val="single" w:color="auto" w:sz="4" w:space="0"/>
              <w:left w:val="single" w:color="auto" w:sz="4" w:space="0"/>
              <w:bottom w:val="single" w:color="auto" w:sz="4" w:space="0"/>
              <w:right w:val="single" w:color="auto" w:sz="4" w:space="0"/>
            </w:tcBorders>
            <w:noWrap w:val="0"/>
            <w:vAlign w:val="center"/>
          </w:tcPr>
          <w:p w14:paraId="57681E78">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具体服务内容</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6DB3A4C9">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数量①</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F593E8D">
            <w:pPr>
              <w:keepNext w:val="0"/>
              <w:keepLines w:val="0"/>
              <w:suppressLineNumbers w:val="0"/>
              <w:spacing w:before="0" w:beforeAutospacing="0" w:after="0" w:afterAutospacing="0"/>
              <w:ind w:left="0" w:right="0"/>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单价(元)②</w:t>
            </w:r>
          </w:p>
        </w:tc>
        <w:tc>
          <w:tcPr>
            <w:tcW w:w="2111" w:type="dxa"/>
            <w:tcBorders>
              <w:top w:val="single" w:color="auto" w:sz="4" w:space="0"/>
              <w:left w:val="single" w:color="auto" w:sz="4" w:space="0"/>
              <w:bottom w:val="single" w:color="auto" w:sz="4" w:space="0"/>
              <w:right w:val="single" w:color="auto" w:sz="4" w:space="0"/>
            </w:tcBorders>
            <w:noWrap w:val="0"/>
            <w:vAlign w:val="center"/>
          </w:tcPr>
          <w:p w14:paraId="64AD83A3">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单项合价（元）</w:t>
            </w:r>
          </w:p>
          <w:p w14:paraId="7383CE4D">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③＝①×②</w:t>
            </w:r>
          </w:p>
        </w:tc>
        <w:tc>
          <w:tcPr>
            <w:tcW w:w="641" w:type="dxa"/>
            <w:tcBorders>
              <w:top w:val="single" w:color="auto" w:sz="4" w:space="0"/>
              <w:left w:val="single" w:color="auto" w:sz="4" w:space="0"/>
              <w:bottom w:val="single" w:color="auto" w:sz="4" w:space="0"/>
              <w:right w:val="single" w:color="auto" w:sz="4" w:space="0"/>
            </w:tcBorders>
            <w:noWrap w:val="0"/>
            <w:vAlign w:val="center"/>
          </w:tcPr>
          <w:p w14:paraId="114E1339">
            <w:pPr>
              <w:keepNext w:val="0"/>
              <w:keepLines w:val="0"/>
              <w:suppressLineNumbers w:val="0"/>
              <w:spacing w:before="0" w:beforeAutospacing="0" w:after="0" w:afterAutospacing="0"/>
              <w:ind w:left="0" w:right="0"/>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备注</w:t>
            </w:r>
          </w:p>
        </w:tc>
      </w:tr>
      <w:tr w14:paraId="5F15D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718" w:type="dxa"/>
            <w:tcBorders>
              <w:top w:val="single" w:color="auto" w:sz="4" w:space="0"/>
              <w:left w:val="single" w:color="auto" w:sz="4" w:space="0"/>
              <w:bottom w:val="single" w:color="auto" w:sz="4" w:space="0"/>
              <w:right w:val="single" w:color="auto" w:sz="4" w:space="0"/>
            </w:tcBorders>
            <w:noWrap w:val="0"/>
            <w:vAlign w:val="center"/>
          </w:tcPr>
          <w:p w14:paraId="40CA520E">
            <w:pPr>
              <w:keepNext w:val="0"/>
              <w:keepLines w:val="0"/>
              <w:suppressLineNumbers w:val="0"/>
              <w:spacing w:before="0" w:beforeAutospacing="0" w:after="0" w:afterAutospacing="0"/>
              <w:ind w:left="0" w:right="0"/>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1</w:t>
            </w:r>
          </w:p>
        </w:tc>
        <w:tc>
          <w:tcPr>
            <w:tcW w:w="1259" w:type="dxa"/>
            <w:tcBorders>
              <w:top w:val="single" w:color="auto" w:sz="4" w:space="0"/>
              <w:left w:val="single" w:color="auto" w:sz="4" w:space="0"/>
              <w:bottom w:val="single" w:color="auto" w:sz="4" w:space="0"/>
              <w:right w:val="single" w:color="auto" w:sz="4" w:space="0"/>
            </w:tcBorders>
            <w:noWrap w:val="0"/>
            <w:vAlign w:val="center"/>
          </w:tcPr>
          <w:p w14:paraId="50665CA7">
            <w:pPr>
              <w:keepNext w:val="0"/>
              <w:keepLines w:val="0"/>
              <w:suppressLineNumbers w:val="0"/>
              <w:spacing w:before="0" w:beforeAutospacing="0" w:after="0" w:afterAutospacing="0"/>
              <w:ind w:left="0" w:right="0"/>
              <w:rPr>
                <w:rFonts w:hint="default" w:ascii="Times New Roman" w:hAnsi="Times New Roman" w:cs="Times New Roman"/>
                <w:color w:val="auto"/>
                <w:szCs w:val="22"/>
                <w:highlight w:val="none"/>
              </w:rPr>
            </w:pPr>
          </w:p>
        </w:tc>
        <w:tc>
          <w:tcPr>
            <w:tcW w:w="2063" w:type="dxa"/>
            <w:tcBorders>
              <w:top w:val="single" w:color="auto" w:sz="4" w:space="0"/>
              <w:left w:val="single" w:color="auto" w:sz="4" w:space="0"/>
              <w:bottom w:val="single" w:color="auto" w:sz="4" w:space="0"/>
              <w:right w:val="single" w:color="auto" w:sz="4" w:space="0"/>
            </w:tcBorders>
            <w:noWrap w:val="0"/>
            <w:vAlign w:val="center"/>
          </w:tcPr>
          <w:p w14:paraId="61A9B9F2">
            <w:pPr>
              <w:keepNext w:val="0"/>
              <w:keepLines w:val="0"/>
              <w:suppressLineNumbers w:val="0"/>
              <w:spacing w:before="0" w:beforeAutospacing="0" w:after="0" w:afterAutospacing="0"/>
              <w:ind w:left="0" w:right="0"/>
              <w:rPr>
                <w:rFonts w:hint="default" w:ascii="Times New Roman" w:hAnsi="Times New Roman" w:cs="Times New Roman"/>
                <w:color w:val="auto"/>
                <w:szCs w:val="22"/>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3D092F61">
            <w:pPr>
              <w:keepNext w:val="0"/>
              <w:keepLines w:val="0"/>
              <w:suppressLineNumbers w:val="0"/>
              <w:spacing w:before="0" w:beforeAutospacing="0" w:after="0" w:afterAutospacing="0"/>
              <w:ind w:left="0" w:right="0"/>
              <w:rPr>
                <w:rFonts w:hint="default" w:ascii="Times New Roman" w:hAnsi="Times New Roman" w:cs="Times New Roman"/>
                <w:color w:val="auto"/>
                <w:szCs w:val="22"/>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9385D21">
            <w:pPr>
              <w:keepNext w:val="0"/>
              <w:keepLines w:val="0"/>
              <w:suppressLineNumbers w:val="0"/>
              <w:spacing w:before="0" w:beforeAutospacing="0" w:after="0" w:afterAutospacing="0"/>
              <w:ind w:left="0" w:right="0"/>
              <w:rPr>
                <w:rFonts w:hint="default" w:ascii="Times New Roman" w:hAnsi="Times New Roman" w:cs="Times New Roman"/>
                <w:color w:val="auto"/>
                <w:szCs w:val="22"/>
                <w:highlight w:val="none"/>
              </w:rPr>
            </w:pPr>
          </w:p>
        </w:tc>
        <w:tc>
          <w:tcPr>
            <w:tcW w:w="2111" w:type="dxa"/>
            <w:tcBorders>
              <w:top w:val="single" w:color="auto" w:sz="4" w:space="0"/>
              <w:left w:val="single" w:color="auto" w:sz="4" w:space="0"/>
              <w:bottom w:val="single" w:color="auto" w:sz="4" w:space="0"/>
              <w:right w:val="single" w:color="auto" w:sz="4" w:space="0"/>
            </w:tcBorders>
            <w:noWrap w:val="0"/>
            <w:vAlign w:val="center"/>
          </w:tcPr>
          <w:p w14:paraId="4831B852">
            <w:pPr>
              <w:keepNext w:val="0"/>
              <w:keepLines w:val="0"/>
              <w:suppressLineNumbers w:val="0"/>
              <w:spacing w:before="0" w:beforeAutospacing="0" w:after="0" w:afterAutospacing="0"/>
              <w:ind w:left="0" w:right="0"/>
              <w:rPr>
                <w:rFonts w:hint="default" w:ascii="Times New Roman" w:hAnsi="Times New Roman" w:cs="Times New Roman"/>
                <w:color w:val="auto"/>
                <w:szCs w:val="22"/>
                <w:highlight w:val="none"/>
              </w:rPr>
            </w:pPr>
          </w:p>
        </w:tc>
        <w:tc>
          <w:tcPr>
            <w:tcW w:w="641" w:type="dxa"/>
            <w:tcBorders>
              <w:top w:val="single" w:color="auto" w:sz="4" w:space="0"/>
              <w:left w:val="single" w:color="auto" w:sz="4" w:space="0"/>
              <w:bottom w:val="single" w:color="auto" w:sz="4" w:space="0"/>
              <w:right w:val="single" w:color="auto" w:sz="4" w:space="0"/>
            </w:tcBorders>
            <w:noWrap w:val="0"/>
            <w:vAlign w:val="center"/>
          </w:tcPr>
          <w:p w14:paraId="3731D048">
            <w:pPr>
              <w:keepNext w:val="0"/>
              <w:keepLines w:val="0"/>
              <w:suppressLineNumbers w:val="0"/>
              <w:spacing w:before="0" w:beforeAutospacing="0" w:after="0" w:afterAutospacing="0"/>
              <w:ind w:left="0" w:right="0"/>
              <w:rPr>
                <w:rFonts w:hint="default" w:ascii="Times New Roman" w:hAnsi="Times New Roman" w:cs="Times New Roman"/>
                <w:color w:val="auto"/>
                <w:szCs w:val="22"/>
                <w:highlight w:val="none"/>
              </w:rPr>
            </w:pPr>
          </w:p>
        </w:tc>
      </w:tr>
      <w:tr w14:paraId="7F238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718" w:type="dxa"/>
            <w:tcBorders>
              <w:top w:val="single" w:color="auto" w:sz="4" w:space="0"/>
              <w:left w:val="single" w:color="auto" w:sz="4" w:space="0"/>
              <w:bottom w:val="single" w:color="auto" w:sz="4" w:space="0"/>
              <w:right w:val="single" w:color="auto" w:sz="4" w:space="0"/>
            </w:tcBorders>
            <w:noWrap w:val="0"/>
            <w:vAlign w:val="center"/>
          </w:tcPr>
          <w:p w14:paraId="6371F449">
            <w:pPr>
              <w:keepNext w:val="0"/>
              <w:keepLines w:val="0"/>
              <w:suppressLineNumbers w:val="0"/>
              <w:spacing w:before="0" w:beforeAutospacing="0" w:after="0" w:afterAutospacing="0"/>
              <w:ind w:left="0" w:right="0"/>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2</w:t>
            </w:r>
          </w:p>
        </w:tc>
        <w:tc>
          <w:tcPr>
            <w:tcW w:w="1259" w:type="dxa"/>
            <w:tcBorders>
              <w:top w:val="single" w:color="auto" w:sz="4" w:space="0"/>
              <w:left w:val="single" w:color="auto" w:sz="4" w:space="0"/>
              <w:bottom w:val="single" w:color="auto" w:sz="4" w:space="0"/>
              <w:right w:val="single" w:color="auto" w:sz="4" w:space="0"/>
            </w:tcBorders>
            <w:noWrap w:val="0"/>
            <w:vAlign w:val="center"/>
          </w:tcPr>
          <w:p w14:paraId="00B9FA03">
            <w:pPr>
              <w:keepNext w:val="0"/>
              <w:keepLines w:val="0"/>
              <w:suppressLineNumbers w:val="0"/>
              <w:spacing w:before="0" w:beforeAutospacing="0" w:after="0" w:afterAutospacing="0"/>
              <w:ind w:left="0" w:right="0"/>
              <w:rPr>
                <w:rFonts w:hint="default" w:ascii="Times New Roman" w:hAnsi="Times New Roman" w:cs="Times New Roman"/>
                <w:color w:val="auto"/>
                <w:szCs w:val="22"/>
                <w:highlight w:val="none"/>
              </w:rPr>
            </w:pPr>
          </w:p>
        </w:tc>
        <w:tc>
          <w:tcPr>
            <w:tcW w:w="2063" w:type="dxa"/>
            <w:tcBorders>
              <w:top w:val="single" w:color="auto" w:sz="4" w:space="0"/>
              <w:left w:val="single" w:color="auto" w:sz="4" w:space="0"/>
              <w:bottom w:val="single" w:color="auto" w:sz="4" w:space="0"/>
              <w:right w:val="single" w:color="auto" w:sz="4" w:space="0"/>
            </w:tcBorders>
            <w:noWrap w:val="0"/>
            <w:vAlign w:val="center"/>
          </w:tcPr>
          <w:p w14:paraId="79D38C1F">
            <w:pPr>
              <w:keepNext w:val="0"/>
              <w:keepLines w:val="0"/>
              <w:suppressLineNumbers w:val="0"/>
              <w:spacing w:before="0" w:beforeAutospacing="0" w:after="0" w:afterAutospacing="0"/>
              <w:ind w:left="0" w:right="0"/>
              <w:rPr>
                <w:rFonts w:hint="default" w:ascii="Times New Roman" w:hAnsi="Times New Roman" w:cs="Times New Roman"/>
                <w:color w:val="auto"/>
                <w:szCs w:val="22"/>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7763766B">
            <w:pPr>
              <w:keepNext w:val="0"/>
              <w:keepLines w:val="0"/>
              <w:suppressLineNumbers w:val="0"/>
              <w:spacing w:before="0" w:beforeAutospacing="0" w:after="0" w:afterAutospacing="0"/>
              <w:ind w:left="0" w:right="0"/>
              <w:rPr>
                <w:rFonts w:hint="default" w:ascii="Times New Roman" w:hAnsi="Times New Roman" w:cs="Times New Roman"/>
                <w:color w:val="auto"/>
                <w:szCs w:val="22"/>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5326F25">
            <w:pPr>
              <w:keepNext w:val="0"/>
              <w:keepLines w:val="0"/>
              <w:suppressLineNumbers w:val="0"/>
              <w:spacing w:before="0" w:beforeAutospacing="0" w:after="0" w:afterAutospacing="0"/>
              <w:ind w:left="0" w:right="0"/>
              <w:rPr>
                <w:rFonts w:hint="default" w:ascii="Times New Roman" w:hAnsi="Times New Roman" w:cs="Times New Roman"/>
                <w:color w:val="auto"/>
                <w:szCs w:val="22"/>
                <w:highlight w:val="none"/>
              </w:rPr>
            </w:pPr>
          </w:p>
        </w:tc>
        <w:tc>
          <w:tcPr>
            <w:tcW w:w="2111" w:type="dxa"/>
            <w:tcBorders>
              <w:top w:val="single" w:color="auto" w:sz="4" w:space="0"/>
              <w:left w:val="single" w:color="auto" w:sz="4" w:space="0"/>
              <w:bottom w:val="single" w:color="auto" w:sz="4" w:space="0"/>
              <w:right w:val="single" w:color="auto" w:sz="4" w:space="0"/>
            </w:tcBorders>
            <w:noWrap w:val="0"/>
            <w:vAlign w:val="center"/>
          </w:tcPr>
          <w:p w14:paraId="4E1AD22B">
            <w:pPr>
              <w:keepNext w:val="0"/>
              <w:keepLines w:val="0"/>
              <w:suppressLineNumbers w:val="0"/>
              <w:spacing w:before="0" w:beforeAutospacing="0" w:after="0" w:afterAutospacing="0"/>
              <w:ind w:left="0" w:right="0"/>
              <w:rPr>
                <w:rFonts w:hint="default" w:ascii="Times New Roman" w:hAnsi="Times New Roman" w:cs="Times New Roman"/>
                <w:color w:val="auto"/>
                <w:szCs w:val="22"/>
                <w:highlight w:val="none"/>
              </w:rPr>
            </w:pPr>
          </w:p>
        </w:tc>
        <w:tc>
          <w:tcPr>
            <w:tcW w:w="641" w:type="dxa"/>
            <w:tcBorders>
              <w:top w:val="single" w:color="auto" w:sz="4" w:space="0"/>
              <w:left w:val="single" w:color="auto" w:sz="4" w:space="0"/>
              <w:bottom w:val="single" w:color="auto" w:sz="4" w:space="0"/>
              <w:right w:val="single" w:color="auto" w:sz="4" w:space="0"/>
            </w:tcBorders>
            <w:noWrap w:val="0"/>
            <w:vAlign w:val="center"/>
          </w:tcPr>
          <w:p w14:paraId="25B925D9">
            <w:pPr>
              <w:keepNext w:val="0"/>
              <w:keepLines w:val="0"/>
              <w:suppressLineNumbers w:val="0"/>
              <w:spacing w:before="0" w:beforeAutospacing="0" w:after="0" w:afterAutospacing="0"/>
              <w:ind w:left="0" w:right="0"/>
              <w:rPr>
                <w:rFonts w:hint="default" w:ascii="Times New Roman" w:hAnsi="Times New Roman" w:cs="Times New Roman"/>
                <w:color w:val="auto"/>
                <w:szCs w:val="22"/>
                <w:highlight w:val="none"/>
              </w:rPr>
            </w:pPr>
          </w:p>
        </w:tc>
      </w:tr>
      <w:tr w14:paraId="197A1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trPr>
        <w:tc>
          <w:tcPr>
            <w:tcW w:w="718" w:type="dxa"/>
            <w:tcBorders>
              <w:top w:val="single" w:color="auto" w:sz="4" w:space="0"/>
              <w:left w:val="single" w:color="auto" w:sz="4" w:space="0"/>
              <w:bottom w:val="single" w:color="auto" w:sz="4" w:space="0"/>
              <w:right w:val="single" w:color="auto" w:sz="4" w:space="0"/>
            </w:tcBorders>
            <w:noWrap w:val="0"/>
            <w:vAlign w:val="center"/>
          </w:tcPr>
          <w:p w14:paraId="432638A8">
            <w:pPr>
              <w:keepNext w:val="0"/>
              <w:keepLines w:val="0"/>
              <w:suppressLineNumbers w:val="0"/>
              <w:spacing w:before="0" w:beforeAutospacing="0" w:after="0" w:afterAutospacing="0"/>
              <w:ind w:left="0" w:right="0"/>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w:t>
            </w:r>
          </w:p>
        </w:tc>
        <w:tc>
          <w:tcPr>
            <w:tcW w:w="1259" w:type="dxa"/>
            <w:tcBorders>
              <w:top w:val="single" w:color="auto" w:sz="4" w:space="0"/>
              <w:left w:val="single" w:color="auto" w:sz="4" w:space="0"/>
              <w:bottom w:val="single" w:color="auto" w:sz="4" w:space="0"/>
              <w:right w:val="single" w:color="auto" w:sz="4" w:space="0"/>
            </w:tcBorders>
            <w:noWrap w:val="0"/>
            <w:vAlign w:val="center"/>
          </w:tcPr>
          <w:p w14:paraId="0275D0CC">
            <w:pPr>
              <w:keepNext w:val="0"/>
              <w:keepLines w:val="0"/>
              <w:suppressLineNumbers w:val="0"/>
              <w:spacing w:before="0" w:beforeAutospacing="0" w:after="0" w:afterAutospacing="0"/>
              <w:ind w:left="0" w:right="0"/>
              <w:rPr>
                <w:rFonts w:hint="default" w:ascii="Times New Roman" w:hAnsi="Times New Roman" w:cs="Times New Roman"/>
                <w:color w:val="auto"/>
                <w:szCs w:val="22"/>
                <w:highlight w:val="none"/>
              </w:rPr>
            </w:pPr>
          </w:p>
        </w:tc>
        <w:tc>
          <w:tcPr>
            <w:tcW w:w="2063" w:type="dxa"/>
            <w:tcBorders>
              <w:top w:val="single" w:color="auto" w:sz="4" w:space="0"/>
              <w:left w:val="single" w:color="auto" w:sz="4" w:space="0"/>
              <w:bottom w:val="single" w:color="auto" w:sz="4" w:space="0"/>
              <w:right w:val="single" w:color="auto" w:sz="4" w:space="0"/>
            </w:tcBorders>
            <w:noWrap w:val="0"/>
            <w:vAlign w:val="center"/>
          </w:tcPr>
          <w:p w14:paraId="37BB82ED">
            <w:pPr>
              <w:keepNext w:val="0"/>
              <w:keepLines w:val="0"/>
              <w:suppressLineNumbers w:val="0"/>
              <w:spacing w:before="0" w:beforeAutospacing="0" w:after="0" w:afterAutospacing="0"/>
              <w:ind w:left="0" w:right="0"/>
              <w:rPr>
                <w:rFonts w:hint="default" w:ascii="Times New Roman" w:hAnsi="Times New Roman" w:cs="Times New Roman"/>
                <w:color w:val="auto"/>
                <w:szCs w:val="22"/>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6ACA2EA9">
            <w:pPr>
              <w:keepNext w:val="0"/>
              <w:keepLines w:val="0"/>
              <w:suppressLineNumbers w:val="0"/>
              <w:spacing w:before="0" w:beforeAutospacing="0" w:after="0" w:afterAutospacing="0"/>
              <w:ind w:left="0" w:right="0"/>
              <w:rPr>
                <w:rFonts w:hint="default" w:ascii="Times New Roman" w:hAnsi="Times New Roman" w:cs="Times New Roman"/>
                <w:color w:val="auto"/>
                <w:szCs w:val="22"/>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3F29022">
            <w:pPr>
              <w:keepNext w:val="0"/>
              <w:keepLines w:val="0"/>
              <w:suppressLineNumbers w:val="0"/>
              <w:spacing w:before="0" w:beforeAutospacing="0" w:after="0" w:afterAutospacing="0"/>
              <w:ind w:left="0" w:right="0"/>
              <w:rPr>
                <w:rFonts w:hint="default" w:ascii="Times New Roman" w:hAnsi="Times New Roman" w:cs="Times New Roman"/>
                <w:color w:val="auto"/>
                <w:szCs w:val="22"/>
                <w:highlight w:val="none"/>
              </w:rPr>
            </w:pPr>
          </w:p>
        </w:tc>
        <w:tc>
          <w:tcPr>
            <w:tcW w:w="2111" w:type="dxa"/>
            <w:tcBorders>
              <w:top w:val="single" w:color="auto" w:sz="4" w:space="0"/>
              <w:left w:val="single" w:color="auto" w:sz="4" w:space="0"/>
              <w:bottom w:val="single" w:color="auto" w:sz="4" w:space="0"/>
              <w:right w:val="single" w:color="auto" w:sz="4" w:space="0"/>
            </w:tcBorders>
            <w:noWrap w:val="0"/>
            <w:vAlign w:val="center"/>
          </w:tcPr>
          <w:p w14:paraId="4536D907">
            <w:pPr>
              <w:keepNext w:val="0"/>
              <w:keepLines w:val="0"/>
              <w:suppressLineNumbers w:val="0"/>
              <w:spacing w:before="0" w:beforeAutospacing="0" w:after="0" w:afterAutospacing="0"/>
              <w:ind w:left="0" w:right="0"/>
              <w:rPr>
                <w:rFonts w:hint="default" w:ascii="Times New Roman" w:hAnsi="Times New Roman" w:cs="Times New Roman"/>
                <w:color w:val="auto"/>
                <w:szCs w:val="22"/>
                <w:highlight w:val="none"/>
              </w:rPr>
            </w:pPr>
          </w:p>
        </w:tc>
        <w:tc>
          <w:tcPr>
            <w:tcW w:w="641" w:type="dxa"/>
            <w:tcBorders>
              <w:top w:val="single" w:color="auto" w:sz="4" w:space="0"/>
              <w:left w:val="single" w:color="auto" w:sz="4" w:space="0"/>
              <w:bottom w:val="single" w:color="auto" w:sz="4" w:space="0"/>
              <w:right w:val="single" w:color="auto" w:sz="4" w:space="0"/>
            </w:tcBorders>
            <w:noWrap w:val="0"/>
            <w:vAlign w:val="center"/>
          </w:tcPr>
          <w:p w14:paraId="44AB4371">
            <w:pPr>
              <w:keepNext w:val="0"/>
              <w:keepLines w:val="0"/>
              <w:suppressLineNumbers w:val="0"/>
              <w:spacing w:before="0" w:beforeAutospacing="0" w:after="0" w:afterAutospacing="0"/>
              <w:ind w:left="0" w:right="0"/>
              <w:rPr>
                <w:rFonts w:hint="default" w:ascii="Times New Roman" w:hAnsi="Times New Roman" w:cs="Times New Roman"/>
                <w:color w:val="auto"/>
                <w:szCs w:val="22"/>
                <w:highlight w:val="none"/>
              </w:rPr>
            </w:pPr>
          </w:p>
        </w:tc>
      </w:tr>
      <w:tr w14:paraId="65627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132" w:type="dxa"/>
            <w:gridSpan w:val="7"/>
            <w:tcBorders>
              <w:top w:val="single" w:color="auto" w:sz="4" w:space="0"/>
              <w:left w:val="single" w:color="auto" w:sz="4" w:space="0"/>
              <w:bottom w:val="single" w:color="auto" w:sz="4" w:space="0"/>
              <w:right w:val="single" w:color="auto" w:sz="4" w:space="0"/>
            </w:tcBorders>
            <w:noWrap w:val="0"/>
            <w:vAlign w:val="top"/>
          </w:tcPr>
          <w:p w14:paraId="076D9437">
            <w:pPr>
              <w:keepNext w:val="0"/>
              <w:keepLines w:val="0"/>
              <w:suppressLineNumbers w:val="0"/>
              <w:spacing w:before="0" w:beforeAutospacing="0" w:after="0" w:afterAutospacing="0"/>
              <w:ind w:left="0" w:right="0"/>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报价合计（包含税费等所有费用）：（大写）人民币                                       （</w:t>
            </w:r>
            <w:r>
              <w:rPr>
                <w:rFonts w:hint="eastAsia" w:ascii="Times New Roman" w:hAnsi="Times New Roman" w:cs="Times New Roman"/>
                <w:color w:val="auto"/>
                <w:szCs w:val="22"/>
                <w:highlight w:val="none"/>
              </w:rPr>
              <w:t>¥</w:t>
            </w:r>
            <w:r>
              <w:rPr>
                <w:rFonts w:hint="default" w:ascii="Times New Roman" w:hAnsi="Times New Roman" w:cs="Times New Roman"/>
                <w:color w:val="auto"/>
                <w:szCs w:val="22"/>
                <w:highlight w:val="none"/>
              </w:rPr>
              <w:t xml:space="preserve">                元）</w:t>
            </w:r>
          </w:p>
        </w:tc>
      </w:tr>
      <w:tr w14:paraId="6A7AA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132" w:type="dxa"/>
            <w:gridSpan w:val="7"/>
            <w:tcBorders>
              <w:top w:val="single" w:color="auto" w:sz="4" w:space="0"/>
              <w:left w:val="single" w:color="auto" w:sz="4" w:space="0"/>
              <w:bottom w:val="single" w:color="auto" w:sz="4" w:space="0"/>
              <w:right w:val="single" w:color="auto" w:sz="4" w:space="0"/>
            </w:tcBorders>
            <w:noWrap w:val="0"/>
            <w:vAlign w:val="top"/>
          </w:tcPr>
          <w:p w14:paraId="6B6DF106">
            <w:pPr>
              <w:keepNext w:val="0"/>
              <w:keepLines w:val="0"/>
              <w:suppressLineNumbers w:val="0"/>
              <w:spacing w:before="0" w:beforeAutospacing="0" w:after="0" w:afterAutospacing="0"/>
              <w:ind w:left="0" w:right="0"/>
              <w:rPr>
                <w:rFonts w:hint="default" w:ascii="Times New Roman" w:hAnsi="Times New Roman" w:cs="Times New Roman"/>
                <w:color w:val="auto"/>
                <w:szCs w:val="22"/>
                <w:highlight w:val="none"/>
              </w:rPr>
            </w:pPr>
            <w:r>
              <w:rPr>
                <w:rFonts w:hint="default" w:ascii="Times New Roman" w:hAnsi="Times New Roman" w:cs="Times New Roman"/>
                <w:color w:val="auto"/>
                <w:szCs w:val="21"/>
                <w:highlight w:val="none"/>
                <w:u w:val="single"/>
              </w:rPr>
              <w:t>　　</w:t>
            </w:r>
            <w:r>
              <w:rPr>
                <w:rFonts w:hint="default" w:ascii="Times New Roman" w:hAnsi="Times New Roman" w:cs="Times New Roman"/>
                <w:color w:val="auto"/>
                <w:szCs w:val="21"/>
                <w:highlight w:val="none"/>
              </w:rPr>
              <w:t>分标（此处有分标时填写具体分标号，无分标时填写</w:t>
            </w:r>
            <w:r>
              <w:rPr>
                <w:rFonts w:hint="eastAsia" w:ascii="Times New Roman" w:hAnsi="Times New Roman" w:cs="Times New Roman"/>
                <w:color w:val="auto"/>
                <w:szCs w:val="21"/>
                <w:highlight w:val="none"/>
              </w:rPr>
              <w:t>“</w:t>
            </w:r>
            <w:r>
              <w:rPr>
                <w:rFonts w:hint="default" w:ascii="Times New Roman" w:hAnsi="Times New Roman" w:cs="Times New Roman"/>
                <w:color w:val="auto"/>
                <w:szCs w:val="21"/>
                <w:highlight w:val="none"/>
              </w:rPr>
              <w:t>无</w:t>
            </w:r>
            <w:r>
              <w:rPr>
                <w:rFonts w:hint="eastAsia" w:ascii="Times New Roman" w:hAnsi="Times New Roman" w:cs="Times New Roman"/>
                <w:color w:val="auto"/>
                <w:szCs w:val="21"/>
                <w:highlight w:val="none"/>
              </w:rPr>
              <w:t>”</w:t>
            </w:r>
            <w:r>
              <w:rPr>
                <w:rFonts w:hint="default" w:ascii="Times New Roman" w:hAnsi="Times New Roman" w:cs="Times New Roman"/>
                <w:color w:val="auto"/>
                <w:szCs w:val="21"/>
                <w:highlight w:val="none"/>
              </w:rPr>
              <w:t>）</w:t>
            </w:r>
          </w:p>
        </w:tc>
      </w:tr>
      <w:tr w14:paraId="2D4DB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132" w:type="dxa"/>
            <w:gridSpan w:val="7"/>
            <w:tcBorders>
              <w:top w:val="single" w:color="auto" w:sz="4" w:space="0"/>
              <w:left w:val="single" w:color="auto" w:sz="4" w:space="0"/>
              <w:bottom w:val="single" w:color="auto" w:sz="4" w:space="0"/>
              <w:right w:val="single" w:color="auto" w:sz="4" w:space="0"/>
            </w:tcBorders>
            <w:noWrap w:val="0"/>
            <w:vAlign w:val="top"/>
          </w:tcPr>
          <w:p w14:paraId="5739172D">
            <w:pPr>
              <w:keepNext w:val="0"/>
              <w:keepLines w:val="0"/>
              <w:suppressLineNumbers w:val="0"/>
              <w:spacing w:before="0" w:beforeAutospacing="0" w:after="0" w:afterAutospacing="0"/>
              <w:ind w:left="0" w:right="0"/>
              <w:rPr>
                <w:rFonts w:hint="default" w:ascii="Times New Roman" w:hAnsi="Times New Roman" w:cs="Times New Roman"/>
                <w:color w:val="auto"/>
                <w:szCs w:val="22"/>
                <w:highlight w:val="none"/>
              </w:rPr>
            </w:pPr>
            <w:r>
              <w:rPr>
                <w:rFonts w:hint="eastAsia" w:ascii="Times New Roman" w:hAnsi="Times New Roman" w:cs="Times New Roman"/>
                <w:color w:val="auto"/>
                <w:szCs w:val="22"/>
                <w:highlight w:val="none"/>
              </w:rPr>
              <w:t>提交服务成果时间：</w:t>
            </w:r>
          </w:p>
        </w:tc>
      </w:tr>
    </w:tbl>
    <w:p w14:paraId="2B278ADB">
      <w:pPr>
        <w:rPr>
          <w:rFonts w:hint="eastAsia"/>
          <w:color w:val="auto"/>
          <w:highlight w:val="none"/>
        </w:rPr>
      </w:pPr>
    </w:p>
    <w:p w14:paraId="4903B206">
      <w:pPr>
        <w:snapToGrid w:val="0"/>
        <w:spacing w:before="50" w:after="50"/>
        <w:ind w:firstLine="480" w:firstLineChars="2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注： </w:t>
      </w:r>
    </w:p>
    <w:p w14:paraId="423B7C6B">
      <w:pPr>
        <w:snapToGrid w:val="0"/>
        <w:spacing w:before="50" w:after="50"/>
        <w:ind w:firstLine="480" w:firstLineChars="2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1、 投标人需按本表格式填写, 如有多分标，按分标分别提供开标一览表，必须加盖投标人有效电子公章</w:t>
      </w:r>
      <w:r>
        <w:rPr>
          <w:rFonts w:hint="eastAsia" w:ascii="宋体" w:hAnsi="宋体" w:cs="宋体"/>
          <w:b/>
          <w:color w:val="auto"/>
          <w:kern w:val="0"/>
          <w:sz w:val="24"/>
          <w:highlight w:val="none"/>
          <w:lang w:val="zh-CN"/>
        </w:rPr>
        <w:t>。</w:t>
      </w:r>
    </w:p>
    <w:p w14:paraId="6C69FE2A">
      <w:pPr>
        <w:snapToGrid w:val="0"/>
        <w:spacing w:before="50" w:after="50"/>
        <w:ind w:firstLine="480" w:firstLineChars="2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2、本表内容均不能涂改</w:t>
      </w:r>
      <w:r>
        <w:rPr>
          <w:rFonts w:hint="eastAsia" w:ascii="宋体" w:hAnsi="宋体" w:cs="宋体"/>
          <w:b/>
          <w:color w:val="auto"/>
          <w:kern w:val="0"/>
          <w:sz w:val="24"/>
          <w:highlight w:val="none"/>
          <w:lang w:val="zh-CN"/>
        </w:rPr>
        <w:t>。</w:t>
      </w:r>
    </w:p>
    <w:p w14:paraId="33D10F05">
      <w:pPr>
        <w:snapToGrid w:val="0"/>
        <w:spacing w:before="50" w:after="50"/>
        <w:ind w:firstLine="480" w:firstLineChars="200"/>
        <w:jc w:val="left"/>
        <w:rPr>
          <w:rFonts w:hint="eastAsia" w:ascii="宋体" w:hAnsi="宋体" w:cs="宋体"/>
          <w:b/>
          <w:color w:val="auto"/>
          <w:kern w:val="0"/>
          <w:sz w:val="24"/>
          <w:highlight w:val="none"/>
          <w:lang w:val="zh-CN"/>
        </w:rPr>
      </w:pPr>
      <w:r>
        <w:rPr>
          <w:rFonts w:hint="eastAsia" w:ascii="宋体" w:hAnsi="宋体" w:cs="宋体"/>
          <w:color w:val="auto"/>
          <w:kern w:val="0"/>
          <w:sz w:val="24"/>
          <w:highlight w:val="none"/>
          <w:lang w:val="zh-CN"/>
        </w:rPr>
        <w:t>3、如为联合体投标，“投标人名称”处必须列明联合体各方名称，并标注联合体牵头人名称，且盖章处须加盖联合体各方公章</w:t>
      </w:r>
      <w:r>
        <w:rPr>
          <w:rFonts w:hint="eastAsia" w:ascii="宋体" w:hAnsi="宋体" w:cs="宋体"/>
          <w:b/>
          <w:color w:val="auto"/>
          <w:kern w:val="0"/>
          <w:sz w:val="24"/>
          <w:highlight w:val="none"/>
          <w:lang w:val="zh-CN"/>
        </w:rPr>
        <w:t>。</w:t>
      </w:r>
    </w:p>
    <w:p w14:paraId="392A651E">
      <w:pPr>
        <w:snapToGrid w:val="0"/>
        <w:ind w:firstLine="480" w:firstLineChars="2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rPr>
        <w:t>4</w:t>
      </w:r>
      <w:r>
        <w:rPr>
          <w:rFonts w:hint="eastAsia" w:ascii="宋体" w:hAnsi="宋体" w:cs="宋体"/>
          <w:color w:val="auto"/>
          <w:kern w:val="0"/>
          <w:sz w:val="24"/>
          <w:highlight w:val="none"/>
          <w:lang w:val="zh-CN"/>
        </w:rPr>
        <w:t>、特别提示：采购机构将对项目名称和项目编号，中标供应商名称、地址和中标金额，主要中标标的的名称、服务范围、服务要求、服务时间、服务标准等予以公示。</w:t>
      </w:r>
    </w:p>
    <w:p w14:paraId="066A0EB3">
      <w:pPr>
        <w:snapToGrid w:val="0"/>
        <w:ind w:firstLine="480" w:firstLineChars="2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rPr>
        <w:t>5</w:t>
      </w:r>
      <w:r>
        <w:rPr>
          <w:rFonts w:hint="eastAsia" w:ascii="宋体" w:hAnsi="宋体" w:cs="宋体"/>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2894CAD">
      <w:pPr>
        <w:snapToGrid w:val="0"/>
        <w:spacing w:line="360" w:lineRule="auto"/>
        <w:ind w:firstLine="5040" w:firstLineChars="2100"/>
        <w:rPr>
          <w:rFonts w:hint="eastAsia" w:ascii="宋体" w:hAnsi="宋体" w:cs="宋体"/>
          <w:color w:val="auto"/>
          <w:kern w:val="0"/>
          <w:sz w:val="24"/>
          <w:highlight w:val="none"/>
        </w:rPr>
      </w:pPr>
      <w:r>
        <w:rPr>
          <w:rFonts w:hint="eastAsia" w:ascii="宋体" w:hAnsi="宋体" w:cs="宋体"/>
          <w:color w:val="auto"/>
          <w:kern w:val="0"/>
          <w:sz w:val="24"/>
          <w:highlight w:val="none"/>
          <w:lang w:val="zh-CN"/>
        </w:rPr>
        <w:t>投标人名称(电子签章)：</w:t>
      </w:r>
    </w:p>
    <w:p w14:paraId="580A1303">
      <w:pPr>
        <w:snapToGrid w:val="0"/>
        <w:spacing w:line="360" w:lineRule="auto"/>
        <w:ind w:firstLine="5160" w:firstLineChars="215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6DCEA101">
      <w:pPr>
        <w:snapToGrid w:val="0"/>
        <w:spacing w:line="360" w:lineRule="auto"/>
        <w:ind w:firstLine="5160" w:firstLineChars="2150"/>
        <w:rPr>
          <w:rFonts w:hint="eastAsia" w:ascii="宋体" w:hAnsi="宋体" w:cs="宋体"/>
          <w:color w:val="auto"/>
          <w:kern w:val="0"/>
          <w:sz w:val="24"/>
          <w:highlight w:val="none"/>
          <w:lang w:val="zh-CN"/>
        </w:rPr>
      </w:pPr>
    </w:p>
    <w:p w14:paraId="72DDAF72">
      <w:pPr>
        <w:snapToGrid w:val="0"/>
        <w:spacing w:line="360" w:lineRule="auto"/>
        <w:ind w:firstLine="5160" w:firstLineChars="2150"/>
        <w:rPr>
          <w:rFonts w:hint="eastAsia" w:ascii="宋体" w:hAnsi="宋体" w:cs="宋体"/>
          <w:color w:val="auto"/>
          <w:kern w:val="0"/>
          <w:sz w:val="24"/>
          <w:highlight w:val="none"/>
          <w:lang w:val="zh-CN"/>
        </w:rPr>
      </w:pPr>
    </w:p>
    <w:p w14:paraId="43FBE3C4">
      <w:pPr>
        <w:snapToGrid w:val="0"/>
        <w:spacing w:line="360" w:lineRule="auto"/>
        <w:ind w:firstLine="5160" w:firstLineChars="2150"/>
        <w:rPr>
          <w:rFonts w:hint="eastAsia" w:ascii="宋体" w:hAnsi="宋体" w:cs="宋体"/>
          <w:color w:val="auto"/>
          <w:kern w:val="0"/>
          <w:sz w:val="24"/>
          <w:highlight w:val="none"/>
          <w:lang w:val="zh-CN"/>
        </w:rPr>
      </w:pPr>
    </w:p>
    <w:p w14:paraId="16ACD407">
      <w:pPr>
        <w:snapToGrid w:val="0"/>
        <w:spacing w:line="360" w:lineRule="auto"/>
        <w:ind w:firstLine="5160" w:firstLineChars="2150"/>
        <w:rPr>
          <w:rFonts w:hint="eastAsia" w:ascii="宋体" w:hAnsi="宋体" w:cs="宋体"/>
          <w:color w:val="auto"/>
          <w:kern w:val="0"/>
          <w:sz w:val="24"/>
          <w:highlight w:val="none"/>
          <w:lang w:val="zh-CN"/>
        </w:rPr>
      </w:pPr>
    </w:p>
    <w:p w14:paraId="391CE3A8">
      <w:pPr>
        <w:snapToGrid w:val="0"/>
        <w:spacing w:line="360" w:lineRule="auto"/>
        <w:ind w:firstLine="5160" w:firstLineChars="2150"/>
        <w:rPr>
          <w:rFonts w:hint="eastAsia" w:ascii="宋体" w:hAnsi="宋体" w:cs="宋体"/>
          <w:color w:val="auto"/>
          <w:kern w:val="0"/>
          <w:sz w:val="24"/>
          <w:highlight w:val="none"/>
          <w:lang w:val="zh-CN"/>
        </w:rPr>
      </w:pPr>
    </w:p>
    <w:p w14:paraId="7F0F775E">
      <w:pPr>
        <w:snapToGrid w:val="0"/>
        <w:spacing w:line="360" w:lineRule="auto"/>
        <w:ind w:firstLine="5160" w:firstLineChars="2150"/>
        <w:rPr>
          <w:rFonts w:hint="eastAsia" w:ascii="宋体" w:hAnsi="宋体" w:cs="宋体"/>
          <w:color w:val="auto"/>
          <w:kern w:val="0"/>
          <w:sz w:val="24"/>
          <w:highlight w:val="none"/>
          <w:lang w:val="zh-CN"/>
        </w:rPr>
      </w:pPr>
    </w:p>
    <w:p w14:paraId="1A58D403">
      <w:pPr>
        <w:snapToGrid w:val="0"/>
        <w:spacing w:before="50" w:after="165" w:afterLines="50" w:line="360" w:lineRule="auto"/>
        <w:ind w:firstLine="300" w:firstLineChars="150"/>
        <w:jc w:val="left"/>
        <w:rPr>
          <w:color w:val="auto"/>
          <w:sz w:val="20"/>
          <w:highlight w:val="none"/>
        </w:rPr>
      </w:pPr>
    </w:p>
    <w:p w14:paraId="2BCFAC30">
      <w:pPr>
        <w:widowControl/>
        <w:spacing w:line="360" w:lineRule="auto"/>
        <w:jc w:val="left"/>
        <w:rPr>
          <w:color w:val="auto"/>
          <w:sz w:val="20"/>
          <w:highlight w:val="none"/>
        </w:rPr>
      </w:pPr>
    </w:p>
    <w:p w14:paraId="1914D014">
      <w:pPr>
        <w:jc w:val="center"/>
        <w:rPr>
          <w:rFonts w:hint="eastAsia"/>
          <w:b/>
          <w:color w:val="auto"/>
          <w:sz w:val="30"/>
          <w:szCs w:val="30"/>
          <w:highlight w:val="none"/>
        </w:rPr>
      </w:pPr>
      <w:r>
        <w:rPr>
          <w:rFonts w:hint="eastAsia"/>
          <w:b/>
          <w:color w:val="auto"/>
          <w:sz w:val="30"/>
          <w:szCs w:val="30"/>
          <w:highlight w:val="none"/>
        </w:rPr>
        <w:t>三、中小企业声明函</w:t>
      </w:r>
    </w:p>
    <w:p w14:paraId="3BCFFC86">
      <w:pPr>
        <w:rPr>
          <w:rFonts w:hint="eastAsia" w:ascii="宋体" w:hAnsi="宋体" w:cs="宋体"/>
          <w:color w:val="auto"/>
          <w:spacing w:val="-4"/>
          <w:sz w:val="24"/>
          <w:highlight w:val="none"/>
        </w:rPr>
      </w:pPr>
      <w:r>
        <w:rPr>
          <w:rFonts w:hint="eastAsia" w:ascii="宋体" w:hAnsi="宋体" w:cs="宋体"/>
          <w:color w:val="auto"/>
          <w:spacing w:val="-4"/>
          <w:sz w:val="24"/>
          <w:highlight w:val="none"/>
        </w:rPr>
        <w:t>说明：</w:t>
      </w:r>
    </w:p>
    <w:p w14:paraId="75890A68">
      <w:pPr>
        <w:ind w:firstLine="464" w:firstLineChars="200"/>
        <w:rPr>
          <w:rFonts w:hint="eastAsia" w:ascii="宋体" w:hAnsi="宋体" w:cs="宋体"/>
          <w:color w:val="auto"/>
          <w:spacing w:val="-4"/>
          <w:sz w:val="24"/>
          <w:highlight w:val="none"/>
        </w:rPr>
      </w:pPr>
      <w:r>
        <w:rPr>
          <w:rFonts w:hint="eastAsia" w:ascii="宋体" w:hAnsi="宋体" w:cs="宋体"/>
          <w:color w:val="auto"/>
          <w:spacing w:val="-4"/>
          <w:sz w:val="24"/>
          <w:highlight w:val="none"/>
        </w:rPr>
        <w:t>1、本声明函主要供参加政府采购活动的中小企业填写，非中小企业无需填写。</w:t>
      </w:r>
    </w:p>
    <w:p w14:paraId="1BB86988">
      <w:pPr>
        <w:ind w:firstLine="464" w:firstLineChars="200"/>
        <w:rPr>
          <w:rFonts w:hint="eastAsia" w:ascii="宋体" w:hAnsi="宋体" w:cs="宋体"/>
          <w:color w:val="auto"/>
          <w:spacing w:val="-4"/>
          <w:sz w:val="24"/>
          <w:highlight w:val="none"/>
        </w:rPr>
      </w:pPr>
      <w:r>
        <w:rPr>
          <w:rFonts w:hint="eastAsia" w:ascii="宋体" w:hAnsi="宋体" w:cs="宋体"/>
          <w:color w:val="auto"/>
          <w:spacing w:val="-4"/>
          <w:sz w:val="24"/>
          <w:highlight w:val="none"/>
        </w:rPr>
        <w:t>2、小型、微型企业提供中型企业提供的服务的，视同为中型企业。</w:t>
      </w:r>
    </w:p>
    <w:p w14:paraId="62A2EFCE">
      <w:pPr>
        <w:ind w:firstLine="464" w:firstLineChars="200"/>
        <w:rPr>
          <w:rFonts w:hint="eastAsia" w:ascii="宋体" w:hAnsi="宋体" w:cs="宋体"/>
          <w:color w:val="auto"/>
          <w:spacing w:val="-4"/>
          <w:sz w:val="24"/>
          <w:highlight w:val="none"/>
        </w:rPr>
      </w:pPr>
    </w:p>
    <w:p w14:paraId="02927FF2">
      <w:pPr>
        <w:pStyle w:val="13"/>
        <w:spacing w:line="500" w:lineRule="exact"/>
        <w:ind w:right="142" w:firstLine="480" w:firstLineChars="200"/>
        <w:rPr>
          <w:rFonts w:hint="eastAsia" w:ascii="宋体" w:hAnsi="宋体" w:cs="宋体"/>
          <w:color w:val="auto"/>
          <w:sz w:val="24"/>
          <w:highlight w:val="none"/>
        </w:rPr>
      </w:pPr>
      <w:r>
        <w:rPr>
          <w:rFonts w:hint="eastAsia" w:ascii="宋体" w:hAnsi="宋体" w:cs="宋体"/>
          <w:color w:val="auto"/>
          <w:sz w:val="24"/>
          <w:highlight w:val="none"/>
        </w:rPr>
        <w:t>本公司（联合体）郑重声明，根据《政府采购促进中小企业发展管理办法》（财库﹝2020﹞46号）的规定，本公司（联合体）参加</w:t>
      </w:r>
      <w:r>
        <w:rPr>
          <w:rFonts w:hint="eastAsia" w:ascii="宋体" w:hAnsi="宋体" w:cs="宋体"/>
          <w:color w:val="auto"/>
          <w:sz w:val="24"/>
          <w:highlight w:val="none"/>
          <w:u w:val="single"/>
        </w:rPr>
        <w:t xml:space="preserve">      [项目名称]         </w:t>
      </w:r>
      <w:r>
        <w:rPr>
          <w:rFonts w:hint="eastAsia" w:ascii="宋体" w:hAnsi="宋体" w:cs="宋体"/>
          <w:color w:val="auto"/>
          <w:sz w:val="24"/>
          <w:highlight w:val="none"/>
        </w:rPr>
        <w:t>采购活动，服务全部由符合政策要求的中小企业承接。相关企业（含联合体中的中小企业、签订分包意向协议的中小企业）的具体情况如下：</w:t>
      </w:r>
    </w:p>
    <w:p w14:paraId="608F2B60">
      <w:pPr>
        <w:tabs>
          <w:tab w:val="left" w:pos="1384"/>
          <w:tab w:val="left" w:pos="4562"/>
          <w:tab w:val="left" w:pos="6803"/>
        </w:tabs>
        <w:spacing w:before="13" w:line="500" w:lineRule="exact"/>
        <w:ind w:right="142" w:firstLine="686" w:firstLineChars="286"/>
        <w:rPr>
          <w:rFonts w:hint="eastAsia"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u w:val="single"/>
        </w:rPr>
        <w:t>（标的名称）</w:t>
      </w:r>
      <w:r>
        <w:rPr>
          <w:rFonts w:hint="eastAsia" w:ascii="宋体" w:hAnsi="宋体" w:cs="宋体"/>
          <w:color w:val="auto"/>
          <w:sz w:val="24"/>
          <w:highlight w:val="none"/>
        </w:rPr>
        <w:t>，属于</w:t>
      </w:r>
      <w:r>
        <w:rPr>
          <w:rFonts w:hint="eastAsia" w:ascii="宋体" w:hAnsi="宋体" w:cs="宋体"/>
          <w:color w:val="auto"/>
          <w:sz w:val="24"/>
          <w:highlight w:val="none"/>
          <w:u w:val="single"/>
        </w:rPr>
        <w:t>（采购文件中明确的所属行业）</w:t>
      </w:r>
      <w:r>
        <w:rPr>
          <w:rFonts w:hint="eastAsia" w:ascii="宋体" w:hAnsi="宋体" w:cs="宋体"/>
          <w:color w:val="auto"/>
          <w:sz w:val="24"/>
          <w:highlight w:val="none"/>
        </w:rPr>
        <w:t>；承接企业为</w:t>
      </w:r>
      <w:r>
        <w:rPr>
          <w:rFonts w:hint="eastAsia" w:ascii="宋体" w:hAnsi="宋体" w:cs="宋体"/>
          <w:color w:val="auto"/>
          <w:sz w:val="24"/>
          <w:highlight w:val="none"/>
          <w:u w:val="single"/>
        </w:rPr>
        <w:t>（企业名称）</w:t>
      </w:r>
      <w:r>
        <w:rPr>
          <w:rFonts w:hint="eastAsia" w:ascii="宋体" w:hAnsi="宋体" w:cs="宋体"/>
          <w:color w:val="auto"/>
          <w:sz w:val="24"/>
          <w:highlight w:val="none"/>
        </w:rPr>
        <w:t>，从业人员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w:t>
      </w:r>
    </w:p>
    <w:p w14:paraId="74B971C5">
      <w:pPr>
        <w:tabs>
          <w:tab w:val="left" w:pos="1065"/>
          <w:tab w:val="left" w:pos="4262"/>
          <w:tab w:val="left" w:pos="6477"/>
        </w:tabs>
        <w:spacing w:before="20" w:line="500" w:lineRule="exact"/>
        <w:ind w:right="84" w:firstLine="686" w:firstLineChars="286"/>
        <w:rPr>
          <w:rFonts w:hint="eastAsia" w:ascii="宋体" w:hAnsi="宋体" w:cs="宋体"/>
          <w:color w:val="auto"/>
          <w:sz w:val="24"/>
          <w:highlight w:val="none"/>
          <w:u w:val="single"/>
        </w:rPr>
      </w:pPr>
      <w:r>
        <w:rPr>
          <w:rFonts w:hint="eastAsia" w:ascii="宋体" w:hAnsi="宋体" w:cs="宋体"/>
          <w:color w:val="auto"/>
          <w:sz w:val="24"/>
          <w:highlight w:val="none"/>
        </w:rPr>
        <w:t>2.</w:t>
      </w:r>
      <w:r>
        <w:rPr>
          <w:rFonts w:hint="eastAsia" w:ascii="宋体" w:hAnsi="宋体" w:cs="宋体"/>
          <w:color w:val="auto"/>
          <w:sz w:val="24"/>
          <w:highlight w:val="none"/>
          <w:u w:val="single"/>
        </w:rPr>
        <w:t>（标的名称）</w:t>
      </w:r>
      <w:r>
        <w:rPr>
          <w:rFonts w:hint="eastAsia" w:ascii="宋体" w:hAnsi="宋体" w:cs="宋体"/>
          <w:color w:val="auto"/>
          <w:sz w:val="24"/>
          <w:highlight w:val="none"/>
        </w:rPr>
        <w:t>，属于</w:t>
      </w:r>
      <w:r>
        <w:rPr>
          <w:rFonts w:hint="eastAsia" w:ascii="宋体" w:hAnsi="宋体" w:cs="宋体"/>
          <w:color w:val="auto"/>
          <w:sz w:val="24"/>
          <w:highlight w:val="none"/>
          <w:u w:val="single"/>
        </w:rPr>
        <w:t>（采购文件中明确的所属行业）</w:t>
      </w:r>
      <w:r>
        <w:rPr>
          <w:rFonts w:hint="eastAsia" w:ascii="宋体" w:hAnsi="宋体" w:cs="宋体"/>
          <w:color w:val="auto"/>
          <w:sz w:val="24"/>
          <w:highlight w:val="none"/>
        </w:rPr>
        <w:t>；承接企业为</w:t>
      </w:r>
      <w:r>
        <w:rPr>
          <w:rFonts w:hint="eastAsia" w:ascii="宋体" w:hAnsi="宋体" w:cs="宋体"/>
          <w:color w:val="auto"/>
          <w:sz w:val="24"/>
          <w:highlight w:val="none"/>
          <w:u w:val="single"/>
        </w:rPr>
        <w:t>（企业名称）</w:t>
      </w:r>
      <w:r>
        <w:rPr>
          <w:rFonts w:hint="eastAsia" w:ascii="宋体" w:hAnsi="宋体" w:cs="宋体"/>
          <w:color w:val="auto"/>
          <w:sz w:val="24"/>
          <w:highlight w:val="none"/>
        </w:rPr>
        <w:t>，从业人员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w:t>
      </w:r>
    </w:p>
    <w:p w14:paraId="564B071E">
      <w:pPr>
        <w:pStyle w:val="13"/>
        <w:spacing w:before="34" w:line="500" w:lineRule="exact"/>
        <w:ind w:left="765" w:right="142" w:hanging="5"/>
        <w:rPr>
          <w:rFonts w:hint="eastAsia" w:ascii="宋体" w:hAnsi="宋体" w:cs="宋体"/>
          <w:color w:val="auto"/>
          <w:sz w:val="24"/>
          <w:highlight w:val="none"/>
        </w:rPr>
      </w:pPr>
      <w:r>
        <w:rPr>
          <w:rFonts w:hint="eastAsia" w:ascii="宋体" w:hAnsi="宋体" w:cs="宋体"/>
          <w:color w:val="auto"/>
          <w:sz w:val="24"/>
          <w:highlight w:val="none"/>
        </w:rPr>
        <w:t xml:space="preserve">…… </w:t>
      </w:r>
    </w:p>
    <w:p w14:paraId="36500842">
      <w:pPr>
        <w:pStyle w:val="13"/>
        <w:spacing w:before="34" w:line="500" w:lineRule="exact"/>
        <w:ind w:right="142" w:firstLine="480" w:firstLineChars="200"/>
        <w:rPr>
          <w:rFonts w:hint="eastAsia"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14:paraId="2950AAD7">
      <w:pPr>
        <w:pStyle w:val="13"/>
        <w:spacing w:before="34" w:line="500" w:lineRule="exact"/>
        <w:ind w:right="142" w:firstLine="480" w:firstLineChars="200"/>
        <w:rPr>
          <w:rFonts w:hint="eastAsia"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14:paraId="600D8EF0">
      <w:pPr>
        <w:spacing w:line="360" w:lineRule="auto"/>
        <w:ind w:firstLine="480" w:firstLineChars="200"/>
        <w:rPr>
          <w:rFonts w:hint="eastAsia" w:ascii="宋体" w:hAnsi="宋体" w:cs="宋体"/>
          <w:color w:val="auto"/>
          <w:sz w:val="24"/>
          <w:highlight w:val="none"/>
        </w:rPr>
      </w:pPr>
    </w:p>
    <w:p w14:paraId="1165DE11">
      <w:pPr>
        <w:spacing w:line="360" w:lineRule="auto"/>
        <w:ind w:firstLine="480" w:firstLineChars="200"/>
        <w:rPr>
          <w:rFonts w:hint="eastAsia" w:ascii="宋体" w:hAnsi="宋体" w:cs="宋体"/>
          <w:color w:val="auto"/>
          <w:sz w:val="24"/>
          <w:highlight w:val="none"/>
        </w:rPr>
      </w:pPr>
    </w:p>
    <w:p w14:paraId="1DA3ED9F">
      <w:pPr>
        <w:snapToGrid w:val="0"/>
        <w:spacing w:line="360" w:lineRule="auto"/>
        <w:ind w:firstLine="5040" w:firstLineChars="2100"/>
        <w:rPr>
          <w:rFonts w:hint="eastAsia" w:ascii="宋体" w:hAnsi="宋体" w:cs="宋体"/>
          <w:color w:val="auto"/>
          <w:kern w:val="0"/>
          <w:sz w:val="24"/>
          <w:highlight w:val="none"/>
        </w:rPr>
      </w:pPr>
      <w:r>
        <w:rPr>
          <w:rFonts w:hint="eastAsia" w:ascii="宋体" w:hAnsi="宋体" w:cs="宋体"/>
          <w:color w:val="auto"/>
          <w:kern w:val="0"/>
          <w:sz w:val="24"/>
          <w:highlight w:val="none"/>
          <w:lang w:val="zh-CN"/>
        </w:rPr>
        <w:t>投标人名称(电子签章)：</w:t>
      </w:r>
    </w:p>
    <w:p w14:paraId="15756FF8">
      <w:pPr>
        <w:snapToGrid w:val="0"/>
        <w:spacing w:line="360" w:lineRule="auto"/>
        <w:ind w:firstLine="5160" w:firstLineChars="215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24E726D6">
      <w:pPr>
        <w:spacing w:line="360" w:lineRule="auto"/>
        <w:ind w:firstLine="420" w:firstLineChars="200"/>
        <w:rPr>
          <w:rFonts w:hint="eastAsia" w:ascii="宋体" w:hAnsi="宋体"/>
          <w:color w:val="auto"/>
          <w:szCs w:val="21"/>
          <w:highlight w:val="none"/>
        </w:rPr>
      </w:pPr>
    </w:p>
    <w:p w14:paraId="649CFF7C">
      <w:pPr>
        <w:snapToGrid w:val="0"/>
        <w:spacing w:before="50" w:after="165" w:afterLines="50" w:line="360" w:lineRule="auto"/>
        <w:jc w:val="left"/>
        <w:rPr>
          <w:rFonts w:hint="eastAsia" w:hAnsi="宋体" w:cs="宋体"/>
          <w:color w:val="auto"/>
          <w:sz w:val="20"/>
          <w:highlight w:val="none"/>
        </w:rPr>
      </w:pPr>
      <w:r>
        <w:rPr>
          <w:rFonts w:hint="eastAsia" w:hAnsi="宋体" w:cs="宋体"/>
          <w:color w:val="auto"/>
          <w:sz w:val="20"/>
          <w:highlight w:val="none"/>
        </w:rPr>
        <w:t>注：</w:t>
      </w:r>
    </w:p>
    <w:p w14:paraId="0DE0926E">
      <w:pPr>
        <w:numPr>
          <w:ilvl w:val="0"/>
          <w:numId w:val="7"/>
        </w:numPr>
        <w:snapToGrid w:val="0"/>
        <w:spacing w:before="50" w:after="165" w:afterLines="50" w:line="360" w:lineRule="auto"/>
        <w:jc w:val="left"/>
        <w:rPr>
          <w:color w:val="auto"/>
          <w:sz w:val="20"/>
          <w:highlight w:val="none"/>
        </w:rPr>
      </w:pPr>
      <w:r>
        <w:rPr>
          <w:rFonts w:hint="eastAsia"/>
          <w:color w:val="auto"/>
          <w:sz w:val="20"/>
          <w:highlight w:val="none"/>
        </w:rPr>
        <w:t>从业人员、营业收入、资产总额填报上一年度数据，无上一年度数据的新成立企业可不填报。</w:t>
      </w:r>
    </w:p>
    <w:p w14:paraId="2B1BD11A">
      <w:pPr>
        <w:snapToGrid w:val="0"/>
        <w:spacing w:before="50" w:after="165" w:afterLines="50" w:line="360" w:lineRule="auto"/>
        <w:ind w:firstLine="300" w:firstLineChars="150"/>
        <w:jc w:val="left"/>
        <w:rPr>
          <w:color w:val="auto"/>
          <w:sz w:val="20"/>
          <w:highlight w:val="none"/>
        </w:rPr>
      </w:pPr>
      <w:r>
        <w:rPr>
          <w:color w:val="auto"/>
          <w:sz w:val="20"/>
          <w:highlight w:val="none"/>
        </w:rPr>
        <w:t>2</w:t>
      </w:r>
      <w:r>
        <w:rPr>
          <w:rFonts w:hint="eastAsia"/>
          <w:color w:val="auto"/>
          <w:sz w:val="20"/>
          <w:highlight w:val="none"/>
        </w:rPr>
        <w:t>、请根据自己的真实情况出具《中小企业声明函》。依法享受中小企业优惠政策的，采购人或者采购代理机构在公告中标结果时，同时公告其《中小企业声明函》，接受社会监督。</w:t>
      </w:r>
    </w:p>
    <w:p w14:paraId="53D5923C">
      <w:pPr>
        <w:widowControl/>
        <w:spacing w:line="360" w:lineRule="auto"/>
        <w:jc w:val="left"/>
        <w:rPr>
          <w:color w:val="auto"/>
          <w:sz w:val="20"/>
          <w:highlight w:val="none"/>
        </w:rPr>
        <w:sectPr>
          <w:pgSz w:w="11906" w:h="16838"/>
          <w:pgMar w:top="1134" w:right="1134" w:bottom="1134" w:left="1134" w:header="720" w:footer="720" w:gutter="0"/>
          <w:cols w:space="720" w:num="1"/>
          <w:docGrid w:type="lines" w:linePitch="331" w:charSpace="0"/>
        </w:sectPr>
      </w:pPr>
    </w:p>
    <w:p w14:paraId="4CCCC44D">
      <w:pPr>
        <w:pStyle w:val="3"/>
        <w:bidi w:val="0"/>
        <w:jc w:val="center"/>
        <w:rPr>
          <w:color w:val="auto"/>
          <w:highlight w:val="none"/>
        </w:rPr>
      </w:pPr>
      <w:bookmarkStart w:id="581" w:name="_Toc24001"/>
      <w:bookmarkStart w:id="582" w:name="_Toc19686840"/>
      <w:r>
        <w:rPr>
          <w:rFonts w:hint="eastAsia"/>
          <w:color w:val="auto"/>
          <w:highlight w:val="none"/>
        </w:rPr>
        <w:t>第六节 其他文书、文件格式</w:t>
      </w:r>
      <w:bookmarkEnd w:id="581"/>
      <w:bookmarkEnd w:id="582"/>
    </w:p>
    <w:p w14:paraId="20469532">
      <w:pPr>
        <w:jc w:val="center"/>
        <w:rPr>
          <w:rFonts w:hint="eastAsia" w:ascii="宋体" w:hAnsi="宋体" w:cs="宋体"/>
          <w:b/>
          <w:bCs/>
          <w:color w:val="auto"/>
          <w:sz w:val="32"/>
          <w:szCs w:val="32"/>
          <w:highlight w:val="none"/>
          <w:lang w:val="en"/>
        </w:rPr>
      </w:pPr>
    </w:p>
    <w:p w14:paraId="36A6BB55">
      <w:pPr>
        <w:jc w:val="center"/>
        <w:rPr>
          <w:rFonts w:hint="eastAsia" w:ascii="宋体" w:hAnsi="宋体" w:cs="宋体"/>
          <w:b/>
          <w:bCs/>
          <w:color w:val="auto"/>
          <w:sz w:val="32"/>
          <w:szCs w:val="32"/>
          <w:highlight w:val="none"/>
          <w:lang w:val="en"/>
        </w:rPr>
      </w:pPr>
      <w:r>
        <w:rPr>
          <w:rFonts w:hint="eastAsia" w:ascii="宋体" w:hAnsi="宋体" w:cs="宋体"/>
          <w:b/>
          <w:bCs/>
          <w:color w:val="auto"/>
          <w:sz w:val="32"/>
          <w:szCs w:val="32"/>
          <w:highlight w:val="none"/>
          <w:lang w:val="en"/>
        </w:rPr>
        <w:t>知识产权合规性声明</w:t>
      </w:r>
    </w:p>
    <w:p w14:paraId="22F797B1">
      <w:pPr>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 xml:space="preserve">    </w:t>
      </w:r>
    </w:p>
    <w:p w14:paraId="21EF34BD">
      <w:pPr>
        <w:rPr>
          <w:rFonts w:hint="eastAsia" w:ascii="仿宋_GB2312" w:hAnsi="仿宋_GB2312" w:eastAsia="仿宋_GB2312" w:cs="仿宋_GB2312"/>
          <w:color w:val="auto"/>
          <w:sz w:val="30"/>
          <w:szCs w:val="30"/>
          <w:highlight w:val="none"/>
          <w:lang w:val="en"/>
        </w:rPr>
      </w:pPr>
      <w:r>
        <w:rPr>
          <w:rFonts w:hint="eastAsia" w:ascii="仿宋_GB2312" w:hAnsi="仿宋_GB2312" w:eastAsia="仿宋_GB2312" w:cs="仿宋_GB2312"/>
          <w:color w:val="auto"/>
          <w:sz w:val="30"/>
          <w:szCs w:val="30"/>
          <w:highlight w:val="none"/>
        </w:rPr>
        <w:t xml:space="preserve">    </w:t>
      </w:r>
      <w:r>
        <w:rPr>
          <w:rFonts w:hint="eastAsia" w:ascii="仿宋_GB2312" w:hAnsi="仿宋_GB2312" w:eastAsia="仿宋_GB2312" w:cs="仿宋_GB2312"/>
          <w:color w:val="auto"/>
          <w:sz w:val="30"/>
          <w:szCs w:val="30"/>
          <w:highlight w:val="none"/>
          <w:lang w:val="en"/>
        </w:rPr>
        <w:t>企业自愿参与政府投资政府采购的</w:t>
      </w:r>
      <w:r>
        <w:rPr>
          <w:rFonts w:hint="eastAsia" w:ascii="仿宋_GB2312" w:hAnsi="仿宋_GB2312" w:eastAsia="仿宋_GB2312" w:cs="仿宋_GB2312"/>
          <w:color w:val="auto"/>
          <w:sz w:val="30"/>
          <w:szCs w:val="30"/>
          <w:highlight w:val="none"/>
          <w:u w:val="single"/>
        </w:rPr>
        <w:t xml:space="preserve">  [项目名称]   </w:t>
      </w:r>
      <w:r>
        <w:rPr>
          <w:rFonts w:hint="eastAsia" w:ascii="仿宋_GB2312" w:hAnsi="仿宋_GB2312" w:eastAsia="仿宋_GB2312" w:cs="仿宋_GB2312"/>
          <w:color w:val="auto"/>
          <w:sz w:val="30"/>
          <w:szCs w:val="30"/>
          <w:highlight w:val="none"/>
          <w:lang w:val="en"/>
        </w:rPr>
        <w:t>项目，</w:t>
      </w:r>
      <w:r>
        <w:rPr>
          <w:rFonts w:hint="eastAsia" w:ascii="仿宋_GB2312" w:hAnsi="仿宋_GB2312" w:eastAsia="仿宋_GB2312" w:cs="仿宋_GB2312"/>
          <w:b/>
          <w:bCs/>
          <w:color w:val="auto"/>
          <w:sz w:val="30"/>
          <w:szCs w:val="30"/>
          <w:highlight w:val="none"/>
          <w:lang w:val="en"/>
        </w:rPr>
        <w:t>在此郑重承诺：</w:t>
      </w:r>
      <w:r>
        <w:rPr>
          <w:rFonts w:hint="eastAsia" w:ascii="仿宋_GB2312" w:hAnsi="仿宋_GB2312" w:eastAsia="仿宋_GB2312" w:cs="仿宋_GB2312"/>
          <w:color w:val="auto"/>
          <w:sz w:val="30"/>
          <w:szCs w:val="30"/>
          <w:highlight w:val="none"/>
          <w:lang w:val="en"/>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将承担由此产生的全部责任。</w:t>
      </w:r>
    </w:p>
    <w:p w14:paraId="215E29A9">
      <w:pPr>
        <w:snapToGrid w:val="0"/>
        <w:spacing w:line="360" w:lineRule="auto"/>
        <w:ind w:left="5137" w:leftChars="1736" w:hanging="1491" w:hangingChars="825"/>
        <w:rPr>
          <w:rFonts w:hint="eastAsia"/>
          <w:b/>
          <w:color w:val="auto"/>
          <w:sz w:val="18"/>
          <w:szCs w:val="18"/>
          <w:highlight w:val="none"/>
        </w:rPr>
      </w:pPr>
      <w:r>
        <w:rPr>
          <w:b/>
          <w:color w:val="auto"/>
          <w:sz w:val="18"/>
          <w:szCs w:val="18"/>
          <w:highlight w:val="none"/>
        </w:rPr>
        <w:t xml:space="preserve">           </w:t>
      </w:r>
    </w:p>
    <w:p w14:paraId="282BC5F9">
      <w:pPr>
        <w:snapToGrid w:val="0"/>
        <w:spacing w:line="360" w:lineRule="auto"/>
        <w:ind w:left="5137" w:leftChars="1736" w:hanging="1491" w:hangingChars="825"/>
        <w:rPr>
          <w:b/>
          <w:color w:val="auto"/>
          <w:sz w:val="18"/>
          <w:szCs w:val="18"/>
          <w:highlight w:val="none"/>
        </w:rPr>
      </w:pPr>
    </w:p>
    <w:p w14:paraId="45EA840E">
      <w:pPr>
        <w:snapToGrid w:val="0"/>
        <w:spacing w:line="360" w:lineRule="auto"/>
        <w:ind w:left="5137" w:leftChars="1736" w:hanging="1491" w:hangingChars="825"/>
        <w:rPr>
          <w:b/>
          <w:color w:val="auto"/>
          <w:sz w:val="18"/>
          <w:szCs w:val="18"/>
          <w:highlight w:val="none"/>
        </w:rPr>
      </w:pPr>
    </w:p>
    <w:p w14:paraId="6B0161F5">
      <w:pPr>
        <w:snapToGrid w:val="0"/>
        <w:spacing w:line="360" w:lineRule="auto"/>
        <w:ind w:left="5137" w:leftChars="1736" w:hanging="1491" w:hangingChars="825"/>
        <w:rPr>
          <w:b/>
          <w:color w:val="auto"/>
          <w:sz w:val="18"/>
          <w:szCs w:val="18"/>
          <w:highlight w:val="none"/>
        </w:rPr>
      </w:pPr>
    </w:p>
    <w:p w14:paraId="274E9095">
      <w:pPr>
        <w:snapToGrid w:val="0"/>
        <w:spacing w:line="360" w:lineRule="auto"/>
        <w:ind w:left="5137" w:leftChars="1736" w:hanging="1491" w:hangingChars="825"/>
        <w:rPr>
          <w:rFonts w:ascii="仿宋_GB2312" w:hAnsi="仿宋" w:eastAsia="仿宋_GB2312" w:cs="仿宋_GB2312"/>
          <w:color w:val="auto"/>
          <w:kern w:val="0"/>
          <w:sz w:val="24"/>
          <w:highlight w:val="none"/>
        </w:rPr>
      </w:pPr>
      <w:r>
        <w:rPr>
          <w:b/>
          <w:color w:val="auto"/>
          <w:sz w:val="18"/>
          <w:szCs w:val="18"/>
          <w:highlight w:val="none"/>
        </w:rPr>
        <w:t xml:space="preserve">      </w:t>
      </w:r>
      <w:r>
        <w:rPr>
          <w:rFonts w:hint="eastAsia" w:ascii="仿宋_GB2312" w:hAnsi="仿宋" w:eastAsia="仿宋_GB2312" w:cs="仿宋_GB2312"/>
          <w:color w:val="auto"/>
          <w:kern w:val="0"/>
          <w:sz w:val="24"/>
          <w:highlight w:val="none"/>
          <w:lang w:val="zh-CN"/>
        </w:rPr>
        <w:t>投标人名称(电子签章)：</w:t>
      </w:r>
    </w:p>
    <w:p w14:paraId="1CC7A330">
      <w:pPr>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17C5F002">
      <w:pPr>
        <w:spacing w:line="360" w:lineRule="auto"/>
        <w:jc w:val="center"/>
        <w:rPr>
          <w:rFonts w:hint="eastAsia" w:ascii="宋体" w:hAnsi="Courier New"/>
          <w:b/>
          <w:color w:val="auto"/>
          <w:sz w:val="30"/>
          <w:szCs w:val="30"/>
          <w:highlight w:val="none"/>
        </w:rPr>
      </w:pPr>
      <w:r>
        <w:rPr>
          <w:rFonts w:hint="eastAsia" w:ascii="宋体" w:hAnsi="Courier New"/>
          <w:b/>
          <w:color w:val="auto"/>
          <w:sz w:val="30"/>
          <w:szCs w:val="30"/>
          <w:highlight w:val="none"/>
        </w:rPr>
        <w:br w:type="page"/>
      </w:r>
      <w:r>
        <w:rPr>
          <w:rFonts w:hint="eastAsia" w:ascii="宋体" w:hAnsi="Courier New"/>
          <w:b/>
          <w:color w:val="auto"/>
          <w:sz w:val="30"/>
          <w:szCs w:val="30"/>
          <w:highlight w:val="none"/>
        </w:rPr>
        <w:t>残疾人福利性单位声明函（如有）</w:t>
      </w:r>
    </w:p>
    <w:p w14:paraId="36091D5A">
      <w:pPr>
        <w:spacing w:line="360" w:lineRule="auto"/>
        <w:jc w:val="center"/>
        <w:rPr>
          <w:rFonts w:hint="eastAsia" w:ascii="宋体" w:hAnsi="Courier New"/>
          <w:b/>
          <w:color w:val="auto"/>
          <w:sz w:val="30"/>
          <w:szCs w:val="30"/>
          <w:highlight w:val="none"/>
        </w:rPr>
      </w:pPr>
    </w:p>
    <w:p w14:paraId="10F7EB74">
      <w:pPr>
        <w:spacing w:line="360" w:lineRule="auto"/>
        <w:jc w:val="left"/>
        <w:rPr>
          <w:rFonts w:hint="eastAsia" w:ascii="仿宋_GB2312" w:hAnsi="Courier New" w:eastAsia="仿宋_GB2312"/>
          <w:color w:val="auto"/>
          <w:sz w:val="24"/>
          <w:highlight w:val="none"/>
        </w:rPr>
      </w:pPr>
      <w:r>
        <w:rPr>
          <w:rFonts w:hint="eastAsia" w:ascii="宋体" w:hAnsi="Courier New"/>
          <w:color w:val="auto"/>
          <w:sz w:val="30"/>
          <w:szCs w:val="30"/>
          <w:highlight w:val="none"/>
        </w:rPr>
        <w:t xml:space="preserve">   </w:t>
      </w:r>
      <w:r>
        <w:rPr>
          <w:rFonts w:hint="eastAsia" w:ascii="仿宋_GB2312" w:hAnsi="Courier New" w:eastAsia="仿宋_GB2312"/>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仿宋_GB2312" w:hAnsi="Courier New" w:eastAsia="仿宋_GB2312"/>
          <w:color w:val="auto"/>
          <w:sz w:val="24"/>
          <w:highlight w:val="none"/>
          <w:u w:val="single"/>
        </w:rPr>
        <w:t xml:space="preserve"> （采购人）</w:t>
      </w:r>
      <w:r>
        <w:rPr>
          <w:rFonts w:hint="eastAsia" w:ascii="仿宋_GB2312" w:hAnsi="Courier New" w:eastAsia="仿宋_GB2312"/>
          <w:color w:val="auto"/>
          <w:sz w:val="24"/>
          <w:highlight w:val="none"/>
        </w:rPr>
        <w:t>单位的</w:t>
      </w:r>
      <w:r>
        <w:rPr>
          <w:rFonts w:hint="eastAsia" w:ascii="仿宋_GB2312" w:hAnsi="Courier New" w:eastAsia="仿宋_GB2312"/>
          <w:color w:val="auto"/>
          <w:sz w:val="24"/>
          <w:highlight w:val="none"/>
          <w:u w:val="single"/>
        </w:rPr>
        <w:t xml:space="preserve">   （项目名称）       </w:t>
      </w:r>
      <w:r>
        <w:rPr>
          <w:rFonts w:hint="eastAsia" w:ascii="仿宋_GB2312" w:hAnsi="Courier New" w:eastAsia="仿宋_GB2312"/>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602EC21F">
      <w:pPr>
        <w:spacing w:line="360" w:lineRule="auto"/>
        <w:ind w:firstLine="480" w:firstLineChars="200"/>
        <w:jc w:val="left"/>
        <w:rPr>
          <w:rFonts w:hint="eastAsia" w:ascii="仿宋_GB2312" w:hAnsi="Courier New" w:eastAsia="仿宋_GB2312"/>
          <w:color w:val="auto"/>
          <w:sz w:val="24"/>
          <w:highlight w:val="none"/>
        </w:rPr>
      </w:pPr>
      <w:r>
        <w:rPr>
          <w:rFonts w:hint="eastAsia" w:ascii="仿宋_GB2312" w:hAnsi="Courier New" w:eastAsia="仿宋_GB2312"/>
          <w:color w:val="auto"/>
          <w:sz w:val="24"/>
          <w:highlight w:val="none"/>
        </w:rPr>
        <w:t>本公司对上述声明的真实性负责。如有虚假，将依法承担相应责任。</w:t>
      </w:r>
    </w:p>
    <w:p w14:paraId="29E285F3">
      <w:pPr>
        <w:spacing w:line="360" w:lineRule="auto"/>
        <w:jc w:val="left"/>
        <w:rPr>
          <w:rFonts w:hint="eastAsia" w:ascii="宋体" w:hAnsi="Courier New"/>
          <w:b/>
          <w:color w:val="auto"/>
          <w:szCs w:val="21"/>
          <w:highlight w:val="none"/>
        </w:rPr>
      </w:pPr>
    </w:p>
    <w:p w14:paraId="774B772F">
      <w:pPr>
        <w:spacing w:line="360" w:lineRule="auto"/>
        <w:jc w:val="left"/>
        <w:rPr>
          <w:rFonts w:hint="eastAsia" w:ascii="宋体" w:hAnsi="Courier New"/>
          <w:b/>
          <w:color w:val="auto"/>
          <w:szCs w:val="21"/>
          <w:highlight w:val="none"/>
        </w:rPr>
      </w:pPr>
    </w:p>
    <w:p w14:paraId="40D5C0A2">
      <w:pPr>
        <w:snapToGrid w:val="0"/>
        <w:spacing w:line="360" w:lineRule="auto"/>
        <w:ind w:left="5137" w:leftChars="1736" w:hanging="1491" w:hangingChars="825"/>
        <w:rPr>
          <w:rFonts w:hint="eastAsia" w:ascii="仿宋_GB2312" w:hAnsi="仿宋" w:eastAsia="仿宋_GB2312" w:cs="仿宋_GB2312"/>
          <w:color w:val="auto"/>
          <w:kern w:val="0"/>
          <w:sz w:val="24"/>
          <w:highlight w:val="none"/>
        </w:rPr>
      </w:pPr>
      <w:r>
        <w:rPr>
          <w:b/>
          <w:color w:val="auto"/>
          <w:sz w:val="18"/>
          <w:szCs w:val="18"/>
          <w:highlight w:val="none"/>
        </w:rPr>
        <w:t xml:space="preserve">                                                                    </w:t>
      </w:r>
      <w:r>
        <w:rPr>
          <w:rFonts w:hint="eastAsia" w:ascii="仿宋_GB2312" w:hAnsi="仿宋" w:eastAsia="仿宋_GB2312" w:cs="仿宋_GB2312"/>
          <w:color w:val="auto"/>
          <w:kern w:val="0"/>
          <w:sz w:val="24"/>
          <w:highlight w:val="none"/>
          <w:lang w:val="zh-CN"/>
        </w:rPr>
        <w:t>投标人名称(电子签章)：</w:t>
      </w:r>
    </w:p>
    <w:p w14:paraId="3C610F61">
      <w:pPr>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14:paraId="0537E3C4">
      <w:pPr>
        <w:spacing w:line="360" w:lineRule="auto"/>
        <w:ind w:left="5132" w:leftChars="1979" w:hanging="976" w:hangingChars="488"/>
        <w:rPr>
          <w:rFonts w:hint="eastAsia" w:ascii="宋体" w:hAnsi="Courier New"/>
          <w:color w:val="auto"/>
          <w:sz w:val="20"/>
          <w:szCs w:val="20"/>
          <w:highlight w:val="none"/>
        </w:rPr>
      </w:pPr>
    </w:p>
    <w:p w14:paraId="3CD66665">
      <w:pPr>
        <w:spacing w:line="360" w:lineRule="auto"/>
        <w:ind w:right="420" w:firstLine="480" w:firstLineChars="200"/>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20584CDF">
      <w:pPr>
        <w:widowControl/>
        <w:spacing w:line="360" w:lineRule="auto"/>
        <w:jc w:val="left"/>
        <w:rPr>
          <w:color w:val="auto"/>
          <w:sz w:val="20"/>
          <w:highlight w:val="none"/>
        </w:rPr>
        <w:sectPr>
          <w:pgSz w:w="11906" w:h="16838"/>
          <w:pgMar w:top="1134" w:right="1134" w:bottom="1134" w:left="1134" w:header="720" w:footer="720" w:gutter="0"/>
          <w:cols w:space="720" w:num="1"/>
          <w:docGrid w:type="lines" w:linePitch="331" w:charSpace="0"/>
        </w:sectPr>
      </w:pPr>
    </w:p>
    <w:p w14:paraId="3E0251AF">
      <w:pPr>
        <w:spacing w:line="600" w:lineRule="exact"/>
        <w:jc w:val="center"/>
        <w:rPr>
          <w:b/>
          <w:bCs/>
          <w:color w:val="auto"/>
          <w:sz w:val="32"/>
          <w:szCs w:val="32"/>
          <w:highlight w:val="none"/>
        </w:rPr>
      </w:pPr>
      <w:r>
        <w:rPr>
          <w:rFonts w:hint="eastAsia" w:ascii="仿宋_GB2312" w:hAnsi="仿宋" w:eastAsia="仿宋_GB2312" w:cs="仿宋_GB2312"/>
          <w:b/>
          <w:bCs/>
          <w:color w:val="auto"/>
          <w:sz w:val="32"/>
          <w:szCs w:val="32"/>
          <w:highlight w:val="none"/>
        </w:rPr>
        <w:t>属于监狱企业证明文件</w:t>
      </w:r>
    </w:p>
    <w:p w14:paraId="67CF928C">
      <w:pPr>
        <w:spacing w:line="600" w:lineRule="exact"/>
        <w:jc w:val="left"/>
        <w:rPr>
          <w:rFonts w:hint="eastAsia" w:ascii="宋体" w:hAnsi="Courier New" w:cs="宋体"/>
          <w:color w:val="auto"/>
          <w:kern w:val="0"/>
          <w:szCs w:val="21"/>
          <w:highlight w:val="none"/>
          <w:lang w:val="zh-CN"/>
        </w:rPr>
      </w:pPr>
    </w:p>
    <w:p w14:paraId="1D42FD96">
      <w:pPr>
        <w:spacing w:line="360" w:lineRule="auto"/>
        <w:ind w:right="420" w:firstLine="480" w:firstLineChars="200"/>
        <w:rPr>
          <w:rFonts w:hint="eastAsia" w:ascii="仿宋_GB2312" w:hAnsi="仿宋" w:eastAsia="仿宋_GB2312" w:cs="仿宋_GB2312"/>
          <w:color w:val="auto"/>
          <w:sz w:val="24"/>
          <w:highlight w:val="none"/>
          <w:lang w:val="zh-CN"/>
        </w:rPr>
      </w:pPr>
      <w:r>
        <w:rPr>
          <w:rFonts w:hint="eastAsia" w:ascii="仿宋_GB2312" w:hAnsi="仿宋" w:eastAsia="仿宋_GB2312" w:cs="仿宋_GB2312"/>
          <w:color w:val="auto"/>
          <w:sz w:val="24"/>
          <w:highlight w:val="none"/>
          <w:lang w:val="zh-CN"/>
        </w:rPr>
        <w:t>由省级以上监狱管理局、戒毒管理局（含新疆生产建设兵团）出具的属于监狱企业证明文件复印件(电子签章)</w:t>
      </w:r>
    </w:p>
    <w:p w14:paraId="1FE190E5">
      <w:pPr>
        <w:spacing w:line="600" w:lineRule="exact"/>
        <w:jc w:val="left"/>
        <w:rPr>
          <w:rFonts w:hint="eastAsia" w:ascii="宋体" w:hAnsi="Courier New" w:cs="宋体"/>
          <w:color w:val="auto"/>
          <w:kern w:val="0"/>
          <w:szCs w:val="21"/>
          <w:highlight w:val="none"/>
        </w:rPr>
      </w:pPr>
    </w:p>
    <w:p w14:paraId="3B876EC6">
      <w:pPr>
        <w:spacing w:line="600" w:lineRule="exact"/>
        <w:jc w:val="left"/>
        <w:rPr>
          <w:rFonts w:hint="eastAsia" w:ascii="宋体" w:hAnsi="Courier New" w:cs="宋体"/>
          <w:color w:val="auto"/>
          <w:kern w:val="0"/>
          <w:szCs w:val="21"/>
          <w:highlight w:val="none"/>
        </w:rPr>
      </w:pPr>
    </w:p>
    <w:p w14:paraId="123C2EC9">
      <w:pPr>
        <w:spacing w:line="360" w:lineRule="auto"/>
        <w:ind w:right="420"/>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注明：</w:t>
      </w:r>
    </w:p>
    <w:p w14:paraId="7A333DCE">
      <w:pPr>
        <w:spacing w:line="360" w:lineRule="auto"/>
        <w:ind w:right="420" w:firstLine="480" w:firstLineChars="200"/>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根据《关于政府采购支持监狱企业发展有关问题的通知》（财库[2014]68号）的规定，由省级以上监狱管理局、戒毒管理局（含新疆生产建设兵团）出具的属于监狱企业证的，视同为小型和微型企业，依法享受中小企业优惠政策。投标人提供由省级以上监狱管理局、戒毒管理局（含新疆生产建设兵团）出具的属于监狱企业</w:t>
      </w:r>
      <w:r>
        <w:rPr>
          <w:rFonts w:hint="eastAsia" w:ascii="仿宋_GB2312" w:hAnsi="仿宋" w:eastAsia="仿宋_GB2312" w:cs="仿宋_GB2312"/>
          <w:color w:val="auto"/>
          <w:sz w:val="24"/>
          <w:highlight w:val="none"/>
          <w:lang w:eastAsia="zh-CN"/>
        </w:rPr>
        <w:t>证明</w:t>
      </w:r>
      <w:r>
        <w:rPr>
          <w:rFonts w:hint="eastAsia" w:ascii="仿宋_GB2312" w:hAnsi="仿宋" w:eastAsia="仿宋_GB2312" w:cs="仿宋_GB2312"/>
          <w:color w:val="auto"/>
          <w:sz w:val="24"/>
          <w:highlight w:val="none"/>
        </w:rPr>
        <w:t>的，采购人或者采购代理机构在公告中标结果时，同时公告其监狱企业证明文件，接受社会监督。</w:t>
      </w:r>
    </w:p>
    <w:p w14:paraId="203DD68E">
      <w:pPr>
        <w:widowControl/>
        <w:spacing w:line="360" w:lineRule="auto"/>
        <w:jc w:val="left"/>
        <w:rPr>
          <w:rFonts w:ascii="宋体" w:hAnsi="宋体"/>
          <w:b/>
          <w:bCs/>
          <w:color w:val="auto"/>
          <w:sz w:val="32"/>
          <w:szCs w:val="32"/>
          <w:highlight w:val="none"/>
        </w:rPr>
        <w:sectPr>
          <w:pgSz w:w="11910" w:h="16840"/>
          <w:pgMar w:top="1340" w:right="1500" w:bottom="280" w:left="1680" w:header="720" w:footer="720" w:gutter="0"/>
          <w:cols w:space="720" w:num="1"/>
        </w:sectPr>
      </w:pPr>
    </w:p>
    <w:p w14:paraId="5EB50E97">
      <w:pPr>
        <w:snapToGrid w:val="0"/>
        <w:spacing w:before="50" w:after="165" w:afterLines="50" w:line="360" w:lineRule="auto"/>
        <w:jc w:val="left"/>
        <w:rPr>
          <w:rFonts w:hint="eastAsia"/>
          <w:color w:val="auto"/>
          <w:sz w:val="20"/>
          <w:highlight w:val="none"/>
        </w:rPr>
      </w:pPr>
    </w:p>
    <w:p w14:paraId="3898DFB6">
      <w:pPr>
        <w:tabs>
          <w:tab w:val="left" w:pos="2472"/>
        </w:tabs>
        <w:spacing w:line="460" w:lineRule="exact"/>
        <w:jc w:val="center"/>
        <w:rPr>
          <w:b/>
          <w:color w:val="auto"/>
          <w:sz w:val="36"/>
          <w:szCs w:val="20"/>
          <w:highlight w:val="none"/>
        </w:rPr>
      </w:pPr>
    </w:p>
    <w:p w14:paraId="23C53006">
      <w:pPr>
        <w:tabs>
          <w:tab w:val="left" w:pos="2472"/>
        </w:tabs>
        <w:spacing w:line="460" w:lineRule="exact"/>
        <w:jc w:val="center"/>
        <w:rPr>
          <w:b/>
          <w:color w:val="auto"/>
          <w:sz w:val="36"/>
          <w:szCs w:val="20"/>
          <w:highlight w:val="none"/>
        </w:rPr>
      </w:pPr>
    </w:p>
    <w:p w14:paraId="759D1D2C">
      <w:pPr>
        <w:tabs>
          <w:tab w:val="left" w:pos="2472"/>
        </w:tabs>
        <w:spacing w:line="460" w:lineRule="exact"/>
        <w:jc w:val="center"/>
        <w:rPr>
          <w:b/>
          <w:color w:val="auto"/>
          <w:sz w:val="36"/>
          <w:szCs w:val="20"/>
          <w:highlight w:val="none"/>
        </w:rPr>
      </w:pPr>
    </w:p>
    <w:p w14:paraId="54FC8D19">
      <w:pPr>
        <w:tabs>
          <w:tab w:val="left" w:pos="2472"/>
        </w:tabs>
        <w:spacing w:line="460" w:lineRule="exact"/>
        <w:jc w:val="center"/>
        <w:rPr>
          <w:b/>
          <w:color w:val="auto"/>
          <w:sz w:val="36"/>
          <w:szCs w:val="20"/>
          <w:highlight w:val="none"/>
        </w:rPr>
      </w:pPr>
    </w:p>
    <w:p w14:paraId="0EF52232">
      <w:pPr>
        <w:tabs>
          <w:tab w:val="left" w:pos="2472"/>
        </w:tabs>
        <w:spacing w:line="460" w:lineRule="exact"/>
        <w:jc w:val="center"/>
        <w:rPr>
          <w:b/>
          <w:color w:val="auto"/>
          <w:sz w:val="36"/>
          <w:szCs w:val="20"/>
          <w:highlight w:val="none"/>
        </w:rPr>
      </w:pPr>
    </w:p>
    <w:p w14:paraId="4349ACFA">
      <w:pPr>
        <w:tabs>
          <w:tab w:val="left" w:pos="2472"/>
        </w:tabs>
        <w:spacing w:line="460" w:lineRule="exact"/>
        <w:jc w:val="center"/>
        <w:rPr>
          <w:b/>
          <w:color w:val="auto"/>
          <w:sz w:val="36"/>
          <w:szCs w:val="20"/>
          <w:highlight w:val="none"/>
        </w:rPr>
      </w:pPr>
    </w:p>
    <w:p w14:paraId="3CE9798C">
      <w:pPr>
        <w:tabs>
          <w:tab w:val="left" w:pos="2472"/>
        </w:tabs>
        <w:spacing w:line="460" w:lineRule="exact"/>
        <w:jc w:val="center"/>
        <w:rPr>
          <w:b/>
          <w:color w:val="auto"/>
          <w:sz w:val="36"/>
          <w:szCs w:val="20"/>
          <w:highlight w:val="none"/>
        </w:rPr>
      </w:pPr>
    </w:p>
    <w:p w14:paraId="6C28D71D">
      <w:pPr>
        <w:tabs>
          <w:tab w:val="left" w:pos="2472"/>
        </w:tabs>
        <w:spacing w:line="460" w:lineRule="exact"/>
        <w:jc w:val="center"/>
        <w:rPr>
          <w:b/>
          <w:color w:val="auto"/>
          <w:sz w:val="36"/>
          <w:szCs w:val="20"/>
          <w:highlight w:val="none"/>
        </w:rPr>
      </w:pPr>
    </w:p>
    <w:p w14:paraId="09519027">
      <w:pPr>
        <w:tabs>
          <w:tab w:val="left" w:pos="2472"/>
        </w:tabs>
        <w:spacing w:line="460" w:lineRule="exact"/>
        <w:jc w:val="center"/>
        <w:rPr>
          <w:b/>
          <w:color w:val="auto"/>
          <w:sz w:val="36"/>
          <w:szCs w:val="20"/>
          <w:highlight w:val="none"/>
        </w:rPr>
      </w:pPr>
    </w:p>
    <w:p w14:paraId="469EB8C0">
      <w:pPr>
        <w:tabs>
          <w:tab w:val="left" w:pos="2472"/>
        </w:tabs>
        <w:spacing w:line="460" w:lineRule="exact"/>
        <w:jc w:val="center"/>
        <w:rPr>
          <w:b/>
          <w:color w:val="auto"/>
          <w:sz w:val="36"/>
          <w:szCs w:val="20"/>
          <w:highlight w:val="none"/>
        </w:rPr>
      </w:pPr>
    </w:p>
    <w:p w14:paraId="1BA15B7D">
      <w:pPr>
        <w:tabs>
          <w:tab w:val="left" w:pos="2472"/>
        </w:tabs>
        <w:spacing w:line="460" w:lineRule="exact"/>
        <w:jc w:val="center"/>
        <w:rPr>
          <w:b/>
          <w:color w:val="auto"/>
          <w:sz w:val="36"/>
          <w:szCs w:val="20"/>
          <w:highlight w:val="none"/>
        </w:rPr>
      </w:pPr>
    </w:p>
    <w:p w14:paraId="54F2BC49">
      <w:pPr>
        <w:tabs>
          <w:tab w:val="left" w:pos="2472"/>
        </w:tabs>
        <w:spacing w:line="460" w:lineRule="exact"/>
        <w:jc w:val="center"/>
        <w:outlineLvl w:val="0"/>
        <w:rPr>
          <w:b/>
          <w:color w:val="auto"/>
          <w:sz w:val="36"/>
          <w:szCs w:val="20"/>
          <w:highlight w:val="none"/>
        </w:rPr>
      </w:pPr>
      <w:bookmarkStart w:id="583" w:name="_Toc3493"/>
      <w:r>
        <w:rPr>
          <w:rFonts w:hint="eastAsia"/>
          <w:b/>
          <w:color w:val="auto"/>
          <w:sz w:val="36"/>
          <w:szCs w:val="20"/>
          <w:highlight w:val="none"/>
        </w:rPr>
        <w:t>第七章</w:t>
      </w:r>
      <w:r>
        <w:rPr>
          <w:b/>
          <w:color w:val="auto"/>
          <w:sz w:val="36"/>
          <w:szCs w:val="20"/>
          <w:highlight w:val="none"/>
        </w:rPr>
        <w:t xml:space="preserve"> </w:t>
      </w:r>
      <w:r>
        <w:rPr>
          <w:rFonts w:hint="eastAsia"/>
          <w:b/>
          <w:color w:val="auto"/>
          <w:sz w:val="36"/>
          <w:szCs w:val="20"/>
          <w:highlight w:val="none"/>
        </w:rPr>
        <w:t>质疑、投诉证明材料格式</w:t>
      </w:r>
      <w:bookmarkEnd w:id="583"/>
    </w:p>
    <w:p w14:paraId="1EF6AB1A">
      <w:pPr>
        <w:widowControl/>
        <w:spacing w:line="360" w:lineRule="auto"/>
        <w:jc w:val="left"/>
        <w:rPr>
          <w:color w:val="auto"/>
          <w:sz w:val="20"/>
          <w:highlight w:val="none"/>
        </w:rPr>
        <w:sectPr>
          <w:pgSz w:w="11906" w:h="16838"/>
          <w:pgMar w:top="1134" w:right="1134" w:bottom="1134" w:left="1134" w:header="720" w:footer="720" w:gutter="0"/>
          <w:cols w:space="720" w:num="1"/>
          <w:docGrid w:type="lines" w:linePitch="331" w:charSpace="0"/>
        </w:sectPr>
      </w:pPr>
    </w:p>
    <w:p w14:paraId="37F6BD72">
      <w:pPr>
        <w:rPr>
          <w:color w:val="auto"/>
          <w:highlight w:val="none"/>
        </w:rPr>
      </w:pPr>
    </w:p>
    <w:p w14:paraId="78FAE648">
      <w:pPr>
        <w:keepNext/>
        <w:keepLines/>
        <w:spacing w:before="260" w:after="260" w:line="413" w:lineRule="auto"/>
        <w:jc w:val="center"/>
        <w:outlineLvl w:val="1"/>
        <w:rPr>
          <w:rFonts w:hint="eastAsia" w:ascii="宋体" w:hAnsi="宋体" w:eastAsia="黑体"/>
          <w:color w:val="auto"/>
          <w:sz w:val="32"/>
          <w:szCs w:val="32"/>
          <w:highlight w:val="none"/>
        </w:rPr>
      </w:pPr>
      <w:bookmarkStart w:id="584" w:name="_Toc4418"/>
      <w:r>
        <w:rPr>
          <w:rFonts w:hint="eastAsia" w:ascii="宋体" w:hAnsi="宋体" w:eastAsia="黑体"/>
          <w:color w:val="auto"/>
          <w:sz w:val="32"/>
          <w:szCs w:val="32"/>
          <w:highlight w:val="none"/>
        </w:rPr>
        <w:t>第一节 质疑函（格式）</w:t>
      </w:r>
      <w:bookmarkEnd w:id="584"/>
    </w:p>
    <w:p w14:paraId="510C3C8C">
      <w:pPr>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质疑函范本</w:t>
      </w:r>
    </w:p>
    <w:p w14:paraId="21EA93EF">
      <w:pPr>
        <w:adjustRightInd w:val="0"/>
        <w:snapToGrid w:val="0"/>
        <w:spacing w:before="331" w:beforeLines="100" w:line="360" w:lineRule="auto"/>
        <w:rPr>
          <w:rFonts w:hint="eastAsia"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一、质疑供应商基本信息</w:t>
      </w:r>
    </w:p>
    <w:p w14:paraId="527656B0">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质疑供应商：</w:t>
      </w:r>
      <w:r>
        <w:rPr>
          <w:rFonts w:hint="eastAsia" w:ascii="仿宋" w:hAnsi="仿宋" w:eastAsia="仿宋" w:cs="仿宋"/>
          <w:color w:val="auto"/>
          <w:sz w:val="32"/>
          <w:szCs w:val="32"/>
          <w:highlight w:val="none"/>
          <w:u w:val="dotted"/>
        </w:rPr>
        <w:t xml:space="preserve">                                        </w:t>
      </w:r>
    </w:p>
    <w:p w14:paraId="17FCF462">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地址：</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14:paraId="0579AE04">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联系人：</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p>
    <w:p w14:paraId="1FF9B0EE">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授权代表：</w:t>
      </w:r>
      <w:r>
        <w:rPr>
          <w:rFonts w:hint="eastAsia" w:ascii="仿宋" w:hAnsi="仿宋" w:eastAsia="仿宋" w:cs="仿宋"/>
          <w:color w:val="auto"/>
          <w:sz w:val="32"/>
          <w:szCs w:val="32"/>
          <w:highlight w:val="none"/>
          <w:u w:val="dotted"/>
        </w:rPr>
        <w:t xml:space="preserve">                                          </w:t>
      </w:r>
    </w:p>
    <w:p w14:paraId="05995C76">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 xml:space="preserve"> </w:t>
      </w:r>
    </w:p>
    <w:p w14:paraId="52504267">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地址： </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14:paraId="7E23681E">
      <w:pPr>
        <w:adjustRightInd w:val="0"/>
        <w:snapToGrid w:val="0"/>
        <w:spacing w:line="360" w:lineRule="auto"/>
        <w:rPr>
          <w:rFonts w:hint="eastAsia"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二、质疑项目基本情况</w:t>
      </w:r>
    </w:p>
    <w:p w14:paraId="1E5D929E">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质疑项目的名称：</w:t>
      </w:r>
      <w:r>
        <w:rPr>
          <w:rFonts w:hint="eastAsia" w:ascii="仿宋" w:hAnsi="仿宋" w:eastAsia="仿宋" w:cs="仿宋"/>
          <w:color w:val="auto"/>
          <w:sz w:val="32"/>
          <w:szCs w:val="32"/>
          <w:highlight w:val="none"/>
          <w:u w:val="dotted"/>
        </w:rPr>
        <w:t xml:space="preserve">                          </w:t>
      </w:r>
    </w:p>
    <w:p w14:paraId="39E79674">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质疑项目的编号：</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包号：</w:t>
      </w:r>
      <w:r>
        <w:rPr>
          <w:rFonts w:hint="eastAsia" w:ascii="仿宋" w:hAnsi="仿宋" w:eastAsia="仿宋" w:cs="仿宋"/>
          <w:color w:val="auto"/>
          <w:sz w:val="32"/>
          <w:szCs w:val="32"/>
          <w:highlight w:val="none"/>
          <w:u w:val="dotted"/>
        </w:rPr>
        <w:t xml:space="preserve">                 </w:t>
      </w:r>
    </w:p>
    <w:p w14:paraId="1AB93130">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采购人名称：</w:t>
      </w:r>
      <w:r>
        <w:rPr>
          <w:rFonts w:hint="eastAsia" w:ascii="仿宋" w:hAnsi="仿宋" w:eastAsia="仿宋" w:cs="仿宋"/>
          <w:color w:val="auto"/>
          <w:sz w:val="32"/>
          <w:szCs w:val="32"/>
          <w:highlight w:val="none"/>
          <w:u w:val="dotted"/>
        </w:rPr>
        <w:t xml:space="preserve">                             </w:t>
      </w:r>
    </w:p>
    <w:p w14:paraId="2151F3C3">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采购文件获取日期：</w:t>
      </w:r>
      <w:r>
        <w:rPr>
          <w:rFonts w:hint="eastAsia" w:ascii="仿宋" w:hAnsi="仿宋" w:eastAsia="仿宋" w:cs="仿宋"/>
          <w:color w:val="auto"/>
          <w:sz w:val="32"/>
          <w:szCs w:val="32"/>
          <w:highlight w:val="none"/>
          <w:u w:val="dotted"/>
        </w:rPr>
        <w:t xml:space="preserve">                                           </w:t>
      </w:r>
    </w:p>
    <w:p w14:paraId="40616219">
      <w:pPr>
        <w:adjustRightInd w:val="0"/>
        <w:snapToGrid w:val="0"/>
        <w:spacing w:line="360" w:lineRule="auto"/>
        <w:rPr>
          <w:rFonts w:hint="eastAsia"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三、质疑事项具体内容</w:t>
      </w:r>
    </w:p>
    <w:p w14:paraId="19175CD6">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质疑事项1：</w:t>
      </w:r>
      <w:r>
        <w:rPr>
          <w:rFonts w:hint="eastAsia" w:ascii="仿宋" w:hAnsi="仿宋" w:eastAsia="仿宋" w:cs="仿宋"/>
          <w:color w:val="auto"/>
          <w:sz w:val="32"/>
          <w:szCs w:val="32"/>
          <w:highlight w:val="none"/>
          <w:u w:val="dotted"/>
        </w:rPr>
        <w:t xml:space="preserve">                                         </w:t>
      </w:r>
    </w:p>
    <w:p w14:paraId="21E72EFD">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事实依据：</w:t>
      </w:r>
      <w:r>
        <w:rPr>
          <w:rFonts w:hint="eastAsia" w:ascii="仿宋" w:hAnsi="仿宋" w:eastAsia="仿宋" w:cs="仿宋"/>
          <w:color w:val="auto"/>
          <w:sz w:val="32"/>
          <w:szCs w:val="32"/>
          <w:highlight w:val="none"/>
          <w:u w:val="dotted"/>
        </w:rPr>
        <w:t xml:space="preserve">                                          </w:t>
      </w:r>
    </w:p>
    <w:p w14:paraId="5B9A73C3">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u w:val="dotted"/>
        </w:rPr>
        <w:t xml:space="preserve">                                                       </w:t>
      </w:r>
    </w:p>
    <w:p w14:paraId="5A4188D2">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法律依据：</w:t>
      </w:r>
      <w:r>
        <w:rPr>
          <w:rFonts w:hint="eastAsia" w:ascii="仿宋" w:hAnsi="仿宋" w:eastAsia="仿宋" w:cs="仿宋"/>
          <w:color w:val="auto"/>
          <w:sz w:val="32"/>
          <w:szCs w:val="32"/>
          <w:highlight w:val="none"/>
          <w:u w:val="dotted"/>
        </w:rPr>
        <w:t xml:space="preserve">                                          </w:t>
      </w:r>
    </w:p>
    <w:p w14:paraId="7278E8E6">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u w:val="dotted"/>
        </w:rPr>
        <w:t xml:space="preserve">                                                     </w:t>
      </w:r>
    </w:p>
    <w:p w14:paraId="158B14D6">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质疑事项2</w:t>
      </w:r>
    </w:p>
    <w:p w14:paraId="00763189">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p w14:paraId="40967A46">
      <w:pPr>
        <w:adjustRightInd w:val="0"/>
        <w:snapToGrid w:val="0"/>
        <w:spacing w:line="360" w:lineRule="auto"/>
        <w:rPr>
          <w:rFonts w:hint="eastAsia"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四、与质疑事项相关的质疑请求</w:t>
      </w:r>
    </w:p>
    <w:p w14:paraId="54802DD1">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请求：</w:t>
      </w:r>
      <w:r>
        <w:rPr>
          <w:rFonts w:hint="eastAsia" w:ascii="仿宋" w:hAnsi="仿宋" w:eastAsia="仿宋" w:cs="仿宋"/>
          <w:color w:val="auto"/>
          <w:sz w:val="32"/>
          <w:szCs w:val="32"/>
          <w:highlight w:val="none"/>
          <w:u w:val="dotted"/>
        </w:rPr>
        <w:t xml:space="preserve">                                               </w:t>
      </w:r>
    </w:p>
    <w:p w14:paraId="630A29B0">
      <w:pPr>
        <w:rPr>
          <w:rFonts w:hint="eastAsia" w:ascii="仿宋_GB2312" w:eastAsia="仿宋_GB2312"/>
          <w:color w:val="auto"/>
          <w:sz w:val="30"/>
          <w:szCs w:val="30"/>
          <w:highlight w:val="none"/>
        </w:rPr>
      </w:pPr>
      <w:r>
        <w:rPr>
          <w:rFonts w:hint="eastAsia" w:ascii="仿宋_GB2312" w:eastAsia="仿宋_GB2312"/>
          <w:color w:val="auto"/>
          <w:sz w:val="30"/>
          <w:szCs w:val="30"/>
          <w:highlight w:val="none"/>
        </w:rPr>
        <w:t xml:space="preserve">签字(签章)：                   公章：                      </w:t>
      </w:r>
    </w:p>
    <w:p w14:paraId="3D301C6F">
      <w:pPr>
        <w:rPr>
          <w:rFonts w:hint="eastAsia" w:ascii="仿宋_GB2312" w:eastAsia="仿宋_GB2312"/>
          <w:color w:val="auto"/>
          <w:sz w:val="30"/>
          <w:szCs w:val="30"/>
          <w:highlight w:val="none"/>
        </w:rPr>
      </w:pPr>
      <w:r>
        <w:rPr>
          <w:rFonts w:hint="eastAsia" w:ascii="仿宋_GB2312" w:eastAsia="仿宋_GB2312"/>
          <w:color w:val="auto"/>
          <w:sz w:val="30"/>
          <w:szCs w:val="30"/>
          <w:highlight w:val="none"/>
        </w:rPr>
        <w:t xml:space="preserve">日期：    </w:t>
      </w:r>
    </w:p>
    <w:p w14:paraId="7967E484">
      <w:pPr>
        <w:adjustRightInd w:val="0"/>
        <w:snapToGrid w:val="0"/>
        <w:spacing w:line="360" w:lineRule="auto"/>
        <w:rPr>
          <w:rFonts w:hint="eastAsia" w:ascii="仿宋" w:hAnsi="仿宋" w:eastAsia="仿宋" w:cs="仿宋"/>
          <w:color w:val="auto"/>
          <w:sz w:val="32"/>
          <w:szCs w:val="32"/>
          <w:highlight w:val="none"/>
        </w:rPr>
      </w:pPr>
    </w:p>
    <w:p w14:paraId="6BC7873D">
      <w:pPr>
        <w:adjustRightInd w:val="0"/>
        <w:snapToGrid w:val="0"/>
        <w:spacing w:line="360" w:lineRule="auto"/>
        <w:rPr>
          <w:rFonts w:hint="eastAsia" w:ascii="仿宋" w:hAnsi="仿宋" w:eastAsia="仿宋" w:cs="仿宋"/>
          <w:color w:val="auto"/>
          <w:sz w:val="32"/>
          <w:szCs w:val="32"/>
          <w:highlight w:val="none"/>
        </w:rPr>
      </w:pPr>
    </w:p>
    <w:p w14:paraId="33F040BB">
      <w:pPr>
        <w:jc w:val="center"/>
        <w:rPr>
          <w:rFonts w:hint="eastAsia" w:ascii="仿宋" w:hAnsi="仿宋" w:eastAsia="仿宋" w:cs="仿宋"/>
          <w:b/>
          <w:bCs/>
          <w:color w:val="auto"/>
          <w:sz w:val="32"/>
          <w:szCs w:val="32"/>
          <w:highlight w:val="none"/>
        </w:rPr>
      </w:pPr>
    </w:p>
    <w:p w14:paraId="55ECD62C">
      <w:pPr>
        <w:jc w:val="center"/>
        <w:rPr>
          <w:rFonts w:hint="eastAsia" w:ascii="仿宋" w:hAnsi="仿宋" w:eastAsia="仿宋" w:cs="仿宋"/>
          <w:b/>
          <w:bCs/>
          <w:color w:val="auto"/>
          <w:sz w:val="32"/>
          <w:szCs w:val="32"/>
          <w:highlight w:val="none"/>
        </w:rPr>
      </w:pPr>
    </w:p>
    <w:p w14:paraId="5D074F55">
      <w:pPr>
        <w:jc w:val="center"/>
        <w:rPr>
          <w:rFonts w:hint="eastAsia" w:ascii="仿宋" w:hAnsi="仿宋" w:eastAsia="仿宋" w:cs="仿宋"/>
          <w:b/>
          <w:bCs/>
          <w:color w:val="auto"/>
          <w:sz w:val="32"/>
          <w:szCs w:val="32"/>
          <w:highlight w:val="none"/>
        </w:rPr>
      </w:pPr>
    </w:p>
    <w:p w14:paraId="01ECF8F7">
      <w:pPr>
        <w:jc w:val="center"/>
        <w:rPr>
          <w:rFonts w:hint="eastAsia" w:ascii="仿宋" w:hAnsi="仿宋" w:eastAsia="仿宋" w:cs="仿宋"/>
          <w:b/>
          <w:bCs/>
          <w:color w:val="auto"/>
          <w:sz w:val="32"/>
          <w:szCs w:val="32"/>
          <w:highlight w:val="none"/>
        </w:rPr>
      </w:pPr>
    </w:p>
    <w:p w14:paraId="0A1341CF">
      <w:pPr>
        <w:jc w:val="center"/>
        <w:rPr>
          <w:rFonts w:hint="eastAsia" w:ascii="仿宋" w:hAnsi="仿宋" w:eastAsia="仿宋" w:cs="仿宋"/>
          <w:b/>
          <w:bCs/>
          <w:color w:val="auto"/>
          <w:sz w:val="32"/>
          <w:szCs w:val="32"/>
          <w:highlight w:val="none"/>
        </w:rPr>
      </w:pPr>
    </w:p>
    <w:p w14:paraId="0F915086">
      <w:pPr>
        <w:jc w:val="center"/>
        <w:rPr>
          <w:rFonts w:hint="eastAsia" w:ascii="仿宋" w:hAnsi="仿宋" w:eastAsia="仿宋" w:cs="仿宋"/>
          <w:b/>
          <w:bCs/>
          <w:color w:val="auto"/>
          <w:sz w:val="32"/>
          <w:szCs w:val="32"/>
          <w:highlight w:val="none"/>
        </w:rPr>
      </w:pPr>
    </w:p>
    <w:p w14:paraId="30839002">
      <w:pPr>
        <w:jc w:val="center"/>
        <w:rPr>
          <w:rFonts w:hint="eastAsia" w:ascii="仿宋" w:hAnsi="仿宋" w:eastAsia="仿宋" w:cs="仿宋"/>
          <w:b/>
          <w:bCs/>
          <w:color w:val="auto"/>
          <w:sz w:val="32"/>
          <w:szCs w:val="32"/>
          <w:highlight w:val="none"/>
        </w:rPr>
      </w:pPr>
    </w:p>
    <w:p w14:paraId="7B500F73">
      <w:pPr>
        <w:rPr>
          <w:rFonts w:hint="eastAsia" w:ascii="黑体" w:hAnsi="黑体" w:eastAsia="黑体"/>
          <w:b/>
          <w:color w:val="auto"/>
          <w:sz w:val="32"/>
          <w:szCs w:val="32"/>
          <w:highlight w:val="none"/>
        </w:rPr>
      </w:pPr>
    </w:p>
    <w:p w14:paraId="5FE0F317">
      <w:pPr>
        <w:rPr>
          <w:rFonts w:hint="eastAsia" w:ascii="黑体" w:hAnsi="黑体" w:eastAsia="黑体"/>
          <w:b/>
          <w:color w:val="auto"/>
          <w:sz w:val="32"/>
          <w:szCs w:val="32"/>
          <w:highlight w:val="none"/>
        </w:rPr>
      </w:pPr>
    </w:p>
    <w:p w14:paraId="35EA2B86">
      <w:pPr>
        <w:rPr>
          <w:rFonts w:hint="eastAsia" w:ascii="黑体" w:hAnsi="黑体" w:eastAsia="黑体"/>
          <w:b/>
          <w:color w:val="auto"/>
          <w:sz w:val="32"/>
          <w:szCs w:val="32"/>
          <w:highlight w:val="none"/>
        </w:rPr>
      </w:pPr>
    </w:p>
    <w:p w14:paraId="16381AB9">
      <w:pPr>
        <w:rPr>
          <w:rFonts w:hint="eastAsia" w:ascii="黑体" w:hAnsi="黑体" w:eastAsia="黑体"/>
          <w:b/>
          <w:color w:val="auto"/>
          <w:sz w:val="32"/>
          <w:szCs w:val="32"/>
          <w:highlight w:val="none"/>
        </w:rPr>
      </w:pPr>
    </w:p>
    <w:p w14:paraId="1B5719F3">
      <w:pPr>
        <w:rPr>
          <w:rFonts w:hint="eastAsia" w:ascii="黑体" w:hAnsi="黑体" w:eastAsia="黑体"/>
          <w:b/>
          <w:color w:val="auto"/>
          <w:sz w:val="32"/>
          <w:szCs w:val="32"/>
          <w:highlight w:val="none"/>
        </w:rPr>
      </w:pPr>
    </w:p>
    <w:p w14:paraId="670D67A7">
      <w:pPr>
        <w:rPr>
          <w:rFonts w:hint="eastAsia" w:ascii="黑体" w:hAnsi="黑体" w:eastAsia="黑体"/>
          <w:b/>
          <w:color w:val="auto"/>
          <w:sz w:val="32"/>
          <w:szCs w:val="32"/>
          <w:highlight w:val="none"/>
        </w:rPr>
      </w:pPr>
    </w:p>
    <w:p w14:paraId="0091AE0D">
      <w:pPr>
        <w:rPr>
          <w:rFonts w:hint="eastAsia" w:ascii="黑体" w:hAnsi="黑体" w:eastAsia="黑体"/>
          <w:b/>
          <w:color w:val="auto"/>
          <w:sz w:val="32"/>
          <w:szCs w:val="32"/>
          <w:highlight w:val="none"/>
        </w:rPr>
      </w:pPr>
    </w:p>
    <w:p w14:paraId="6FD339D8">
      <w:pPr>
        <w:rPr>
          <w:rFonts w:hint="eastAsia" w:ascii="黑体" w:hAnsi="黑体" w:eastAsia="黑体"/>
          <w:b/>
          <w:color w:val="auto"/>
          <w:sz w:val="32"/>
          <w:szCs w:val="32"/>
          <w:highlight w:val="none"/>
        </w:rPr>
      </w:pPr>
    </w:p>
    <w:p w14:paraId="2229D516">
      <w:pPr>
        <w:rPr>
          <w:rFonts w:hint="eastAsia" w:ascii="黑体" w:hAnsi="黑体" w:eastAsia="黑体"/>
          <w:b/>
          <w:color w:val="auto"/>
          <w:sz w:val="32"/>
          <w:szCs w:val="32"/>
          <w:highlight w:val="none"/>
        </w:rPr>
      </w:pPr>
    </w:p>
    <w:p w14:paraId="592FC32E">
      <w:pPr>
        <w:rPr>
          <w:rFonts w:hint="eastAsia" w:ascii="黑体" w:hAnsi="黑体" w:eastAsia="黑体"/>
          <w:b/>
          <w:color w:val="auto"/>
          <w:sz w:val="32"/>
          <w:szCs w:val="32"/>
          <w:highlight w:val="none"/>
        </w:rPr>
      </w:pPr>
      <w:r>
        <w:rPr>
          <w:rFonts w:hint="eastAsia" w:ascii="黑体" w:hAnsi="黑体" w:eastAsia="黑体"/>
          <w:b/>
          <w:color w:val="auto"/>
          <w:sz w:val="32"/>
          <w:szCs w:val="32"/>
          <w:highlight w:val="none"/>
        </w:rPr>
        <w:t>质疑函制作说明：</w:t>
      </w:r>
    </w:p>
    <w:p w14:paraId="4B14AB82">
      <w:pPr>
        <w:widowControl/>
        <w:ind w:firstLine="640" w:firstLineChars="200"/>
        <w:jc w:val="left"/>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1.供应商提出质疑时，应提交质疑函和必要的证明材料。</w:t>
      </w:r>
    </w:p>
    <w:p w14:paraId="4A8D3E31">
      <w:pPr>
        <w:widowControl/>
        <w:ind w:firstLine="640" w:firstLineChars="200"/>
        <w:jc w:val="left"/>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2.质疑供应商若委托代理人进行质疑的，质疑函应按要求列明“授权代表”的有关内容，并在附件中提交由质疑</w:t>
      </w:r>
      <w:r>
        <w:rPr>
          <w:rFonts w:hint="eastAsia" w:ascii="仿宋_GB2312" w:hAnsi="宋体" w:eastAsia="仿宋_GB2312" w:cs="宋体"/>
          <w:color w:val="auto"/>
          <w:kern w:val="0"/>
          <w:sz w:val="32"/>
          <w:szCs w:val="32"/>
          <w:highlight w:val="none"/>
        </w:rPr>
        <w:t>供应商签署的授权委托书。授权委托书应载明代理人的姓名或者名称、代理事项、具体权限、期限和相关事项。</w:t>
      </w:r>
    </w:p>
    <w:p w14:paraId="1135A540">
      <w:pPr>
        <w:widowControl/>
        <w:ind w:firstLine="640" w:firstLineChars="200"/>
        <w:jc w:val="left"/>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3.质疑供应商若对项目的某一分包进行质疑，质疑函中应列明具体分包号。</w:t>
      </w:r>
    </w:p>
    <w:p w14:paraId="4E9521BC">
      <w:pPr>
        <w:widowControl/>
        <w:ind w:firstLine="640" w:firstLineChars="200"/>
        <w:jc w:val="left"/>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4.质疑函的质疑事项应具体、明确，并有必要的事实依据和法律依据。</w:t>
      </w:r>
    </w:p>
    <w:p w14:paraId="0CE38A43">
      <w:pPr>
        <w:widowControl/>
        <w:ind w:firstLine="640" w:firstLineChars="200"/>
        <w:jc w:val="left"/>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5.质疑函的质疑请求应与质疑事项相关。</w:t>
      </w:r>
    </w:p>
    <w:p w14:paraId="19AD6D4D">
      <w:pPr>
        <w:widowControl/>
        <w:ind w:firstLine="640" w:firstLineChars="200"/>
        <w:jc w:val="left"/>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p w14:paraId="4F56E7F6">
      <w:pPr>
        <w:widowControl/>
        <w:ind w:firstLine="600" w:firstLineChars="200"/>
        <w:jc w:val="left"/>
        <w:rPr>
          <w:rFonts w:hint="eastAsia" w:ascii="仿宋_GB2312" w:eastAsia="仿宋_GB2312"/>
          <w:color w:val="auto"/>
          <w:sz w:val="30"/>
          <w:szCs w:val="30"/>
          <w:highlight w:val="none"/>
        </w:rPr>
      </w:pPr>
    </w:p>
    <w:p w14:paraId="0E5187F2">
      <w:pPr>
        <w:widowControl/>
        <w:spacing w:line="360" w:lineRule="auto"/>
        <w:jc w:val="left"/>
        <w:rPr>
          <w:rFonts w:ascii="ˎ̥" w:hAnsi="ˎ̥" w:cs="宋体"/>
          <w:color w:val="auto"/>
          <w:kern w:val="0"/>
          <w:sz w:val="24"/>
          <w:highlight w:val="none"/>
        </w:rPr>
        <w:sectPr>
          <w:pgSz w:w="11906" w:h="16838"/>
          <w:pgMar w:top="1134" w:right="1134" w:bottom="1134" w:left="1134" w:header="720" w:footer="720" w:gutter="0"/>
          <w:cols w:space="720" w:num="1"/>
          <w:docGrid w:type="lines" w:linePitch="331" w:charSpace="0"/>
        </w:sectPr>
      </w:pPr>
    </w:p>
    <w:p w14:paraId="52A288BD">
      <w:pPr>
        <w:keepNext/>
        <w:keepLines/>
        <w:spacing w:before="260" w:after="260" w:line="413" w:lineRule="auto"/>
        <w:jc w:val="center"/>
        <w:outlineLvl w:val="1"/>
        <w:rPr>
          <w:rFonts w:hint="eastAsia" w:ascii="宋体" w:hAnsi="宋体" w:eastAsia="黑体"/>
          <w:color w:val="auto"/>
          <w:sz w:val="32"/>
          <w:szCs w:val="32"/>
          <w:highlight w:val="none"/>
        </w:rPr>
      </w:pPr>
      <w:bookmarkStart w:id="585" w:name="_Toc30522"/>
      <w:r>
        <w:rPr>
          <w:rFonts w:hint="eastAsia" w:ascii="宋体" w:hAnsi="宋体" w:eastAsia="黑体"/>
          <w:color w:val="auto"/>
          <w:sz w:val="32"/>
          <w:szCs w:val="32"/>
          <w:highlight w:val="none"/>
        </w:rPr>
        <w:t>第二节 投诉书（格式）</w:t>
      </w:r>
      <w:bookmarkEnd w:id="585"/>
    </w:p>
    <w:p w14:paraId="51EE304F">
      <w:pPr>
        <w:jc w:val="center"/>
        <w:rPr>
          <w:rFonts w:hint="eastAsia" w:ascii="宋体" w:hAnsi="宋体"/>
          <w:b/>
          <w:color w:val="auto"/>
          <w:sz w:val="44"/>
          <w:szCs w:val="44"/>
          <w:highlight w:val="none"/>
        </w:rPr>
      </w:pPr>
      <w:r>
        <w:rPr>
          <w:rFonts w:hint="eastAsia" w:ascii="宋体" w:hAnsi="宋体"/>
          <w:b/>
          <w:color w:val="auto"/>
          <w:sz w:val="44"/>
          <w:szCs w:val="44"/>
          <w:highlight w:val="none"/>
        </w:rPr>
        <w:t>投诉书范本</w:t>
      </w:r>
    </w:p>
    <w:p w14:paraId="79EA409F">
      <w:pPr>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一、投诉相关主体基本情况</w:t>
      </w:r>
    </w:p>
    <w:p w14:paraId="7467465E">
      <w:pPr>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rPr>
        <w:t>投诉人：</w:t>
      </w:r>
      <w:r>
        <w:rPr>
          <w:rFonts w:hint="eastAsia" w:ascii="仿宋_GB2312" w:eastAsia="仿宋_GB2312"/>
          <w:color w:val="auto"/>
          <w:sz w:val="32"/>
          <w:szCs w:val="32"/>
          <w:highlight w:val="none"/>
          <w:u w:val="dotted"/>
        </w:rPr>
        <w:t xml:space="preserve">                                               </w:t>
      </w:r>
    </w:p>
    <w:p w14:paraId="0CB4F667">
      <w:pPr>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地     址：</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邮编：</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u w:val="single"/>
        </w:rPr>
        <w:t xml:space="preserve">   </w:t>
      </w:r>
    </w:p>
    <w:p w14:paraId="2B7B64D5">
      <w:pPr>
        <w:tabs>
          <w:tab w:val="left" w:pos="6510"/>
        </w:tabs>
        <w:jc w:val="left"/>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法定代表人/主要负责人：</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 xml:space="preserve">  </w:t>
      </w:r>
    </w:p>
    <w:p w14:paraId="7035E114">
      <w:pPr>
        <w:tabs>
          <w:tab w:val="left" w:pos="6510"/>
        </w:tabs>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rPr>
        <w:t>联系电话：</w:t>
      </w:r>
      <w:r>
        <w:rPr>
          <w:rFonts w:hint="eastAsia" w:ascii="仿宋_GB2312" w:eastAsia="仿宋_GB2312"/>
          <w:color w:val="auto"/>
          <w:sz w:val="32"/>
          <w:szCs w:val="32"/>
          <w:highlight w:val="none"/>
          <w:u w:val="dotted"/>
        </w:rPr>
        <w:t xml:space="preserve">                                             </w:t>
      </w:r>
    </w:p>
    <w:p w14:paraId="57E2DB22">
      <w:pPr>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rPr>
        <w:t>授权代表：</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联系电话</w:t>
      </w:r>
      <w:r>
        <w:rPr>
          <w:rFonts w:hint="eastAsia" w:ascii="仿宋_GB2312" w:eastAsia="仿宋_GB2312"/>
          <w:color w:val="auto"/>
          <w:sz w:val="32"/>
          <w:szCs w:val="32"/>
          <w:highlight w:val="none"/>
          <w:u w:val="dotted"/>
        </w:rPr>
        <w:t xml:space="preserve">：                  </w:t>
      </w:r>
    </w:p>
    <w:p w14:paraId="1252652E">
      <w:pPr>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rPr>
        <w:t>地     址：</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邮编：</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u w:val="single"/>
        </w:rPr>
        <w:t xml:space="preserve"> </w:t>
      </w:r>
      <w:r>
        <w:rPr>
          <w:rFonts w:hint="eastAsia" w:ascii="仿宋_GB2312" w:eastAsia="仿宋_GB2312"/>
          <w:color w:val="auto"/>
          <w:sz w:val="32"/>
          <w:szCs w:val="32"/>
          <w:highlight w:val="none"/>
          <w:u w:val="dotted"/>
        </w:rPr>
        <w:t xml:space="preserve">                   </w:t>
      </w:r>
    </w:p>
    <w:p w14:paraId="3654F7D6">
      <w:pPr>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被投诉人1：</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u w:val="single"/>
        </w:rPr>
        <w:t xml:space="preserve">  </w:t>
      </w:r>
    </w:p>
    <w:p w14:paraId="531E9BD6">
      <w:pPr>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地     址：</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邮编：</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u w:val="single"/>
        </w:rPr>
        <w:t xml:space="preserve"> </w:t>
      </w:r>
    </w:p>
    <w:p w14:paraId="7BA5F533">
      <w:pPr>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联系人：</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联系电话：</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u w:val="single"/>
        </w:rPr>
        <w:t xml:space="preserve"> </w:t>
      </w:r>
    </w:p>
    <w:p w14:paraId="27108141">
      <w:pPr>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被投诉人2</w:t>
      </w:r>
    </w:p>
    <w:p w14:paraId="14D8D4D5">
      <w:pPr>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rPr>
        <w:t>……</w:t>
      </w:r>
    </w:p>
    <w:p w14:paraId="5747A0A1">
      <w:pPr>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相关供应商：</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u w:val="single"/>
        </w:rPr>
        <w:t xml:space="preserve">    </w:t>
      </w:r>
    </w:p>
    <w:p w14:paraId="544AD9D7">
      <w:pPr>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地     址：</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邮编：</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u w:val="single"/>
        </w:rPr>
        <w:t xml:space="preserve"> </w:t>
      </w:r>
    </w:p>
    <w:p w14:paraId="1B81575F">
      <w:pPr>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联系人：</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联系电话：</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u w:val="single"/>
        </w:rPr>
        <w:t xml:space="preserve">      </w:t>
      </w:r>
    </w:p>
    <w:p w14:paraId="2B41F354">
      <w:pPr>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二、投诉项目基本情况</w:t>
      </w:r>
    </w:p>
    <w:p w14:paraId="76430CC1">
      <w:pPr>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rPr>
        <w:t>采购项目名称：</w:t>
      </w:r>
      <w:r>
        <w:rPr>
          <w:rFonts w:hint="eastAsia" w:ascii="仿宋_GB2312" w:eastAsia="仿宋_GB2312"/>
          <w:color w:val="auto"/>
          <w:sz w:val="32"/>
          <w:szCs w:val="32"/>
          <w:highlight w:val="none"/>
          <w:u w:val="dotted"/>
        </w:rPr>
        <w:t xml:space="preserve">                             </w:t>
      </w:r>
    </w:p>
    <w:p w14:paraId="09E41E22">
      <w:pPr>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采购项目编号：</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包号：</w:t>
      </w:r>
      <w:r>
        <w:rPr>
          <w:rFonts w:hint="eastAsia" w:ascii="仿宋_GB2312" w:eastAsia="仿宋_GB2312"/>
          <w:color w:val="auto"/>
          <w:sz w:val="32"/>
          <w:szCs w:val="32"/>
          <w:highlight w:val="none"/>
          <w:u w:val="dotted"/>
        </w:rPr>
        <w:t xml:space="preserve">              </w:t>
      </w:r>
    </w:p>
    <w:p w14:paraId="623611C1">
      <w:pPr>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采购人名称：</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u w:val="single"/>
        </w:rPr>
        <w:t xml:space="preserve">  </w:t>
      </w:r>
    </w:p>
    <w:p w14:paraId="11B5B018">
      <w:pPr>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代理机构名称：</w:t>
      </w:r>
      <w:r>
        <w:rPr>
          <w:rFonts w:hint="eastAsia" w:ascii="仿宋_GB2312" w:eastAsia="仿宋_GB2312"/>
          <w:color w:val="auto"/>
          <w:sz w:val="32"/>
          <w:szCs w:val="32"/>
          <w:highlight w:val="none"/>
          <w:u w:val="dotted"/>
        </w:rPr>
        <w:t xml:space="preserve">                                         </w:t>
      </w:r>
    </w:p>
    <w:p w14:paraId="7A6C2232">
      <w:pPr>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rPr>
        <w:t>采购文件公告：</w:t>
      </w:r>
      <w:r>
        <w:rPr>
          <w:rFonts w:hint="eastAsia" w:ascii="仿宋_GB2312" w:eastAsia="仿宋_GB2312"/>
          <w:color w:val="auto"/>
          <w:sz w:val="32"/>
          <w:szCs w:val="32"/>
          <w:highlight w:val="none"/>
          <w:u w:val="dotted"/>
        </w:rPr>
        <w:t xml:space="preserve">是/否 </w:t>
      </w:r>
      <w:r>
        <w:rPr>
          <w:rFonts w:hint="eastAsia" w:ascii="仿宋_GB2312" w:eastAsia="仿宋_GB2312"/>
          <w:color w:val="auto"/>
          <w:sz w:val="32"/>
          <w:szCs w:val="32"/>
          <w:highlight w:val="none"/>
        </w:rPr>
        <w:t>公告期限：</w:t>
      </w:r>
      <w:r>
        <w:rPr>
          <w:rFonts w:hint="eastAsia" w:ascii="仿宋_GB2312" w:eastAsia="仿宋_GB2312"/>
          <w:color w:val="auto"/>
          <w:sz w:val="32"/>
          <w:szCs w:val="32"/>
          <w:highlight w:val="none"/>
          <w:u w:val="dotted"/>
        </w:rPr>
        <w:t xml:space="preserve">                                 </w:t>
      </w:r>
    </w:p>
    <w:p w14:paraId="11124BA7">
      <w:pPr>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采购结果公告：</w:t>
      </w:r>
      <w:r>
        <w:rPr>
          <w:rFonts w:hint="eastAsia" w:ascii="仿宋_GB2312" w:eastAsia="仿宋_GB2312"/>
          <w:color w:val="auto"/>
          <w:sz w:val="32"/>
          <w:szCs w:val="32"/>
          <w:highlight w:val="none"/>
          <w:u w:val="dotted"/>
        </w:rPr>
        <w:t xml:space="preserve">是/否 </w:t>
      </w:r>
      <w:r>
        <w:rPr>
          <w:rFonts w:hint="eastAsia" w:ascii="仿宋_GB2312" w:eastAsia="仿宋_GB2312"/>
          <w:color w:val="auto"/>
          <w:sz w:val="32"/>
          <w:szCs w:val="32"/>
          <w:highlight w:val="none"/>
        </w:rPr>
        <w:t>公告期限：</w:t>
      </w:r>
      <w:r>
        <w:rPr>
          <w:rFonts w:hint="eastAsia" w:ascii="仿宋_GB2312" w:eastAsia="仿宋_GB2312"/>
          <w:color w:val="auto"/>
          <w:sz w:val="32"/>
          <w:szCs w:val="32"/>
          <w:highlight w:val="none"/>
          <w:u w:val="dotted"/>
        </w:rPr>
        <w:t xml:space="preserve">                        </w:t>
      </w:r>
    </w:p>
    <w:p w14:paraId="46250C58">
      <w:pPr>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三、质疑基本情况</w:t>
      </w:r>
    </w:p>
    <w:p w14:paraId="22DE9517">
      <w:pPr>
        <w:ind w:firstLine="640" w:firstLineChars="200"/>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rPr>
        <w:t>投诉人于</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月</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日,向</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提出质疑，质疑事项为：</w:t>
      </w:r>
      <w:r>
        <w:rPr>
          <w:rFonts w:hint="eastAsia" w:ascii="仿宋_GB2312" w:eastAsia="仿宋_GB2312"/>
          <w:color w:val="auto"/>
          <w:sz w:val="32"/>
          <w:szCs w:val="32"/>
          <w:highlight w:val="none"/>
          <w:u w:val="dotted"/>
        </w:rPr>
        <w:t xml:space="preserve">                                </w:t>
      </w:r>
    </w:p>
    <w:p w14:paraId="26AAEB66">
      <w:pPr>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 xml:space="preserve">  </w:t>
      </w:r>
    </w:p>
    <w:p w14:paraId="712A33CD">
      <w:pPr>
        <w:ind w:firstLine="480" w:firstLineChars="150"/>
        <w:rPr>
          <w:rFonts w:hint="eastAsia" w:ascii="仿宋_GB2312" w:eastAsia="仿宋_GB2312"/>
          <w:color w:val="auto"/>
          <w:sz w:val="32"/>
          <w:szCs w:val="32"/>
          <w:highlight w:val="none"/>
        </w:rPr>
      </w:pPr>
      <w:r>
        <w:rPr>
          <w:rFonts w:hint="eastAsia" w:ascii="仿宋_GB2312" w:eastAsia="仿宋_GB2312"/>
          <w:color w:val="auto"/>
          <w:sz w:val="32"/>
          <w:szCs w:val="32"/>
          <w:highlight w:val="none"/>
          <w:u w:val="dotted"/>
        </w:rPr>
        <w:t>采购人/代理机构</w:t>
      </w:r>
      <w:r>
        <w:rPr>
          <w:rFonts w:hint="eastAsia" w:ascii="仿宋_GB2312" w:eastAsia="仿宋_GB2312"/>
          <w:color w:val="auto"/>
          <w:sz w:val="32"/>
          <w:szCs w:val="32"/>
          <w:highlight w:val="none"/>
        </w:rPr>
        <w:t>于</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月</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日,就质疑事项作出了答复/没有在法定期限内作出答复。</w:t>
      </w:r>
    </w:p>
    <w:p w14:paraId="448550D4">
      <w:pPr>
        <w:rPr>
          <w:rFonts w:hint="eastAsia" w:ascii="黑体" w:hAnsi="黑体" w:eastAsia="黑体"/>
          <w:color w:val="auto"/>
          <w:sz w:val="32"/>
          <w:szCs w:val="32"/>
          <w:highlight w:val="none"/>
        </w:rPr>
      </w:pPr>
      <w:r>
        <w:rPr>
          <w:rFonts w:hint="eastAsia" w:ascii="黑体" w:hAnsi="黑体" w:eastAsia="黑体"/>
          <w:color w:val="auto"/>
          <w:sz w:val="32"/>
          <w:szCs w:val="32"/>
          <w:highlight w:val="none"/>
        </w:rPr>
        <w:t>四、投诉事项具体内容</w:t>
      </w:r>
    </w:p>
    <w:p w14:paraId="63439474">
      <w:pPr>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投诉事项 1：</w:t>
      </w:r>
      <w:r>
        <w:rPr>
          <w:rFonts w:hint="eastAsia" w:ascii="仿宋_GB2312" w:eastAsia="仿宋_GB2312"/>
          <w:color w:val="auto"/>
          <w:sz w:val="32"/>
          <w:szCs w:val="32"/>
          <w:highlight w:val="none"/>
          <w:u w:val="dotted"/>
        </w:rPr>
        <w:t xml:space="preserve">                                       </w:t>
      </w:r>
    </w:p>
    <w:p w14:paraId="7F488104">
      <w:pPr>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事实依据：</w:t>
      </w:r>
      <w:r>
        <w:rPr>
          <w:rFonts w:hint="eastAsia" w:ascii="仿宋_GB2312" w:eastAsia="仿宋_GB2312"/>
          <w:color w:val="auto"/>
          <w:sz w:val="32"/>
          <w:szCs w:val="32"/>
          <w:highlight w:val="none"/>
          <w:u w:val="dotted"/>
        </w:rPr>
        <w:t xml:space="preserve">                                         </w:t>
      </w:r>
    </w:p>
    <w:p w14:paraId="2895824D">
      <w:pPr>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u w:val="dotted"/>
        </w:rPr>
        <w:t xml:space="preserve">                                                      </w:t>
      </w:r>
    </w:p>
    <w:p w14:paraId="638D5418">
      <w:pPr>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法律依据：</w:t>
      </w:r>
      <w:r>
        <w:rPr>
          <w:rFonts w:hint="eastAsia" w:ascii="仿宋_GB2312" w:eastAsia="仿宋_GB2312"/>
          <w:color w:val="auto"/>
          <w:sz w:val="32"/>
          <w:szCs w:val="32"/>
          <w:highlight w:val="none"/>
          <w:u w:val="dotted"/>
        </w:rPr>
        <w:t xml:space="preserve">                                          </w:t>
      </w:r>
    </w:p>
    <w:p w14:paraId="36AEE0B0">
      <w:pPr>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u w:val="dotted"/>
        </w:rPr>
        <w:t xml:space="preserve">                                                      </w:t>
      </w:r>
    </w:p>
    <w:p w14:paraId="2C7CD9B4">
      <w:pPr>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投诉事项2</w:t>
      </w:r>
    </w:p>
    <w:p w14:paraId="4002AE51">
      <w:pPr>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rPr>
        <w:t>……</w:t>
      </w:r>
    </w:p>
    <w:p w14:paraId="2FA94B39">
      <w:pPr>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五、与投诉事项相关的投诉请求</w:t>
      </w:r>
    </w:p>
    <w:p w14:paraId="63B4B7B7">
      <w:pPr>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请求：</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 xml:space="preserve"> </w:t>
      </w:r>
    </w:p>
    <w:p w14:paraId="5997DBCD">
      <w:pPr>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 xml:space="preserve">                                                                                                    </w:t>
      </w:r>
    </w:p>
    <w:p w14:paraId="5F340EDC">
      <w:pPr>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签字(签章)：                   公章：                      </w:t>
      </w:r>
    </w:p>
    <w:p w14:paraId="557A807D">
      <w:pPr>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日期：    </w:t>
      </w:r>
    </w:p>
    <w:p w14:paraId="588669A5">
      <w:pPr>
        <w:rPr>
          <w:rFonts w:hint="eastAsia" w:ascii="黑体" w:hAnsi="黑体" w:eastAsia="黑体"/>
          <w:b/>
          <w:color w:val="auto"/>
          <w:sz w:val="32"/>
          <w:szCs w:val="32"/>
          <w:highlight w:val="none"/>
        </w:rPr>
      </w:pPr>
    </w:p>
    <w:p w14:paraId="4593AA7F">
      <w:pPr>
        <w:rPr>
          <w:rFonts w:hint="eastAsia" w:ascii="黑体" w:hAnsi="黑体" w:eastAsia="黑体"/>
          <w:b/>
          <w:color w:val="auto"/>
          <w:sz w:val="32"/>
          <w:szCs w:val="32"/>
          <w:highlight w:val="none"/>
        </w:rPr>
      </w:pPr>
      <w:r>
        <w:rPr>
          <w:rFonts w:hint="eastAsia" w:ascii="黑体" w:hAnsi="黑体" w:eastAsia="黑体"/>
          <w:b/>
          <w:color w:val="auto"/>
          <w:sz w:val="32"/>
          <w:szCs w:val="32"/>
          <w:highlight w:val="none"/>
        </w:rPr>
        <w:t>投诉书制作说明：</w:t>
      </w:r>
    </w:p>
    <w:p w14:paraId="0B6D876D">
      <w:pPr>
        <w:widowControl/>
        <w:ind w:firstLine="640" w:firstLineChars="200"/>
        <w:rPr>
          <w:rFonts w:hint="eastAsia" w:ascii="仿宋_GB2312" w:hAnsi="宋体" w:eastAsia="仿宋_GB2312" w:cs="宋体"/>
          <w:color w:val="auto"/>
          <w:kern w:val="0"/>
          <w:sz w:val="32"/>
          <w:szCs w:val="32"/>
          <w:highlight w:val="none"/>
        </w:rPr>
      </w:pPr>
      <w:r>
        <w:rPr>
          <w:rFonts w:hint="eastAsia" w:ascii="仿宋_GB2312" w:eastAsia="仿宋_GB2312"/>
          <w:color w:val="auto"/>
          <w:sz w:val="32"/>
          <w:szCs w:val="32"/>
          <w:highlight w:val="none"/>
        </w:rPr>
        <w:t>1.投诉人提起投诉时，应当提交投诉书和必要的证明材料，并按照被投诉人和与投诉事项有关的供应商数量提供投诉书副本。</w:t>
      </w:r>
    </w:p>
    <w:p w14:paraId="4DF16721">
      <w:pPr>
        <w:widowControl/>
        <w:ind w:firstLine="640" w:firstLineChars="200"/>
        <w:jc w:val="left"/>
        <w:rPr>
          <w:rFonts w:hint="eastAsia" w:ascii="仿宋_GB2312" w:hAnsi="宋体" w:eastAsia="仿宋_GB2312" w:cs="宋体"/>
          <w:color w:val="auto"/>
          <w:kern w:val="0"/>
          <w:sz w:val="32"/>
          <w:szCs w:val="32"/>
          <w:highlight w:val="none"/>
        </w:rPr>
      </w:pPr>
      <w:r>
        <w:rPr>
          <w:rFonts w:hint="eastAsia" w:ascii="仿宋_GB2312" w:eastAsia="仿宋_GB2312"/>
          <w:color w:val="auto"/>
          <w:sz w:val="32"/>
          <w:szCs w:val="32"/>
          <w:highlight w:val="none"/>
        </w:rPr>
        <w:t>2.投诉人若委托代理人进行投诉的，投诉书应按照要求列明“授权代表”的有关内容，并在附件中提交由</w:t>
      </w:r>
      <w:r>
        <w:rPr>
          <w:rFonts w:hint="eastAsia" w:ascii="仿宋_GB2312" w:hAnsi="宋体" w:eastAsia="仿宋_GB2312" w:cs="宋体"/>
          <w:color w:val="auto"/>
          <w:kern w:val="0"/>
          <w:sz w:val="32"/>
          <w:szCs w:val="32"/>
          <w:highlight w:val="none"/>
        </w:rPr>
        <w:t>投诉人签署的授权委托书。授权委托书应当载明代理人的姓名或者名称、代理事项、具体权限、期限和相关事项。</w:t>
      </w:r>
    </w:p>
    <w:p w14:paraId="0F8CA1EC">
      <w:pPr>
        <w:widowControl/>
        <w:ind w:firstLine="640" w:firstLineChars="200"/>
        <w:jc w:val="left"/>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3.投诉人若对项目的某一分包进行投诉，投诉书应列明具体分包号。</w:t>
      </w:r>
    </w:p>
    <w:p w14:paraId="4D0DDE47">
      <w:pPr>
        <w:widowControl/>
        <w:ind w:firstLine="640" w:firstLineChars="200"/>
        <w:jc w:val="left"/>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4.投诉书应简要列明质疑事项，质疑函、质疑答复等作为附件材料提供。</w:t>
      </w:r>
    </w:p>
    <w:p w14:paraId="2EADCE28">
      <w:pPr>
        <w:widowControl/>
        <w:ind w:firstLine="640" w:firstLineChars="200"/>
        <w:jc w:val="left"/>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5.投诉书的投诉事项应具体、明确，并有必要的事实依据和法律依据。</w:t>
      </w:r>
    </w:p>
    <w:p w14:paraId="602218F6">
      <w:pPr>
        <w:widowControl/>
        <w:ind w:firstLine="640" w:firstLineChars="200"/>
        <w:jc w:val="left"/>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6.投诉书的投诉请求应与投诉事项相关。</w:t>
      </w:r>
    </w:p>
    <w:p w14:paraId="151A53FC">
      <w:pPr>
        <w:widowControl/>
        <w:ind w:firstLine="640" w:firstLineChars="200"/>
        <w:jc w:val="left"/>
        <w:rPr>
          <w:rFonts w:hint="eastAsia" w:ascii="仿宋_GB2312" w:hAnsi="宋体" w:eastAsia="仿宋_GB2312" w:cs="宋体"/>
          <w:color w:val="auto"/>
          <w:kern w:val="0"/>
          <w:sz w:val="32"/>
          <w:szCs w:val="32"/>
          <w:highlight w:val="none"/>
        </w:rPr>
      </w:pPr>
      <w:r>
        <w:rPr>
          <w:rFonts w:hint="eastAsia" w:ascii="仿宋_GB2312" w:eastAsia="仿宋_GB2312"/>
          <w:color w:val="auto"/>
          <w:sz w:val="32"/>
          <w:szCs w:val="32"/>
          <w:highlight w:val="none"/>
        </w:rPr>
        <w:t>7.投诉人为自然人的，投诉书应当由本人签字；投诉人为法人或者其他组织的，投诉书应当由法定代表人、主要负责人，或者其授权代表签字或者盖章，并加盖公章。</w:t>
      </w:r>
    </w:p>
    <w:p w14:paraId="6CBE84DC">
      <w:pPr>
        <w:snapToGrid w:val="0"/>
        <w:spacing w:before="50" w:after="165" w:afterLines="50" w:line="360" w:lineRule="auto"/>
        <w:ind w:firstLine="480" w:firstLineChars="200"/>
        <w:jc w:val="left"/>
        <w:rPr>
          <w:rFonts w:hint="eastAsia"/>
          <w:color w:val="auto"/>
          <w:sz w:val="24"/>
          <w:highlight w:val="none"/>
        </w:rPr>
      </w:pPr>
    </w:p>
    <w:p w14:paraId="55859E9C">
      <w:pPr>
        <w:rPr>
          <w:rFonts w:hint="eastAsia"/>
          <w:color w:val="auto"/>
          <w:highlight w:val="none"/>
        </w:rPr>
      </w:pPr>
    </w:p>
    <w:p w14:paraId="14E43066">
      <w:pPr>
        <w:rPr>
          <w:rFonts w:hint="eastAsia"/>
          <w:color w:val="auto"/>
          <w:highlight w:val="none"/>
        </w:rPr>
      </w:pPr>
    </w:p>
    <w:sectPr>
      <w:footerReference r:id="rId8" w:type="first"/>
      <w:headerReference r:id="rId5" w:type="default"/>
      <w:footerReference r:id="rId6" w:type="default"/>
      <w:footerReference r:id="rId7" w:type="even"/>
      <w:pgSz w:w="11906" w:h="16838"/>
      <w:pgMar w:top="1134" w:right="1134" w:bottom="1134" w:left="1134" w:header="720" w:footer="720" w:gutter="0"/>
      <w:cols w:space="720"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82261DD-ECBB-4992-9E05-B1D158E3B717}"/>
  </w:font>
  <w:font w:name="黑体">
    <w:panose1 w:val="02010609060101010101"/>
    <w:charset w:val="86"/>
    <w:family w:val="auto"/>
    <w:pitch w:val="default"/>
    <w:sig w:usb0="800002BF" w:usb1="38CF7CFA" w:usb2="00000016" w:usb3="00000000" w:csb0="00040001" w:csb1="00000000"/>
    <w:embedRegular r:id="rId2" w:fontKey="{E44C0161-1024-4E62-A652-FBE4E166AB2E}"/>
  </w:font>
  <w:font w:name="Courier New">
    <w:panose1 w:val="02070309020205020404"/>
    <w:charset w:val="01"/>
    <w:family w:val="modern"/>
    <w:pitch w:val="default"/>
    <w:sig w:usb0="E0002EFF" w:usb1="C0007843" w:usb2="00000009" w:usb3="00000000" w:csb0="400001FF" w:csb1="FFFF0000"/>
    <w:embedRegular r:id="rId3" w:fontKey="{13A7A735-4F98-49A2-B0B0-FB9689603141}"/>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12F973AE-8FD7-4ADE-8D47-C71A90F7487F}"/>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embedRegular r:id="rId5" w:fontKey="{ED1EB9F9-1C30-4303-9414-018E9A7F5DFA}"/>
  </w:font>
  <w:font w:name="仿宋">
    <w:panose1 w:val="02010609060101010101"/>
    <w:charset w:val="86"/>
    <w:family w:val="modern"/>
    <w:pitch w:val="default"/>
    <w:sig w:usb0="800002BF" w:usb1="38CF7CFA" w:usb2="00000016" w:usb3="00000000" w:csb0="00040001" w:csb1="00000000"/>
    <w:embedRegular r:id="rId6" w:fontKey="{34341F33-A328-48AD-A0D3-67C82195C01B}"/>
  </w:font>
  <w:font w:name="Tahoma">
    <w:panose1 w:val="020B0604030504040204"/>
    <w:charset w:val="00"/>
    <w:family w:val="swiss"/>
    <w:pitch w:val="default"/>
    <w:sig w:usb0="E1002EFF" w:usb1="C000605B" w:usb2="00000029" w:usb3="00000000" w:csb0="200101FF" w:csb1="20280000"/>
  </w:font>
  <w:font w:name="DejaVu Sans">
    <w:altName w:val="Segoe Print"/>
    <w:panose1 w:val="020B0603030804020204"/>
    <w:charset w:val="00"/>
    <w:family w:val="auto"/>
    <w:pitch w:val="default"/>
    <w:sig w:usb0="00000000" w:usb1="00000000" w:usb2="0A246029" w:usb3="0400200C" w:csb0="600001FF" w:csb1="DFFF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embedRegular r:id="rId7" w:fontKey="{BE80B975-DFFB-4814-ACCA-7F3FA5EA3467}"/>
  </w:font>
  <w:font w:name="微软雅黑">
    <w:panose1 w:val="020B0503020204020204"/>
    <w:charset w:val="86"/>
    <w:family w:val="swiss"/>
    <w:pitch w:val="default"/>
    <w:sig w:usb0="80000287" w:usb1="2ACF3C50" w:usb2="00000016" w:usb3="00000000" w:csb0="0004001F" w:csb1="00000000"/>
    <w:embedRegular r:id="rId8" w:fontKey="{94DFAADE-62F7-4034-9024-D028E5398269}"/>
  </w:font>
  <w:font w:name="Arial Unicode MS">
    <w:panose1 w:val="020B0604020202020204"/>
    <w:charset w:val="86"/>
    <w:family w:val="swiss"/>
    <w:pitch w:val="default"/>
    <w:sig w:usb0="FFFFFFFF" w:usb1="E9FFFFFF" w:usb2="0000003F" w:usb3="00000000" w:csb0="603F01FF" w:csb1="FFFF0000"/>
    <w:embedRegular r:id="rId9" w:fontKey="{103F0094-565E-4915-9B08-039989869194}"/>
  </w:font>
  <w:font w:name="方正黑体_GBK">
    <w:altName w:val="Arial Unicode MS"/>
    <w:panose1 w:val="02000000000000000000"/>
    <w:charset w:val="86"/>
    <w:family w:val="auto"/>
    <w:pitch w:val="default"/>
    <w:sig w:usb0="00000000" w:usb1="00000000" w:usb2="00000000" w:usb3="00000000" w:csb0="00040000" w:csb1="00000000"/>
    <w:embedRegular r:id="rId10" w:fontKey="{B8678246-69CA-43AE-99DB-304F87572241}"/>
  </w:font>
  <w:font w:name="Wingdings 2">
    <w:panose1 w:val="05020102010507070707"/>
    <w:charset w:val="00"/>
    <w:family w:val="roman"/>
    <w:pitch w:val="default"/>
    <w:sig w:usb0="00000000" w:usb1="00000000" w:usb2="00000000" w:usb3="00000000" w:csb0="80000000" w:csb1="00000000"/>
    <w:embedRegular r:id="rId11" w:fontKey="{F4932BE6-430A-4620-8227-54CE97502E91}"/>
  </w:font>
  <w:font w:name="Helvetica Neue">
    <w:altName w:val="华文仿宋"/>
    <w:panose1 w:val="02010600030101010101"/>
    <w:charset w:val="00"/>
    <w:family w:val="auto"/>
    <w:pitch w:val="default"/>
    <w:sig w:usb0="00000000" w:usb1="00000000" w:usb2="00000006" w:usb3="00000000" w:csb0="00040001" w:csb1="00000000"/>
    <w:embedRegular r:id="rId12" w:fontKey="{38559284-7444-4CCB-9783-B8655353B4AB}"/>
  </w:font>
  <w:font w:name="华文仿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embedRegular r:id="rId13" w:fontKey="{EB5E5E35-0895-4652-97A0-FF1C6D086225}"/>
  </w:font>
  <w:font w:name="方正仿宋_GB2312">
    <w:panose1 w:val="02000000000000000000"/>
    <w:charset w:val="86"/>
    <w:family w:val="auto"/>
    <w:pitch w:val="default"/>
    <w:sig w:usb0="A00002BF" w:usb1="184F6CFA" w:usb2="00000012" w:usb3="00000000" w:csb0="00040001" w:csb1="00000000"/>
    <w:embedRegular r:id="rId14" w:fontKey="{235DEAD1-BE93-4E44-8BE7-0694D25C62F0}"/>
  </w:font>
  <w:font w:name="ˎ̥">
    <w:altName w:val="华文仿宋"/>
    <w:panose1 w:val="02010600030101010101"/>
    <w:charset w:val="00"/>
    <w:family w:val="roman"/>
    <w:pitch w:val="default"/>
    <w:sig w:usb0="00000000" w:usb1="00000000" w:usb2="00000006" w:usb3="00000000" w:csb0="00040001" w:csb1="00000000"/>
    <w:embedRegular r:id="rId15" w:fontKey="{4874FB78-8F6F-42FA-8E2F-0E8641B20A86}"/>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25CDE4">
    <w:pPr>
      <w:pStyle w:val="22"/>
      <w:jc w:val="center"/>
    </w:pPr>
    <w:r>
      <w:fldChar w:fldCharType="begin"/>
    </w:r>
    <w:r>
      <w:instrText xml:space="preserve">PAGE   \* MERGEFORMAT</w:instrText>
    </w:r>
    <w:r>
      <w:fldChar w:fldCharType="separate"/>
    </w:r>
    <w:r>
      <w:rPr>
        <w:lang w:val="zh-CN"/>
      </w:rPr>
      <w:t>12</w:t>
    </w:r>
    <w:r>
      <w:fldChar w:fldCharType="end"/>
    </w:r>
  </w:p>
  <w:p w14:paraId="65B92640">
    <w:pPr>
      <w:pStyle w:val="2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EFCA7">
    <w:pPr>
      <w:pStyle w:val="22"/>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DF97CE7">
                          <w:pPr>
                            <w:pStyle w:val="22"/>
                            <w:jc w:val="center"/>
                          </w:pPr>
                          <w:r>
                            <w:fldChar w:fldCharType="begin"/>
                          </w:r>
                          <w:r>
                            <w:instrText xml:space="preserve"> PAGE   \* MERGEFORMAT </w:instrText>
                          </w:r>
                          <w:r>
                            <w:fldChar w:fldCharType="separate"/>
                          </w:r>
                          <w:r>
                            <w:rPr>
                              <w:lang w:val="zh-CN"/>
                            </w:rPr>
                            <w:t>108</w:t>
                          </w:r>
                          <w:r>
                            <w:fldChar w:fldCharType="end"/>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20L4sgBAACZ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mUOG5x4Ocf388/f59/fSPL&#10;LE8foMasx4B5abjxQ06d/IDOzHpQ0eYv8iEYR3FPF3HlkIjIj1bL1arCkMDYfEEc9vQ8REh30luS&#10;jYZGnF4RlR/vIY2pc0qu5vytNgb9vDbuLwdiZg/LvY89ZisNu2FqfOfbE/LpcfANdbjnlJiPDnXN&#10;OzIbcTZ2s3EIUe+7skS5HoQPh4RNlN5yhRF2KowTK+ym7cor8fxesp7+qM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dtC+LIAQAAmQMAAA4AAAAAAAAAAQAgAAAAHgEAAGRycy9lMm9Eb2Mu&#10;eG1sUEsFBgAAAAAGAAYAWQEAAFgFAAAAAA==&#10;">
              <v:fill on="f" focussize="0,0"/>
              <v:stroke on="f"/>
              <v:imagedata o:title=""/>
              <o:lock v:ext="edit" aspectratio="f"/>
              <v:textbox inset="0mm,0mm,0mm,0mm" style="mso-fit-shape-to-text:t;">
                <w:txbxContent>
                  <w:p w14:paraId="4DF97CE7">
                    <w:pPr>
                      <w:pStyle w:val="22"/>
                      <w:jc w:val="center"/>
                    </w:pPr>
                    <w:r>
                      <w:fldChar w:fldCharType="begin"/>
                    </w:r>
                    <w:r>
                      <w:instrText xml:space="preserve"> PAGE   \* MERGEFORMAT </w:instrText>
                    </w:r>
                    <w:r>
                      <w:fldChar w:fldCharType="separate"/>
                    </w:r>
                    <w:r>
                      <w:rPr>
                        <w:lang w:val="zh-CN"/>
                      </w:rPr>
                      <w:t>108</w:t>
                    </w:r>
                    <w:r>
                      <w:fldChar w:fldCharType="end"/>
                    </w:r>
                  </w:p>
                </w:txbxContent>
              </v:textbox>
            </v:shape>
          </w:pict>
        </mc:Fallback>
      </mc:AlternateContent>
    </w:r>
  </w:p>
  <w:p w14:paraId="7EF415F3">
    <w:pPr>
      <w:pStyle w:val="2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13787">
    <w:pPr>
      <w:pStyle w:val="22"/>
      <w:framePr w:wrap="around" w:vAnchor="text" w:hAnchor="margin" w:xAlign="center" w:y="1"/>
      <w:rPr>
        <w:rStyle w:val="36"/>
      </w:rPr>
    </w:pPr>
    <w:r>
      <w:fldChar w:fldCharType="begin"/>
    </w:r>
    <w:r>
      <w:rPr>
        <w:rStyle w:val="36"/>
      </w:rPr>
      <w:instrText xml:space="preserve">PAGE  </w:instrText>
    </w:r>
    <w:r>
      <w:fldChar w:fldCharType="end"/>
    </w:r>
  </w:p>
  <w:p w14:paraId="166F3256">
    <w:pPr>
      <w:pStyle w:val="2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20C0C">
    <w:pPr>
      <w:pStyle w:val="22"/>
      <w:framePr w:wrap="around" w:vAnchor="text" w:hAnchor="margin" w:xAlign="right" w:y="1"/>
      <w:rPr>
        <w:rStyle w:val="36"/>
      </w:rPr>
    </w:pPr>
    <w:r>
      <w:fldChar w:fldCharType="begin"/>
    </w:r>
    <w:r>
      <w:rPr>
        <w:rStyle w:val="36"/>
      </w:rPr>
      <w:instrText xml:space="preserve">PAGE  </w:instrText>
    </w:r>
    <w:r>
      <w:fldChar w:fldCharType="separate"/>
    </w:r>
    <w:r>
      <w:rPr>
        <w:rStyle w:val="36"/>
      </w:rPr>
      <w:t>122</w:t>
    </w:r>
    <w:r>
      <w:fldChar w:fldCharType="end"/>
    </w:r>
  </w:p>
  <w:p w14:paraId="4762B977">
    <w:pPr>
      <w:pStyle w:val="22"/>
      <w:ind w:right="360"/>
      <w:jc w:val="both"/>
      <w:rPr>
        <w:rFonts w:hint="eastAsia"/>
      </w:rPr>
    </w:pPr>
    <w:r>
      <w:rPr>
        <w:rFonts w:hint="eastAsia"/>
      </w:rPr>
      <w:t>121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D72F61">
    <w:pPr>
      <w:pStyle w:val="23"/>
    </w:pPr>
    <w:r>
      <w:rPr>
        <w:rFonts w:hint="eastAsia"/>
      </w:rPr>
      <w:t>南宁市政府采购公开招标采购文件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80341">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C3C4FD3"/>
    <w:multiLevelType w:val="singleLevel"/>
    <w:tmpl w:val="DC3C4FD3"/>
    <w:lvl w:ilvl="0" w:tentative="0">
      <w:start w:val="1"/>
      <w:numFmt w:val="decimal"/>
      <w:suff w:val="nothing"/>
      <w:lvlText w:val="（%1）"/>
      <w:lvlJc w:val="left"/>
    </w:lvl>
  </w:abstractNum>
  <w:abstractNum w:abstractNumId="1">
    <w:nsid w:val="EB7FBC0D"/>
    <w:multiLevelType w:val="singleLevel"/>
    <w:tmpl w:val="EB7FBC0D"/>
    <w:lvl w:ilvl="0" w:tentative="0">
      <w:start w:val="1"/>
      <w:numFmt w:val="chineseCounting"/>
      <w:suff w:val="nothing"/>
      <w:lvlText w:val="（%1）"/>
      <w:lvlJc w:val="left"/>
      <w:rPr>
        <w:rFonts w:hint="eastAsia"/>
      </w:rPr>
    </w:lvl>
  </w:abstractNum>
  <w:abstractNum w:abstractNumId="2">
    <w:nsid w:val="FCC4FCAB"/>
    <w:multiLevelType w:val="singleLevel"/>
    <w:tmpl w:val="FCC4FCAB"/>
    <w:lvl w:ilvl="0" w:tentative="0">
      <w:start w:val="3"/>
      <w:numFmt w:val="chineseCounting"/>
      <w:suff w:val="nothing"/>
      <w:lvlText w:val="%1、"/>
      <w:lvlJc w:val="left"/>
      <w:rPr>
        <w:rFonts w:hint="eastAsia"/>
      </w:rPr>
    </w:lvl>
  </w:abstractNum>
  <w:abstractNum w:abstractNumId="3">
    <w:nsid w:val="00000007"/>
    <w:multiLevelType w:val="multilevel"/>
    <w:tmpl w:val="00000007"/>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4">
    <w:nsid w:val="34444808"/>
    <w:multiLevelType w:val="multilevel"/>
    <w:tmpl w:val="34444808"/>
    <w:lvl w:ilvl="0" w:tentative="0">
      <w:start w:val="1"/>
      <w:numFmt w:val="decimal"/>
      <w:lvlText w:val="%1、"/>
      <w:lvlJc w:val="left"/>
      <w:pPr>
        <w:ind w:left="660" w:hanging="360"/>
      </w:pPr>
      <w:rPr>
        <w:rFonts w:hint="default"/>
      </w:r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abstractNum w:abstractNumId="5">
    <w:nsid w:val="41367BD3"/>
    <w:multiLevelType w:val="multilevel"/>
    <w:tmpl w:val="41367BD3"/>
    <w:lvl w:ilvl="0" w:tentative="0">
      <w:start w:val="6"/>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1536378"/>
    <w:multiLevelType w:val="singleLevel"/>
    <w:tmpl w:val="51536378"/>
    <w:lvl w:ilvl="0" w:tentative="0">
      <w:start w:val="1"/>
      <w:numFmt w:val="decimal"/>
      <w:suff w:val="nothing"/>
      <w:lvlText w:val="（%1）"/>
      <w:lvlJc w:val="left"/>
      <w:pPr>
        <w:ind w:left="0" w:firstLine="0"/>
      </w:pPr>
    </w:lvl>
  </w:abstractNum>
  <w:num w:numId="1">
    <w:abstractNumId w:val="1"/>
  </w:num>
  <w:num w:numId="2">
    <w:abstractNumId w:val="2"/>
  </w:num>
  <w:num w:numId="3">
    <w:abstractNumId w:val="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6"/>
    <w:lvlOverride w:ilvl="0">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420"/>
  <w:hyphenationZone w:val="360"/>
  <w:drawingGridHorizontalSpacing w:val="105"/>
  <w:drawingGridVerticalSpacing w:val="331"/>
  <w:displayHorizontalDrawingGridEvery w:val="1"/>
  <w:displayVerticalDrawingGridEvery w:val="1"/>
  <w:noPunctuationKerning w:val="1"/>
  <w:characterSpacingControl w:val="compressPunctuation"/>
  <w:doNotValidateAgainstSchema/>
  <w:doNotDemarcateInvalidXml/>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FlZWZhOGMzYTJhZmNlZWFhZDQ1YmUxMTlkMWYyNzAifQ=="/>
  </w:docVars>
  <w:rsids>
    <w:rsidRoot w:val="00172A27"/>
    <w:rsid w:val="0000096C"/>
    <w:rsid w:val="00000CDB"/>
    <w:rsid w:val="00001B48"/>
    <w:rsid w:val="00001CDA"/>
    <w:rsid w:val="00003DCA"/>
    <w:rsid w:val="00004344"/>
    <w:rsid w:val="00005909"/>
    <w:rsid w:val="00007AC9"/>
    <w:rsid w:val="000113DB"/>
    <w:rsid w:val="00012A54"/>
    <w:rsid w:val="0001435B"/>
    <w:rsid w:val="000152B0"/>
    <w:rsid w:val="000158AF"/>
    <w:rsid w:val="00017AE0"/>
    <w:rsid w:val="000207D5"/>
    <w:rsid w:val="000218C8"/>
    <w:rsid w:val="00023462"/>
    <w:rsid w:val="00023CD0"/>
    <w:rsid w:val="00024E82"/>
    <w:rsid w:val="00024E95"/>
    <w:rsid w:val="00027659"/>
    <w:rsid w:val="00030800"/>
    <w:rsid w:val="00031652"/>
    <w:rsid w:val="00034A7D"/>
    <w:rsid w:val="00035197"/>
    <w:rsid w:val="00035F9C"/>
    <w:rsid w:val="0003672B"/>
    <w:rsid w:val="000401CD"/>
    <w:rsid w:val="00044EDB"/>
    <w:rsid w:val="0005084D"/>
    <w:rsid w:val="0005396D"/>
    <w:rsid w:val="00054304"/>
    <w:rsid w:val="00054E0A"/>
    <w:rsid w:val="000553BC"/>
    <w:rsid w:val="00055827"/>
    <w:rsid w:val="00056551"/>
    <w:rsid w:val="00056FEC"/>
    <w:rsid w:val="00060630"/>
    <w:rsid w:val="0006218D"/>
    <w:rsid w:val="00063F24"/>
    <w:rsid w:val="00065AF0"/>
    <w:rsid w:val="0006659F"/>
    <w:rsid w:val="00066EA9"/>
    <w:rsid w:val="00066FE1"/>
    <w:rsid w:val="0006772F"/>
    <w:rsid w:val="00070C49"/>
    <w:rsid w:val="000740AE"/>
    <w:rsid w:val="00074A99"/>
    <w:rsid w:val="00074D5F"/>
    <w:rsid w:val="00077BF5"/>
    <w:rsid w:val="000808C7"/>
    <w:rsid w:val="00081789"/>
    <w:rsid w:val="00085A0D"/>
    <w:rsid w:val="00086949"/>
    <w:rsid w:val="00092A54"/>
    <w:rsid w:val="00092F65"/>
    <w:rsid w:val="0009317E"/>
    <w:rsid w:val="00093587"/>
    <w:rsid w:val="00093B18"/>
    <w:rsid w:val="00093D7A"/>
    <w:rsid w:val="00094E84"/>
    <w:rsid w:val="000974EF"/>
    <w:rsid w:val="000A0449"/>
    <w:rsid w:val="000A078C"/>
    <w:rsid w:val="000A45A5"/>
    <w:rsid w:val="000A6C55"/>
    <w:rsid w:val="000A7A4B"/>
    <w:rsid w:val="000B6123"/>
    <w:rsid w:val="000C0F6A"/>
    <w:rsid w:val="000C1C04"/>
    <w:rsid w:val="000C302E"/>
    <w:rsid w:val="000C4490"/>
    <w:rsid w:val="000C5D44"/>
    <w:rsid w:val="000D25F1"/>
    <w:rsid w:val="000D4035"/>
    <w:rsid w:val="000D4954"/>
    <w:rsid w:val="000D5F48"/>
    <w:rsid w:val="000D7284"/>
    <w:rsid w:val="000E2CC6"/>
    <w:rsid w:val="000E6783"/>
    <w:rsid w:val="000E7B1F"/>
    <w:rsid w:val="000E7F53"/>
    <w:rsid w:val="000F02ED"/>
    <w:rsid w:val="000F0376"/>
    <w:rsid w:val="000F1BBE"/>
    <w:rsid w:val="001031E7"/>
    <w:rsid w:val="00104245"/>
    <w:rsid w:val="00105701"/>
    <w:rsid w:val="001108AC"/>
    <w:rsid w:val="00110B88"/>
    <w:rsid w:val="00110DD2"/>
    <w:rsid w:val="0011187C"/>
    <w:rsid w:val="0011368A"/>
    <w:rsid w:val="00116FC9"/>
    <w:rsid w:val="00120414"/>
    <w:rsid w:val="00120C46"/>
    <w:rsid w:val="00121571"/>
    <w:rsid w:val="00122EE5"/>
    <w:rsid w:val="00125837"/>
    <w:rsid w:val="00126136"/>
    <w:rsid w:val="0012691B"/>
    <w:rsid w:val="00126A7C"/>
    <w:rsid w:val="0013060D"/>
    <w:rsid w:val="001306A8"/>
    <w:rsid w:val="00140B14"/>
    <w:rsid w:val="00140CE8"/>
    <w:rsid w:val="00142A8E"/>
    <w:rsid w:val="00143DA6"/>
    <w:rsid w:val="00143E52"/>
    <w:rsid w:val="00146068"/>
    <w:rsid w:val="00146720"/>
    <w:rsid w:val="001503FE"/>
    <w:rsid w:val="00151CEE"/>
    <w:rsid w:val="0015209C"/>
    <w:rsid w:val="0015287D"/>
    <w:rsid w:val="00153C6D"/>
    <w:rsid w:val="0015409D"/>
    <w:rsid w:val="001551E7"/>
    <w:rsid w:val="00164FFD"/>
    <w:rsid w:val="001651B7"/>
    <w:rsid w:val="00170AA7"/>
    <w:rsid w:val="0017261C"/>
    <w:rsid w:val="00173071"/>
    <w:rsid w:val="0017367C"/>
    <w:rsid w:val="00173852"/>
    <w:rsid w:val="00173E58"/>
    <w:rsid w:val="00174134"/>
    <w:rsid w:val="00174F9B"/>
    <w:rsid w:val="00177D95"/>
    <w:rsid w:val="00181460"/>
    <w:rsid w:val="001814B7"/>
    <w:rsid w:val="00182C28"/>
    <w:rsid w:val="00183B6D"/>
    <w:rsid w:val="001879B0"/>
    <w:rsid w:val="00190F4C"/>
    <w:rsid w:val="00193D49"/>
    <w:rsid w:val="00195471"/>
    <w:rsid w:val="0019577E"/>
    <w:rsid w:val="00197E02"/>
    <w:rsid w:val="001A0A9F"/>
    <w:rsid w:val="001A1815"/>
    <w:rsid w:val="001B1366"/>
    <w:rsid w:val="001B2BDE"/>
    <w:rsid w:val="001B2FAE"/>
    <w:rsid w:val="001B40AA"/>
    <w:rsid w:val="001C0AC0"/>
    <w:rsid w:val="001C0E71"/>
    <w:rsid w:val="001C2E44"/>
    <w:rsid w:val="001C3F03"/>
    <w:rsid w:val="001D047F"/>
    <w:rsid w:val="001D18FD"/>
    <w:rsid w:val="001D2422"/>
    <w:rsid w:val="001D35E3"/>
    <w:rsid w:val="001D6187"/>
    <w:rsid w:val="001D7277"/>
    <w:rsid w:val="001E0216"/>
    <w:rsid w:val="001E0590"/>
    <w:rsid w:val="001E1DC5"/>
    <w:rsid w:val="001E2D53"/>
    <w:rsid w:val="001E3E3A"/>
    <w:rsid w:val="001E4E53"/>
    <w:rsid w:val="001E6153"/>
    <w:rsid w:val="001E6C5D"/>
    <w:rsid w:val="001E7AB6"/>
    <w:rsid w:val="001F0F14"/>
    <w:rsid w:val="001F191A"/>
    <w:rsid w:val="001F330A"/>
    <w:rsid w:val="001F3974"/>
    <w:rsid w:val="001F4D3C"/>
    <w:rsid w:val="001F5326"/>
    <w:rsid w:val="00201770"/>
    <w:rsid w:val="00203C1B"/>
    <w:rsid w:val="00204164"/>
    <w:rsid w:val="00204F25"/>
    <w:rsid w:val="00205999"/>
    <w:rsid w:val="002068D4"/>
    <w:rsid w:val="00207350"/>
    <w:rsid w:val="00207DB7"/>
    <w:rsid w:val="00211CA4"/>
    <w:rsid w:val="00212235"/>
    <w:rsid w:val="00215899"/>
    <w:rsid w:val="002163B2"/>
    <w:rsid w:val="0021795E"/>
    <w:rsid w:val="00221909"/>
    <w:rsid w:val="002230A4"/>
    <w:rsid w:val="00231EAB"/>
    <w:rsid w:val="00232E04"/>
    <w:rsid w:val="0023587C"/>
    <w:rsid w:val="00236055"/>
    <w:rsid w:val="00236A8B"/>
    <w:rsid w:val="00236AE2"/>
    <w:rsid w:val="00236B7D"/>
    <w:rsid w:val="002372E1"/>
    <w:rsid w:val="00240D15"/>
    <w:rsid w:val="002423E3"/>
    <w:rsid w:val="00243CCD"/>
    <w:rsid w:val="00244627"/>
    <w:rsid w:val="0024514B"/>
    <w:rsid w:val="002563B4"/>
    <w:rsid w:val="0025753A"/>
    <w:rsid w:val="00267D35"/>
    <w:rsid w:val="002711CD"/>
    <w:rsid w:val="002738BD"/>
    <w:rsid w:val="00277A5F"/>
    <w:rsid w:val="002800C9"/>
    <w:rsid w:val="00284362"/>
    <w:rsid w:val="0028464D"/>
    <w:rsid w:val="00285366"/>
    <w:rsid w:val="002867CF"/>
    <w:rsid w:val="002913E7"/>
    <w:rsid w:val="00293976"/>
    <w:rsid w:val="00293E98"/>
    <w:rsid w:val="00294DAD"/>
    <w:rsid w:val="00295561"/>
    <w:rsid w:val="00295838"/>
    <w:rsid w:val="00297271"/>
    <w:rsid w:val="002978BC"/>
    <w:rsid w:val="002A614A"/>
    <w:rsid w:val="002B0B81"/>
    <w:rsid w:val="002B113D"/>
    <w:rsid w:val="002B1965"/>
    <w:rsid w:val="002B3400"/>
    <w:rsid w:val="002B4610"/>
    <w:rsid w:val="002B6B4C"/>
    <w:rsid w:val="002B6DFA"/>
    <w:rsid w:val="002C0483"/>
    <w:rsid w:val="002C1328"/>
    <w:rsid w:val="002C27F2"/>
    <w:rsid w:val="002C38A0"/>
    <w:rsid w:val="002C7DD7"/>
    <w:rsid w:val="002D2EF2"/>
    <w:rsid w:val="002D5C74"/>
    <w:rsid w:val="002E0A18"/>
    <w:rsid w:val="002E1827"/>
    <w:rsid w:val="002E444D"/>
    <w:rsid w:val="002E6BA4"/>
    <w:rsid w:val="002F1A7A"/>
    <w:rsid w:val="002F50AF"/>
    <w:rsid w:val="002F55FD"/>
    <w:rsid w:val="002F667D"/>
    <w:rsid w:val="003014B1"/>
    <w:rsid w:val="0030344A"/>
    <w:rsid w:val="003051DB"/>
    <w:rsid w:val="003051FD"/>
    <w:rsid w:val="00305816"/>
    <w:rsid w:val="00306C2C"/>
    <w:rsid w:val="00315EB2"/>
    <w:rsid w:val="003162D6"/>
    <w:rsid w:val="00316994"/>
    <w:rsid w:val="0031784B"/>
    <w:rsid w:val="00320B19"/>
    <w:rsid w:val="003223B8"/>
    <w:rsid w:val="00322C10"/>
    <w:rsid w:val="00323A28"/>
    <w:rsid w:val="00323A5C"/>
    <w:rsid w:val="00327461"/>
    <w:rsid w:val="00330EE9"/>
    <w:rsid w:val="003331F5"/>
    <w:rsid w:val="00337A9F"/>
    <w:rsid w:val="0034354C"/>
    <w:rsid w:val="00344631"/>
    <w:rsid w:val="003460CD"/>
    <w:rsid w:val="00346976"/>
    <w:rsid w:val="00347950"/>
    <w:rsid w:val="00351B34"/>
    <w:rsid w:val="00353905"/>
    <w:rsid w:val="00355191"/>
    <w:rsid w:val="00366E54"/>
    <w:rsid w:val="003701F5"/>
    <w:rsid w:val="0037075A"/>
    <w:rsid w:val="00371C87"/>
    <w:rsid w:val="0038111C"/>
    <w:rsid w:val="003839A4"/>
    <w:rsid w:val="00384EB6"/>
    <w:rsid w:val="003868E3"/>
    <w:rsid w:val="0039417D"/>
    <w:rsid w:val="003A3917"/>
    <w:rsid w:val="003A60A5"/>
    <w:rsid w:val="003A622A"/>
    <w:rsid w:val="003A6F2E"/>
    <w:rsid w:val="003B031E"/>
    <w:rsid w:val="003B31F1"/>
    <w:rsid w:val="003B6810"/>
    <w:rsid w:val="003B7878"/>
    <w:rsid w:val="003B7C9A"/>
    <w:rsid w:val="003C027A"/>
    <w:rsid w:val="003C393F"/>
    <w:rsid w:val="003C3F9F"/>
    <w:rsid w:val="003D3465"/>
    <w:rsid w:val="003D3F0C"/>
    <w:rsid w:val="003D478D"/>
    <w:rsid w:val="003D5532"/>
    <w:rsid w:val="003D55BC"/>
    <w:rsid w:val="003D7400"/>
    <w:rsid w:val="003E0AD4"/>
    <w:rsid w:val="003E1425"/>
    <w:rsid w:val="003E2A1A"/>
    <w:rsid w:val="003E64C1"/>
    <w:rsid w:val="003F1067"/>
    <w:rsid w:val="003F1F9C"/>
    <w:rsid w:val="003F7B0D"/>
    <w:rsid w:val="004029ED"/>
    <w:rsid w:val="00402C82"/>
    <w:rsid w:val="00403AA3"/>
    <w:rsid w:val="00403DA7"/>
    <w:rsid w:val="0040651A"/>
    <w:rsid w:val="00406BA4"/>
    <w:rsid w:val="0041131B"/>
    <w:rsid w:val="00413E3B"/>
    <w:rsid w:val="004170BD"/>
    <w:rsid w:val="0042010E"/>
    <w:rsid w:val="00421F5E"/>
    <w:rsid w:val="004271AC"/>
    <w:rsid w:val="00430630"/>
    <w:rsid w:val="00430D30"/>
    <w:rsid w:val="0043142E"/>
    <w:rsid w:val="00431C3B"/>
    <w:rsid w:val="00432D1D"/>
    <w:rsid w:val="00433DF7"/>
    <w:rsid w:val="004342C3"/>
    <w:rsid w:val="00435268"/>
    <w:rsid w:val="00435F2B"/>
    <w:rsid w:val="00437D43"/>
    <w:rsid w:val="0044023A"/>
    <w:rsid w:val="004437ED"/>
    <w:rsid w:val="0044600A"/>
    <w:rsid w:val="00447BDE"/>
    <w:rsid w:val="00450ADB"/>
    <w:rsid w:val="00451F99"/>
    <w:rsid w:val="00452102"/>
    <w:rsid w:val="00452335"/>
    <w:rsid w:val="004531C4"/>
    <w:rsid w:val="004569EA"/>
    <w:rsid w:val="00456E4F"/>
    <w:rsid w:val="004608E1"/>
    <w:rsid w:val="00463F59"/>
    <w:rsid w:val="0046694A"/>
    <w:rsid w:val="0046760D"/>
    <w:rsid w:val="00467833"/>
    <w:rsid w:val="00470F17"/>
    <w:rsid w:val="004742F1"/>
    <w:rsid w:val="00474447"/>
    <w:rsid w:val="00477493"/>
    <w:rsid w:val="00480728"/>
    <w:rsid w:val="00480ED0"/>
    <w:rsid w:val="004820E2"/>
    <w:rsid w:val="00482D20"/>
    <w:rsid w:val="004853B6"/>
    <w:rsid w:val="00485A34"/>
    <w:rsid w:val="00486127"/>
    <w:rsid w:val="004861BA"/>
    <w:rsid w:val="00486E44"/>
    <w:rsid w:val="0049027F"/>
    <w:rsid w:val="00490977"/>
    <w:rsid w:val="00491CA5"/>
    <w:rsid w:val="004925A4"/>
    <w:rsid w:val="004929AD"/>
    <w:rsid w:val="0049522F"/>
    <w:rsid w:val="00495D0E"/>
    <w:rsid w:val="004A0443"/>
    <w:rsid w:val="004A5F2A"/>
    <w:rsid w:val="004A6023"/>
    <w:rsid w:val="004A6736"/>
    <w:rsid w:val="004A70AD"/>
    <w:rsid w:val="004A7539"/>
    <w:rsid w:val="004B0D7F"/>
    <w:rsid w:val="004B46F1"/>
    <w:rsid w:val="004B49D2"/>
    <w:rsid w:val="004C3D42"/>
    <w:rsid w:val="004C5B3E"/>
    <w:rsid w:val="004D1590"/>
    <w:rsid w:val="004D1965"/>
    <w:rsid w:val="004D273E"/>
    <w:rsid w:val="004D68CD"/>
    <w:rsid w:val="004D74FF"/>
    <w:rsid w:val="004E126C"/>
    <w:rsid w:val="004E3662"/>
    <w:rsid w:val="004F0430"/>
    <w:rsid w:val="004F5BCD"/>
    <w:rsid w:val="004F70BB"/>
    <w:rsid w:val="005032F6"/>
    <w:rsid w:val="005033B8"/>
    <w:rsid w:val="00503A40"/>
    <w:rsid w:val="00503B45"/>
    <w:rsid w:val="005056BD"/>
    <w:rsid w:val="00506840"/>
    <w:rsid w:val="00507B98"/>
    <w:rsid w:val="0051046D"/>
    <w:rsid w:val="00511A25"/>
    <w:rsid w:val="005137EC"/>
    <w:rsid w:val="00517021"/>
    <w:rsid w:val="0051780A"/>
    <w:rsid w:val="00517A91"/>
    <w:rsid w:val="00517D40"/>
    <w:rsid w:val="00520861"/>
    <w:rsid w:val="00521880"/>
    <w:rsid w:val="00522B4F"/>
    <w:rsid w:val="00525C35"/>
    <w:rsid w:val="005267E1"/>
    <w:rsid w:val="005279FB"/>
    <w:rsid w:val="005307CE"/>
    <w:rsid w:val="00532BF5"/>
    <w:rsid w:val="00533E27"/>
    <w:rsid w:val="0053541C"/>
    <w:rsid w:val="00535FAA"/>
    <w:rsid w:val="00543AE2"/>
    <w:rsid w:val="005458AD"/>
    <w:rsid w:val="0054778A"/>
    <w:rsid w:val="00552F11"/>
    <w:rsid w:val="00553C0E"/>
    <w:rsid w:val="0055409E"/>
    <w:rsid w:val="00554A36"/>
    <w:rsid w:val="005567CE"/>
    <w:rsid w:val="005572A5"/>
    <w:rsid w:val="00562514"/>
    <w:rsid w:val="005636B0"/>
    <w:rsid w:val="0056394A"/>
    <w:rsid w:val="00564C6D"/>
    <w:rsid w:val="005761A1"/>
    <w:rsid w:val="00576E04"/>
    <w:rsid w:val="0057733C"/>
    <w:rsid w:val="00581AC2"/>
    <w:rsid w:val="005820CA"/>
    <w:rsid w:val="005827FE"/>
    <w:rsid w:val="00582B6D"/>
    <w:rsid w:val="00583AC0"/>
    <w:rsid w:val="00584BFC"/>
    <w:rsid w:val="005873D0"/>
    <w:rsid w:val="005910D6"/>
    <w:rsid w:val="005917A6"/>
    <w:rsid w:val="00592B88"/>
    <w:rsid w:val="0059320C"/>
    <w:rsid w:val="005932B6"/>
    <w:rsid w:val="005956CF"/>
    <w:rsid w:val="00596F89"/>
    <w:rsid w:val="00597382"/>
    <w:rsid w:val="00597CB8"/>
    <w:rsid w:val="005A0D91"/>
    <w:rsid w:val="005A44BD"/>
    <w:rsid w:val="005A480C"/>
    <w:rsid w:val="005B53A3"/>
    <w:rsid w:val="005B7388"/>
    <w:rsid w:val="005B7E51"/>
    <w:rsid w:val="005C06FA"/>
    <w:rsid w:val="005C2696"/>
    <w:rsid w:val="005C26DE"/>
    <w:rsid w:val="005D03E6"/>
    <w:rsid w:val="005D1B88"/>
    <w:rsid w:val="005D54D6"/>
    <w:rsid w:val="005D6CCE"/>
    <w:rsid w:val="005D7262"/>
    <w:rsid w:val="005D76C2"/>
    <w:rsid w:val="005E0BC3"/>
    <w:rsid w:val="005E25C5"/>
    <w:rsid w:val="005E671C"/>
    <w:rsid w:val="005F07CC"/>
    <w:rsid w:val="005F6F86"/>
    <w:rsid w:val="00600743"/>
    <w:rsid w:val="00600EF6"/>
    <w:rsid w:val="00601372"/>
    <w:rsid w:val="006048A4"/>
    <w:rsid w:val="00605362"/>
    <w:rsid w:val="006064F7"/>
    <w:rsid w:val="006068F0"/>
    <w:rsid w:val="00606C3B"/>
    <w:rsid w:val="00611FEA"/>
    <w:rsid w:val="006123E9"/>
    <w:rsid w:val="00615485"/>
    <w:rsid w:val="0062058F"/>
    <w:rsid w:val="00622829"/>
    <w:rsid w:val="00622C28"/>
    <w:rsid w:val="00626CA8"/>
    <w:rsid w:val="006271A0"/>
    <w:rsid w:val="006301C4"/>
    <w:rsid w:val="00630A14"/>
    <w:rsid w:val="00631BAB"/>
    <w:rsid w:val="006322A4"/>
    <w:rsid w:val="00632EEC"/>
    <w:rsid w:val="00634FD6"/>
    <w:rsid w:val="00635796"/>
    <w:rsid w:val="006406A8"/>
    <w:rsid w:val="00640B4E"/>
    <w:rsid w:val="00641A49"/>
    <w:rsid w:val="00641D5B"/>
    <w:rsid w:val="00644AAD"/>
    <w:rsid w:val="00653546"/>
    <w:rsid w:val="00653CDE"/>
    <w:rsid w:val="0065413D"/>
    <w:rsid w:val="00656442"/>
    <w:rsid w:val="006605AA"/>
    <w:rsid w:val="00661DA0"/>
    <w:rsid w:val="00663111"/>
    <w:rsid w:val="006632E6"/>
    <w:rsid w:val="00663DD1"/>
    <w:rsid w:val="0066572D"/>
    <w:rsid w:val="00670E85"/>
    <w:rsid w:val="0067703D"/>
    <w:rsid w:val="006801A6"/>
    <w:rsid w:val="006831E3"/>
    <w:rsid w:val="00683540"/>
    <w:rsid w:val="00685B2E"/>
    <w:rsid w:val="00686B04"/>
    <w:rsid w:val="006904D3"/>
    <w:rsid w:val="00690F54"/>
    <w:rsid w:val="00691B1A"/>
    <w:rsid w:val="006938C5"/>
    <w:rsid w:val="006951C0"/>
    <w:rsid w:val="00695425"/>
    <w:rsid w:val="006A101B"/>
    <w:rsid w:val="006A14C2"/>
    <w:rsid w:val="006A6DC8"/>
    <w:rsid w:val="006B0A69"/>
    <w:rsid w:val="006B333E"/>
    <w:rsid w:val="006B5E5B"/>
    <w:rsid w:val="006C015A"/>
    <w:rsid w:val="006C1992"/>
    <w:rsid w:val="006C2360"/>
    <w:rsid w:val="006C55A9"/>
    <w:rsid w:val="006C5999"/>
    <w:rsid w:val="006D0A1B"/>
    <w:rsid w:val="006D0F48"/>
    <w:rsid w:val="006D3C35"/>
    <w:rsid w:val="006D69CB"/>
    <w:rsid w:val="006D6A62"/>
    <w:rsid w:val="006E2D12"/>
    <w:rsid w:val="006F0015"/>
    <w:rsid w:val="006F235E"/>
    <w:rsid w:val="006F3809"/>
    <w:rsid w:val="006F3FC7"/>
    <w:rsid w:val="006F4511"/>
    <w:rsid w:val="006F6AE0"/>
    <w:rsid w:val="00701A3D"/>
    <w:rsid w:val="0070553E"/>
    <w:rsid w:val="007059D4"/>
    <w:rsid w:val="00706519"/>
    <w:rsid w:val="00707FF2"/>
    <w:rsid w:val="007125D3"/>
    <w:rsid w:val="00715456"/>
    <w:rsid w:val="00717C38"/>
    <w:rsid w:val="00717D53"/>
    <w:rsid w:val="0072010D"/>
    <w:rsid w:val="0072133D"/>
    <w:rsid w:val="0072351B"/>
    <w:rsid w:val="0072367C"/>
    <w:rsid w:val="00725B62"/>
    <w:rsid w:val="00726338"/>
    <w:rsid w:val="007303E0"/>
    <w:rsid w:val="00730FBB"/>
    <w:rsid w:val="00732786"/>
    <w:rsid w:val="00732EDA"/>
    <w:rsid w:val="007361E1"/>
    <w:rsid w:val="00736625"/>
    <w:rsid w:val="00743891"/>
    <w:rsid w:val="00744B4B"/>
    <w:rsid w:val="00745BFF"/>
    <w:rsid w:val="0074683F"/>
    <w:rsid w:val="007477D7"/>
    <w:rsid w:val="0075301E"/>
    <w:rsid w:val="00753FA6"/>
    <w:rsid w:val="007549ED"/>
    <w:rsid w:val="0075643C"/>
    <w:rsid w:val="00756DD1"/>
    <w:rsid w:val="00756DF4"/>
    <w:rsid w:val="00757B36"/>
    <w:rsid w:val="00761289"/>
    <w:rsid w:val="00761EA6"/>
    <w:rsid w:val="0076309A"/>
    <w:rsid w:val="00765171"/>
    <w:rsid w:val="007668BE"/>
    <w:rsid w:val="00767154"/>
    <w:rsid w:val="00772E87"/>
    <w:rsid w:val="00773B6C"/>
    <w:rsid w:val="007756D8"/>
    <w:rsid w:val="00781DF2"/>
    <w:rsid w:val="00784D4D"/>
    <w:rsid w:val="00790B95"/>
    <w:rsid w:val="00791641"/>
    <w:rsid w:val="00792743"/>
    <w:rsid w:val="007937A3"/>
    <w:rsid w:val="00795497"/>
    <w:rsid w:val="00795A83"/>
    <w:rsid w:val="007A0EDF"/>
    <w:rsid w:val="007A5690"/>
    <w:rsid w:val="007A611B"/>
    <w:rsid w:val="007B3992"/>
    <w:rsid w:val="007B40A1"/>
    <w:rsid w:val="007B40D7"/>
    <w:rsid w:val="007B4178"/>
    <w:rsid w:val="007B4684"/>
    <w:rsid w:val="007B629E"/>
    <w:rsid w:val="007B6D34"/>
    <w:rsid w:val="007B716D"/>
    <w:rsid w:val="007C09EA"/>
    <w:rsid w:val="007C1196"/>
    <w:rsid w:val="007C14F0"/>
    <w:rsid w:val="007C2309"/>
    <w:rsid w:val="007C3B9F"/>
    <w:rsid w:val="007D1C2E"/>
    <w:rsid w:val="007D1C46"/>
    <w:rsid w:val="007D3EF9"/>
    <w:rsid w:val="007D5273"/>
    <w:rsid w:val="007D6581"/>
    <w:rsid w:val="007D6DFF"/>
    <w:rsid w:val="007D6EBC"/>
    <w:rsid w:val="007E307A"/>
    <w:rsid w:val="007E3815"/>
    <w:rsid w:val="007E3E09"/>
    <w:rsid w:val="007F0A33"/>
    <w:rsid w:val="007F0F29"/>
    <w:rsid w:val="007F1329"/>
    <w:rsid w:val="007F1D2B"/>
    <w:rsid w:val="007F4D7D"/>
    <w:rsid w:val="007F717F"/>
    <w:rsid w:val="0080538B"/>
    <w:rsid w:val="00806771"/>
    <w:rsid w:val="008176CE"/>
    <w:rsid w:val="0082206E"/>
    <w:rsid w:val="008232D5"/>
    <w:rsid w:val="00823F88"/>
    <w:rsid w:val="0082700E"/>
    <w:rsid w:val="008300D6"/>
    <w:rsid w:val="00830920"/>
    <w:rsid w:val="0083151E"/>
    <w:rsid w:val="00831F5B"/>
    <w:rsid w:val="0083256D"/>
    <w:rsid w:val="00832951"/>
    <w:rsid w:val="00835DA7"/>
    <w:rsid w:val="00841EBC"/>
    <w:rsid w:val="00843769"/>
    <w:rsid w:val="00843BFB"/>
    <w:rsid w:val="00843D45"/>
    <w:rsid w:val="00852105"/>
    <w:rsid w:val="0085544C"/>
    <w:rsid w:val="00855B88"/>
    <w:rsid w:val="008604A4"/>
    <w:rsid w:val="008606F1"/>
    <w:rsid w:val="00860D9E"/>
    <w:rsid w:val="00862516"/>
    <w:rsid w:val="008661FB"/>
    <w:rsid w:val="0086784A"/>
    <w:rsid w:val="00871DE5"/>
    <w:rsid w:val="00880302"/>
    <w:rsid w:val="008811BB"/>
    <w:rsid w:val="00883F60"/>
    <w:rsid w:val="00884283"/>
    <w:rsid w:val="00884C48"/>
    <w:rsid w:val="00886FC5"/>
    <w:rsid w:val="00887275"/>
    <w:rsid w:val="00892438"/>
    <w:rsid w:val="00893713"/>
    <w:rsid w:val="008952C0"/>
    <w:rsid w:val="0089747C"/>
    <w:rsid w:val="008974F2"/>
    <w:rsid w:val="00897EDB"/>
    <w:rsid w:val="008A1389"/>
    <w:rsid w:val="008A2903"/>
    <w:rsid w:val="008B29B6"/>
    <w:rsid w:val="008B3E33"/>
    <w:rsid w:val="008B5F35"/>
    <w:rsid w:val="008B5FD4"/>
    <w:rsid w:val="008B6643"/>
    <w:rsid w:val="008B7103"/>
    <w:rsid w:val="008B76DC"/>
    <w:rsid w:val="008C23C3"/>
    <w:rsid w:val="008C37AD"/>
    <w:rsid w:val="008C4798"/>
    <w:rsid w:val="008C7DEC"/>
    <w:rsid w:val="008D3FFB"/>
    <w:rsid w:val="008D43F8"/>
    <w:rsid w:val="008D5253"/>
    <w:rsid w:val="008E268A"/>
    <w:rsid w:val="008E3451"/>
    <w:rsid w:val="008E4243"/>
    <w:rsid w:val="008E5186"/>
    <w:rsid w:val="008E53FF"/>
    <w:rsid w:val="008F3F1C"/>
    <w:rsid w:val="008F4AB9"/>
    <w:rsid w:val="008F7B76"/>
    <w:rsid w:val="009007C4"/>
    <w:rsid w:val="00904A9B"/>
    <w:rsid w:val="00905884"/>
    <w:rsid w:val="00906FE3"/>
    <w:rsid w:val="009112D3"/>
    <w:rsid w:val="009115F6"/>
    <w:rsid w:val="009165CF"/>
    <w:rsid w:val="00920D6C"/>
    <w:rsid w:val="009223AF"/>
    <w:rsid w:val="009236A1"/>
    <w:rsid w:val="0092562D"/>
    <w:rsid w:val="0092684A"/>
    <w:rsid w:val="009276D5"/>
    <w:rsid w:val="00927C37"/>
    <w:rsid w:val="00930181"/>
    <w:rsid w:val="009305B1"/>
    <w:rsid w:val="00942D58"/>
    <w:rsid w:val="00942FDE"/>
    <w:rsid w:val="009443A0"/>
    <w:rsid w:val="00952863"/>
    <w:rsid w:val="009528FA"/>
    <w:rsid w:val="009548E3"/>
    <w:rsid w:val="009553A6"/>
    <w:rsid w:val="0096166D"/>
    <w:rsid w:val="00973541"/>
    <w:rsid w:val="00975056"/>
    <w:rsid w:val="009759DB"/>
    <w:rsid w:val="00975E75"/>
    <w:rsid w:val="00975FCA"/>
    <w:rsid w:val="00984BFA"/>
    <w:rsid w:val="00984C12"/>
    <w:rsid w:val="00985F91"/>
    <w:rsid w:val="0098629D"/>
    <w:rsid w:val="00986C7E"/>
    <w:rsid w:val="00987C50"/>
    <w:rsid w:val="00987D80"/>
    <w:rsid w:val="009911B9"/>
    <w:rsid w:val="0099147D"/>
    <w:rsid w:val="009924D4"/>
    <w:rsid w:val="009961B0"/>
    <w:rsid w:val="009963BC"/>
    <w:rsid w:val="009A3A75"/>
    <w:rsid w:val="009A3B6E"/>
    <w:rsid w:val="009A4B6B"/>
    <w:rsid w:val="009A6C00"/>
    <w:rsid w:val="009B60E0"/>
    <w:rsid w:val="009B644A"/>
    <w:rsid w:val="009B67C7"/>
    <w:rsid w:val="009B7728"/>
    <w:rsid w:val="009B7E80"/>
    <w:rsid w:val="009C0BE1"/>
    <w:rsid w:val="009C1021"/>
    <w:rsid w:val="009C1C5F"/>
    <w:rsid w:val="009C3D9F"/>
    <w:rsid w:val="009C3FB8"/>
    <w:rsid w:val="009C60E6"/>
    <w:rsid w:val="009C67F4"/>
    <w:rsid w:val="009D2D4A"/>
    <w:rsid w:val="009D40C9"/>
    <w:rsid w:val="009D5E30"/>
    <w:rsid w:val="009D64B0"/>
    <w:rsid w:val="009D78FE"/>
    <w:rsid w:val="009E0DF2"/>
    <w:rsid w:val="009E1779"/>
    <w:rsid w:val="009E2765"/>
    <w:rsid w:val="009E2C4C"/>
    <w:rsid w:val="009E509B"/>
    <w:rsid w:val="009E5F55"/>
    <w:rsid w:val="009F3332"/>
    <w:rsid w:val="009F48CE"/>
    <w:rsid w:val="009F5431"/>
    <w:rsid w:val="009F5C57"/>
    <w:rsid w:val="00A006A7"/>
    <w:rsid w:val="00A02D47"/>
    <w:rsid w:val="00A0653A"/>
    <w:rsid w:val="00A079C6"/>
    <w:rsid w:val="00A11791"/>
    <w:rsid w:val="00A11C69"/>
    <w:rsid w:val="00A12E80"/>
    <w:rsid w:val="00A14E6A"/>
    <w:rsid w:val="00A15437"/>
    <w:rsid w:val="00A207B9"/>
    <w:rsid w:val="00A23E22"/>
    <w:rsid w:val="00A26D61"/>
    <w:rsid w:val="00A317A2"/>
    <w:rsid w:val="00A31C07"/>
    <w:rsid w:val="00A31E32"/>
    <w:rsid w:val="00A31F9A"/>
    <w:rsid w:val="00A35D90"/>
    <w:rsid w:val="00A37ECC"/>
    <w:rsid w:val="00A41C15"/>
    <w:rsid w:val="00A41C28"/>
    <w:rsid w:val="00A41DC7"/>
    <w:rsid w:val="00A427D4"/>
    <w:rsid w:val="00A4314F"/>
    <w:rsid w:val="00A4364F"/>
    <w:rsid w:val="00A52D07"/>
    <w:rsid w:val="00A5424F"/>
    <w:rsid w:val="00A54A8D"/>
    <w:rsid w:val="00A54EBE"/>
    <w:rsid w:val="00A56CB5"/>
    <w:rsid w:val="00A57AB4"/>
    <w:rsid w:val="00A60B03"/>
    <w:rsid w:val="00A64717"/>
    <w:rsid w:val="00A65839"/>
    <w:rsid w:val="00A667CA"/>
    <w:rsid w:val="00A6758B"/>
    <w:rsid w:val="00A7200E"/>
    <w:rsid w:val="00A74513"/>
    <w:rsid w:val="00A7458F"/>
    <w:rsid w:val="00A748C9"/>
    <w:rsid w:val="00A766DC"/>
    <w:rsid w:val="00A77398"/>
    <w:rsid w:val="00A80C51"/>
    <w:rsid w:val="00A81EDF"/>
    <w:rsid w:val="00A83A62"/>
    <w:rsid w:val="00A8552A"/>
    <w:rsid w:val="00A90F4E"/>
    <w:rsid w:val="00A929CC"/>
    <w:rsid w:val="00A940A3"/>
    <w:rsid w:val="00A9536F"/>
    <w:rsid w:val="00A95495"/>
    <w:rsid w:val="00A955F2"/>
    <w:rsid w:val="00A963A8"/>
    <w:rsid w:val="00A97930"/>
    <w:rsid w:val="00AA0FBE"/>
    <w:rsid w:val="00AA3F2D"/>
    <w:rsid w:val="00AA4479"/>
    <w:rsid w:val="00AA48D1"/>
    <w:rsid w:val="00AA6626"/>
    <w:rsid w:val="00AB692C"/>
    <w:rsid w:val="00AB6A0A"/>
    <w:rsid w:val="00AB7E31"/>
    <w:rsid w:val="00AC212F"/>
    <w:rsid w:val="00AC7EC7"/>
    <w:rsid w:val="00AD2F5B"/>
    <w:rsid w:val="00AD464B"/>
    <w:rsid w:val="00AD7E81"/>
    <w:rsid w:val="00AE0FF5"/>
    <w:rsid w:val="00AE127D"/>
    <w:rsid w:val="00AE15FC"/>
    <w:rsid w:val="00AE399F"/>
    <w:rsid w:val="00AF12E5"/>
    <w:rsid w:val="00AF5BFE"/>
    <w:rsid w:val="00AF6304"/>
    <w:rsid w:val="00AF7D70"/>
    <w:rsid w:val="00B017FE"/>
    <w:rsid w:val="00B0192A"/>
    <w:rsid w:val="00B01962"/>
    <w:rsid w:val="00B045F9"/>
    <w:rsid w:val="00B05275"/>
    <w:rsid w:val="00B0581A"/>
    <w:rsid w:val="00B05AEA"/>
    <w:rsid w:val="00B05D04"/>
    <w:rsid w:val="00B05D2A"/>
    <w:rsid w:val="00B06FE5"/>
    <w:rsid w:val="00B11E36"/>
    <w:rsid w:val="00B12056"/>
    <w:rsid w:val="00B13185"/>
    <w:rsid w:val="00B137BC"/>
    <w:rsid w:val="00B13B85"/>
    <w:rsid w:val="00B164F6"/>
    <w:rsid w:val="00B17E63"/>
    <w:rsid w:val="00B17F7F"/>
    <w:rsid w:val="00B20869"/>
    <w:rsid w:val="00B211ED"/>
    <w:rsid w:val="00B24B92"/>
    <w:rsid w:val="00B26765"/>
    <w:rsid w:val="00B319D0"/>
    <w:rsid w:val="00B33B3B"/>
    <w:rsid w:val="00B33E39"/>
    <w:rsid w:val="00B35AC3"/>
    <w:rsid w:val="00B408D0"/>
    <w:rsid w:val="00B42B61"/>
    <w:rsid w:val="00B50427"/>
    <w:rsid w:val="00B50DA0"/>
    <w:rsid w:val="00B52B37"/>
    <w:rsid w:val="00B54444"/>
    <w:rsid w:val="00B548FD"/>
    <w:rsid w:val="00B556FB"/>
    <w:rsid w:val="00B55713"/>
    <w:rsid w:val="00B56178"/>
    <w:rsid w:val="00B5635E"/>
    <w:rsid w:val="00B56361"/>
    <w:rsid w:val="00B61746"/>
    <w:rsid w:val="00B62005"/>
    <w:rsid w:val="00B639BD"/>
    <w:rsid w:val="00B6489C"/>
    <w:rsid w:val="00B653DB"/>
    <w:rsid w:val="00B65D8F"/>
    <w:rsid w:val="00B67934"/>
    <w:rsid w:val="00B750EA"/>
    <w:rsid w:val="00B76FFB"/>
    <w:rsid w:val="00B7795B"/>
    <w:rsid w:val="00B77961"/>
    <w:rsid w:val="00B803FE"/>
    <w:rsid w:val="00B83056"/>
    <w:rsid w:val="00B84989"/>
    <w:rsid w:val="00B84C74"/>
    <w:rsid w:val="00B936E6"/>
    <w:rsid w:val="00B94CF1"/>
    <w:rsid w:val="00B9518D"/>
    <w:rsid w:val="00BA2379"/>
    <w:rsid w:val="00BA2A33"/>
    <w:rsid w:val="00BA6260"/>
    <w:rsid w:val="00BA6F13"/>
    <w:rsid w:val="00BB3A8E"/>
    <w:rsid w:val="00BB7111"/>
    <w:rsid w:val="00BB7233"/>
    <w:rsid w:val="00BB774E"/>
    <w:rsid w:val="00BC01CF"/>
    <w:rsid w:val="00BC0690"/>
    <w:rsid w:val="00BC341C"/>
    <w:rsid w:val="00BC4D83"/>
    <w:rsid w:val="00BC6D1F"/>
    <w:rsid w:val="00BC7F69"/>
    <w:rsid w:val="00BD17A3"/>
    <w:rsid w:val="00BD1CD3"/>
    <w:rsid w:val="00BD218A"/>
    <w:rsid w:val="00BD24E7"/>
    <w:rsid w:val="00BD413E"/>
    <w:rsid w:val="00BE0F5B"/>
    <w:rsid w:val="00BE156A"/>
    <w:rsid w:val="00BE242C"/>
    <w:rsid w:val="00BF2DE4"/>
    <w:rsid w:val="00BF3507"/>
    <w:rsid w:val="00BF4E4B"/>
    <w:rsid w:val="00BF7045"/>
    <w:rsid w:val="00C0190B"/>
    <w:rsid w:val="00C03881"/>
    <w:rsid w:val="00C03D1F"/>
    <w:rsid w:val="00C03EC3"/>
    <w:rsid w:val="00C051BA"/>
    <w:rsid w:val="00C052AB"/>
    <w:rsid w:val="00C07A08"/>
    <w:rsid w:val="00C114D9"/>
    <w:rsid w:val="00C115C2"/>
    <w:rsid w:val="00C12A33"/>
    <w:rsid w:val="00C130B0"/>
    <w:rsid w:val="00C13415"/>
    <w:rsid w:val="00C16E01"/>
    <w:rsid w:val="00C20A8B"/>
    <w:rsid w:val="00C22FE9"/>
    <w:rsid w:val="00C234FA"/>
    <w:rsid w:val="00C31DD3"/>
    <w:rsid w:val="00C3405B"/>
    <w:rsid w:val="00C350FE"/>
    <w:rsid w:val="00C35616"/>
    <w:rsid w:val="00C3654D"/>
    <w:rsid w:val="00C510B7"/>
    <w:rsid w:val="00C52637"/>
    <w:rsid w:val="00C54440"/>
    <w:rsid w:val="00C54574"/>
    <w:rsid w:val="00C56AFC"/>
    <w:rsid w:val="00C629E7"/>
    <w:rsid w:val="00C63C44"/>
    <w:rsid w:val="00C64D70"/>
    <w:rsid w:val="00C67C02"/>
    <w:rsid w:val="00C67F26"/>
    <w:rsid w:val="00C70F55"/>
    <w:rsid w:val="00C71F7E"/>
    <w:rsid w:val="00C72985"/>
    <w:rsid w:val="00C73607"/>
    <w:rsid w:val="00C75515"/>
    <w:rsid w:val="00C763F3"/>
    <w:rsid w:val="00C768AF"/>
    <w:rsid w:val="00C7749B"/>
    <w:rsid w:val="00C82DE7"/>
    <w:rsid w:val="00C843BA"/>
    <w:rsid w:val="00C84887"/>
    <w:rsid w:val="00C86125"/>
    <w:rsid w:val="00C90895"/>
    <w:rsid w:val="00C90F87"/>
    <w:rsid w:val="00C91EA9"/>
    <w:rsid w:val="00C93355"/>
    <w:rsid w:val="00C95E93"/>
    <w:rsid w:val="00C976C1"/>
    <w:rsid w:val="00CA285B"/>
    <w:rsid w:val="00CA3C7A"/>
    <w:rsid w:val="00CA4CC1"/>
    <w:rsid w:val="00CA7A02"/>
    <w:rsid w:val="00CB10A1"/>
    <w:rsid w:val="00CB132E"/>
    <w:rsid w:val="00CB1671"/>
    <w:rsid w:val="00CB215D"/>
    <w:rsid w:val="00CB3128"/>
    <w:rsid w:val="00CB582D"/>
    <w:rsid w:val="00CB5BAD"/>
    <w:rsid w:val="00CB63FC"/>
    <w:rsid w:val="00CB78F3"/>
    <w:rsid w:val="00CC1E96"/>
    <w:rsid w:val="00CC2077"/>
    <w:rsid w:val="00CC5B0C"/>
    <w:rsid w:val="00CC7527"/>
    <w:rsid w:val="00CD14FD"/>
    <w:rsid w:val="00CD398B"/>
    <w:rsid w:val="00CD607F"/>
    <w:rsid w:val="00CD60E2"/>
    <w:rsid w:val="00CE1222"/>
    <w:rsid w:val="00CE14D1"/>
    <w:rsid w:val="00CE1C1B"/>
    <w:rsid w:val="00CE5F29"/>
    <w:rsid w:val="00CE7210"/>
    <w:rsid w:val="00CF37DE"/>
    <w:rsid w:val="00CF3923"/>
    <w:rsid w:val="00CF45D0"/>
    <w:rsid w:val="00CF4883"/>
    <w:rsid w:val="00CF6FCC"/>
    <w:rsid w:val="00D00B65"/>
    <w:rsid w:val="00D06972"/>
    <w:rsid w:val="00D0777F"/>
    <w:rsid w:val="00D100CD"/>
    <w:rsid w:val="00D10C0D"/>
    <w:rsid w:val="00D11AE1"/>
    <w:rsid w:val="00D1361C"/>
    <w:rsid w:val="00D177D0"/>
    <w:rsid w:val="00D21461"/>
    <w:rsid w:val="00D22BE5"/>
    <w:rsid w:val="00D2462F"/>
    <w:rsid w:val="00D30B85"/>
    <w:rsid w:val="00D332AB"/>
    <w:rsid w:val="00D34F96"/>
    <w:rsid w:val="00D37A63"/>
    <w:rsid w:val="00D40ABB"/>
    <w:rsid w:val="00D44310"/>
    <w:rsid w:val="00D44B33"/>
    <w:rsid w:val="00D468F3"/>
    <w:rsid w:val="00D51316"/>
    <w:rsid w:val="00D51A8E"/>
    <w:rsid w:val="00D52065"/>
    <w:rsid w:val="00D556A1"/>
    <w:rsid w:val="00D563C2"/>
    <w:rsid w:val="00D57164"/>
    <w:rsid w:val="00D57281"/>
    <w:rsid w:val="00D620FD"/>
    <w:rsid w:val="00D658C7"/>
    <w:rsid w:val="00D65967"/>
    <w:rsid w:val="00D66208"/>
    <w:rsid w:val="00D66AD3"/>
    <w:rsid w:val="00D672FE"/>
    <w:rsid w:val="00D67D60"/>
    <w:rsid w:val="00D732AF"/>
    <w:rsid w:val="00D7736A"/>
    <w:rsid w:val="00D777F1"/>
    <w:rsid w:val="00D80109"/>
    <w:rsid w:val="00D8185B"/>
    <w:rsid w:val="00D8194A"/>
    <w:rsid w:val="00D81C50"/>
    <w:rsid w:val="00D82F3E"/>
    <w:rsid w:val="00D83288"/>
    <w:rsid w:val="00D8599D"/>
    <w:rsid w:val="00D93284"/>
    <w:rsid w:val="00D94B21"/>
    <w:rsid w:val="00D969A3"/>
    <w:rsid w:val="00D97C58"/>
    <w:rsid w:val="00DA4164"/>
    <w:rsid w:val="00DA584A"/>
    <w:rsid w:val="00DB1D5D"/>
    <w:rsid w:val="00DB255E"/>
    <w:rsid w:val="00DB33B2"/>
    <w:rsid w:val="00DB65D7"/>
    <w:rsid w:val="00DB6895"/>
    <w:rsid w:val="00DC0203"/>
    <w:rsid w:val="00DC1D5A"/>
    <w:rsid w:val="00DC1FFC"/>
    <w:rsid w:val="00DC53D1"/>
    <w:rsid w:val="00DC672C"/>
    <w:rsid w:val="00DC7AB8"/>
    <w:rsid w:val="00DD525D"/>
    <w:rsid w:val="00DD5508"/>
    <w:rsid w:val="00DD6352"/>
    <w:rsid w:val="00DD7890"/>
    <w:rsid w:val="00DE01D4"/>
    <w:rsid w:val="00DE0E0D"/>
    <w:rsid w:val="00DE4BCE"/>
    <w:rsid w:val="00DE5E63"/>
    <w:rsid w:val="00DE639C"/>
    <w:rsid w:val="00DE675A"/>
    <w:rsid w:val="00DF0B7A"/>
    <w:rsid w:val="00DF2CA3"/>
    <w:rsid w:val="00E02275"/>
    <w:rsid w:val="00E059E3"/>
    <w:rsid w:val="00E0694A"/>
    <w:rsid w:val="00E06F49"/>
    <w:rsid w:val="00E12C7E"/>
    <w:rsid w:val="00E12D16"/>
    <w:rsid w:val="00E14488"/>
    <w:rsid w:val="00E1452E"/>
    <w:rsid w:val="00E16302"/>
    <w:rsid w:val="00E17D35"/>
    <w:rsid w:val="00E210D7"/>
    <w:rsid w:val="00E21ACA"/>
    <w:rsid w:val="00E257ED"/>
    <w:rsid w:val="00E27E2D"/>
    <w:rsid w:val="00E3573D"/>
    <w:rsid w:val="00E35768"/>
    <w:rsid w:val="00E35A87"/>
    <w:rsid w:val="00E375E1"/>
    <w:rsid w:val="00E40A3B"/>
    <w:rsid w:val="00E411B5"/>
    <w:rsid w:val="00E431DF"/>
    <w:rsid w:val="00E43C97"/>
    <w:rsid w:val="00E4506A"/>
    <w:rsid w:val="00E45866"/>
    <w:rsid w:val="00E46D64"/>
    <w:rsid w:val="00E47815"/>
    <w:rsid w:val="00E52893"/>
    <w:rsid w:val="00E52A46"/>
    <w:rsid w:val="00E54657"/>
    <w:rsid w:val="00E56129"/>
    <w:rsid w:val="00E56196"/>
    <w:rsid w:val="00E5731D"/>
    <w:rsid w:val="00E62B0B"/>
    <w:rsid w:val="00E65377"/>
    <w:rsid w:val="00E6697F"/>
    <w:rsid w:val="00E727B8"/>
    <w:rsid w:val="00E74681"/>
    <w:rsid w:val="00E7472D"/>
    <w:rsid w:val="00E7506E"/>
    <w:rsid w:val="00E77CF4"/>
    <w:rsid w:val="00E8042B"/>
    <w:rsid w:val="00E820A0"/>
    <w:rsid w:val="00E85040"/>
    <w:rsid w:val="00E85C85"/>
    <w:rsid w:val="00E86ACB"/>
    <w:rsid w:val="00E875CA"/>
    <w:rsid w:val="00E9217F"/>
    <w:rsid w:val="00E936FB"/>
    <w:rsid w:val="00E93E2B"/>
    <w:rsid w:val="00E93E6C"/>
    <w:rsid w:val="00E9496E"/>
    <w:rsid w:val="00E95E2C"/>
    <w:rsid w:val="00E96765"/>
    <w:rsid w:val="00E97D09"/>
    <w:rsid w:val="00EA009B"/>
    <w:rsid w:val="00EA04B7"/>
    <w:rsid w:val="00EA0937"/>
    <w:rsid w:val="00EA637C"/>
    <w:rsid w:val="00EA7723"/>
    <w:rsid w:val="00EB17F3"/>
    <w:rsid w:val="00EB1DB2"/>
    <w:rsid w:val="00EB28CA"/>
    <w:rsid w:val="00EB34BE"/>
    <w:rsid w:val="00EB57D6"/>
    <w:rsid w:val="00EB63A2"/>
    <w:rsid w:val="00EB6E5F"/>
    <w:rsid w:val="00EB709C"/>
    <w:rsid w:val="00EB716B"/>
    <w:rsid w:val="00EC5445"/>
    <w:rsid w:val="00EC6660"/>
    <w:rsid w:val="00EC7ACD"/>
    <w:rsid w:val="00ED252B"/>
    <w:rsid w:val="00ED5CA1"/>
    <w:rsid w:val="00ED6CE1"/>
    <w:rsid w:val="00ED70E5"/>
    <w:rsid w:val="00EE1688"/>
    <w:rsid w:val="00EE1717"/>
    <w:rsid w:val="00EE1BF3"/>
    <w:rsid w:val="00EE23CC"/>
    <w:rsid w:val="00EE2E1B"/>
    <w:rsid w:val="00EE332E"/>
    <w:rsid w:val="00EE4BEF"/>
    <w:rsid w:val="00EF0C20"/>
    <w:rsid w:val="00EF34E6"/>
    <w:rsid w:val="00EF36D5"/>
    <w:rsid w:val="00EF3F63"/>
    <w:rsid w:val="00EF4889"/>
    <w:rsid w:val="00EF4C13"/>
    <w:rsid w:val="00EF6EEB"/>
    <w:rsid w:val="00EF7609"/>
    <w:rsid w:val="00EF7BFA"/>
    <w:rsid w:val="00F04B07"/>
    <w:rsid w:val="00F04B50"/>
    <w:rsid w:val="00F072C2"/>
    <w:rsid w:val="00F1066F"/>
    <w:rsid w:val="00F11051"/>
    <w:rsid w:val="00F14F7F"/>
    <w:rsid w:val="00F21207"/>
    <w:rsid w:val="00F213A1"/>
    <w:rsid w:val="00F22657"/>
    <w:rsid w:val="00F24CF3"/>
    <w:rsid w:val="00F25275"/>
    <w:rsid w:val="00F2725E"/>
    <w:rsid w:val="00F30086"/>
    <w:rsid w:val="00F30240"/>
    <w:rsid w:val="00F320E9"/>
    <w:rsid w:val="00F33F07"/>
    <w:rsid w:val="00F35B69"/>
    <w:rsid w:val="00F37AC1"/>
    <w:rsid w:val="00F42E9A"/>
    <w:rsid w:val="00F43569"/>
    <w:rsid w:val="00F45D65"/>
    <w:rsid w:val="00F4745B"/>
    <w:rsid w:val="00F502D3"/>
    <w:rsid w:val="00F5110A"/>
    <w:rsid w:val="00F52FF2"/>
    <w:rsid w:val="00F53FD4"/>
    <w:rsid w:val="00F55439"/>
    <w:rsid w:val="00F56BEA"/>
    <w:rsid w:val="00F65CA6"/>
    <w:rsid w:val="00F66A4D"/>
    <w:rsid w:val="00F6729A"/>
    <w:rsid w:val="00F714BF"/>
    <w:rsid w:val="00F72D89"/>
    <w:rsid w:val="00F749BB"/>
    <w:rsid w:val="00F74F31"/>
    <w:rsid w:val="00F75280"/>
    <w:rsid w:val="00F80248"/>
    <w:rsid w:val="00F80FAA"/>
    <w:rsid w:val="00F9218E"/>
    <w:rsid w:val="00F95FE2"/>
    <w:rsid w:val="00F96B3B"/>
    <w:rsid w:val="00FA0D4F"/>
    <w:rsid w:val="00FA3C12"/>
    <w:rsid w:val="00FA4E5D"/>
    <w:rsid w:val="00FB02D1"/>
    <w:rsid w:val="00FB1730"/>
    <w:rsid w:val="00FB3A1E"/>
    <w:rsid w:val="00FB3C91"/>
    <w:rsid w:val="00FB4DCC"/>
    <w:rsid w:val="00FB50BC"/>
    <w:rsid w:val="00FB6647"/>
    <w:rsid w:val="00FB7C07"/>
    <w:rsid w:val="00FC0F9A"/>
    <w:rsid w:val="00FC5BCB"/>
    <w:rsid w:val="00FD0C68"/>
    <w:rsid w:val="00FD2AD6"/>
    <w:rsid w:val="00FD3413"/>
    <w:rsid w:val="00FD3F1A"/>
    <w:rsid w:val="00FD442A"/>
    <w:rsid w:val="00FD6406"/>
    <w:rsid w:val="00FE2950"/>
    <w:rsid w:val="00FE5FE9"/>
    <w:rsid w:val="00FF0F02"/>
    <w:rsid w:val="00FF2AD4"/>
    <w:rsid w:val="00FF3C0A"/>
    <w:rsid w:val="01002406"/>
    <w:rsid w:val="011473B7"/>
    <w:rsid w:val="01203FAE"/>
    <w:rsid w:val="018D5656"/>
    <w:rsid w:val="019C06C5"/>
    <w:rsid w:val="01B841E6"/>
    <w:rsid w:val="01D6466C"/>
    <w:rsid w:val="020C008E"/>
    <w:rsid w:val="0213141D"/>
    <w:rsid w:val="022C6982"/>
    <w:rsid w:val="023C4E17"/>
    <w:rsid w:val="025263E9"/>
    <w:rsid w:val="02976E38"/>
    <w:rsid w:val="029F0F02"/>
    <w:rsid w:val="02AE5DAE"/>
    <w:rsid w:val="03011431"/>
    <w:rsid w:val="03B60A09"/>
    <w:rsid w:val="03C12D02"/>
    <w:rsid w:val="041B16D3"/>
    <w:rsid w:val="04212517"/>
    <w:rsid w:val="0446340E"/>
    <w:rsid w:val="047563BF"/>
    <w:rsid w:val="04A14D61"/>
    <w:rsid w:val="04AC5B58"/>
    <w:rsid w:val="04B4178F"/>
    <w:rsid w:val="04DF7CDC"/>
    <w:rsid w:val="04EC54CB"/>
    <w:rsid w:val="04FC07BA"/>
    <w:rsid w:val="05126C96"/>
    <w:rsid w:val="05545FD4"/>
    <w:rsid w:val="058762A2"/>
    <w:rsid w:val="05993F9D"/>
    <w:rsid w:val="059B12C3"/>
    <w:rsid w:val="06017212"/>
    <w:rsid w:val="06331CA6"/>
    <w:rsid w:val="065053A6"/>
    <w:rsid w:val="06540256"/>
    <w:rsid w:val="06590FCC"/>
    <w:rsid w:val="065F0BEE"/>
    <w:rsid w:val="06BC44F8"/>
    <w:rsid w:val="06DC2725"/>
    <w:rsid w:val="06E46449"/>
    <w:rsid w:val="06E710CA"/>
    <w:rsid w:val="073B40E1"/>
    <w:rsid w:val="074813ED"/>
    <w:rsid w:val="0779260C"/>
    <w:rsid w:val="07797F74"/>
    <w:rsid w:val="0797291E"/>
    <w:rsid w:val="07A5520D"/>
    <w:rsid w:val="07AB0349"/>
    <w:rsid w:val="07C80EFB"/>
    <w:rsid w:val="08275E29"/>
    <w:rsid w:val="08400A92"/>
    <w:rsid w:val="08A116F6"/>
    <w:rsid w:val="08CB3C95"/>
    <w:rsid w:val="08F660E7"/>
    <w:rsid w:val="09156202"/>
    <w:rsid w:val="09193381"/>
    <w:rsid w:val="093F0D49"/>
    <w:rsid w:val="096B5FE2"/>
    <w:rsid w:val="09B72FD5"/>
    <w:rsid w:val="09CD219B"/>
    <w:rsid w:val="09ED576F"/>
    <w:rsid w:val="0A28525D"/>
    <w:rsid w:val="0A484F06"/>
    <w:rsid w:val="0A5151D8"/>
    <w:rsid w:val="0A7E3AF3"/>
    <w:rsid w:val="0AA01CBB"/>
    <w:rsid w:val="0AB66451"/>
    <w:rsid w:val="0AC31DF0"/>
    <w:rsid w:val="0ACE2E18"/>
    <w:rsid w:val="0ADA51CD"/>
    <w:rsid w:val="0AEA6071"/>
    <w:rsid w:val="0AF941F4"/>
    <w:rsid w:val="0B1A6E14"/>
    <w:rsid w:val="0B582596"/>
    <w:rsid w:val="0B6E3B68"/>
    <w:rsid w:val="0B9A2BAF"/>
    <w:rsid w:val="0BAD4BBE"/>
    <w:rsid w:val="0BDD03A0"/>
    <w:rsid w:val="0C2661F0"/>
    <w:rsid w:val="0C36713E"/>
    <w:rsid w:val="0C50326D"/>
    <w:rsid w:val="0C7C4062"/>
    <w:rsid w:val="0CB71B13"/>
    <w:rsid w:val="0CBF0B1F"/>
    <w:rsid w:val="0CC51EAD"/>
    <w:rsid w:val="0CE642FD"/>
    <w:rsid w:val="0D043473"/>
    <w:rsid w:val="0D2827B7"/>
    <w:rsid w:val="0D606E6F"/>
    <w:rsid w:val="0D6E006D"/>
    <w:rsid w:val="0DB55A7E"/>
    <w:rsid w:val="0DF15DBE"/>
    <w:rsid w:val="0E051DE2"/>
    <w:rsid w:val="0E0B7D94"/>
    <w:rsid w:val="0E925DBF"/>
    <w:rsid w:val="0E9B4C74"/>
    <w:rsid w:val="0EFE5F92"/>
    <w:rsid w:val="0F2F1860"/>
    <w:rsid w:val="0F6E0DC3"/>
    <w:rsid w:val="0F8A6A96"/>
    <w:rsid w:val="0F9A13CF"/>
    <w:rsid w:val="0FE4089C"/>
    <w:rsid w:val="0FF54858"/>
    <w:rsid w:val="10141182"/>
    <w:rsid w:val="101C3B92"/>
    <w:rsid w:val="10376BE3"/>
    <w:rsid w:val="10AF48AE"/>
    <w:rsid w:val="112B08A2"/>
    <w:rsid w:val="115E090E"/>
    <w:rsid w:val="11A55E09"/>
    <w:rsid w:val="11D34737"/>
    <w:rsid w:val="11DB304C"/>
    <w:rsid w:val="12557352"/>
    <w:rsid w:val="126A7ED4"/>
    <w:rsid w:val="12C52FCD"/>
    <w:rsid w:val="13022984"/>
    <w:rsid w:val="13182D37"/>
    <w:rsid w:val="131C20FB"/>
    <w:rsid w:val="1334043C"/>
    <w:rsid w:val="137E6912"/>
    <w:rsid w:val="13F15336"/>
    <w:rsid w:val="1422105C"/>
    <w:rsid w:val="14504752"/>
    <w:rsid w:val="14570199"/>
    <w:rsid w:val="1468384A"/>
    <w:rsid w:val="147815B3"/>
    <w:rsid w:val="148727DF"/>
    <w:rsid w:val="14A64372"/>
    <w:rsid w:val="14A800EA"/>
    <w:rsid w:val="14AD3953"/>
    <w:rsid w:val="14CD7B51"/>
    <w:rsid w:val="14DB7F7A"/>
    <w:rsid w:val="157224A6"/>
    <w:rsid w:val="15793FF4"/>
    <w:rsid w:val="158E72E0"/>
    <w:rsid w:val="162E5E8B"/>
    <w:rsid w:val="163D0D06"/>
    <w:rsid w:val="16571DC8"/>
    <w:rsid w:val="1662251B"/>
    <w:rsid w:val="16BA5EB3"/>
    <w:rsid w:val="16DD382F"/>
    <w:rsid w:val="16E51F15"/>
    <w:rsid w:val="1761165C"/>
    <w:rsid w:val="17641903"/>
    <w:rsid w:val="1785447F"/>
    <w:rsid w:val="181E6DC2"/>
    <w:rsid w:val="18272DAA"/>
    <w:rsid w:val="183C6452"/>
    <w:rsid w:val="184743EC"/>
    <w:rsid w:val="185632CE"/>
    <w:rsid w:val="186831EE"/>
    <w:rsid w:val="188E0FDD"/>
    <w:rsid w:val="18DF7E53"/>
    <w:rsid w:val="19177863"/>
    <w:rsid w:val="19452A26"/>
    <w:rsid w:val="196315DB"/>
    <w:rsid w:val="197F5B9E"/>
    <w:rsid w:val="1990114D"/>
    <w:rsid w:val="19BD63E6"/>
    <w:rsid w:val="19D454DE"/>
    <w:rsid w:val="1A0C3621"/>
    <w:rsid w:val="1A5959E3"/>
    <w:rsid w:val="1A6C5261"/>
    <w:rsid w:val="1A7B3306"/>
    <w:rsid w:val="1AA2382E"/>
    <w:rsid w:val="1AAE61FB"/>
    <w:rsid w:val="1AB86BAD"/>
    <w:rsid w:val="1B1C7DC9"/>
    <w:rsid w:val="1B5608A7"/>
    <w:rsid w:val="1B5E7755"/>
    <w:rsid w:val="1B8444F2"/>
    <w:rsid w:val="1B9A62B3"/>
    <w:rsid w:val="1BD712B5"/>
    <w:rsid w:val="1BE43F09"/>
    <w:rsid w:val="1C057BD0"/>
    <w:rsid w:val="1C330D81"/>
    <w:rsid w:val="1C38154C"/>
    <w:rsid w:val="1C7865F4"/>
    <w:rsid w:val="1CCC06EE"/>
    <w:rsid w:val="1CD66F4C"/>
    <w:rsid w:val="1CE02467"/>
    <w:rsid w:val="1CFC7225"/>
    <w:rsid w:val="1D0C481B"/>
    <w:rsid w:val="1D586102"/>
    <w:rsid w:val="1D5B7470"/>
    <w:rsid w:val="1D72568A"/>
    <w:rsid w:val="1D886D0B"/>
    <w:rsid w:val="1DCB4E4A"/>
    <w:rsid w:val="1DE40E59"/>
    <w:rsid w:val="1DF223D6"/>
    <w:rsid w:val="1DFD14A7"/>
    <w:rsid w:val="1DFE521F"/>
    <w:rsid w:val="1E020BE0"/>
    <w:rsid w:val="1EFA3C38"/>
    <w:rsid w:val="1F19794E"/>
    <w:rsid w:val="1F1B49E2"/>
    <w:rsid w:val="1F283E3A"/>
    <w:rsid w:val="1F4A459A"/>
    <w:rsid w:val="1FB94DC1"/>
    <w:rsid w:val="1FBB41F8"/>
    <w:rsid w:val="1FD746B4"/>
    <w:rsid w:val="1FDD1242"/>
    <w:rsid w:val="1FE77225"/>
    <w:rsid w:val="1FFA55A0"/>
    <w:rsid w:val="20182980"/>
    <w:rsid w:val="204607B7"/>
    <w:rsid w:val="204F5BDB"/>
    <w:rsid w:val="20824D3B"/>
    <w:rsid w:val="20C80F25"/>
    <w:rsid w:val="20CE1C3C"/>
    <w:rsid w:val="20D44015"/>
    <w:rsid w:val="20F05E8F"/>
    <w:rsid w:val="212705E9"/>
    <w:rsid w:val="215313DE"/>
    <w:rsid w:val="216750D4"/>
    <w:rsid w:val="21690C01"/>
    <w:rsid w:val="216A6453"/>
    <w:rsid w:val="2173382E"/>
    <w:rsid w:val="217A4BBD"/>
    <w:rsid w:val="219F6403"/>
    <w:rsid w:val="21A67760"/>
    <w:rsid w:val="21A91C9B"/>
    <w:rsid w:val="21C53505"/>
    <w:rsid w:val="21D017E0"/>
    <w:rsid w:val="21D445E2"/>
    <w:rsid w:val="21E85FCA"/>
    <w:rsid w:val="21FF50C2"/>
    <w:rsid w:val="2222770D"/>
    <w:rsid w:val="224B0307"/>
    <w:rsid w:val="225E628C"/>
    <w:rsid w:val="228B7A37"/>
    <w:rsid w:val="22965A26"/>
    <w:rsid w:val="22994C0C"/>
    <w:rsid w:val="22A75E85"/>
    <w:rsid w:val="22A8447E"/>
    <w:rsid w:val="22B440FE"/>
    <w:rsid w:val="22DD1EAF"/>
    <w:rsid w:val="22EC3898"/>
    <w:rsid w:val="22F25F84"/>
    <w:rsid w:val="23130E25"/>
    <w:rsid w:val="23641680"/>
    <w:rsid w:val="23B753E0"/>
    <w:rsid w:val="23B855B4"/>
    <w:rsid w:val="23C91E2B"/>
    <w:rsid w:val="23DF13AB"/>
    <w:rsid w:val="23E37951"/>
    <w:rsid w:val="24183DE7"/>
    <w:rsid w:val="245B3C6C"/>
    <w:rsid w:val="245C2C9F"/>
    <w:rsid w:val="247B7807"/>
    <w:rsid w:val="25100723"/>
    <w:rsid w:val="25421DE8"/>
    <w:rsid w:val="25535E50"/>
    <w:rsid w:val="25675458"/>
    <w:rsid w:val="25781413"/>
    <w:rsid w:val="259F67B0"/>
    <w:rsid w:val="25AE752B"/>
    <w:rsid w:val="25C1100C"/>
    <w:rsid w:val="2613738E"/>
    <w:rsid w:val="264B30E2"/>
    <w:rsid w:val="265E52B0"/>
    <w:rsid w:val="266A1AC6"/>
    <w:rsid w:val="266A1E20"/>
    <w:rsid w:val="2674607E"/>
    <w:rsid w:val="273B4DEE"/>
    <w:rsid w:val="27930786"/>
    <w:rsid w:val="27E6548A"/>
    <w:rsid w:val="28185CCE"/>
    <w:rsid w:val="281E51E9"/>
    <w:rsid w:val="282633A8"/>
    <w:rsid w:val="28316FFE"/>
    <w:rsid w:val="28416802"/>
    <w:rsid w:val="287E4F92"/>
    <w:rsid w:val="288A3964"/>
    <w:rsid w:val="288B6DA0"/>
    <w:rsid w:val="28D41136"/>
    <w:rsid w:val="28D8436E"/>
    <w:rsid w:val="291D29FD"/>
    <w:rsid w:val="295747A5"/>
    <w:rsid w:val="296543A4"/>
    <w:rsid w:val="29A70519"/>
    <w:rsid w:val="29AC5B2F"/>
    <w:rsid w:val="29BA577A"/>
    <w:rsid w:val="29DF48AB"/>
    <w:rsid w:val="29E66346"/>
    <w:rsid w:val="29EF180F"/>
    <w:rsid w:val="2A2D363F"/>
    <w:rsid w:val="2A357B24"/>
    <w:rsid w:val="2A480815"/>
    <w:rsid w:val="2A6308E4"/>
    <w:rsid w:val="2AB40FBA"/>
    <w:rsid w:val="2AE15CAC"/>
    <w:rsid w:val="2B0D23CA"/>
    <w:rsid w:val="2B133306"/>
    <w:rsid w:val="2B2D3242"/>
    <w:rsid w:val="2B6C0CC0"/>
    <w:rsid w:val="2B736B2E"/>
    <w:rsid w:val="2B797407"/>
    <w:rsid w:val="2C0E2AD1"/>
    <w:rsid w:val="2C46226B"/>
    <w:rsid w:val="2C536736"/>
    <w:rsid w:val="2C700D26"/>
    <w:rsid w:val="2C8F66B8"/>
    <w:rsid w:val="2D5072B9"/>
    <w:rsid w:val="2D6B7AAF"/>
    <w:rsid w:val="2D7D9C60"/>
    <w:rsid w:val="2D915768"/>
    <w:rsid w:val="2D9C502E"/>
    <w:rsid w:val="2DB56DA0"/>
    <w:rsid w:val="2DE955A4"/>
    <w:rsid w:val="2DFD4BAB"/>
    <w:rsid w:val="2E026666"/>
    <w:rsid w:val="2E0B6614"/>
    <w:rsid w:val="2E1571C8"/>
    <w:rsid w:val="2E310CF9"/>
    <w:rsid w:val="2E326837"/>
    <w:rsid w:val="2E3C1B78"/>
    <w:rsid w:val="2E3E157B"/>
    <w:rsid w:val="2E4564F4"/>
    <w:rsid w:val="2E642E7C"/>
    <w:rsid w:val="2E980D78"/>
    <w:rsid w:val="2EAB3DD0"/>
    <w:rsid w:val="2EAD2059"/>
    <w:rsid w:val="2EBD433B"/>
    <w:rsid w:val="2EF502DE"/>
    <w:rsid w:val="2F096CB6"/>
    <w:rsid w:val="2F1E302B"/>
    <w:rsid w:val="2F464330"/>
    <w:rsid w:val="2FAD43AF"/>
    <w:rsid w:val="2FD730B6"/>
    <w:rsid w:val="301D32E3"/>
    <w:rsid w:val="3067426E"/>
    <w:rsid w:val="30C1437D"/>
    <w:rsid w:val="30D452BD"/>
    <w:rsid w:val="30D64643"/>
    <w:rsid w:val="31012C04"/>
    <w:rsid w:val="3106021B"/>
    <w:rsid w:val="31245358"/>
    <w:rsid w:val="31341609"/>
    <w:rsid w:val="315423E2"/>
    <w:rsid w:val="319B5923"/>
    <w:rsid w:val="319F5C31"/>
    <w:rsid w:val="31DF1C69"/>
    <w:rsid w:val="32221084"/>
    <w:rsid w:val="32556C13"/>
    <w:rsid w:val="32627A4B"/>
    <w:rsid w:val="32841682"/>
    <w:rsid w:val="32847649"/>
    <w:rsid w:val="32AA2E28"/>
    <w:rsid w:val="32B52E6D"/>
    <w:rsid w:val="32BE51C6"/>
    <w:rsid w:val="33346287"/>
    <w:rsid w:val="334048C6"/>
    <w:rsid w:val="334836B2"/>
    <w:rsid w:val="33BB353F"/>
    <w:rsid w:val="33F9299F"/>
    <w:rsid w:val="34056568"/>
    <w:rsid w:val="341D7D55"/>
    <w:rsid w:val="34E82FA4"/>
    <w:rsid w:val="352D3F09"/>
    <w:rsid w:val="3536405D"/>
    <w:rsid w:val="358E07DF"/>
    <w:rsid w:val="35A3428A"/>
    <w:rsid w:val="35B30245"/>
    <w:rsid w:val="35CB1A33"/>
    <w:rsid w:val="35E52AF5"/>
    <w:rsid w:val="36453076"/>
    <w:rsid w:val="364A0BAA"/>
    <w:rsid w:val="365911C3"/>
    <w:rsid w:val="36714388"/>
    <w:rsid w:val="36714707"/>
    <w:rsid w:val="367B06F3"/>
    <w:rsid w:val="36883480"/>
    <w:rsid w:val="373C383C"/>
    <w:rsid w:val="373C7938"/>
    <w:rsid w:val="373D426B"/>
    <w:rsid w:val="3744384B"/>
    <w:rsid w:val="377753EA"/>
    <w:rsid w:val="37EE573A"/>
    <w:rsid w:val="381A712E"/>
    <w:rsid w:val="383D148E"/>
    <w:rsid w:val="388C030C"/>
    <w:rsid w:val="38C05153"/>
    <w:rsid w:val="38D50017"/>
    <w:rsid w:val="38EB3928"/>
    <w:rsid w:val="391536F1"/>
    <w:rsid w:val="391F00CC"/>
    <w:rsid w:val="391F631E"/>
    <w:rsid w:val="395104A1"/>
    <w:rsid w:val="39655E86"/>
    <w:rsid w:val="396D52CB"/>
    <w:rsid w:val="39AF5FE9"/>
    <w:rsid w:val="39DF785B"/>
    <w:rsid w:val="39E76710"/>
    <w:rsid w:val="39F018D9"/>
    <w:rsid w:val="3A1309C2"/>
    <w:rsid w:val="3A5218D2"/>
    <w:rsid w:val="3AAF547F"/>
    <w:rsid w:val="3AB605BC"/>
    <w:rsid w:val="3B55613F"/>
    <w:rsid w:val="3B64270E"/>
    <w:rsid w:val="3B660598"/>
    <w:rsid w:val="3BAC751F"/>
    <w:rsid w:val="3BB6283D"/>
    <w:rsid w:val="3BC907C3"/>
    <w:rsid w:val="3C0D4B53"/>
    <w:rsid w:val="3C1852A6"/>
    <w:rsid w:val="3C90308E"/>
    <w:rsid w:val="3CA12117"/>
    <w:rsid w:val="3CB11136"/>
    <w:rsid w:val="3CDC06FC"/>
    <w:rsid w:val="3D3D6D72"/>
    <w:rsid w:val="3E043D34"/>
    <w:rsid w:val="3E155F41"/>
    <w:rsid w:val="3E7D12C7"/>
    <w:rsid w:val="3EDDDFB4"/>
    <w:rsid w:val="3EEF0540"/>
    <w:rsid w:val="3F275F2C"/>
    <w:rsid w:val="3F6A0346"/>
    <w:rsid w:val="3F87243F"/>
    <w:rsid w:val="3F9115F7"/>
    <w:rsid w:val="3FDB1B3D"/>
    <w:rsid w:val="3FDD2F01"/>
    <w:rsid w:val="3FFC74E0"/>
    <w:rsid w:val="406D5BC1"/>
    <w:rsid w:val="40EC29E0"/>
    <w:rsid w:val="40F13A78"/>
    <w:rsid w:val="40F21E30"/>
    <w:rsid w:val="40F8759F"/>
    <w:rsid w:val="41807B75"/>
    <w:rsid w:val="419537AF"/>
    <w:rsid w:val="41D30535"/>
    <w:rsid w:val="41F63994"/>
    <w:rsid w:val="42042555"/>
    <w:rsid w:val="42A22ED7"/>
    <w:rsid w:val="42DAF02F"/>
    <w:rsid w:val="435766B4"/>
    <w:rsid w:val="435F10A0"/>
    <w:rsid w:val="436F0772"/>
    <w:rsid w:val="4378034F"/>
    <w:rsid w:val="438302CA"/>
    <w:rsid w:val="43CB76FE"/>
    <w:rsid w:val="43DD4D67"/>
    <w:rsid w:val="43E20674"/>
    <w:rsid w:val="44305DBB"/>
    <w:rsid w:val="44352E99"/>
    <w:rsid w:val="44537868"/>
    <w:rsid w:val="44CA4BFA"/>
    <w:rsid w:val="44EF4B92"/>
    <w:rsid w:val="45014B29"/>
    <w:rsid w:val="45050ABD"/>
    <w:rsid w:val="452B7DF8"/>
    <w:rsid w:val="45433394"/>
    <w:rsid w:val="45521829"/>
    <w:rsid w:val="45603F46"/>
    <w:rsid w:val="457B057E"/>
    <w:rsid w:val="458C4B06"/>
    <w:rsid w:val="458E4A1E"/>
    <w:rsid w:val="45AF4585"/>
    <w:rsid w:val="45B1654F"/>
    <w:rsid w:val="45ED45AB"/>
    <w:rsid w:val="45F77C53"/>
    <w:rsid w:val="461011E0"/>
    <w:rsid w:val="461940F5"/>
    <w:rsid w:val="461D2FA9"/>
    <w:rsid w:val="46380A1F"/>
    <w:rsid w:val="463B4C52"/>
    <w:rsid w:val="464C6A59"/>
    <w:rsid w:val="467B090B"/>
    <w:rsid w:val="468B0023"/>
    <w:rsid w:val="468E6891"/>
    <w:rsid w:val="46A831C3"/>
    <w:rsid w:val="46C40504"/>
    <w:rsid w:val="46DA3884"/>
    <w:rsid w:val="47043429"/>
    <w:rsid w:val="47136D96"/>
    <w:rsid w:val="473D0433"/>
    <w:rsid w:val="47971775"/>
    <w:rsid w:val="47B21175"/>
    <w:rsid w:val="48277C9B"/>
    <w:rsid w:val="48594B98"/>
    <w:rsid w:val="48716A49"/>
    <w:rsid w:val="49463453"/>
    <w:rsid w:val="494A551F"/>
    <w:rsid w:val="49575660"/>
    <w:rsid w:val="49BA5C30"/>
    <w:rsid w:val="49D4261E"/>
    <w:rsid w:val="49FA5FEB"/>
    <w:rsid w:val="4A2D016F"/>
    <w:rsid w:val="4A361A20"/>
    <w:rsid w:val="4A4C4A99"/>
    <w:rsid w:val="4AB34B18"/>
    <w:rsid w:val="4AC8276C"/>
    <w:rsid w:val="4AF92C8C"/>
    <w:rsid w:val="4AFB31E7"/>
    <w:rsid w:val="4B177675"/>
    <w:rsid w:val="4B1A06F3"/>
    <w:rsid w:val="4B245A16"/>
    <w:rsid w:val="4B8D6ED7"/>
    <w:rsid w:val="4BBB220E"/>
    <w:rsid w:val="4BF61160"/>
    <w:rsid w:val="4BF74ED8"/>
    <w:rsid w:val="4C556D10"/>
    <w:rsid w:val="4CD54ADB"/>
    <w:rsid w:val="4CFA6A2E"/>
    <w:rsid w:val="4CFB2295"/>
    <w:rsid w:val="4D2A4DAF"/>
    <w:rsid w:val="4D302450"/>
    <w:rsid w:val="4D550108"/>
    <w:rsid w:val="4D565246"/>
    <w:rsid w:val="4DAF017E"/>
    <w:rsid w:val="4DB27309"/>
    <w:rsid w:val="4DB50BA7"/>
    <w:rsid w:val="4DBE3CA0"/>
    <w:rsid w:val="4E63108F"/>
    <w:rsid w:val="4E9253B7"/>
    <w:rsid w:val="4E9A7481"/>
    <w:rsid w:val="4EEC684A"/>
    <w:rsid w:val="4F1403F4"/>
    <w:rsid w:val="4F512177"/>
    <w:rsid w:val="4F536385"/>
    <w:rsid w:val="4FD712A8"/>
    <w:rsid w:val="504970E8"/>
    <w:rsid w:val="505D6695"/>
    <w:rsid w:val="509176A9"/>
    <w:rsid w:val="50B300A4"/>
    <w:rsid w:val="50EC1FBA"/>
    <w:rsid w:val="510A6072"/>
    <w:rsid w:val="513D00E0"/>
    <w:rsid w:val="5154524F"/>
    <w:rsid w:val="51576032"/>
    <w:rsid w:val="51702D45"/>
    <w:rsid w:val="518B7407"/>
    <w:rsid w:val="51E60623"/>
    <w:rsid w:val="51F85506"/>
    <w:rsid w:val="522E0825"/>
    <w:rsid w:val="52CB6777"/>
    <w:rsid w:val="52D054FF"/>
    <w:rsid w:val="534529CD"/>
    <w:rsid w:val="538E07C1"/>
    <w:rsid w:val="53AE0572"/>
    <w:rsid w:val="53B83B5F"/>
    <w:rsid w:val="53D55AFF"/>
    <w:rsid w:val="549E05E7"/>
    <w:rsid w:val="54D65A5F"/>
    <w:rsid w:val="54E21DAA"/>
    <w:rsid w:val="551B1C37"/>
    <w:rsid w:val="55366B43"/>
    <w:rsid w:val="55BF0815"/>
    <w:rsid w:val="55E207E7"/>
    <w:rsid w:val="55EA5046"/>
    <w:rsid w:val="563113AD"/>
    <w:rsid w:val="564F32FC"/>
    <w:rsid w:val="56CD6F61"/>
    <w:rsid w:val="56E60023"/>
    <w:rsid w:val="56F3629C"/>
    <w:rsid w:val="56FC7846"/>
    <w:rsid w:val="5701052C"/>
    <w:rsid w:val="570109B9"/>
    <w:rsid w:val="571E156B"/>
    <w:rsid w:val="57295295"/>
    <w:rsid w:val="573B0897"/>
    <w:rsid w:val="57566034"/>
    <w:rsid w:val="57773B7D"/>
    <w:rsid w:val="57C245EC"/>
    <w:rsid w:val="57C41965"/>
    <w:rsid w:val="5846521D"/>
    <w:rsid w:val="584F44B7"/>
    <w:rsid w:val="58607961"/>
    <w:rsid w:val="588C6A0A"/>
    <w:rsid w:val="588D71B2"/>
    <w:rsid w:val="588E0972"/>
    <w:rsid w:val="5896416E"/>
    <w:rsid w:val="58C779E0"/>
    <w:rsid w:val="592D496C"/>
    <w:rsid w:val="594D25DB"/>
    <w:rsid w:val="596540A2"/>
    <w:rsid w:val="59965D30"/>
    <w:rsid w:val="59A76855"/>
    <w:rsid w:val="59DB1995"/>
    <w:rsid w:val="5A20784A"/>
    <w:rsid w:val="5A462BC7"/>
    <w:rsid w:val="5A70032F"/>
    <w:rsid w:val="5A8E508B"/>
    <w:rsid w:val="5B060C94"/>
    <w:rsid w:val="5B1A64ED"/>
    <w:rsid w:val="5B8027F4"/>
    <w:rsid w:val="5B9158AD"/>
    <w:rsid w:val="5BBD67C7"/>
    <w:rsid w:val="5CFF599B"/>
    <w:rsid w:val="5D19408F"/>
    <w:rsid w:val="5D303DA6"/>
    <w:rsid w:val="5D373670"/>
    <w:rsid w:val="5D61594D"/>
    <w:rsid w:val="5D712621"/>
    <w:rsid w:val="5D7D46D2"/>
    <w:rsid w:val="5D902A97"/>
    <w:rsid w:val="5E1B2CA8"/>
    <w:rsid w:val="5E556A51"/>
    <w:rsid w:val="5EB34C8F"/>
    <w:rsid w:val="5EB822A5"/>
    <w:rsid w:val="5EC549C2"/>
    <w:rsid w:val="5ED75BF1"/>
    <w:rsid w:val="5EFB2E9A"/>
    <w:rsid w:val="5F1119B5"/>
    <w:rsid w:val="5F3FED44"/>
    <w:rsid w:val="5F443B39"/>
    <w:rsid w:val="5F480904"/>
    <w:rsid w:val="5F635895"/>
    <w:rsid w:val="5F6849D5"/>
    <w:rsid w:val="5FA56CCD"/>
    <w:rsid w:val="5FC03B07"/>
    <w:rsid w:val="5FD276B3"/>
    <w:rsid w:val="60487F1F"/>
    <w:rsid w:val="60B11859"/>
    <w:rsid w:val="60D427FB"/>
    <w:rsid w:val="618413A9"/>
    <w:rsid w:val="61D17319"/>
    <w:rsid w:val="62210161"/>
    <w:rsid w:val="622B0FE0"/>
    <w:rsid w:val="622B1281"/>
    <w:rsid w:val="62300865"/>
    <w:rsid w:val="6252656D"/>
    <w:rsid w:val="62682D27"/>
    <w:rsid w:val="627E55B4"/>
    <w:rsid w:val="62A02B74"/>
    <w:rsid w:val="62C52A37"/>
    <w:rsid w:val="62D6044E"/>
    <w:rsid w:val="62E01F3F"/>
    <w:rsid w:val="62F15D85"/>
    <w:rsid w:val="632260E1"/>
    <w:rsid w:val="635F3177"/>
    <w:rsid w:val="63A86F31"/>
    <w:rsid w:val="63B65F1F"/>
    <w:rsid w:val="63BA3EDA"/>
    <w:rsid w:val="63D0772A"/>
    <w:rsid w:val="641B57B0"/>
    <w:rsid w:val="64292951"/>
    <w:rsid w:val="642E7722"/>
    <w:rsid w:val="64502F80"/>
    <w:rsid w:val="6468651B"/>
    <w:rsid w:val="64D8544F"/>
    <w:rsid w:val="65006754"/>
    <w:rsid w:val="65731D45"/>
    <w:rsid w:val="65757A41"/>
    <w:rsid w:val="65F77B57"/>
    <w:rsid w:val="6619183C"/>
    <w:rsid w:val="666176C6"/>
    <w:rsid w:val="66807B4C"/>
    <w:rsid w:val="66A575B3"/>
    <w:rsid w:val="66EC3434"/>
    <w:rsid w:val="67217E3E"/>
    <w:rsid w:val="67397CFB"/>
    <w:rsid w:val="67FD0E9D"/>
    <w:rsid w:val="684E3922"/>
    <w:rsid w:val="685F0A1E"/>
    <w:rsid w:val="6874548F"/>
    <w:rsid w:val="68A656A4"/>
    <w:rsid w:val="68AA54CE"/>
    <w:rsid w:val="68B00491"/>
    <w:rsid w:val="68D221B5"/>
    <w:rsid w:val="69012A9A"/>
    <w:rsid w:val="69230C63"/>
    <w:rsid w:val="69567B1D"/>
    <w:rsid w:val="697E5441"/>
    <w:rsid w:val="698536CB"/>
    <w:rsid w:val="698D4ABD"/>
    <w:rsid w:val="69B144C0"/>
    <w:rsid w:val="69CF2E30"/>
    <w:rsid w:val="69D87968"/>
    <w:rsid w:val="69F44176"/>
    <w:rsid w:val="69F61ED3"/>
    <w:rsid w:val="6A0C57B8"/>
    <w:rsid w:val="6A1C1987"/>
    <w:rsid w:val="6A3550F2"/>
    <w:rsid w:val="6A4B66C3"/>
    <w:rsid w:val="6AC67AF8"/>
    <w:rsid w:val="6ADD7329"/>
    <w:rsid w:val="6AE10DD5"/>
    <w:rsid w:val="6AF428B7"/>
    <w:rsid w:val="6B1F3BE1"/>
    <w:rsid w:val="6B431148"/>
    <w:rsid w:val="6B432E2E"/>
    <w:rsid w:val="6B454EC0"/>
    <w:rsid w:val="6B601CFA"/>
    <w:rsid w:val="6BAA7E5B"/>
    <w:rsid w:val="6BB838E4"/>
    <w:rsid w:val="6BC24763"/>
    <w:rsid w:val="6CB81968"/>
    <w:rsid w:val="6CE32BE3"/>
    <w:rsid w:val="6D415200"/>
    <w:rsid w:val="6D505D9E"/>
    <w:rsid w:val="6DD2518E"/>
    <w:rsid w:val="6DDE33AA"/>
    <w:rsid w:val="6E1F0043"/>
    <w:rsid w:val="6E2B60EC"/>
    <w:rsid w:val="6E4AF4C0"/>
    <w:rsid w:val="6E4E6782"/>
    <w:rsid w:val="6F066BC2"/>
    <w:rsid w:val="6F402D2D"/>
    <w:rsid w:val="6F674E23"/>
    <w:rsid w:val="6FA86B63"/>
    <w:rsid w:val="6FA9085B"/>
    <w:rsid w:val="6FBC186C"/>
    <w:rsid w:val="6FBE16E5"/>
    <w:rsid w:val="6FE56D52"/>
    <w:rsid w:val="7026483E"/>
    <w:rsid w:val="705931BC"/>
    <w:rsid w:val="70671D7D"/>
    <w:rsid w:val="707D6EAA"/>
    <w:rsid w:val="70C4658A"/>
    <w:rsid w:val="70CE7706"/>
    <w:rsid w:val="710F37C4"/>
    <w:rsid w:val="713F6856"/>
    <w:rsid w:val="71630796"/>
    <w:rsid w:val="716B764B"/>
    <w:rsid w:val="717C53B4"/>
    <w:rsid w:val="717F6C52"/>
    <w:rsid w:val="718B55F7"/>
    <w:rsid w:val="7194566A"/>
    <w:rsid w:val="719C018B"/>
    <w:rsid w:val="71C31235"/>
    <w:rsid w:val="724C4D86"/>
    <w:rsid w:val="72A44BC2"/>
    <w:rsid w:val="72EE3EF2"/>
    <w:rsid w:val="731B2F3C"/>
    <w:rsid w:val="733F48EB"/>
    <w:rsid w:val="734D7008"/>
    <w:rsid w:val="73564CC0"/>
    <w:rsid w:val="739D1444"/>
    <w:rsid w:val="73AF1A71"/>
    <w:rsid w:val="73B13A3B"/>
    <w:rsid w:val="73B30994"/>
    <w:rsid w:val="73BB61C1"/>
    <w:rsid w:val="73DE4104"/>
    <w:rsid w:val="74060BC4"/>
    <w:rsid w:val="74275AAB"/>
    <w:rsid w:val="74687635"/>
    <w:rsid w:val="747C2511"/>
    <w:rsid w:val="74AF5AA0"/>
    <w:rsid w:val="74B862DE"/>
    <w:rsid w:val="74C87172"/>
    <w:rsid w:val="74D2767E"/>
    <w:rsid w:val="750C0C4C"/>
    <w:rsid w:val="753A5A3C"/>
    <w:rsid w:val="75457F23"/>
    <w:rsid w:val="75BF2171"/>
    <w:rsid w:val="75CC3053"/>
    <w:rsid w:val="75F34364"/>
    <w:rsid w:val="760F70A2"/>
    <w:rsid w:val="762D3121"/>
    <w:rsid w:val="763E0E8A"/>
    <w:rsid w:val="764C17F9"/>
    <w:rsid w:val="764F753B"/>
    <w:rsid w:val="76B52A9A"/>
    <w:rsid w:val="76C20247"/>
    <w:rsid w:val="76D626BD"/>
    <w:rsid w:val="76D80A05"/>
    <w:rsid w:val="76F61031"/>
    <w:rsid w:val="77091498"/>
    <w:rsid w:val="77695C41"/>
    <w:rsid w:val="77703E8C"/>
    <w:rsid w:val="778B17C2"/>
    <w:rsid w:val="778B4374"/>
    <w:rsid w:val="77A437C9"/>
    <w:rsid w:val="77A83FA1"/>
    <w:rsid w:val="77C56AEE"/>
    <w:rsid w:val="78133ABE"/>
    <w:rsid w:val="78137683"/>
    <w:rsid w:val="7815159B"/>
    <w:rsid w:val="783A477B"/>
    <w:rsid w:val="784B788E"/>
    <w:rsid w:val="78AE679B"/>
    <w:rsid w:val="78C22322"/>
    <w:rsid w:val="78E433C5"/>
    <w:rsid w:val="79294207"/>
    <w:rsid w:val="79664892"/>
    <w:rsid w:val="7974663B"/>
    <w:rsid w:val="799139C7"/>
    <w:rsid w:val="79982FA7"/>
    <w:rsid w:val="79B747FF"/>
    <w:rsid w:val="79BC0A44"/>
    <w:rsid w:val="7A3251AA"/>
    <w:rsid w:val="7A394A60"/>
    <w:rsid w:val="7A700F9D"/>
    <w:rsid w:val="7ABE6B13"/>
    <w:rsid w:val="7ADB314B"/>
    <w:rsid w:val="7BA304F0"/>
    <w:rsid w:val="7BDA7A78"/>
    <w:rsid w:val="7BE904B4"/>
    <w:rsid w:val="7C396069"/>
    <w:rsid w:val="7C9C33C3"/>
    <w:rsid w:val="7CCB1399"/>
    <w:rsid w:val="7CDE33C7"/>
    <w:rsid w:val="7CE0713F"/>
    <w:rsid w:val="7D766AAD"/>
    <w:rsid w:val="7D8908F9"/>
    <w:rsid w:val="7DA16B80"/>
    <w:rsid w:val="7DA4016C"/>
    <w:rsid w:val="7DB36F64"/>
    <w:rsid w:val="7DD86F8A"/>
    <w:rsid w:val="7E2329D8"/>
    <w:rsid w:val="7E7C4C45"/>
    <w:rsid w:val="7E99790A"/>
    <w:rsid w:val="7EEF95F4"/>
    <w:rsid w:val="7EF74270"/>
    <w:rsid w:val="7F2350C1"/>
    <w:rsid w:val="7F2D5F40"/>
    <w:rsid w:val="7F376DBE"/>
    <w:rsid w:val="7F6C4C41"/>
    <w:rsid w:val="7F74591C"/>
    <w:rsid w:val="7F930498"/>
    <w:rsid w:val="7FBE65E7"/>
    <w:rsid w:val="7FF64583"/>
    <w:rsid w:val="C5FD6296"/>
    <w:rsid w:val="D7DB76BE"/>
    <w:rsid w:val="E5A68F65"/>
    <w:rsid w:val="FE7FE36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99"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qFormat="1" w:uiPriority="0" w:semiHidden="0"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nhideWhenUsed="0" w:uiPriority="0"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qFormat="1" w:uiPriority="99" w:semiHidden="0"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qFormat="1" w:uiPriority="99" w:semiHidden="0"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8"/>
    <w:qFormat/>
    <w:uiPriority w:val="0"/>
    <w:pPr>
      <w:keepNext/>
      <w:keepLines/>
      <w:spacing w:before="340" w:beforeLines="0" w:after="330" w:afterLines="0" w:line="576" w:lineRule="auto"/>
      <w:outlineLvl w:val="0"/>
    </w:pPr>
    <w:rPr>
      <w:b/>
      <w:bCs/>
      <w:kern w:val="44"/>
      <w:sz w:val="44"/>
      <w:szCs w:val="44"/>
    </w:rPr>
  </w:style>
  <w:style w:type="paragraph" w:styleId="3">
    <w:name w:val="heading 2"/>
    <w:basedOn w:val="1"/>
    <w:next w:val="1"/>
    <w:link w:val="59"/>
    <w:qFormat/>
    <w:uiPriority w:val="0"/>
    <w:pPr>
      <w:keepNext/>
      <w:keepLines/>
      <w:spacing w:before="260" w:beforeLines="0" w:after="260" w:afterLines="0" w:line="413" w:lineRule="auto"/>
      <w:outlineLvl w:val="1"/>
    </w:pPr>
    <w:rPr>
      <w:rFonts w:ascii="Arial" w:hAnsi="Arial" w:eastAsia="黑体"/>
      <w:b/>
      <w:bCs/>
      <w:sz w:val="32"/>
      <w:szCs w:val="32"/>
    </w:rPr>
  </w:style>
  <w:style w:type="paragraph" w:styleId="4">
    <w:name w:val="heading 3"/>
    <w:basedOn w:val="1"/>
    <w:next w:val="1"/>
    <w:link w:val="60"/>
    <w:qFormat/>
    <w:uiPriority w:val="0"/>
    <w:pPr>
      <w:keepNext/>
      <w:keepLines/>
      <w:spacing w:line="600" w:lineRule="exact"/>
      <w:ind w:firstLine="643" w:firstLineChars="200"/>
      <w:outlineLvl w:val="2"/>
    </w:pPr>
    <w:rPr>
      <w:b/>
      <w:bCs/>
      <w:sz w:val="32"/>
      <w:szCs w:val="32"/>
    </w:rPr>
  </w:style>
  <w:style w:type="paragraph" w:styleId="5">
    <w:name w:val="heading 4"/>
    <w:basedOn w:val="1"/>
    <w:next w:val="1"/>
    <w:link w:val="61"/>
    <w:qFormat/>
    <w:uiPriority w:val="0"/>
    <w:pPr>
      <w:tabs>
        <w:tab w:val="left" w:pos="2155"/>
      </w:tabs>
      <w:adjustRightInd w:val="0"/>
      <w:spacing w:before="120" w:beforeLines="0" w:line="360" w:lineRule="auto"/>
      <w:ind w:left="2155" w:hanging="1078"/>
      <w:textAlignment w:val="baseline"/>
      <w:outlineLvl w:val="3"/>
    </w:pPr>
    <w:rPr>
      <w:rFonts w:ascii="Arial" w:eastAsia="黑体"/>
      <w:kern w:val="0"/>
      <w:sz w:val="28"/>
      <w:szCs w:val="20"/>
    </w:rPr>
  </w:style>
  <w:style w:type="paragraph" w:styleId="6">
    <w:name w:val="heading 5"/>
    <w:basedOn w:val="1"/>
    <w:next w:val="1"/>
    <w:link w:val="45"/>
    <w:qFormat/>
    <w:uiPriority w:val="9"/>
    <w:pPr>
      <w:keepNext/>
      <w:keepLines/>
      <w:spacing w:before="280" w:after="290" w:line="376" w:lineRule="auto"/>
      <w:outlineLvl w:val="4"/>
    </w:pPr>
    <w:rPr>
      <w:b/>
      <w:bCs/>
      <w:sz w:val="28"/>
      <w:szCs w:val="28"/>
    </w:rPr>
  </w:style>
  <w:style w:type="character" w:default="1" w:styleId="35">
    <w:name w:val="Default Paragraph Font"/>
    <w:qFormat/>
    <w:uiPriority w:val="0"/>
  </w:style>
  <w:style w:type="table" w:default="1" w:styleId="33">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7">
    <w:name w:val="toc 7"/>
    <w:basedOn w:val="1"/>
    <w:next w:val="1"/>
    <w:unhideWhenUsed/>
    <w:qFormat/>
    <w:uiPriority w:val="39"/>
    <w:pPr>
      <w:jc w:val="left"/>
    </w:pPr>
    <w:rPr>
      <w:rFonts w:ascii="Calibri" w:hAnsi="Calibri"/>
      <w:sz w:val="22"/>
      <w:szCs w:val="22"/>
    </w:rPr>
  </w:style>
  <w:style w:type="paragraph" w:styleId="8">
    <w:name w:val="Normal Indent"/>
    <w:basedOn w:val="1"/>
    <w:unhideWhenUsed/>
    <w:qFormat/>
    <w:uiPriority w:val="99"/>
    <w:pPr>
      <w:ind w:firstLine="420"/>
    </w:pPr>
    <w:rPr>
      <w:szCs w:val="20"/>
    </w:rPr>
  </w:style>
  <w:style w:type="paragraph" w:styleId="9">
    <w:name w:val="caption"/>
    <w:basedOn w:val="1"/>
    <w:next w:val="1"/>
    <w:qFormat/>
    <w:uiPriority w:val="35"/>
    <w:pPr>
      <w:spacing w:before="152" w:after="160"/>
    </w:pPr>
    <w:rPr>
      <w:rFonts w:ascii="Arial" w:hAnsi="Arial" w:eastAsia="黑体" w:cs="Arial"/>
      <w:sz w:val="20"/>
      <w:szCs w:val="20"/>
    </w:rPr>
  </w:style>
  <w:style w:type="paragraph" w:styleId="10">
    <w:name w:val="Document Map"/>
    <w:basedOn w:val="1"/>
    <w:link w:val="62"/>
    <w:unhideWhenUsed/>
    <w:qFormat/>
    <w:uiPriority w:val="99"/>
    <w:rPr>
      <w:rFonts w:ascii="宋体"/>
      <w:sz w:val="18"/>
      <w:szCs w:val="18"/>
    </w:rPr>
  </w:style>
  <w:style w:type="paragraph" w:styleId="11">
    <w:name w:val="annotation text"/>
    <w:basedOn w:val="1"/>
    <w:link w:val="63"/>
    <w:qFormat/>
    <w:uiPriority w:val="99"/>
    <w:pPr>
      <w:jc w:val="left"/>
    </w:pPr>
  </w:style>
  <w:style w:type="paragraph" w:styleId="12">
    <w:name w:val="Body Text 3"/>
    <w:basedOn w:val="1"/>
    <w:link w:val="48"/>
    <w:unhideWhenUsed/>
    <w:qFormat/>
    <w:uiPriority w:val="99"/>
    <w:pPr>
      <w:spacing w:after="120"/>
    </w:pPr>
    <w:rPr>
      <w:sz w:val="16"/>
      <w:szCs w:val="16"/>
    </w:rPr>
  </w:style>
  <w:style w:type="paragraph" w:styleId="13">
    <w:name w:val="Body Text"/>
    <w:basedOn w:val="1"/>
    <w:link w:val="49"/>
    <w:unhideWhenUsed/>
    <w:qFormat/>
    <w:uiPriority w:val="99"/>
    <w:pPr>
      <w:spacing w:after="120"/>
    </w:pPr>
  </w:style>
  <w:style w:type="paragraph" w:styleId="14">
    <w:name w:val="Body Text Indent"/>
    <w:basedOn w:val="1"/>
    <w:link w:val="64"/>
    <w:qFormat/>
    <w:uiPriority w:val="0"/>
    <w:pPr>
      <w:spacing w:line="200" w:lineRule="exact"/>
      <w:ind w:firstLine="301"/>
    </w:pPr>
    <w:rPr>
      <w:rFonts w:ascii="宋体" w:hAnsi="Courier New"/>
      <w:spacing w:val="-4"/>
      <w:sz w:val="18"/>
      <w:szCs w:val="20"/>
    </w:rPr>
  </w:style>
  <w:style w:type="paragraph" w:styleId="15">
    <w:name w:val="toc 5"/>
    <w:basedOn w:val="1"/>
    <w:next w:val="1"/>
    <w:unhideWhenUsed/>
    <w:qFormat/>
    <w:uiPriority w:val="39"/>
    <w:pPr>
      <w:jc w:val="left"/>
    </w:pPr>
    <w:rPr>
      <w:rFonts w:ascii="Calibri" w:hAnsi="Calibri"/>
      <w:sz w:val="22"/>
      <w:szCs w:val="22"/>
    </w:rPr>
  </w:style>
  <w:style w:type="paragraph" w:styleId="16">
    <w:name w:val="toc 3"/>
    <w:basedOn w:val="1"/>
    <w:next w:val="1"/>
    <w:unhideWhenUsed/>
    <w:qFormat/>
    <w:uiPriority w:val="39"/>
    <w:pPr>
      <w:jc w:val="left"/>
    </w:pPr>
    <w:rPr>
      <w:rFonts w:ascii="Calibri" w:hAnsi="Calibri"/>
      <w:smallCaps/>
      <w:sz w:val="22"/>
      <w:szCs w:val="22"/>
    </w:rPr>
  </w:style>
  <w:style w:type="paragraph" w:styleId="17">
    <w:name w:val="Plain Text"/>
    <w:basedOn w:val="1"/>
    <w:next w:val="1"/>
    <w:link w:val="65"/>
    <w:qFormat/>
    <w:uiPriority w:val="0"/>
    <w:rPr>
      <w:rFonts w:ascii="宋体" w:hAnsi="Courier New"/>
      <w:szCs w:val="20"/>
    </w:rPr>
  </w:style>
  <w:style w:type="paragraph" w:styleId="18">
    <w:name w:val="toc 8"/>
    <w:basedOn w:val="1"/>
    <w:next w:val="1"/>
    <w:unhideWhenUsed/>
    <w:qFormat/>
    <w:uiPriority w:val="39"/>
    <w:pPr>
      <w:jc w:val="left"/>
    </w:pPr>
    <w:rPr>
      <w:rFonts w:ascii="Calibri" w:hAnsi="Calibri"/>
      <w:sz w:val="22"/>
      <w:szCs w:val="22"/>
    </w:rPr>
  </w:style>
  <w:style w:type="paragraph" w:styleId="19">
    <w:name w:val="Date"/>
    <w:basedOn w:val="1"/>
    <w:next w:val="1"/>
    <w:link w:val="66"/>
    <w:qFormat/>
    <w:uiPriority w:val="0"/>
    <w:pPr>
      <w:ind w:left="100" w:leftChars="2500"/>
    </w:pPr>
  </w:style>
  <w:style w:type="paragraph" w:styleId="20">
    <w:name w:val="Body Text Indent 2"/>
    <w:basedOn w:val="1"/>
    <w:link w:val="67"/>
    <w:qFormat/>
    <w:uiPriority w:val="0"/>
    <w:pPr>
      <w:spacing w:after="120" w:afterLines="0" w:line="480" w:lineRule="auto"/>
      <w:ind w:left="420" w:leftChars="200"/>
    </w:pPr>
  </w:style>
  <w:style w:type="paragraph" w:styleId="21">
    <w:name w:val="Balloon Text"/>
    <w:basedOn w:val="1"/>
    <w:link w:val="68"/>
    <w:qFormat/>
    <w:uiPriority w:val="0"/>
    <w:rPr>
      <w:sz w:val="18"/>
      <w:szCs w:val="18"/>
    </w:rPr>
  </w:style>
  <w:style w:type="paragraph" w:styleId="22">
    <w:name w:val="footer"/>
    <w:basedOn w:val="1"/>
    <w:link w:val="69"/>
    <w:qFormat/>
    <w:uiPriority w:val="99"/>
    <w:pPr>
      <w:tabs>
        <w:tab w:val="center" w:pos="4153"/>
        <w:tab w:val="right" w:pos="8306"/>
      </w:tabs>
      <w:snapToGrid w:val="0"/>
      <w:jc w:val="left"/>
    </w:pPr>
    <w:rPr>
      <w:sz w:val="18"/>
      <w:szCs w:val="18"/>
    </w:rPr>
  </w:style>
  <w:style w:type="paragraph" w:styleId="23">
    <w:name w:val="header"/>
    <w:basedOn w:val="1"/>
    <w:link w:val="70"/>
    <w:qFormat/>
    <w:uiPriority w:val="0"/>
    <w:pPr>
      <w:pBdr>
        <w:bottom w:val="single" w:color="auto" w:sz="6" w:space="1"/>
      </w:pBdr>
      <w:tabs>
        <w:tab w:val="center" w:pos="4153"/>
        <w:tab w:val="right" w:pos="8306"/>
      </w:tabs>
      <w:snapToGrid w:val="0"/>
      <w:jc w:val="center"/>
    </w:pPr>
    <w:rPr>
      <w:sz w:val="18"/>
      <w:szCs w:val="18"/>
    </w:rPr>
  </w:style>
  <w:style w:type="paragraph" w:styleId="24">
    <w:name w:val="toc 1"/>
    <w:basedOn w:val="1"/>
    <w:next w:val="1"/>
    <w:qFormat/>
    <w:uiPriority w:val="39"/>
    <w:pPr>
      <w:spacing w:before="360" w:after="360"/>
      <w:jc w:val="left"/>
    </w:pPr>
    <w:rPr>
      <w:rFonts w:ascii="Calibri" w:hAnsi="Calibri"/>
      <w:b/>
      <w:bCs/>
      <w:caps/>
      <w:sz w:val="22"/>
      <w:szCs w:val="22"/>
      <w:u w:val="single"/>
    </w:rPr>
  </w:style>
  <w:style w:type="paragraph" w:styleId="25">
    <w:name w:val="toc 4"/>
    <w:basedOn w:val="1"/>
    <w:next w:val="1"/>
    <w:unhideWhenUsed/>
    <w:qFormat/>
    <w:uiPriority w:val="39"/>
    <w:pPr>
      <w:jc w:val="left"/>
    </w:pPr>
    <w:rPr>
      <w:rFonts w:ascii="Calibri" w:hAnsi="Calibri"/>
      <w:sz w:val="22"/>
      <w:szCs w:val="22"/>
    </w:rPr>
  </w:style>
  <w:style w:type="paragraph" w:styleId="26">
    <w:name w:val="List"/>
    <w:basedOn w:val="1"/>
    <w:unhideWhenUsed/>
    <w:qFormat/>
    <w:uiPriority w:val="99"/>
    <w:pPr>
      <w:ind w:left="200" w:hanging="200" w:hangingChars="200"/>
    </w:pPr>
    <w:rPr>
      <w:sz w:val="28"/>
    </w:rPr>
  </w:style>
  <w:style w:type="paragraph" w:styleId="27">
    <w:name w:val="toc 6"/>
    <w:basedOn w:val="1"/>
    <w:next w:val="1"/>
    <w:unhideWhenUsed/>
    <w:qFormat/>
    <w:uiPriority w:val="39"/>
    <w:pPr>
      <w:jc w:val="left"/>
    </w:pPr>
    <w:rPr>
      <w:rFonts w:ascii="Calibri" w:hAnsi="Calibri"/>
      <w:sz w:val="22"/>
      <w:szCs w:val="22"/>
    </w:rPr>
  </w:style>
  <w:style w:type="paragraph" w:styleId="28">
    <w:name w:val="table of figures"/>
    <w:basedOn w:val="1"/>
    <w:next w:val="1"/>
    <w:unhideWhenUsed/>
    <w:qFormat/>
    <w:uiPriority w:val="0"/>
    <w:pPr>
      <w:ind w:left="200" w:leftChars="200" w:hanging="200" w:hangingChars="200"/>
    </w:pPr>
    <w:rPr>
      <w:sz w:val="28"/>
    </w:rPr>
  </w:style>
  <w:style w:type="paragraph" w:styleId="29">
    <w:name w:val="toc 2"/>
    <w:basedOn w:val="1"/>
    <w:next w:val="1"/>
    <w:qFormat/>
    <w:uiPriority w:val="39"/>
    <w:pPr>
      <w:jc w:val="left"/>
    </w:pPr>
    <w:rPr>
      <w:rFonts w:ascii="Calibri" w:hAnsi="Calibri"/>
      <w:b/>
      <w:bCs/>
      <w:smallCaps/>
      <w:sz w:val="22"/>
      <w:szCs w:val="22"/>
    </w:rPr>
  </w:style>
  <w:style w:type="paragraph" w:styleId="30">
    <w:name w:val="toc 9"/>
    <w:basedOn w:val="1"/>
    <w:next w:val="1"/>
    <w:unhideWhenUsed/>
    <w:qFormat/>
    <w:uiPriority w:val="39"/>
    <w:pPr>
      <w:jc w:val="left"/>
    </w:pPr>
    <w:rPr>
      <w:rFonts w:ascii="Calibri" w:hAnsi="Calibri"/>
      <w:sz w:val="22"/>
      <w:szCs w:val="22"/>
    </w:rPr>
  </w:style>
  <w:style w:type="paragraph" w:styleId="31">
    <w:name w:val="Normal (Web)"/>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32">
    <w:name w:val="annotation subject"/>
    <w:basedOn w:val="11"/>
    <w:next w:val="11"/>
    <w:link w:val="71"/>
    <w:unhideWhenUsed/>
    <w:qFormat/>
    <w:uiPriority w:val="99"/>
    <w:rPr>
      <w:b/>
      <w:bCs/>
    </w:rPr>
  </w:style>
  <w:style w:type="table" w:styleId="34">
    <w:name w:val="Table Grid"/>
    <w:basedOn w:val="3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page number"/>
    <w:qFormat/>
    <w:uiPriority w:val="0"/>
  </w:style>
  <w:style w:type="character" w:styleId="37">
    <w:name w:val="FollowedHyperlink"/>
    <w:qFormat/>
    <w:uiPriority w:val="0"/>
    <w:rPr>
      <w:color w:val="800080"/>
      <w:u w:val="single"/>
    </w:rPr>
  </w:style>
  <w:style w:type="character" w:styleId="38">
    <w:name w:val="Hyperlink"/>
    <w:qFormat/>
    <w:uiPriority w:val="99"/>
    <w:rPr>
      <w:color w:val="0000FF"/>
      <w:u w:val="single"/>
    </w:rPr>
  </w:style>
  <w:style w:type="character" w:styleId="39">
    <w:name w:val="annotation reference"/>
    <w:semiHidden/>
    <w:qFormat/>
    <w:uiPriority w:val="99"/>
    <w:rPr>
      <w:sz w:val="21"/>
      <w:szCs w:val="21"/>
    </w:rPr>
  </w:style>
  <w:style w:type="character" w:styleId="40">
    <w:name w:val="HTML Sample"/>
    <w:unhideWhenUsed/>
    <w:qFormat/>
    <w:uiPriority w:val="99"/>
    <w:rPr>
      <w:rFonts w:ascii="Courier New" w:hAnsi="Courier New"/>
    </w:rPr>
  </w:style>
  <w:style w:type="character" w:customStyle="1" w:styleId="41">
    <w:name w:val="标题 1 字符1"/>
    <w:link w:val="2"/>
    <w:qFormat/>
    <w:uiPriority w:val="0"/>
    <w:rPr>
      <w:rFonts w:ascii="Times New Roman" w:hAnsi="Times New Roman" w:eastAsia="宋体" w:cs="Times New Roman"/>
      <w:b/>
      <w:bCs/>
      <w:kern w:val="44"/>
      <w:sz w:val="44"/>
      <w:szCs w:val="44"/>
    </w:rPr>
  </w:style>
  <w:style w:type="character" w:customStyle="1" w:styleId="42">
    <w:name w:val="标题 2 字符1"/>
    <w:link w:val="3"/>
    <w:qFormat/>
    <w:uiPriority w:val="0"/>
    <w:rPr>
      <w:rFonts w:ascii="Arial" w:hAnsi="Arial" w:eastAsia="黑体" w:cs="Times New Roman"/>
      <w:b/>
      <w:bCs/>
      <w:kern w:val="2"/>
      <w:sz w:val="32"/>
      <w:szCs w:val="32"/>
    </w:rPr>
  </w:style>
  <w:style w:type="character" w:customStyle="1" w:styleId="43">
    <w:name w:val="标题 3 字符1"/>
    <w:link w:val="4"/>
    <w:qFormat/>
    <w:uiPriority w:val="0"/>
    <w:rPr>
      <w:rFonts w:ascii="Times New Roman" w:hAnsi="Times New Roman" w:eastAsia="宋体" w:cs="Times New Roman"/>
      <w:b/>
      <w:bCs/>
      <w:kern w:val="2"/>
      <w:sz w:val="32"/>
      <w:szCs w:val="32"/>
    </w:rPr>
  </w:style>
  <w:style w:type="character" w:customStyle="1" w:styleId="44">
    <w:name w:val="标题 4 字符1"/>
    <w:link w:val="5"/>
    <w:qFormat/>
    <w:uiPriority w:val="0"/>
    <w:rPr>
      <w:rFonts w:ascii="Arial" w:hAnsi="Times New Roman" w:eastAsia="黑体" w:cs="Times New Roman"/>
      <w:sz w:val="28"/>
    </w:rPr>
  </w:style>
  <w:style w:type="character" w:customStyle="1" w:styleId="45">
    <w:name w:val="标题 5 字符1"/>
    <w:link w:val="6"/>
    <w:qFormat/>
    <w:uiPriority w:val="9"/>
    <w:rPr>
      <w:b/>
      <w:bCs/>
      <w:kern w:val="2"/>
      <w:sz w:val="28"/>
      <w:szCs w:val="28"/>
    </w:rPr>
  </w:style>
  <w:style w:type="character" w:customStyle="1" w:styleId="46">
    <w:name w:val="文档结构图 字符1"/>
    <w:link w:val="10"/>
    <w:semiHidden/>
    <w:qFormat/>
    <w:uiPriority w:val="99"/>
    <w:rPr>
      <w:rFonts w:ascii="宋体" w:hAnsi="Times New Roman" w:eastAsia="宋体" w:cs="Times New Roman"/>
      <w:kern w:val="2"/>
      <w:sz w:val="18"/>
      <w:szCs w:val="18"/>
    </w:rPr>
  </w:style>
  <w:style w:type="character" w:customStyle="1" w:styleId="47">
    <w:name w:val="批注文字 字符2"/>
    <w:link w:val="11"/>
    <w:qFormat/>
    <w:uiPriority w:val="99"/>
    <w:rPr>
      <w:rFonts w:ascii="Times New Roman" w:hAnsi="Times New Roman" w:eastAsia="宋体" w:cs="Times New Roman"/>
      <w:kern w:val="2"/>
      <w:sz w:val="21"/>
      <w:szCs w:val="24"/>
    </w:rPr>
  </w:style>
  <w:style w:type="character" w:customStyle="1" w:styleId="48">
    <w:name w:val="正文文本 3 字符1"/>
    <w:link w:val="12"/>
    <w:qFormat/>
    <w:uiPriority w:val="99"/>
    <w:rPr>
      <w:kern w:val="2"/>
      <w:sz w:val="16"/>
      <w:szCs w:val="16"/>
    </w:rPr>
  </w:style>
  <w:style w:type="character" w:customStyle="1" w:styleId="49">
    <w:name w:val="正文文本 字符1"/>
    <w:link w:val="13"/>
    <w:qFormat/>
    <w:uiPriority w:val="99"/>
    <w:rPr>
      <w:kern w:val="2"/>
      <w:sz w:val="21"/>
      <w:szCs w:val="24"/>
    </w:rPr>
  </w:style>
  <w:style w:type="character" w:customStyle="1" w:styleId="50">
    <w:name w:val="正文文本缩进 字符1"/>
    <w:link w:val="14"/>
    <w:qFormat/>
    <w:uiPriority w:val="0"/>
    <w:rPr>
      <w:rFonts w:ascii="宋体" w:hAnsi="Courier New" w:eastAsia="宋体" w:cs="Times New Roman"/>
      <w:spacing w:val="-4"/>
      <w:kern w:val="2"/>
      <w:sz w:val="18"/>
      <w:lang w:val="en-US" w:eastAsia="zh-CN" w:bidi="ar-SA"/>
    </w:rPr>
  </w:style>
  <w:style w:type="character" w:customStyle="1" w:styleId="51">
    <w:name w:val="纯文本 字符3"/>
    <w:link w:val="17"/>
    <w:qFormat/>
    <w:uiPriority w:val="0"/>
    <w:rPr>
      <w:rFonts w:ascii="宋体" w:hAnsi="Courier New" w:eastAsia="宋体" w:cs="Times New Roman"/>
      <w:kern w:val="2"/>
      <w:sz w:val="21"/>
      <w:lang w:val="en-US" w:eastAsia="zh-CN" w:bidi="ar-SA"/>
    </w:rPr>
  </w:style>
  <w:style w:type="character" w:customStyle="1" w:styleId="52">
    <w:name w:val="日期 字符1"/>
    <w:link w:val="19"/>
    <w:qFormat/>
    <w:uiPriority w:val="0"/>
    <w:rPr>
      <w:rFonts w:ascii="Times New Roman" w:hAnsi="Times New Roman" w:eastAsia="宋体" w:cs="Times New Roman"/>
      <w:kern w:val="2"/>
      <w:sz w:val="21"/>
      <w:szCs w:val="24"/>
    </w:rPr>
  </w:style>
  <w:style w:type="character" w:customStyle="1" w:styleId="53">
    <w:name w:val="正文文本缩进 2 字符1"/>
    <w:link w:val="20"/>
    <w:qFormat/>
    <w:uiPriority w:val="0"/>
    <w:rPr>
      <w:rFonts w:ascii="Times New Roman" w:hAnsi="Times New Roman" w:eastAsia="宋体" w:cs="Times New Roman"/>
      <w:kern w:val="2"/>
      <w:sz w:val="21"/>
      <w:szCs w:val="24"/>
    </w:rPr>
  </w:style>
  <w:style w:type="character" w:customStyle="1" w:styleId="54">
    <w:name w:val="批注框文本 字符1"/>
    <w:link w:val="21"/>
    <w:qFormat/>
    <w:uiPriority w:val="0"/>
    <w:rPr>
      <w:rFonts w:ascii="Times New Roman" w:hAnsi="Times New Roman" w:eastAsia="宋体" w:cs="Times New Roman"/>
      <w:kern w:val="2"/>
      <w:sz w:val="18"/>
      <w:szCs w:val="18"/>
    </w:rPr>
  </w:style>
  <w:style w:type="character" w:customStyle="1" w:styleId="55">
    <w:name w:val="页脚 字符2"/>
    <w:link w:val="22"/>
    <w:qFormat/>
    <w:uiPriority w:val="0"/>
    <w:rPr>
      <w:rFonts w:ascii="Times New Roman" w:hAnsi="Times New Roman" w:eastAsia="宋体" w:cs="Times New Roman"/>
      <w:kern w:val="2"/>
      <w:sz w:val="18"/>
      <w:szCs w:val="18"/>
    </w:rPr>
  </w:style>
  <w:style w:type="character" w:customStyle="1" w:styleId="56">
    <w:name w:val="页眉 字符2"/>
    <w:link w:val="23"/>
    <w:qFormat/>
    <w:uiPriority w:val="0"/>
    <w:rPr>
      <w:rFonts w:ascii="Times New Roman" w:hAnsi="Times New Roman" w:eastAsia="宋体" w:cs="Times New Roman"/>
      <w:kern w:val="2"/>
      <w:sz w:val="18"/>
      <w:szCs w:val="18"/>
    </w:rPr>
  </w:style>
  <w:style w:type="character" w:customStyle="1" w:styleId="57">
    <w:name w:val="批注主题 字符1"/>
    <w:link w:val="32"/>
    <w:semiHidden/>
    <w:qFormat/>
    <w:uiPriority w:val="99"/>
    <w:rPr>
      <w:rFonts w:ascii="Times New Roman" w:hAnsi="Times New Roman" w:eastAsia="宋体" w:cs="Times New Roman"/>
      <w:b/>
      <w:bCs/>
      <w:kern w:val="2"/>
      <w:sz w:val="21"/>
      <w:szCs w:val="24"/>
    </w:rPr>
  </w:style>
  <w:style w:type="character" w:customStyle="1" w:styleId="58">
    <w:name w:val="标题 1 字符2"/>
    <w:link w:val="2"/>
    <w:qFormat/>
    <w:uiPriority w:val="0"/>
    <w:rPr>
      <w:b/>
      <w:bCs/>
      <w:kern w:val="44"/>
      <w:sz w:val="44"/>
      <w:szCs w:val="44"/>
    </w:rPr>
  </w:style>
  <w:style w:type="character" w:customStyle="1" w:styleId="59">
    <w:name w:val="标题 2 字符2"/>
    <w:link w:val="3"/>
    <w:qFormat/>
    <w:uiPriority w:val="0"/>
    <w:rPr>
      <w:rFonts w:ascii="Arial" w:hAnsi="Arial" w:eastAsia="黑体"/>
      <w:b/>
      <w:bCs/>
      <w:kern w:val="2"/>
      <w:sz w:val="32"/>
      <w:szCs w:val="32"/>
    </w:rPr>
  </w:style>
  <w:style w:type="character" w:customStyle="1" w:styleId="60">
    <w:name w:val="标题 3 字符2"/>
    <w:link w:val="4"/>
    <w:qFormat/>
    <w:uiPriority w:val="0"/>
    <w:rPr>
      <w:b/>
      <w:bCs/>
      <w:kern w:val="2"/>
      <w:sz w:val="32"/>
      <w:szCs w:val="32"/>
    </w:rPr>
  </w:style>
  <w:style w:type="character" w:customStyle="1" w:styleId="61">
    <w:name w:val="标题 4 字符2"/>
    <w:link w:val="5"/>
    <w:qFormat/>
    <w:uiPriority w:val="0"/>
    <w:rPr>
      <w:rFonts w:ascii="Arial" w:eastAsia="黑体"/>
      <w:sz w:val="28"/>
    </w:rPr>
  </w:style>
  <w:style w:type="character" w:customStyle="1" w:styleId="62">
    <w:name w:val="文档结构图 字符2"/>
    <w:link w:val="10"/>
    <w:qFormat/>
    <w:uiPriority w:val="0"/>
    <w:rPr>
      <w:rFonts w:ascii="宋体"/>
      <w:kern w:val="2"/>
      <w:sz w:val="18"/>
      <w:szCs w:val="18"/>
    </w:rPr>
  </w:style>
  <w:style w:type="character" w:customStyle="1" w:styleId="63">
    <w:name w:val="批注文字 字符3"/>
    <w:link w:val="11"/>
    <w:qFormat/>
    <w:uiPriority w:val="0"/>
    <w:rPr>
      <w:kern w:val="2"/>
      <w:sz w:val="21"/>
      <w:szCs w:val="24"/>
    </w:rPr>
  </w:style>
  <w:style w:type="character" w:customStyle="1" w:styleId="64">
    <w:name w:val="正文文本缩进 字符2"/>
    <w:link w:val="14"/>
    <w:qFormat/>
    <w:uiPriority w:val="0"/>
    <w:rPr>
      <w:rFonts w:ascii="宋体" w:hAnsi="Courier New" w:eastAsia="宋体"/>
      <w:spacing w:val="-4"/>
      <w:kern w:val="2"/>
      <w:sz w:val="18"/>
      <w:lang w:val="en-US" w:eastAsia="zh-CN" w:bidi="ar-SA"/>
    </w:rPr>
  </w:style>
  <w:style w:type="character" w:customStyle="1" w:styleId="65">
    <w:name w:val="纯文本 字符4"/>
    <w:link w:val="17"/>
    <w:qFormat/>
    <w:uiPriority w:val="0"/>
    <w:rPr>
      <w:rFonts w:ascii="宋体" w:hAnsi="Courier New" w:eastAsia="宋体"/>
      <w:kern w:val="2"/>
      <w:sz w:val="21"/>
      <w:lang w:val="en-US" w:eastAsia="zh-CN" w:bidi="ar-SA"/>
    </w:rPr>
  </w:style>
  <w:style w:type="character" w:customStyle="1" w:styleId="66">
    <w:name w:val="日期 字符2"/>
    <w:link w:val="19"/>
    <w:qFormat/>
    <w:uiPriority w:val="0"/>
    <w:rPr>
      <w:kern w:val="2"/>
      <w:sz w:val="21"/>
      <w:szCs w:val="24"/>
    </w:rPr>
  </w:style>
  <w:style w:type="character" w:customStyle="1" w:styleId="67">
    <w:name w:val="正文文本缩进 2 字符2"/>
    <w:link w:val="20"/>
    <w:qFormat/>
    <w:uiPriority w:val="0"/>
    <w:rPr>
      <w:kern w:val="2"/>
      <w:sz w:val="21"/>
      <w:szCs w:val="24"/>
    </w:rPr>
  </w:style>
  <w:style w:type="character" w:customStyle="1" w:styleId="68">
    <w:name w:val="批注框文本 字符2"/>
    <w:link w:val="21"/>
    <w:qFormat/>
    <w:uiPriority w:val="0"/>
    <w:rPr>
      <w:kern w:val="2"/>
      <w:sz w:val="18"/>
      <w:szCs w:val="18"/>
    </w:rPr>
  </w:style>
  <w:style w:type="character" w:customStyle="1" w:styleId="69">
    <w:name w:val="页脚 字符3"/>
    <w:link w:val="22"/>
    <w:qFormat/>
    <w:uiPriority w:val="99"/>
    <w:rPr>
      <w:kern w:val="2"/>
      <w:sz w:val="18"/>
      <w:szCs w:val="18"/>
    </w:rPr>
  </w:style>
  <w:style w:type="character" w:customStyle="1" w:styleId="70">
    <w:name w:val="页眉 字符3"/>
    <w:link w:val="23"/>
    <w:qFormat/>
    <w:uiPriority w:val="99"/>
    <w:rPr>
      <w:kern w:val="2"/>
      <w:sz w:val="18"/>
      <w:szCs w:val="18"/>
    </w:rPr>
  </w:style>
  <w:style w:type="character" w:customStyle="1" w:styleId="71">
    <w:name w:val="批注主题 字符2"/>
    <w:link w:val="32"/>
    <w:qFormat/>
    <w:uiPriority w:val="99"/>
    <w:rPr>
      <w:b/>
      <w:bCs/>
      <w:kern w:val="2"/>
      <w:sz w:val="21"/>
      <w:szCs w:val="24"/>
    </w:rPr>
  </w:style>
  <w:style w:type="paragraph" w:customStyle="1" w:styleId="72">
    <w:name w:val="表格文字"/>
    <w:basedOn w:val="1"/>
    <w:qFormat/>
    <w:uiPriority w:val="0"/>
    <w:pPr>
      <w:adjustRightInd w:val="0"/>
      <w:spacing w:line="420" w:lineRule="atLeast"/>
      <w:jc w:val="left"/>
      <w:textAlignment w:val="baseline"/>
    </w:pPr>
    <w:rPr>
      <w:kern w:val="0"/>
    </w:rPr>
  </w:style>
  <w:style w:type="character" w:customStyle="1" w:styleId="73">
    <w:name w:val="页眉 字符"/>
    <w:qFormat/>
    <w:uiPriority w:val="99"/>
    <w:rPr>
      <w:rFonts w:ascii="Times New Roman" w:hAnsi="Times New Roman"/>
      <w:kern w:val="2"/>
      <w:sz w:val="18"/>
      <w:szCs w:val="18"/>
    </w:rPr>
  </w:style>
  <w:style w:type="character" w:customStyle="1" w:styleId="74">
    <w:name w:val="Char Char1"/>
    <w:qFormat/>
    <w:uiPriority w:val="0"/>
    <w:rPr>
      <w:rFonts w:ascii="宋体" w:hAnsi="Courier New" w:eastAsia="宋体"/>
      <w:kern w:val="2"/>
      <w:sz w:val="21"/>
      <w:lang w:val="en-US" w:eastAsia="zh-CN" w:bidi="ar-SA"/>
    </w:rPr>
  </w:style>
  <w:style w:type="character" w:customStyle="1" w:styleId="75">
    <w:name w:val="纯文本 字符2"/>
    <w:qFormat/>
    <w:uiPriority w:val="0"/>
    <w:rPr>
      <w:rFonts w:ascii="宋体" w:hAnsi="Courier New" w:eastAsia="宋体" w:cs="Courier New"/>
      <w:szCs w:val="21"/>
    </w:rPr>
  </w:style>
  <w:style w:type="character" w:customStyle="1" w:styleId="76">
    <w:name w:val="正文文本_"/>
    <w:link w:val="77"/>
    <w:qFormat/>
    <w:uiPriority w:val="0"/>
    <w:rPr>
      <w:rFonts w:ascii="MingLiU" w:hAnsi="MingLiU" w:eastAsia="MingLiU" w:cs="MingLiU"/>
      <w:spacing w:val="9"/>
      <w:sz w:val="19"/>
      <w:szCs w:val="19"/>
      <w:shd w:val="clear" w:color="auto" w:fill="FFFFFF"/>
    </w:rPr>
  </w:style>
  <w:style w:type="paragraph" w:customStyle="1" w:styleId="77">
    <w:name w:val="正文文本1"/>
    <w:basedOn w:val="1"/>
    <w:link w:val="76"/>
    <w:qFormat/>
    <w:uiPriority w:val="0"/>
    <w:pPr>
      <w:shd w:val="clear" w:color="auto" w:fill="FFFFFF"/>
      <w:spacing w:line="302" w:lineRule="exact"/>
      <w:ind w:firstLine="460"/>
      <w:jc w:val="left"/>
    </w:pPr>
    <w:rPr>
      <w:rFonts w:ascii="MingLiU" w:hAnsi="MingLiU" w:eastAsia="MingLiU"/>
      <w:spacing w:val="9"/>
      <w:kern w:val="0"/>
      <w:sz w:val="19"/>
      <w:szCs w:val="19"/>
    </w:rPr>
  </w:style>
  <w:style w:type="character" w:customStyle="1" w:styleId="78">
    <w:name w:val="纯文本 Char1"/>
    <w:link w:val="79"/>
    <w:qFormat/>
    <w:uiPriority w:val="0"/>
    <w:rPr>
      <w:rFonts w:ascii="宋体" w:hAnsi="Courier New" w:eastAsia="宋体"/>
      <w:kern w:val="2"/>
      <w:sz w:val="21"/>
      <w:lang w:val="en-US" w:eastAsia="zh-CN" w:bidi="ar-SA"/>
    </w:rPr>
  </w:style>
  <w:style w:type="paragraph" w:customStyle="1" w:styleId="79">
    <w:name w:val="纯文本1"/>
    <w:basedOn w:val="1"/>
    <w:link w:val="78"/>
    <w:qFormat/>
    <w:uiPriority w:val="0"/>
    <w:rPr>
      <w:rFonts w:ascii="宋体" w:hAnsi="Courier New"/>
      <w:szCs w:val="20"/>
    </w:rPr>
  </w:style>
  <w:style w:type="character" w:customStyle="1" w:styleId="80">
    <w:name w:val="正文文本 + 10 pt"/>
    <w:qFormat/>
    <w:uiPriority w:val="0"/>
    <w:rPr>
      <w:rFonts w:ascii="MingLiU" w:hAnsi="MingLiU" w:eastAsia="MingLiU" w:cs="MingLiU"/>
      <w:color w:val="000000"/>
      <w:spacing w:val="8"/>
      <w:w w:val="100"/>
      <w:position w:val="0"/>
      <w:sz w:val="20"/>
      <w:szCs w:val="20"/>
      <w:shd w:val="clear" w:color="auto" w:fill="FFFFFF"/>
      <w:lang w:val="zh-TW"/>
    </w:rPr>
  </w:style>
  <w:style w:type="character" w:customStyle="1" w:styleId="81">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82">
    <w:name w:val="页脚 字符"/>
    <w:qFormat/>
    <w:uiPriority w:val="99"/>
    <w:rPr>
      <w:sz w:val="18"/>
      <w:szCs w:val="18"/>
    </w:rPr>
  </w:style>
  <w:style w:type="character" w:customStyle="1" w:styleId="83">
    <w:name w:val="批注文字 字符1"/>
    <w:qFormat/>
    <w:uiPriority w:val="0"/>
    <w:rPr>
      <w:rFonts w:ascii="Times New Roman" w:hAnsi="Times New Roman"/>
      <w:kern w:val="2"/>
      <w:sz w:val="21"/>
      <w:szCs w:val="24"/>
    </w:rPr>
  </w:style>
  <w:style w:type="character" w:customStyle="1" w:styleId="84">
    <w:name w:val="正文2 Char Char"/>
    <w:link w:val="85"/>
    <w:qFormat/>
    <w:uiPriority w:val="0"/>
    <w:rPr>
      <w:kern w:val="2"/>
      <w:sz w:val="24"/>
    </w:rPr>
  </w:style>
  <w:style w:type="paragraph" w:customStyle="1" w:styleId="85">
    <w:name w:val="正文2"/>
    <w:basedOn w:val="1"/>
    <w:link w:val="84"/>
    <w:qFormat/>
    <w:uiPriority w:val="0"/>
    <w:pPr>
      <w:adjustRightInd w:val="0"/>
      <w:spacing w:before="156" w:line="360" w:lineRule="auto"/>
      <w:ind w:firstLine="510" w:firstLineChars="200"/>
    </w:pPr>
    <w:rPr>
      <w:sz w:val="24"/>
      <w:szCs w:val="20"/>
    </w:rPr>
  </w:style>
  <w:style w:type="character" w:customStyle="1" w:styleId="86">
    <w:name w:val="纯文本 Char_0"/>
    <w:link w:val="87"/>
    <w:qFormat/>
    <w:uiPriority w:val="0"/>
    <w:rPr>
      <w:rFonts w:ascii="宋体" w:hAnsi="Courier New"/>
      <w:kern w:val="2"/>
      <w:sz w:val="21"/>
      <w:szCs w:val="21"/>
    </w:rPr>
  </w:style>
  <w:style w:type="paragraph" w:customStyle="1" w:styleId="87">
    <w:name w:val="纯文本_0_0"/>
    <w:basedOn w:val="1"/>
    <w:link w:val="86"/>
    <w:qFormat/>
    <w:uiPriority w:val="0"/>
    <w:rPr>
      <w:rFonts w:ascii="宋体" w:hAnsi="Courier New"/>
      <w:szCs w:val="21"/>
    </w:rPr>
  </w:style>
  <w:style w:type="character" w:customStyle="1" w:styleId="88">
    <w:name w:val="批注文字 Char1"/>
    <w:qFormat/>
    <w:uiPriority w:val="0"/>
    <w:rPr>
      <w:rFonts w:ascii="Times New Roman" w:hAnsi="Times New Roman"/>
      <w:kern w:val="2"/>
      <w:sz w:val="21"/>
      <w:szCs w:val="24"/>
    </w:rPr>
  </w:style>
  <w:style w:type="paragraph" w:styleId="89">
    <w:name w:val="List Paragraph"/>
    <w:basedOn w:val="1"/>
    <w:qFormat/>
    <w:uiPriority w:val="99"/>
    <w:pPr>
      <w:ind w:firstLine="420" w:firstLineChars="200"/>
    </w:pPr>
  </w:style>
  <w:style w:type="paragraph" w:customStyle="1" w:styleId="90">
    <w:name w:val="Char Char Char1 Char Char Char Char Char Char Char"/>
    <w:basedOn w:val="1"/>
    <w:qFormat/>
    <w:uiPriority w:val="0"/>
  </w:style>
  <w:style w:type="paragraph" w:customStyle="1" w:styleId="91">
    <w:name w:val="Char Char Char"/>
    <w:basedOn w:val="1"/>
    <w:qFormat/>
    <w:uiPriority w:val="0"/>
    <w:rPr>
      <w:szCs w:val="20"/>
    </w:rPr>
  </w:style>
  <w:style w:type="paragraph" w:customStyle="1" w:styleId="92">
    <w:name w:val=" Char Char Char Char Char Char Char Char Char Char Char Char"/>
    <w:basedOn w:val="1"/>
    <w:qFormat/>
    <w:uiPriority w:val="0"/>
    <w:pPr>
      <w:widowControl/>
      <w:spacing w:after="160" w:afterLines="0" w:line="240" w:lineRule="exact"/>
      <w:jc w:val="left"/>
    </w:pPr>
  </w:style>
  <w:style w:type="paragraph" w:customStyle="1" w:styleId="93">
    <w:name w:val="列出段落1"/>
    <w:basedOn w:val="1"/>
    <w:qFormat/>
    <w:uiPriority w:val="34"/>
    <w:pPr>
      <w:spacing w:before="100" w:beforeAutospacing="1" w:after="100" w:afterAutospacing="1" w:line="360" w:lineRule="auto"/>
      <w:ind w:firstLine="420" w:firstLineChars="200"/>
    </w:pPr>
  </w:style>
  <w:style w:type="paragraph" w:customStyle="1" w:styleId="94">
    <w:name w:val="_Style 93"/>
    <w:basedOn w:val="2"/>
    <w:next w:val="1"/>
    <w:qFormat/>
    <w:uiPriority w:val="39"/>
    <w:pPr>
      <w:widowControl/>
      <w:spacing w:before="480" w:after="0" w:line="276" w:lineRule="auto"/>
      <w:jc w:val="left"/>
      <w:outlineLvl w:val="9"/>
    </w:pPr>
    <w:rPr>
      <w:rFonts w:ascii="Cambria" w:hAnsi="Cambria" w:eastAsia="宋体" w:cs="Times New Roman"/>
      <w:color w:val="365F91"/>
      <w:kern w:val="0"/>
      <w:sz w:val="28"/>
      <w:szCs w:val="28"/>
      <w:lang w:val="en-US" w:eastAsia="zh-CN"/>
    </w:rPr>
  </w:style>
  <w:style w:type="paragraph" w:customStyle="1" w:styleId="95">
    <w:name w:val="样式 标题 2 + 非加粗 首行缩进:  2 字符"/>
    <w:basedOn w:val="3"/>
    <w:qFormat/>
    <w:uiPriority w:val="0"/>
    <w:pPr>
      <w:spacing w:before="0" w:beforeLines="0" w:after="0" w:afterLines="0" w:line="600" w:lineRule="exact"/>
      <w:ind w:firstLine="640" w:firstLineChars="200"/>
      <w:jc w:val="left"/>
    </w:pPr>
    <w:rPr>
      <w:rFonts w:cs="宋体"/>
      <w:b w:val="0"/>
      <w:bCs w:val="0"/>
      <w:szCs w:val="20"/>
    </w:rPr>
  </w:style>
  <w:style w:type="paragraph" w:customStyle="1" w:styleId="96">
    <w:name w:val="Table Paragraph"/>
    <w:basedOn w:val="1"/>
    <w:qFormat/>
    <w:uiPriority w:val="1"/>
    <w:pPr>
      <w:jc w:val="left"/>
    </w:pPr>
    <w:rPr>
      <w:rFonts w:ascii="Calibri" w:hAnsi="Calibri"/>
      <w:kern w:val="0"/>
      <w:sz w:val="22"/>
      <w:szCs w:val="22"/>
      <w:lang w:eastAsia="en-US"/>
    </w:rPr>
  </w:style>
  <w:style w:type="paragraph" w:customStyle="1" w:styleId="97">
    <w:name w:val=" Char"/>
    <w:basedOn w:val="1"/>
    <w:qFormat/>
    <w:uiPriority w:val="0"/>
    <w:rPr>
      <w:szCs w:val="21"/>
    </w:rPr>
  </w:style>
  <w:style w:type="paragraph" w:customStyle="1" w:styleId="98">
    <w:name w:val="Char Char Char Char Char Char Char"/>
    <w:basedOn w:val="1"/>
    <w:qFormat/>
    <w:uiPriority w:val="0"/>
  </w:style>
  <w:style w:type="paragraph" w:customStyle="1" w:styleId="99">
    <w:name w:val=" Char Char Char Char Char Char Char"/>
    <w:basedOn w:val="1"/>
    <w:qFormat/>
    <w:uiPriority w:val="0"/>
  </w:style>
  <w:style w:type="paragraph" w:customStyle="1" w:styleId="100">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01">
    <w:name w:val="Char Char Char Char Char Char Char Char Char Char Char Char"/>
    <w:basedOn w:val="1"/>
    <w:qFormat/>
    <w:uiPriority w:val="0"/>
    <w:pPr>
      <w:widowControl/>
      <w:spacing w:after="160" w:afterLines="0" w:line="240" w:lineRule="exact"/>
      <w:jc w:val="left"/>
    </w:pPr>
  </w:style>
  <w:style w:type="paragraph" w:customStyle="1" w:styleId="102">
    <w:name w:val="_Style 101"/>
    <w:semiHidden/>
    <w:qFormat/>
    <w:uiPriority w:val="99"/>
    <w:rPr>
      <w:rFonts w:ascii="Times New Roman" w:hAnsi="Times New Roman" w:eastAsia="宋体" w:cs="Times New Roman"/>
      <w:kern w:val="2"/>
      <w:sz w:val="21"/>
      <w:szCs w:val="24"/>
      <w:lang w:val="en-US" w:eastAsia="zh-CN" w:bidi="ar-SA"/>
    </w:rPr>
  </w:style>
  <w:style w:type="paragraph" w:customStyle="1" w:styleId="103">
    <w:name w:val="正文段"/>
    <w:basedOn w:val="1"/>
    <w:qFormat/>
    <w:uiPriority w:val="0"/>
    <w:pPr>
      <w:widowControl/>
      <w:snapToGrid w:val="0"/>
      <w:spacing w:after="156" w:afterLines="50"/>
      <w:ind w:firstLine="200" w:firstLineChars="200"/>
    </w:pPr>
    <w:rPr>
      <w:kern w:val="0"/>
      <w:sz w:val="24"/>
      <w:szCs w:val="20"/>
    </w:rPr>
  </w:style>
  <w:style w:type="paragraph" w:customStyle="1" w:styleId="104">
    <w:name w:val="Char Char Char Char"/>
    <w:basedOn w:val="1"/>
    <w:qFormat/>
    <w:uiPriority w:val="0"/>
    <w:pPr>
      <w:widowControl/>
      <w:spacing w:after="160" w:afterLines="0" w:line="240" w:lineRule="exact"/>
      <w:jc w:val="left"/>
    </w:pPr>
  </w:style>
  <w:style w:type="paragraph" w:customStyle="1" w:styleId="105">
    <w:name w:val="Char"/>
    <w:basedOn w:val="1"/>
    <w:qFormat/>
    <w:uiPriority w:val="0"/>
  </w:style>
  <w:style w:type="paragraph" w:customStyle="1" w:styleId="106">
    <w:name w:val=" Char Char Char Char"/>
    <w:basedOn w:val="1"/>
    <w:qFormat/>
    <w:uiPriority w:val="0"/>
    <w:pPr>
      <w:widowControl/>
      <w:spacing w:after="160" w:afterLines="0" w:line="240" w:lineRule="exact"/>
      <w:jc w:val="left"/>
    </w:pPr>
  </w:style>
  <w:style w:type="paragraph" w:customStyle="1" w:styleId="107">
    <w:name w:val="样式 标题 1 + 居中 段前: 0 磅 段后: 0 磅 行距: 固定值 30 磅"/>
    <w:basedOn w:val="2"/>
    <w:qFormat/>
    <w:uiPriority w:val="0"/>
    <w:pPr>
      <w:spacing w:before="0" w:beforeLines="0" w:after="0" w:afterLines="0" w:line="600" w:lineRule="exact"/>
      <w:jc w:val="center"/>
    </w:pPr>
    <w:rPr>
      <w:rFonts w:cs="宋体"/>
      <w:szCs w:val="20"/>
    </w:rPr>
  </w:style>
  <w:style w:type="paragraph" w:customStyle="1" w:styleId="108">
    <w:name w:val="正文缩进1"/>
    <w:basedOn w:val="1"/>
    <w:next w:val="14"/>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109">
    <w:name w:val="p0"/>
    <w:basedOn w:val="1"/>
    <w:qFormat/>
    <w:uiPriority w:val="0"/>
    <w:pPr>
      <w:widowControl/>
    </w:pPr>
    <w:rPr>
      <w:kern w:val="0"/>
      <w:szCs w:val="21"/>
    </w:rPr>
  </w:style>
  <w:style w:type="paragraph" w:customStyle="1" w:styleId="110">
    <w:name w:val="默认段落字体 Para Char Char Char Char Char Char Char Char Char1 Char Char Char Char"/>
    <w:basedOn w:val="1"/>
    <w:qFormat/>
    <w:uiPriority w:val="0"/>
    <w:rPr>
      <w:rFonts w:ascii="Tahoma" w:hAnsi="Tahoma"/>
      <w:sz w:val="24"/>
      <w:szCs w:val="20"/>
    </w:rPr>
  </w:style>
  <w:style w:type="character" w:customStyle="1" w:styleId="111">
    <w:name w:val="正文文本 字符"/>
    <w:qFormat/>
    <w:uiPriority w:val="99"/>
    <w:rPr>
      <w:kern w:val="2"/>
      <w:sz w:val="21"/>
      <w:szCs w:val="24"/>
    </w:rPr>
  </w:style>
  <w:style w:type="character" w:customStyle="1" w:styleId="112">
    <w:name w:val="纯文本 字符"/>
    <w:qFormat/>
    <w:uiPriority w:val="0"/>
    <w:rPr>
      <w:rFonts w:ascii="宋体" w:hAnsi="Courier New"/>
      <w:kern w:val="2"/>
      <w:sz w:val="21"/>
    </w:rPr>
  </w:style>
  <w:style w:type="character" w:customStyle="1" w:styleId="113">
    <w:name w:val="标题 1 字符"/>
    <w:qFormat/>
    <w:uiPriority w:val="0"/>
    <w:rPr>
      <w:b/>
      <w:bCs/>
      <w:kern w:val="44"/>
      <w:sz w:val="44"/>
      <w:szCs w:val="44"/>
    </w:rPr>
  </w:style>
  <w:style w:type="character" w:customStyle="1" w:styleId="114">
    <w:name w:val="标题 2 字符"/>
    <w:qFormat/>
    <w:uiPriority w:val="0"/>
    <w:rPr>
      <w:rFonts w:ascii="Arial" w:hAnsi="Arial" w:eastAsia="黑体"/>
      <w:b/>
      <w:bCs/>
      <w:kern w:val="2"/>
      <w:sz w:val="32"/>
      <w:szCs w:val="32"/>
    </w:rPr>
  </w:style>
  <w:style w:type="character" w:customStyle="1" w:styleId="115">
    <w:name w:val="标题 3 字符"/>
    <w:qFormat/>
    <w:uiPriority w:val="0"/>
    <w:rPr>
      <w:b/>
      <w:bCs/>
      <w:kern w:val="2"/>
      <w:sz w:val="32"/>
      <w:szCs w:val="32"/>
    </w:rPr>
  </w:style>
  <w:style w:type="character" w:customStyle="1" w:styleId="116">
    <w:name w:val="标题 4 字符"/>
    <w:qFormat/>
    <w:uiPriority w:val="0"/>
    <w:rPr>
      <w:rFonts w:ascii="Arial" w:eastAsia="黑体"/>
      <w:sz w:val="28"/>
    </w:rPr>
  </w:style>
  <w:style w:type="character" w:customStyle="1" w:styleId="117">
    <w:name w:val="标题 5 字符"/>
    <w:qFormat/>
    <w:uiPriority w:val="9"/>
    <w:rPr>
      <w:b/>
      <w:bCs/>
      <w:kern w:val="2"/>
      <w:sz w:val="28"/>
      <w:szCs w:val="28"/>
    </w:rPr>
  </w:style>
  <w:style w:type="character" w:customStyle="1" w:styleId="118">
    <w:name w:val="文档结构图 字符"/>
    <w:qFormat/>
    <w:uiPriority w:val="0"/>
    <w:rPr>
      <w:rFonts w:ascii="宋体"/>
      <w:kern w:val="2"/>
      <w:sz w:val="18"/>
      <w:szCs w:val="18"/>
    </w:rPr>
  </w:style>
  <w:style w:type="character" w:customStyle="1" w:styleId="119">
    <w:name w:val="批注文字 字符"/>
    <w:qFormat/>
    <w:uiPriority w:val="0"/>
    <w:rPr>
      <w:kern w:val="2"/>
      <w:sz w:val="21"/>
      <w:szCs w:val="24"/>
    </w:rPr>
  </w:style>
  <w:style w:type="character" w:customStyle="1" w:styleId="120">
    <w:name w:val="正文文本 3 字符"/>
    <w:qFormat/>
    <w:uiPriority w:val="99"/>
    <w:rPr>
      <w:kern w:val="2"/>
      <w:sz w:val="16"/>
      <w:szCs w:val="16"/>
    </w:rPr>
  </w:style>
  <w:style w:type="character" w:customStyle="1" w:styleId="121">
    <w:name w:val="正文文本缩进 字符"/>
    <w:qFormat/>
    <w:uiPriority w:val="0"/>
    <w:rPr>
      <w:rFonts w:ascii="宋体" w:hAnsi="Courier New"/>
      <w:spacing w:val="-4"/>
      <w:kern w:val="2"/>
      <w:sz w:val="18"/>
    </w:rPr>
  </w:style>
  <w:style w:type="character" w:customStyle="1" w:styleId="122">
    <w:name w:val="日期 字符"/>
    <w:qFormat/>
    <w:uiPriority w:val="0"/>
    <w:rPr>
      <w:kern w:val="2"/>
      <w:sz w:val="21"/>
      <w:szCs w:val="24"/>
    </w:rPr>
  </w:style>
  <w:style w:type="character" w:customStyle="1" w:styleId="123">
    <w:name w:val="正文文本缩进 2 字符"/>
    <w:qFormat/>
    <w:uiPriority w:val="0"/>
    <w:rPr>
      <w:kern w:val="2"/>
      <w:sz w:val="21"/>
      <w:szCs w:val="24"/>
    </w:rPr>
  </w:style>
  <w:style w:type="character" w:customStyle="1" w:styleId="124">
    <w:name w:val="批注框文本 字符"/>
    <w:qFormat/>
    <w:uiPriority w:val="0"/>
    <w:rPr>
      <w:kern w:val="2"/>
      <w:sz w:val="18"/>
      <w:szCs w:val="18"/>
    </w:rPr>
  </w:style>
  <w:style w:type="character" w:customStyle="1" w:styleId="125">
    <w:name w:val="页脚 字符1"/>
    <w:qFormat/>
    <w:uiPriority w:val="99"/>
    <w:rPr>
      <w:kern w:val="2"/>
      <w:sz w:val="18"/>
      <w:szCs w:val="18"/>
    </w:rPr>
  </w:style>
  <w:style w:type="character" w:customStyle="1" w:styleId="126">
    <w:name w:val="页眉 字符1"/>
    <w:qFormat/>
    <w:uiPriority w:val="99"/>
    <w:rPr>
      <w:kern w:val="2"/>
      <w:sz w:val="18"/>
      <w:szCs w:val="18"/>
    </w:rPr>
  </w:style>
  <w:style w:type="character" w:customStyle="1" w:styleId="127">
    <w:name w:val="批注主题 字符"/>
    <w:qFormat/>
    <w:uiPriority w:val="99"/>
    <w:rPr>
      <w:b/>
      <w:bCs/>
      <w:kern w:val="2"/>
      <w:sz w:val="21"/>
      <w:szCs w:val="24"/>
    </w:rPr>
  </w:style>
  <w:style w:type="paragraph" w:customStyle="1" w:styleId="128">
    <w:name w:val="_Style 117"/>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29">
    <w:name w:val="纯文本 字符1"/>
    <w:semiHidden/>
    <w:qFormat/>
    <w:locked/>
    <w:uiPriority w:val="0"/>
    <w:rPr>
      <w:rFonts w:ascii="宋体" w:hAnsi="Courier New"/>
      <w:kern w:val="2"/>
      <w:sz w:val="21"/>
    </w:rPr>
  </w:style>
  <w:style w:type="paragraph" w:customStyle="1" w:styleId="1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131">
    <w:name w:val="WPSOffice手动目录 1"/>
    <w:qFormat/>
    <w:uiPriority w:val="0"/>
    <w:rPr>
      <w:rFonts w:ascii="Calibri" w:hAnsi="Calibri" w:eastAsia="宋体" w:cs="Times New Roman"/>
      <w:lang w:val="en-US" w:eastAsia="zh-CN" w:bidi="ar-SA"/>
    </w:rPr>
  </w:style>
  <w:style w:type="paragraph" w:customStyle="1" w:styleId="132">
    <w:name w:val="gb2312112"/>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133">
    <w:name w:val="No Spacing"/>
    <w:qFormat/>
    <w:uiPriority w:val="0"/>
    <w:pPr>
      <w:widowControl w:val="0"/>
      <w:jc w:val="both"/>
    </w:pPr>
    <w:rPr>
      <w:rFonts w:ascii="Calibri" w:hAnsi="Calibri" w:eastAsia="宋体" w:cs="Times New Roman"/>
      <w:kern w:val="2"/>
      <w:sz w:val="21"/>
      <w:szCs w:val="22"/>
      <w:lang w:val="en-US" w:eastAsia="zh-CN" w:bidi="ar-SA"/>
    </w:rPr>
  </w:style>
  <w:style w:type="character" w:customStyle="1" w:styleId="134">
    <w:name w:val="font31"/>
    <w:basedOn w:val="35"/>
    <w:qFormat/>
    <w:uiPriority w:val="0"/>
    <w:rPr>
      <w:rFonts w:hint="eastAsia" w:ascii="仿宋" w:hAnsi="仿宋" w:eastAsia="仿宋" w:cs="仿宋"/>
      <w:color w:val="000000"/>
      <w:sz w:val="22"/>
      <w:szCs w:val="22"/>
      <w:u w:val="none"/>
    </w:rPr>
  </w:style>
  <w:style w:type="character" w:customStyle="1" w:styleId="135">
    <w:name w:val="font41"/>
    <w:basedOn w:val="35"/>
    <w:qFormat/>
    <w:uiPriority w:val="0"/>
    <w:rPr>
      <w:rFonts w:ascii="DejaVu Sans" w:hAnsi="DejaVu Sans" w:eastAsia="DejaVu Sans" w:cs="DejaVu Sans"/>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16252b33-6873-4581-a969-34a4fcae57c8</errorID>
      <errorWord>:</errorWord>
      <group>L1_Format</group>
      <groupName>格式问题</groupName>
      <ability>L2_HalfPunc_CN</ability>
      <abilityName>全半角问题</abilityName>
      <candidateList>
        <item>：</item>
      </candidateList>
      <explain>文本全半角错误。</explain>
      <paraID>21AB5583</paraID>
      <start>12</start>
      <end>13</end>
      <status>unmodified</status>
      <modifiedWord/>
      <trackRevisions>false</trackRevisions>
    </reviewItem>
    <reviewItem>
      <errorID>dc75e3a1-dba7-4334-9c5c-fe2256b55a47</errorID>
      <errorWord>)</errorWord>
      <group>L1_Format</group>
      <groupName>格式问题</groupName>
      <ability>L2_HalfPunc_CN</ability>
      <abilityName>全半角问题</abilityName>
      <candidateList>
        <item>）</item>
      </candidateList>
      <explain>文本全半角错误。</explain>
      <paraID>  D0E2B1</paraID>
      <start>39</start>
      <end>40</end>
      <status>unmodified</status>
      <modifiedWord/>
      <trackRevisions>false</trackRevisions>
    </reviewItem>
    <reviewItem>
      <errorID>da42fcfb-ccd8-4add-a0fe-f3820c342dac</errorID>
      <errorWord>(</errorWord>
      <group>L1_Format</group>
      <groupName>格式问题</groupName>
      <ability>L2_HalfPunc_CN</ability>
      <abilityName>全半角问题</abilityName>
      <candidateList>
        <item>（</item>
      </candidateList>
      <explain>文本全半角错误。</explain>
      <paraID>72F7A490</paraID>
      <start>14</start>
      <end>15</end>
      <status>unmodified</status>
      <modifiedWord/>
      <trackRevisions>false</trackRevisions>
    </reviewItem>
    <reviewItem>
      <errorID>3c979c25-c2de-4bee-a91e-9d016850cec1</errorID>
      <errorWord>)</errorWord>
      <group>L1_Format</group>
      <groupName>格式问题</groupName>
      <ability>L2_HalfPunc_CN</ability>
      <abilityName>全半角问题</abilityName>
      <candidateList>
        <item>）</item>
      </candidateList>
      <explain>文本全半角错误。</explain>
      <paraID>72F7A490</paraID>
      <start>37</start>
      <end>38</end>
      <status>unmodified</status>
      <modifiedWord/>
      <trackRevisions>false</trackRevisions>
    </reviewItem>
    <reviewItem>
      <errorID>15584d43-c20f-47b5-b45e-90c79252172a</errorID>
      <errorWord>(</errorWord>
      <group>L1_Format</group>
      <groupName>格式问题</groupName>
      <ability>L2_HalfPunc_CN</ability>
      <abilityName>全半角问题</abilityName>
      <candidateList>
        <item>（</item>
      </candidateList>
      <explain>文本全半角错误。</explain>
      <paraID>72F7A490</paraID>
      <start>47</start>
      <end>48</end>
      <status>unmodified</status>
      <modifiedWord/>
      <trackRevisions>false</trackRevisions>
    </reviewItem>
    <reviewItem>
      <errorID>6e76f06b-a609-43c7-a54a-ae52afc48e9c</errorID>
      <errorWord>)</errorWord>
      <group>L1_Format</group>
      <groupName>格式问题</groupName>
      <ability>L2_HalfPunc_CN</ability>
      <abilityName>全半角问题</abilityName>
      <candidateList>
        <item>）</item>
      </candidateList>
      <explain>文本全半角错误。</explain>
      <paraID>72F7A490</paraID>
      <start>63</start>
      <end>64</end>
      <status>unmodified</status>
      <modifiedWord/>
      <trackRevisions>false</trackRevisions>
    </reviewItem>
    <reviewItem>
      <errorID>0e212408-1c03-41a6-94bf-27ccd09a5eb4</errorID>
      <errorWord>：/</errorWord>
      <group>L1_Punc</group>
      <groupName>标点问题</groupName>
      <ability>L2_Punc_CN</ability>
      <abilityName>标点符号问题</abilityName>
      <candidateList>
        <item>：</item>
      </candidateList>
      <explain/>
      <paraID>3EA1EFB7</paraID>
      <start>2</start>
      <end>4</end>
      <status>unmodified</status>
      <modifiedWord/>
      <trackRevisions>false</trackRevisions>
    </reviewItem>
    <reviewItem>
      <errorID>f6b71b91-9a56-49da-a5d5-69586de08e97</errorID>
      <errorWord>上午00:00</errorWord>
      <group>L1_Knowledge</group>
      <groupName>知识性问题</groupName>
      <ability>L2_Time</ability>
      <abilityName>日期时间</abilityName>
      <candidateList/>
      <explain>时间与前缀不匹配，可能的时间前缀有“下午、晚上、凌晨、午夜”。</explain>
      <paraID>3EA1EFB7</paraID>
      <start>20</start>
      <end>27</end>
      <status>unmodified</status>
      <modifiedWord/>
      <trackRevisions>false</trackRevisions>
    </reviewItem>
    <reviewItem>
      <errorID>73eecdad-e3fb-49de-b87f-4794965d6a90</errorID>
      <errorWord>,</errorWord>
      <group>L1_Format</group>
      <groupName>格式问题</groupName>
      <ability>L2_HalfPunc_CN</ability>
      <abilityName>全半角问题</abilityName>
      <candidateList>
        <item>，</item>
      </candidateList>
      <explain>文本全半角错误。</explain>
      <paraID>2BDF1470</paraID>
      <start>32</start>
      <end>33</end>
      <status>unmodified</status>
      <modifiedWord/>
      <trackRevisions>false</trackRevisions>
    </reviewItem>
    <reviewItem>
      <errorID>0c76eb1e-4665-4c4e-a613-4c369fd61670</errorID>
      <errorWord>.</errorWord>
      <group>L1_Format</group>
      <groupName>格式问题</groupName>
      <ability>L2_HalfPunc_CN</ability>
      <abilityName>全半角问题</abilityName>
      <candidateList>
        <item>。</item>
      </candidateList>
      <explain>文本全半角错误。</explain>
      <paraID>2BDF1470</paraID>
      <start>118</start>
      <end>119</end>
      <status>unmodified</status>
      <modifiedWord/>
      <trackRevisions>false</trackRevisions>
    </reviewItem>
    <reviewItem>
      <errorID>16c28de0-4ba5-4321-8412-339f36bf89e2</errorID>
      <errorWord>（</errorWord>
      <group>L1_Punc</group>
      <groupName>标点问题</groupName>
      <ability>L2_Punc_CN</ability>
      <abilityName>标点符号问题</abilityName>
      <candidateList/>
      <explain>同一形式括号套用。</explain>
      <paraID>4EE8A13F</paraID>
      <start>114</start>
      <end>115</end>
      <status>unmodified</status>
      <modifiedWord/>
      <trackRevisions>false</trackRevisions>
    </reviewItem>
    <reviewItem>
      <errorID>eacabf39-c193-4333-bdd5-fc9852f8f8b3</errorID>
      <errorWord>）</errorWord>
      <group>L1_Punc</group>
      <groupName>标点问题</groupName>
      <ability>L2_Punc_CN</ability>
      <abilityName>标点符号问题</abilityName>
      <candidateList/>
      <explain>同一形式括号套用。</explain>
      <paraID>4EE8A13F</paraID>
      <start>118</start>
      <end>119</end>
      <status>unmodified</status>
      <modifiedWord/>
      <trackRevisions>false</trackRevisions>
    </reviewItem>
    <reviewItem>
      <errorID>8aee7df6-6487-4c6b-add9-fada3c5f95bb</errorID>
      <errorWord>中国-东盟</errorWord>
      <group>L1_Political</group>
      <groupName>政治性问题</groupName>
      <ability>L2_Unpolitical</ability>
      <abilityName>政治敏感错误</abilityName>
      <candidateList>
        <item>中国—东盟</item>
      </candidateList>
      <explain/>
      <paraID>2A0C46DE</paraID>
      <start>20</start>
      <end>25</end>
      <status>unmodified</status>
      <modifiedWord/>
      <trackRevisions>false</trackRevisions>
    </reviewItem>
    <reviewItem>
      <errorID>77c12275-518f-4417-8466-2cf8ada8f865</errorID>
      <errorWord>"</errorWord>
      <group>L1_Format</group>
      <groupName>格式问题</groupName>
      <ability>L2_HalfPunc_CN</ability>
      <abilityName>全半角问题</abilityName>
      <candidateList>
        <item>“</item>
      </candidateList>
      <explain>文本全半角错误。</explain>
      <paraID>5ED8BD78</paraID>
      <start>113</start>
      <end>114</end>
      <status>unmodified</status>
      <modifiedWord/>
      <trackRevisions>false</trackRevisions>
    </reviewItem>
    <reviewItem>
      <errorID>3db98ea5-2c49-4881-b673-7a58e077eaad</errorID>
      <errorWord>"</errorWord>
      <group>L1_Format</group>
      <groupName>格式问题</groupName>
      <ability>L2_HalfPunc_CN</ability>
      <abilityName>全半角问题</abilityName>
      <candidateList>
        <item>”</item>
      </candidateList>
      <explain>文本全半角错误。</explain>
      <paraID>5ED8BD78</paraID>
      <start>123</start>
      <end>124</end>
      <status>unmodified</status>
      <modifiedWord/>
      <trackRevisions>false</trackRevisions>
    </reviewItem>
    <reviewItem>
      <errorID>dfa3e6ec-89b8-4a60-aeba-90f0487007ee</errorID>
      <errorWord>"</errorWord>
      <group>L1_Format</group>
      <groupName>格式问题</groupName>
      <ability>L2_HalfPunc_CN</ability>
      <abilityName>全半角问题</abilityName>
      <candidateList>
        <item>“</item>
      </candidateList>
      <explain>文本全半角错误。</explain>
      <paraID> 223F8AB</paraID>
      <start>76</start>
      <end>77</end>
      <status>unmodified</status>
      <modifiedWord/>
      <trackRevisions>false</trackRevisions>
    </reviewItem>
    <reviewItem>
      <errorID>179fa982-fad0-4131-911f-f359ef2bb478</errorID>
      <errorWord>"</errorWord>
      <group>L1_Format</group>
      <groupName>格式问题</groupName>
      <ability>L2_HalfPunc_CN</ability>
      <abilityName>全半角问题</abilityName>
      <candidateList>
        <item>”</item>
      </candidateList>
      <explain>文本全半角错误。</explain>
      <paraID> 223F8AB</paraID>
      <start>86</start>
      <end>87</end>
      <status>unmodified</status>
      <modifiedWord/>
      <trackRevisions>false</trackRevisions>
    </reviewItem>
    <reviewItem>
      <errorID>c9de3e3d-eece-48cf-951e-a9527811dd57</errorID>
      <errorWord>中国-东盟</errorWord>
      <group>L1_Political</group>
      <groupName>政治性问题</groupName>
      <ability>L2_Unpolitical</ability>
      <abilityName>政治敏感错误</abilityName>
      <candidateList>
        <item>中国—东盟</item>
      </candidateList>
      <explain/>
      <paraID>70CFAB52</paraID>
      <start>18</start>
      <end>23</end>
      <status>unmodified</status>
      <modifiedWord/>
      <trackRevisions>false</trackRevisions>
    </reviewItem>
    <reviewItem>
      <errorID>e5723a00-ee47-4acd-a599-2f4239b8a704</errorID>
      <errorWord>(</errorWord>
      <group>L1_Format</group>
      <groupName>格式问题</groupName>
      <ability>L2_HalfPunc_CN</ability>
      <abilityName>全半角问题</abilityName>
      <candidateList>
        <item>（</item>
      </candidateList>
      <explain>文本全半角错误。</explain>
      <paraID>1D71095C</paraID>
      <start>45</start>
      <end>46</end>
      <status>unmodified</status>
      <modifiedWord/>
      <trackRevisions>false</trackRevisions>
    </reviewItem>
    <reviewItem>
      <errorID>d26dbb88-a471-4ba5-8638-fb7183bf50d9</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1D71095C</paraID>
      <start>50</start>
      <end>51</end>
      <status>unmodified</status>
      <modifiedWord/>
      <trackRevisions>false</trackRevisions>
    </reviewItem>
    <reviewItem>
      <errorID>3aac391f-f7cb-40b5-8bef-2e55ec1cb640</errorID>
      <errorWord>)</errorWord>
      <group>L1_Format</group>
      <groupName>格式问题</groupName>
      <ability>L2_HalfPunc_CN</ability>
      <abilityName>全半角问题</abilityName>
      <candidateList>
        <item>）</item>
      </candidateList>
      <explain>文本全半角错误。</explain>
      <paraID>1D71095C</paraID>
      <start>56</start>
      <end>57</end>
      <status>unmodified</status>
      <modifiedWord/>
      <trackRevisions>false</trackRevisions>
    </reviewItem>
    <reviewItem>
      <errorID>18ffba58-6ea6-43ab-a36c-b78b475451e7</errorID>
      <errorWord>讲诉</errorWord>
      <group>L1_Word</group>
      <groupName>字词问题</groupName>
      <ability>L2_Typo</ability>
      <abilityName>字词错误</abilityName>
      <candidateList>
        <item>讲述</item>
      </candidateList>
      <explain>〈动〉把事情或道理讲出来：～事情经过｜～机械原理。</explain>
      <paraID>20336870</paraID>
      <start>43</start>
      <end>45</end>
      <status>unmodified</status>
      <modifiedWord/>
      <trackRevisions>false</trackRevisions>
    </reviewItem>
    <reviewItem>
      <errorID>c6596a7d-b6c3-404d-ba17-6ebad03d0a72</errorID>
      <errorWord>,</errorWord>
      <group>L1_Format</group>
      <groupName>格式问题</groupName>
      <ability>L2_HalfPunc_CN</ability>
      <abilityName>全半角问题</abilityName>
      <candidateList>
        <item>，</item>
      </candidateList>
      <explain>文本全半角错误。</explain>
      <paraID>1E4D692C</paraID>
      <start>18</start>
      <end>19</end>
      <status>unmodified</status>
      <modifiedWord/>
      <trackRevisions>false</trackRevisions>
    </reviewItem>
    <reviewItem>
      <errorID>0ce48fad-4742-4a47-b09d-ac3c3f3d186c</errorID>
      <errorWord>具</errorWord>
      <group>L1_Word</group>
      <groupName>字词问题</groupName>
      <ability>L2_Typo</ability>
      <abilityName>字词错误</abilityName>
      <candidateList>
        <item>具有</item>
      </candidateList>
      <explain>〈动〉有（多用于抽象事物）：～信心｜～伟大的意义。</explain>
      <paraID>2BE9304B</paraID>
      <start>13</start>
      <end>14</end>
      <status>unmodified</status>
      <modifiedWord/>
      <trackRevisions>false</trackRevisions>
    </reviewItem>
    <reviewItem>
      <errorID>e36f9c6c-b0a8-4440-9c61-46cc918a8fa8</errorID>
      <errorWord>优化灰</errorWord>
      <group>L1_Word</group>
      <groupName>字词问题</groupName>
      <ability>L2_Typo</ability>
      <abilityName>字词错误</abilityName>
      <candidateList>
        <item>优化</item>
      </candidateList>
      <explain/>
      <paraID>436B7BE9</paraID>
      <start>88</start>
      <end>91</end>
      <status>unmodified</status>
      <modifiedWord/>
      <trackRevisions>false</trackRevisions>
    </reviewItem>
    <reviewItem>
      <errorID>d3c431d4-bc51-464b-afaa-d5c534c2c498</errorID>
      <errorWord>程</errorWord>
      <group>L1_Word</group>
      <groupName>字词问题</groupName>
      <ability>L2_Typo</ability>
      <abilityName>字词错误</abilityName>
      <candidateList>
        <item>程中</item>
      </candidateList>
      <explain/>
      <paraID>75CB1DCF</paraID>
      <start>5</start>
      <end>6</end>
      <status>unmodified</status>
      <modifiedWord/>
      <trackRevisions>false</trackRevisions>
    </reviewItem>
    <reviewItem>
      <errorID>b2ef5b5e-9a51-4faa-9551-ae519c61c174</errorID>
      <errorWord>主材主材</errorWord>
      <group>L1_Word</group>
      <groupName>字词问题</groupName>
      <ability>L2_Typo</ability>
      <abilityName>字词错误</abilityName>
      <candidateList>
        <item>主材</item>
      </candidateList>
      <explain/>
      <paraID> C60C361</paraID>
      <start>63</start>
      <end>67</end>
      <status>unmodified</status>
      <modifiedWord/>
      <trackRevisions>false</trackRevisions>
    </reviewItem>
    <reviewItem>
      <errorID>187c1390-a6aa-4527-a145-2324085ee249</errorID>
      <errorWord>；</errorWord>
      <group>L1_Word</group>
      <groupName>字词问题</groupName>
      <ability>L2_Typo</ability>
      <abilityName>字词错误</abilityName>
      <candidateList>
        <item>；具</item>
      </candidateList>
      <explain/>
      <paraID>38EB343C</paraID>
      <start>128</start>
      <end>129</end>
      <status>unmodified</status>
      <modifiedWord/>
      <trackRevisions>false</trackRevisions>
    </reviewItem>
    <reviewItem>
      <errorID>d9d77e87-d4a0-4066-8872-bc0067232ea9</errorID>
      <errorWord>准</errorWord>
      <group>L1_Word</group>
      <groupName>字词问题</groupName>
      <ability>L2_Typo</ability>
      <abilityName>字词错误</abilityName>
      <candidateList>
        <item>准和</item>
      </candidateList>
      <explain/>
      <paraID>41F96258</paraID>
      <start>64</start>
      <end>65</end>
      <status>unmodified</status>
      <modifiedWord/>
      <trackRevisions>false</trackRevisions>
    </reviewItem>
    <reviewItem>
      <errorID>d55a4335-2c4a-40b0-bd16-5cc93f9a02e1</errorID>
      <errorWord>其它专项</errorWord>
      <group>L1_Word</group>
      <groupName>字词问题</groupName>
      <ability>L2_Alias</ability>
      <abilityName>也作/曾用词</abilityName>
      <candidateList>
        <item>其他专项</item>
      </candidateList>
      <explain>词汇[其它专项]为不规范表述或旧称，其规范书面表述为[其他专项]。</explain>
      <paraID>2C937F66</paraID>
      <start>15</start>
      <end>19</end>
      <status>unmodified</status>
      <modifiedWord/>
      <trackRevisions>false</trackRevisions>
    </reviewItem>
    <reviewItem>
      <errorID>bcf71642-738f-48e6-a1f7-c2a4f8ad340f</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 1F45869</paraID>
      <start>46</start>
      <end>47</end>
      <status>unmodified</status>
      <modifiedWord/>
      <trackRevisions>false</trackRevisions>
    </reviewItem>
    <reviewItem>
      <errorID>160474af-2bc7-4998-a54e-c7591dc5f16c</errorID>
      <errorWord>(</errorWord>
      <group>L1_Format</group>
      <groupName>格式问题</groupName>
      <ability>L2_HalfPunc_CN</ability>
      <abilityName>全半角问题</abilityName>
      <candidateList>
        <item>（</item>
      </candidateList>
      <explain>文本全半角错误。</explain>
      <paraID>6341C5AE</paraID>
      <start>27</start>
      <end>28</end>
      <status>unmodified</status>
      <modifiedWord/>
      <trackRevisions>false</trackRevisions>
    </reviewItem>
    <reviewItem>
      <errorID>4ade59e3-5b9b-43d2-9129-d6985062ac76</errorID>
      <errorWord>)</errorWord>
      <group>L1_Format</group>
      <groupName>格式问题</groupName>
      <ability>L2_HalfPunc_CN</ability>
      <abilityName>全半角问题</abilityName>
      <candidateList>
        <item>）</item>
      </candidateList>
      <explain>文本全半角错误。</explain>
      <paraID>6341C5AE</paraID>
      <start>34</start>
      <end>35</end>
      <status>unmodified</status>
      <modifiedWord/>
      <trackRevisions>false</trackRevisions>
    </reviewItem>
    <reviewItem>
      <errorID>08e0a5d0-63de-4283-80f6-c07531eaf636</errorID>
      <errorWord>(</errorWord>
      <group>L1_Format</group>
      <groupName>格式问题</groupName>
      <ability>L2_HalfPunc_CN</ability>
      <abilityName>全半角问题</abilityName>
      <candidateList>
        <item>（</item>
      </candidateList>
      <explain>文本全半角错误。</explain>
      <paraID>458EEEA5</paraID>
      <start>7</start>
      <end>8</end>
      <status>unmodified</status>
      <modifiedWord/>
      <trackRevisions>false</trackRevisions>
    </reviewItem>
    <reviewItem>
      <errorID>f4c0aa22-be25-495f-9146-2a182e1ca841</errorID>
      <errorWord>)</errorWord>
      <group>L1_Format</group>
      <groupName>格式问题</groupName>
      <ability>L2_HalfPunc_CN</ability>
      <abilityName>全半角问题</abilityName>
      <candidateList>
        <item>）</item>
      </candidateList>
      <explain>文本全半角错误。</explain>
      <paraID>458EEEA5</paraID>
      <start>12</start>
      <end>13</end>
      <status>unmodified</status>
      <modifiedWord/>
      <trackRevisions>false</trackRevisions>
    </reviewItem>
    <reviewItem>
      <errorID>c172bb66-09fd-4595-8e66-cf18a9806515</errorID>
      <errorWord>，</errorWord>
      <group>L1_Word</group>
      <groupName>字词问题</groupName>
      <ability>L2_Typo</ability>
      <abilityName>字词错误</abilityName>
      <candidateList>
        <item>，具</item>
      </candidateList>
      <explain/>
      <paraID>6F50522A</paraID>
      <start>54</start>
      <end>55</end>
      <status>unmodified</status>
      <modifiedWord/>
      <trackRevisions>false</trackRevisions>
    </reviewItem>
    <reviewItem>
      <errorID>11d9ef11-ad22-435e-9eed-369b26c87457</errorID>
      <errorWord>(</errorWord>
      <group>L1_Format</group>
      <groupName>格式问题</groupName>
      <ability>L2_HalfPunc_CN</ability>
      <abilityName>全半角问题</abilityName>
      <candidateList>
        <item>（</item>
      </candidateList>
      <explain>文本全半角错误。</explain>
      <paraID> 40E904A</paraID>
      <start>23</start>
      <end>24</end>
      <status>unmodified</status>
      <modifiedWord/>
      <trackRevisions>false</trackRevisions>
    </reviewItem>
    <reviewItem>
      <errorID>a11dddd7-4fcc-4fce-b008-36ec8e5d5dc8</errorID>
      <errorWord>)</errorWord>
      <group>L1_Format</group>
      <groupName>格式问题</groupName>
      <ability>L2_HalfPunc_CN</ability>
      <abilityName>全半角问题</abilityName>
      <candidateList>
        <item>）</item>
      </candidateList>
      <explain>文本全半角错误。</explain>
      <paraID> 40E904A</paraID>
      <start>25</start>
      <end>26</end>
      <status>unmodified</status>
      <modifiedWord/>
      <trackRevisions>false</trackRevisions>
    </reviewItem>
    <reviewItem>
      <errorID>f1c8409a-dd98-4491-a961-22751b907b61</errorID>
      <errorWord>)</errorWord>
      <group>L1_Format</group>
      <groupName>格式问题</groupName>
      <ability>L2_HalfPunc_CN</ability>
      <abilityName>全半角问题</abilityName>
      <candidateList>
        <item>）</item>
      </candidateList>
      <explain>文本全半角错误。</explain>
      <paraID> 40E904A</paraID>
      <start>37</start>
      <end>38</end>
      <status>unmodified</status>
      <modifiedWord/>
      <trackRevisions>false</trackRevisions>
    </reviewItem>
    <reviewItem>
      <errorID>0fa72f0e-e2bb-4e6c-a434-7bf302938f1d</errorID>
      <errorWord>(</errorWord>
      <group>L1_Format</group>
      <groupName>格式问题</groupName>
      <ability>L2_HalfPunc_CN</ability>
      <abilityName>全半角问题</abilityName>
      <candidateList>
        <item>（</item>
      </candidateList>
      <explain>文本全半角错误。</explain>
      <paraID>15C9DE3D</paraID>
      <start>10</start>
      <end>11</end>
      <status>unmodified</status>
      <modifiedWord/>
      <trackRevisions>false</trackRevisions>
    </reviewItem>
    <reviewItem>
      <errorID>dd2583db-c198-414e-ac48-2b370464b3ca</errorID>
      <errorWord>)</errorWord>
      <group>L1_Format</group>
      <groupName>格式问题</groupName>
      <ability>L2_HalfPunc_CN</ability>
      <abilityName>全半角问题</abilityName>
      <candidateList>
        <item>）</item>
      </candidateList>
      <explain>文本全半角错误。</explain>
      <paraID>15C9DE3D</paraID>
      <start>13</start>
      <end>14</end>
      <status>unmodified</status>
      <modifiedWord/>
      <trackRevisions>false</trackRevisions>
    </reviewItem>
    <reviewItem>
      <errorID>36501f78-7402-4441-8014-8db64cea7251</errorID>
      <errorWord>(</errorWord>
      <group>L1_Format</group>
      <groupName>格式问题</groupName>
      <ability>L2_HalfPunc_CN</ability>
      <abilityName>全半角问题</abilityName>
      <candidateList>
        <item>（</item>
      </candidateList>
      <explain>文本全半角错误。</explain>
      <paraID>15C9DE3D</paraID>
      <start>26</start>
      <end>27</end>
      <status>unmodified</status>
      <modifiedWord/>
      <trackRevisions>false</trackRevisions>
    </reviewItem>
    <reviewItem>
      <errorID>fe78feed-66f2-4855-9644-6b92bd452d37</errorID>
      <errorWord>)</errorWord>
      <group>L1_Format</group>
      <groupName>格式问题</groupName>
      <ability>L2_HalfPunc_CN</ability>
      <abilityName>全半角问题</abilityName>
      <candidateList>
        <item>）</item>
      </candidateList>
      <explain>文本全半角错误。</explain>
      <paraID>15C9DE3D</paraID>
      <start>29</start>
      <end>30</end>
      <status>unmodified</status>
      <modifiedWord/>
      <trackRevisions>false</trackRevisions>
    </reviewItem>
    <reviewItem>
      <errorID>fe0fd58e-6e68-4443-9063-6b0cb014ae21</errorID>
      <errorWord>22，</errorWord>
      <group>L1_Format</group>
      <groupName>格式问题</groupName>
      <ability>L2_Ordinal</ability>
      <abilityName>序号格式</abilityName>
      <candidateList>
        <item>22.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611E9135</paraID>
      <start>0</start>
      <end>3</end>
      <status>unmodified</status>
      <modifiedWord/>
      <trackRevisions>false</trackRevisions>
    </reviewItem>
    <reviewItem>
      <errorID>ba97e9e3-cd69-4aba-bb47-2d1ed55c92ad</errorID>
      <errorWord>(</errorWord>
      <group>L1_Format</group>
      <groupName>格式问题</groupName>
      <ability>L2_HalfPunc_CN</ability>
      <abilityName>全半角问题</abilityName>
      <candidateList>
        <item>（</item>
      </candidateList>
      <explain>文本全半角错误。</explain>
      <paraID>2C680870</paraID>
      <start>14</start>
      <end>15</end>
      <status>unmodified</status>
      <modifiedWord/>
      <trackRevisions>false</trackRevisions>
    </reviewItem>
    <reviewItem>
      <errorID>30712296-92b7-43f9-96c8-2982b554754f</errorID>
      <errorWord>)</errorWord>
      <group>L1_Format</group>
      <groupName>格式问题</groupName>
      <ability>L2_HalfPunc_CN</ability>
      <abilityName>全半角问题</abilityName>
      <candidateList>
        <item>）</item>
      </candidateList>
      <explain>文本全半角错误。</explain>
      <paraID>2C680870</paraID>
      <start>21</start>
      <end>22</end>
      <status>unmodified</status>
      <modifiedWord/>
      <trackRevisions>false</trackRevisions>
    </reviewItem>
    <reviewItem>
      <errorID>4f4a8c9f-49fb-4b40-9918-32897c0688d0</errorID>
      <errorWord>.</errorWord>
      <group>L1_Format</group>
      <groupName>格式问题</groupName>
      <ability>L2_HalfPunc_CN</ability>
      <abilityName>全半角问题</abilityName>
      <candidateList>
        <item>。</item>
      </candidateList>
      <explain>文本全半角错误。</explain>
      <paraID>6011FD9A</paraID>
      <start>57</start>
      <end>58</end>
      <status>unmodified</status>
      <modifiedWord/>
      <trackRevisions>false</trackRevisions>
    </reviewItem>
    <reviewItem>
      <errorID>78ad794e-d5ff-4551-a69f-fceabe689aa0</errorID>
      <errorWord>.</errorWord>
      <group>L1_Format</group>
      <groupName>格式问题</groupName>
      <ability>L2_HalfPunc_CN</ability>
      <abilityName>全半角问题</abilityName>
      <candidateList>
        <item>。</item>
      </candidateList>
      <explain>文本全半角错误。</explain>
      <paraID>6011FD9A</paraID>
      <start>63</start>
      <end>64</end>
      <status>unmodified</status>
      <modifiedWord/>
      <trackRevisions>false</trackRevisions>
    </reviewItem>
    <reviewItem>
      <errorID>9f59ae45-3c60-4e41-8008-4f6d580bf9ae</errorID>
      <errorWord>.</errorWord>
      <group>L1_Format</group>
      <groupName>格式问题</groupName>
      <ability>L2_HalfPunc_CN</ability>
      <abilityName>全半角问题</abilityName>
      <candidateList>
        <item>。</item>
      </candidateList>
      <explain>文本全半角错误。</explain>
      <paraID> A96008B</paraID>
      <start>15</start>
      <end>16</end>
      <status>unmodified</status>
      <modifiedWord/>
      <trackRevisions>false</trackRevisions>
    </reviewItem>
    <reviewItem>
      <errorID>c6decf34-7d61-4145-ac99-64133005d54a</errorID>
      <errorWord>.</errorWord>
      <group>L1_Format</group>
      <groupName>格式问题</groupName>
      <ability>L2_HalfPunc_CN</ability>
      <abilityName>全半角问题</abilityName>
      <candidateList>
        <item>。</item>
      </candidateList>
      <explain>文本全半角错误。</explain>
      <paraID> A96008B</paraID>
      <start>18</start>
      <end>19</end>
      <status>unmodified</status>
      <modifiedWord/>
      <trackRevisions>false</trackRevisions>
    </reviewItem>
    <reviewItem>
      <errorID>bcc46d01-d4ab-417f-baef-88998cccf271</errorID>
      <errorWord>,</errorWord>
      <group>L1_Format</group>
      <groupName>格式问题</groupName>
      <ability>L2_HalfPunc_CN</ability>
      <abilityName>全半角问题</abilityName>
      <candidateList>
        <item>，</item>
      </candidateList>
      <explain>文本全半角错误。</explain>
      <paraID>2FF96026</paraID>
      <start>32</start>
      <end>33</end>
      <status>unmodified</status>
      <modifiedWord/>
      <trackRevisions>false</trackRevisions>
    </reviewItem>
    <reviewItem>
      <errorID>3674181e-5082-4631-b672-ff6d8543ff4e</errorID>
      <errorWord>,</errorWord>
      <group>L1_Format</group>
      <groupName>格式问题</groupName>
      <ability>L2_HalfPunc_CN</ability>
      <abilityName>全半角问题</abilityName>
      <candidateList>
        <item>，</item>
      </candidateList>
      <explain>文本全半角错误。</explain>
      <paraID>2FF96026</paraID>
      <start>68</start>
      <end>69</end>
      <status>unmodified</status>
      <modifiedWord/>
      <trackRevisions>false</trackRevisions>
    </reviewItem>
    <reviewItem>
      <errorID>52515f2b-db1e-4e11-b9c3-4ef2a3766b09</errorID>
      <errorWord>(</errorWord>
      <group>L1_Format</group>
      <groupName>格式问题</groupName>
      <ability>L2_HalfPunc_CN</ability>
      <abilityName>全半角问题</abilityName>
      <candidateList>
        <item>（</item>
      </candidateList>
      <explain>文本全半角错误。</explain>
      <paraID>43F3E903</paraID>
      <start>8</start>
      <end>9</end>
      <status>unmodified</status>
      <modifiedWord/>
      <trackRevisions>false</trackRevisions>
    </reviewItem>
    <reviewItem>
      <errorID>10ab9c67-2d94-4f86-b26c-5173bc7a5cae</errorID>
      <errorWord>)</errorWord>
      <group>L1_Format</group>
      <groupName>格式问题</groupName>
      <ability>L2_HalfPunc_CN</ability>
      <abilityName>全半角问题</abilityName>
      <candidateList>
        <item>）</item>
      </candidateList>
      <explain>文本全半角错误。</explain>
      <paraID>43F3E903</paraID>
      <start>11</start>
      <end>12</end>
      <status>unmodified</status>
      <modifiedWord/>
      <trackRevisions>false</trackRevisions>
    </reviewItem>
    <reviewItem>
      <errorID>61b2b6c3-b9b3-41d3-bfcb-6b11effb6fad</errorID>
      <errorWord>;</errorWord>
      <group>L1_Format</group>
      <groupName>格式问题</groupName>
      <ability>L2_HalfPunc_CN</ability>
      <abilityName>全半角问题</abilityName>
      <candidateList>
        <item>；</item>
      </candidateList>
      <explain>文本全半角错误。</explain>
      <paraID>72C54B2A</paraID>
      <start>15</start>
      <end>16</end>
      <status>unmodified</status>
      <modifiedWord/>
      <trackRevisions>false</trackRevisions>
    </reviewItem>
    <reviewItem>
      <errorID>756984a5-304e-47bb-ba88-67e624250a06</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72C54B2A</paraID>
      <start>42</start>
      <end>43</end>
      <status>unmodified</status>
      <modifiedWord/>
      <trackRevisions>false</trackRevisions>
    </reviewItem>
    <reviewItem>
      <errorID>84a908bb-1f7e-4f92-9566-9ee85bd236bd</errorID>
      <errorWord>(</errorWord>
      <group>L1_Format</group>
      <groupName>格式问题</groupName>
      <ability>L2_HalfPunc_CN</ability>
      <abilityName>全半角问题</abilityName>
      <candidateList>
        <item>（</item>
      </candidateList>
      <explain>文本全半角错误。</explain>
      <paraID>1D8E8767</paraID>
      <start>10</start>
      <end>11</end>
      <status>unmodified</status>
      <modifiedWord/>
      <trackRevisions>false</trackRevisions>
    </reviewItem>
    <reviewItem>
      <errorID>08a00095-a339-4fbc-9739-7b810e3e2898</errorID>
      <errorWord>)</errorWord>
      <group>L1_Format</group>
      <groupName>格式问题</groupName>
      <ability>L2_HalfPunc_CN</ability>
      <abilityName>全半角问题</abilityName>
      <candidateList>
        <item>）</item>
      </candidateList>
      <explain>文本全半角错误。</explain>
      <paraID>1D8E8767</paraID>
      <start>13</start>
      <end>14</end>
      <status>unmodified</status>
      <modifiedWord/>
      <trackRevisions>false</trackRevisions>
    </reviewItem>
    <reviewItem>
      <errorID>2b440a40-840a-4c8a-a840-9b9d4e62a0de</errorID>
      <errorWord>(</errorWord>
      <group>L1_Format</group>
      <groupName>格式问题</groupName>
      <ability>L2_HalfPunc_CN</ability>
      <abilityName>全半角问题</abilityName>
      <candidateList>
        <item>（</item>
      </candidateList>
      <explain>文本全半角错误。</explain>
      <paraID>1D8E8767</paraID>
      <start>27</start>
      <end>28</end>
      <status>unmodified</status>
      <modifiedWord/>
      <trackRevisions>false</trackRevisions>
    </reviewItem>
    <reviewItem>
      <errorID>2d88e1e0-cf0e-4585-99d0-32aa11ca9ffe</errorID>
      <errorWord>)</errorWord>
      <group>L1_Format</group>
      <groupName>格式问题</groupName>
      <ability>L2_HalfPunc_CN</ability>
      <abilityName>全半角问题</abilityName>
      <candidateList>
        <item>）</item>
      </candidateList>
      <explain>文本全半角错误。</explain>
      <paraID>1D8E8767</paraID>
      <start>30</start>
      <end>31</end>
      <status>unmodified</status>
      <modifiedWord/>
      <trackRevisions>false</trackRevisions>
    </reviewItem>
    <reviewItem>
      <errorID>182a52c7-4f4f-461e-a96e-f5a0a03dc675</errorID>
      <errorWord>(</errorWord>
      <group>L1_Format</group>
      <groupName>格式问题</groupName>
      <ability>L2_HalfPunc_CN</ability>
      <abilityName>全半角问题</abilityName>
      <candidateList>
        <item>（</item>
      </candidateList>
      <explain>文本全半角错误。</explain>
      <paraID>6CAA1B55</paraID>
      <start>7</start>
      <end>8</end>
      <status>unmodified</status>
      <modifiedWord/>
      <trackRevisions>false</trackRevisions>
    </reviewItem>
    <reviewItem>
      <errorID>a7cdecb1-ca18-4564-a315-5615b792c91f</errorID>
      <errorWord>)</errorWord>
      <group>L1_Format</group>
      <groupName>格式问题</groupName>
      <ability>L2_HalfPunc_CN</ability>
      <abilityName>全半角问题</abilityName>
      <candidateList>
        <item>）</item>
      </candidateList>
      <explain>文本全半角错误。</explain>
      <paraID>6CAA1B55</paraID>
      <start>10</start>
      <end>11</end>
      <status>unmodified</status>
      <modifiedWord/>
      <trackRevisions>false</trackRevisions>
    </reviewItem>
    <reviewItem>
      <errorID>e450157b-5e76-452d-b22c-f7011bd5467c</errorID>
      <errorWord>,</errorWord>
      <group>L1_Format</group>
      <groupName>格式问题</groupName>
      <ability>L2_HalfPunc_CN</ability>
      <abilityName>全半角问题</abilityName>
      <candidateList>
        <item>，</item>
      </candidateList>
      <explain>文本全半角错误。</explain>
      <paraID>6CAA1B55</paraID>
      <start>15</start>
      <end>16</end>
      <status>unmodified</status>
      <modifiedWord/>
      <trackRevisions>false</trackRevisions>
    </reviewItem>
    <reviewItem>
      <errorID>f7e256e6-3dd0-4a9f-9502-707f3d1bd454</errorID>
      <errorWord>,</errorWord>
      <group>L1_Format</group>
      <groupName>格式问题</groupName>
      <ability>L2_HalfPunc_CN</ability>
      <abilityName>全半角问题</abilityName>
      <candidateList>
        <item>，</item>
      </candidateList>
      <explain>文本全半角错误。</explain>
      <paraID>6CAA1B55</paraID>
      <start>36</start>
      <end>37</end>
      <status>unmodified</status>
      <modifiedWord/>
      <trackRevisions>false</trackRevisions>
    </reviewItem>
    <reviewItem>
      <errorID>7c8f4e8d-c5f4-40e1-bf38-c51b33becb18</errorID>
      <errorWord>,</errorWord>
      <group>L1_Format</group>
      <groupName>格式问题</groupName>
      <ability>L2_HalfPunc_CN</ability>
      <abilityName>全半角问题</abilityName>
      <candidateList>
        <item>，</item>
      </candidateList>
      <explain>文本全半角错误。</explain>
      <paraID>6CAA1B55</paraID>
      <start>48</start>
      <end>49</end>
      <status>unmodified</status>
      <modifiedWord/>
      <trackRevisions>false</trackRevisions>
    </reviewItem>
    <reviewItem>
      <errorID>1a236d8b-3ef3-4ae7-8b8c-5d4f08d75512</errorID>
      <errorWord>22，</errorWord>
      <group>L1_Format</group>
      <groupName>格式问题</groupName>
      <ability>L2_Ordinal</ability>
      <abilityName>序号格式</abilityName>
      <candidateList>
        <item>22.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4AC6DD02</paraID>
      <start>0</start>
      <end>3</end>
      <status>unmodified</status>
      <modifiedWord/>
      <trackRevisions>false</trackRevisions>
    </reviewItem>
    <reviewItem>
      <errorID>af95c71a-1acd-41ba-8b61-90ec53680990</errorID>
      <errorWord>(</errorWord>
      <group>L1_Format</group>
      <groupName>格式问题</groupName>
      <ability>L2_HalfPunc_CN</ability>
      <abilityName>全半角问题</abilityName>
      <candidateList>
        <item>（</item>
      </candidateList>
      <explain>文本全半角错误。</explain>
      <paraID>4AC6DD02</paraID>
      <start>10</start>
      <end>11</end>
      <status>unmodified</status>
      <modifiedWord/>
      <trackRevisions>false</trackRevisions>
    </reviewItem>
    <reviewItem>
      <errorID>8b714ef3-f05f-4fe4-b98b-193c47aeddc3</errorID>
      <errorWord>)</errorWord>
      <group>L1_Format</group>
      <groupName>格式问题</groupName>
      <ability>L2_HalfPunc_CN</ability>
      <abilityName>全半角问题</abilityName>
      <candidateList>
        <item>）</item>
      </candidateList>
      <explain>文本全半角错误。</explain>
      <paraID>4AC6DD02</paraID>
      <start>13</start>
      <end>14</end>
      <status>unmodified</status>
      <modifiedWord/>
      <trackRevisions>false</trackRevisions>
    </reviewItem>
    <reviewItem>
      <errorID>71c81ee2-a93c-4c29-ac56-b02afb0f0804</errorID>
      <errorWord>,</errorWord>
      <group>L1_Format</group>
      <groupName>格式问题</groupName>
      <ability>L2_HalfPunc_CN</ability>
      <abilityName>全半角问题</abilityName>
      <candidateList>
        <item>，</item>
      </candidateList>
      <explain>文本全半角错误。</explain>
      <paraID>4AC6DD02</paraID>
      <start>23</start>
      <end>24</end>
      <status>unmodified</status>
      <modifiedWord/>
      <trackRevisions>false</trackRevisions>
    </reviewItem>
    <reviewItem>
      <errorID>7fbf9d1d-a16f-4dd6-bc63-1d030a6bb132</errorID>
      <errorWord>,</errorWord>
      <group>L1_Format</group>
      <groupName>格式问题</groupName>
      <ability>L2_HalfPunc_CN</ability>
      <abilityName>全半角问题</abilityName>
      <candidateList>
        <item>，</item>
      </candidateList>
      <explain>文本全半角错误。</explain>
      <paraID>4AC6DD02</paraID>
      <start>32</start>
      <end>33</end>
      <status>unmodified</status>
      <modifiedWord/>
      <trackRevisions>false</trackRevisions>
    </reviewItem>
    <reviewItem>
      <errorID>061f76f5-6abd-4d63-bc51-f4fd58b503f0</errorID>
      <errorWord>(</errorWord>
      <group>L1_Format</group>
      <groupName>格式问题</groupName>
      <ability>L2_HalfPunc_CN</ability>
      <abilityName>全半角问题</abilityName>
      <candidateList>
        <item>（</item>
      </candidateList>
      <explain>文本全半角错误。</explain>
      <paraID>6B73CADD</paraID>
      <start>12</start>
      <end>13</end>
      <status>unmodified</status>
      <modifiedWord/>
      <trackRevisions>false</trackRevisions>
    </reviewItem>
    <reviewItem>
      <errorID>2404b9ab-e1e0-40a3-b3f3-59410630e355</errorID>
      <errorWord>)</errorWord>
      <group>L1_Format</group>
      <groupName>格式问题</groupName>
      <ability>L2_HalfPunc_CN</ability>
      <abilityName>全半角问题</abilityName>
      <candidateList>
        <item>）</item>
      </candidateList>
      <explain>文本全半角错误。</explain>
      <paraID>6B73CADD</paraID>
      <start>19</start>
      <end>20</end>
      <status>unmodified</status>
      <modifiedWord/>
      <trackRevisions>false</trackRevisions>
    </reviewItem>
    <reviewItem>
      <errorID>b265a974-60b9-4942-9acc-431e9dfe9dfa</errorID>
      <errorWord>,</errorWord>
      <group>L1_Format</group>
      <groupName>格式问题</groupName>
      <ability>L2_HalfPunc_CN</ability>
      <abilityName>全半角问题</abilityName>
      <candidateList>
        <item>，</item>
      </candidateList>
      <explain>文本全半角错误。</explain>
      <paraID>2E49A970</paraID>
      <start>8</start>
      <end>9</end>
      <status>unmodified</status>
      <modifiedWord/>
      <trackRevisions>false</trackRevisions>
    </reviewItem>
    <reviewItem>
      <errorID>bdb259b2-e5e1-477f-b9de-1e8e28a27cd4</errorID>
      <errorWord>,</errorWord>
      <group>L1_Format</group>
      <groupName>格式问题</groupName>
      <ability>L2_HalfPunc_CN</ability>
      <abilityName>全半角问题</abilityName>
      <candidateList>
        <item>，</item>
      </candidateList>
      <explain>文本全半角错误。</explain>
      <paraID>2E49A970</paraID>
      <start>31</start>
      <end>32</end>
      <status>unmodified</status>
      <modifiedWord/>
      <trackRevisions>false</trackRevisions>
    </reviewItem>
    <reviewItem>
      <errorID>514f59b9-a25a-48eb-a141-91c0969f0427</errorID>
      <errorWord>,</errorWord>
      <group>L1_Format</group>
      <groupName>格式问题</groupName>
      <ability>L2_HalfPunc_CN</ability>
      <abilityName>全半角问题</abilityName>
      <candidateList>
        <item>，</item>
      </candidateList>
      <explain>文本全半角错误。</explain>
      <paraID>2E49A970</paraID>
      <start>42</start>
      <end>43</end>
      <status>unmodified</status>
      <modifiedWord/>
      <trackRevisions>false</trackRevisions>
    </reviewItem>
    <reviewItem>
      <errorID>947575d1-118c-4364-99dd-cd73bcf76ecf</errorID>
      <errorWord>,</errorWord>
      <group>L1_Format</group>
      <groupName>格式问题</groupName>
      <ability>L2_HalfPunc_CN</ability>
      <abilityName>全半角问题</abilityName>
      <candidateList>
        <item>，</item>
      </candidateList>
      <explain>文本全半角错误。</explain>
      <paraID>2E49A970</paraID>
      <start>53</start>
      <end>54</end>
      <status>unmodified</status>
      <modifiedWord/>
      <trackRevisions>false</trackRevisions>
    </reviewItem>
    <reviewItem>
      <errorID>4cf983a4-47a9-401a-92af-9ef2878b97f3</errorID>
      <errorWord>(</errorWord>
      <group>L1_Format</group>
      <groupName>格式问题</groupName>
      <ability>L2_HalfPunc_CN</ability>
      <abilityName>全半角问题</abilityName>
      <candidateList>
        <item>（</item>
      </candidateList>
      <explain>文本全半角错误。</explain>
      <paraID>3969D970</paraID>
      <start>27</start>
      <end>28</end>
      <status>unmodified</status>
      <modifiedWord/>
      <trackRevisions>false</trackRevisions>
    </reviewItem>
    <reviewItem>
      <errorID>d2bc645e-817b-4e30-97e7-4d38a0cc4dfc</errorID>
      <errorWord>)</errorWord>
      <group>L1_Format</group>
      <groupName>格式问题</groupName>
      <ability>L2_HalfPunc_CN</ability>
      <abilityName>全半角问题</abilityName>
      <candidateList>
        <item>）</item>
      </candidateList>
      <explain>文本全半角错误。</explain>
      <paraID>3969D970</paraID>
      <start>34</start>
      <end>35</end>
      <status>unmodified</status>
      <modifiedWord/>
      <trackRevisions>false</trackRevisions>
    </reviewItem>
    <reviewItem>
      <errorID>09c5695a-a825-4bf6-97b1-c94f361698a4</errorID>
      <errorWord>(</errorWord>
      <group>L1_Format</group>
      <groupName>格式问题</groupName>
      <ability>L2_HalfPunc_CN</ability>
      <abilityName>全半角问题</abilityName>
      <candidateList>
        <item>（</item>
      </candidateList>
      <explain>文本全半角错误。</explain>
      <paraID>50E0325A</paraID>
      <start>7</start>
      <end>8</end>
      <status>unmodified</status>
      <modifiedWord/>
      <trackRevisions>false</trackRevisions>
    </reviewItem>
    <reviewItem>
      <errorID>6f54214a-fce8-40d2-aa8b-6f2e7a3f6c25</errorID>
      <errorWord>)</errorWord>
      <group>L1_Format</group>
      <groupName>格式问题</groupName>
      <ability>L2_HalfPunc_CN</ability>
      <abilityName>全半角问题</abilityName>
      <candidateList>
        <item>）</item>
      </candidateList>
      <explain>文本全半角错误。</explain>
      <paraID>50E0325A</paraID>
      <start>12</start>
      <end>13</end>
      <status>unmodified</status>
      <modifiedWord/>
      <trackRevisions>false</trackRevisions>
    </reviewItem>
    <reviewItem>
      <errorID>9ce94dea-84bd-485a-8cd9-2096c9d9fd03</errorID>
      <errorWord>，</errorWord>
      <group>L1_Word</group>
      <groupName>字词问题</groupName>
      <ability>L2_Typo</ability>
      <abilityName>字词错误</abilityName>
      <candidateList>
        <item>，具</item>
      </candidateList>
      <explain/>
      <paraID>5A4D43BE</paraID>
      <start>54</start>
      <end>55</end>
      <status>unmodified</status>
      <modifiedWord/>
      <trackRevisions>false</trackRevisions>
    </reviewItem>
    <reviewItem>
      <errorID>0e00ad70-bb9a-4f80-8906-1ade71d62709</errorID>
      <errorWord>(</errorWord>
      <group>L1_Format</group>
      <groupName>格式问题</groupName>
      <ability>L2_HalfPunc_CN</ability>
      <abilityName>全半角问题</abilityName>
      <candidateList>
        <item>（</item>
      </candidateList>
      <explain>文本全半角错误。</explain>
      <paraID>73B1811B</paraID>
      <start>23</start>
      <end>24</end>
      <status>unmodified</status>
      <modifiedWord/>
      <trackRevisions>false</trackRevisions>
    </reviewItem>
    <reviewItem>
      <errorID>bf7fc19f-71a1-489e-a03a-7e909c93695c</errorID>
      <errorWord>)</errorWord>
      <group>L1_Format</group>
      <groupName>格式问题</groupName>
      <ability>L2_HalfPunc_CN</ability>
      <abilityName>全半角问题</abilityName>
      <candidateList>
        <item>）</item>
      </candidateList>
      <explain>文本全半角错误。</explain>
      <paraID>73B1811B</paraID>
      <start>25</start>
      <end>26</end>
      <status>unmodified</status>
      <modifiedWord/>
      <trackRevisions>false</trackRevisions>
    </reviewItem>
    <reviewItem>
      <errorID>0246e824-24b1-4dba-a5c1-2be6e4cb062f</errorID>
      <errorWord>)</errorWord>
      <group>L1_Format</group>
      <groupName>格式问题</groupName>
      <ability>L2_HalfPunc_CN</ability>
      <abilityName>全半角问题</abilityName>
      <candidateList>
        <item>）</item>
      </candidateList>
      <explain>文本全半角错误。</explain>
      <paraID>73B1811B</paraID>
      <start>37</start>
      <end>38</end>
      <status>unmodified</status>
      <modifiedWord/>
      <trackRevisions>false</trackRevisions>
    </reviewItem>
    <reviewItem>
      <errorID>8ad0fa40-2e31-446d-b77e-f4f738e99f13</errorID>
      <errorWord>(</errorWord>
      <group>L1_Format</group>
      <groupName>格式问题</groupName>
      <ability>L2_HalfPunc_CN</ability>
      <abilityName>全半角问题</abilityName>
      <candidateList>
        <item>（</item>
      </candidateList>
      <explain>文本全半角错误。</explain>
      <paraID>5EBC3D05</paraID>
      <start>10</start>
      <end>11</end>
      <status>unmodified</status>
      <modifiedWord/>
      <trackRevisions>false</trackRevisions>
    </reviewItem>
    <reviewItem>
      <errorID>dd9e41ca-edb4-447b-80fe-e5d8989d71aa</errorID>
      <errorWord>)</errorWord>
      <group>L1_Format</group>
      <groupName>格式问题</groupName>
      <ability>L2_HalfPunc_CN</ability>
      <abilityName>全半角问题</abilityName>
      <candidateList>
        <item>）</item>
      </candidateList>
      <explain>文本全半角错误。</explain>
      <paraID>5EBC3D05</paraID>
      <start>13</start>
      <end>14</end>
      <status>unmodified</status>
      <modifiedWord/>
      <trackRevisions>false</trackRevisions>
    </reviewItem>
    <reviewItem>
      <errorID>1f881019-f4b5-4fc5-b761-88a736dfe213</errorID>
      <errorWord>(</errorWord>
      <group>L1_Format</group>
      <groupName>格式问题</groupName>
      <ability>L2_HalfPunc_CN</ability>
      <abilityName>全半角问题</abilityName>
      <candidateList>
        <item>（</item>
      </candidateList>
      <explain>文本全半角错误。</explain>
      <paraID>5EBC3D05</paraID>
      <start>26</start>
      <end>27</end>
      <status>unmodified</status>
      <modifiedWord/>
      <trackRevisions>false</trackRevisions>
    </reviewItem>
    <reviewItem>
      <errorID>6face321-b4bc-4835-9c7f-b5fa34638e4a</errorID>
      <errorWord>)</errorWord>
      <group>L1_Format</group>
      <groupName>格式问题</groupName>
      <ability>L2_HalfPunc_CN</ability>
      <abilityName>全半角问题</abilityName>
      <candidateList>
        <item>）</item>
      </candidateList>
      <explain>文本全半角错误。</explain>
      <paraID>5EBC3D05</paraID>
      <start>29</start>
      <end>30</end>
      <status>unmodified</status>
      <modifiedWord/>
      <trackRevisions>false</trackRevisions>
    </reviewItem>
    <reviewItem>
      <errorID>57482458-67d4-4406-9159-9fa11706c8c7</errorID>
      <errorWord>(</errorWord>
      <group>L1_Format</group>
      <groupName>格式问题</groupName>
      <ability>L2_HalfPunc_CN</ability>
      <abilityName>全半角问题</abilityName>
      <candidateList>
        <item>（</item>
      </candidateList>
      <explain>文本全半角错误。</explain>
      <paraID>6EB0EE28</paraID>
      <start>14</start>
      <end>15</end>
      <status>unmodified</status>
      <modifiedWord/>
      <trackRevisions>false</trackRevisions>
    </reviewItem>
    <reviewItem>
      <errorID>c514d22c-e5a9-42b1-ad10-e22cc888c300</errorID>
      <errorWord>)</errorWord>
      <group>L1_Format</group>
      <groupName>格式问题</groupName>
      <ability>L2_HalfPunc_CN</ability>
      <abilityName>全半角问题</abilityName>
      <candidateList>
        <item>）</item>
      </candidateList>
      <explain>文本全半角错误。</explain>
      <paraID>6EB0EE28</paraID>
      <start>21</start>
      <end>22</end>
      <status>unmodified</status>
      <modifiedWord/>
      <trackRevisions>false</trackRevisions>
    </reviewItem>
    <reviewItem>
      <errorID>801bac71-7d0a-4027-bdf3-634e208c7e9e</errorID>
      <errorWord>.</errorWord>
      <group>L1_Format</group>
      <groupName>格式问题</groupName>
      <ability>L2_HalfPunc_CN</ability>
      <abilityName>全半角问题</abilityName>
      <candidateList>
        <item>。</item>
      </candidateList>
      <explain>文本全半角错误。</explain>
      <paraID>50570761</paraID>
      <start>57</start>
      <end>58</end>
      <status>unmodified</status>
      <modifiedWord/>
      <trackRevisions>false</trackRevisions>
    </reviewItem>
    <reviewItem>
      <errorID>f66ae7a5-7406-4a80-9f27-f11194aca843</errorID>
      <errorWord>.</errorWord>
      <group>L1_Format</group>
      <groupName>格式问题</groupName>
      <ability>L2_HalfPunc_CN</ability>
      <abilityName>全半角问题</abilityName>
      <candidateList>
        <item>。</item>
      </candidateList>
      <explain>文本全半角错误。</explain>
      <paraID>50570761</paraID>
      <start>63</start>
      <end>64</end>
      <status>unmodified</status>
      <modifiedWord/>
      <trackRevisions>false</trackRevisions>
    </reviewItem>
    <reviewItem>
      <errorID>ab6aa0f0-ae5b-46b9-8678-94295d441977</errorID>
      <errorWord>.</errorWord>
      <group>L1_Format</group>
      <groupName>格式问题</groupName>
      <ability>L2_HalfPunc_CN</ability>
      <abilityName>全半角问题</abilityName>
      <candidateList>
        <item>。</item>
      </candidateList>
      <explain>文本全半角错误。</explain>
      <paraID> 9775A52</paraID>
      <start>15</start>
      <end>16</end>
      <status>unmodified</status>
      <modifiedWord/>
      <trackRevisions>false</trackRevisions>
    </reviewItem>
    <reviewItem>
      <errorID>61752b7e-68c6-405a-ac15-fc04a61d94fb</errorID>
      <errorWord>.</errorWord>
      <group>L1_Format</group>
      <groupName>格式问题</groupName>
      <ability>L2_HalfPunc_CN</ability>
      <abilityName>全半角问题</abilityName>
      <candidateList>
        <item>。</item>
      </candidateList>
      <explain>文本全半角错误。</explain>
      <paraID> 9775A52</paraID>
      <start>18</start>
      <end>19</end>
      <status>unmodified</status>
      <modifiedWord/>
      <trackRevisions>false</trackRevisions>
    </reviewItem>
    <reviewItem>
      <errorID>94de626d-5603-462c-9057-be36755ab52e</errorID>
      <errorWord>十四五规划</errorWord>
      <group>L1_Political</group>
      <groupName>政治性问题</groupName>
      <ability>L2_Keyword</ability>
      <abilityName>固定表述</abilityName>
      <candidateList>
        <item>“十四五”规划</item>
      </candidateList>
      <explain>注意检查当前固定表述标点是否使用规范。</explain>
      <paraID>19E678BC</paraID>
      <start>25</start>
      <end>30</end>
      <status>unmodified</status>
      <modifiedWord/>
      <trackRevisions>false</trackRevisions>
    </reviewItem>
    <reviewItem>
      <errorID>0030b1c7-d21a-4845-aa17-25106863e8a8</errorID>
      <errorWord>支持的</errorWord>
      <group>L1_Word</group>
      <groupName>字词问题</groupName>
      <ability>L2_Typo</ability>
      <abilityName>字词错误</abilityName>
      <candidateList>
        <item>支持</item>
      </candidateList>
      <explain/>
      <paraID>1CF3FBB1</paraID>
      <start>82</start>
      <end>85</end>
      <status>unmodified</status>
      <modifiedWord/>
      <trackRevisions>false</trackRevisions>
    </reviewItem>
    <reviewItem>
      <errorID>eff056f1-d3d8-4e96-b728-e077719ceaa0</errorID>
      <errorWord>象素</errorWord>
      <group>L1_Word</group>
      <groupName>字词问题</groupName>
      <ability>L2_Typo</ability>
      <abilityName>字词错误</abilityName>
      <candidateList>
        <item>像素</item>
      </candidateList>
      <explain>〈名〉构成数字图像的基本单元，在光电转换系统中，是电子束或光束每一瞬间在图像上扫描的部分。图像中像素的数目越多，画面越清晰。</explain>
      <paraID>1CF3FBB1</paraID>
      <start>88</start>
      <end>90</end>
      <status>unmodified</status>
      <modifiedWord/>
      <trackRevisions>false</trackRevisions>
    </reviewItem>
    <reviewItem>
      <errorID>71620057-64b6-4313-ad2a-2be79cdbb306</errorID>
      <errorWord>详实</errorWord>
      <group>L1_Word</group>
      <groupName>字词问题</groupName>
      <ability>L2_Typo</ability>
      <abilityName>字词错误</abilityName>
      <candidateList>
        <item>翔实</item>
      </candidateList>
      <explain>存在发音相同字词的误用。</explain>
      <paraID>1BE3A569</paraID>
      <start>30</start>
      <end>32</end>
      <status>unmodified</status>
      <modifiedWord/>
      <trackRevisions>false</trackRevisions>
    </reviewItem>
    <reviewItem>
      <errorID>27c4bc03-80e4-45eb-8b27-480518cd4d0d</errorID>
      <errorWord>设觉</errorWord>
      <group>L1_Word</group>
      <groupName>字词问题</groupName>
      <ability>L2_Typo</ability>
      <abilityName>字词错误</abilityName>
      <candidateList>
        <item>视觉</item>
      </candidateList>
      <explain/>
      <paraID>5EFACE1B</paraID>
      <start>18</start>
      <end>20</end>
      <status>unmodified</status>
      <modifiedWord/>
      <trackRevisions>false</trackRevisions>
    </reviewItem>
    <reviewItem>
      <errorID>df3a588e-9074-4f36-bffb-326978a19c05</errorID>
      <errorWord>完成完成</errorWord>
      <group>L1_Word</group>
      <groupName>字词问题</groupName>
      <ability>L2_Typo</ability>
      <abilityName>字词错误</abilityName>
      <candidateList>
        <item>完成</item>
      </candidateList>
      <explain>〈动〉按照预期的目的结束；做成：～任务｜～作业｜计划完得成。</explain>
      <paraID>399829E5</paraID>
      <start>31</start>
      <end>35</end>
      <status>unmodified</status>
      <modifiedWord/>
      <trackRevisions>false</trackRevisions>
    </reviewItem>
    <reviewItem>
      <errorID>c6de7464-e5cf-408b-8226-c5199b6687ab</errorID>
      <errorWord>设觉</errorWord>
      <group>L1_Word</group>
      <groupName>字词问题</groupName>
      <ability>L2_Typo</ability>
      <abilityName>字词错误</abilityName>
      <candidateList>
        <item>视觉</item>
      </candidateList>
      <explain/>
      <paraID>462B6953</paraID>
      <start>20</start>
      <end>22</end>
      <status>unmodified</status>
      <modifiedWord/>
      <trackRevisions>false</trackRevisions>
    </reviewItem>
    <reviewItem>
      <errorID>53ad70de-bc2e-4837-92d0-cc2a847892bb</errorID>
      <errorWord>完成完成</errorWord>
      <group>L1_Word</group>
      <groupName>字词问题</groupName>
      <ability>L2_Typo</ability>
      <abilityName>字词错误</abilityName>
      <candidateList>
        <item>完成</item>
      </candidateList>
      <explain>〈动〉按照预期的目的结束；做成：～任务｜～作业｜计划完得成。</explain>
      <paraID>4E6FDAB0</paraID>
      <start>33</start>
      <end>37</end>
      <status>unmodified</status>
      <modifiedWord/>
      <trackRevisions>false</trackRevisions>
    </reviewItem>
    <reviewItem>
      <errorID>be1d8413-350d-474a-92aa-4e133c60d66d</errorID>
      <errorWord>WIFI</errorWord>
      <group>L1_Word</group>
      <groupName>字词问题</groupName>
      <ability>L2_Typo</ability>
      <abilityName>字词错误</abilityName>
      <candidateList>
        <item>Wi-Fi</item>
      </candidateList>
      <explain/>
      <paraID>45B396A1</paraID>
      <start>19</start>
      <end>23</end>
      <status>unmodified</status>
      <modifiedWord/>
      <trackRevisions>false</trackRevisions>
    </reviewItem>
    <reviewItem>
      <errorID>03123ee9-8ae4-42a2-a8d5-68584c3a2beb</errorID>
      <errorWord>20%-30%</errorWord>
      <group>L1_Knowledge</group>
      <groupName>知识性问题</groupName>
      <ability>L2_Knowledge</ability>
      <abilityName>其他知识</abilityName>
      <candidateList>
        <item>20%—30%</item>
      </candidateList>
      <explain>1. “20%-30%”中的单位“%”仅出现在后一个数字上，容易引起歧义；根据《现代汉语标点符号数字用法规范手册》，数字表示范围两边需要使用统一的格式。2. 根据标点国标 4.13 中的规则，数字、时间或地域连接符应使用（视觉上更长的）“—”或“～”。</explain>
      <paraID>6F6ABCE0</paraID>
      <start>32</start>
      <end>39</end>
      <status>unmodified</status>
      <modifiedWord/>
      <trackRevisions>false</trackRevisions>
    </reviewItem>
    <reviewItem>
      <errorID>30778c28-f143-4866-803a-3b5687d23e0a</errorID>
      <errorWord>需具备</errorWord>
      <group>L1_Word</group>
      <groupName>字词问题</groupName>
      <ability>L2_Typo</ability>
      <abilityName>字词错误</abilityName>
      <candidateList>
        <item>须具备</item>
      </candidateList>
      <explain/>
      <paraID>2DEE7484</paraID>
      <start>10</start>
      <end>13</end>
      <status>unmodified</status>
      <modifiedWord/>
      <trackRevisions>false</trackRevisions>
    </reviewItem>
    <reviewItem>
      <errorID>c3ce46e0-ac3b-4101-ac6d-cb5339fe22d2</errorID>
      <errorWord>噪音</errorWord>
      <group>L1_Word</group>
      <groupName>字词问题</groupName>
      <ability>L2_Alias</ability>
      <abilityName>也作/曾用词</abilityName>
      <candidateList>
        <item>噪声</item>
      </candidateList>
      <explain>词汇[噪音]为不规范表述或旧称，其规范书面表述为[噪声]。</explain>
      <paraID>17137607</paraID>
      <start>27</start>
      <end>29</end>
      <status>unmodified</status>
      <modifiedWord/>
      <trackRevisions>false</trackRevisions>
    </reviewItem>
    <reviewItem>
      <errorID>8508ee94-f191-4338-b3e7-38571eadd3ae</errorID>
      <errorWord>热</errorWord>
      <group>L1_Word</group>
      <groupName>字词问题</groupName>
      <ability>L2_Typo</ability>
      <abilityName>字词错误</abilityName>
      <candidateList>
        <item>的</item>
      </candidateList>
      <explain>存在发音相近字词的误用。</explain>
      <paraID>3303CC0F</paraID>
      <start>14</start>
      <end>15</end>
      <status>unmodified</status>
      <modifiedWord/>
      <trackRevisions>false</trackRevisions>
    </reviewItem>
    <reviewItem>
      <errorID>cf59a28b-ee4b-4cff-a4e6-62aa03b63480</errorID>
      <errorWord>其它未</errorWord>
      <group>L1_Word</group>
      <groupName>字词问题</groupName>
      <ability>L2_Alias</ability>
      <abilityName>也作/曾用词</abilityName>
      <candidateList>
        <item>其他未</item>
      </candidateList>
      <explain>词汇[其它未]为不规范表述或旧称，其规范书面表述为[其他未]。</explain>
      <paraID> 20498ED</paraID>
      <start>0</start>
      <end>3</end>
      <status>unmodified</status>
      <modifiedWord/>
      <trackRevisions>false</trackRevisions>
    </reviewItem>
    <reviewItem>
      <errorID>06b5a925-dcaf-4ebb-b5c3-4cf23214fecc</errorID>
      <errorWord>个工作日 内</errorWord>
      <group>L1_Word</group>
      <groupName>字词问题</groupName>
      <ability>L2_Typo</ability>
      <abilityName>字词错误</abilityName>
      <candidateList>
        <item>个工作日内</item>
      </candidateList>
      <explain/>
      <paraID>40C5E5C4</paraID>
      <start>22</start>
      <end>28</end>
      <status>unmodified</status>
      <modifiedWord/>
      <trackRevisions>false</trackRevisions>
    </reviewItem>
    <reviewItem>
      <errorID>e57b51d9-3c1e-423c-a6b9-018783a19d58</errorID>
      <errorWord>家</errorWord>
      <group>L1_Word</group>
      <groupName>字词问题</groupName>
      <ability>L2_Typo</ability>
      <abilityName>字词错误</abilityName>
      <candidateList>
        <item>家和</item>
      </candidateList>
      <explain/>
      <paraID>658AD0DB</paraID>
      <start>34</start>
      <end>35</end>
      <status>unmodified</status>
      <modifiedWord/>
      <trackRevisions>false</trackRevisions>
    </reviewItem>
    <reviewItem>
      <errorID>fef50d7a-8038-4df0-8faa-6addbcb44f5f</errorID>
      <errorWord>定</errorWord>
      <group>L1_Word</group>
      <groupName>字词问题</groupName>
      <ability>L2_Typo</ability>
      <abilityName>字词错误</abilityName>
      <candidateList>
        <item>定以</item>
      </candidateList>
      <explain/>
      <paraID>116F9C51</paraID>
      <start>42</start>
      <end>43</end>
      <status>unmodified</status>
      <modifiedWord/>
      <trackRevisions>false</trackRevisions>
    </reviewItem>
    <reviewItem>
      <errorID>a0b58f80-49e9-4cf4-a61c-7f79c3e6c546</errorID>
      <errorWord>的的</errorWord>
      <group>L1_Word</group>
      <groupName>字词问题</groupName>
      <ability>L2_Typo</ability>
      <abilityName>字词错误</abilityName>
      <candidateList>
        <item>的</item>
      </candidateList>
      <explain>“的”常用于连接修饰语与名词性中心语，表示属性、所属或描述。</explain>
      <paraID> D25F3B6</paraID>
      <start>83</start>
      <end>85</end>
      <status>unmodified</status>
      <modifiedWord/>
      <trackRevisions>false</trackRevisions>
    </reviewItem>
    <reviewItem>
      <errorID>45e2fa72-4669-4398-935b-08a5d04708a4</errorID>
      <errorWord>，</errorWord>
      <group>L1_Word</group>
      <groupName>字词问题</groupName>
      <ability>L2_Typo</ability>
      <abilityName>字词错误</abilityName>
      <candidateList>
        <item>，由</item>
      </candidateList>
      <explain/>
      <paraID>12E50478</paraID>
      <start>148</start>
      <end>149</end>
      <status>unmodified</status>
      <modifiedWord/>
      <trackRevisions>false</trackRevisions>
    </reviewItem>
    <reviewItem>
      <errorID>4eb0b754-c44e-446e-b634-fc81e433cd96</errorID>
      <errorWord>不可抗拒原因</errorWord>
      <group>L1_Word</group>
      <groupName>字词问题</groupName>
      <ability>L2_Typo</ability>
      <abilityName>字词错误</abilityName>
      <candidateList>
        <item>不可抗力原因</item>
      </candidateList>
      <explain/>
      <paraID>58864B32</paraID>
      <start>53</start>
      <end>59</end>
      <status>unmodified</status>
      <modifiedWord/>
      <trackRevisions>false</trackRevisions>
    </reviewItem>
    <reviewItem>
      <errorID>53166b22-21b2-47f7-893f-0918cb46d824</errorID>
      <errorWord>、及其</errorWord>
      <group>L1_Punc</group>
      <groupName>标点问题</groupName>
      <ability>L2_Punc_CN</ability>
      <abilityName>标点符号问题</abilityName>
      <candidateList>
        <item>及其</item>
      </candidateList>
      <explain/>
      <paraID>308B7E51</paraID>
      <start>34</start>
      <end>37</end>
      <status>unmodified</status>
      <modifiedWord/>
      <trackRevisions>false</trackRevisions>
    </reviewItem>
    <reviewItem>
      <errorID>0a928b11-02ab-4c38-825e-d07059c07b62</errorID>
      <errorWord>完备</errorWord>
      <group>L1_Grammar</group>
      <groupName>语法问题</groupName>
      <ability>L2_Grammar</ability>
      <abilityName>语法错误</abilityName>
      <candidateList>
        <item>完善</item>
      </candidateList>
      <explain>“完备～机制”搭配不当，建议修改为“完善～机制”。</explain>
      <paraID>5E7CCCD4</paraID>
      <start>25</start>
      <end>27</end>
      <status>unmodified</status>
      <modifiedWord/>
      <trackRevisions>false</trackRevisions>
    </reviewItem>
    <reviewItem>
      <errorID>2818a4fc-1c5c-476f-9aae-bd460bc617ce</errorID>
      <errorWord>全</errorWord>
      <group>L1_Word</group>
      <groupName>字词问题</groupName>
      <ability>L2_Typo</ability>
      <abilityName>字词错误</abilityName>
      <candidateList>
        <item>全过</item>
      </candidateList>
      <explain/>
      <paraID> 2FF5E3D</paraID>
      <start>11</start>
      <end>12</end>
      <status>unmodified</status>
      <modifiedWord/>
      <trackRevisions>false</trackRevisions>
    </reviewItem>
    <reviewItem>
      <errorID>02ffb0e8-ea87-41ad-9e34-496619f08a78</errorID>
      <errorWord>已</errorWord>
      <group>L1_Word</group>
      <groupName>字词问题</groupName>
      <ability>L2_Typo</ability>
      <abilityName>字词错误</abilityName>
      <candidateList>
        <item>已包</item>
      </candidateList>
      <explain/>
      <paraID>332E8E7C</paraID>
      <start>17</start>
      <end>18</end>
      <status>unmodified</status>
      <modifiedWord/>
      <trackRevisions>false</trackRevisions>
    </reviewItem>
    <reviewItem>
      <errorID>1af035fd-4324-4c8c-865d-be1adba034bd</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74890595</paraID>
      <start>97</start>
      <end>98</end>
      <status>unmodified</status>
      <modifiedWord/>
      <trackRevisions>false</trackRevisions>
    </reviewItem>
    <reviewItem>
      <errorID>cbcce5bb-2596-465c-adaa-14a77fabefb1</errorID>
      <errorWord>.</errorWord>
      <group>L1_Format</group>
      <groupName>格式问题</groupName>
      <ability>L2_HalfPunc_CN</ability>
      <abilityName>全半角问题</abilityName>
      <candidateList>
        <item>。</item>
      </candidateList>
      <explain>文本全半角错误。</explain>
      <paraID> FEDD500</paraID>
      <start>9</start>
      <end>10</end>
      <status>unmodified</status>
      <modifiedWord/>
      <trackRevisions>false</trackRevisions>
    </reviewItem>
    <reviewItem>
      <errorID>82f69f31-a02f-4e10-a986-93548d9198cd</errorID>
      <errorWord>.</errorWord>
      <group>L1_Format</group>
      <groupName>格式问题</groupName>
      <ability>L2_HalfPunc_CN</ability>
      <abilityName>全半角问题</abilityName>
      <candidateList>
        <item>。</item>
      </candidateList>
      <explain>文本全半角错误。</explain>
      <paraID>478CC15C</paraID>
      <start>19</start>
      <end>20</end>
      <status>unmodified</status>
      <modifiedWord/>
      <trackRevisions>false</trackRevisions>
    </reviewItem>
    <reviewItem>
      <errorID>b6375249-47f6-44f6-a4ee-dcb1be5cee21</errorID>
      <errorWord>.</errorWord>
      <group>L1_Format</group>
      <groupName>格式问题</groupName>
      <ability>L2_HalfPunc_CN</ability>
      <abilityName>全半角问题</abilityName>
      <candidateList>
        <item>。</item>
      </candidateList>
      <explain>文本全半角错误。</explain>
      <paraID>478CC15C</paraID>
      <start>22</start>
      <end>23</end>
      <status>unmodified</status>
      <modifiedWord/>
      <trackRevisions>false</trackRevisions>
    </reviewItem>
    <reviewItem>
      <errorID>f01ee29b-3ae0-493f-89f9-b0d3510d5ce7</errorID>
      <errorWord>.</errorWord>
      <group>L1_Format</group>
      <groupName>格式问题</groupName>
      <ability>L2_HalfPunc_CN</ability>
      <abilityName>全半角问题</abilityName>
      <candidateList>
        <item>。</item>
      </candidateList>
      <explain>文本全半角错误。</explain>
      <paraID>478CC15C</paraID>
      <start>49</start>
      <end>50</end>
      <status>unmodified</status>
      <modifiedWord/>
      <trackRevisions>false</trackRevisions>
    </reviewItem>
    <reviewItem>
      <errorID>1c40dfe4-bdc5-42f1-b69e-e01846384ec7</errorID>
      <errorWord>.</errorWord>
      <group>L1_Format</group>
      <groupName>格式问题</groupName>
      <ability>L2_HalfPunc_CN</ability>
      <abilityName>全半角问题</abilityName>
      <candidateList>
        <item>。</item>
      </candidateList>
      <explain>文本全半角错误。</explain>
      <paraID>478CC15C</paraID>
      <start>253</start>
      <end>254</end>
      <status>unmodified</status>
      <modifiedWord/>
      <trackRevisions>false</trackRevisions>
    </reviewItem>
    <reviewItem>
      <errorID>3c436e8c-fd11-4f4c-95cf-a25e42fa8e7b</errorID>
      <errorWord>(</errorWord>
      <group>L1_Format</group>
      <groupName>格式问题</groupName>
      <ability>L2_HalfPunc_CN</ability>
      <abilityName>全半角问题</abilityName>
      <candidateList>
        <item>（</item>
      </candidateList>
      <explain>文本全半角错误。</explain>
      <paraID>478CC15C</paraID>
      <start>330</start>
      <end>331</end>
      <status>unmodified</status>
      <modifiedWord/>
      <trackRevisions>false</trackRevisions>
    </reviewItem>
    <reviewItem>
      <errorID>119b3baf-6bd9-43eb-a55c-8cedfd08a180</errorID>
      <errorWord>)</errorWord>
      <group>L1_Format</group>
      <groupName>格式问题</groupName>
      <ability>L2_HalfPunc_CN</ability>
      <abilityName>全半角问题</abilityName>
      <candidateList>
        <item>）</item>
      </candidateList>
      <explain>文本全半角错误。</explain>
      <paraID>478CC15C</paraID>
      <start>337</start>
      <end>338</end>
      <status>unmodified</status>
      <modifiedWord/>
      <trackRevisions>false</trackRevisions>
    </reviewItem>
    <reviewItem>
      <errorID>6091eb0c-e016-455c-a33b-64d86c1fcf69</errorID>
      <errorWord>(</errorWord>
      <group>L1_Format</group>
      <groupName>格式问题</groupName>
      <ability>L2_HalfPunc_CN</ability>
      <abilityName>全半角问题</abilityName>
      <candidateList>
        <item>（</item>
      </candidateList>
      <explain>文本全半角错误。</explain>
      <paraID>478CC15C</paraID>
      <start>343</start>
      <end>344</end>
      <status>unmodified</status>
      <modifiedWord/>
      <trackRevisions>false</trackRevisions>
    </reviewItem>
    <reviewItem>
      <errorID>f62319b1-f31d-4876-b6ef-3bf30bd57588</errorID>
      <errorWord>)</errorWord>
      <group>L1_Format</group>
      <groupName>格式问题</groupName>
      <ability>L2_HalfPunc_CN</ability>
      <abilityName>全半角问题</abilityName>
      <candidateList>
        <item>）</item>
      </candidateList>
      <explain>文本全半角错误。</explain>
      <paraID>478CC15C</paraID>
      <start>356</start>
      <end>357</end>
      <status>unmodified</status>
      <modifiedWord/>
      <trackRevisions>false</trackRevisions>
    </reviewItem>
    <reviewItem>
      <errorID>5cf43e68-665e-4b84-be14-2167bcdb948b</errorID>
      <errorWord>(</errorWord>
      <group>L1_Format</group>
      <groupName>格式问题</groupName>
      <ability>L2_HalfPunc_CN</ability>
      <abilityName>全半角问题</abilityName>
      <candidateList>
        <item>（</item>
      </candidateList>
      <explain>文本全半角错误。</explain>
      <paraID>478CC15C</paraID>
      <start>397</start>
      <end>398</end>
      <status>unmodified</status>
      <modifiedWord/>
      <trackRevisions>false</trackRevisions>
    </reviewItem>
    <reviewItem>
      <errorID>30153c3a-f0d8-4429-9794-aa12a0cd3f5e</errorID>
      <errorWord>)</errorWord>
      <group>L1_Format</group>
      <groupName>格式问题</groupName>
      <ability>L2_HalfPunc_CN</ability>
      <abilityName>全半角问题</abilityName>
      <candidateList>
        <item>）</item>
      </candidateList>
      <explain>文本全半角错误。</explain>
      <paraID>478CC15C</paraID>
      <start>412</start>
      <end>413</end>
      <status>unmodified</status>
      <modifiedWord/>
      <trackRevisions>false</trackRevisions>
    </reviewItem>
    <reviewItem>
      <errorID>97424da4-03f5-4f22-b9f3-6ed512047bfc</errorID>
      <errorWord>.</errorWord>
      <group>L1_Format</group>
      <groupName>格式问题</groupName>
      <ability>L2_HalfPunc_CN</ability>
      <abilityName>全半角问题</abilityName>
      <candidateList>
        <item>。</item>
      </candidateList>
      <explain>文本全半角错误。</explain>
      <paraID>478CC15C</paraID>
      <start>458</start>
      <end>459</end>
      <status>unmodified</status>
      <modifiedWord/>
      <trackRevisions>false</trackRevisions>
    </reviewItem>
    <reviewItem>
      <errorID>b9cc410b-2fca-433b-938f-984a1331475d</errorID>
      <errorWord>.</errorWord>
      <group>L1_Format</group>
      <groupName>格式问题</groupName>
      <ability>L2_HalfPunc_CN</ability>
      <abilityName>全半角问题</abilityName>
      <candidateList>
        <item>。</item>
      </candidateList>
      <explain>文本全半角错误。</explain>
      <paraID>478CC15C</paraID>
      <start>461</start>
      <end>462</end>
      <status>unmodified</status>
      <modifiedWord/>
      <trackRevisions>false</trackRevisions>
    </reviewItem>
    <reviewItem>
      <errorID>a987becb-431b-47bf-b8f9-c203897f534f</errorID>
      <errorWord>(</errorWord>
      <group>L1_Format</group>
      <groupName>格式问题</groupName>
      <ability>L2_HalfPunc_CN</ability>
      <abilityName>全半角问题</abilityName>
      <candidateList>
        <item>（</item>
      </candidateList>
      <explain>文本全半角错误。</explain>
      <paraID>478CC15C</paraID>
      <start>500</start>
      <end>501</end>
      <status>unmodified</status>
      <modifiedWord/>
      <trackRevisions>false</trackRevisions>
    </reviewItem>
    <reviewItem>
      <errorID>32fb5b10-3256-42dc-b59e-e148b3f56dd6</errorID>
      <errorWord>)</errorWord>
      <group>L1_Format</group>
      <groupName>格式问题</groupName>
      <ability>L2_HalfPunc_CN</ability>
      <abilityName>全半角问题</abilityName>
      <candidateList>
        <item>）</item>
      </candidateList>
      <explain>文本全半角错误。</explain>
      <paraID>478CC15C</paraID>
      <start>503</start>
      <end>504</end>
      <status>unmodified</status>
      <modifiedWord/>
      <trackRevisions>false</trackRevisions>
    </reviewItem>
    <reviewItem>
      <errorID>879d9e22-6372-4414-9b91-7dc9c69e5a4c</errorID>
      <errorWord>(</errorWord>
      <group>L1_Format</group>
      <groupName>格式问题</groupName>
      <ability>L2_HalfPunc_CN</ability>
      <abilityName>全半角问题</abilityName>
      <candidateList>
        <item>（</item>
      </candidateList>
      <explain>文本全半角错误。</explain>
      <paraID>478CC15C</paraID>
      <start>506</start>
      <end>507</end>
      <status>unmodified</status>
      <modifiedWord/>
      <trackRevisions>false</trackRevisions>
    </reviewItem>
    <reviewItem>
      <errorID>f2d92486-0dd4-4871-9f39-0a1914fa38be</errorID>
      <errorWord>)</errorWord>
      <group>L1_Format</group>
      <groupName>格式问题</groupName>
      <ability>L2_HalfPunc_CN</ability>
      <abilityName>全半角问题</abilityName>
      <candidateList>
        <item>）</item>
      </candidateList>
      <explain>文本全半角错误。</explain>
      <paraID>478CC15C</paraID>
      <start>508</start>
      <end>509</end>
      <status>unmodified</status>
      <modifiedWord/>
      <trackRevisions>false</trackRevisions>
    </reviewItem>
    <reviewItem>
      <errorID>a3299d98-8965-46e7-911a-159584036e42</errorID>
      <errorWord>英尺</errorWord>
      <group>L1_Knowledge</group>
      <groupName>知识性问题</groupName>
      <ability>L2_Knowledge</ability>
      <abilityName>其他知识</abilityName>
      <candidateList/>
      <explain>非法定单位</explain>
      <paraID>478CC15C</paraID>
      <start>510</start>
      <end>512</end>
      <status>unmodified</status>
      <modifiedWord/>
      <trackRevisions>false</trackRevisions>
    </reviewItem>
    <reviewItem>
      <errorID>d4e72f3a-2635-45ce-ae5a-454702d00528</errorID>
      <errorWord>(</errorWord>
      <group>L1_Format</group>
      <groupName>格式问题</groupName>
      <ability>L2_HalfPunc_CN</ability>
      <abilityName>全半角问题</abilityName>
      <candidateList>
        <item>（</item>
      </candidateList>
      <explain>文本全半角错误。</explain>
      <paraID>478CC15C</paraID>
      <start>512</start>
      <end>513</end>
      <status>unmodified</status>
      <modifiedWord/>
      <trackRevisions>false</trackRevisions>
    </reviewItem>
    <reviewItem>
      <errorID>e1088f70-fb4f-4dbe-817e-fa4abec35a7c</errorID>
      <errorWord>)</errorWord>
      <group>L1_Format</group>
      <groupName>格式问题</groupName>
      <ability>L2_HalfPunc_CN</ability>
      <abilityName>全半角问题</abilityName>
      <candidateList>
        <item>）</item>
      </candidateList>
      <explain>文本全半角错误。</explain>
      <paraID>478CC15C</paraID>
      <start>515</start>
      <end>516</end>
      <status>unmodified</status>
      <modifiedWord/>
      <trackRevisions>false</trackRevisions>
    </reviewItem>
    <reviewItem>
      <errorID>b93cd781-05e5-4872-a6ad-55c0707821eb</errorID>
      <errorWord>阀值</errorWord>
      <group>L1_Word</group>
      <groupName>字词问题</groupName>
      <ability>L2_Alias</ability>
      <abilityName>也作/曾用词</abilityName>
      <candidateList>
        <item>阈值</item>
      </candidateList>
      <explain>词汇[阀值]为不规范表述或旧称，其规范书面表述为[阈值]。</explain>
      <paraID>478CC15C</paraID>
      <start>570</start>
      <end>572</end>
      <status>unmodified</status>
      <modifiedWord/>
      <trackRevisions>false</trackRevisions>
    </reviewItem>
    <reviewItem>
      <errorID>e4a349bb-0d39-4760-81ea-d643eb040166</errorID>
      <errorWord>,</errorWord>
      <group>L1_Format</group>
      <groupName>格式问题</groupName>
      <ability>L2_HalfPunc_CN</ability>
      <abilityName>全半角问题</abilityName>
      <candidateList>
        <item>，</item>
      </candidateList>
      <explain>文本全半角错误。</explain>
      <paraID>478CC15C</paraID>
      <start>583</start>
      <end>584</end>
      <status>unmodified</status>
      <modifiedWord/>
      <trackRevisions>false</trackRevisions>
    </reviewItem>
    <reviewItem>
      <errorID>6aa021da-8888-4262-a55c-39b4056cd23c</errorID>
      <errorWord>：</errorWord>
      <group>L1_Format</group>
      <groupName>格式问题</groupName>
      <ability>L2_HalfPunc_CN</ability>
      <abilityName>全半角问题</abilityName>
      <candidateList>
        <item>:</item>
      </candidateList>
      <explain>文本全半角错误。</explain>
      <paraID>478CC15C</paraID>
      <start>588</start>
      <end>589</end>
      <status>unmodified</status>
      <modifiedWord/>
      <trackRevisions>false</trackRevisions>
    </reviewItem>
    <reviewItem>
      <errorID>e6d66c05-6579-47ae-b008-2b2b537fe24a</errorID>
      <errorWord>：</errorWord>
      <group>L1_Format</group>
      <groupName>格式问题</groupName>
      <ability>L2_HalfPunc_CN</ability>
      <abilityName>全半角问题</abilityName>
      <candidateList>
        <item>:</item>
      </candidateList>
      <explain>文本全半角错误。</explain>
      <paraID>478CC15C</paraID>
      <start>594</start>
      <end>595</end>
      <status>unmodified</status>
      <modifiedWord/>
      <trackRevisions>false</trackRevisions>
    </reviewItem>
    <reviewItem>
      <errorID>2838406f-d3de-4180-b87a-058b71a059b0</errorID>
      <errorWord>(</errorWord>
      <group>L1_Format</group>
      <groupName>格式问题</groupName>
      <ability>L2_HalfPunc_CN</ability>
      <abilityName>全半角问题</abilityName>
      <candidateList>
        <item>（</item>
      </candidateList>
      <explain>文本全半角错误。</explain>
      <paraID>2E75EECD</paraID>
      <start>23</start>
      <end>24</end>
      <status>unmodified</status>
      <modifiedWord/>
      <trackRevisions>false</trackRevisions>
    </reviewItem>
    <reviewItem>
      <errorID>85ede04b-76c2-40f0-8ee0-e3f2f193393e</errorID>
      <errorWord>)</errorWord>
      <group>L1_Format</group>
      <groupName>格式问题</groupName>
      <ability>L2_HalfPunc_CN</ability>
      <abilityName>全半角问题</abilityName>
      <candidateList>
        <item>）</item>
      </candidateList>
      <explain>文本全半角错误。</explain>
      <paraID>2E75EECD</paraID>
      <start>34</start>
      <end>35</end>
      <status>unmodified</status>
      <modifiedWord/>
      <trackRevisions>false</trackRevisions>
    </reviewItem>
    <reviewItem>
      <errorID>106a9434-12e3-4efd-84f1-8952467025d0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1568548B</paraID>
      <start>0</start>
      <end>2</end>
      <status>unmodified</status>
      <modifiedWord/>
      <trackRevisions>false</trackRevisions>
    </reviewItem>
    <reviewItem>
      <errorID>96739ee9-654a-4d1f-9c82-83947b74348e</errorID>
      <errorWord>.</errorWord>
      <group>L1_Format</group>
      <groupName>格式问题</groupName>
      <ability>L2_HalfPunc_CN</ability>
      <abilityName>全半角问题</abilityName>
      <candidateList>
        <item>。</item>
      </candidateList>
      <explain>文本全半角错误。</explain>
      <paraID>1568548B</paraID>
      <start>113</start>
      <end>114</end>
      <status>unmodified</status>
      <modifiedWord/>
      <trackRevisions>false</trackRevisions>
    </reviewItem>
    <reviewItem>
      <errorID>b6201d4b-8d60-4d64-a488-8cfa1dc67782</errorID>
      <errorWord>.</errorWord>
      <group>L1_Format</group>
      <groupName>格式问题</groupName>
      <ability>L2_HalfPunc_CN</ability>
      <abilityName>全半角问题</abilityName>
      <candidateList>
        <item>。</item>
      </candidateList>
      <explain>文本全半角错误。</explain>
      <paraID>1568548B</paraID>
      <start>116</start>
      <end>117</end>
      <status>unmodified</status>
      <modifiedWord/>
      <trackRevisions>false</trackRevisions>
    </reviewItem>
    <reviewItem>
      <errorID>9352aaf7-f913-4aac-930f-6b989173941e</errorID>
      <errorWord>.</errorWord>
      <group>L1_Format</group>
      <groupName>格式问题</groupName>
      <ability>L2_HalfPunc_CN</ability>
      <abilityName>全半角问题</abilityName>
      <candidateList>
        <item>。</item>
      </candidateList>
      <explain>文本全半角错误。</explain>
      <paraID>1568548B</paraID>
      <start>172</start>
      <end>173</end>
      <status>unmodified</status>
      <modifiedWord/>
      <trackRevisions>false</trackRevisions>
    </reviewItem>
    <reviewItem>
      <errorID>1fa4e0c5-4108-4ccc-b7ee-80925464d37d</errorID>
      <errorWord>.</errorWord>
      <group>L1_Format</group>
      <groupName>格式问题</groupName>
      <ability>L2_HalfPunc_CN</ability>
      <abilityName>全半角问题</abilityName>
      <candidateList>
        <item>。</item>
      </candidateList>
      <explain>文本全半角错误。</explain>
      <paraID>1568548B</paraID>
      <start>175</start>
      <end>176</end>
      <status>unmodified</status>
      <modifiedWord/>
      <trackRevisions>false</trackRevisions>
    </reviewItem>
    <reviewItem>
      <errorID>af532ee4-3427-4bd2-825a-6afb537d856c</errorID>
      <errorWord>.</errorWord>
      <group>L1_Format</group>
      <groupName>格式问题</groupName>
      <ability>L2_HalfPunc_CN</ability>
      <abilityName>全半角问题</abilityName>
      <candidateList>
        <item>。</item>
      </candidateList>
      <explain>文本全半角错误。</explain>
      <paraID>1568548B</paraID>
      <start>178</start>
      <end>179</end>
      <status>unmodified</status>
      <modifiedWord/>
      <trackRevisions>false</trackRevisions>
    </reviewItem>
    <reviewItem>
      <errorID>685a5225-1e5c-4083-9509-8cebc7dbd9e1</errorID>
      <errorWord>.</errorWord>
      <group>L1_Format</group>
      <groupName>格式问题</groupName>
      <ability>L2_HalfPunc_CN</ability>
      <abilityName>全半角问题</abilityName>
      <candidateList>
        <item>。</item>
      </candidateList>
      <explain>文本全半角错误。</explain>
      <paraID>1568548B</paraID>
      <start>182</start>
      <end>183</end>
      <status>unmodified</status>
      <modifiedWord/>
      <trackRevisions>false</trackRevisions>
    </reviewItem>
    <reviewItem>
      <errorID>736ff3df-44e8-4e47-a9dd-af547b8bfd16</errorID>
      <errorWord>:</errorWord>
      <group>L1_Format</group>
      <groupName>格式问题</groupName>
      <ability>L2_HalfPunc_CN</ability>
      <abilityName>全半角问题</abilityName>
      <candidateList>
        <item>：</item>
      </candidateList>
      <explain>文本全半角错误。</explain>
      <paraID>1568548B</paraID>
      <start>194</start>
      <end>195</end>
      <status>unmodified</status>
      <modifiedWord/>
      <trackRevisions>false</trackRevisions>
    </reviewItem>
    <reviewItem>
      <errorID>63cd3265-5237-47c8-bbb9-d211090f5374</errorID>
      <errorWord>KW</errorWord>
      <group>L1_Word</group>
      <groupName>字词问题</groupName>
      <ability>L2_Typo</ability>
      <abilityName>字词错误</abilityName>
      <candidateList>
        <item>kW</item>
      </candidateList>
      <explain/>
      <paraID>12A0C59E</paraID>
      <start>2</start>
      <end>4</end>
      <status>unmodified</status>
      <modifiedWord/>
      <trackRevisions>false</trackRevisions>
    </reviewItem>
    <reviewItem>
      <errorID>efd0573b-0d3c-4455-b0c8-b893878f9237</errorID>
      <errorWord>KW</errorWord>
      <group>L1_Word</group>
      <groupName>字词问题</groupName>
      <ability>L2_Typo</ability>
      <abilityName>字词错误</abilityName>
      <candidateList>
        <item>kW</item>
      </candidateList>
      <explain/>
      <paraID>18461C8E</paraID>
      <start>3</start>
      <end>5</end>
      <status>unmodified</status>
      <modifiedWord/>
      <trackRevisions>false</trackRevisions>
    </reviewItem>
    <reviewItem>
      <errorID>787bffd7-48a0-4c2d-bb57-08722c4d3ead</errorID>
      <errorWord>KW</errorWord>
      <group>L1_Word</group>
      <groupName>字词问题</groupName>
      <ability>L2_Typo</ability>
      <abilityName>字词错误</abilityName>
      <candidateList>
        <item>kW</item>
      </candidateList>
      <explain/>
      <paraID>1ED9CAD5</paraID>
      <start>2</start>
      <end>4</end>
      <status>unmodified</status>
      <modifiedWord/>
      <trackRevisions>false</trackRevisions>
    </reviewItem>
    <reviewItem>
      <errorID>e5126d0c-d7da-407e-9c9a-0d3d46db23af</errorID>
      <errorWord>，</errorWord>
      <group>L1_Word</group>
      <groupName>字词问题</groupName>
      <ability>L2_Typo</ability>
      <abilityName>字词错误</abilityName>
      <candidateList>
        <item>，具</item>
      </candidateList>
      <explain/>
      <paraID> 1A02DCC</paraID>
      <start>22</start>
      <end>23</end>
      <status>unmodified</status>
      <modifiedWord/>
      <trackRevisions>false</trackRevisions>
    </reviewItem>
    <reviewItem>
      <errorID>327a702b-fa43-4c1a-87e5-bf72524b90ed</errorID>
      <errorWord>.</errorWord>
      <group>L1_Format</group>
      <groupName>格式问题</groupName>
      <ability>L2_HalfPunc_CN</ability>
      <abilityName>全半角问题</abilityName>
      <candidateList>
        <item>。</item>
      </candidateList>
      <explain>文本全半角错误。</explain>
      <paraID> 1A02DCC</paraID>
      <start>28</start>
      <end>29</end>
      <status>unmodified</status>
      <modifiedWord/>
      <trackRevisions>false</trackRevisions>
    </reviewItem>
    <reviewItem>
      <errorID>0bcd1995-f30c-42bb-b0ff-49230b0a9b8f</errorID>
      <errorWord>(</errorWord>
      <group>L1_Format</group>
      <groupName>格式问题</groupName>
      <ability>L2_HalfPunc_CN</ability>
      <abilityName>全半角问题</abilityName>
      <candidateList>
        <item>（</item>
      </candidateList>
      <explain>文本全半角错误。</explain>
      <paraID> 1A02DCC</paraID>
      <start>48</start>
      <end>49</end>
      <status>unmodified</status>
      <modifiedWord/>
      <trackRevisions>false</trackRevisions>
    </reviewItem>
    <reviewItem>
      <errorID>0fd45345-820b-405e-ab96-0dc7388c633d</errorID>
      <errorWord>)</errorWord>
      <group>L1_Format</group>
      <groupName>格式问题</groupName>
      <ability>L2_HalfPunc_CN</ability>
      <abilityName>全半角问题</abilityName>
      <candidateList>
        <item>）</item>
      </candidateList>
      <explain>文本全半角错误。</explain>
      <paraID> 1A02DCC</paraID>
      <start>55</start>
      <end>56</end>
      <status>unmodified</status>
      <modifiedWord/>
      <trackRevisions>false</trackRevisions>
    </reviewItem>
    <reviewItem>
      <errorID>5b053200-a65f-4972-9412-a1831ec68f76</errorID>
      <errorWord>(</errorWord>
      <group>L1_Format</group>
      <groupName>格式问题</groupName>
      <ability>L2_HalfPunc_CN</ability>
      <abilityName>全半角问题</abilityName>
      <candidateList>
        <item>（</item>
      </candidateList>
      <explain>文本全半角错误。</explain>
      <paraID> 1A02DCC</paraID>
      <start>73</start>
      <end>74</end>
      <status>unmodified</status>
      <modifiedWord/>
      <trackRevisions>false</trackRevisions>
    </reviewItem>
    <reviewItem>
      <errorID>8282c4f6-3774-4855-84c8-57abf1599862</errorID>
      <errorWord>)</errorWord>
      <group>L1_Format</group>
      <groupName>格式问题</groupName>
      <ability>L2_HalfPunc_CN</ability>
      <abilityName>全半角问题</abilityName>
      <candidateList>
        <item>）</item>
      </candidateList>
      <explain>文本全半角错误。</explain>
      <paraID> 1A02DCC</paraID>
      <start>80</start>
      <end>81</end>
      <status>unmodified</status>
      <modifiedWord/>
      <trackRevisions>false</trackRevisions>
    </reviewItem>
    <reviewItem>
      <errorID>3b28c8d7-552d-430b-b8a2-83b92f343320</errorID>
      <errorWord>,</errorWord>
      <group>L1_Format</group>
      <groupName>格式问题</groupName>
      <ability>L2_HalfPunc_CN</ability>
      <abilityName>全半角问题</abilityName>
      <candidateList>
        <item>，</item>
      </candidateList>
      <explain>文本全半角错误。</explain>
      <paraID>63199131</paraID>
      <start>66</start>
      <end>67</end>
      <status>unmodified</status>
      <modifiedWord/>
      <trackRevisions>false</trackRevisions>
    </reviewItem>
    <reviewItem>
      <errorID>d937eed2-4700-4f72-b46e-420e7a285db2</errorID>
      <errorWord>,</errorWord>
      <group>L1_Format</group>
      <groupName>格式问题</groupName>
      <ability>L2_HalfPunc_CN</ability>
      <abilityName>全半角问题</abilityName>
      <candidateList>
        <item>，</item>
      </candidateList>
      <explain>文本全半角错误。</explain>
      <paraID>63199131</paraID>
      <start>102</start>
      <end>103</end>
      <status>unmodified</status>
      <modifiedWord/>
      <trackRevisions>false</trackRevisions>
    </reviewItem>
    <reviewItem>
      <errorID>e3a67e4b-4b10-4b89-8150-77354fa22cca</errorID>
      <errorWord>(</errorWord>
      <group>L1_Format</group>
      <groupName>格式问题</groupName>
      <ability>L2_HalfPunc_CN</ability>
      <abilityName>全半角问题</abilityName>
      <candidateList>
        <item>（</item>
      </candidateList>
      <explain>文本全半角错误。</explain>
      <paraID>63199131</paraID>
      <start>136</start>
      <end>137</end>
      <status>unmodified</status>
      <modifiedWord/>
      <trackRevisions>false</trackRevisions>
    </reviewItem>
    <reviewItem>
      <errorID>e99da997-b4be-4e58-824c-8e0f53781cc2</errorID>
      <errorWord>)</errorWord>
      <group>L1_Format</group>
      <groupName>格式问题</groupName>
      <ability>L2_HalfPunc_CN</ability>
      <abilityName>全半角问题</abilityName>
      <candidateList>
        <item>）</item>
      </candidateList>
      <explain>文本全半角错误。</explain>
      <paraID>63199131</paraID>
      <start>139</start>
      <end>140</end>
      <status>unmodified</status>
      <modifiedWord/>
      <trackRevisions>false</trackRevisions>
    </reviewItem>
    <reviewItem>
      <errorID>5e57fc33-cfa0-45a5-9b1b-10288806a103</errorID>
      <errorWord>;</errorWord>
      <group>L1_Format</group>
      <groupName>格式问题</groupName>
      <ability>L2_HalfPunc_CN</ability>
      <abilityName>全半角问题</abilityName>
      <candidateList>
        <item>；</item>
      </candidateList>
      <explain>文本全半角错误。</explain>
      <paraID>63199131</paraID>
      <start>228</start>
      <end>229</end>
      <status>unmodified</status>
      <modifiedWord/>
      <trackRevisions>false</trackRevisions>
    </reviewItem>
    <reviewItem>
      <errorID>a29b613d-3268-4c9a-ad80-def5d16736bc</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63199131</paraID>
      <start>255</start>
      <end>256</end>
      <status>unmodified</status>
      <modifiedWord/>
      <trackRevisions>false</trackRevisions>
    </reviewItem>
    <reviewItem>
      <errorID>37336474-c874-4600-a572-779bd9916d29</errorID>
      <errorWord>(</errorWord>
      <group>L1_Format</group>
      <groupName>格式问题</groupName>
      <ability>L2_HalfPunc_CN</ability>
      <abilityName>全半角问题</abilityName>
      <candidateList>
        <item>（</item>
      </candidateList>
      <explain>文本全半角错误。</explain>
      <paraID>63199131</paraID>
      <start>451</start>
      <end>452</end>
      <status>unmodified</status>
      <modifiedWord/>
      <trackRevisions>false</trackRevisions>
    </reviewItem>
    <reviewItem>
      <errorID>4a2b8dea-0d7a-4975-b1c5-d7429f5a6b48</errorID>
      <errorWord>)</errorWord>
      <group>L1_Format</group>
      <groupName>格式问题</groupName>
      <ability>L2_HalfPunc_CN</ability>
      <abilityName>全半角问题</abilityName>
      <candidateList>
        <item>）</item>
      </candidateList>
      <explain>文本全半角错误。</explain>
      <paraID>63199131</paraID>
      <start>454</start>
      <end>455</end>
      <status>unmodified</status>
      <modifiedWord/>
      <trackRevisions>false</trackRevisions>
    </reviewItem>
    <reviewItem>
      <errorID>eb246064-d662-440d-8fad-0c0ff38f03e1</errorID>
      <errorWord>(</errorWord>
      <group>L1_Format</group>
      <groupName>格式问题</groupName>
      <ability>L2_HalfPunc_CN</ability>
      <abilityName>全半角问题</abilityName>
      <candidateList>
        <item>（</item>
      </candidateList>
      <explain>文本全半角错误。</explain>
      <paraID>63199131</paraID>
      <start>468</start>
      <end>469</end>
      <status>unmodified</status>
      <modifiedWord/>
      <trackRevisions>false</trackRevisions>
    </reviewItem>
    <reviewItem>
      <errorID>a213a8c3-a06d-4439-9317-aaff9fb6432f</errorID>
      <errorWord>)</errorWord>
      <group>L1_Format</group>
      <groupName>格式问题</groupName>
      <ability>L2_HalfPunc_CN</ability>
      <abilityName>全半角问题</abilityName>
      <candidateList>
        <item>）</item>
      </candidateList>
      <explain>文本全半角错误。</explain>
      <paraID>63199131</paraID>
      <start>471</start>
      <end>472</end>
      <status>unmodified</status>
      <modifiedWord/>
      <trackRevisions>false</trackRevisions>
    </reviewItem>
    <reviewItem>
      <errorID>01aaed47-5e6b-4e18-8da3-5aa337d3bd8c</errorID>
      <errorWord>(</errorWord>
      <group>L1_Format</group>
      <groupName>格式问题</groupName>
      <ability>L2_HalfPunc_CN</ability>
      <abilityName>全半角问题</abilityName>
      <candidateList>
        <item>（</item>
      </candidateList>
      <explain>文本全半角错误。</explain>
      <paraID>63199131</paraID>
      <start>486</start>
      <end>487</end>
      <status>unmodified</status>
      <modifiedWord/>
      <trackRevisions>false</trackRevisions>
    </reviewItem>
    <reviewItem>
      <errorID>e495c3af-0f14-4ce6-b2ca-d5660ab27fc8</errorID>
      <errorWord>)</errorWord>
      <group>L1_Format</group>
      <groupName>格式问题</groupName>
      <ability>L2_HalfPunc_CN</ability>
      <abilityName>全半角问题</abilityName>
      <candidateList>
        <item>）</item>
      </candidateList>
      <explain>文本全半角错误。</explain>
      <paraID>63199131</paraID>
      <start>489</start>
      <end>490</end>
      <status>unmodified</status>
      <modifiedWord/>
      <trackRevisions>false</trackRevisions>
    </reviewItem>
    <reviewItem>
      <errorID>af6978dd-68a0-4e68-b97d-ca6a1c612c1a</errorID>
      <errorWord>,</errorWord>
      <group>L1_Format</group>
      <groupName>格式问题</groupName>
      <ability>L2_HalfPunc_CN</ability>
      <abilityName>全半角问题</abilityName>
      <candidateList>
        <item>，</item>
      </candidateList>
      <explain>文本全半角错误。</explain>
      <paraID>63199131</paraID>
      <start>494</start>
      <end>495</end>
      <status>unmodified</status>
      <modifiedWord/>
      <trackRevisions>false</trackRevisions>
    </reviewItem>
    <reviewItem>
      <errorID>7b6c575f-9a66-49df-a883-cbaca908ed40</errorID>
      <errorWord>,</errorWord>
      <group>L1_Format</group>
      <groupName>格式问题</groupName>
      <ability>L2_HalfPunc_CN</ability>
      <abilityName>全半角问题</abilityName>
      <candidateList>
        <item>，</item>
      </candidateList>
      <explain>文本全半角错误。</explain>
      <paraID>63199131</paraID>
      <start>515</start>
      <end>516</end>
      <status>unmodified</status>
      <modifiedWord/>
      <trackRevisions>false</trackRevisions>
    </reviewItem>
    <reviewItem>
      <errorID>f193a245-46cd-4134-84d4-bb42573b4f3e</errorID>
      <errorWord>,</errorWord>
      <group>L1_Format</group>
      <groupName>格式问题</groupName>
      <ability>L2_HalfPunc_CN</ability>
      <abilityName>全半角问题</abilityName>
      <candidateList>
        <item>，</item>
      </candidateList>
      <explain>文本全半角错误。</explain>
      <paraID>63199131</paraID>
      <start>527</start>
      <end>528</end>
      <status>unmodified</status>
      <modifiedWord/>
      <trackRevisions>false</trackRevisions>
    </reviewItem>
    <reviewItem>
      <errorID>bfe4e11c-5950-4ae1-9db2-c9aba751fe7f</errorID>
      <errorWord>(</errorWord>
      <group>L1_Format</group>
      <groupName>格式问题</groupName>
      <ability>L2_HalfPunc_CN</ability>
      <abilityName>全半角问题</abilityName>
      <candidateList>
        <item>（</item>
      </candidateList>
      <explain>文本全半角错误。</explain>
      <paraID>63199131</paraID>
      <start>555</start>
      <end>556</end>
      <status>unmodified</status>
      <modifiedWord/>
      <trackRevisions>false</trackRevisions>
    </reviewItem>
    <reviewItem>
      <errorID>0b493418-1ec5-42c9-a7ee-04eeaba636e7</errorID>
      <errorWord>)</errorWord>
      <group>L1_Format</group>
      <groupName>格式问题</groupName>
      <ability>L2_HalfPunc_CN</ability>
      <abilityName>全半角问题</abilityName>
      <candidateList>
        <item>）</item>
      </candidateList>
      <explain>文本全半角错误。</explain>
      <paraID>63199131</paraID>
      <start>558</start>
      <end>559</end>
      <status>unmodified</status>
      <modifiedWord/>
      <trackRevisions>false</trackRevisions>
    </reviewItem>
    <reviewItem>
      <errorID>7da4beef-5185-4d52-b4ef-ba829d09d8a5</errorID>
      <errorWord>,</errorWord>
      <group>L1_Format</group>
      <groupName>格式问题</groupName>
      <ability>L2_HalfPunc_CN</ability>
      <abilityName>全半角问题</abilityName>
      <candidateList>
        <item>，</item>
      </candidateList>
      <explain>文本全半角错误。</explain>
      <paraID>63199131</paraID>
      <start>568</start>
      <end>569</end>
      <status>unmodified</status>
      <modifiedWord/>
      <trackRevisions>false</trackRevisions>
    </reviewItem>
    <reviewItem>
      <errorID>a58cdfb7-ff16-464a-83ce-5beee9681157</errorID>
      <errorWord>,</errorWord>
      <group>L1_Format</group>
      <groupName>格式问题</groupName>
      <ability>L2_HalfPunc_CN</ability>
      <abilityName>全半角问题</abilityName>
      <candidateList>
        <item>，</item>
      </candidateList>
      <explain>文本全半角错误。</explain>
      <paraID>63199131</paraID>
      <start>577</start>
      <end>578</end>
      <status>unmodified</status>
      <modifiedWord/>
      <trackRevisions>false</trackRevisions>
    </reviewItem>
    <reviewItem>
      <errorID>989ced3d-b4b5-47e0-912b-4d8fab1e3e9d</errorID>
      <errorWord>(</errorWord>
      <group>L1_Format</group>
      <groupName>格式问题</groupName>
      <ability>L2_HalfPunc_CN</ability>
      <abilityName>全半角问题</abilityName>
      <candidateList>
        <item>（</item>
      </candidateList>
      <explain>文本全半角错误。</explain>
      <paraID>63199131</paraID>
      <start>640</start>
      <end>641</end>
      <status>unmodified</status>
      <modifiedWord/>
      <trackRevisions>false</trackRevisions>
    </reviewItem>
    <reviewItem>
      <errorID>7d82f96a-106c-4eab-bc8a-736d69b7ca5c</errorID>
      <errorWord>)</errorWord>
      <group>L1_Format</group>
      <groupName>格式问题</groupName>
      <ability>L2_HalfPunc_CN</ability>
      <abilityName>全半角问题</abilityName>
      <candidateList>
        <item>）</item>
      </candidateList>
      <explain>文本全半角错误。</explain>
      <paraID>63199131</paraID>
      <start>647</start>
      <end>648</end>
      <status>unmodified</status>
      <modifiedWord/>
      <trackRevisions>false</trackRevisions>
    </reviewItem>
    <reviewItem>
      <errorID>345f4363-1de9-41d8-a61f-9f8749c72808</errorID>
      <errorWord>,</errorWord>
      <group>L1_Format</group>
      <groupName>格式问题</groupName>
      <ability>L2_HalfPunc_CN</ability>
      <abilityName>全半角问题</abilityName>
      <candidateList>
        <item>，</item>
      </candidateList>
      <explain>文本全半角错误。</explain>
      <paraID>63199131</paraID>
      <start>789</start>
      <end>790</end>
      <status>unmodified</status>
      <modifiedWord/>
      <trackRevisions>false</trackRevisions>
    </reviewItem>
    <reviewItem>
      <errorID>3811c2eb-cd23-485d-8f46-3950940d1214</errorID>
      <errorWord>,</errorWord>
      <group>L1_Format</group>
      <groupName>格式问题</groupName>
      <ability>L2_HalfPunc_CN</ability>
      <abilityName>全半角问题</abilityName>
      <candidateList>
        <item>，</item>
      </candidateList>
      <explain>文本全半角错误。</explain>
      <paraID>63199131</paraID>
      <start>812</start>
      <end>813</end>
      <status>unmodified</status>
      <modifiedWord/>
      <trackRevisions>false</trackRevisions>
    </reviewItem>
    <reviewItem>
      <errorID>62d9ca7f-53e3-4ec9-928e-30a88d363610</errorID>
      <errorWord>,</errorWord>
      <group>L1_Format</group>
      <groupName>格式问题</groupName>
      <ability>L2_HalfPunc_CN</ability>
      <abilityName>全半角问题</abilityName>
      <candidateList>
        <item>，</item>
      </candidateList>
      <explain>文本全半角错误。</explain>
      <paraID>63199131</paraID>
      <start>823</start>
      <end>824</end>
      <status>unmodified</status>
      <modifiedWord/>
      <trackRevisions>false</trackRevisions>
    </reviewItem>
    <reviewItem>
      <errorID>9d556e56-0b54-4541-93e1-3dddbc3ad51e</errorID>
      <errorWord>,</errorWord>
      <group>L1_Format</group>
      <groupName>格式问题</groupName>
      <ability>L2_HalfPunc_CN</ability>
      <abilityName>全半角问题</abilityName>
      <candidateList>
        <item>，</item>
      </candidateList>
      <explain>文本全半角错误。</explain>
      <paraID>63199131</paraID>
      <start>834</start>
      <end>835</end>
      <status>unmodified</status>
      <modifiedWord/>
      <trackRevisions>false</trackRevisions>
    </reviewItem>
    <reviewItem>
      <errorID>cb6aa6f3-405b-4a6a-acc1-5605b49384ea</errorID>
      <errorWord>辐</errorWord>
      <group>L1_Word</group>
      <groupName>字词问题</groupName>
      <ability>L2_Typo</ability>
      <abilityName>字词错误</abilityName>
      <candidateList>
        <item>辐射</item>
      </candidateList>
      <explain>〈动〉❶从中心向各个方向沿着直线伸展出去：～形。❷指热辐射。光线、无线电波等电磁波的传播也叫辐射。</explain>
      <paraID>63199131</paraID>
      <start>857</start>
      <end>858</end>
      <status>unmodified</status>
      <modifiedWord/>
      <trackRevisions>false</trackRevisions>
    </reviewItem>
    <reviewItem>
      <errorID>1fe7bcd0-b53c-48c0-934b-4ef11f874a2b</errorID>
      <errorWord>(</errorWord>
      <group>L1_Format</group>
      <groupName>格式问题</groupName>
      <ability>L2_HalfPunc_CN</ability>
      <abilityName>全半角问题</abilityName>
      <candidateList>
        <item>（</item>
      </candidateList>
      <explain>文本全半角错误。</explain>
      <paraID>5F5A3F1F</paraID>
      <start>38</start>
      <end>39</end>
      <status>unmodified</status>
      <modifiedWord/>
      <trackRevisions>false</trackRevisions>
    </reviewItem>
    <reviewItem>
      <errorID>b57cf638-144f-4fc6-b4ec-3ab143f0fd3a</errorID>
      <errorWord>)</errorWord>
      <group>L1_Format</group>
      <groupName>格式问题</groupName>
      <ability>L2_HalfPunc_CN</ability>
      <abilityName>全半角问题</abilityName>
      <candidateList>
        <item>）</item>
      </candidateList>
      <explain>文本全半角错误。</explain>
      <paraID>5F5A3F1F</paraID>
      <start>45</start>
      <end>46</end>
      <status>unmodified</status>
      <modifiedWord/>
      <trackRevisions>false</trackRevisions>
    </reviewItem>
    <reviewItem>
      <errorID>3e0e1351-ac4f-4c02-9539-36d002294746</errorID>
      <errorWord>(</errorWord>
      <group>L1_Format</group>
      <groupName>格式问题</groupName>
      <ability>L2_HalfPunc_CN</ability>
      <abilityName>全半角问题</abilityName>
      <candidateList>
        <item>（</item>
      </candidateList>
      <explain>文本全半角错误。</explain>
      <paraID>5F5A3F1F</paraID>
      <start>93</start>
      <end>94</end>
      <status>unmodified</status>
      <modifiedWord/>
      <trackRevisions>false</trackRevisions>
    </reviewItem>
    <reviewItem>
      <errorID>15f5a18a-5409-459c-bd7c-478ad80e8562</errorID>
      <errorWord>)</errorWord>
      <group>L1_Format</group>
      <groupName>格式问题</groupName>
      <ability>L2_HalfPunc_CN</ability>
      <abilityName>全半角问题</abilityName>
      <candidateList>
        <item>）</item>
      </candidateList>
      <explain>文本全半角错误。</explain>
      <paraID>5F5A3F1F</paraID>
      <start>98</start>
      <end>99</end>
      <status>unmodified</status>
      <modifiedWord/>
      <trackRevisions>false</trackRevisions>
    </reviewItem>
    <reviewItem>
      <errorID>e268ef1b-a606-4303-ac58-ec97b42802c1</errorID>
      <errorWord>，</errorWord>
      <group>L1_Word</group>
      <groupName>字词问题</groupName>
      <ability>L2_Typo</ability>
      <abilityName>字词错误</abilityName>
      <candidateList>
        <item>，具</item>
      </candidateList>
      <explain/>
      <paraID>5F5A3F1F</paraID>
      <start>288</start>
      <end>289</end>
      <status>unmodified</status>
      <modifiedWord/>
      <trackRevisions>false</trackRevisions>
    </reviewItem>
    <reviewItem>
      <errorID>48f56ec2-da86-4a54-8c5d-d3442593e403</errorID>
      <errorWord>(</errorWord>
      <group>L1_Format</group>
      <groupName>格式问题</groupName>
      <ability>L2_HalfPunc_CN</ability>
      <abilityName>全半角问题</abilityName>
      <candidateList>
        <item>（</item>
      </candidateList>
      <explain>文本全半角错误。</explain>
      <paraID>5F5A3F1F</paraID>
      <start>397</start>
      <end>398</end>
      <status>unmodified</status>
      <modifiedWord/>
      <trackRevisions>false</trackRevisions>
    </reviewItem>
    <reviewItem>
      <errorID>e95a97ff-c5ef-4a13-b8d0-2676431edd7d</errorID>
      <errorWord>)</errorWord>
      <group>L1_Format</group>
      <groupName>格式问题</groupName>
      <ability>L2_HalfPunc_CN</ability>
      <abilityName>全半角问题</abilityName>
      <candidateList>
        <item>）</item>
      </candidateList>
      <explain>文本全半角错误。</explain>
      <paraID>5F5A3F1F</paraID>
      <start>399</start>
      <end>400</end>
      <status>unmodified</status>
      <modifiedWord/>
      <trackRevisions>false</trackRevisions>
    </reviewItem>
    <reviewItem>
      <errorID>cdb727b0-1192-4761-a627-316a374a4bcc</errorID>
      <errorWord>(</errorWord>
      <group>L1_Format</group>
      <groupName>格式问题</groupName>
      <ability>L2_HalfPunc_CN</ability>
      <abilityName>全半角问题</abilityName>
      <candidateList>
        <item>（</item>
      </candidateList>
      <explain>文本全半角错误。</explain>
      <paraID>5F5A3F1F</paraID>
      <start>445</start>
      <end>446</end>
      <status>unmodified</status>
      <modifiedWord/>
      <trackRevisions>false</trackRevisions>
    </reviewItem>
    <reviewItem>
      <errorID>a7bf9e07-bc35-4165-afd2-c06e58246ed4</errorID>
      <errorWord>)</errorWord>
      <group>L1_Format</group>
      <groupName>格式问题</groupName>
      <ability>L2_HalfPunc_CN</ability>
      <abilityName>全半角问题</abilityName>
      <candidateList>
        <item>）</item>
      </candidateList>
      <explain>文本全半角错误。</explain>
      <paraID>5F5A3F1F</paraID>
      <start>448</start>
      <end>449</end>
      <status>unmodified</status>
      <modifiedWord/>
      <trackRevisions>false</trackRevisions>
    </reviewItem>
    <reviewItem>
      <errorID>ebef586d-c2d0-4692-b4d0-821004cbb13d</errorID>
      <errorWord>(</errorWord>
      <group>L1_Format</group>
      <groupName>格式问题</groupName>
      <ability>L2_HalfPunc_CN</ability>
      <abilityName>全半角问题</abilityName>
      <candidateList>
        <item>（</item>
      </candidateList>
      <explain>文本全半角错误。</explain>
      <paraID>5F5A3F1F</paraID>
      <start>461</start>
      <end>462</end>
      <status>unmodified</status>
      <modifiedWord/>
      <trackRevisions>false</trackRevisions>
    </reviewItem>
    <reviewItem>
      <errorID>5fa6493f-ef23-4d4d-993a-160f35fab37d</errorID>
      <errorWord>)</errorWord>
      <group>L1_Format</group>
      <groupName>格式问题</groupName>
      <ability>L2_HalfPunc_CN</ability>
      <abilityName>全半角问题</abilityName>
      <candidateList>
        <item>）</item>
      </candidateList>
      <explain>文本全半角错误。</explain>
      <paraID>5F5A3F1F</paraID>
      <start>464</start>
      <end>465</end>
      <status>unmodified</status>
      <modifiedWord/>
      <trackRevisions>false</trackRevisions>
    </reviewItem>
    <reviewItem>
      <errorID>eea3e330-b146-4861-a09d-ee68f9e6a5fe</errorID>
      <errorWord>(</errorWord>
      <group>L1_Format</group>
      <groupName>格式问题</groupName>
      <ability>L2_HalfPunc_CN</ability>
      <abilityName>全半角问题</abilityName>
      <candidateList>
        <item>（</item>
      </candidateList>
      <explain>文本全半角错误。</explain>
      <paraID>5F5A3F1F</paraID>
      <start>565</start>
      <end>566</end>
      <status>unmodified</status>
      <modifiedWord/>
      <trackRevisions>false</trackRevisions>
    </reviewItem>
    <reviewItem>
      <errorID>6fe70f77-1296-403c-b25b-499cc7efc7f0</errorID>
      <errorWord>)</errorWord>
      <group>L1_Format</group>
      <groupName>格式问题</groupName>
      <ability>L2_HalfPunc_CN</ability>
      <abilityName>全半角问题</abilityName>
      <candidateList>
        <item>）</item>
      </candidateList>
      <explain>文本全半角错误。</explain>
      <paraID>5F5A3F1F</paraID>
      <start>572</start>
      <end>573</end>
      <status>unmodified</status>
      <modifiedWord/>
      <trackRevisions>false</trackRevisions>
    </reviewItem>
    <reviewItem>
      <errorID>c00bd92d-6a1f-48af-838d-81c657689c92</errorID>
      <errorWord>.</errorWord>
      <group>L1_Format</group>
      <groupName>格式问题</groupName>
      <ability>L2_HalfPunc_CN</ability>
      <abilityName>全半角问题</abilityName>
      <candidateList>
        <item>。</item>
      </candidateList>
      <explain>文本全半角错误。</explain>
      <paraID>5F5A3F1F</paraID>
      <start>659</start>
      <end>660</end>
      <status>unmodified</status>
      <modifiedWord/>
      <trackRevisions>false</trackRevisions>
    </reviewItem>
    <reviewItem>
      <errorID>1f1e75eb-7579-48ad-8311-42ccdf6709ef</errorID>
      <errorWord>.</errorWord>
      <group>L1_Format</group>
      <groupName>格式问题</groupName>
      <ability>L2_HalfPunc_CN</ability>
      <abilityName>全半角问题</abilityName>
      <candidateList>
        <item>。</item>
      </candidateList>
      <explain>文本全半角错误。</explain>
      <paraID>5F5A3F1F</paraID>
      <start>665</start>
      <end>666</end>
      <status>unmodified</status>
      <modifiedWord/>
      <trackRevisions>false</trackRevisions>
    </reviewItem>
    <reviewItem>
      <errorID>a5de0cf1-f2ee-43fe-af60-c904e0ec24a1</errorID>
      <errorWord>.</errorWord>
      <group>L1_Format</group>
      <groupName>格式问题</groupName>
      <ability>L2_HalfPunc_CN</ability>
      <abilityName>全半角问题</abilityName>
      <candidateList>
        <item>。</item>
      </candidateList>
      <explain>文本全半角错误。</explain>
      <paraID>5F5A3F1F</paraID>
      <start>698</start>
      <end>699</end>
      <status>unmodified</status>
      <modifiedWord/>
      <trackRevisions>false</trackRevisions>
    </reviewItem>
    <reviewItem>
      <errorID>fd01729b-a366-481d-aa4a-87b719d639c4</errorID>
      <errorWord>.</errorWord>
      <group>L1_Format</group>
      <groupName>格式问题</groupName>
      <ability>L2_HalfPunc_CN</ability>
      <abilityName>全半角问题</abilityName>
      <candidateList>
        <item>。</item>
      </candidateList>
      <explain>文本全半角错误。</explain>
      <paraID>5F5A3F1F</paraID>
      <start>701</start>
      <end>702</end>
      <status>unmodified</status>
      <modifiedWord/>
      <trackRevisions>false</trackRevisions>
    </reviewItem>
    <reviewItem>
      <errorID>e1d6481a-f8ff-46c3-93e0-90c71522cbbf</errorID>
      <errorWord>(</errorWord>
      <group>L1_Format</group>
      <groupName>格式问题</groupName>
      <ability>L2_HalfPunc_CN</ability>
      <abilityName>全半角问题</abilityName>
      <candidateList>
        <item>（</item>
      </candidateList>
      <explain>文本全半角错误。</explain>
      <paraID>459738B6</paraID>
      <start>40</start>
      <end>41</end>
      <status>unmodified</status>
      <modifiedWord/>
      <trackRevisions>false</trackRevisions>
    </reviewItem>
    <reviewItem>
      <errorID>1f3e7bd1-ca03-45f2-a0d3-66caf0830a1e</errorID>
      <errorWord>)</errorWord>
      <group>L1_Format</group>
      <groupName>格式问题</groupName>
      <ability>L2_HalfPunc_CN</ability>
      <abilityName>全半角问题</abilityName>
      <candidateList>
        <item>）</item>
      </candidateList>
      <explain>文本全半角错误。</explain>
      <paraID>459738B6</paraID>
      <start>47</start>
      <end>48</end>
      <status>unmodified</status>
      <modifiedWord/>
      <trackRevisions>false</trackRevisions>
    </reviewItem>
    <reviewItem>
      <errorID>6d121d73-f98f-4c5a-986c-ae75d37355fb</errorID>
      <errorWord>(</errorWord>
      <group>L1_Format</group>
      <groupName>格式问题</groupName>
      <ability>L2_HalfPunc_CN</ability>
      <abilityName>全半角问题</abilityName>
      <candidateList>
        <item>（</item>
      </candidateList>
      <explain>文本全半角错误。</explain>
      <paraID>459738B6</paraID>
      <start>95</start>
      <end>96</end>
      <status>unmodified</status>
      <modifiedWord/>
      <trackRevisions>false</trackRevisions>
    </reviewItem>
    <reviewItem>
      <errorID>8f5faf6b-2e33-4483-b574-b6bbfeb92c26</errorID>
      <errorWord>)</errorWord>
      <group>L1_Format</group>
      <groupName>格式问题</groupName>
      <ability>L2_HalfPunc_CN</ability>
      <abilityName>全半角问题</abilityName>
      <candidateList>
        <item>）</item>
      </candidateList>
      <explain>文本全半角错误。</explain>
      <paraID>459738B6</paraID>
      <start>100</start>
      <end>101</end>
      <status>unmodified</status>
      <modifiedWord/>
      <trackRevisions>false</trackRevisions>
    </reviewItem>
    <reviewItem>
      <errorID>5c13eb82-3265-4bee-a0fd-bba155114e9a</errorID>
      <errorWord>(</errorWord>
      <group>L1_Format</group>
      <groupName>格式问题</groupName>
      <ability>L2_HalfPunc_CN</ability>
      <abilityName>全半角问题</abilityName>
      <candidateList>
        <item>（</item>
      </candidateList>
      <explain>文本全半角错误。</explain>
      <paraID>459738B6</paraID>
      <start>399</start>
      <end>400</end>
      <status>unmodified</status>
      <modifiedWord/>
      <trackRevisions>false</trackRevisions>
    </reviewItem>
    <reviewItem>
      <errorID>e1e97bf0-9eae-41bc-8e7d-837fcf190032</errorID>
      <errorWord>)</errorWord>
      <group>L1_Format</group>
      <groupName>格式问题</groupName>
      <ability>L2_HalfPunc_CN</ability>
      <abilityName>全半角问题</abilityName>
      <candidateList>
        <item>）</item>
      </candidateList>
      <explain>文本全半角错误。</explain>
      <paraID>459738B6</paraID>
      <start>401</start>
      <end>402</end>
      <status>unmodified</status>
      <modifiedWord/>
      <trackRevisions>false</trackRevisions>
    </reviewItem>
    <reviewItem>
      <errorID>e820fea8-472a-4193-8f29-11ad518f5914</errorID>
      <errorWord>(</errorWord>
      <group>L1_Format</group>
      <groupName>格式问题</groupName>
      <ability>L2_HalfPunc_CN</ability>
      <abilityName>全半角问题</abilityName>
      <candidateList>
        <item>（</item>
      </candidateList>
      <explain>文本全半角错误。</explain>
      <paraID>459738B6</paraID>
      <start>447</start>
      <end>448</end>
      <status>unmodified</status>
      <modifiedWord/>
      <trackRevisions>false</trackRevisions>
    </reviewItem>
    <reviewItem>
      <errorID>737052d2-16ba-45e3-a98b-c6799c28c512</errorID>
      <errorWord>)</errorWord>
      <group>L1_Format</group>
      <groupName>格式问题</groupName>
      <ability>L2_HalfPunc_CN</ability>
      <abilityName>全半角问题</abilityName>
      <candidateList>
        <item>）</item>
      </candidateList>
      <explain>文本全半角错误。</explain>
      <paraID>459738B6</paraID>
      <start>450</start>
      <end>451</end>
      <status>unmodified</status>
      <modifiedWord/>
      <trackRevisions>false</trackRevisions>
    </reviewItem>
    <reviewItem>
      <errorID>e9abf317-49ec-4e2d-b16e-81fbf41249d6</errorID>
      <errorWord>(</errorWord>
      <group>L1_Format</group>
      <groupName>格式问题</groupName>
      <ability>L2_HalfPunc_CN</ability>
      <abilityName>全半角问题</abilityName>
      <candidateList>
        <item>（</item>
      </candidateList>
      <explain>文本全半角错误。</explain>
      <paraID>459738B6</paraID>
      <start>463</start>
      <end>464</end>
      <status>unmodified</status>
      <modifiedWord/>
      <trackRevisions>false</trackRevisions>
    </reviewItem>
    <reviewItem>
      <errorID>071a9ba9-8960-4182-acab-88e01f818351</errorID>
      <errorWord>)</errorWord>
      <group>L1_Format</group>
      <groupName>格式问题</groupName>
      <ability>L2_HalfPunc_CN</ability>
      <abilityName>全半角问题</abilityName>
      <candidateList>
        <item>）</item>
      </candidateList>
      <explain>文本全半角错误。</explain>
      <paraID>459738B6</paraID>
      <start>466</start>
      <end>467</end>
      <status>unmodified</status>
      <modifiedWord/>
      <trackRevisions>false</trackRevisions>
    </reviewItem>
    <reviewItem>
      <errorID>a4008c07-cfc6-4458-8d22-1e098d6a4e86</errorID>
      <errorWord>(</errorWord>
      <group>L1_Format</group>
      <groupName>格式问题</groupName>
      <ability>L2_HalfPunc_CN</ability>
      <abilityName>全半角问题</abilityName>
      <candidateList>
        <item>（</item>
      </candidateList>
      <explain>文本全半角错误。</explain>
      <paraID>459738B6</paraID>
      <start>501</start>
      <end>502</end>
      <status>unmodified</status>
      <modifiedWord/>
      <trackRevisions>false</trackRevisions>
    </reviewItem>
    <reviewItem>
      <errorID>03197c96-60b3-418a-8e9c-d6ab647fa5ee</errorID>
      <errorWord>)</errorWord>
      <group>L1_Format</group>
      <groupName>格式问题</groupName>
      <ability>L2_HalfPunc_CN</ability>
      <abilityName>全半角问题</abilityName>
      <candidateList>
        <item>）</item>
      </candidateList>
      <explain>文本全半角错误。</explain>
      <paraID>459738B6</paraID>
      <start>508</start>
      <end>509</end>
      <status>unmodified</status>
      <modifiedWord/>
      <trackRevisions>false</trackRevisions>
    </reviewItem>
    <reviewItem>
      <errorID>fbe16a99-acd4-4ca0-8da7-4c0748fa0a38</errorID>
      <errorWord>.</errorWord>
      <group>L1_Format</group>
      <groupName>格式问题</groupName>
      <ability>L2_HalfPunc_CN</ability>
      <abilityName>全半角问题</abilityName>
      <candidateList>
        <item>。</item>
      </candidateList>
      <explain>文本全半角错误。</explain>
      <paraID>459738B6</paraID>
      <start>595</start>
      <end>596</end>
      <status>unmodified</status>
      <modifiedWord/>
      <trackRevisions>false</trackRevisions>
    </reviewItem>
    <reviewItem>
      <errorID>88d4069f-10a6-4ffc-b722-88d1ba587914</errorID>
      <errorWord>.</errorWord>
      <group>L1_Format</group>
      <groupName>格式问题</groupName>
      <ability>L2_HalfPunc_CN</ability>
      <abilityName>全半角问题</abilityName>
      <candidateList>
        <item>。</item>
      </candidateList>
      <explain>文本全半角错误。</explain>
      <paraID>459738B6</paraID>
      <start>601</start>
      <end>602</end>
      <status>unmodified</status>
      <modifiedWord/>
      <trackRevisions>false</trackRevisions>
    </reviewItem>
    <reviewItem>
      <errorID>670687c5-4b31-4b7e-bb06-594bbf8a455f</errorID>
      <errorWord>.</errorWord>
      <group>L1_Format</group>
      <groupName>格式问题</groupName>
      <ability>L2_HalfPunc_CN</ability>
      <abilityName>全半角问题</abilityName>
      <candidateList>
        <item>。</item>
      </candidateList>
      <explain>文本全半角错误。</explain>
      <paraID>459738B6</paraID>
      <start>634</start>
      <end>635</end>
      <status>unmodified</status>
      <modifiedWord/>
      <trackRevisions>false</trackRevisions>
    </reviewItem>
    <reviewItem>
      <errorID>7e16162b-7d83-49a2-9037-8e4adcb7a837</errorID>
      <errorWord>.</errorWord>
      <group>L1_Format</group>
      <groupName>格式问题</groupName>
      <ability>L2_HalfPunc_CN</ability>
      <abilityName>全半角问题</abilityName>
      <candidateList>
        <item>。</item>
      </candidateList>
      <explain>文本全半角错误。</explain>
      <paraID>459738B6</paraID>
      <start>637</start>
      <end>638</end>
      <status>unmodified</status>
      <modifiedWord/>
      <trackRevisions>false</trackRevisions>
    </reviewItem>
    <reviewItem>
      <errorID>aeeed1e4-aa07-498f-8f69-4813c372d9cc</errorID>
      <errorWord>(</errorWord>
      <group>L1_Format</group>
      <groupName>格式问题</groupName>
      <ability>L2_HalfPunc_CN</ability>
      <abilityName>全半角问题</abilityName>
      <candidateList>
        <item>（</item>
      </candidateList>
      <explain>文本全半角错误。</explain>
      <paraID>5A893065</paraID>
      <start>40</start>
      <end>41</end>
      <status>unmodified</status>
      <modifiedWord/>
      <trackRevisions>false</trackRevisions>
    </reviewItem>
    <reviewItem>
      <errorID>f8b89c51-944e-4960-b994-6d4cc456e6a4</errorID>
      <errorWord>)</errorWord>
      <group>L1_Format</group>
      <groupName>格式问题</groupName>
      <ability>L2_HalfPunc_CN</ability>
      <abilityName>全半角问题</abilityName>
      <candidateList>
        <item>）</item>
      </candidateList>
      <explain>文本全半角错误。</explain>
      <paraID>5A893065</paraID>
      <start>47</start>
      <end>48</end>
      <status>unmodified</status>
      <modifiedWord/>
      <trackRevisions>false</trackRevisions>
    </reviewItem>
    <reviewItem>
      <errorID>3d4b88b3-aef8-4eb9-8a43-b3d428c5bca2</errorID>
      <errorWord>(</errorWord>
      <group>L1_Format</group>
      <groupName>格式问题</groupName>
      <ability>L2_HalfPunc_CN</ability>
      <abilityName>全半角问题</abilityName>
      <candidateList>
        <item>（</item>
      </candidateList>
      <explain>文本全半角错误。</explain>
      <paraID>5A893065</paraID>
      <start>95</start>
      <end>96</end>
      <status>unmodified</status>
      <modifiedWord/>
      <trackRevisions>false</trackRevisions>
    </reviewItem>
    <reviewItem>
      <errorID>0c011a09-3794-4fb5-a366-2ea1ccb7969d</errorID>
      <errorWord>)</errorWord>
      <group>L1_Format</group>
      <groupName>格式问题</groupName>
      <ability>L2_HalfPunc_CN</ability>
      <abilityName>全半角问题</abilityName>
      <candidateList>
        <item>）</item>
      </candidateList>
      <explain>文本全半角错误。</explain>
      <paraID>5A893065</paraID>
      <start>100</start>
      <end>101</end>
      <status>unmodified</status>
      <modifiedWord/>
      <trackRevisions>false</trackRevisions>
    </reviewItem>
    <reviewItem>
      <errorID>085bea4c-1a3a-4b3e-b6e7-24aacc068634</errorID>
      <errorWord>(</errorWord>
      <group>L1_Format</group>
      <groupName>格式问题</groupName>
      <ability>L2_HalfPunc_CN</ability>
      <abilityName>全半角问题</abilityName>
      <candidateList>
        <item>（</item>
      </candidateList>
      <explain>文本全半角错误。</explain>
      <paraID>5A893065</paraID>
      <start>399</start>
      <end>400</end>
      <status>unmodified</status>
      <modifiedWord/>
      <trackRevisions>false</trackRevisions>
    </reviewItem>
    <reviewItem>
      <errorID>1ed6e79e-23b1-451f-a233-d1901bace63d</errorID>
      <errorWord>)</errorWord>
      <group>L1_Format</group>
      <groupName>格式问题</groupName>
      <ability>L2_HalfPunc_CN</ability>
      <abilityName>全半角问题</abilityName>
      <candidateList>
        <item>）</item>
      </candidateList>
      <explain>文本全半角错误。</explain>
      <paraID>5A893065</paraID>
      <start>401</start>
      <end>402</end>
      <status>unmodified</status>
      <modifiedWord/>
      <trackRevisions>false</trackRevisions>
    </reviewItem>
    <reviewItem>
      <errorID>e578dce4-cd63-4f52-99fe-f57f2db654d8</errorID>
      <errorWord>(</errorWord>
      <group>L1_Format</group>
      <groupName>格式问题</groupName>
      <ability>L2_HalfPunc_CN</ability>
      <abilityName>全半角问题</abilityName>
      <candidateList>
        <item>（</item>
      </candidateList>
      <explain>文本全半角错误。</explain>
      <paraID>5A893065</paraID>
      <start>447</start>
      <end>448</end>
      <status>unmodified</status>
      <modifiedWord/>
      <trackRevisions>false</trackRevisions>
    </reviewItem>
    <reviewItem>
      <errorID>5749dca4-f300-4961-92ab-97e38b451854</errorID>
      <errorWord>)</errorWord>
      <group>L1_Format</group>
      <groupName>格式问题</groupName>
      <ability>L2_HalfPunc_CN</ability>
      <abilityName>全半角问题</abilityName>
      <candidateList>
        <item>）</item>
      </candidateList>
      <explain>文本全半角错误。</explain>
      <paraID>5A893065</paraID>
      <start>450</start>
      <end>451</end>
      <status>unmodified</status>
      <modifiedWord/>
      <trackRevisions>false</trackRevisions>
    </reviewItem>
    <reviewItem>
      <errorID>1a983bb3-f4b8-4f39-80b4-c3914c852e80</errorID>
      <errorWord>(</errorWord>
      <group>L1_Format</group>
      <groupName>格式问题</groupName>
      <ability>L2_HalfPunc_CN</ability>
      <abilityName>全半角问题</abilityName>
      <candidateList>
        <item>（</item>
      </candidateList>
      <explain>文本全半角错误。</explain>
      <paraID>5A893065</paraID>
      <start>463</start>
      <end>464</end>
      <status>unmodified</status>
      <modifiedWord/>
      <trackRevisions>false</trackRevisions>
    </reviewItem>
    <reviewItem>
      <errorID>2a827d11-f1dd-4fb5-b307-c8aca99afa7f</errorID>
      <errorWord>)</errorWord>
      <group>L1_Format</group>
      <groupName>格式问题</groupName>
      <ability>L2_HalfPunc_CN</ability>
      <abilityName>全半角问题</abilityName>
      <candidateList>
        <item>）</item>
      </candidateList>
      <explain>文本全半角错误。</explain>
      <paraID>5A893065</paraID>
      <start>466</start>
      <end>467</end>
      <status>unmodified</status>
      <modifiedWord/>
      <trackRevisions>false</trackRevisions>
    </reviewItem>
    <reviewItem>
      <errorID>1f43521c-cb63-45dc-bf0a-69344240dadf</errorID>
      <errorWord>(</errorWord>
      <group>L1_Format</group>
      <groupName>格式问题</groupName>
      <ability>L2_HalfPunc_CN</ability>
      <abilityName>全半角问题</abilityName>
      <candidateList>
        <item>（</item>
      </candidateList>
      <explain>文本全半角错误。</explain>
      <paraID>5A893065</paraID>
      <start>558</start>
      <end>559</end>
      <status>unmodified</status>
      <modifiedWord/>
      <trackRevisions>false</trackRevisions>
    </reviewItem>
    <reviewItem>
      <errorID>14e9e963-c440-4669-bbf2-9e9379e5c3b0</errorID>
      <errorWord>)</errorWord>
      <group>L1_Format</group>
      <groupName>格式问题</groupName>
      <ability>L2_HalfPunc_CN</ability>
      <abilityName>全半角问题</abilityName>
      <candidateList>
        <item>）</item>
      </candidateList>
      <explain>文本全半角错误。</explain>
      <paraID>5A893065</paraID>
      <start>565</start>
      <end>566</end>
      <status>unmodified</status>
      <modifiedWord/>
      <trackRevisions>false</trackRevisions>
    </reviewItem>
    <reviewItem>
      <errorID>b5a164ca-48a2-499e-8242-d4e77a5cc257</errorID>
      <errorWord>.</errorWord>
      <group>L1_Format</group>
      <groupName>格式问题</groupName>
      <ability>L2_HalfPunc_CN</ability>
      <abilityName>全半角问题</abilityName>
      <candidateList>
        <item>。</item>
      </candidateList>
      <explain>文本全半角错误。</explain>
      <paraID>5A893065</paraID>
      <start>652</start>
      <end>653</end>
      <status>unmodified</status>
      <modifiedWord/>
      <trackRevisions>false</trackRevisions>
    </reviewItem>
    <reviewItem>
      <errorID>bfe60cd1-b469-41ea-a86f-0df9efb354b7</errorID>
      <errorWord>.</errorWord>
      <group>L1_Format</group>
      <groupName>格式问题</groupName>
      <ability>L2_HalfPunc_CN</ability>
      <abilityName>全半角问题</abilityName>
      <candidateList>
        <item>。</item>
      </candidateList>
      <explain>文本全半角错误。</explain>
      <paraID>5A893065</paraID>
      <start>658</start>
      <end>659</end>
      <status>unmodified</status>
      <modifiedWord/>
      <trackRevisions>false</trackRevisions>
    </reviewItem>
    <reviewItem>
      <errorID>f1048919-ec48-48c1-851b-2cda3242fb68</errorID>
      <errorWord>.</errorWord>
      <group>L1_Format</group>
      <groupName>格式问题</groupName>
      <ability>L2_HalfPunc_CN</ability>
      <abilityName>全半角问题</abilityName>
      <candidateList>
        <item>。</item>
      </candidateList>
      <explain>文本全半角错误。</explain>
      <paraID>5A893065</paraID>
      <start>691</start>
      <end>692</end>
      <status>unmodified</status>
      <modifiedWord/>
      <trackRevisions>false</trackRevisions>
    </reviewItem>
    <reviewItem>
      <errorID>7f15d3bc-1004-47e4-aaec-334d8e8366f6</errorID>
      <errorWord>.</errorWord>
      <group>L1_Format</group>
      <groupName>格式问题</groupName>
      <ability>L2_HalfPunc_CN</ability>
      <abilityName>全半角问题</abilityName>
      <candidateList>
        <item>。</item>
      </candidateList>
      <explain>文本全半角错误。</explain>
      <paraID>5A893065</paraID>
      <start>694</start>
      <end>695</end>
      <status>unmodified</status>
      <modifiedWord/>
      <trackRevisions>false</trackRevisions>
    </reviewItem>
    <reviewItem>
      <errorID>051332a1-7717-4b16-b9fa-fa0557e8c1ca</errorID>
      <errorWord>(</errorWord>
      <group>L1_Format</group>
      <groupName>格式问题</groupName>
      <ability>L2_HalfPunc_CN</ability>
      <abilityName>全半角问题</abilityName>
      <candidateList>
        <item>（</item>
      </candidateList>
      <explain>文本全半角错误。</explain>
      <paraID>45B236B7</paraID>
      <start>101</start>
      <end>102</end>
      <status>unmodified</status>
      <modifiedWord/>
      <trackRevisions>false</trackRevisions>
    </reviewItem>
    <reviewItem>
      <errorID>3e373622-053c-462c-9eef-5a44c730834a</errorID>
      <errorWord>)</errorWord>
      <group>L1_Format</group>
      <groupName>格式问题</groupName>
      <ability>L2_HalfPunc_CN</ability>
      <abilityName>全半角问题</abilityName>
      <candidateList>
        <item>）</item>
      </candidateList>
      <explain>文本全半角错误。</explain>
      <paraID>45B236B7</paraID>
      <start>105</start>
      <end>106</end>
      <status>unmodified</status>
      <modifiedWord/>
      <trackRevisions>false</trackRevisions>
    </reviewItem>
    <reviewItem>
      <errorID>c0b5f854-867c-4903-9659-1a38f565bb46</errorID>
      <errorWord>.</errorWord>
      <group>L1_Format</group>
      <groupName>格式问题</groupName>
      <ability>L2_HalfPunc_CN</ability>
      <abilityName>全半角问题</abilityName>
      <candidateList>
        <item>。</item>
      </candidateList>
      <explain>文本全半角错误。</explain>
      <paraID>23CD7FBA</paraID>
      <start>60</start>
      <end>61</end>
      <status>unmodified</status>
      <modifiedWord/>
      <trackRevisions>false</trackRevisions>
    </reviewItem>
    <reviewItem>
      <errorID>fa403510-71df-44f0-a9a9-642fa87c0e43</errorID>
      <errorWord>.</errorWord>
      <group>L1_Format</group>
      <groupName>格式问题</groupName>
      <ability>L2_HalfPunc_CN</ability>
      <abilityName>全半角问题</abilityName>
      <candidateList>
        <item>。</item>
      </candidateList>
      <explain>文本全半角错误。</explain>
      <paraID>23CD7FBA</paraID>
      <start>93</start>
      <end>94</end>
      <status>unmodified</status>
      <modifiedWord/>
      <trackRevisions>false</trackRevisions>
    </reviewItem>
    <reviewItem>
      <errorID>222d0c01-9562-4714-b4f4-501c9eba03ba</errorID>
      <errorWord>.</errorWord>
      <group>L1_Format</group>
      <groupName>格式问题</groupName>
      <ability>L2_HalfPunc_CN</ability>
      <abilityName>全半角问题</abilityName>
      <candidateList>
        <item>。</item>
      </candidateList>
      <explain>文本全半角错误。</explain>
      <paraID>23CD7FBA</paraID>
      <start>99</start>
      <end>100</end>
      <status>unmodified</status>
      <modifiedWord/>
      <trackRevisions>false</trackRevisions>
    </reviewItem>
    <reviewItem>
      <errorID>b69ffa92-1694-4298-b81f-89c4aa945b02</errorID>
      <errorWord>.</errorWord>
      <group>L1_Format</group>
      <groupName>格式问题</groupName>
      <ability>L2_HalfPunc_CN</ability>
      <abilityName>全半角问题</abilityName>
      <candidateList>
        <item>。</item>
      </candidateList>
      <explain>文本全半角错误。</explain>
      <paraID>23CD7FBA</paraID>
      <start>250</start>
      <end>251</end>
      <status>unmodified</status>
      <modifiedWord/>
      <trackRevisions>false</trackRevisions>
    </reviewItem>
    <reviewItem>
      <errorID>99fd34a8-e7ea-41d3-aa07-827f800d47eb</errorID>
      <errorWord>.</errorWord>
      <group>L1_Format</group>
      <groupName>格式问题</groupName>
      <ability>L2_HalfPunc_CN</ability>
      <abilityName>全半角问题</abilityName>
      <candidateList>
        <item>。</item>
      </candidateList>
      <explain>文本全半角错误。</explain>
      <paraID>6B26AC68</paraID>
      <start>107</start>
      <end>108</end>
      <status>unmodified</status>
      <modifiedWord/>
      <trackRevisions>false</trackRevisions>
    </reviewItem>
    <reviewItem>
      <errorID>bd67870d-adad-459c-b3cd-5658dda78eec</errorID>
      <errorWord>.</errorWord>
      <group>L1_Format</group>
      <groupName>格式问题</groupName>
      <ability>L2_HalfPunc_CN</ability>
      <abilityName>全半角问题</abilityName>
      <candidateList>
        <item>。</item>
      </candidateList>
      <explain>文本全半角错误。</explain>
      <paraID>6B26AC68</paraID>
      <start>186</start>
      <end>187</end>
      <status>unmodified</status>
      <modifiedWord/>
      <trackRevisions>false</trackRevisions>
    </reviewItem>
    <reviewItem>
      <errorID>2be69c00-46ff-4f28-8764-df9452193ef8</errorID>
      <errorWord>.</errorWord>
      <group>L1_Format</group>
      <groupName>格式问题</groupName>
      <ability>L2_HalfPunc_CN</ability>
      <abilityName>全半角问题</abilityName>
      <candidateList>
        <item>。</item>
      </candidateList>
      <explain>文本全半角错误。</explain>
      <paraID>6B26AC68</paraID>
      <start>191</start>
      <end>192</end>
      <status>unmodified</status>
      <modifiedWord/>
      <trackRevisions>false</trackRevisions>
    </reviewItem>
    <reviewItem>
      <errorID>c23760a9-7ad5-403e-9e9c-2e7d452be377</errorID>
      <errorWord>设觉</errorWord>
      <group>L1_Word</group>
      <groupName>字词问题</groupName>
      <ability>L2_Typo</ability>
      <abilityName>字词错误</abilityName>
      <candidateList>
        <item>视觉</item>
      </candidateList>
      <explain/>
      <paraID>6B26AC68</paraID>
      <start>192</start>
      <end>194</end>
      <status>unmodified</status>
      <modifiedWord/>
      <trackRevisions>false</trackRevisions>
    </reviewItem>
    <reviewItem>
      <errorID>bc8df1ca-4ce7-46f2-b547-56aafb7b6b5e</errorID>
      <errorWord>.</errorWord>
      <group>L1_Format</group>
      <groupName>格式问题</groupName>
      <ability>L2_HalfPunc_CN</ability>
      <abilityName>全半角问题</abilityName>
      <candidateList>
        <item>。</item>
      </candidateList>
      <explain>文本全半角错误。</explain>
      <paraID>6B26AC68</paraID>
      <start>249</start>
      <end>250</end>
      <status>unmodified</status>
      <modifiedWord/>
      <trackRevisions>false</trackRevisions>
    </reviewItem>
    <reviewItem>
      <errorID>61d4375f-7639-4e00-9dae-6972ee86dcf6</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7F7D9991</paraID>
      <start>0</start>
      <end>2</end>
      <status>unmodified</status>
      <modifiedWord/>
      <trackRevisions>false</trackRevisions>
    </reviewItem>
    <reviewItem>
      <errorID>fadbe883-3dcf-4535-bb47-290840763dcb</errorID>
      <errorWord>.</errorWord>
      <group>L1_Format</group>
      <groupName>格式问题</groupName>
      <ability>L2_HalfPunc_CN</ability>
      <abilityName>全半角问题</abilityName>
      <candidateList>
        <item>。</item>
      </candidateList>
      <explain>文本全半角错误。</explain>
      <paraID>7F7D9991</paraID>
      <start>101</start>
      <end>102</end>
      <status>unmodified</status>
      <modifiedWord/>
      <trackRevisions>false</trackRevisions>
    </reviewItem>
    <reviewItem>
      <errorID>54d5c3dd-4a31-428d-9cba-836f40db7e0a</errorID>
      <errorWord>.</errorWord>
      <group>L1_Format</group>
      <groupName>格式问题</groupName>
      <ability>L2_HalfPunc_CN</ability>
      <abilityName>全半角问题</abilityName>
      <candidateList>
        <item>。</item>
      </candidateList>
      <explain>文本全半角错误。</explain>
      <paraID>7F7D9991</paraID>
      <start>180</start>
      <end>181</end>
      <status>unmodified</status>
      <modifiedWord/>
      <trackRevisions>false</trackRevisions>
    </reviewItem>
    <reviewItem>
      <errorID>6b3f157b-9835-43a2-b111-1d93a830823d</errorID>
      <errorWord>.</errorWord>
      <group>L1_Format</group>
      <groupName>格式问题</groupName>
      <ability>L2_HalfPunc_CN</ability>
      <abilityName>全半角问题</abilityName>
      <candidateList>
        <item>。</item>
      </candidateList>
      <explain>文本全半角错误。</explain>
      <paraID>7F7D9991</paraID>
      <start>185</start>
      <end>186</end>
      <status>unmodified</status>
      <modifiedWord/>
      <trackRevisions>false</trackRevisions>
    </reviewItem>
    <reviewItem>
      <errorID>96beb871-3ead-4c94-bdbe-ba67f6f804b1</errorID>
      <errorWord>设觉</errorWord>
      <group>L1_Word</group>
      <groupName>字词问题</groupName>
      <ability>L2_Typo</ability>
      <abilityName>字词错误</abilityName>
      <candidateList>
        <item>视觉</item>
      </candidateList>
      <explain/>
      <paraID>7F7D9991</paraID>
      <start>186</start>
      <end>188</end>
      <status>unmodified</status>
      <modifiedWord/>
      <trackRevisions>false</trackRevisions>
    </reviewItem>
    <reviewItem>
      <errorID>8ed01660-bf3a-485a-9465-ae463d12bcd7</errorID>
      <errorWord>.</errorWord>
      <group>L1_Format</group>
      <groupName>格式问题</groupName>
      <ability>L2_HalfPunc_CN</ability>
      <abilityName>全半角问题</abilityName>
      <candidateList>
        <item>。</item>
      </candidateList>
      <explain>文本全半角错误。</explain>
      <paraID>7F7D9991</paraID>
      <start>243</start>
      <end>244</end>
      <status>unmodified</status>
      <modifiedWord/>
      <trackRevisions>false</trackRevisions>
    </reviewItem>
    <reviewItem>
      <errorID>29cb76b3-2515-40ea-9c35-e1aa70b53939</errorID>
      <errorWord>.</errorWord>
      <group>L1_Format</group>
      <groupName>格式问题</groupName>
      <ability>L2_HalfPunc_CN</ability>
      <abilityName>全半角问题</abilityName>
      <candidateList>
        <item>。</item>
      </candidateList>
      <explain>文本全半角错误。</explain>
      <paraID>3A924DEC</paraID>
      <start>55</start>
      <end>56</end>
      <status>unmodified</status>
      <modifiedWord/>
      <trackRevisions>false</trackRevisions>
    </reviewItem>
    <reviewItem>
      <errorID>b62e11bc-7bc9-45b1-ae22-a44e40adbd91</errorID>
      <errorWord>.</errorWord>
      <group>L1_Format</group>
      <groupName>格式问题</groupName>
      <ability>L2_HalfPunc_CN</ability>
      <abilityName>全半角问题</abilityName>
      <candidateList>
        <item>。</item>
      </candidateList>
      <explain>文本全半角错误。</explain>
      <paraID>3A924DEC</paraID>
      <start>60</start>
      <end>61</end>
      <status>unmodified</status>
      <modifiedWord/>
      <trackRevisions>false</trackRevisions>
    </reviewItem>
    <reviewItem>
      <errorID>7f25cbdf-782c-45b1-a5b6-5adcdf5950dd</errorID>
      <errorWord>设觉</errorWord>
      <group>L1_Word</group>
      <groupName>字词问题</groupName>
      <ability>L2_Typo</ability>
      <abilityName>字词错误</abilityName>
      <candidateList>
        <item>视觉</item>
      </candidateList>
      <explain/>
      <paraID>3A924DEC</paraID>
      <start>61</start>
      <end>63</end>
      <status>unmodified</status>
      <modifiedWord/>
      <trackRevisions>false</trackRevisions>
    </reviewItem>
    <reviewItem>
      <errorID>8770f4a2-bfcc-4e4f-b5dd-18258cb49214</errorID>
      <errorWord>在通</errorWord>
      <group>L1_Word</group>
      <groupName>字词问题</groupName>
      <ability>L2_Typo</ability>
      <abilityName>字词错误</abilityName>
      <candidateList>
        <item>再通</item>
      </candidateList>
      <explain/>
      <paraID>3A924DEC</paraID>
      <start>109</start>
      <end>111</end>
      <status>unmodified</status>
      <modifiedWord/>
      <trackRevisions>false</trackRevisions>
    </reviewItem>
    <reviewItem>
      <errorID>0f01a55b-e346-4394-8072-58fb158d8ed4</errorID>
      <errorWord>.</errorWord>
      <group>L1_Format</group>
      <groupName>格式问题</groupName>
      <ability>L2_HalfPunc_CN</ability>
      <abilityName>全半角问题</abilityName>
      <candidateList>
        <item>。</item>
      </candidateList>
      <explain>文本全半角错误。</explain>
      <paraID>3A924DEC</paraID>
      <start>226</start>
      <end>227</end>
      <status>unmodified</status>
      <modifiedWord/>
      <trackRevisions>false</trackRevisions>
    </reviewItem>
    <reviewItem>
      <errorID>6ddd8eff-4f90-4339-b154-bcf1fa2bfe5b</errorID>
      <errorWord>.</errorWord>
      <group>L1_Format</group>
      <groupName>格式问题</groupName>
      <ability>L2_HalfPunc_CN</ability>
      <abilityName>全半角问题</abilityName>
      <candidateList>
        <item>。</item>
      </candidateList>
      <explain>文本全半角错误。</explain>
      <paraID>3A924DEC</paraID>
      <start>235</start>
      <end>236</end>
      <status>unmodified</status>
      <modifiedWord/>
      <trackRevisions>false</trackRevisions>
    </reviewItem>
    <reviewItem>
      <errorID>21ddd423-d565-439c-945e-ccca27cc4c3f</errorID>
      <errorWord>场景的</errorWord>
      <group>L1_Word</group>
      <groupName>字词问题</groupName>
      <ability>L2_Typo</ability>
      <abilityName>字词错误</abilityName>
      <candidateList>
        <item>场景</item>
      </candidateList>
      <explain/>
      <paraID>3A924DEC</paraID>
      <start>286</start>
      <end>289</end>
      <status>unmodified</status>
      <modifiedWord/>
      <trackRevisions>false</trackRevisions>
    </reviewItem>
    <reviewItem>
      <errorID>15a20b9b-17ac-40d4-8893-0075454ce6f1</errorID>
      <errorWord>.</errorWord>
      <group>L1_Format</group>
      <groupName>格式问题</groupName>
      <ability>L2_HalfPunc_CN</ability>
      <abilityName>全半角问题</abilityName>
      <candidateList>
        <item>。</item>
      </candidateList>
      <explain>文本全半角错误。</explain>
      <paraID>16614817</paraID>
      <start>114</start>
      <end>115</end>
      <status>unmodified</status>
      <modifiedWord/>
      <trackRevisions>false</trackRevisions>
    </reviewItem>
    <reviewItem>
      <errorID>fe7b3bca-19b9-48a5-a112-ec22137da05b</errorID>
      <errorWord>.</errorWord>
      <group>L1_Format</group>
      <groupName>格式问题</groupName>
      <ability>L2_HalfPunc_CN</ability>
      <abilityName>全半角问题</abilityName>
      <candidateList>
        <item>。</item>
      </candidateList>
      <explain>文本全半角错误。</explain>
      <paraID>16614817</paraID>
      <start>193</start>
      <end>194</end>
      <status>unmodified</status>
      <modifiedWord/>
      <trackRevisions>false</trackRevisions>
    </reviewItem>
    <reviewItem>
      <errorID>6e5a66d5-53e7-4466-bb44-55386d17e362</errorID>
      <errorWord>.</errorWord>
      <group>L1_Format</group>
      <groupName>格式问题</groupName>
      <ability>L2_HalfPunc_CN</ability>
      <abilityName>全半角问题</abilityName>
      <candidateList>
        <item>。</item>
      </candidateList>
      <explain>文本全半角错误。</explain>
      <paraID>16614817</paraID>
      <start>198</start>
      <end>199</end>
      <status>unmodified</status>
      <modifiedWord/>
      <trackRevisions>false</trackRevisions>
    </reviewItem>
    <reviewItem>
      <errorID>37d990bf-58b0-40be-adde-e23d4ec324fc</errorID>
      <errorWord>设觉</errorWord>
      <group>L1_Word</group>
      <groupName>字词问题</groupName>
      <ability>L2_Typo</ability>
      <abilityName>字词错误</abilityName>
      <candidateList>
        <item>视觉</item>
      </candidateList>
      <explain/>
      <paraID>16614817</paraID>
      <start>199</start>
      <end>201</end>
      <status>unmodified</status>
      <modifiedWord/>
      <trackRevisions>false</trackRevisions>
    </reviewItem>
    <reviewItem>
      <errorID>58ca51fb-600d-42d6-85d8-e22992ecbcc8</errorID>
      <errorWord>.</errorWord>
      <group>L1_Format</group>
      <groupName>格式问题</groupName>
      <ability>L2_HalfPunc_CN</ability>
      <abilityName>全半角问题</abilityName>
      <candidateList>
        <item>。</item>
      </candidateList>
      <explain>文本全半角错误。</explain>
      <paraID>16614817</paraID>
      <start>256</start>
      <end>257</end>
      <status>unmodified</status>
      <modifiedWord/>
      <trackRevisions>false</trackRevisions>
    </reviewItem>
    <reviewItem>
      <errorID>c636310c-d4f7-4dbc-b7a4-020a446a4715</errorID>
      <errorWord>.</errorWord>
      <group>L1_Format</group>
      <groupName>格式问题</groupName>
      <ability>L2_HalfPunc_CN</ability>
      <abilityName>全半角问题</abilityName>
      <candidateList>
        <item>。</item>
      </candidateList>
      <explain>文本全半角错误。</explain>
      <paraID>1D6C3517</paraID>
      <start>111</start>
      <end>112</end>
      <status>unmodified</status>
      <modifiedWord/>
      <trackRevisions>false</trackRevisions>
    </reviewItem>
    <reviewItem>
      <errorID>110bb7d2-89e7-447f-809a-ee281ed75c07</errorID>
      <errorWord>.</errorWord>
      <group>L1_Format</group>
      <groupName>格式问题</groupName>
      <ability>L2_HalfPunc_CN</ability>
      <abilityName>全半角问题</abilityName>
      <candidateList>
        <item>。</item>
      </candidateList>
      <explain>文本全半角错误。</explain>
      <paraID>1D6C3517</paraID>
      <start>190</start>
      <end>191</end>
      <status>unmodified</status>
      <modifiedWord/>
      <trackRevisions>false</trackRevisions>
    </reviewItem>
    <reviewItem>
      <errorID>7bbd3947-4e45-4fe6-8d19-0ba6fbcbf28a</errorID>
      <errorWord>.</errorWord>
      <group>L1_Format</group>
      <groupName>格式问题</groupName>
      <ability>L2_HalfPunc_CN</ability>
      <abilityName>全半角问题</abilityName>
      <candidateList>
        <item>。</item>
      </candidateList>
      <explain>文本全半角错误。</explain>
      <paraID>1D6C3517</paraID>
      <start>195</start>
      <end>196</end>
      <status>unmodified</status>
      <modifiedWord/>
      <trackRevisions>false</trackRevisions>
    </reviewItem>
    <reviewItem>
      <errorID>0546a30f-3bd5-46b4-840b-8a2c8742eb50</errorID>
      <errorWord>设觉</errorWord>
      <group>L1_Word</group>
      <groupName>字词问题</groupName>
      <ability>L2_Typo</ability>
      <abilityName>字词错误</abilityName>
      <candidateList>
        <item>视觉</item>
      </candidateList>
      <explain/>
      <paraID>1D6C3517</paraID>
      <start>196</start>
      <end>198</end>
      <status>unmodified</status>
      <modifiedWord/>
      <trackRevisions>false</trackRevisions>
    </reviewItem>
    <reviewItem>
      <errorID>64be13c8-4da0-426f-beb2-2b02bbbd2786</errorID>
      <errorWord>.</errorWord>
      <group>L1_Format</group>
      <groupName>格式问题</groupName>
      <ability>L2_HalfPunc_CN</ability>
      <abilityName>全半角问题</abilityName>
      <candidateList>
        <item>。</item>
      </candidateList>
      <explain>文本全半角错误。</explain>
      <paraID>1D6C3517</paraID>
      <start>253</start>
      <end>254</end>
      <status>unmodified</status>
      <modifiedWord/>
      <trackRevisions>false</trackRevisions>
    </reviewItem>
    <reviewItem>
      <errorID>98949b71-e64f-4f56-894e-0da3bdeae653</errorID>
      <errorWord>中国-东盟</errorWord>
      <group>L1_Political</group>
      <groupName>政治性问题</groupName>
      <ability>L2_Unpolitical</ability>
      <abilityName>政治敏感错误</abilityName>
      <candidateList>
        <item>中国—东盟</item>
      </candidateList>
      <explain/>
      <paraID>639F8528</paraID>
      <start>14</start>
      <end>19</end>
      <status>unmodified</status>
      <modifiedWord/>
      <trackRevisions>false</trackRevisions>
    </reviewItem>
    <reviewItem>
      <errorID>7c165b52-f69b-4c76-b53d-3a4a6eb6d16f</errorID>
      <errorWord>.</errorWord>
      <group>L1_Format</group>
      <groupName>格式问题</groupName>
      <ability>L2_HalfPunc_CN</ability>
      <abilityName>全半角问题</abilityName>
      <candidateList>
        <item>。</item>
      </candidateList>
      <explain>文本全半角错误。</explain>
      <paraID>3D80E001</paraID>
      <start>97</start>
      <end>98</end>
      <status>unmodified</status>
      <modifiedWord/>
      <trackRevisions>false</trackRevisions>
    </reviewItem>
    <reviewItem>
      <errorID>d1dfd6b4-f99e-4557-8db0-1e362e9dffe0</errorID>
      <errorWord>.</errorWord>
      <group>L1_Format</group>
      <groupName>格式问题</groupName>
      <ability>L2_HalfPunc_CN</ability>
      <abilityName>全半角问题</abilityName>
      <candidateList>
        <item>。</item>
      </candidateList>
      <explain>文本全半角错误。</explain>
      <paraID>3D80E001</paraID>
      <start>99</start>
      <end>100</end>
      <status>unmodified</status>
      <modifiedWord/>
      <trackRevisions>false</trackRevisions>
    </reviewItem>
    <reviewItem>
      <errorID>8127873d-3f9a-4229-b7aa-c1a5099e34ce</errorID>
      <errorWord>.</errorWord>
      <group>L1_Format</group>
      <groupName>格式问题</groupName>
      <ability>L2_HalfPunc_CN</ability>
      <abilityName>全半角问题</abilityName>
      <candidateList>
        <item>。</item>
      </candidateList>
      <explain>文本全半角错误。</explain>
      <paraID>3D80E001</paraID>
      <start>101</start>
      <end>102</end>
      <status>unmodified</status>
      <modifiedWord/>
      <trackRevisions>false</trackRevisions>
    </reviewItem>
    <reviewItem>
      <errorID>380fdbd6-5858-4fe9-ae5e-9c8df65eed9e</errorID>
      <errorWord>.</errorWord>
      <group>L1_Format</group>
      <groupName>格式问题</groupName>
      <ability>L2_HalfPunc_CN</ability>
      <abilityName>全半角问题</abilityName>
      <candidateList>
        <item>。</item>
      </candidateList>
      <explain>文本全半角错误。</explain>
      <paraID>3D80E001</paraID>
      <start>264</start>
      <end>265</end>
      <status>unmodified</status>
      <modifiedWord/>
      <trackRevisions>false</trackRevisions>
    </reviewItem>
    <reviewItem>
      <errorID>0cc1b8cc-1abd-4ca1-92f4-a019a7e5e4b9</errorID>
      <errorWord>.</errorWord>
      <group>L1_Format</group>
      <groupName>格式问题</groupName>
      <ability>L2_HalfPunc_CN</ability>
      <abilityName>全半角问题</abilityName>
      <candidateList>
        <item>。</item>
      </candidateList>
      <explain>文本全半角错误。</explain>
      <paraID>3D80E001</paraID>
      <start>267</start>
      <end>268</end>
      <status>unmodified</status>
      <modifiedWord/>
      <trackRevisions>false</trackRevisions>
    </reviewItem>
    <reviewItem>
      <errorID>698a963e-b58e-4e05-ade3-f6064f4460a9</errorID>
      <errorWord>.</errorWord>
      <group>L1_Format</group>
      <groupName>格式问题</groupName>
      <ability>L2_HalfPunc_CN</ability>
      <abilityName>全半角问题</abilityName>
      <candidateList>
        <item>。</item>
      </candidateList>
      <explain>文本全半角错误。</explain>
      <paraID>3D80E001</paraID>
      <start>270</start>
      <end>271</end>
      <status>unmodified</status>
      <modifiedWord/>
      <trackRevisions>false</trackRevisions>
    </reviewItem>
    <reviewItem>
      <errorID>76cda2e3-168c-48a0-aec7-d6b9b7c55faf</errorID>
      <errorWord>.</errorWord>
      <group>L1_Format</group>
      <groupName>格式问题</groupName>
      <ability>L2_HalfPunc_CN</ability>
      <abilityName>全半角问题</abilityName>
      <candidateList>
        <item>。</item>
      </candidateList>
      <explain>文本全半角错误。</explain>
      <paraID>3D80E001</paraID>
      <start>274</start>
      <end>275</end>
      <status>unmodified</status>
      <modifiedWord/>
      <trackRevisions>false</trackRevisions>
    </reviewItem>
    <reviewItem>
      <errorID>341b27ef-305c-4737-b282-360444a8cf26</errorID>
      <errorWord>.</errorWord>
      <group>L1_Format</group>
      <groupName>格式问题</groupName>
      <ability>L2_HalfPunc_CN</ability>
      <abilityName>全半角问题</abilityName>
      <candidateList>
        <item>。</item>
      </candidateList>
      <explain>文本全半角错误。</explain>
      <paraID>3D80E001</paraID>
      <start>305</start>
      <end>306</end>
      <status>unmodified</status>
      <modifiedWord/>
      <trackRevisions>false</trackRevisions>
    </reviewItem>
    <reviewItem>
      <errorID>2eb631ae-d49b-426d-8ce3-db0e2c1a0e76</errorID>
      <errorWord>.</errorWord>
      <group>L1_Format</group>
      <groupName>格式问题</groupName>
      <ability>L2_HalfPunc_CN</ability>
      <abilityName>全半角问题</abilityName>
      <candidateList>
        <item>。</item>
      </candidateList>
      <explain>文本全半角错误。</explain>
      <paraID>3D80E001</paraID>
      <start>406</start>
      <end>407</end>
      <status>unmodified</status>
      <modifiedWord/>
      <trackRevisions>false</trackRevisions>
    </reviewItem>
    <reviewItem>
      <errorID>9084192c-3e6b-4634-9317-55cb98277532</errorID>
      <errorWord>.</errorWord>
      <group>L1_Format</group>
      <groupName>格式问题</groupName>
      <ability>L2_HalfPunc_CN</ability>
      <abilityName>全半角问题</abilityName>
      <candidateList>
        <item>。</item>
      </candidateList>
      <explain>文本全半角错误。</explain>
      <paraID>3D80E001</paraID>
      <start>542</start>
      <end>543</end>
      <status>unmodified</status>
      <modifiedWord/>
      <trackRevisions>false</trackRevisions>
    </reviewItem>
    <reviewItem>
      <errorID>eee95d85-deac-4d4d-bfca-e311c3828df5</errorID>
      <errorWord>.</errorWord>
      <group>L1_Format</group>
      <groupName>格式问题</groupName>
      <ability>L2_HalfPunc_CN</ability>
      <abilityName>全半角问题</abilityName>
      <candidateList>
        <item>。</item>
      </candidateList>
      <explain>文本全半角错误。</explain>
      <paraID>3D80E001</paraID>
      <start>545</start>
      <end>546</end>
      <status>unmodified</status>
      <modifiedWord/>
      <trackRevisions>false</trackRevisions>
    </reviewItem>
    <reviewItem>
      <errorID>52356587-89fc-4eba-b6e0-a8fc3e77138f</errorID>
      <errorWord>.</errorWord>
      <group>L1_Format</group>
      <groupName>格式问题</groupName>
      <ability>L2_HalfPunc_CN</ability>
      <abilityName>全半角问题</abilityName>
      <candidateList>
        <item>。</item>
      </candidateList>
      <explain>文本全半角错误。</explain>
      <paraID>3D80E001</paraID>
      <start>572</start>
      <end>573</end>
      <status>unmodified</status>
      <modifiedWord/>
      <trackRevisions>false</trackRevisions>
    </reviewItem>
    <reviewItem>
      <errorID>6c300699-fc69-470f-b76c-6e4025b879b8</errorID>
      <errorWord>.</errorWord>
      <group>L1_Format</group>
      <groupName>格式问题</groupName>
      <ability>L2_HalfPunc_CN</ability>
      <abilityName>全半角问题</abilityName>
      <candidateList>
        <item>。</item>
      </candidateList>
      <explain>文本全半角错误。</explain>
      <paraID>1C1A7EEA</paraID>
      <start>46</start>
      <end>47</end>
      <status>unmodified</status>
      <modifiedWord/>
      <trackRevisions>false</trackRevisions>
    </reviewItem>
    <reviewItem>
      <errorID>84e30955-8d75-4677-b70e-2225170c56f0</errorID>
      <errorWord>.</errorWord>
      <group>L1_Format</group>
      <groupName>格式问题</groupName>
      <ability>L2_HalfPunc_CN</ability>
      <abilityName>全半角问题</abilityName>
      <candidateList>
        <item>。</item>
      </candidateList>
      <explain>文本全半角错误。</explain>
      <paraID>1C1A7EEA</paraID>
      <start>52</start>
      <end>53</end>
      <status>unmodified</status>
      <modifiedWord/>
      <trackRevisions>false</trackRevisions>
    </reviewItem>
    <reviewItem>
      <errorID>78603d83-16f1-4777-8626-6d13665bcf7a</errorID>
      <errorWord>噪音</errorWord>
      <group>L1_Word</group>
      <groupName>字词问题</groupName>
      <ability>L2_Alias</ability>
      <abilityName>也作/曾用词</abilityName>
      <candidateList>
        <item>噪声</item>
      </candidateList>
      <explain>词汇[噪音]为不规范表述或旧称，其规范书面表述为[噪声]。</explain>
      <paraID> D306ABF</paraID>
      <start>450</start>
      <end>452</end>
      <status>unmodified</status>
      <modifiedWord/>
      <trackRevisions>false</trackRevisions>
    </reviewItem>
    <reviewItem>
      <errorID>ac398f4c-2ea0-42ee-ae6f-0790132df18c</errorID>
      <errorWord>WiFi</errorWord>
      <group>L1_Punc</group>
      <groupName>标点问题</groupName>
      <ability>L2_Punc_CN</ability>
      <abilityName>标点符号问题</abilityName>
      <candidateList>
        <item>Wi-Fi</item>
      </candidateList>
      <explain/>
      <paraID> D306ABF</paraID>
      <start>465</start>
      <end>469</end>
      <status>unmodified</status>
      <modifiedWord/>
      <trackRevisions>false</trackRevisions>
    </reviewItem>
    <reviewItem>
      <errorID>ec5df876-e72a-41a1-a620-3f8fa04257b7</errorID>
      <errorWord>)</errorWord>
      <group>L1_Format</group>
      <groupName>格式问题</groupName>
      <ability>L2_HalfPunc_CN</ability>
      <abilityName>全半角问题</abilityName>
      <candidateList>
        <item>）</item>
      </candidateList>
      <explain>文本全半角错误。</explain>
      <paraID> D306ABF</paraID>
      <start>481</start>
      <end>482</end>
      <status>unmodified</status>
      <modifiedWord/>
      <trackRevisions>false</trackRevisions>
    </reviewItem>
    <reviewItem>
      <errorID>08cdfe84-08fc-4319-b9c8-306eb7507a29</errorID>
      <errorWord>.</errorWord>
      <group>L1_Format</group>
      <groupName>格式问题</groupName>
      <ability>L2_HalfPunc_CN</ability>
      <abilityName>全半角问题</abilityName>
      <candidateList>
        <item>。</item>
      </candidateList>
      <explain>文本全半角错误。</explain>
      <paraID> D306ABF</paraID>
      <start>540</start>
      <end>541</end>
      <status>unmodified</status>
      <modifiedWord/>
      <trackRevisions>false</trackRevisions>
    </reviewItem>
    <reviewItem>
      <errorID>543175bb-e9af-4ae2-a140-6b9d1c71b483</errorID>
      <errorWord>噪音</errorWord>
      <group>L1_Word</group>
      <groupName>字词问题</groupName>
      <ability>L2_Alias</ability>
      <abilityName>也作/曾用词</abilityName>
      <candidateList>
        <item>噪声</item>
      </candidateList>
      <explain>词汇[噪音]为不规范表述或旧称，其规范书面表述为[噪声]。</explain>
      <paraID> 5D7157C</paraID>
      <start>495</start>
      <end>497</end>
      <status>unmodified</status>
      <modifiedWord/>
      <trackRevisions>false</trackRevisions>
    </reviewItem>
    <reviewItem>
      <errorID>c89baf43-09de-4ea4-8ff4-fdbd43d698ff</errorID>
      <errorWord>WiFi</errorWord>
      <group>L1_Punc</group>
      <groupName>标点问题</groupName>
      <ability>L2_Punc_CN</ability>
      <abilityName>标点符号问题</abilityName>
      <candidateList>
        <item>Wi-Fi</item>
      </candidateList>
      <explain/>
      <paraID> 5D7157C</paraID>
      <start>510</start>
      <end>514</end>
      <status>unmodified</status>
      <modifiedWord/>
      <trackRevisions>false</trackRevisions>
    </reviewItem>
    <reviewItem>
      <errorID>90712899-0ecc-4afe-8485-2a377a941c25</errorID>
      <errorWord>)</errorWord>
      <group>L1_Format</group>
      <groupName>格式问题</groupName>
      <ability>L2_HalfPunc_CN</ability>
      <abilityName>全半角问题</abilityName>
      <candidateList>
        <item>）</item>
      </candidateList>
      <explain>文本全半角错误。</explain>
      <paraID> 5D7157C</paraID>
      <start>526</start>
      <end>527</end>
      <status>unmodified</status>
      <modifiedWord/>
      <trackRevisions>false</trackRevisions>
    </reviewItem>
    <reviewItem>
      <errorID>e3934241-c949-4670-862d-d4a1565e4f6d</errorID>
      <errorWord>.</errorWord>
      <group>L1_Format</group>
      <groupName>格式问题</groupName>
      <ability>L2_HalfPunc_CN</ability>
      <abilityName>全半角问题</abilityName>
      <candidateList>
        <item>。</item>
      </candidateList>
      <explain>文本全半角错误。</explain>
      <paraID> 5D7157C</paraID>
      <start>585</start>
      <end>586</end>
      <status>unmodified</status>
      <modifiedWord/>
      <trackRevisions>false</trackRevisions>
    </reviewItem>
    <reviewItem>
      <errorID>3524c6b1-8ed3-4898-8a52-170c20c58cf7</errorID>
      <errorWord>噪音</errorWord>
      <group>L1_Word</group>
      <groupName>字词问题</groupName>
      <ability>L2_Alias</ability>
      <abilityName>也作/曾用词</abilityName>
      <candidateList>
        <item>噪声</item>
      </candidateList>
      <explain>词汇[噪音]为不规范表述或旧称，其规范书面表述为[噪声]。</explain>
      <paraID>776C961E</paraID>
      <start>491</start>
      <end>493</end>
      <status>unmodified</status>
      <modifiedWord/>
      <trackRevisions>false</trackRevisions>
    </reviewItem>
    <reviewItem>
      <errorID>1ce5c1ba-001a-4e30-a2ab-3d0ba8b3af37</errorID>
      <errorWord>WiFi</errorWord>
      <group>L1_Punc</group>
      <groupName>标点问题</groupName>
      <ability>L2_Punc_CN</ability>
      <abilityName>标点符号问题</abilityName>
      <candidateList>
        <item>Wi-Fi</item>
      </candidateList>
      <explain/>
      <paraID>776C961E</paraID>
      <start>506</start>
      <end>510</end>
      <status>unmodified</status>
      <modifiedWord/>
      <trackRevisions>false</trackRevisions>
    </reviewItem>
    <reviewItem>
      <errorID>5b1e8f33-1b58-4ac7-8f22-c28df545bd99</errorID>
      <errorWord>)</errorWord>
      <group>L1_Format</group>
      <groupName>格式问题</groupName>
      <ability>L2_HalfPunc_CN</ability>
      <abilityName>全半角问题</abilityName>
      <candidateList>
        <item>）</item>
      </candidateList>
      <explain>文本全半角错误。</explain>
      <paraID>776C961E</paraID>
      <start>522</start>
      <end>523</end>
      <status>unmodified</status>
      <modifiedWord/>
      <trackRevisions>false</trackRevisions>
    </reviewItem>
    <reviewItem>
      <errorID>42f74def-c2e8-4046-9820-f8deb82944ab</errorID>
      <errorWord>.</errorWord>
      <group>L1_Format</group>
      <groupName>格式问题</groupName>
      <ability>L2_HalfPunc_CN</ability>
      <abilityName>全半角问题</abilityName>
      <candidateList>
        <item>。</item>
      </candidateList>
      <explain>文本全半角错误。</explain>
      <paraID>776C961E</paraID>
      <start>581</start>
      <end>582</end>
      <status>unmodified</status>
      <modifiedWord/>
      <trackRevisions>false</trackRevisions>
    </reviewItem>
    <reviewItem>
      <errorID>57d77c52-ad1e-432f-959b-b5532c079316</errorID>
      <errorWord>噪音</errorWord>
      <group>L1_Word</group>
      <groupName>字词问题</groupName>
      <ability>L2_Alias</ability>
      <abilityName>也作/曾用词</abilityName>
      <candidateList>
        <item>噪声</item>
      </candidateList>
      <explain>词汇[噪音]为不规范表述或旧称，其规范书面表述为[噪声]。</explain>
      <paraID>1F41ECB9</paraID>
      <start>465</start>
      <end>467</end>
      <status>unmodified</status>
      <modifiedWord/>
      <trackRevisions>false</trackRevisions>
    </reviewItem>
    <reviewItem>
      <errorID>eb6e11ac-fa22-4258-87a8-91771f5e3875</errorID>
      <errorWord>WiFi</errorWord>
      <group>L1_Punc</group>
      <groupName>标点问题</groupName>
      <ability>L2_Punc_CN</ability>
      <abilityName>标点符号问题</abilityName>
      <candidateList>
        <item>Wi-Fi</item>
      </candidateList>
      <explain/>
      <paraID>1F41ECB9</paraID>
      <start>480</start>
      <end>484</end>
      <status>unmodified</status>
      <modifiedWord/>
      <trackRevisions>false</trackRevisions>
    </reviewItem>
    <reviewItem>
      <errorID>61c67172-a190-41e5-a7ea-199bd9d6c93b</errorID>
      <errorWord>)</errorWord>
      <group>L1_Format</group>
      <groupName>格式问题</groupName>
      <ability>L2_HalfPunc_CN</ability>
      <abilityName>全半角问题</abilityName>
      <candidateList>
        <item>）</item>
      </candidateList>
      <explain>文本全半角错误。</explain>
      <paraID>1F41ECB9</paraID>
      <start>496</start>
      <end>497</end>
      <status>unmodified</status>
      <modifiedWord/>
      <trackRevisions>false</trackRevisions>
    </reviewItem>
    <reviewItem>
      <errorID>1f029df3-1774-4e06-a586-0b467e620f54</errorID>
      <errorWord>.</errorWord>
      <group>L1_Format</group>
      <groupName>格式问题</groupName>
      <ability>L2_HalfPunc_CN</ability>
      <abilityName>全半角问题</abilityName>
      <candidateList>
        <item>。</item>
      </candidateList>
      <explain>文本全半角错误。</explain>
      <paraID>1F41ECB9</paraID>
      <start>555</start>
      <end>556</end>
      <status>unmodified</status>
      <modifiedWord/>
      <trackRevisions>false</trackRevisions>
    </reviewItem>
    <reviewItem>
      <errorID>2a15ed71-fa27-4399-b348-3869d35aa2ef</errorID>
      <errorWord>.</errorWord>
      <group>L1_Format</group>
      <groupName>格式问题</groupName>
      <ability>L2_HalfPunc_CN</ability>
      <abilityName>全半角问题</abilityName>
      <candidateList>
        <item>。</item>
      </candidateList>
      <explain>文本全半角错误。</explain>
      <paraID>7F25B2F0</paraID>
      <start>9</start>
      <end>10</end>
      <status>unmodified</status>
      <modifiedWord/>
      <trackRevisions>false</trackRevisions>
    </reviewItem>
    <reviewItem>
      <errorID>ecd76893-1524-4db9-9671-344c08d2084b</errorID>
      <errorWord>.</errorWord>
      <group>L1_Format</group>
      <groupName>格式问题</groupName>
      <ability>L2_HalfPunc_CN</ability>
      <abilityName>全半角问题</abilityName>
      <candidateList>
        <item>。</item>
      </candidateList>
      <explain>文本全半角错误。</explain>
      <paraID>7F25B2F0</paraID>
      <start>14</start>
      <end>15</end>
      <status>unmodified</status>
      <modifiedWord/>
      <trackRevisions>false</trackRevisions>
    </reviewItem>
    <reviewItem>
      <errorID>40bf1b64-3417-4e61-bcfa-adb32e79c87b</errorID>
      <errorWord>.</errorWord>
      <group>L1_Format</group>
      <groupName>格式问题</groupName>
      <ability>L2_HalfPunc_CN</ability>
      <abilityName>全半角问题</abilityName>
      <candidateList>
        <item>。</item>
      </candidateList>
      <explain>文本全半角错误。</explain>
      <paraID>7F25B2F0</paraID>
      <start>19</start>
      <end>20</end>
      <status>unmodified</status>
      <modifiedWord/>
      <trackRevisions>false</trackRevisions>
    </reviewItem>
    <reviewItem>
      <errorID>07b1e0f8-3a40-48f8-bb9b-479d6290ebb4</errorID>
      <errorWord>.</errorWord>
      <group>L1_Format</group>
      <groupName>格式问题</groupName>
      <ability>L2_HalfPunc_CN</ability>
      <abilityName>全半角问题</abilityName>
      <candidateList>
        <item>。</item>
      </candidateList>
      <explain>文本全半角错误。</explain>
      <paraID>6C43F5BF</paraID>
      <start>42</start>
      <end>43</end>
      <status>unmodified</status>
      <modifiedWord/>
      <trackRevisions>false</trackRevisions>
    </reviewItem>
    <reviewItem>
      <errorID>37ecd87c-8f70-4a09-befb-c029f32850be</errorID>
      <errorWord>.</errorWord>
      <group>L1_Format</group>
      <groupName>格式问题</groupName>
      <ability>L2_HalfPunc_CN</ability>
      <abilityName>全半角问题</abilityName>
      <candidateList>
        <item>。</item>
      </candidateList>
      <explain>文本全半角错误。</explain>
      <paraID>6C43F5BF</paraID>
      <start>46</start>
      <end>47</end>
      <status>unmodified</status>
      <modifiedWord/>
      <trackRevisions>false</trackRevisions>
    </reviewItem>
    <reviewItem>
      <errorID>eaab0597-5f2e-4e8d-9d47-27cd35188689</errorID>
      <errorWord>.</errorWord>
      <group>L1_Format</group>
      <groupName>格式问题</groupName>
      <ability>L2_HalfPunc_CN</ability>
      <abilityName>全半角问题</abilityName>
      <candidateList>
        <item>。</item>
      </candidateList>
      <explain>文本全半角错误。</explain>
      <paraID>6C43F5BF</paraID>
      <start>52</start>
      <end>53</end>
      <status>unmodified</status>
      <modifiedWord/>
      <trackRevisions>false</trackRevisions>
    </reviewItem>
    <reviewItem>
      <errorID>a23015f2-0cd8-4bdb-8691-745b71554f83</errorID>
      <errorWord>.</errorWord>
      <group>L1_Format</group>
      <groupName>格式问题</groupName>
      <ability>L2_HalfPunc_CN</ability>
      <abilityName>全半角问题</abilityName>
      <candidateList>
        <item>。</item>
      </candidateList>
      <explain>文本全半角错误。</explain>
      <paraID>6C43F5BF</paraID>
      <start>56</start>
      <end>57</end>
      <status>unmodified</status>
      <modifiedWord/>
      <trackRevisions>false</trackRevisions>
    </reviewItem>
    <reviewItem>
      <errorID>e770d616-0149-4622-93f8-a7e13e102889</errorID>
      <errorWord>)</errorWord>
      <group>L1_Format</group>
      <groupName>格式问题</groupName>
      <ability>L2_HalfPunc_CN</ability>
      <abilityName>全半角问题</abilityName>
      <candidateList>
        <item>）</item>
      </candidateList>
      <explain>文本全半角错误。</explain>
      <paraID>6C43F5BF</paraID>
      <start>117</start>
      <end>118</end>
      <status>unmodified</status>
      <modifiedWord/>
      <trackRevisions>false</trackRevisions>
    </reviewItem>
    <reviewItem>
      <errorID>4faf55b1-bfef-46b2-97c0-95ca3b818dfc</errorID>
      <errorWord>.</errorWord>
      <group>L1_Format</group>
      <groupName>格式问题</groupName>
      <ability>L2_HalfPunc_CN</ability>
      <abilityName>全半角问题</abilityName>
      <candidateList>
        <item>。</item>
      </candidateList>
      <explain>文本全半角错误。</explain>
      <paraID>6C43F5BF</paraID>
      <start>457</start>
      <end>458</end>
      <status>unmodified</status>
      <modifiedWord/>
      <trackRevisions>false</trackRevisions>
    </reviewItem>
    <reviewItem>
      <errorID>5fb9c7b1-cae3-4030-8129-a973bc4eff8e</errorID>
      <errorWord>.</errorWord>
      <group>L1_Format</group>
      <groupName>格式问题</groupName>
      <ability>L2_HalfPunc_CN</ability>
      <abilityName>全半角问题</abilityName>
      <candidateList>
        <item>。</item>
      </candidateList>
      <explain>文本全半角错误。</explain>
      <paraID>6C43F5BF</paraID>
      <start>460</start>
      <end>461</end>
      <status>unmodified</status>
      <modifiedWord/>
      <trackRevisions>false</trackRevisions>
    </reviewItem>
    <reviewItem>
      <errorID>0c77c6d4-f131-440c-9bd5-487b79f34ace</errorID>
      <errorWord>.</errorWord>
      <group>L1_Format</group>
      <groupName>格式问题</groupName>
      <ability>L2_HalfPunc_CN</ability>
      <abilityName>全半角问题</abilityName>
      <candidateList>
        <item>。</item>
      </candidateList>
      <explain>文本全半角错误。</explain>
      <paraID>6C43F5BF</paraID>
      <start>463</start>
      <end>464</end>
      <status>unmodified</status>
      <modifiedWord/>
      <trackRevisions>false</trackRevisions>
    </reviewItem>
    <reviewItem>
      <errorID>044e1274-8412-4de8-801c-146a7202f36f</errorID>
      <errorWord>.</errorWord>
      <group>L1_Format</group>
      <groupName>格式问题</groupName>
      <ability>L2_HalfPunc_CN</ability>
      <abilityName>全半角问题</abilityName>
      <candidateList>
        <item>。</item>
      </candidateList>
      <explain>文本全半角错误。</explain>
      <paraID>6C43F5BF</paraID>
      <start>466</start>
      <end>467</end>
      <status>unmodified</status>
      <modifiedWord/>
      <trackRevisions>false</trackRevisions>
    </reviewItem>
    <reviewItem>
      <errorID>d3a738e4-3379-4b1d-8a14-bc722d6f5778</errorID>
      <errorWord>.</errorWord>
      <group>L1_Format</group>
      <groupName>格式问题</groupName>
      <ability>L2_HalfPunc_CN</ability>
      <abilityName>全半角问题</abilityName>
      <candidateList>
        <item>。</item>
      </candidateList>
      <explain>文本全半角错误。</explain>
      <paraID>6C43F5BF</paraID>
      <start>500</start>
      <end>501</end>
      <status>unmodified</status>
      <modifiedWord/>
      <trackRevisions>false</trackRevisions>
    </reviewItem>
    <reviewItem>
      <errorID>e5971372-345a-4977-9d8c-1b62169b09c6</errorID>
      <errorWord>.</errorWord>
      <group>L1_Format</group>
      <groupName>格式问题</groupName>
      <ability>L2_HalfPunc_CN</ability>
      <abilityName>全半角问题</abilityName>
      <candidateList>
        <item>。</item>
      </candidateList>
      <explain>文本全半角错误。</explain>
      <paraID>6C43F5BF</paraID>
      <start>503</start>
      <end>504</end>
      <status>unmodified</status>
      <modifiedWord/>
      <trackRevisions>false</trackRevisions>
    </reviewItem>
    <reviewItem>
      <errorID>558d29df-c175-4eee-aeb5-5fefdc3f0718</errorID>
      <errorWord>支持支持</errorWord>
      <group>L1_Word</group>
      <groupName>字词问题</groupName>
      <ability>L2_Typo</ability>
      <abilityName>字词错误</abilityName>
      <candidateList>
        <item>支持</item>
      </candidateList>
      <explain/>
      <paraID>6C43F5BF</paraID>
      <start>545</start>
      <end>549</end>
      <status>unmodified</status>
      <modifiedWord/>
      <trackRevisions>false</trackRevisions>
    </reviewItem>
    <reviewItem>
      <errorID>5ca2571d-5a49-41c4-bfd5-f28146e046c6</errorID>
      <errorWord>十四五规划</errorWord>
      <group>L1_Political</group>
      <groupName>政治性问题</groupName>
      <ability>L2_Keyword</ability>
      <abilityName>固定表述</abilityName>
      <candidateList>
        <item>“十四五”规划</item>
      </candidateList>
      <explain>注意检查当前固定表述标点是否使用规范。</explain>
      <paraID>3691B05C</paraID>
      <start>25</start>
      <end>30</end>
      <status>unmodified</status>
      <modifiedWord/>
      <trackRevisions>false</trackRevisions>
    </reviewItem>
    <reviewItem>
      <errorID>1930958a-4050-4f06-bb47-b496709e8978</errorID>
      <errorWord>支持的</errorWord>
      <group>L1_Word</group>
      <groupName>字词问题</groupName>
      <ability>L2_Typo</ability>
      <abilityName>字词错误</abilityName>
      <candidateList>
        <item>支持</item>
      </candidateList>
      <explain/>
      <paraID>3691B05C</paraID>
      <start>1265</start>
      <end>1268</end>
      <status>unmodified</status>
      <modifiedWord/>
      <trackRevisions>false</trackRevisions>
    </reviewItem>
    <reviewItem>
      <errorID>133df92b-a144-4706-8996-5c768d359efa</errorID>
      <errorWord>象素</errorWord>
      <group>L1_Word</group>
      <groupName>字词问题</groupName>
      <ability>L2_Typo</ability>
      <abilityName>字词错误</abilityName>
      <candidateList>
        <item>像素</item>
      </candidateList>
      <explain>〈名〉构成数字图像的基本单元，在光电转换系统中，是电子束或光束每一瞬间在图像上扫描的部分。图像中像素的数目越多，画面越清晰。</explain>
      <paraID>3691B05C</paraID>
      <start>1271</start>
      <end>1273</end>
      <status>unmodified</status>
      <modifiedWord/>
      <trackRevisions>false</trackRevisions>
    </reviewItem>
    <reviewItem>
      <errorID>4b8b9de0-31fd-4479-959f-f9d90eaaec1e</errorID>
      <errorWord>:</errorWord>
      <group>L1_Format</group>
      <groupName>格式问题</groupName>
      <ability>L2_HalfPunc_CN</ability>
      <abilityName>全半角问题</abilityName>
      <candidateList>
        <item>：</item>
      </candidateList>
      <explain>文本全半角错误。</explain>
      <paraID>41B7A962</paraID>
      <start>94</start>
      <end>95</end>
      <status>unmodified</status>
      <modifiedWord/>
      <trackRevisions>false</trackRevisions>
    </reviewItem>
    <reviewItem>
      <errorID>bba47849-9ec1-4168-a151-5299bebd4b57</errorID>
      <errorWord>.</errorWord>
      <group>L1_Format</group>
      <groupName>格式问题</groupName>
      <ability>L2_HalfPunc_CN</ability>
      <abilityName>全半角问题</abilityName>
      <candidateList>
        <item>。</item>
      </candidateList>
      <explain>文本全半角错误。</explain>
      <paraID>41B7A962</paraID>
      <start>106</start>
      <end>107</end>
      <status>unmodified</status>
      <modifiedWord/>
      <trackRevisions>false</trackRevisions>
    </reviewItem>
    <reviewItem>
      <errorID>eea8c063-b3ee-4c4b-b371-23d7be26f924</errorID>
      <errorWord>.</errorWord>
      <group>L1_Format</group>
      <groupName>格式问题</groupName>
      <ability>L2_HalfPunc_CN</ability>
      <abilityName>全半角问题</abilityName>
      <candidateList>
        <item>。</item>
      </candidateList>
      <explain>文本全半角错误。</explain>
      <paraID>41B7A962</paraID>
      <start>121</start>
      <end>122</end>
      <status>unmodified</status>
      <modifiedWord/>
      <trackRevisions>false</trackRevisions>
    </reviewItem>
    <reviewItem>
      <errorID>d28d03ec-a34b-4732-a754-f4df5a31f912</errorID>
      <errorWord>.</errorWord>
      <group>L1_Format</group>
      <groupName>格式问题</groupName>
      <ability>L2_HalfPunc_CN</ability>
      <abilityName>全半角问题</abilityName>
      <candidateList>
        <item>。</item>
      </candidateList>
      <explain>文本全半角错误。</explain>
      <paraID>41B7A962</paraID>
      <start>611</start>
      <end>612</end>
      <status>unmodified</status>
      <modifiedWord/>
      <trackRevisions>false</trackRevisions>
    </reviewItem>
    <reviewItem>
      <errorID>125d6063-35a2-4356-8931-5766ccfa3fe9</errorID>
      <errorWord>.</errorWord>
      <group>L1_Format</group>
      <groupName>格式问题</groupName>
      <ability>L2_HalfPunc_CN</ability>
      <abilityName>全半角问题</abilityName>
      <candidateList>
        <item>。</item>
      </candidateList>
      <explain>文本全半角错误。</explain>
      <paraID>41B7A962</paraID>
      <start>614</start>
      <end>615</end>
      <status>unmodified</status>
      <modifiedWord/>
      <trackRevisions>false</trackRevisions>
    </reviewItem>
    <reviewItem>
      <errorID>02a4330a-9dc3-4799-a483-b98717ed2167</errorID>
      <errorWord>.</errorWord>
      <group>L1_Format</group>
      <groupName>格式问题</groupName>
      <ability>L2_HalfPunc_CN</ability>
      <abilityName>全半角问题</abilityName>
      <candidateList>
        <item>。</item>
      </candidateList>
      <explain>文本全半角错误。</explain>
      <paraID>41B7A962</paraID>
      <start>738</start>
      <end>739</end>
      <status>unmodified</status>
      <modifiedWord/>
      <trackRevisions>false</trackRevisions>
    </reviewItem>
    <reviewItem>
      <errorID>88b85ccf-6165-42d8-afe0-ccbd224d8b45</errorID>
      <errorWord>.</errorWord>
      <group>L1_Format</group>
      <groupName>格式问题</groupName>
      <ability>L2_HalfPunc_CN</ability>
      <abilityName>全半角问题</abilityName>
      <candidateList>
        <item>。</item>
      </candidateList>
      <explain>文本全半角错误。</explain>
      <paraID>41B7A962</paraID>
      <start>742</start>
      <end>743</end>
      <status>unmodified</status>
      <modifiedWord/>
      <trackRevisions>false</trackRevisions>
    </reviewItem>
    <reviewItem>
      <errorID>d19e8614-32e0-472c-a1b1-46484e9e1e0e</errorID>
      <errorWord>.</errorWord>
      <group>L1_Format</group>
      <groupName>格式问题</groupName>
      <ability>L2_HalfPunc_CN</ability>
      <abilityName>全半角问题</abilityName>
      <candidateList>
        <item>。</item>
      </candidateList>
      <explain>文本全半角错误。</explain>
      <paraID>41B7A962</paraID>
      <start>854</start>
      <end>855</end>
      <status>unmodified</status>
      <modifiedWord/>
      <trackRevisions>false</trackRevisions>
    </reviewItem>
    <reviewItem>
      <errorID>292b8296-c733-452e-8468-1b6c72196f45</errorID>
      <errorWord>.</errorWord>
      <group>L1_Format</group>
      <groupName>格式问题</groupName>
      <ability>L2_HalfPunc_CN</ability>
      <abilityName>全半角问题</abilityName>
      <candidateList>
        <item>。</item>
      </candidateList>
      <explain>文本全半角错误。</explain>
      <paraID>41B7A962</paraID>
      <start>1077</start>
      <end>1078</end>
      <status>unmodified</status>
      <modifiedWord/>
      <trackRevisions>false</trackRevisions>
    </reviewItem>
    <reviewItem>
      <errorID>83368750-6c44-455e-9b12-6db869c9347c</errorID>
      <errorWord>.</errorWord>
      <group>L1_Format</group>
      <groupName>格式问题</groupName>
      <ability>L2_HalfPunc_CN</ability>
      <abilityName>全半角问题</abilityName>
      <candidateList>
        <item>。</item>
      </candidateList>
      <explain>文本全半角错误。</explain>
      <paraID>41B7A962</paraID>
      <start>1129</start>
      <end>1130</end>
      <status>unmodified</status>
      <modifiedWord/>
      <trackRevisions>false</trackRevisions>
    </reviewItem>
    <reviewItem>
      <errorID>4f0f4424-c1db-48ad-b01d-bb9014b59fb2</errorID>
      <errorWord>元素的</errorWord>
      <group>L1_Word</group>
      <groupName>字词问题</groupName>
      <ability>L2_Typo</ability>
      <abilityName>字词错误</abilityName>
      <candidateList>
        <item>元素</item>
      </candidateList>
      <explain>〈名〉❶要素。❷在代数学中组成联合的各个部分，如723和312中的7，2，3，1。在几何学中构成图形的各个部分，如构成三角形的边和角。❸化学上指具有相同核电荷数（即相同质子数）的同一类原子的总称，如氧元素、铁元素。</explain>
      <paraID>41B7A962</paraID>
      <start>1331</start>
      <end>1334</end>
      <status>unmodified</status>
      <modifiedWord/>
      <trackRevisions>false</trackRevisions>
    </reviewItem>
    <reviewItem>
      <errorID>dc596613-1910-4e90-a071-718015730ef0</errorID>
      <errorWord>.</errorWord>
      <group>L1_Format</group>
      <groupName>格式问题</groupName>
      <ability>L2_HalfPunc_CN</ability>
      <abilityName>全半角问题</abilityName>
      <candidateList>
        <item>。</item>
      </candidateList>
      <explain>文本全半角错误。</explain>
      <paraID>41B7A962</paraID>
      <start>1403</start>
      <end>1404</end>
      <status>unmodified</status>
      <modifiedWord/>
      <trackRevisions>false</trackRevisions>
    </reviewItem>
    <reviewItem>
      <errorID>31bd9c9f-6408-410a-872f-5111cad8294b</errorID>
      <errorWord>.</errorWord>
      <group>L1_Format</group>
      <groupName>格式问题</groupName>
      <ability>L2_HalfPunc_CN</ability>
      <abilityName>全半角问题</abilityName>
      <candidateList>
        <item>。</item>
      </candidateList>
      <explain>文本全半角错误。</explain>
      <paraID>41B7A962</paraID>
      <start>1433</start>
      <end>1434</end>
      <status>unmodified</status>
      <modifiedWord/>
      <trackRevisions>false</trackRevisions>
    </reviewItem>
    <reviewItem>
      <errorID>8b0d3e4b-e335-452c-acdb-e69193ceb9fc</errorID>
      <errorWord>.</errorWord>
      <group>L1_Format</group>
      <groupName>格式问题</groupName>
      <ability>L2_HalfPunc_CN</ability>
      <abilityName>全半角问题</abilityName>
      <candidateList>
        <item>。</item>
      </candidateList>
      <explain>文本全半角错误。</explain>
      <paraID>41B7A962</paraID>
      <start>1496</start>
      <end>1497</end>
      <status>unmodified</status>
      <modifiedWord/>
      <trackRevisions>false</trackRevisions>
    </reviewItem>
    <reviewItem>
      <errorID>83ea2f76-b23c-438c-8912-b56c63b3f3a2</errorID>
      <errorWord>.</errorWord>
      <group>L1_Format</group>
      <groupName>格式问题</groupName>
      <ability>L2_HalfPunc_CN</ability>
      <abilityName>全半角问题</abilityName>
      <candidateList>
        <item>。</item>
      </candidateList>
      <explain>文本全半角错误。</explain>
      <paraID>41B7A962</paraID>
      <start>1499</start>
      <end>1500</end>
      <status>unmodified</status>
      <modifiedWord/>
      <trackRevisions>false</trackRevisions>
    </reviewItem>
    <reviewItem>
      <errorID>84af00f8-db0a-4d31-8fc5-83003cad81fb</errorID>
      <errorWord>.</errorWord>
      <group>L1_Format</group>
      <groupName>格式问题</groupName>
      <ability>L2_HalfPunc_CN</ability>
      <abilityName>全半角问题</abilityName>
      <candidateList>
        <item>。</item>
      </candidateList>
      <explain>文本全半角错误。</explain>
      <paraID>41B7A962</paraID>
      <start>1502</start>
      <end>1503</end>
      <status>unmodified</status>
      <modifiedWord/>
      <trackRevisions>false</trackRevisions>
    </reviewItem>
    <reviewItem>
      <errorID>e5e699cf-813e-4aa4-89df-f53348f98f7c</errorID>
      <errorWord>:</errorWord>
      <group>L1_Format</group>
      <groupName>格式问题</groupName>
      <ability>L2_HalfPunc_CN</ability>
      <abilityName>全半角问题</abilityName>
      <candidateList>
        <item>：</item>
      </candidateList>
      <explain>文本全半角错误。</explain>
      <paraID>254620A1</paraID>
      <start>92</start>
      <end>93</end>
      <status>unmodified</status>
      <modifiedWord/>
      <trackRevisions>false</trackRevisions>
    </reviewItem>
    <reviewItem>
      <errorID>ee6a027e-701c-40a8-9056-35417acbed16</errorID>
      <errorWord>.</errorWord>
      <group>L1_Format</group>
      <groupName>格式问题</groupName>
      <ability>L2_HalfPunc_CN</ability>
      <abilityName>全半角问题</abilityName>
      <candidateList>
        <item>。</item>
      </candidateList>
      <explain>文本全半角错误。</explain>
      <paraID>254620A1</paraID>
      <start>104</start>
      <end>105</end>
      <status>unmodified</status>
      <modifiedWord/>
      <trackRevisions>false</trackRevisions>
    </reviewItem>
    <reviewItem>
      <errorID>9edfa067-e725-4668-bfc1-e0768eabca1e</errorID>
      <errorWord>.</errorWord>
      <group>L1_Format</group>
      <groupName>格式问题</groupName>
      <ability>L2_HalfPunc_CN</ability>
      <abilityName>全半角问题</abilityName>
      <candidateList>
        <item>。</item>
      </candidateList>
      <explain>文本全半角错误。</explain>
      <paraID>254620A1</paraID>
      <start>119</start>
      <end>120</end>
      <status>unmodified</status>
      <modifiedWord/>
      <trackRevisions>false</trackRevisions>
    </reviewItem>
    <reviewItem>
      <errorID>a0beba50-8f81-4fe1-b50b-a90b3ebe3c36</errorID>
      <errorWord>.</errorWord>
      <group>L1_Format</group>
      <groupName>格式问题</groupName>
      <ability>L2_HalfPunc_CN</ability>
      <abilityName>全半角问题</abilityName>
      <candidateList>
        <item>。</item>
      </candidateList>
      <explain>文本全半角错误。</explain>
      <paraID>254620A1</paraID>
      <start>609</start>
      <end>610</end>
      <status>unmodified</status>
      <modifiedWord/>
      <trackRevisions>false</trackRevisions>
    </reviewItem>
    <reviewItem>
      <errorID>767f8ba5-86a0-47fd-9b76-8d7c83e81e91</errorID>
      <errorWord>.</errorWord>
      <group>L1_Format</group>
      <groupName>格式问题</groupName>
      <ability>L2_HalfPunc_CN</ability>
      <abilityName>全半角问题</abilityName>
      <candidateList>
        <item>。</item>
      </candidateList>
      <explain>文本全半角错误。</explain>
      <paraID>254620A1</paraID>
      <start>616</start>
      <end>617</end>
      <status>unmodified</status>
      <modifiedWord/>
      <trackRevisions>false</trackRevisions>
    </reviewItem>
    <reviewItem>
      <errorID>1ef0ab65-71be-48e4-b4ee-e5ee7e65ef9c</errorID>
      <errorWord>.</errorWord>
      <group>L1_Format</group>
      <groupName>格式问题</groupName>
      <ability>L2_HalfPunc_CN</ability>
      <abilityName>全半角问题</abilityName>
      <candidateList>
        <item>。</item>
      </candidateList>
      <explain>文本全半角错误。</explain>
      <paraID>254620A1</paraID>
      <start>621</start>
      <end>622</end>
      <status>unmodified</status>
      <modifiedWord/>
      <trackRevisions>false</trackRevisions>
    </reviewItem>
    <reviewItem>
      <errorID>7ceb5748-398c-4b0e-8edb-4a3868eab0b1</errorID>
      <errorWord>.</errorWord>
      <group>L1_Format</group>
      <groupName>格式问题</groupName>
      <ability>L2_HalfPunc_CN</ability>
      <abilityName>全半角问题</abilityName>
      <candidateList>
        <item>。</item>
      </candidateList>
      <explain>文本全半角错误。</explain>
      <paraID>254620A1</paraID>
      <start>626</start>
      <end>627</end>
      <status>unmodified</status>
      <modifiedWord/>
      <trackRevisions>false</trackRevisions>
    </reviewItem>
    <reviewItem>
      <errorID>4e3293e1-ce34-4eb8-a63a-7e0d5f001baf</errorID>
      <errorWord>.</errorWord>
      <group>L1_Format</group>
      <groupName>格式问题</groupName>
      <ability>L2_HalfPunc_CN</ability>
      <abilityName>全半角问题</abilityName>
      <candidateList>
        <item>。</item>
      </candidateList>
      <explain>文本全半角错误。</explain>
      <paraID>254620A1</paraID>
      <start>631</start>
      <end>632</end>
      <status>unmodified</status>
      <modifiedWord/>
      <trackRevisions>false</trackRevisions>
    </reviewItem>
    <reviewItem>
      <errorID>8c3b946a-c6d4-4e54-a7fe-b44237e70fb8</errorID>
      <errorWord>.</errorWord>
      <group>L1_Format</group>
      <groupName>格式问题</groupName>
      <ability>L2_HalfPunc_CN</ability>
      <abilityName>全半角问题</abilityName>
      <candidateList>
        <item>。</item>
      </candidateList>
      <explain>文本全半角错误。</explain>
      <paraID>254620A1</paraID>
      <start>636</start>
      <end>637</end>
      <status>unmodified</status>
      <modifiedWord/>
      <trackRevisions>false</trackRevisions>
    </reviewItem>
    <reviewItem>
      <errorID>d87225e5-d5ad-4aaf-aedb-8b64028579e2</errorID>
      <errorWord>.</errorWord>
      <group>L1_Format</group>
      <groupName>格式问题</groupName>
      <ability>L2_HalfPunc_CN</ability>
      <abilityName>全半角问题</abilityName>
      <candidateList>
        <item>。</item>
      </candidateList>
      <explain>文本全半角错误。</explain>
      <paraID>254620A1</paraID>
      <start>641</start>
      <end>642</end>
      <status>unmodified</status>
      <modifiedWord/>
      <trackRevisions>false</trackRevisions>
    </reviewItem>
    <reviewItem>
      <errorID>a1b32e0e-2733-4199-b5c5-4be04b2b1e8d</errorID>
      <errorWord>:</errorWord>
      <group>L1_Format</group>
      <groupName>格式问题</groupName>
      <ability>L2_HalfPunc_CN</ability>
      <abilityName>全半角问题</abilityName>
      <candidateList>
        <item>：</item>
      </candidateList>
      <explain>文本全半角错误。</explain>
      <paraID>254620A1</paraID>
      <start>684</start>
      <end>685</end>
      <status>unmodified</status>
      <modifiedWord/>
      <trackRevisions>false</trackRevisions>
    </reviewItem>
    <reviewItem>
      <errorID>c7dcc92e-5042-4ec2-adb4-1c818093d8be</errorID>
      <errorWord>.</errorWord>
      <group>L1_Format</group>
      <groupName>格式问题</groupName>
      <ability>L2_HalfPunc_CN</ability>
      <abilityName>全半角问题</abilityName>
      <candidateList>
        <item>。</item>
      </candidateList>
      <explain>文本全半角错误。</explain>
      <paraID>254620A1</paraID>
      <start>691</start>
      <end>692</end>
      <status>unmodified</status>
      <modifiedWord/>
      <trackRevisions>false</trackRevisions>
    </reviewItem>
    <reviewItem>
      <errorID>12d84c25-946c-4d5d-bd09-ca1659f3f8dc</errorID>
      <errorWord>.</errorWord>
      <group>L1_Format</group>
      <groupName>格式问题</groupName>
      <ability>L2_HalfPunc_CN</ability>
      <abilityName>全半角问题</abilityName>
      <candidateList>
        <item>。</item>
      </candidateList>
      <explain>文本全半角错误。</explain>
      <paraID>254620A1</paraID>
      <start>696</start>
      <end>697</end>
      <status>unmodified</status>
      <modifiedWord/>
      <trackRevisions>false</trackRevisions>
    </reviewItem>
    <reviewItem>
      <errorID>b165f1b4-0846-44cd-9a64-b088000ef7e8</errorID>
      <errorWord>.</errorWord>
      <group>L1_Format</group>
      <groupName>格式问题</groupName>
      <ability>L2_HalfPunc_CN</ability>
      <abilityName>全半角问题</abilityName>
      <candidateList>
        <item>。</item>
      </candidateList>
      <explain>文本全半角错误。</explain>
      <paraID>254620A1</paraID>
      <start>701</start>
      <end>702</end>
      <status>unmodified</status>
      <modifiedWord/>
      <trackRevisions>false</trackRevisions>
    </reviewItem>
    <reviewItem>
      <errorID>ef67a5e2-1013-4cf4-9338-6c6d9c7501c2</errorID>
      <errorWord>.</errorWord>
      <group>L1_Format</group>
      <groupName>格式问题</groupName>
      <ability>L2_HalfPunc_CN</ability>
      <abilityName>全半角问题</abilityName>
      <candidateList>
        <item>。</item>
      </candidateList>
      <explain>文本全半角错误。</explain>
      <paraID>254620A1</paraID>
      <start>706</start>
      <end>707</end>
      <status>unmodified</status>
      <modifiedWord/>
      <trackRevisions>false</trackRevisions>
    </reviewItem>
    <reviewItem>
      <errorID>0b9fb4f7-aa96-4dac-9f18-a9bb46a7b0ea</errorID>
      <errorWord>:</errorWord>
      <group>L1_Format</group>
      <groupName>格式问题</groupName>
      <ability>L2_HalfPunc_CN</ability>
      <abilityName>全半角问题</abilityName>
      <candidateList>
        <item>：</item>
      </candidateList>
      <explain>文本全半角错误。</explain>
      <paraID>254620A1</paraID>
      <start>856</start>
      <end>857</end>
      <status>unmodified</status>
      <modifiedWord/>
      <trackRevisions>false</trackRevisions>
    </reviewItem>
    <reviewItem>
      <errorID>bcf48f53-2f20-425f-85ab-ca4db8189995</errorID>
      <errorWord>.</errorWord>
      <group>L1_Format</group>
      <groupName>格式问题</groupName>
      <ability>L2_HalfPunc_CN</ability>
      <abilityName>全半角问题</abilityName>
      <candidateList>
        <item>。</item>
      </candidateList>
      <explain>文本全半角错误。</explain>
      <paraID>254620A1</paraID>
      <start>861</start>
      <end>862</end>
      <status>unmodified</status>
      <modifiedWord/>
      <trackRevisions>false</trackRevisions>
    </reviewItem>
    <reviewItem>
      <errorID>fca19611-fa12-4768-8f8e-37ff53407dc9</errorID>
      <errorWord>.</errorWord>
      <group>L1_Format</group>
      <groupName>格式问题</groupName>
      <ability>L2_HalfPunc_CN</ability>
      <abilityName>全半角问题</abilityName>
      <candidateList>
        <item>。</item>
      </candidateList>
      <explain>文本全半角错误。</explain>
      <paraID>254620A1</paraID>
      <start>866</start>
      <end>867</end>
      <status>unmodified</status>
      <modifiedWord/>
      <trackRevisions>false</trackRevisions>
    </reviewItem>
    <reviewItem>
      <errorID>a8bf6b75-9dfb-4877-93af-8f9fb668adcb</errorID>
      <errorWord>.</errorWord>
      <group>L1_Format</group>
      <groupName>格式问题</groupName>
      <ability>L2_HalfPunc_CN</ability>
      <abilityName>全半角问题</abilityName>
      <candidateList>
        <item>。</item>
      </candidateList>
      <explain>文本全半角错误。</explain>
      <paraID>254620A1</paraID>
      <start>871</start>
      <end>872</end>
      <status>unmodified</status>
      <modifiedWord/>
      <trackRevisions>false</trackRevisions>
    </reviewItem>
    <reviewItem>
      <errorID>f44fae2b-95ea-46d6-8837-c8b0c74302ab</errorID>
      <errorWord>.</errorWord>
      <group>L1_Format</group>
      <groupName>格式问题</groupName>
      <ability>L2_HalfPunc_CN</ability>
      <abilityName>全半角问题</abilityName>
      <candidateList>
        <item>。</item>
      </candidateList>
      <explain>文本全半角错误。</explain>
      <paraID>254620A1</paraID>
      <start>933</start>
      <end>934</end>
      <status>unmodified</status>
      <modifiedWord/>
      <trackRevisions>false</trackRevisions>
    </reviewItem>
    <reviewItem>
      <errorID>360d9290-2f2b-40fc-9b72-5a340add7b26</errorID>
      <errorWord>.</errorWord>
      <group>L1_Format</group>
      <groupName>格式问题</groupName>
      <ability>L2_HalfPunc_CN</ability>
      <abilityName>全半角问题</abilityName>
      <candidateList>
        <item>。</item>
      </candidateList>
      <explain>文本全半角错误。</explain>
      <paraID>254620A1</paraID>
      <start>936</start>
      <end>937</end>
      <status>unmodified</status>
      <modifiedWord/>
      <trackRevisions>false</trackRevisions>
    </reviewItem>
    <reviewItem>
      <errorID>8bd1e7a1-5214-4936-82ed-95101f52797d</errorID>
      <errorWord>.</errorWord>
      <group>L1_Format</group>
      <groupName>格式问题</groupName>
      <ability>L2_HalfPunc_CN</ability>
      <abilityName>全半角问题</abilityName>
      <candidateList>
        <item>。</item>
      </candidateList>
      <explain>文本全半角错误。</explain>
      <paraID>254620A1</paraID>
      <start>1068</start>
      <end>1069</end>
      <status>unmodified</status>
      <modifiedWord/>
      <trackRevisions>false</trackRevisions>
    </reviewItem>
    <reviewItem>
      <errorID>7aa78941-0b07-4e0a-89ef-2a8b51b5e77b</errorID>
      <errorWord>.</errorWord>
      <group>L1_Format</group>
      <groupName>格式问题</groupName>
      <ability>L2_HalfPunc_CN</ability>
      <abilityName>全半角问题</abilityName>
      <candidateList>
        <item>。</item>
      </candidateList>
      <explain>文本全半角错误。</explain>
      <paraID>254620A1</paraID>
      <start>1072</start>
      <end>1073</end>
      <status>unmodified</status>
      <modifiedWord/>
      <trackRevisions>false</trackRevisions>
    </reviewItem>
    <reviewItem>
      <errorID>758210b6-ee11-4afd-8214-a473e7f9cb02</errorID>
      <errorWord>.</errorWord>
      <group>L1_Format</group>
      <groupName>格式问题</groupName>
      <ability>L2_HalfPunc_CN</ability>
      <abilityName>全半角问题</abilityName>
      <candidateList>
        <item>。</item>
      </candidateList>
      <explain>文本全半角错误。</explain>
      <paraID>254620A1</paraID>
      <start>1184</start>
      <end>1185</end>
      <status>unmodified</status>
      <modifiedWord/>
      <trackRevisions>false</trackRevisions>
    </reviewItem>
    <reviewItem>
      <errorID>6c3bd3ad-4cf5-4682-8cc4-f39f5e28b199</errorID>
      <errorWord>.</errorWord>
      <group>L1_Format</group>
      <groupName>格式问题</groupName>
      <ability>L2_HalfPunc_CN</ability>
      <abilityName>全半角问题</abilityName>
      <candidateList>
        <item>。</item>
      </candidateList>
      <explain>文本全半角错误。</explain>
      <paraID>254620A1</paraID>
      <start>1406</start>
      <end>1407</end>
      <status>unmodified</status>
      <modifiedWord/>
      <trackRevisions>false</trackRevisions>
    </reviewItem>
    <reviewItem>
      <errorID>78bc455f-833c-4aed-8908-000a69ce602e</errorID>
      <errorWord>.</errorWord>
      <group>L1_Format</group>
      <groupName>格式问题</groupName>
      <ability>L2_HalfPunc_CN</ability>
      <abilityName>全半角问题</abilityName>
      <candidateList>
        <item>。</item>
      </candidateList>
      <explain>文本全半角错误。</explain>
      <paraID>254620A1</paraID>
      <start>1458</start>
      <end>1459</end>
      <status>unmodified</status>
      <modifiedWord/>
      <trackRevisions>false</trackRevisions>
    </reviewItem>
    <reviewItem>
      <errorID>ccb22926-73c6-4ccb-b333-6cc5a6c03069</errorID>
      <errorWord>元素的</errorWord>
      <group>L1_Word</group>
      <groupName>字词问题</groupName>
      <ability>L2_Typo</ability>
      <abilityName>字词错误</abilityName>
      <candidateList>
        <item>元素</item>
      </candidateList>
      <explain>〈名〉❶要素。❷在代数学中组成联合的各个部分，如723和312中的7，2，3，1。在几何学中构成图形的各个部分，如构成三角形的边和角。❸化学上指具有相同核电荷数（即相同质子数）的同一类原子的总称，如氧元素、铁元素。</explain>
      <paraID>254620A1</paraID>
      <start>1656</start>
      <end>1659</end>
      <status>unmodified</status>
      <modifiedWord/>
      <trackRevisions>false</trackRevisions>
    </reviewItem>
    <reviewItem>
      <errorID>90268769-32ac-4bd4-af8c-27cdefda1ce3</errorID>
      <errorWord>.</errorWord>
      <group>L1_Format</group>
      <groupName>格式问题</groupName>
      <ability>L2_HalfPunc_CN</ability>
      <abilityName>全半角问题</abilityName>
      <candidateList>
        <item>。</item>
      </candidateList>
      <explain>文本全半角错误。</explain>
      <paraID>254620A1</paraID>
      <start>1728</start>
      <end>1729</end>
      <status>unmodified</status>
      <modifiedWord/>
      <trackRevisions>false</trackRevisions>
    </reviewItem>
    <reviewItem>
      <errorID>dd59f9d1-be64-4fb1-8ed5-2d4d5ec2acee</errorID>
      <errorWord>.</errorWord>
      <group>L1_Format</group>
      <groupName>格式问题</groupName>
      <ability>L2_HalfPunc_CN</ability>
      <abilityName>全半角问题</abilityName>
      <candidateList>
        <item>。</item>
      </candidateList>
      <explain>文本全半角错误。</explain>
      <paraID>254620A1</paraID>
      <start>1758</start>
      <end>1759</end>
      <status>unmodified</status>
      <modifiedWord/>
      <trackRevisions>false</trackRevisions>
    </reviewItem>
    <reviewItem>
      <errorID>cc8b6814-aeb0-4beb-9c5a-df5400501995</errorID>
      <errorWord>.</errorWord>
      <group>L1_Format</group>
      <groupName>格式问题</groupName>
      <ability>L2_HalfPunc_CN</ability>
      <abilityName>全半角问题</abilityName>
      <candidateList>
        <item>。</item>
      </candidateList>
      <explain>文本全半角错误。</explain>
      <paraID>254620A1</paraID>
      <start>1821</start>
      <end>1822</end>
      <status>unmodified</status>
      <modifiedWord/>
      <trackRevisions>false</trackRevisions>
    </reviewItem>
    <reviewItem>
      <errorID>6e902553-a0c2-434f-9aff-5131699784a1</errorID>
      <errorWord>.</errorWord>
      <group>L1_Format</group>
      <groupName>格式问题</groupName>
      <ability>L2_HalfPunc_CN</ability>
      <abilityName>全半角问题</abilityName>
      <candidateList>
        <item>。</item>
      </candidateList>
      <explain>文本全半角错误。</explain>
      <paraID>254620A1</paraID>
      <start>1824</start>
      <end>1825</end>
      <status>unmodified</status>
      <modifiedWord/>
      <trackRevisions>false</trackRevisions>
    </reviewItem>
    <reviewItem>
      <errorID>8d036b8e-8379-4917-b8cb-00e583753ab8</errorID>
      <errorWord>.</errorWord>
      <group>L1_Format</group>
      <groupName>格式问题</groupName>
      <ability>L2_HalfPunc_CN</ability>
      <abilityName>全半角问题</abilityName>
      <candidateList>
        <item>。</item>
      </candidateList>
      <explain>文本全半角错误。</explain>
      <paraID>254620A1</paraID>
      <start>1827</start>
      <end>1828</end>
      <status>unmodified</status>
      <modifiedWord/>
      <trackRevisions>false</trackRevisions>
    </reviewItem>
    <reviewItem>
      <errorID>8953d021-2f61-4d8a-b4bd-7f4ef8a9aaed</errorID>
      <errorWord>:</errorWord>
      <group>L1_Format</group>
      <groupName>格式问题</groupName>
      <ability>L2_HalfPunc_CN</ability>
      <abilityName>全半角问题</abilityName>
      <candidateList>
        <item>：</item>
      </candidateList>
      <explain>文本全半角错误。</explain>
      <paraID>4FC26BFF</paraID>
      <start>94</start>
      <end>95</end>
      <status>unmodified</status>
      <modifiedWord/>
      <trackRevisions>false</trackRevisions>
    </reviewItem>
    <reviewItem>
      <errorID>9cecddf9-986d-4cf0-b85c-cc137e68c644</errorID>
      <errorWord>.</errorWord>
      <group>L1_Format</group>
      <groupName>格式问题</groupName>
      <ability>L2_HalfPunc_CN</ability>
      <abilityName>全半角问题</abilityName>
      <candidateList>
        <item>。</item>
      </candidateList>
      <explain>文本全半角错误。</explain>
      <paraID>4FC26BFF</paraID>
      <start>106</start>
      <end>107</end>
      <status>unmodified</status>
      <modifiedWord/>
      <trackRevisions>false</trackRevisions>
    </reviewItem>
    <reviewItem>
      <errorID>63be1a2e-ea64-47a1-989c-0439e76ba7b8</errorID>
      <errorWord>.</errorWord>
      <group>L1_Format</group>
      <groupName>格式问题</groupName>
      <ability>L2_HalfPunc_CN</ability>
      <abilityName>全半角问题</abilityName>
      <candidateList>
        <item>。</item>
      </candidateList>
      <explain>文本全半角错误。</explain>
      <paraID>4FC26BFF</paraID>
      <start>121</start>
      <end>122</end>
      <status>unmodified</status>
      <modifiedWord/>
      <trackRevisions>false</trackRevisions>
    </reviewItem>
    <reviewItem>
      <errorID>1c6a3902-e5da-43fc-975f-f0490f487fbe</errorID>
      <errorWord>.</errorWord>
      <group>L1_Format</group>
      <groupName>格式问题</groupName>
      <ability>L2_HalfPunc_CN</ability>
      <abilityName>全半角问题</abilityName>
      <candidateList>
        <item>。</item>
      </candidateList>
      <explain>文本全半角错误。</explain>
      <paraID>4FC26BFF</paraID>
      <start>612</start>
      <end>613</end>
      <status>unmodified</status>
      <modifiedWord/>
      <trackRevisions>false</trackRevisions>
    </reviewItem>
    <reviewItem>
      <errorID>db246dc2-3cef-48b4-927e-6bb9b106c8a8</errorID>
      <errorWord>.</errorWord>
      <group>L1_Format</group>
      <groupName>格式问题</groupName>
      <ability>L2_HalfPunc_CN</ability>
      <abilityName>全半角问题</abilityName>
      <candidateList>
        <item>。</item>
      </candidateList>
      <explain>文本全半角错误。</explain>
      <paraID>4FC26BFF</paraID>
      <start>617</start>
      <end>618</end>
      <status>unmodified</status>
      <modifiedWord/>
      <trackRevisions>false</trackRevisions>
    </reviewItem>
    <reviewItem>
      <errorID>b615dd3a-83fe-4144-a633-5bd3d0de7507</errorID>
      <errorWord>.</errorWord>
      <group>L1_Format</group>
      <groupName>格式问题</groupName>
      <ability>L2_HalfPunc_CN</ability>
      <abilityName>全半角问题</abilityName>
      <candidateList>
        <item>。</item>
      </candidateList>
      <explain>文本全半角错误。</explain>
      <paraID>4FC26BFF</paraID>
      <start>815</start>
      <end>816</end>
      <status>unmodified</status>
      <modifiedWord/>
      <trackRevisions>false</trackRevisions>
    </reviewItem>
    <reviewItem>
      <errorID>b27c33e2-6e14-4545-842d-1ddb3e35f77e</errorID>
      <errorWord>-</errorWord>
      <group>L1_Format</group>
      <groupName>格式问题</groupName>
      <ability>L2_HalfPunc_CN</ability>
      <abilityName>全半角问题</abilityName>
      <candidateList>
        <item>－</item>
      </candidateList>
      <explain>文本全半角错误。</explain>
      <paraID>4FC26BFF</paraID>
      <start>928</start>
      <end>929</end>
      <status>unmodified</status>
      <modifiedWord/>
      <trackRevisions>false</trackRevisions>
    </reviewItem>
    <reviewItem>
      <errorID>9af3124c-db6f-4b5b-a6a1-5fc7d249ed68</errorID>
      <errorWord>-</errorWord>
      <group>L1_Format</group>
      <groupName>格式问题</groupName>
      <ability>L2_HalfPunc_CN</ability>
      <abilityName>全半角问题</abilityName>
      <candidateList>
        <item>－</item>
      </candidateList>
      <explain>文本全半角错误。</explain>
      <paraID>4FC26BFF</paraID>
      <start>967</start>
      <end>968</end>
      <status>unmodified</status>
      <modifiedWord/>
      <trackRevisions>false</trackRevisions>
    </reviewItem>
    <reviewItem>
      <errorID>7b2b9d26-1762-4a2f-b32e-ce7c2c5bb314</errorID>
      <errorWord>.</errorWord>
      <group>L1_Format</group>
      <groupName>格式问题</groupName>
      <ability>L2_HalfPunc_CN</ability>
      <abilityName>全半角问题</abilityName>
      <candidateList>
        <item>。</item>
      </candidateList>
      <explain>文本全半角错误。</explain>
      <paraID>4FC26BFF</paraID>
      <start>996</start>
      <end>997</end>
      <status>unmodified</status>
      <modifiedWord/>
      <trackRevisions>false</trackRevisions>
    </reviewItem>
    <reviewItem>
      <errorID>b36cef3f-e83c-42e8-b821-71af38ef5f8c</errorID>
      <errorWord>-</errorWord>
      <group>L1_Format</group>
      <groupName>格式问题</groupName>
      <ability>L2_HalfPunc_CN</ability>
      <abilityName>全半角问题</abilityName>
      <candidateList>
        <item>－</item>
      </candidateList>
      <explain>文本全半角错误。</explain>
      <paraID>4FC26BFF</paraID>
      <start>1021</start>
      <end>1022</end>
      <status>unmodified</status>
      <modifiedWord/>
      <trackRevisions>false</trackRevisions>
    </reviewItem>
    <reviewItem>
      <errorID>2dca7c85-a8a5-4ea2-977c-b6533df42c45</errorID>
      <errorWord>.</errorWord>
      <group>L1_Format</group>
      <groupName>格式问题</groupName>
      <ability>L2_HalfPunc_CN</ability>
      <abilityName>全半角问题</abilityName>
      <candidateList>
        <item>。</item>
      </candidateList>
      <explain>文本全半角错误。</explain>
      <paraID>4FC26BFF</paraID>
      <start>1030</start>
      <end>1031</end>
      <status>unmodified</status>
      <modifiedWord/>
      <trackRevisions>false</trackRevisions>
    </reviewItem>
    <reviewItem>
      <errorID>3c3a9918-82c7-42df-ac74-f1abbe8896a2</errorID>
      <errorWord>.</errorWord>
      <group>L1_Format</group>
      <groupName>格式问题</groupName>
      <ability>L2_HalfPunc_CN</ability>
      <abilityName>全半角问题</abilityName>
      <candidateList>
        <item>。</item>
      </candidateList>
      <explain>文本全半角错误。</explain>
      <paraID>4FC26BFF</paraID>
      <start>1035</start>
      <end>1036</end>
      <status>unmodified</status>
      <modifiedWord/>
      <trackRevisions>false</trackRevisions>
    </reviewItem>
    <reviewItem>
      <errorID>8e6ddfce-5c46-4405-8f7a-8bc6c999d102</errorID>
      <errorWord>.</errorWord>
      <group>L1_Format</group>
      <groupName>格式问题</groupName>
      <ability>L2_HalfPunc_CN</ability>
      <abilityName>全半角问题</abilityName>
      <candidateList>
        <item>。</item>
      </candidateList>
      <explain>文本全半角错误。</explain>
      <paraID>4FC26BFF</paraID>
      <start>1162</start>
      <end>1163</end>
      <status>unmodified</status>
      <modifiedWord/>
      <trackRevisions>false</trackRevisions>
    </reviewItem>
    <reviewItem>
      <errorID>76c46584-e841-4ac9-86de-50bcfd1b3858</errorID>
      <errorWord>.</errorWord>
      <group>L1_Format</group>
      <groupName>格式问题</groupName>
      <ability>L2_HalfPunc_CN</ability>
      <abilityName>全半角问题</abilityName>
      <candidateList>
        <item>。</item>
      </candidateList>
      <explain>文本全半角错误。</explain>
      <paraID>4FC26BFF</paraID>
      <start>1167</start>
      <end>1168</end>
      <status>unmodified</status>
      <modifiedWord/>
      <trackRevisions>false</trackRevisions>
    </reviewItem>
    <reviewItem>
      <errorID>1ee82b65-0034-4a7b-b19b-cbac22907d16</errorID>
      <errorWord>.</errorWord>
      <group>L1_Format</group>
      <groupName>格式问题</groupName>
      <ability>L2_HalfPunc_CN</ability>
      <abilityName>全半角问题</abilityName>
      <candidateList>
        <item>。</item>
      </candidateList>
      <explain>文本全半角错误。</explain>
      <paraID>4FC26BFF</paraID>
      <start>1181</start>
      <end>1182</end>
      <status>unmodified</status>
      <modifiedWord/>
      <trackRevisions>false</trackRevisions>
    </reviewItem>
    <reviewItem>
      <errorID>6bb2535b-aa05-4733-a010-e6b0cea61bd9</errorID>
      <errorWord>.</errorWord>
      <group>L1_Format</group>
      <groupName>格式问题</groupName>
      <ability>L2_HalfPunc_CN</ability>
      <abilityName>全半角问题</abilityName>
      <candidateList>
        <item>。</item>
      </candidateList>
      <explain>文本全半角错误。</explain>
      <paraID>4FC26BFF</paraID>
      <start>1226</start>
      <end>1227</end>
      <status>unmodified</status>
      <modifiedWord/>
      <trackRevisions>false</trackRevisions>
    </reviewItem>
    <reviewItem>
      <errorID>164b3304-66b4-4d3a-bceb-ac55b1a83b6d</errorID>
      <errorWord>.</errorWord>
      <group>L1_Format</group>
      <groupName>格式问题</groupName>
      <ability>L2_HalfPunc_CN</ability>
      <abilityName>全半角问题</abilityName>
      <candidateList>
        <item>。</item>
      </candidateList>
      <explain>文本全半角错误。</explain>
      <paraID>4FC26BFF</paraID>
      <start>1233</start>
      <end>1234</end>
      <status>unmodified</status>
      <modifiedWord/>
      <trackRevisions>false</trackRevisions>
    </reviewItem>
    <reviewItem>
      <errorID>261cfb19-7c76-4226-a391-cd966c0d05b5</errorID>
      <errorWord>.</errorWord>
      <group>L1_Format</group>
      <groupName>格式问题</groupName>
      <ability>L2_HalfPunc_CN</ability>
      <abilityName>全半角问题</abilityName>
      <candidateList>
        <item>。</item>
      </candidateList>
      <explain>文本全半角错误。</explain>
      <paraID>4FC26BFF</paraID>
      <start>1238</start>
      <end>1239</end>
      <status>unmodified</status>
      <modifiedWord/>
      <trackRevisions>false</trackRevisions>
    </reviewItem>
    <reviewItem>
      <errorID>35761f1b-e690-4465-bfdc-fff3f64a8817</errorID>
      <errorWord>.</errorWord>
      <group>L1_Format</group>
      <groupName>格式问题</groupName>
      <ability>L2_HalfPunc_CN</ability>
      <abilityName>全半角问题</abilityName>
      <candidateList>
        <item>。</item>
      </candidateList>
      <explain>文本全半角错误。</explain>
      <paraID>4FC26BFF</paraID>
      <start>1243</start>
      <end>1244</end>
      <status>unmodified</status>
      <modifiedWord/>
      <trackRevisions>false</trackRevisions>
    </reviewItem>
    <reviewItem>
      <errorID>3ad29203-cf8d-4065-8d9d-15afea13fc7d</errorID>
      <errorWord>.</errorWord>
      <group>L1_Format</group>
      <groupName>格式问题</groupName>
      <ability>L2_HalfPunc_CN</ability>
      <abilityName>全半角问题</abilityName>
      <candidateList>
        <item>。</item>
      </candidateList>
      <explain>文本全半角错误。</explain>
      <paraID>4FC26BFF</paraID>
      <start>1248</start>
      <end>1249</end>
      <status>unmodified</status>
      <modifiedWord/>
      <trackRevisions>false</trackRevisions>
    </reviewItem>
    <reviewItem>
      <errorID>a2323ecf-ebc4-4439-becf-fc5a0c569733</errorID>
      <errorWord>.</errorWord>
      <group>L1_Format</group>
      <groupName>格式问题</groupName>
      <ability>L2_HalfPunc_CN</ability>
      <abilityName>全半角问题</abilityName>
      <candidateList>
        <item>。</item>
      </candidateList>
      <explain>文本全半角错误。</explain>
      <paraID>4FC26BFF</paraID>
      <start>1253</start>
      <end>1254</end>
      <status>unmodified</status>
      <modifiedWord/>
      <trackRevisions>false</trackRevisions>
    </reviewItem>
    <reviewItem>
      <errorID>0ce5d14d-6933-458b-8c35-d6e1d7168f6d</errorID>
      <errorWord>.</errorWord>
      <group>L1_Format</group>
      <groupName>格式问题</groupName>
      <ability>L2_HalfPunc_CN</ability>
      <abilityName>全半角问题</abilityName>
      <candidateList>
        <item>。</item>
      </candidateList>
      <explain>文本全半角错误。</explain>
      <paraID>4FC26BFF</paraID>
      <start>1258</start>
      <end>1259</end>
      <status>unmodified</status>
      <modifiedWord/>
      <trackRevisions>false</trackRevisions>
    </reviewItem>
    <reviewItem>
      <errorID>c889cbf0-53fd-4201-ae48-a0e10e91e29f</errorID>
      <errorWord>:</errorWord>
      <group>L1_Format</group>
      <groupName>格式问题</groupName>
      <ability>L2_HalfPunc_CN</ability>
      <abilityName>全半角问题</abilityName>
      <candidateList>
        <item>：</item>
      </candidateList>
      <explain>文本全半角错误。</explain>
      <paraID>4FC26BFF</paraID>
      <start>1301</start>
      <end>1302</end>
      <status>unmodified</status>
      <modifiedWord/>
      <trackRevisions>false</trackRevisions>
    </reviewItem>
    <reviewItem>
      <errorID>193679c2-610b-4eff-bf7d-61dfc5a8004f</errorID>
      <errorWord>.</errorWord>
      <group>L1_Format</group>
      <groupName>格式问题</groupName>
      <ability>L2_HalfPunc_CN</ability>
      <abilityName>全半角问题</abilityName>
      <candidateList>
        <item>。</item>
      </candidateList>
      <explain>文本全半角错误。</explain>
      <paraID>4FC26BFF</paraID>
      <start>1308</start>
      <end>1309</end>
      <status>unmodified</status>
      <modifiedWord/>
      <trackRevisions>false</trackRevisions>
    </reviewItem>
    <reviewItem>
      <errorID>e2526ed4-217e-46ba-b67f-d172430ca5c1</errorID>
      <errorWord>.</errorWord>
      <group>L1_Format</group>
      <groupName>格式问题</groupName>
      <ability>L2_HalfPunc_CN</ability>
      <abilityName>全半角问题</abilityName>
      <candidateList>
        <item>。</item>
      </candidateList>
      <explain>文本全半角错误。</explain>
      <paraID>4FC26BFF</paraID>
      <start>1313</start>
      <end>1314</end>
      <status>unmodified</status>
      <modifiedWord/>
      <trackRevisions>false</trackRevisions>
    </reviewItem>
    <reviewItem>
      <errorID>dbc78f67-0239-4ddf-b19f-7e1eca2bc235</errorID>
      <errorWord>.</errorWord>
      <group>L1_Format</group>
      <groupName>格式问题</groupName>
      <ability>L2_HalfPunc_CN</ability>
      <abilityName>全半角问题</abilityName>
      <candidateList>
        <item>。</item>
      </candidateList>
      <explain>文本全半角错误。</explain>
      <paraID>4FC26BFF</paraID>
      <start>1318</start>
      <end>1319</end>
      <status>unmodified</status>
      <modifiedWord/>
      <trackRevisions>false</trackRevisions>
    </reviewItem>
    <reviewItem>
      <errorID>c90cdbb4-13bd-4366-8bdd-16662dfd1c8e</errorID>
      <errorWord>.</errorWord>
      <group>L1_Format</group>
      <groupName>格式问题</groupName>
      <ability>L2_HalfPunc_CN</ability>
      <abilityName>全半角问题</abilityName>
      <candidateList>
        <item>。</item>
      </candidateList>
      <explain>文本全半角错误。</explain>
      <paraID>4FC26BFF</paraID>
      <start>1323</start>
      <end>1324</end>
      <status>unmodified</status>
      <modifiedWord/>
      <trackRevisions>false</trackRevisions>
    </reviewItem>
    <reviewItem>
      <errorID>eb0184cf-f25e-4753-ba29-8b2c6afaf463</errorID>
      <errorWord>:</errorWord>
      <group>L1_Format</group>
      <groupName>格式问题</groupName>
      <ability>L2_HalfPunc_CN</ability>
      <abilityName>全半角问题</abilityName>
      <candidateList>
        <item>：</item>
      </candidateList>
      <explain>文本全半角错误。</explain>
      <paraID>4FC26BFF</paraID>
      <start>1473</start>
      <end>1474</end>
      <status>unmodified</status>
      <modifiedWord/>
      <trackRevisions>false</trackRevisions>
    </reviewItem>
    <reviewItem>
      <errorID>3a8abe54-faf2-4779-8ac3-569de5c4cbc7</errorID>
      <errorWord>.</errorWord>
      <group>L1_Format</group>
      <groupName>格式问题</groupName>
      <ability>L2_HalfPunc_CN</ability>
      <abilityName>全半角问题</abilityName>
      <candidateList>
        <item>。</item>
      </candidateList>
      <explain>文本全半角错误。</explain>
      <paraID>4FC26BFF</paraID>
      <start>1478</start>
      <end>1479</end>
      <status>unmodified</status>
      <modifiedWord/>
      <trackRevisions>false</trackRevisions>
    </reviewItem>
    <reviewItem>
      <errorID>596fcc1b-be77-4bd7-b829-98b0f41eb06b</errorID>
      <errorWord>.</errorWord>
      <group>L1_Format</group>
      <groupName>格式问题</groupName>
      <ability>L2_HalfPunc_CN</ability>
      <abilityName>全半角问题</abilityName>
      <candidateList>
        <item>。</item>
      </candidateList>
      <explain>文本全半角错误。</explain>
      <paraID>4FC26BFF</paraID>
      <start>1483</start>
      <end>1484</end>
      <status>unmodified</status>
      <modifiedWord/>
      <trackRevisions>false</trackRevisions>
    </reviewItem>
    <reviewItem>
      <errorID>959851d9-e6d9-45c5-96c8-5bf807d34907</errorID>
      <errorWord>.</errorWord>
      <group>L1_Format</group>
      <groupName>格式问题</groupName>
      <ability>L2_HalfPunc_CN</ability>
      <abilityName>全半角问题</abilityName>
      <candidateList>
        <item>。</item>
      </candidateList>
      <explain>文本全半角错误。</explain>
      <paraID>4FC26BFF</paraID>
      <start>1488</start>
      <end>1489</end>
      <status>unmodified</status>
      <modifiedWord/>
      <trackRevisions>false</trackRevisions>
    </reviewItem>
    <reviewItem>
      <errorID>ebbf4639-711f-4906-b514-ab5b2603d774</errorID>
      <errorWord>.</errorWord>
      <group>L1_Format</group>
      <groupName>格式问题</groupName>
      <ability>L2_HalfPunc_CN</ability>
      <abilityName>全半角问题</abilityName>
      <candidateList>
        <item>。</item>
      </candidateList>
      <explain>文本全半角错误。</explain>
      <paraID>4FC26BFF</paraID>
      <start>1550</start>
      <end>1551</end>
      <status>unmodified</status>
      <modifiedWord/>
      <trackRevisions>false</trackRevisions>
    </reviewItem>
    <reviewItem>
      <errorID>f14dd42a-e0bc-464b-915f-9547e1947bd1</errorID>
      <errorWord>.</errorWord>
      <group>L1_Format</group>
      <groupName>格式问题</groupName>
      <ability>L2_HalfPunc_CN</ability>
      <abilityName>全半角问题</abilityName>
      <candidateList>
        <item>。</item>
      </candidateList>
      <explain>文本全半角错误。</explain>
      <paraID>4FC26BFF</paraID>
      <start>1553</start>
      <end>1554</end>
      <status>unmodified</status>
      <modifiedWord/>
      <trackRevisions>false</trackRevisions>
    </reviewItem>
    <reviewItem>
      <errorID>0b6d12dc-06d4-45d9-b7fb-c7b85c919296</errorID>
      <errorWord>.</errorWord>
      <group>L1_Format</group>
      <groupName>格式问题</groupName>
      <ability>L2_HalfPunc_CN</ability>
      <abilityName>全半角问题</abilityName>
      <candidateList>
        <item>。</item>
      </candidateList>
      <explain>文本全半角错误。</explain>
      <paraID>4FC26BFF</paraID>
      <start>1685</start>
      <end>1686</end>
      <status>unmodified</status>
      <modifiedWord/>
      <trackRevisions>false</trackRevisions>
    </reviewItem>
    <reviewItem>
      <errorID>b22c8269-6d6c-4c1f-aa5a-50760541400f</errorID>
      <errorWord>.</errorWord>
      <group>L1_Format</group>
      <groupName>格式问题</groupName>
      <ability>L2_HalfPunc_CN</ability>
      <abilityName>全半角问题</abilityName>
      <candidateList>
        <item>。</item>
      </candidateList>
      <explain>文本全半角错误。</explain>
      <paraID>4FC26BFF</paraID>
      <start>1689</start>
      <end>1690</end>
      <status>unmodified</status>
      <modifiedWord/>
      <trackRevisions>false</trackRevisions>
    </reviewItem>
    <reviewItem>
      <errorID>ba4174e0-0bf2-4423-bae3-ad5063c51a81</errorID>
      <errorWord>.</errorWord>
      <group>L1_Format</group>
      <groupName>格式问题</groupName>
      <ability>L2_HalfPunc_CN</ability>
      <abilityName>全半角问题</abilityName>
      <candidateList>
        <item>。</item>
      </candidateList>
      <explain>文本全半角错误。</explain>
      <paraID>4FC26BFF</paraID>
      <start>1801</start>
      <end>1802</end>
      <status>unmodified</status>
      <modifiedWord/>
      <trackRevisions>false</trackRevisions>
    </reviewItem>
    <reviewItem>
      <errorID>def359f8-09c5-4a6a-8696-a6f644225776</errorID>
      <errorWord>.</errorWord>
      <group>L1_Format</group>
      <groupName>格式问题</groupName>
      <ability>L2_HalfPunc_CN</ability>
      <abilityName>全半角问题</abilityName>
      <candidateList>
        <item>。</item>
      </candidateList>
      <explain>文本全半角错误。</explain>
      <paraID>4FC26BFF</paraID>
      <start>2023</start>
      <end>2024</end>
      <status>unmodified</status>
      <modifiedWord/>
      <trackRevisions>false</trackRevisions>
    </reviewItem>
    <reviewItem>
      <errorID>df8f7a0a-0a69-4107-a301-f98c805e21d0</errorID>
      <errorWord>.</errorWord>
      <group>L1_Format</group>
      <groupName>格式问题</groupName>
      <ability>L2_HalfPunc_CN</ability>
      <abilityName>全半角问题</abilityName>
      <candidateList>
        <item>。</item>
      </candidateList>
      <explain>文本全半角错误。</explain>
      <paraID>4FC26BFF</paraID>
      <start>2075</start>
      <end>2076</end>
      <status>unmodified</status>
      <modifiedWord/>
      <trackRevisions>false</trackRevisions>
    </reviewItem>
    <reviewItem>
      <errorID>92612e48-cf45-4d02-9d8e-2983b7095d48</errorID>
      <errorWord>元素的</errorWord>
      <group>L1_Word</group>
      <groupName>字词问题</groupName>
      <ability>L2_Typo</ability>
      <abilityName>字词错误</abilityName>
      <candidateList>
        <item>元素</item>
      </candidateList>
      <explain>〈名〉❶要素。❷在代数学中组成联合的各个部分，如723和312中的7，2，3，1。在几何学中构成图形的各个部分，如构成三角形的边和角。❸化学上指具有相同核电荷数（即相同质子数）的同一类原子的总称，如氧元素、铁元素。</explain>
      <paraID>4FC26BFF</paraID>
      <start>2274</start>
      <end>2277</end>
      <status>unmodified</status>
      <modifiedWord/>
      <trackRevisions>false</trackRevisions>
    </reviewItem>
    <reviewItem>
      <errorID>3a07667a-95e4-4089-b501-4d9b779961ab</errorID>
      <errorWord>.</errorWord>
      <group>L1_Format</group>
      <groupName>格式问题</groupName>
      <ability>L2_HalfPunc_CN</ability>
      <abilityName>全半角问题</abilityName>
      <candidateList>
        <item>。</item>
      </candidateList>
      <explain>文本全半角错误。</explain>
      <paraID>4FC26BFF</paraID>
      <start>2346</start>
      <end>2347</end>
      <status>unmodified</status>
      <modifiedWord/>
      <trackRevisions>false</trackRevisions>
    </reviewItem>
    <reviewItem>
      <errorID>f9239f7d-1647-4152-b3dc-9f8caee10cab</errorID>
      <errorWord>.</errorWord>
      <group>L1_Format</group>
      <groupName>格式问题</groupName>
      <ability>L2_HalfPunc_CN</ability>
      <abilityName>全半角问题</abilityName>
      <candidateList>
        <item>。</item>
      </candidateList>
      <explain>文本全半角错误。</explain>
      <paraID>4FC26BFF</paraID>
      <start>2376</start>
      <end>2377</end>
      <status>unmodified</status>
      <modifiedWord/>
      <trackRevisions>false</trackRevisions>
    </reviewItem>
    <reviewItem>
      <errorID>bef617b3-a0e5-4897-91a7-a40afa886651</errorID>
      <errorWord>.</errorWord>
      <group>L1_Format</group>
      <groupName>格式问题</groupName>
      <ability>L2_HalfPunc_CN</ability>
      <abilityName>全半角问题</abilityName>
      <candidateList>
        <item>。</item>
      </candidateList>
      <explain>文本全半角错误。</explain>
      <paraID>4FC26BFF</paraID>
      <start>2440</start>
      <end>2441</end>
      <status>unmodified</status>
      <modifiedWord/>
      <trackRevisions>false</trackRevisions>
    </reviewItem>
    <reviewItem>
      <errorID>46c005eb-0da1-46ac-a0ed-84d4ccb892fe</errorID>
      <errorWord>.</errorWord>
      <group>L1_Format</group>
      <groupName>格式问题</groupName>
      <ability>L2_HalfPunc_CN</ability>
      <abilityName>全半角问题</abilityName>
      <candidateList>
        <item>。</item>
      </candidateList>
      <explain>文本全半角错误。</explain>
      <paraID>4FC26BFF</paraID>
      <start>2443</start>
      <end>2444</end>
      <status>unmodified</status>
      <modifiedWord/>
      <trackRevisions>false</trackRevisions>
    </reviewItem>
    <reviewItem>
      <errorID>b75e620f-0663-4651-a0b6-d3a10d245e8d</errorID>
      <errorWord>.</errorWord>
      <group>L1_Format</group>
      <groupName>格式问题</groupName>
      <ability>L2_HalfPunc_CN</ability>
      <abilityName>全半角问题</abilityName>
      <candidateList>
        <item>。</item>
      </candidateList>
      <explain>文本全半角错误。</explain>
      <paraID>4FC26BFF</paraID>
      <start>2446</start>
      <end>2447</end>
      <status>unmodified</status>
      <modifiedWord/>
      <trackRevisions>false</trackRevisions>
    </reviewItem>
    <reviewItem>
      <errorID>590bbed1-6b4f-4ab8-adb9-8d7b8189a84f</errorID>
      <errorWord>.</errorWord>
      <group>L1_Format</group>
      <groupName>格式问题</groupName>
      <ability>L2_HalfPunc_CN</ability>
      <abilityName>全半角问题</abilityName>
      <candidateList>
        <item>。</item>
      </candidateList>
      <explain>文本全半角错误。</explain>
      <paraID>6324ADCE</paraID>
      <start>85</start>
      <end>86</end>
      <status>unmodified</status>
      <modifiedWord/>
      <trackRevisions>false</trackRevisions>
    </reviewItem>
    <reviewItem>
      <errorID>5757bc5a-e985-4ffe-bccb-162614018e13</errorID>
      <errorWord>.</errorWord>
      <group>L1_Format</group>
      <groupName>格式问题</groupName>
      <ability>L2_HalfPunc_CN</ability>
      <abilityName>全半角问题</abilityName>
      <candidateList>
        <item>。</item>
      </candidateList>
      <explain>文本全半角错误。</explain>
      <paraID>6324ADCE</paraID>
      <start>270</start>
      <end>271</end>
      <status>unmodified</status>
      <modifiedWord/>
      <trackRevisions>false</trackRevisions>
    </reviewItem>
    <reviewItem>
      <errorID>542a6b27-8039-43a0-8b77-fd5dd514eaf2</errorID>
      <errorWord>.</errorWord>
      <group>L1_Format</group>
      <groupName>格式问题</groupName>
      <ability>L2_HalfPunc_CN</ability>
      <abilityName>全半角问题</abilityName>
      <candidateList>
        <item>。</item>
      </candidateList>
      <explain>文本全半角错误。</explain>
      <paraID>6324ADCE</paraID>
      <start>273</start>
      <end>274</end>
      <status>unmodified</status>
      <modifiedWord/>
      <trackRevisions>false</trackRevisions>
    </reviewItem>
    <reviewItem>
      <errorID>a996f72e-516c-4506-b6d2-48a2c7f42a67</errorID>
      <errorWord>.</errorWord>
      <group>L1_Format</group>
      <groupName>格式问题</groupName>
      <ability>L2_HalfPunc_CN</ability>
      <abilityName>全半角问题</abilityName>
      <candidateList>
        <item>。</item>
      </candidateList>
      <explain>文本全半角错误。</explain>
      <paraID>6324ADCE</paraID>
      <start>276</start>
      <end>277</end>
      <status>unmodified</status>
      <modifiedWord/>
      <trackRevisions>false</trackRevisions>
    </reviewItem>
    <reviewItem>
      <errorID>bbdd69eb-998e-4efe-abb3-73d4bc2046bb</errorID>
      <errorWord>.</errorWord>
      <group>L1_Format</group>
      <groupName>格式问题</groupName>
      <ability>L2_HalfPunc_CN</ability>
      <abilityName>全半角问题</abilityName>
      <candidateList>
        <item>。</item>
      </candidateList>
      <explain>文本全半角错误。</explain>
      <paraID>6324ADCE</paraID>
      <start>279</start>
      <end>280</end>
      <status>unmodified</status>
      <modifiedWord/>
      <trackRevisions>false</trackRevisions>
    </reviewItem>
    <reviewItem>
      <errorID>bb2d4ae8-6316-4b7d-907a-e0d367d877b0</errorID>
      <errorWord>.</errorWord>
      <group>L1_Format</group>
      <groupName>格式问题</groupName>
      <ability>L2_HalfPunc_CN</ability>
      <abilityName>全半角问题</abilityName>
      <candidateList>
        <item>。</item>
      </candidateList>
      <explain>文本全半角错误。</explain>
      <paraID>4E847AD4</paraID>
      <start>46</start>
      <end>47</end>
      <status>unmodified</status>
      <modifiedWord/>
      <trackRevisions>false</trackRevisions>
    </reviewItem>
    <reviewItem>
      <errorID>fbc52d45-745e-46f3-aa61-c42f9fa47980</errorID>
      <errorWord>.</errorWord>
      <group>L1_Format</group>
      <groupName>格式问题</groupName>
      <ability>L2_HalfPunc_CN</ability>
      <abilityName>全半角问题</abilityName>
      <candidateList>
        <item>。</item>
      </candidateList>
      <explain>文本全半角错误。</explain>
      <paraID>4E847AD4</paraID>
      <start>52</start>
      <end>53</end>
      <status>unmodified</status>
      <modifiedWord/>
      <trackRevisions>false</trackRevisions>
    </reviewItem>
    <reviewItem>
      <errorID>e19501f0-a566-41e1-ac45-4a83c02ca6bb</errorID>
      <errorWord>.</errorWord>
      <group>L1_Format</group>
      <groupName>格式问题</groupName>
      <ability>L2_HalfPunc_CN</ability>
      <abilityName>全半角问题</abilityName>
      <candidateList>
        <item>。</item>
      </candidateList>
      <explain>文本全半角错误。</explain>
      <paraID>1B78197D</paraID>
      <start>23</start>
      <end>24</end>
      <status>unmodified</status>
      <modifiedWord/>
      <trackRevisions>false</trackRevisions>
    </reviewItem>
    <reviewItem>
      <errorID>4eea5d13-c9e8-43af-9f09-48479fb61edd</errorID>
      <errorWord>.</errorWord>
      <group>L1_Format</group>
      <groupName>格式问题</groupName>
      <ability>L2_HalfPunc_CN</ability>
      <abilityName>全半角问题</abilityName>
      <candidateList>
        <item>。</item>
      </candidateList>
      <explain>文本全半角错误。</explain>
      <paraID>1B78197D</paraID>
      <start>28</start>
      <end>29</end>
      <status>unmodified</status>
      <modifiedWord/>
      <trackRevisions>false</trackRevisions>
    </reviewItem>
    <reviewItem>
      <errorID>a45c7f81-cb82-4291-beec-e96f3f901ea3</errorID>
      <errorWord>.</errorWord>
      <group>L1_Format</group>
      <groupName>格式问题</groupName>
      <ability>L2_HalfPunc_CN</ability>
      <abilityName>全半角问题</abilityName>
      <candidateList>
        <item>。</item>
      </candidateList>
      <explain>文本全半角错误。</explain>
      <paraID>1B78197D</paraID>
      <start>293</start>
      <end>294</end>
      <status>unmodified</status>
      <modifiedWord/>
      <trackRevisions>false</trackRevisions>
    </reviewItem>
    <reviewItem>
      <errorID>db979308-68c9-47c9-aae3-84e638a9c028</errorID>
      <errorWord>~</errorWord>
      <group>L1_Format</group>
      <groupName>格式问题</groupName>
      <ability>L2_HalfPunc_CN</ability>
      <abilityName>全半角问题</abilityName>
      <candidateList>
        <item>～</item>
      </candidateList>
      <explain>文本全半角错误。</explain>
      <paraID>1B78197D</paraID>
      <start>312</start>
      <end>313</end>
      <status>unmodified</status>
      <modifiedWord/>
      <trackRevisions>false</trackRevisions>
    </reviewItem>
    <reviewItem>
      <errorID>e7494df5-5c3c-47e5-b7f3-3b14283078b7</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1B78197D</paraID>
      <start>316</start>
      <end>317</end>
      <status>unmodified</status>
      <modifiedWord/>
      <trackRevisions>false</trackRevisions>
    </reviewItem>
    <reviewItem>
      <errorID>665f7fc3-dbed-4694-90c9-f52bb0b64f49</errorID>
      <errorWord>.</errorWord>
      <group>L1_Format</group>
      <groupName>格式问题</groupName>
      <ability>L2_HalfPunc_CN</ability>
      <abilityName>全半角问题</abilityName>
      <candidateList>
        <item>。</item>
      </candidateList>
      <explain>文本全半角错误。</explain>
      <paraID>1C6145E9</paraID>
      <start>10</start>
      <end>11</end>
      <status>unmodified</status>
      <modifiedWord/>
      <trackRevisions>false</trackRevisions>
    </reviewItem>
    <reviewItem>
      <errorID>7f2b25e3-4c59-4922-a491-fc923af5fdbc</errorID>
      <errorWord>.</errorWord>
      <group>L1_Format</group>
      <groupName>格式问题</groupName>
      <ability>L2_HalfPunc_CN</ability>
      <abilityName>全半角问题</abilityName>
      <candidateList>
        <item>。</item>
      </candidateList>
      <explain>文本全半角错误。</explain>
      <paraID> FA14C2B</paraID>
      <start>2</start>
      <end>3</end>
      <status>unmodified</status>
      <modifiedWord/>
      <trackRevisions>false</trackRevisions>
    </reviewItem>
    <reviewItem>
      <errorID>d41ceedb-4b6d-48a2-8d21-09ff0c415577</errorID>
      <errorWord>好</errorWord>
      <group>L1_Word</group>
      <groupName>字词问题</groupName>
      <ability>L2_Typo</ability>
      <abilityName>字词错误</abilityName>
      <candidateList>
        <item>好地</item>
      </candidateList>
      <explain/>
      <paraID>2FE85F1D</paraID>
      <start>90</start>
      <end>91</end>
      <status>unmodified</status>
      <modifiedWord/>
      <trackRevisions>false</trackRevisions>
    </reviewItem>
    <reviewItem>
      <errorID>37d6c648-c65d-4c0d-a494-8350831aa069</errorID>
      <errorWord>(</errorWord>
      <group>L1_Format</group>
      <groupName>格式问题</groupName>
      <ability>L2_HalfPunc_CN</ability>
      <abilityName>全半角问题</abilityName>
      <candidateList>
        <item>（</item>
      </candidateList>
      <explain>文本全半角错误。</explain>
      <paraID>2FE85F1D</paraID>
      <start>228</start>
      <end>229</end>
      <status>unmodified</status>
      <modifiedWord/>
      <trackRevisions>false</trackRevisions>
    </reviewItem>
    <reviewItem>
      <errorID>42e4e71f-ac9a-4ac6-8bba-e8cfd7e1e1f4</errorID>
      <errorWord>)</errorWord>
      <group>L1_Format</group>
      <groupName>格式问题</groupName>
      <ability>L2_HalfPunc_CN</ability>
      <abilityName>全半角问题</abilityName>
      <candidateList>
        <item>）</item>
      </candidateList>
      <explain>文本全半角错误。</explain>
      <paraID>2FE85F1D</paraID>
      <start>231</start>
      <end>232</end>
      <status>unmodified</status>
      <modifiedWord/>
      <trackRevisions>false</trackRevisions>
    </reviewItem>
    <reviewItem>
      <errorID>2f3440a5-9fa8-4f9e-a0cc-9a5ddecf4b2d</errorID>
      <errorWord>.</errorWord>
      <group>L1_Format</group>
      <groupName>格式问题</groupName>
      <ability>L2_HalfPunc_CN</ability>
      <abilityName>全半角问题</abilityName>
      <candidateList>
        <item>。</item>
      </candidateList>
      <explain>文本全半角错误。</explain>
      <paraID>7111F937</paraID>
      <start>20</start>
      <end>21</end>
      <status>unmodified</status>
      <modifiedWord/>
      <trackRevisions>false</trackRevisions>
    </reviewItem>
    <reviewItem>
      <errorID>e8ae73da-fc95-4f49-bec7-e76028c53097</errorID>
      <errorWord>.</errorWord>
      <group>L1_Format</group>
      <groupName>格式问题</groupName>
      <ability>L2_HalfPunc_CN</ability>
      <abilityName>全半角问题</abilityName>
      <candidateList>
        <item>。</item>
      </candidateList>
      <explain>文本全半角错误。</explain>
      <paraID>7111F937</paraID>
      <start>37</start>
      <end>38</end>
      <status>unmodified</status>
      <modifiedWord/>
      <trackRevisions>false</trackRevisions>
    </reviewItem>
    <reviewItem>
      <errorID>4c64e161-c2ae-44d0-8006-8cd5de83192e</errorID>
      <errorWord>.</errorWord>
      <group>L1_Format</group>
      <groupName>格式问题</groupName>
      <ability>L2_HalfPunc_CN</ability>
      <abilityName>全半角问题</abilityName>
      <candidateList>
        <item>。</item>
      </candidateList>
      <explain>文本全半角错误。</explain>
      <paraID>7111F937</paraID>
      <start>40</start>
      <end>41</end>
      <status>unmodified</status>
      <modifiedWord/>
      <trackRevisions>false</trackRevisions>
    </reviewItem>
    <reviewItem>
      <errorID>e732709a-620a-4785-8356-17d97cd15f02</errorID>
      <errorWord>.</errorWord>
      <group>L1_Format</group>
      <groupName>格式问题</groupName>
      <ability>L2_HalfPunc_CN</ability>
      <abilityName>全半角问题</abilityName>
      <candidateList>
        <item>。</item>
      </candidateList>
      <explain>文本全半角错误。</explain>
      <paraID>7111F937</paraID>
      <start>62</start>
      <end>63</end>
      <status>unmodified</status>
      <modifiedWord/>
      <trackRevisions>false</trackRevisions>
    </reviewItem>
    <reviewItem>
      <errorID>698f762c-aa45-416d-90a8-3eef2aa4fcf8</errorID>
      <errorWord>.</errorWord>
      <group>L1_Format</group>
      <groupName>格式问题</groupName>
      <ability>L2_HalfPunc_CN</ability>
      <abilityName>全半角问题</abilityName>
      <candidateList>
        <item>。</item>
      </candidateList>
      <explain>文本全半角错误。</explain>
      <paraID>7111F937</paraID>
      <start>65</start>
      <end>66</end>
      <status>unmodified</status>
      <modifiedWord/>
      <trackRevisions>false</trackRevisions>
    </reviewItem>
    <reviewItem>
      <errorID>48d2acd4-b1f2-40cf-9562-209772ce249b</errorID>
      <errorWord>.</errorWord>
      <group>L1_Format</group>
      <groupName>格式问题</groupName>
      <ability>L2_HalfPunc_CN</ability>
      <abilityName>全半角问题</abilityName>
      <candidateList>
        <item>。</item>
      </candidateList>
      <explain>文本全半角错误。</explain>
      <paraID>7111F937</paraID>
      <start>80</start>
      <end>81</end>
      <status>unmodified</status>
      <modifiedWord/>
      <trackRevisions>false</trackRevisions>
    </reviewItem>
    <reviewItem>
      <errorID>39924823-b3fb-4e16-a683-c09747e85441</errorID>
      <errorWord>.</errorWord>
      <group>L1_Format</group>
      <groupName>格式问题</groupName>
      <ability>L2_HalfPunc_CN</ability>
      <abilityName>全半角问题</abilityName>
      <candidateList>
        <item>。</item>
      </candidateList>
      <explain>文本全半角错误。</explain>
      <paraID>7111F937</paraID>
      <start>93</start>
      <end>94</end>
      <status>unmodified</status>
      <modifiedWord/>
      <trackRevisions>false</trackRevisions>
    </reviewItem>
    <reviewItem>
      <errorID>f6a8db47-bcd5-4334-a4f3-2fdcf136c9c9</errorID>
      <errorWord>.</errorWord>
      <group>L1_Format</group>
      <groupName>格式问题</groupName>
      <ability>L2_HalfPunc_CN</ability>
      <abilityName>全半角问题</abilityName>
      <candidateList>
        <item>。</item>
      </candidateList>
      <explain>文本全半角错误。</explain>
      <paraID>7111F937</paraID>
      <start>175</start>
      <end>176</end>
      <status>unmodified</status>
      <modifiedWord/>
      <trackRevisions>false</trackRevisions>
    </reviewItem>
    <reviewItem>
      <errorID>0ea46df2-0ae3-47a1-b26b-31250f2c1922</errorID>
      <errorWord>.</errorWord>
      <group>L1_Format</group>
      <groupName>格式问题</groupName>
      <ability>L2_HalfPunc_CN</ability>
      <abilityName>全半角问题</abilityName>
      <candidateList>
        <item>。</item>
      </candidateList>
      <explain>文本全半角错误。</explain>
      <paraID>7111F937</paraID>
      <start>178</start>
      <end>179</end>
      <status>unmodified</status>
      <modifiedWord/>
      <trackRevisions>false</trackRevisions>
    </reviewItem>
    <reviewItem>
      <errorID>3c250904-d169-43d5-8887-fcfd703af5c3</errorID>
      <errorWord>.</errorWord>
      <group>L1_Format</group>
      <groupName>格式问题</groupName>
      <ability>L2_HalfPunc_CN</ability>
      <abilityName>全半角问题</abilityName>
      <candidateList>
        <item>。</item>
      </candidateList>
      <explain>文本全半角错误。</explain>
      <paraID>7111F937</paraID>
      <start>192</start>
      <end>193</end>
      <status>unmodified</status>
      <modifiedWord/>
      <trackRevisions>false</trackRevisions>
    </reviewItem>
    <reviewItem>
      <errorID>ef5f6a35-7812-48ed-9811-b0210b838cff</errorID>
      <errorWord>.</errorWord>
      <group>L1_Format</group>
      <groupName>格式问题</groupName>
      <ability>L2_HalfPunc_CN</ability>
      <abilityName>全半角问题</abilityName>
      <candidateList>
        <item>。</item>
      </candidateList>
      <explain>文本全半角错误。</explain>
      <paraID>7111F937</paraID>
      <start>197</start>
      <end>198</end>
      <status>unmodified</status>
      <modifiedWord/>
      <trackRevisions>false</trackRevisions>
    </reviewItem>
    <reviewItem>
      <errorID>b72c3776-d1c7-4d4d-91df-0083429cdbdd</errorID>
      <errorWord>设觉</errorWord>
      <group>L1_Word</group>
      <groupName>字词问题</groupName>
      <ability>L2_Typo</ability>
      <abilityName>字词错误</abilityName>
      <candidateList>
        <item>视觉</item>
      </candidateList>
      <explain/>
      <paraID>7111F937</paraID>
      <start>198</start>
      <end>200</end>
      <status>unmodified</status>
      <modifiedWord/>
      <trackRevisions>false</trackRevisions>
    </reviewItem>
    <reviewItem>
      <errorID>cc4c7edb-cc47-44c0-8e07-2b46744ad4e0</errorID>
      <errorWord>.</errorWord>
      <group>L1_Format</group>
      <groupName>格式问题</groupName>
      <ability>L2_HalfPunc_CN</ability>
      <abilityName>全半角问题</abilityName>
      <candidateList>
        <item>。</item>
      </candidateList>
      <explain>文本全半角错误。</explain>
      <paraID>7111F937</paraID>
      <start>380</start>
      <end>381</end>
      <status>unmodified</status>
      <modifiedWord/>
      <trackRevisions>false</trackRevisions>
    </reviewItem>
    <reviewItem>
      <errorID>6f7664ae-9875-4ed8-aba9-6c114689c84f</errorID>
      <errorWord>.</errorWord>
      <group>L1_Format</group>
      <groupName>格式问题</groupName>
      <ability>L2_HalfPunc_CN</ability>
      <abilityName>全半角问题</abilityName>
      <candidateList>
        <item>。</item>
      </candidateList>
      <explain>文本全半角错误。</explain>
      <paraID>7111F937</paraID>
      <start>426</start>
      <end>427</end>
      <status>unmodified</status>
      <modifiedWord/>
      <trackRevisions>false</trackRevisions>
    </reviewItem>
    <reviewItem>
      <errorID>9971d935-3b51-49ba-a53f-4eb7814451d8</errorID>
      <errorWord>.</errorWord>
      <group>L1_Format</group>
      <groupName>格式问题</groupName>
      <ability>L2_HalfPunc_CN</ability>
      <abilityName>全半角问题</abilityName>
      <candidateList>
        <item>。</item>
      </candidateList>
      <explain>文本全半角错误。</explain>
      <paraID>7111F937</paraID>
      <start>433</start>
      <end>434</end>
      <status>unmodified</status>
      <modifiedWord/>
      <trackRevisions>false</trackRevisions>
    </reviewItem>
    <reviewItem>
      <errorID>17b70164-3e10-4c6b-92d3-6b6639ba262e</errorID>
      <errorWord>.</errorWord>
      <group>L1_Format</group>
      <groupName>格式问题</groupName>
      <ability>L2_HalfPunc_CN</ability>
      <abilityName>全半角问题</abilityName>
      <candidateList>
        <item>。</item>
      </candidateList>
      <explain>文本全半角错误。</explain>
      <paraID>7111F937</paraID>
      <start>465</start>
      <end>466</end>
      <status>unmodified</status>
      <modifiedWord/>
      <trackRevisions>false</trackRevisions>
    </reviewItem>
    <reviewItem>
      <errorID>6c57e02f-ab5d-4e14-a272-a03bcb24ca2b</errorID>
      <errorWord>,</errorWord>
      <group>L1_Format</group>
      <groupName>格式问题</groupName>
      <ability>L2_HalfPunc_CN</ability>
      <abilityName>全半角问题</abilityName>
      <candidateList>
        <item>，</item>
      </candidateList>
      <explain>文本全半角错误。</explain>
      <paraID>7111F937</paraID>
      <start>518</start>
      <end>519</end>
      <status>unmodified</status>
      <modifiedWord/>
      <trackRevisions>false</trackRevisions>
    </reviewItem>
    <reviewItem>
      <errorID>a21c78f0-9d9d-401a-b4bc-10c0ccd09767</errorID>
      <errorWord>II等</errorWord>
      <group>L1_Word</group>
      <groupName>字词问题</groupName>
      <ability>L2_Typo</ability>
      <abilityName>字词错误</abilityName>
      <candidateList>
        <item>Ⅱ等</item>
      </candidateList>
      <explain/>
      <paraID>4014A705</paraID>
      <start>19</start>
      <end>22</end>
      <status>unmodified</status>
      <modifiedWord/>
      <trackRevisions>false</trackRevisions>
    </reviewItem>
    <reviewItem>
      <errorID>2b6cd27a-9c24-42c1-bf7f-f828ddec3678</errorID>
      <errorWord>.</errorWord>
      <group>L1_Format</group>
      <groupName>格式问题</groupName>
      <ability>L2_HalfPunc_CN</ability>
      <abilityName>全半角问题</abilityName>
      <candidateList>
        <item>。</item>
      </candidateList>
      <explain>文本全半角错误。</explain>
      <paraID>3D59517B</paraID>
      <start>20</start>
      <end>21</end>
      <status>unmodified</status>
      <modifiedWord/>
      <trackRevisions>false</trackRevisions>
    </reviewItem>
    <reviewItem>
      <errorID>7536103a-0cca-4cbd-a444-cf006262d468</errorID>
      <errorWord>.</errorWord>
      <group>L1_Format</group>
      <groupName>格式问题</groupName>
      <ability>L2_HalfPunc_CN</ability>
      <abilityName>全半角问题</abilityName>
      <candidateList>
        <item>。</item>
      </candidateList>
      <explain>文本全半角错误。</explain>
      <paraID>3D59517B</paraID>
      <start>25</start>
      <end>26</end>
      <status>unmodified</status>
      <modifiedWord/>
      <trackRevisions>false</trackRevisions>
    </reviewItem>
    <reviewItem>
      <errorID>86431766-4fa6-48ba-9a05-25b2b4ac4c1c</errorID>
      <errorWord>.</errorWord>
      <group>L1_Format</group>
      <groupName>格式问题</groupName>
      <ability>L2_HalfPunc_CN</ability>
      <abilityName>全半角问题</abilityName>
      <candidateList>
        <item>。</item>
      </candidateList>
      <explain>文本全半角错误。</explain>
      <paraID>3D59517B</paraID>
      <start>30</start>
      <end>31</end>
      <status>unmodified</status>
      <modifiedWord/>
      <trackRevisions>false</trackRevisions>
    </reviewItem>
    <reviewItem>
      <errorID>0feaff07-4267-4930-9106-ac0657620a95</errorID>
      <errorWord>.</errorWord>
      <group>L1_Format</group>
      <groupName>格式问题</groupName>
      <ability>L2_HalfPunc_CN</ability>
      <abilityName>全半角问题</abilityName>
      <candidateList>
        <item>。</item>
      </candidateList>
      <explain>文本全半角错误。</explain>
      <paraID>3D59517B</paraID>
      <start>35</start>
      <end>36</end>
      <status>unmodified</status>
      <modifiedWord/>
      <trackRevisions>false</trackRevisions>
    </reviewItem>
    <reviewItem>
      <errorID>2f5a0e99-1c8b-460a-8684-1b8b79201a9f</errorID>
      <errorWord>.</errorWord>
      <group>L1_Format</group>
      <groupName>格式问题</groupName>
      <ability>L2_HalfPunc_CN</ability>
      <abilityName>全半角问题</abilityName>
      <candidateList>
        <item>。</item>
      </candidateList>
      <explain>文本全半角错误。</explain>
      <paraID>3D59517B</paraID>
      <start>40</start>
      <end>41</end>
      <status>unmodified</status>
      <modifiedWord/>
      <trackRevisions>false</trackRevisions>
    </reviewItem>
    <reviewItem>
      <errorID>53e78793-5453-42ea-b96f-3fd8944fd76d</errorID>
      <errorWord>.</errorWord>
      <group>L1_Format</group>
      <groupName>格式问题</groupName>
      <ability>L2_HalfPunc_CN</ability>
      <abilityName>全半角问题</abilityName>
      <candidateList>
        <item>。</item>
      </candidateList>
      <explain>文本全半角错误。</explain>
      <paraID>3D59517B</paraID>
      <start>46</start>
      <end>47</end>
      <status>unmodified</status>
      <modifiedWord/>
      <trackRevisions>false</trackRevisions>
    </reviewItem>
    <reviewItem>
      <errorID>963cb98d-63c7-42ca-b893-da91c39ea0d4</errorID>
      <errorWord>.</errorWord>
      <group>L1_Format</group>
      <groupName>格式问题</groupName>
      <ability>L2_HalfPunc_CN</ability>
      <abilityName>全半角问题</abilityName>
      <candidateList>
        <item>。</item>
      </candidateList>
      <explain>文本全半角错误。</explain>
      <paraID>3D59517B</paraID>
      <start>128</start>
      <end>129</end>
      <status>unmodified</status>
      <modifiedWord/>
      <trackRevisions>false</trackRevisions>
    </reviewItem>
    <reviewItem>
      <errorID>a8eb7caf-fe44-4401-ac9d-bc3aa6a17d6c</errorID>
      <errorWord>断</errorWord>
      <group>L1_Word</group>
      <groupName>字词问题</groupName>
      <ability>L2_Typo</ability>
      <abilityName>字词错误</abilityName>
      <candidateList>
        <item>切断</item>
      </candidateList>
      <explain/>
      <paraID>3D59517B</paraID>
      <start>233</start>
      <end>234</end>
      <status>unmodified</status>
      <modifiedWord/>
      <trackRevisions>false</trackRevisions>
    </reviewItem>
    <reviewItem>
      <errorID>3d750e46-023f-47a8-b98b-7c34a3a9c913</errorID>
      <errorWord>针对针对</errorWord>
      <group>L1_Word</group>
      <groupName>字词问题</groupName>
      <ability>L2_Typo</ability>
      <abilityName>字词错误</abilityName>
      <candidateList>
        <item>针对</item>
      </candidateList>
      <explain>〈动〉对准：～儿童的心理特点进行教育｜这些不都是～某个人的。</explain>
      <paraID>1BDA88DF</paraID>
      <start>2</start>
      <end>6</end>
      <status>unmodified</status>
      <modifiedWord/>
      <trackRevisions>false</trackRevisions>
    </reviewItem>
    <reviewItem>
      <errorID>bac6b0ee-617f-4958-b6d9-ad0f782299e0</errorID>
      <errorWord>.</errorWord>
      <group>L1_Format</group>
      <groupName>格式问题</groupName>
      <ability>L2_HalfPunc_CN</ability>
      <abilityName>全半角问题</abilityName>
      <candidateList>
        <item>。</item>
      </candidateList>
      <explain>文本全半角错误。</explain>
      <paraID>1BDA88DF</paraID>
      <start>21</start>
      <end>22</end>
      <status>unmodified</status>
      <modifiedWord/>
      <trackRevisions>false</trackRevisions>
    </reviewItem>
    <reviewItem>
      <errorID>9fafdb45-f5fd-4789-824f-e224cd506cd6</errorID>
      <errorWord>.</errorWord>
      <group>L1_Format</group>
      <groupName>格式问题</groupName>
      <ability>L2_HalfPunc_CN</ability>
      <abilityName>全半角问题</abilityName>
      <candidateList>
        <item>。</item>
      </candidateList>
      <explain>文本全半角错误。</explain>
      <paraID>1BDA88DF</paraID>
      <start>25</start>
      <end>26</end>
      <status>unmodified</status>
      <modifiedWord/>
      <trackRevisions>false</trackRevisions>
    </reviewItem>
    <reviewItem>
      <errorID>2f8cb1b9-3cce-460b-a040-e7c263a3aafd</errorID>
      <errorWord>.</errorWord>
      <group>L1_Format</group>
      <groupName>格式问题</groupName>
      <ability>L2_HalfPunc_CN</ability>
      <abilityName>全半角问题</abilityName>
      <candidateList>
        <item>。</item>
      </candidateList>
      <explain>文本全半角错误。</explain>
      <paraID>1BDA88DF</paraID>
      <start>109</start>
      <end>110</end>
      <status>unmodified</status>
      <modifiedWord/>
      <trackRevisions>false</trackRevisions>
    </reviewItem>
    <reviewItem>
      <errorID>6fc2f46d-418e-4bc9-acba-3ab89eca076a</errorID>
      <errorWord>.</errorWord>
      <group>L1_Format</group>
      <groupName>格式问题</groupName>
      <ability>L2_HalfPunc_CN</ability>
      <abilityName>全半角问题</abilityName>
      <candidateList>
        <item>。</item>
      </candidateList>
      <explain>文本全半角错误。</explain>
      <paraID>1BDA88DF</paraID>
      <start>114</start>
      <end>115</end>
      <status>unmodified</status>
      <modifiedWord/>
      <trackRevisions>false</trackRevisions>
    </reviewItem>
    <reviewItem>
      <errorID>a7ffa493-d193-439d-875e-624c6e1a3d38</errorID>
      <errorWord>.</errorWord>
      <group>L1_Format</group>
      <groupName>格式问题</groupName>
      <ability>L2_HalfPunc_CN</ability>
      <abilityName>全半角问题</abilityName>
      <candidateList>
        <item>。</item>
      </candidateList>
      <explain>文本全半角错误。</explain>
      <paraID>1BDA88DF</paraID>
      <start>119</start>
      <end>120</end>
      <status>unmodified</status>
      <modifiedWord/>
      <trackRevisions>false</trackRevisions>
    </reviewItem>
    <reviewItem>
      <errorID>1fda9b33-60fc-437b-b76a-586a1cb33eb0</errorID>
      <errorWord>.</errorWord>
      <group>L1_Format</group>
      <groupName>格式问题</groupName>
      <ability>L2_HalfPunc_CN</ability>
      <abilityName>全半角问题</abilityName>
      <candidateList>
        <item>。</item>
      </candidateList>
      <explain>文本全半角错误。</explain>
      <paraID>1BDA88DF</paraID>
      <start>124</start>
      <end>125</end>
      <status>unmodified</status>
      <modifiedWord/>
      <trackRevisions>false</trackRevisions>
    </reviewItem>
    <reviewItem>
      <errorID>747edb5f-dd4e-4eaa-8b0a-5473e5d8e340</errorID>
      <errorWord>.</errorWord>
      <group>L1_Format</group>
      <groupName>格式问题</groupName>
      <ability>L2_HalfPunc_CN</ability>
      <abilityName>全半角问题</abilityName>
      <candidateList>
        <item>。</item>
      </candidateList>
      <explain>文本全半角错误。</explain>
      <paraID>1BDA88DF</paraID>
      <start>129</start>
      <end>130</end>
      <status>unmodified</status>
      <modifiedWord/>
      <trackRevisions>false</trackRevisions>
    </reviewItem>
    <reviewItem>
      <errorID>ce7dc325-721f-4dce-adae-1e6a1372bfd5</errorID>
      <errorWord>.</errorWord>
      <group>L1_Format</group>
      <groupName>格式问题</groupName>
      <ability>L2_HalfPunc_CN</ability>
      <abilityName>全半角问题</abilityName>
      <candidateList>
        <item>。</item>
      </candidateList>
      <explain>文本全半角错误。</explain>
      <paraID>1BDA88DF</paraID>
      <start>135</start>
      <end>136</end>
      <status>unmodified</status>
      <modifiedWord/>
      <trackRevisions>false</trackRevisions>
    </reviewItem>
    <reviewItem>
      <errorID>44ceb10b-6016-48c8-8403-ffefaf60e51d</errorID>
      <errorWord>断</errorWord>
      <group>L1_Word</group>
      <groupName>字词问题</groupName>
      <ability>L2_Typo</ability>
      <abilityName>字词错误</abilityName>
      <candidateList>
        <item>切断</item>
      </candidateList>
      <explain/>
      <paraID>1BDA88DF</paraID>
      <start>365</start>
      <end>366</end>
      <status>unmodified</status>
      <modifiedWord/>
      <trackRevisions>false</trackRevisions>
    </reviewItem>
    <reviewItem>
      <errorID>1e06ef2d-e311-4cfc-86d3-8aa910f44248</errorID>
      <errorWord>:</errorWord>
      <group>L1_Format</group>
      <groupName>格式问题</groupName>
      <ability>L2_HalfPunc_CN</ability>
      <abilityName>全半角问题</abilityName>
      <candidateList>
        <item>：</item>
      </candidateList>
      <explain>文本全半角错误。</explain>
      <paraID>1BDA88DF</paraID>
      <start>377</start>
      <end>378</end>
      <status>unmodified</status>
      <modifiedWord/>
      <trackRevisions>false</trackRevisions>
    </reviewItem>
    <reviewItem>
      <errorID>2359aaf3-f417-449d-94cc-b6560d3180ef</errorID>
      <errorWord>)</errorWord>
      <group>L1_Format</group>
      <groupName>格式问题</groupName>
      <ability>L2_HalfPunc_CN</ability>
      <abilityName>全半角问题</abilityName>
      <candidateList>
        <item>）</item>
      </candidateList>
      <explain>文本全半角错误。</explain>
      <paraID>1BDA88DF</paraID>
      <start>389</start>
      <end>390</end>
      <status>unmodified</status>
      <modifiedWord/>
      <trackRevisions>false</trackRevisions>
    </reviewItem>
    <reviewItem>
      <errorID>118e0f6b-fd76-4c33-8c70-67fdae22a5b9</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 7B28861</paraID>
      <start>25</start>
      <end>26</end>
      <status>unmodified</status>
      <modifiedWord/>
      <trackRevisions>false</trackRevisions>
    </reviewItem>
    <reviewItem>
      <errorID>bfde0a70-935b-4de7-af68-a38b337c68ab</errorID>
      <errorWord>(</errorWord>
      <group>L1_Format</group>
      <groupName>格式问题</groupName>
      <ability>L2_HalfPunc_CN</ability>
      <abilityName>全半角问题</abilityName>
      <candidateList>
        <item>（</item>
      </candidateList>
      <explain>文本全半角错误。</explain>
      <paraID>389A3738</paraID>
      <start>11</start>
      <end>12</end>
      <status>unmodified</status>
      <modifiedWord/>
      <trackRevisions>false</trackRevisions>
    </reviewItem>
    <reviewItem>
      <errorID>50118f7a-e17a-49d2-89af-150efba454e1</errorID>
      <errorWord>)</errorWord>
      <group>L1_Format</group>
      <groupName>格式问题</groupName>
      <ability>L2_HalfPunc_CN</ability>
      <abilityName>全半角问题</abilityName>
      <candidateList>
        <item>）</item>
      </candidateList>
      <explain>文本全半角错误。</explain>
      <paraID>389A3738</paraID>
      <start>22</start>
      <end>23</end>
      <status>unmodified</status>
      <modifiedWord/>
      <trackRevisions>false</trackRevisions>
    </reviewItem>
    <reviewItem>
      <errorID>74535608-cb0a-47fc-866f-e82cbc7d2c80</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2FD8D047</paraID>
      <start>8</start>
      <end>9</end>
      <status>unmodified</status>
      <modifiedWord/>
      <trackRevisions>false</trackRevisions>
    </reviewItem>
    <reviewItem>
      <errorID>3c55aae1-24dd-493a-9798-11e1c907a157</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15E7CBAC</paraID>
      <start>71</start>
      <end>72</end>
      <status>unmodified</status>
      <modifiedWord/>
      <trackRevisions>false</trackRevisions>
    </reviewItem>
    <reviewItem>
      <errorID>776796fb-628c-4b4a-b86b-5271ec5beaf3</errorID>
      <errorWord>(</errorWord>
      <group>L1_Format</group>
      <groupName>格式问题</groupName>
      <ability>L2_HalfPunc_CN</ability>
      <abilityName>全半角问题</abilityName>
      <candidateList>
        <item>（</item>
      </candidateList>
      <explain>文本全半角错误。</explain>
      <paraID>34B82440</paraID>
      <start>8</start>
      <end>9</end>
      <status>unmodified</status>
      <modifiedWord/>
      <trackRevisions>false</trackRevisions>
    </reviewItem>
    <reviewItem>
      <errorID>ce38ef17-020d-4a74-bfc5-a7df2108f2fa</errorID>
      <errorWord>)</errorWord>
      <group>L1_Format</group>
      <groupName>格式问题</groupName>
      <ability>L2_HalfPunc_CN</ability>
      <abilityName>全半角问题</abilityName>
      <candidateList>
        <item>）</item>
      </candidateList>
      <explain>文本全半角错误。</explain>
      <paraID>34B82440</paraID>
      <start>19</start>
      <end>20</end>
      <status>unmodified</status>
      <modifiedWord/>
      <trackRevisions>false</trackRevisions>
    </reviewItem>
    <reviewItem>
      <errorID>466b6df6-e930-4ac2-be8d-5f1c4f00b603</errorID>
      <errorWord>[2011]300号</errorWord>
      <group>L1_Knowledge</group>
      <groupName>知识性问题</groupName>
      <ability>L2_Knowledge</ability>
      <abilityName>其他知识</abilityName>
      <candidateList>
        <item>〔2011〕300号</item>
      </candidateList>
      <explain>发文字号格式错误。</explain>
      <paraID>75529BC4</paraID>
      <start>35</start>
      <end>45</end>
      <status>unmodified</status>
      <modifiedWord/>
      <trackRevisions>false</trackRevisions>
    </reviewItem>
    <reviewItem>
      <errorID>8bac430f-28d8-4684-82ef-870261ba87c8</errorID>
      <errorWord>须</errorWord>
      <group>L1_Word</group>
      <groupName>字词问题</groupName>
      <ability>L2_Typo</ability>
      <abilityName>字词错误</abilityName>
      <candidateList>
        <item>需</item>
      </candidateList>
      <explain>存在发音相同字词的误用。</explain>
      <paraID>75529BC4</paraID>
      <start>82</start>
      <end>83</end>
      <status>unmodified</status>
      <modifiedWord/>
      <trackRevisions>false</trackRevisions>
    </reviewItem>
    <reviewItem>
      <errorID>5eba996f-ba88-4006-b941-046bb5dfdf15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626F190B</paraID>
      <start>0</start>
      <end>2</end>
      <status>unmodified</status>
      <modifiedWord/>
      <trackRevisions>false</trackRevisions>
    </reviewItem>
    <reviewItem>
      <errorID>196571d8-523e-4ee8-bfc5-4a4aff2f48fd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164F821E</paraID>
      <start>0</start>
      <end>2</end>
      <status>unmodified</status>
      <modifiedWord/>
      <trackRevisions>false</trackRevisions>
    </reviewItem>
    <reviewItem>
      <errorID>c076617f-ee5c-4674-bbcb-9fc454eef4b4</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164F821E</paraID>
      <start>135</start>
      <end>136</end>
      <status>unmodified</status>
      <modifiedWord/>
      <trackRevisions>false</trackRevisions>
    </reviewItem>
    <reviewItem>
      <errorID>b9d5e2a1-9db2-4454-872c-9c72ba6c7c26</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164F821E</paraID>
      <start>136</start>
      <end>137</end>
      <status>unmodified</status>
      <modifiedWord/>
      <trackRevisions>false</trackRevisions>
    </reviewItem>
    <reviewItem>
      <errorID>de285fd3-ac83-4859-8cba-e433832ff502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1915C0F7</paraID>
      <start>0</start>
      <end>2</end>
      <status>unmodified</status>
      <modifiedWord/>
      <trackRevisions>false</trackRevisions>
    </reviewItem>
    <reviewItem>
      <errorID>22bba6b3-bbb0-408e-b2d7-c729f10962e3</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1915C0F7</paraID>
      <start>181</start>
      <end>182</end>
      <status>unmodified</status>
      <modifiedWord/>
      <trackRevisions>false</trackRevisions>
    </reviewItem>
    <reviewItem>
      <errorID>389e945b-7c81-44ce-a8cd-893832346370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5B6BCDE</paraID>
      <start>0</start>
      <end>2</end>
      <status>unmodified</status>
      <modifiedWord/>
      <trackRevisions>false</trackRevisions>
    </reviewItem>
    <reviewItem>
      <errorID>afdc951e-d8f1-4cdf-9b39-92b8a14e4701</errorID>
      <errorWord>)</errorWord>
      <group>L1_Format</group>
      <groupName>格式问题</groupName>
      <ability>L2_HalfPunc_CN</ability>
      <abilityName>全半角问题</abilityName>
      <candidateList>
        <item>）</item>
      </candidateList>
      <explain>文本全半角错误。</explain>
      <paraID> 5B6BCDE</paraID>
      <start>226</start>
      <end>227</end>
      <status>unmodified</status>
      <modifiedWord/>
      <trackRevisions>false</trackRevisions>
    </reviewItem>
    <reviewItem>
      <errorID>1d0fc37c-6a52-44a5-bf70-5f601a739213</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 5B6BCDE</paraID>
      <start>227</start>
      <end>228</end>
      <status>unmodified</status>
      <modifiedWord/>
      <trackRevisions>false</trackRevisions>
    </reviewItem>
    <reviewItem>
      <errorID>ca419481-fe20-4414-997f-f8f584d35c3a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78DBF7BE</paraID>
      <start>0</start>
      <end>2</end>
      <status>unmodified</status>
      <modifiedWord/>
      <trackRevisions>false</trackRevisions>
    </reviewItem>
    <reviewItem>
      <errorID>ea6b19cf-891b-4d17-8d24-3d28373ebbd7</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1719ADEA</paraID>
      <start>0</start>
      <end>2</end>
      <status>unmodified</status>
      <modifiedWord/>
      <trackRevisions>false</trackRevisions>
    </reviewItem>
    <reviewItem>
      <errorID>beb4caff-9691-4710-9ddd-2d97f03c860f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5B543323</paraID>
      <start>0</start>
      <end>2</end>
      <status>unmodified</status>
      <modifiedWord/>
      <trackRevisions>false</trackRevisions>
    </reviewItem>
    <reviewItem>
      <errorID>e12ab0f2-0f27-4727-94aa-a152a81a3f3b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3BA5497</paraID>
      <start>0</start>
      <end>2</end>
      <status>unmodified</status>
      <modifiedWord/>
      <trackRevisions>false</trackRevisions>
    </reviewItem>
    <reviewItem>
      <errorID>d591ea16-b9b4-4c5f-8f9b-c25ecb5dafd5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1CB7CD5D</paraID>
      <start>0</start>
      <end>2</end>
      <status>unmodified</status>
      <modifiedWord/>
      <trackRevisions>false</trackRevisions>
    </reviewItem>
    <reviewItem>
      <errorID>5766b58d-1e14-452c-9687-38890c877b2b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5CF4A68B</paraID>
      <start>0</start>
      <end>2</end>
      <status>unmodified</status>
      <modifiedWord/>
      <trackRevisions>false</trackRevisions>
    </reviewItem>
    <reviewItem>
      <errorID>10af94e0-7788-4ef5-b6c0-5c182040a6a7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5668A98A</paraID>
      <start>0</start>
      <end>2</end>
      <status>unmodified</status>
      <modifiedWord/>
      <trackRevisions>false</trackRevisions>
    </reviewItem>
    <reviewItem>
      <errorID>5976befe-0ff0-449a-9ac6-43a7e3c02132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3DCA4817</paraID>
      <start>0</start>
      <end>2</end>
      <status>unmodified</status>
      <modifiedWord/>
      <trackRevisions>false</trackRevisions>
    </reviewItem>
    <reviewItem>
      <errorID>b5178192-41a5-4f0b-8af4-cb9f68c70dc0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406090F4</paraID>
      <start>0</start>
      <end>2</end>
      <status>unmodified</status>
      <modifiedWord/>
      <trackRevisions>false</trackRevisions>
    </reviewItem>
    <reviewItem>
      <errorID>02322cbf-1f18-4e39-b3b8-a85e1698dda5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C672A2</paraID>
      <start>0</start>
      <end>2</end>
      <status>unmodified</status>
      <modifiedWord/>
      <trackRevisions>false</trackRevisions>
    </reviewItem>
    <reviewItem>
      <errorID>a6bb13bf-997b-4442-bc7f-9ad22e2e4f1f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6DB37EC1</paraID>
      <start>0</start>
      <end>2</end>
      <status>unmodified</status>
      <modifiedWord/>
      <trackRevisions>false</trackRevisions>
    </reviewItem>
    <reviewItem>
      <errorID>49f1e25a-6d4c-41be-8829-adc166001edb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7AF84D8</paraID>
      <start>0</start>
      <end>2</end>
      <status>unmodified</status>
      <modifiedWord/>
      <trackRevisions>false</trackRevisions>
    </reviewItem>
    <reviewItem>
      <errorID>eac2d417-2561-4c09-95a4-d76720a79018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1B96788E</paraID>
      <start>0</start>
      <end>2</end>
      <status>unmodified</status>
      <modifiedWord/>
      <trackRevisions>false</trackRevisions>
    </reviewItem>
    <reviewItem>
      <errorID>fecef7b2-2082-4850-819d-cb11946e7a1c</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38017C63</paraID>
      <start>0</start>
      <end>2</end>
      <status>unmodified</status>
      <modifiedWord/>
      <trackRevisions>false</trackRevisions>
    </reviewItem>
    <reviewItem>
      <errorID>ae9da7c8-a394-4c3b-86bd-ed8031a04ab0</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190F5130</paraID>
      <start>0</start>
      <end>2</end>
      <status>unmodified</status>
      <modifiedWord/>
      <trackRevisions>false</trackRevisions>
    </reviewItem>
    <reviewItem>
      <errorID>cda0d151-cce0-48a0-b8c8-5fb08f8350e0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DA15C89</paraID>
      <start>0</start>
      <end>2</end>
      <status>unmodified</status>
      <modifiedWord/>
      <trackRevisions>false</trackRevisions>
    </reviewItem>
    <reviewItem>
      <errorID>d9b93f13-8242-4e1a-ae8a-50ce071bdcad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522124FF</paraID>
      <start>0</start>
      <end>2</end>
      <status>unmodified</status>
      <modifiedWord/>
      <trackRevisions>false</trackRevisions>
    </reviewItem>
    <reviewItem>
      <errorID>b2cfa773-9a34-46ed-9ccc-d40ca1ee8755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CA8656E</paraID>
      <start>0</start>
      <end>2</end>
      <status>unmodified</status>
      <modifiedWord/>
      <trackRevisions>false</trackRevisions>
    </reviewItem>
    <reviewItem>
      <errorID>d74cd525-f92a-4817-8165-34bf712eff62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2B5A8134</paraID>
      <start>0</start>
      <end>2</end>
      <status>unmodified</status>
      <modifiedWord/>
      <trackRevisions>false</trackRevisions>
    </reviewItem>
    <reviewItem>
      <errorID>50fdc600-695a-40fc-8b8c-8a297303b589</errorID>
      <errorWord>（</errorWord>
      <group>L1_Format</group>
      <groupName>格式问题</groupName>
      <ability>L2_HalfPunc_CN</ability>
      <abilityName>全半角问题</abilityName>
      <candidateList>
        <item>(</item>
      </candidateList>
      <explain>文本全半角错误。</explain>
      <paraID>629FA4F2</paraID>
      <start>4</start>
      <end>5</end>
      <status>unmodified</status>
      <modifiedWord/>
      <trackRevisions>false</trackRevisions>
    </reviewItem>
    <reviewItem>
      <errorID>65e3577f-a71f-46b7-9afb-be2b27c40250</errorID>
      <errorWord>）</errorWord>
      <group>L1_Format</group>
      <groupName>格式问题</groupName>
      <ability>L2_HalfPunc_CN</ability>
      <abilityName>全半角问题</abilityName>
      <candidateList>
        <item>)</item>
      </candidateList>
      <explain>文本全半角错误。</explain>
      <paraID>629FA4F2</paraID>
      <start>6</start>
      <end>7</end>
      <status>unmodified</status>
      <modifiedWord/>
      <trackRevisions>false</trackRevisions>
    </reviewItem>
    <reviewItem>
      <errorID>e9fa9f2c-9619-4faa-9e35-352e0bb030e6</errorID>
      <errorWord>(</errorWord>
      <group>L1_Format</group>
      <groupName>格式问题</groupName>
      <ability>L2_HalfPunc_CN</ability>
      <abilityName>全半角问题</abilityName>
      <candidateList>
        <item>（</item>
      </candidateList>
      <explain>文本全半角错误。</explain>
      <paraID>51894837</paraID>
      <start>13</start>
      <end>14</end>
      <status>unmodified</status>
      <modifiedWord/>
      <trackRevisions>false</trackRevisions>
    </reviewItem>
    <reviewItem>
      <errorID>67d283f7-270d-4c7c-bc94-5980d204fd2c</errorID>
      <errorWord>)</errorWord>
      <group>L1_Format</group>
      <groupName>格式问题</groupName>
      <ability>L2_HalfPunc_CN</ability>
      <abilityName>全半角问题</abilityName>
      <candidateList>
        <item>）</item>
      </candidateList>
      <explain>文本全半角错误。</explain>
      <paraID>51894837</paraID>
      <start>36</start>
      <end>37</end>
      <status>unmodified</status>
      <modifiedWord/>
      <trackRevisions>false</trackRevisions>
    </reviewItem>
    <reviewItem>
      <errorID>06caf541-9978-4387-b134-b2ceb641bc3c</errorID>
      <errorWord>(</errorWord>
      <group>L1_Format</group>
      <groupName>格式问题</groupName>
      <ability>L2_HalfPunc_CN</ability>
      <abilityName>全半角问题</abilityName>
      <candidateList>
        <item>（</item>
      </candidateList>
      <explain>文本全半角错误。</explain>
      <paraID>51894837</paraID>
      <start>46</start>
      <end>47</end>
      <status>unmodified</status>
      <modifiedWord/>
      <trackRevisions>false</trackRevisions>
    </reviewItem>
    <reviewItem>
      <errorID>2faaa55a-6799-4884-b8a6-ace058706a94</errorID>
      <errorWord>)</errorWord>
      <group>L1_Format</group>
      <groupName>格式问题</groupName>
      <ability>L2_HalfPunc_CN</ability>
      <abilityName>全半角问题</abilityName>
      <candidateList>
        <item>）</item>
      </candidateList>
      <explain>文本全半角错误。</explain>
      <paraID>51894837</paraID>
      <start>62</start>
      <end>63</end>
      <status>unmodified</status>
      <modifiedWord/>
      <trackRevisions>false</trackRevisions>
    </reviewItem>
    <reviewItem>
      <errorID>1e25efd5-6001-4a88-8965-ddd5338fb5fe</errorID>
      <errorWord>对在</errorWord>
      <group>L1_Word</group>
      <groupName>字词问题</groupName>
      <ability>L2_Typo</ability>
      <abilityName>字词错误</abilityName>
      <candidateList>
        <item>在</item>
      </candidateList>
      <explain>❶〈动〉存在；生存：精神永～｜留得青山～，不怕没柴烧｜父母都～。❷〈动〉表示人或事物的位置：我今天晚上不～厂里｜你的钢笔～桌子上呢。❸〈动〉留在：～职｜～位。❹〈动〉参加（某团体）；属于（某团体）：～党｜～组织。❺〈动〉在于；决定于：事～人为｜学习好，主要～自己努力。❻“在”和“所”连用，表示强调，下面多连“不”：～所不辞｜～所不惜｜～所不计｜～所难免。</explain>
      <paraID>50CBA0C5</paraID>
      <start>0</start>
      <end>2</end>
      <status>unmodified</status>
      <modifiedWord/>
      <trackRevisions>false</trackRevisions>
    </reviewItem>
    <reviewItem>
      <errorID>9d993371-1292-4569-acee-80850f7ff7ba</errorID>
      <errorWord>(</errorWord>
      <group>L1_Format</group>
      <groupName>格式问题</groupName>
      <ability>L2_HalfPunc_CN</ability>
      <abilityName>全半角问题</abilityName>
      <candidateList>
        <item>（</item>
      </candidateList>
      <explain>文本全半角错误。</explain>
      <paraID>50CBA0C5</paraID>
      <start>10</start>
      <end>11</end>
      <status>unmodified</status>
      <modifiedWord/>
      <trackRevisions>false</trackRevisions>
    </reviewItem>
    <reviewItem>
      <errorID>93a250f0-4600-4a07-ba43-1bf852903450</errorID>
      <errorWord>)</errorWord>
      <group>L1_Format</group>
      <groupName>格式问题</groupName>
      <ability>L2_HalfPunc_CN</ability>
      <abilityName>全半角问题</abilityName>
      <candidateList>
        <item>）</item>
      </candidateList>
      <explain>文本全半角错误。</explain>
      <paraID>50CBA0C5</paraID>
      <start>33</start>
      <end>34</end>
      <status>unmodified</status>
      <modifiedWord/>
      <trackRevisions>false</trackRevisions>
    </reviewItem>
    <reviewItem>
      <errorID>879b4bb7-8ddf-4479-b1a3-7efda7d57eed</errorID>
      <errorWord>(</errorWord>
      <group>L1_Format</group>
      <groupName>格式问题</groupName>
      <ability>L2_HalfPunc_CN</ability>
      <abilityName>全半角问题</abilityName>
      <candidateList>
        <item>（</item>
      </candidateList>
      <explain>文本全半角错误。</explain>
      <paraID>50CBA0C5</paraID>
      <start>43</start>
      <end>44</end>
      <status>unmodified</status>
      <modifiedWord/>
      <trackRevisions>false</trackRevisions>
    </reviewItem>
    <reviewItem>
      <errorID>b8c9fd26-f0c4-4e17-9a07-edc0475175ae</errorID>
      <errorWord>)</errorWord>
      <group>L1_Format</group>
      <groupName>格式问题</groupName>
      <ability>L2_HalfPunc_CN</ability>
      <abilityName>全半角问题</abilityName>
      <candidateList>
        <item>）</item>
      </candidateList>
      <explain>文本全半角错误。</explain>
      <paraID>50CBA0C5</paraID>
      <start>59</start>
      <end>60</end>
      <status>unmodified</status>
      <modifiedWord/>
      <trackRevisions>false</trackRevisions>
    </reviewItem>
    <reviewItem>
      <errorID>2c471507-f2c0-46e2-9a15-c4250f85f700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401C635E</paraID>
      <start>0</start>
      <end>2</end>
      <status>unmodified</status>
      <modifiedWord/>
      <trackRevisions>false</trackRevisions>
    </reviewItem>
    <reviewItem>
      <errorID>6e64e027-7d97-4ba9-9a9b-51e91a569000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4A36BB4F</paraID>
      <start>0</start>
      <end>2</end>
      <status>unmodified</status>
      <modifiedWord/>
      <trackRevisions>false</trackRevisions>
    </reviewItem>
    <reviewItem>
      <errorID>395c726e-62b0-49ec-a3cb-486804bd6bad</errorID>
      <errorWord>(</errorWord>
      <group>L1_Format</group>
      <groupName>格式问题</groupName>
      <ability>L2_HalfPunc_CN</ability>
      <abilityName>全半角问题</abilityName>
      <candidateList>
        <item>（</item>
      </candidateList>
      <explain>文本全半角错误。</explain>
      <paraID>101BDFC0</paraID>
      <start>7</start>
      <end>8</end>
      <status>unmodified</status>
      <modifiedWord/>
      <trackRevisions>false</trackRevisions>
    </reviewItem>
    <reviewItem>
      <errorID>a4d7639e-aa2d-4419-8295-ab215daac482</errorID>
      <errorWord>100～400万</errorWord>
      <group>L1_Knowledge</group>
      <groupName>知识性问题</groupName>
      <ability>L2_Knowledge</ability>
      <abilityName>其他知识</abilityName>
      <candidateList>
        <item>100万～400万</item>
      </candidateList>
      <explain>1. “100～400万”中的单位“万”仅出现在后一个数字上，容易引起歧义；根据《现代汉语标点符号数字用法规范手册》，数字表示范围两边需要使用统一的格式。2.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 F9C17F1</paraID>
      <start>0</start>
      <end>8</end>
      <status>unmodified</status>
      <modifiedWord/>
      <trackRevisions>false</trackRevisions>
    </reviewItem>
    <reviewItem>
      <errorID>6dcda5a1-0277-4379-b24f-4b6cd29c50de</errorID>
      <errorWord>400～1000万</errorWord>
      <group>L1_Knowledge</group>
      <groupName>知识性问题</groupName>
      <ability>L2_Knowledge</ability>
      <abilityName>其他知识</abilityName>
      <candidateList>
        <item>400万～1000万</item>
      </candidateList>
      <explain>1. “400～1000万”中的单位“万”仅出现在后一个数字上，容易引起歧义；根据《现代汉语标点符号数字用法规范手册》，数字表示范围两边需要使用统一的格式。2.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7B25FF58</paraID>
      <start>0</start>
      <end>9</end>
      <status>unmodified</status>
      <modifiedWord/>
      <trackRevisions>false</trackRevisions>
    </reviewItem>
    <reviewItem>
      <errorID>2584264e-4e2b-46e1-95eb-b23577bd517f</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31A2C7D6</paraID>
      <start>22</start>
      <end>25</end>
      <status>unmodified</status>
      <modifiedWord/>
      <trackRevisions>false</trackRevisions>
    </reviewItem>
    <reviewItem>
      <errorID>9835978c-7395-4cb7-a8b1-751cc8e3f356</errorID>
      <errorWord>法律、法规</errorWord>
      <group>L1_Word</group>
      <groupName>字词问题</groupName>
      <ability>L2_Typo</ability>
      <abilityName>字词错误</abilityName>
      <candidateList>
        <item>法律法规</item>
      </candidateList>
      <explain/>
      <paraID>31A2C7D6</paraID>
      <start>58</start>
      <end>63</end>
      <status>unmodified</status>
      <modifiedWord/>
      <trackRevisions>false</trackRevisions>
    </reviewItem>
    <reviewItem>
      <errorID>afe56537-6346-442b-9d2b-0ff3683d6b1a</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4EAEE9D6</paraID>
      <start>51</start>
      <end>54</end>
      <status>unmodified</status>
      <modifiedWord/>
      <trackRevisions>false</trackRevisions>
    </reviewItem>
    <reviewItem>
      <errorID>84bd80c0-b51b-4b9b-8267-660ec40bd31f</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4EAEE9D6</paraID>
      <start>70</start>
      <end>73</end>
      <status>unmodified</status>
      <modifiedWord/>
      <trackRevisions>false</trackRevisions>
    </reviewItem>
    <reviewItem>
      <errorID>1f44f1e1-9028-424a-9394-8d909d26950b</errorID>
      <errorWord>法律、法规</errorWord>
      <group>L1_Word</group>
      <groupName>字词问题</groupName>
      <ability>L2_Typo</ability>
      <abilityName>字词错误</abilityName>
      <candidateList>
        <item>法律法规</item>
      </candidateList>
      <explain/>
      <paraID>610B1EF0</paraID>
      <start>25</start>
      <end>30</end>
      <status>unmodified</status>
      <modifiedWord/>
      <trackRevisions>false</trackRevisions>
    </reviewItem>
    <reviewItem>
      <errorID>bcb240d4-e2a6-4962-8d93-8c2d355c75e9</errorID>
      <errorWord>[2020]46号</errorWord>
      <group>L1_Knowledge</group>
      <groupName>知识性问题</groupName>
      <ability>L2_Knowledge</ability>
      <abilityName>其他知识</abilityName>
      <candidateList>
        <item>〔2020〕46号</item>
      </candidateList>
      <explain>发文字号格式错误。</explain>
      <paraID>306BFFD2</paraID>
      <start>26</start>
      <end>35</end>
      <status>unmodified</status>
      <modifiedWord/>
      <trackRevisions>false</trackRevisions>
    </reviewItem>
    <reviewItem>
      <errorID>decad871-cc04-4fb2-b9c3-a5896d125dc0</errorID>
      <errorWord>第九条、</errorWord>
      <group>L1_Punc</group>
      <groupName>标点问题</groupName>
      <ability>L2_Punc_CN</ability>
      <abilityName>标点符号问题</abilityName>
      <candidateList>
        <item>第九条，</item>
      </candidateList>
      <explain>连接词前后不宜使用顿号，建议使用逗号。</explain>
      <paraID>306BFFD2</paraID>
      <start>36</start>
      <end>40</end>
      <status>unmodified</status>
      <modifiedWord/>
      <trackRevisions>false</trackRevisions>
    </reviewItem>
    <reviewItem>
      <errorID>12d0a752-2e7e-4f23-b951-1c594f7768ec</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306BFFD2</paraID>
      <start>244</start>
      <end>249</end>
      <status>unmodified</status>
      <modifiedWord/>
      <trackRevisions>false</trackRevisions>
    </reviewItem>
    <reviewItem>
      <errorID>32ae5be7-0471-4e5d-afb7-0cac08c219b3</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306BFFD2</paraID>
      <start>329</start>
      <end>330</end>
      <status>unmodified</status>
      <modifiedWord/>
      <trackRevisions>false</trackRevisions>
    </reviewItem>
    <reviewItem>
      <errorID>953e7e7e-dc9e-4202-a530-d756317e2317</errorID>
      <errorWord>[2020]46号</errorWord>
      <group>L1_Knowledge</group>
      <groupName>知识性问题</groupName>
      <ability>L2_Knowledge</ability>
      <abilityName>其他知识</abilityName>
      <candidateList>
        <item>〔2020〕46号</item>
      </candidateList>
      <explain>发文字号格式错误。</explain>
      <paraID>751487B3</paraID>
      <start>26</start>
      <end>35</end>
      <status>unmodified</status>
      <modifiedWord/>
      <trackRevisions>false</trackRevisions>
    </reviewItem>
    <reviewItem>
      <errorID>8e57eb1f-9093-4abf-9b04-d4cbf51b8868</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751487B3</paraID>
      <start>177</start>
      <end>182</end>
      <status>unmodified</status>
      <modifiedWord/>
      <trackRevisions>false</trackRevisions>
    </reviewItem>
    <reviewItem>
      <errorID>62034a2d-c851-4403-8d4a-514e16e656d5</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751487B3</paraID>
      <start>239</start>
      <end>240</end>
      <status>unmodified</status>
      <modifiedWord/>
      <trackRevisions>false</trackRevisions>
    </reviewItem>
    <reviewItem>
      <errorID>de0246c6-381d-4d43-b6b4-7a36abcb5c8d</errorID>
      <errorWord>(</errorWord>
      <group>L1_Format</group>
      <groupName>格式问题</groupName>
      <ability>L2_HalfPunc_CN</ability>
      <abilityName>全半角问题</abilityName>
      <candidateList>
        <item>（</item>
      </candidateList>
      <explain>文本全半角错误。</explain>
      <paraID>2AA354DB</paraID>
      <start>94</start>
      <end>95</end>
      <status>unmodified</status>
      <modifiedWord/>
      <trackRevisions>false</trackRevisions>
    </reviewItem>
    <reviewItem>
      <errorID>ebc14338-ee1f-4268-859e-087b2d38f96d</errorID>
      <errorWord>)</errorWord>
      <group>L1_Format</group>
      <groupName>格式问题</groupName>
      <ability>L2_HalfPunc_CN</ability>
      <abilityName>全半角问题</abilityName>
      <candidateList>
        <item>）</item>
      </candidateList>
      <explain>文本全半角错误。</explain>
      <paraID>2AA354DB</paraID>
      <start>133</start>
      <end>134</end>
      <status>unmodified</status>
      <modifiedWord/>
      <trackRevisions>false</trackRevisions>
    </reviewItem>
    <reviewItem>
      <errorID>bf2f9351-77a2-4224-af34-fbff15f606a3</errorID>
      <errorWord>操作合</errorWord>
      <group>L1_Word</group>
      <groupName>字词问题</groupName>
      <ability>L2_Typo</ability>
      <abilityName>字词错误</abilityName>
      <candidateList>
        <item>操作台</item>
      </candidateList>
      <explain/>
      <paraID>165EC466</paraID>
      <start>9</start>
      <end>12</end>
      <status>unmodified</status>
      <modifiedWord/>
      <trackRevisions>false</trackRevisions>
    </reviewItem>
    <reviewItem>
      <errorID>3008da4b-06cd-4f91-8425-9baccb1e8d91</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45D33BAE</paraID>
      <start>39</start>
      <end>40</end>
      <status>unmodified</status>
      <modifiedWord/>
      <trackRevisions>false</trackRevisions>
    </reviewItem>
    <reviewItem>
      <errorID>c51543c5-c2ca-4d4a-99a2-41af1c5d523c</errorID>
      <errorWord>详见在</errorWord>
      <group>L1_Word</group>
      <groupName>字词问题</groupName>
      <ability>L2_Typo</ability>
      <abilityName>字词错误</abilityName>
      <candidateList>
        <item>详见</item>
      </candidateList>
      <explain/>
      <paraID>4031D433</paraID>
      <start>0</start>
      <end>3</end>
      <status>unmodified</status>
      <modifiedWord/>
      <trackRevisions>false</trackRevisions>
    </reviewItem>
    <reviewItem>
      <errorID>05dd528e-f7bf-466b-aed5-8cefd89baabf</errorID>
      <errorWord>间</errorWord>
      <group>L1_Word</group>
      <groupName>字词问题</groupName>
      <ability>L2_Typo</ability>
      <abilityName>字词错误</abilityName>
      <candidateList>
        <item>间之</item>
      </candidateList>
      <explain/>
      <paraID>6FECDB0D</paraID>
      <start>45</start>
      <end>46</end>
      <status>unmodified</status>
      <modifiedWord/>
      <trackRevisions>false</trackRevisions>
    </reviewItem>
    <reviewItem>
      <errorID>648eaab9-b51a-4e92-b4be-14af245dc071</errorID>
      <errorWord>会</errorWord>
      <group>L1_Word</group>
      <groupName>字词问题</groupName>
      <ability>L2_Typo</ability>
      <abilityName>字词错误</abilityName>
      <candidateList>
        <item>会在</item>
      </candidateList>
      <explain/>
      <paraID> 23A7E0E</paraID>
      <start>13</start>
      <end>14</end>
      <status>unmodified</status>
      <modifiedWord/>
      <trackRevisions>false</trackRevisions>
    </reviewItem>
    <reviewItem>
      <errorID>084b57ed-6d56-4f8d-9da9-305e7d618bba</errorID>
      <errorWord>&lt;</errorWord>
      <group>L1_Format</group>
      <groupName>格式问题</groupName>
      <ability>L2_HalfPunc_CN</ability>
      <abilityName>全半角问题</abilityName>
      <candidateList>
        <item>〈</item>
      </candidateList>
      <explain>文本全半角错误。</explain>
      <paraID>4FD5F8A3</paraID>
      <start>50</start>
      <end>51</end>
      <status>unmodified</status>
      <modifiedWord/>
      <trackRevisions>false</trackRevisions>
    </reviewItem>
    <reviewItem>
      <errorID>c25a696f-1b08-4825-91b9-284d3b35f688</errorID>
      <errorWord>&lt;</errorWord>
      <group>L1_Format</group>
      <groupName>格式问题</groupName>
      <ability>L2_HalfPunc_CN</ability>
      <abilityName>全半角问题</abilityName>
      <candidateList>
        <item>〈</item>
      </candidateList>
      <explain>文本全半角错误。</explain>
      <paraID>20B4B45A</paraID>
      <start>50</start>
      <end>51</end>
      <status>unmodified</status>
      <modifiedWord/>
      <trackRevisions>false</trackRevisions>
    </reviewItem>
    <reviewItem>
      <errorID>4f52824e-9a85-4715-8e31-c3bc4d022fba</errorID>
      <errorWord>&lt;</errorWord>
      <group>L1_Format</group>
      <groupName>格式问题</groupName>
      <ability>L2_HalfPunc_CN</ability>
      <abilityName>全半角问题</abilityName>
      <candidateList>
        <item>〈</item>
      </candidateList>
      <explain>文本全半角错误。</explain>
      <paraID>2FD6B9B4</paraID>
      <start>35</start>
      <end>36</end>
      <status>unmodified</status>
      <modifiedWord/>
      <trackRevisions>false</trackRevisions>
    </reviewItem>
    <reviewItem>
      <errorID>359173c2-a6b3-4834-86ab-c2a8b2d44f1c</errorID>
      <errorWord>，</errorWord>
      <group>L1_Word</group>
      <groupName>字词问题</groupName>
      <ability>L2_Typo</ability>
      <abilityName>字词错误</abilityName>
      <candidateList>
        <item>，并</item>
      </candidateList>
      <explain/>
      <paraID>286A3779</paraID>
      <start>73</start>
      <end>74</end>
      <status>unmodified</status>
      <modifiedWord/>
      <trackRevisions>false</trackRevisions>
    </reviewItem>
    <reviewItem>
      <errorID>48e313b9-e6cf-45a2-95a3-f14375aadc60</errorID>
      <errorWord>，</errorWord>
      <group>L1_Word</group>
      <groupName>字词问题</groupName>
      <ability>L2_Typo</ability>
      <abilityName>字词错误</abilityName>
      <candidateList>
        <item>，在</item>
      </candidateList>
      <explain/>
      <paraID>6F8DA8B3</paraID>
      <start>62</start>
      <end>63</end>
      <status>unmodified</status>
      <modifiedWord/>
      <trackRevisions>false</trackRevisions>
    </reviewItem>
    <reviewItem>
      <errorID>1deb4a73-cc62-4be0-92c0-04a0a83768ea</errorID>
      <errorWord>做出</errorWord>
      <group>L1_Word</group>
      <groupName>字词问题</groupName>
      <ability>L2_Typo</ability>
      <abilityName>字词错误</abilityName>
      <candidateList>
        <item>作出</item>
      </candidateList>
      <explain/>
      <paraID>30A8E3CB</paraID>
      <start>109</start>
      <end>111</end>
      <status>unmodified</status>
      <modifiedWord/>
      <trackRevisions>false</trackRevisions>
    </reviewItem>
    <reviewItem>
      <errorID>8bbf603f-ab3a-4e20-905f-4be7368fc48d</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38B1C826</paraID>
      <start>19</start>
      <end>20</end>
      <status>unmodified</status>
      <modifiedWord/>
      <trackRevisions>false</trackRevisions>
    </reviewItem>
    <reviewItem>
      <errorID>89133e02-e243-4ce4-9238-e551d500cdcc</errorID>
      <errorWord>晰</errorWord>
      <group>L1_Word</group>
      <groupName>字词问题</groupName>
      <ability>L2_Typo</ability>
      <abilityName>字词错误</abilityName>
      <candidateList>
        <item>晰地</item>
      </candidateList>
      <explain/>
      <paraID>38B1C826</paraID>
      <start>28</start>
      <end>29</end>
      <status>unmodified</status>
      <modifiedWord/>
      <trackRevisions>false</trackRevisions>
    </reviewItem>
    <reviewItem>
      <errorID>5e9aedbb-7710-4b70-b0ad-cb0d5fa268ca</errorID>
      <errorWord>-</errorWord>
      <group>L1_Format</group>
      <groupName>格式问题</groupName>
      <ability>L2_HalfPunc_CN</ability>
      <abilityName>全半角问题</abilityName>
      <candidateList>
        <item>－</item>
      </candidateList>
      <explain>文本全半角错误。</explain>
      <paraID>3B00DF36</paraID>
      <start>150</start>
      <end>151</end>
      <status>unmodified</status>
      <modifiedWord/>
      <trackRevisions>false</trackRevisions>
    </reviewItem>
    <reviewItem>
      <errorID>30816b36-6273-47e4-bf29-216beca63677</errorID>
      <errorWord>,</errorWord>
      <group>L1_Format</group>
      <groupName>格式问题</groupName>
      <ability>L2_HalfPunc_CN</ability>
      <abilityName>全半角问题</abilityName>
      <candidateList>
        <item>，</item>
      </candidateList>
      <explain>文本全半角错误。</explain>
      <paraID>6A2CDA41</paraID>
      <start>148</start>
      <end>149</end>
      <status>unmodified</status>
      <modifiedWord/>
      <trackRevisions>false</trackRevisions>
    </reviewItem>
    <reviewItem>
      <errorID>80e038cb-02d4-43bb-ab18-6927356f7cb6</errorID>
      <errorWord>;</errorWord>
      <group>L1_Format</group>
      <groupName>格式问题</groupName>
      <ability>L2_HalfPunc_CN</ability>
      <abilityName>全半角问题</abilityName>
      <candidateList>
        <item>；</item>
      </candidateList>
      <explain>文本全半角错误。</explain>
      <paraID>6A3D082D</paraID>
      <start>41</start>
      <end>42</end>
      <status>unmodified</status>
      <modifiedWord/>
      <trackRevisions>false</trackRevisions>
    </reviewItem>
    <reviewItem>
      <errorID>8f1fb1bf-7ee9-4110-8742-4050c4737962</errorID>
      <errorWord>;</errorWord>
      <group>L1_Format</group>
      <groupName>格式问题</groupName>
      <ability>L2_HalfPunc_CN</ability>
      <abilityName>全半角问题</abilityName>
      <candidateList>
        <item>；</item>
      </candidateList>
      <explain>文本全半角错误。</explain>
      <paraID>3DACEEE0</paraID>
      <start>52</start>
      <end>53</end>
      <status>unmodified</status>
      <modifiedWord/>
      <trackRevisions>false</trackRevisions>
    </reviewItem>
    <reviewItem>
      <errorID>f9e100e3-2cbc-44c1-b255-742395956eca</errorID>
      <errorWord>法律、法规</errorWord>
      <group>L1_Word</group>
      <groupName>字词问题</groupName>
      <ability>L2_Typo</ability>
      <abilityName>字词错误</abilityName>
      <candidateList>
        <item>法律法规</item>
      </candidateList>
      <explain/>
      <paraID>6C4A6330</paraID>
      <start>4</start>
      <end>9</end>
      <status>unmodified</status>
      <modifiedWord/>
      <trackRevisions>false</trackRevisions>
    </reviewItem>
    <reviewItem>
      <errorID>a90d3610-1557-4661-83d9-2661ea2e7cfb</errorID>
      <errorWord>;</errorWord>
      <group>L1_Format</group>
      <groupName>格式问题</groupName>
      <ability>L2_HalfPunc_CN</ability>
      <abilityName>全半角问题</abilityName>
      <candidateList>
        <item>；</item>
      </candidateList>
      <explain>文本全半角错误。</explain>
      <paraID>6C59AA97</paraID>
      <start>41</start>
      <end>42</end>
      <status>unmodified</status>
      <modifiedWord/>
      <trackRevisions>false</trackRevisions>
    </reviewItem>
    <reviewItem>
      <errorID>bc80349e-6064-41a5-b5de-b311e0a92188</errorID>
      <errorWord>-</errorWord>
      <group>L1_Format</group>
      <groupName>格式问题</groupName>
      <ability>L2_HalfPunc_CN</ability>
      <abilityName>全半角问题</abilityName>
      <candidateList>
        <item>－</item>
      </candidateList>
      <explain>文本全半角错误。</explain>
      <paraID>286FD0A1</paraID>
      <start>20</start>
      <end>21</end>
      <status>unmodified</status>
      <modifiedWord/>
      <trackRevisions>false</trackRevisions>
    </reviewItem>
    <reviewItem>
      <errorID>97b5070e-1214-4a28-a6fe-49791b59dd4b</errorID>
      <errorWord>原则做出结论</errorWord>
      <group>L1_Word</group>
      <groupName>字词问题</groupName>
      <ability>L2_Typo</ability>
      <abilityName>字词错误</abilityName>
      <candidateList>
        <item>原则作出结论</item>
      </candidateList>
      <explain/>
      <paraID> 8C1A45F</paraID>
      <start>114</start>
      <end>120</end>
      <status>unmodified</status>
      <modifiedWord/>
      <trackRevisions>false</trackRevisions>
    </reviewItem>
    <reviewItem>
      <errorID>60329315-c2eb-4d94-8b81-19596013d466</errorID>
      <errorWord>1-10%</errorWord>
      <group>L1_Knowledge</group>
      <groupName>知识性问题</groupName>
      <ability>L2_Knowledge</ability>
      <abilityName>其他知识</abilityName>
      <candidateList>
        <item>1%—10%</item>
      </candidateList>
      <explain>1. “1-10%”中的单位“%”仅出现在后一个数字上，容易引起歧义；根据《现代汉语标点符号数字用法规范手册》，数字表示范围两边需要使用统一的格式。2. 根据标点国标 4.13 中的规则，数字、时间或地域连接符应使用（视觉上更长的）“—”或“～”。</explain>
      <paraID>56A56D3C</paraID>
      <start>64</start>
      <end>69</end>
      <status>unmodified</status>
      <modifiedWord/>
      <trackRevisions>false</trackRevisions>
    </reviewItem>
    <reviewItem>
      <errorID>ef85420d-7ab0-4a09-8d42-906076b95881</errorID>
      <errorWord>1-4%</errorWord>
      <group>L1_Knowledge</group>
      <groupName>知识性问题</groupName>
      <ability>L2_Knowledge</ability>
      <abilityName>其他知识</abilityName>
      <candidateList>
        <item>1%—4%</item>
      </candidateList>
      <explain>1. “1-4%”中的单位“%”仅出现在后一个数字上，容易引起歧义；根据《现代汉语标点符号数字用法规范手册》，数字表示范围两边需要使用统一的格式。2. 根据标点国标 4.13 中的规则，数字、时间或地域连接符应使用（视觉上更长的）“—”或“～”。</explain>
      <paraID>58CC3380</paraID>
      <start>112</start>
      <end>116</end>
      <status>unmodified</status>
      <modifiedWord/>
      <trackRevisions>false</trackRevisions>
    </reviewItem>
    <reviewItem>
      <errorID>721d3679-a9fc-4725-97c8-500c19446e7d</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58CC3380</paraID>
      <start>144</start>
      <end>147</end>
      <status>unmodified</status>
      <modifiedWord/>
      <trackRevisions>false</trackRevisions>
    </reviewItem>
    <reviewItem>
      <errorID>6853f7a9-5779-4503-a915-bdab2c5f12ce</errorID>
      <errorWord>(</errorWord>
      <group>L1_Format</group>
      <groupName>格式问题</groupName>
      <ability>L2_HalfPunc_CN</ability>
      <abilityName>全半角问题</abilityName>
      <candidateList>
        <item>（</item>
      </candidateList>
      <explain>文本全半角错误。</explain>
      <paraID>6E1D82D3</paraID>
      <start>35</start>
      <end>36</end>
      <status>unmodified</status>
      <modifiedWord/>
      <trackRevisions>false</trackRevisions>
    </reviewItem>
    <reviewItem>
      <errorID>8e853052-2e86-41bc-9523-0336fe2219e9</errorID>
      <errorWord>[2014]68号</errorWord>
      <group>L1_Knowledge</group>
      <groupName>知识性问题</groupName>
      <ability>L2_Knowledge</ability>
      <abilityName>其他知识</abilityName>
      <candidateList>
        <item>〔2014〕68号</item>
      </candidateList>
      <explain>发文字号格式错误。</explain>
      <paraID>6E1D82D3</paraID>
      <start>38</start>
      <end>47</end>
      <status>unmodified</status>
      <modifiedWord/>
      <trackRevisions>false</trackRevisions>
    </reviewItem>
    <reviewItem>
      <errorID>8417204c-324e-4ec6-a390-730320a871ac</errorID>
      <errorWord>)</errorWord>
      <group>L1_Format</group>
      <groupName>格式问题</groupName>
      <ability>L2_HalfPunc_CN</ability>
      <abilityName>全半角问题</abilityName>
      <candidateList>
        <item>）</item>
      </candidateList>
      <explain>文本全半角错误。</explain>
      <paraID>6E1D82D3</paraID>
      <start>47</start>
      <end>48</end>
      <status>unmodified</status>
      <modifiedWord/>
      <trackRevisions>false</trackRevisions>
    </reviewItem>
    <reviewItem>
      <errorID>d7210130-3e20-46fc-ac87-35a6eb6b39eb</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6E1D82D3</paraID>
      <start>80</start>
      <end>81</end>
      <status>unmodified</status>
      <modifiedWord/>
      <trackRevisions>false</trackRevisions>
    </reviewItem>
    <reviewItem>
      <errorID>b86009ae-c0a9-48cf-9edc-78ed36cf4ed6</errorID>
      <errorWord>(</errorWord>
      <group>L1_Format</group>
      <groupName>格式问题</groupName>
      <ability>L2_HalfPunc_CN</ability>
      <abilityName>全半角问题</abilityName>
      <candidateList>
        <item>（</item>
      </candidateList>
      <explain>文本全半角错误。</explain>
      <paraID>6E1D82D3</paraID>
      <start>124</start>
      <end>125</end>
      <status>unmodified</status>
      <modifiedWord/>
      <trackRevisions>false</trackRevisions>
    </reviewItem>
    <reviewItem>
      <errorID>2d20841a-d11d-40fb-8c23-2fc83a91ecb3</errorID>
      <errorWord>详实</errorWord>
      <group>L1_Word</group>
      <groupName>字词问题</groupName>
      <ability>L2_Typo</ability>
      <abilityName>字词错误</abilityName>
      <candidateList>
        <item>翔实</item>
      </candidateList>
      <explain/>
      <paraID> 8DCDFE4</paraID>
      <start>35</start>
      <end>37</end>
      <status>unmodified</status>
      <modifiedWord/>
      <trackRevisions>false</trackRevisions>
    </reviewItem>
    <reviewItem>
      <errorID>d35f6ab4-6fd6-4e92-97a7-91d0657e5eae</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596CC4FE</paraID>
      <start>70</start>
      <end>71</end>
      <status>unmodified</status>
      <modifiedWord/>
      <trackRevisions>false</trackRevisions>
    </reviewItem>
    <reviewItem>
      <errorID>e584f6ef-a797-4248-bbb3-2760c2ffd8eb</errorID>
      <errorWord>反应</errorWord>
      <group>L1_Word</group>
      <groupName>字词问题</groupName>
      <ability>L2_Typo</ability>
      <abilityName>字词错误</abilityName>
      <candidateList>
        <item>反映</item>
      </candidateList>
      <explain>〈动〉❶反照，比喻把客观事物的实质表现出来：这部小说～了现实的生活和斗争。❷把情况、意见等告诉上级或有关部门：把情况～到县里｜他～的意见值得重视。❸通常指机体接受和回答客观事物影响的活动过程。</explain>
      <paraID>596CC4FE</paraID>
      <start>71</start>
      <end>73</end>
      <status>unmodified</status>
      <modifiedWord/>
      <trackRevisions>false</trackRevisions>
    </reviewItem>
    <reviewItem>
      <errorID>cae860a3-fc91-4f30-98d0-d91292307f99</errorID>
      <errorWord>、及其</errorWord>
      <group>L1_Punc</group>
      <groupName>标点问题</groupName>
      <ability>L2_Punc_CN</ability>
      <abilityName>标点符号问题</abilityName>
      <candidateList>
        <item>及其</item>
      </candidateList>
      <explain/>
      <paraID>13916CC2</paraID>
      <start>82</start>
      <end>85</end>
      <status>unmodified</status>
      <modifiedWord/>
      <trackRevisions>false</trackRevisions>
    </reviewItem>
    <reviewItem>
      <errorID>8d7aaa41-ec16-427d-855b-34842d13b0b3</errorID>
      <errorWord>、及其</errorWord>
      <group>L1_Punc</group>
      <groupName>标点问题</groupName>
      <ability>L2_Punc_CN</ability>
      <abilityName>标点符号问题</abilityName>
      <candidateList>
        <item>及其</item>
      </candidateList>
      <explain/>
      <paraID>3289319C</paraID>
      <start>73</start>
      <end>76</end>
      <status>unmodified</status>
      <modifiedWord/>
      <trackRevisions>false</trackRevisions>
    </reviewItem>
    <reviewItem>
      <errorID>d7a3fb47-bbc1-450d-9590-388de504f8fc</errorID>
      <errorWord>位</errorWord>
      <group>L1_Word</group>
      <groupName>字词问题</groupName>
      <ability>L2_Typo</ability>
      <abilityName>字词错误</abilityName>
      <candidateList>
        <item>位公</item>
      </candidateList>
      <explain/>
      <paraID> EA26387</paraID>
      <start>106</start>
      <end>107</end>
      <status>unmodified</status>
      <modifiedWord/>
      <trackRevisions>false</trackRevisions>
    </reviewItem>
    <reviewItem>
      <errorID>08bfd307-32ac-4d63-8cae-cde987c49e77</errorID>
      <errorWord>南宁市南宁市</errorWord>
      <group>L1_Word</group>
      <groupName>字词问题</groupName>
      <ability>L2_Typo</ability>
      <abilityName>字词错误</abilityName>
      <candidateList>
        <item>南宁市</item>
      </candidateList>
      <explain/>
      <paraID>5D4DB75E</paraID>
      <start>5</start>
      <end>11</end>
      <status>unmodified</status>
      <modifiedWord/>
      <trackRevisions>false</trackRevisions>
    </reviewItem>
    <reviewItem>
      <errorID>476570b8-f380-452c-9324-38a1c90b4206</errorID>
      <errorWord>南宁市南宁市</errorWord>
      <group>L1_Word</group>
      <groupName>字词问题</groupName>
      <ability>L2_Typo</ability>
      <abilityName>字词错误</abilityName>
      <candidateList>
        <item>南宁市</item>
      </candidateList>
      <explain/>
      <paraID>5A3E6A4B</paraID>
      <start>19</start>
      <end>25</end>
      <status>unmodified</status>
      <modifiedWord/>
      <trackRevisions>false</trackRevisions>
    </reviewItem>
    <reviewItem>
      <errorID>f906921c-edee-4995-b6e4-6d1443daa319</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4FF20158</paraID>
      <start>13</start>
      <end>16</end>
      <status>unmodified</status>
      <modifiedWord/>
      <trackRevisions>false</trackRevisions>
    </reviewItem>
    <reviewItem>
      <errorID>14a2fdf0-bda0-4a11-b2b7-7342a520e233</errorID>
      <errorWord>南宁市南宁市</errorWord>
      <group>L1_Word</group>
      <groupName>字词问题</groupName>
      <ability>L2_Typo</ability>
      <abilityName>字词错误</abilityName>
      <candidateList>
        <item>南宁市</item>
      </candidateList>
      <explain/>
      <paraID>4FF20158</paraID>
      <start>61</start>
      <end>67</end>
      <status>unmodified</status>
      <modifiedWord/>
      <trackRevisions>false</trackRevisions>
    </reviewItem>
    <reviewItem>
      <errorID>26175df3-0f57-4e95-971d-7dbff2aba8b9</errorID>
      <errorWord>(</errorWord>
      <group>L1_Format</group>
      <groupName>格式问题</groupName>
      <ability>L2_HalfPunc_CN</ability>
      <abilityName>全半角问题</abilityName>
      <candidateList>
        <item>（</item>
      </candidateList>
      <explain>文本全半角错误。</explain>
      <paraID>4FF20158</paraID>
      <start>75</start>
      <end>76</end>
      <status>unmodified</status>
      <modifiedWord/>
      <trackRevisions>false</trackRevisions>
    </reviewItem>
    <reviewItem>
      <errorID>f8613a88-32f7-4ada-8bea-46839d5bdcf1</errorID>
      <errorWord>)</errorWord>
      <group>L1_Format</group>
      <groupName>格式问题</groupName>
      <ability>L2_HalfPunc_CN</ability>
      <abilityName>全半角问题</abilityName>
      <candidateList>
        <item>）</item>
      </candidateList>
      <explain>文本全半角错误。</explain>
      <paraID>4FF20158</paraID>
      <start>83</start>
      <end>84</end>
      <status>unmodified</status>
      <modifiedWord/>
      <trackRevisions>false</trackRevisions>
    </reviewItem>
    <reviewItem>
      <errorID>4f5b8816-1f25-4ed8-ac19-0120c41ecdb9</errorID>
      <errorWord>(</errorWord>
      <group>L1_Format</group>
      <groupName>格式问题</groupName>
      <ability>L2_HalfPunc_CN</ability>
      <abilityName>全半角问题</abilityName>
      <candidateList>
        <item>（</item>
      </candidateList>
      <explain>文本全半角错误。</explain>
      <paraID>4FF20158</paraID>
      <start>98</start>
      <end>99</end>
      <status>unmodified</status>
      <modifiedWord/>
      <trackRevisions>false</trackRevisions>
    </reviewItem>
    <reviewItem>
      <errorID>c809f5d4-0c0d-44e8-b55a-0e01ae74bc7a</errorID>
      <errorWord>)</errorWord>
      <group>L1_Format</group>
      <groupName>格式问题</groupName>
      <ability>L2_HalfPunc_CN</ability>
      <abilityName>全半角问题</abilityName>
      <candidateList>
        <item>）</item>
      </candidateList>
      <explain>文本全半角错误。</explain>
      <paraID>4FF20158</paraID>
      <start>106</start>
      <end>107</end>
      <status>unmodified</status>
      <modifiedWord/>
      <trackRevisions>false</trackRevisions>
    </reviewItem>
    <reviewItem>
      <errorID>7251a877-cb6c-4d8c-a532-42c112016b5c</errorID>
      <errorWord>（</errorWord>
      <group>L1_Punc</group>
      <groupName>标点问题</groupName>
      <ability>L2_Punc_CN</ability>
      <abilityName>标点符号问题</abilityName>
      <candidateList/>
      <explain>同一形式括号套用。</explain>
      <paraID>51CE8C50</paraID>
      <start>125</start>
      <end>126</end>
      <status>unmodified</status>
      <modifiedWord/>
      <trackRevisions>false</trackRevisions>
    </reviewItem>
    <reviewItem>
      <errorID>3fc61437-3af2-4984-801c-73c932564c33</errorID>
      <errorWord>）</errorWord>
      <group>L1_Punc</group>
      <groupName>标点问题</groupName>
      <ability>L2_Punc_CN</ability>
      <abilityName>标点符号问题</abilityName>
      <candidateList/>
      <explain>同一形式括号套用。</explain>
      <paraID>51CE8C50</paraID>
      <start>128</start>
      <end>129</end>
      <status>unmodified</status>
      <modifiedWord/>
      <trackRevisions>false</trackRevisions>
    </reviewItem>
    <reviewItem>
      <errorID>4f93acf5-2b35-4865-ba4e-b96c59f17e4e</errorID>
      <errorWord>[2014]37号</errorWord>
      <group>L1_Knowledge</group>
      <groupName>知识性问题</groupName>
      <ability>L2_Knowledge</ability>
      <abilityName>其他知识</abilityName>
      <candidateList>
        <item>〔2014〕37号</item>
      </candidateList>
      <explain>发文字号格式错误。</explain>
      <paraID> 4DC52D3</paraID>
      <start>66</start>
      <end>75</end>
      <status>unmodified</status>
      <modifiedWord/>
      <trackRevisions>false</trackRevisions>
    </reviewItem>
    <reviewItem>
      <errorID>0739ec6d-de41-46b8-87fe-9e94252656c1</errorID>
      <errorWord>南宁市南宁市</errorWord>
      <group>L1_Word</group>
      <groupName>字词问题</groupName>
      <ability>L2_Typo</ability>
      <abilityName>字词错误</abilityName>
      <candidateList>
        <item>南宁市</item>
      </candidateList>
      <explain/>
      <paraID>4B69B8EB</paraID>
      <start>3</start>
      <end>9</end>
      <status>unmodified</status>
      <modifiedWord/>
      <trackRevisions>false</trackRevisions>
    </reviewItem>
    <reviewItem>
      <errorID>79627991-df08-4170-a762-4e76eb8611ce</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3E646B11</paraID>
      <start>10</start>
      <end>11</end>
      <status>unmodified</status>
      <modifiedWord/>
      <trackRevisions>false</trackRevisions>
    </reviewItem>
    <reviewItem>
      <errorID>d985cbf3-becd-41ba-895c-a3065aa69533</errorID>
      <errorWord>:</errorWord>
      <group>L1_Format</group>
      <groupName>格式问题</groupName>
      <ability>L2_HalfPunc_CN</ability>
      <abilityName>全半角问题</abilityName>
      <candidateList>
        <item>：</item>
      </candidateList>
      <explain>文本全半角错误。</explain>
      <paraID>3E646B11</paraID>
      <start>11</start>
      <end>12</end>
      <status>unmodified</status>
      <modifiedWord/>
      <trackRevisions>false</trackRevisions>
    </reviewItem>
    <reviewItem>
      <errorID>c1306ad1-e3b6-4a8a-8cce-d549da44f0c0</errorID>
      <errorWord>人</errorWord>
      <group>L1_Word</group>
      <groupName>字词问题</groupName>
      <ability>L2_Typo</ability>
      <abilityName>字词错误</abilityName>
      <candidateList>
        <item>人签</item>
      </candidateList>
      <explain/>
      <paraID>68A9D87B</paraID>
      <start>4</start>
      <end>5</end>
      <status>unmodified</status>
      <modifiedWord/>
      <trackRevisions>false</trackRevisions>
    </reviewItem>
    <reviewItem>
      <errorID>87884ffd-3628-4823-95ae-0212c085fe42</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68A9D87B</paraID>
      <start>9</start>
      <end>10</end>
      <status>unmodified</status>
      <modifiedWord/>
      <trackRevisions>false</trackRevisions>
    </reviewItem>
    <reviewItem>
      <errorID>a7330da7-38fa-4912-9876-aa29634a0488</errorID>
      <errorWord>:</errorWord>
      <group>L1_Format</group>
      <groupName>格式问题</groupName>
      <ability>L2_HalfPunc_CN</ability>
      <abilityName>全半角问题</abilityName>
      <candidateList>
        <item>：</item>
      </candidateList>
      <explain>文本全半角错误。</explain>
      <paraID>68A9D87B</paraID>
      <start>10</start>
      <end>11</end>
      <status>unmodified</status>
      <modifiedWord/>
      <trackRevisions>false</trackRevisions>
    </reviewItem>
    <reviewItem>
      <errorID>a69ad1cc-5a18-4b28-8b5e-0799e82678ee</errorID>
      <errorWord>:</errorWord>
      <group>L1_Format</group>
      <groupName>格式问题</groupName>
      <ability>L2_HalfPunc_CN</ability>
      <abilityName>全半角问题</abilityName>
      <candidateList>
        <item>：</item>
      </candidateList>
      <explain>文本全半角错误。</explain>
      <paraID>4EDB16A5</paraID>
      <start>12</start>
      <end>13</end>
      <status>unmodified</status>
      <modifiedWord/>
      <trackRevisions>false</trackRevisions>
    </reviewItem>
    <reviewItem>
      <errorID>c06a9575-5000-4e98-b980-2d3c78a2afd5</errorID>
      <errorWord>:</errorWord>
      <group>L1_Format</group>
      <groupName>格式问题</groupName>
      <ability>L2_HalfPunc_CN</ability>
      <abilityName>全半角问题</abilityName>
      <candidateList>
        <item>：</item>
      </candidateList>
      <explain>文本全半角错误。</explain>
      <paraID>  709CA7</paraID>
      <start>12</start>
      <end>13</end>
      <status>unmodified</status>
      <modifiedWord/>
      <trackRevisions>false</trackRevisions>
    </reviewItem>
    <reviewItem>
      <errorID>b88750ae-3f03-42f0-8716-6f2ad305f792</errorID>
      <errorWord>:</errorWord>
      <group>L1_Format</group>
      <groupName>格式问题</groupName>
      <ability>L2_HalfPunc_CN</ability>
      <abilityName>全半角问题</abilityName>
      <candidateList>
        <item>：</item>
      </candidateList>
      <explain>文本全半角错误。</explain>
      <paraID>133F1F75</paraID>
      <start>2</start>
      <end>3</end>
      <status>unmodified</status>
      <modifiedWord/>
      <trackRevisions>false</trackRevisions>
    </reviewItem>
    <reviewItem>
      <errorID>8666b8d6-e81c-49ad-ba5e-ec032c622752</errorID>
      <errorWord>:</errorWord>
      <group>L1_Format</group>
      <groupName>格式问题</groupName>
      <ability>L2_HalfPunc_CN</ability>
      <abilityName>全半角问题</abilityName>
      <candidateList>
        <item>：</item>
      </candidateList>
      <explain>文本全半角错误。</explain>
      <paraID>6D7221F2</paraID>
      <start>2</start>
      <end>3</end>
      <status>unmodified</status>
      <modifiedWord/>
      <trackRevisions>false</trackRevisions>
    </reviewItem>
    <reviewItem>
      <errorID>74714a68-b318-4812-9f4d-04772e0944f6</errorID>
      <errorWord>:/</errorWord>
      <group>L1_Punc</group>
      <groupName>标点问题</groupName>
      <ability>L2_Punc_CN</ability>
      <abilityName>标点符号问题</abilityName>
      <candidateList>
        <item>:</item>
      </candidateList>
      <explain/>
      <paraID> 7127386</paraID>
      <start>2</start>
      <end>4</end>
      <status>unmodified</status>
      <modifiedWord/>
      <trackRevisions>false</trackRevisions>
    </reviewItem>
    <reviewItem>
      <errorID>6f353cf1-9815-4490-b7c3-c6471ead24ac</errorID>
      <errorWord>:</errorWord>
      <group>L1_Format</group>
      <groupName>格式问题</groupName>
      <ability>L2_HalfPunc_CN</ability>
      <abilityName>全半角问题</abilityName>
      <candidateList>
        <item>：</item>
      </candidateList>
      <explain>文本全半角错误。</explain>
      <paraID>7726481D</paraID>
      <start>2</start>
      <end>3</end>
      <status>unmodified</status>
      <modifiedWord/>
      <trackRevisions>false</trackRevisions>
    </reviewItem>
    <reviewItem>
      <errorID>f5bb788e-fc1f-4d25-b503-f277e6162a86</errorID>
      <errorWord>：/</errorWord>
      <group>L1_Punc</group>
      <groupName>标点问题</groupName>
      <ability>L2_Punc_CN</ability>
      <abilityName>标点符号问题</abilityName>
      <candidateList>
        <item>：</item>
      </candidateList>
      <explain/>
      <paraID> CA36C0F</paraID>
      <start>4</start>
      <end>6</end>
      <status>unmodified</status>
      <modifiedWord/>
      <trackRevisions>false</trackRevisions>
    </reviewItem>
    <reviewItem>
      <errorID>3b8108a5-ffc7-4bd3-b916-f3110ca5d9f2</errorID>
      <errorWord>：/</errorWord>
      <group>L1_Punc</group>
      <groupName>标点问题</groupName>
      <ability>L2_Punc_CN</ability>
      <abilityName>标点符号问题</abilityName>
      <candidateList>
        <item>：</item>
      </candidateList>
      <explain/>
      <paraID>117691AD</paraID>
      <start>4</start>
      <end>6</end>
      <status>unmodified</status>
      <modifiedWord/>
      <trackRevisions>false</trackRevisions>
    </reviewItem>
    <reviewItem>
      <errorID>f98a6885-844c-43b5-adea-982c8684df50</errorID>
      <errorWord>：/</errorWord>
      <group>L1_Punc</group>
      <groupName>标点问题</groupName>
      <ability>L2_Punc_CN</ability>
      <abilityName>标点符号问题</abilityName>
      <candidateList>
        <item>：</item>
      </candidateList>
      <explain/>
      <paraID>6C7FE769</paraID>
      <start>4</start>
      <end>6</end>
      <status>unmodified</status>
      <modifiedWord/>
      <trackRevisions>false</trackRevisions>
    </reviewItem>
    <reviewItem>
      <errorID>393560d3-9732-484d-acbc-6d72a4c84f72</errorID>
      <errorWord>：/</errorWord>
      <group>L1_Punc</group>
      <groupName>标点问题</groupName>
      <ability>L2_Punc_CN</ability>
      <abilityName>标点符号问题</abilityName>
      <candidateList>
        <item>：</item>
      </candidateList>
      <explain/>
      <paraID>15A42FF3</paraID>
      <start>4</start>
      <end>6</end>
      <status>unmodified</status>
      <modifiedWord/>
      <trackRevisions>false</trackRevisions>
    </reviewItem>
    <reviewItem>
      <errorID>9832d9ff-e9cc-419d-ba66-e6f4eaad764c</errorID>
      <errorWord>(</errorWord>
      <group>L1_Format</group>
      <groupName>格式问题</groupName>
      <ability>L2_HalfPunc_CN</ability>
      <abilityName>全半角问题</abilityName>
      <candidateList>
        <item>（</item>
      </candidateList>
      <explain>文本全半角错误。</explain>
      <paraID> 7BEDA92</paraID>
      <start>32</start>
      <end>33</end>
      <status>unmodified</status>
      <modifiedWord/>
      <trackRevisions>false</trackRevisions>
    </reviewItem>
    <reviewItem>
      <errorID>8a8c43a9-8d1a-4490-9002-c2d1e6d1d76b</errorID>
      <errorWord>)</errorWord>
      <group>L1_Format</group>
      <groupName>格式问题</groupName>
      <ability>L2_HalfPunc_CN</ability>
      <abilityName>全半角问题</abilityName>
      <candidateList>
        <item>）</item>
      </candidateList>
      <explain>文本全半角错误。</explain>
      <paraID> 7BEDA92</paraID>
      <start>38</start>
      <end>39</end>
      <status>unmodified</status>
      <modifiedWord/>
      <trackRevisions>false</trackRevisions>
    </reviewItem>
    <reviewItem>
      <errorID>b37fb183-d22f-4d6f-a857-e93628c6b05b</errorID>
      <errorWord>(</errorWord>
      <group>L1_Format</group>
      <groupName>格式问题</groupName>
      <ability>L2_HalfPunc_CN</ability>
      <abilityName>全半角问题</abilityName>
      <candidateList>
        <item>（</item>
      </candidateList>
      <explain>文本全半角错误。</explain>
      <paraID> 7BEDA92</paraID>
      <start>48</start>
      <end>49</end>
      <status>unmodified</status>
      <modifiedWord/>
      <trackRevisions>false</trackRevisions>
    </reviewItem>
    <reviewItem>
      <errorID>d68dd7b9-ca19-4c9e-bf6e-f26ea0270e8b</errorID>
      <errorWord>)</errorWord>
      <group>L1_Format</group>
      <groupName>格式问题</groupName>
      <ability>L2_HalfPunc_CN</ability>
      <abilityName>全半角问题</abilityName>
      <candidateList>
        <item>）</item>
      </candidateList>
      <explain>文本全半角错误。</explain>
      <paraID> 7BEDA92</paraID>
      <start>58</start>
      <end>59</end>
      <status>unmodified</status>
      <modifiedWord/>
      <trackRevisions>false</trackRevisions>
    </reviewItem>
    <reviewItem>
      <errorID>bd94ee53-2286-4051-98ef-28a63707b482</errorID>
      <errorWord>,</errorWord>
      <group>L1_Format</group>
      <groupName>格式问题</groupName>
      <ability>L2_HalfPunc_CN</ability>
      <abilityName>全半角问题</abilityName>
      <candidateList>
        <item>，</item>
      </candidateList>
      <explain>文本全半角错误。</explain>
      <paraID> 98EFD4D</paraID>
      <start>17</start>
      <end>18</end>
      <status>unmodified</status>
      <modifiedWord/>
      <trackRevisions>false</trackRevisions>
    </reviewItem>
    <reviewItem>
      <errorID>7aea6952-4c45-468c-b500-dee1e71b05b6</errorID>
      <errorWord>,</errorWord>
      <group>L1_Format</group>
      <groupName>格式问题</groupName>
      <ability>L2_HalfPunc_CN</ability>
      <abilityName>全半角问题</abilityName>
      <candidateList>
        <item>，</item>
      </candidateList>
      <explain>文本全半角错误。</explain>
      <paraID> 98EFD4D</paraID>
      <start>28</start>
      <end>29</end>
      <status>unmodified</status>
      <modifiedWord/>
      <trackRevisions>false</trackRevisions>
    </reviewItem>
    <reviewItem>
      <errorID>aa544c34-a965-480f-a8d4-4fe1dccd507e</errorID>
      <errorWord>法律、法规</errorWord>
      <group>L1_Word</group>
      <groupName>字词问题</groupName>
      <ability>L2_Typo</ability>
      <abilityName>字词错误</abilityName>
      <candidateList>
        <item>法律法规</item>
      </candidateList>
      <explain/>
      <paraID> 98EFD4D</paraID>
      <start>85</start>
      <end>90</end>
      <status>unmodified</status>
      <modifiedWord/>
      <trackRevisions>false</trackRevisions>
    </reviewItem>
    <reviewItem>
      <errorID>3f987755-1d23-4d04-9b0a-0c9debd0ecb9</errorID>
      <errorWord>,</errorWord>
      <group>L1_Format</group>
      <groupName>格式问题</groupName>
      <ability>L2_HalfPunc_CN</ability>
      <abilityName>全半角问题</abilityName>
      <candidateList>
        <item>，</item>
      </candidateList>
      <explain>文本全半角错误。</explain>
      <paraID>3FA5567D</paraID>
      <start>11</start>
      <end>12</end>
      <status>unmodified</status>
      <modifiedWord/>
      <trackRevisions>false</trackRevisions>
    </reviewItem>
    <reviewItem>
      <errorID>d608acdf-4b8b-4c03-a25b-3e211fb0d534</errorID>
      <errorWord>（</errorWord>
      <group>L1_Punc</group>
      <groupName>标点问题</groupName>
      <ability>L2_Punc_CN</ability>
      <abilityName>标点符号问题</abilityName>
      <candidateList/>
      <explain>同一形式括号套用。</explain>
      <paraID>6B0C4810</paraID>
      <start>44</start>
      <end>45</end>
      <status>unmodified</status>
      <modifiedWord/>
      <trackRevisions>false</trackRevisions>
    </reviewItem>
    <reviewItem>
      <errorID>557a8709-6753-4544-bd06-6098be3f9420</errorID>
      <errorWord>）</errorWord>
      <group>L1_Punc</group>
      <groupName>标点问题</groupName>
      <ability>L2_Punc_CN</ability>
      <abilityName>标点符号问题</abilityName>
      <candidateList/>
      <explain>同一形式括号套用。</explain>
      <paraID>6B0C4810</paraID>
      <start>57</start>
      <end>58</end>
      <status>unmodified</status>
      <modifiedWord/>
      <trackRevisions>false</trackRevisions>
    </reviewItem>
    <reviewItem>
      <errorID>4fdeb2a1-d311-4d26-aad6-b55e474626bf</errorID>
      <errorWord>（</errorWord>
      <group>L1_Punc</group>
      <groupName>标点问题</groupName>
      <ability>L2_Punc_CN</ability>
      <abilityName>标点符号问题</abilityName>
      <candidateList/>
      <explain>同一形式括号套用。</explain>
      <paraID>1148B596</paraID>
      <start>44</start>
      <end>45</end>
      <status>unmodified</status>
      <modifiedWord/>
      <trackRevisions>false</trackRevisions>
    </reviewItem>
    <reviewItem>
      <errorID>33ca38b4-fc12-4856-82e1-25aadee4b680</errorID>
      <errorWord>）</errorWord>
      <group>L1_Punc</group>
      <groupName>标点问题</groupName>
      <ability>L2_Punc_CN</ability>
      <abilityName>标点符号问题</abilityName>
      <candidateList/>
      <explain>同一形式括号套用。</explain>
      <paraID>1148B596</paraID>
      <start>57</start>
      <end>58</end>
      <status>unmodified</status>
      <modifiedWord/>
      <trackRevisions>false</trackRevisions>
    </reviewItem>
    <reviewItem>
      <errorID>5430777b-734c-4769-b9ba-103b217e5e04</errorID>
      <errorWord>[2019]217号</errorWord>
      <group>L1_Knowledge</group>
      <groupName>知识性问题</groupName>
      <ability>L2_Knowledge</ability>
      <abilityName>其他知识</abilityName>
      <candidateList>
        <item>〔2019〕217号</item>
      </candidateList>
      <explain>发文字号格式错误。</explain>
      <paraID>7AA94783</paraID>
      <start>35</start>
      <end>45</end>
      <status>unmodified</status>
      <modifiedWord/>
      <trackRevisions>false</trackRevisions>
    </reviewItem>
    <reviewItem>
      <errorID>f7342e56-3922-4859-970d-f3a964fcbe09</errorID>
      <errorWord>（</errorWord>
      <group>L1_Punc</group>
      <groupName>标点问题</groupName>
      <ability>L2_Punc_CN</ability>
      <abilityName>标点符号问题</abilityName>
      <candidateList/>
      <explain>同一形式括号套用。</explain>
      <paraID> 1C12E73</paraID>
      <start>44</start>
      <end>45</end>
      <status>unmodified</status>
      <modifiedWord/>
      <trackRevisions>false</trackRevisions>
    </reviewItem>
    <reviewItem>
      <errorID>239c8181-320e-4bc7-985f-48426a279f0c</errorID>
      <errorWord>）</errorWord>
      <group>L1_Punc</group>
      <groupName>标点问题</groupName>
      <ability>L2_Punc_CN</ability>
      <abilityName>标点符号问题</abilityName>
      <candidateList/>
      <explain>同一形式括号套用。</explain>
      <paraID> 1C12E73</paraID>
      <start>57</start>
      <end>58</end>
      <status>unmodified</status>
      <modifiedWord/>
      <trackRevisions>false</trackRevisions>
    </reviewItem>
    <reviewItem>
      <errorID>e8394791-5448-4177-ab9d-cd099311247a</errorID>
      <errorWord>(</errorWord>
      <group>L1_Format</group>
      <groupName>格式问题</groupName>
      <ability>L2_HalfPunc_CN</ability>
      <abilityName>全半角问题</abilityName>
      <candidateList>
        <item>（</item>
      </candidateList>
      <explain>文本全半角错误。</explain>
      <paraID>54DDEE40</paraID>
      <start>6</start>
      <end>7</end>
      <status>unmodified</status>
      <modifiedWord/>
      <trackRevisions>false</trackRevisions>
    </reviewItem>
    <reviewItem>
      <errorID>ae83883d-7de6-4c1f-ae02-341adbf20e80</errorID>
      <errorWord>)</errorWord>
      <group>L1_Format</group>
      <groupName>格式问题</groupName>
      <ability>L2_HalfPunc_CN</ability>
      <abilityName>全半角问题</abilityName>
      <candidateList>
        <item>）</item>
      </candidateList>
      <explain>文本全半角错误。</explain>
      <paraID>54DDEE40</paraID>
      <start>27</start>
      <end>28</end>
      <status>unmodified</status>
      <modifiedWord/>
      <trackRevisions>false</trackRevisions>
    </reviewItem>
    <reviewItem>
      <errorID>133ac5cf-3f55-42a6-b3ad-35e556fd7d00</errorID>
      <errorWord>(</errorWord>
      <group>L1_Format</group>
      <groupName>格式问题</groupName>
      <ability>L2_HalfPunc_CN</ability>
      <abilityName>全半角问题</abilityName>
      <candidateList>
        <item>（</item>
      </candidateList>
      <explain>文本全半角错误。</explain>
      <paraID>39F9B366</paraID>
      <start>6</start>
      <end>7</end>
      <status>unmodified</status>
      <modifiedWord/>
      <trackRevisions>false</trackRevisions>
    </reviewItem>
    <reviewItem>
      <errorID>1ccebe51-c811-4398-bea6-e0640eaaba6a</errorID>
      <errorWord>)</errorWord>
      <group>L1_Format</group>
      <groupName>格式问题</groupName>
      <ability>L2_HalfPunc_CN</ability>
      <abilityName>全半角问题</abilityName>
      <candidateList>
        <item>）</item>
      </candidateList>
      <explain>文本全半角错误。</explain>
      <paraID>39F9B366</paraID>
      <start>27</start>
      <end>28</end>
      <status>unmodified</status>
      <modifiedWord/>
      <trackRevisions>false</trackRevisions>
    </reviewItem>
    <reviewItem>
      <errorID>c08a9404-c4cf-4758-932a-fa07276e6b7d</errorID>
      <errorWord>(</errorWord>
      <group>L1_Format</group>
      <groupName>格式问题</groupName>
      <ability>L2_HalfPunc_CN</ability>
      <abilityName>全半角问题</abilityName>
      <candidateList>
        <item>（</item>
      </candidateList>
      <explain>文本全半角错误。</explain>
      <paraID> C10F443</paraID>
      <start>20</start>
      <end>21</end>
      <status>unmodified</status>
      <modifiedWord/>
      <trackRevisions>false</trackRevisions>
    </reviewItem>
    <reviewItem>
      <errorID>e507ddc2-75db-429e-81fa-02809b14960a</errorID>
      <errorWord>)</errorWord>
      <group>L1_Format</group>
      <groupName>格式问题</groupName>
      <ability>L2_HalfPunc_CN</ability>
      <abilityName>全半角问题</abilityName>
      <candidateList>
        <item>）</item>
      </candidateList>
      <explain>文本全半角错误。</explain>
      <paraID> C10F443</paraID>
      <start>25</start>
      <end>26</end>
      <status>unmodified</status>
      <modifiedWord/>
      <trackRevisions>false</trackRevisions>
    </reviewItem>
    <reviewItem>
      <errorID>811d89d5-b147-4eb4-b129-b25049385067</errorID>
      <errorWord>(</errorWord>
      <group>L1_Format</group>
      <groupName>格式问题</groupName>
      <ability>L2_HalfPunc_CN</ability>
      <abilityName>全半角问题</abilityName>
      <candidateList>
        <item>（</item>
      </candidateList>
      <explain>文本全半角错误。</explain>
      <paraID>4B771C9C</paraID>
      <start>6</start>
      <end>7</end>
      <status>unmodified</status>
      <modifiedWord/>
      <trackRevisions>false</trackRevisions>
    </reviewItem>
    <reviewItem>
      <errorID>51dd703e-5733-4a5d-8ce2-4da91c43a77b</errorID>
      <errorWord>)</errorWord>
      <group>L1_Format</group>
      <groupName>格式问题</groupName>
      <ability>L2_HalfPunc_CN</ability>
      <abilityName>全半角问题</abilityName>
      <candidateList>
        <item>）</item>
      </candidateList>
      <explain>文本全半角错误。</explain>
      <paraID>4B771C9C</paraID>
      <start>11</start>
      <end>12</end>
      <status>unmodified</status>
      <modifiedWord/>
      <trackRevisions>false</trackRevisions>
    </reviewItem>
    <reviewItem>
      <errorID>ed56a7c5-3927-4aba-b2a7-6726c94a59ed</errorID>
      <errorWord>(</errorWord>
      <group>L1_Format</group>
      <groupName>格式问题</groupName>
      <ability>L2_HalfPunc_CN</ability>
      <abilityName>全半角问题</abilityName>
      <candidateList>
        <item>（</item>
      </candidateList>
      <explain>文本全半角错误。</explain>
      <paraID>698539D0</paraID>
      <start>6</start>
      <end>7</end>
      <status>unmodified</status>
      <modifiedWord/>
      <trackRevisions>false</trackRevisions>
    </reviewItem>
    <reviewItem>
      <errorID>79ddc190-8cb4-4899-9321-2cc82e326633</errorID>
      <errorWord>)</errorWord>
      <group>L1_Format</group>
      <groupName>格式问题</groupName>
      <ability>L2_HalfPunc_CN</ability>
      <abilityName>全半角问题</abilityName>
      <candidateList>
        <item>）</item>
      </candidateList>
      <explain>文本全半角错误。</explain>
      <paraID>698539D0</paraID>
      <start>11</start>
      <end>12</end>
      <status>unmodified</status>
      <modifiedWord/>
      <trackRevisions>false</trackRevisions>
    </reviewItem>
    <reviewItem>
      <errorID>8128cf69-3649-40a0-89e4-9156f4ad26e0</errorID>
      <errorWord>股东大会</errorWord>
      <group>L1_Word</group>
      <groupName>字词问题</groupName>
      <ability>L2_Typo</ability>
      <abilityName>字词错误</abilityName>
      <candidateList>
        <item>股东会</item>
      </candidateList>
      <explain/>
      <paraID>15DC5982</paraID>
      <start>113</start>
      <end>117</end>
      <status>unmodified</status>
      <modifiedWord/>
      <trackRevisions>false</trackRevisions>
    </reviewItem>
    <reviewItem>
      <errorID>18767045-7957-4b7e-b67f-5c05867d92ca</errorID>
      <errorWord>(</errorWord>
      <group>L1_Format</group>
      <groupName>格式问题</groupName>
      <ability>L2_HalfPunc_CN</ability>
      <abilityName>全半角问题</abilityName>
      <candidateList>
        <item>（</item>
      </candidateList>
      <explain>文本全半角错误。</explain>
      <paraID>25C2BF58</paraID>
      <start>5</start>
      <end>6</end>
      <status>unmodified</status>
      <modifiedWord/>
      <trackRevisions>false</trackRevisions>
    </reviewItem>
    <reviewItem>
      <errorID>ffc6c87a-26d9-4c70-9b4a-313fcf7e2643</errorID>
      <errorWord>)</errorWord>
      <group>L1_Format</group>
      <groupName>格式问题</groupName>
      <ability>L2_HalfPunc_CN</ability>
      <abilityName>全半角问题</abilityName>
      <candidateList>
        <item>）</item>
      </candidateList>
      <explain>文本全半角错误。</explain>
      <paraID>25C2BF58</paraID>
      <start>10</start>
      <end>11</end>
      <status>unmodified</status>
      <modifiedWord/>
      <trackRevisions>false</trackRevisions>
    </reviewItem>
    <reviewItem>
      <errorID>02651d9d-3a5c-4da1-ad64-d099a7223815</errorID>
      <errorWord>(</errorWord>
      <group>L1_Format</group>
      <groupName>格式问题</groupName>
      <ability>L2_HalfPunc_CN</ability>
      <abilityName>全半角问题</abilityName>
      <candidateList>
        <item>（</item>
      </candidateList>
      <explain>文本全半角错误。</explain>
      <paraID>59093FA5</paraID>
      <start>5</start>
      <end>6</end>
      <status>unmodified</status>
      <modifiedWord/>
      <trackRevisions>false</trackRevisions>
    </reviewItem>
    <reviewItem>
      <errorID>7b0293a3-1f54-4188-9711-c743cb5c2441</errorID>
      <errorWord>)</errorWord>
      <group>L1_Format</group>
      <groupName>格式问题</groupName>
      <ability>L2_HalfPunc_CN</ability>
      <abilityName>全半角问题</abilityName>
      <candidateList>
        <item>）</item>
      </candidateList>
      <explain>文本全半角错误。</explain>
      <paraID>59093FA5</paraID>
      <start>10</start>
      <end>11</end>
      <status>unmodified</status>
      <modifiedWord/>
      <trackRevisions>false</trackRevisions>
    </reviewItem>
    <reviewItem>
      <errorID>424f0636-bb0e-4c6c-adcc-9dc46b760a54</errorID>
      <errorWord>(</errorWord>
      <group>L1_Format</group>
      <groupName>格式问题</groupName>
      <ability>L2_HalfPunc_CN</ability>
      <abilityName>全半角问题</abilityName>
      <candidateList>
        <item>（</item>
      </candidateList>
      <explain>文本全半角错误。</explain>
      <paraID>61676D77</paraID>
      <start>7</start>
      <end>8</end>
      <status>unmodified</status>
      <modifiedWord/>
      <trackRevisions>false</trackRevisions>
    </reviewItem>
    <reviewItem>
      <errorID>2a1866bb-7ef6-46b8-b22d-078628da2f85</errorID>
      <errorWord>)</errorWord>
      <group>L1_Format</group>
      <groupName>格式问题</groupName>
      <ability>L2_HalfPunc_CN</ability>
      <abilityName>全半角问题</abilityName>
      <candidateList>
        <item>）</item>
      </candidateList>
      <explain>文本全半角错误。</explain>
      <paraID>61676D77</paraID>
      <start>12</start>
      <end>13</end>
      <status>unmodified</status>
      <modifiedWord/>
      <trackRevisions>false</trackRevisions>
    </reviewItem>
    <reviewItem>
      <errorID>1dad7f0f-be2e-41a0-a36a-df1cab54e89c</errorID>
      <errorWord>(</errorWord>
      <group>L1_Format</group>
      <groupName>格式问题</groupName>
      <ability>L2_HalfPunc_CN</ability>
      <abilityName>全半角问题</abilityName>
      <candidateList>
        <item>（</item>
      </candidateList>
      <explain>文本全半角错误。</explain>
      <paraID>274DE2C9</paraID>
      <start>5</start>
      <end>6</end>
      <status>unmodified</status>
      <modifiedWord/>
      <trackRevisions>false</trackRevisions>
    </reviewItem>
    <reviewItem>
      <errorID>7e35dd57-d76e-4c6c-ab34-c46a24eaa6cd</errorID>
      <errorWord>)</errorWord>
      <group>L1_Format</group>
      <groupName>格式问题</groupName>
      <ability>L2_HalfPunc_CN</ability>
      <abilityName>全半角问题</abilityName>
      <candidateList>
        <item>）</item>
      </candidateList>
      <explain>文本全半角错误。</explain>
      <paraID>274DE2C9</paraID>
      <start>10</start>
      <end>11</end>
      <status>unmodified</status>
      <modifiedWord/>
      <trackRevisions>false</trackRevisions>
    </reviewItem>
    <reviewItem>
      <errorID>6f0f15e4-6c04-4d38-b76b-05cf49f9f241</errorID>
      <errorWord>(</errorWord>
      <group>L1_Format</group>
      <groupName>格式问题</groupName>
      <ability>L2_HalfPunc_CN</ability>
      <abilityName>全半角问题</abilityName>
      <candidateList>
        <item>（</item>
      </candidateList>
      <explain>文本全半角错误。</explain>
      <paraID>281A903A</paraID>
      <start>5</start>
      <end>6</end>
      <status>unmodified</status>
      <modifiedWord/>
      <trackRevisions>false</trackRevisions>
    </reviewItem>
    <reviewItem>
      <errorID>41eb553a-cbfd-430e-9da9-a463bf29a134</errorID>
      <errorWord>)</errorWord>
      <group>L1_Format</group>
      <groupName>格式问题</groupName>
      <ability>L2_HalfPunc_CN</ability>
      <abilityName>全半角问题</abilityName>
      <candidateList>
        <item>）</item>
      </candidateList>
      <explain>文本全半角错误。</explain>
      <paraID>281A903A</paraID>
      <start>10</start>
      <end>11</end>
      <status>unmodified</status>
      <modifiedWord/>
      <trackRevisions>false</trackRevisions>
    </reviewItem>
    <reviewItem>
      <errorID>2c9515aa-01ec-46c9-9568-5c947f12e213</errorID>
      <errorWord>………</errorWord>
      <group>L1_Punc</group>
      <groupName>标点问题</groupName>
      <ability>L2_Punc_CN</ability>
      <abilityName>标点符号问题</abilityName>
      <candidateList>
        <item>……</item>
      </candidateList>
      <explain/>
      <paraID>7465962B</paraID>
      <start>28</start>
      <end>31</end>
      <status>unmodified</status>
      <modifiedWord/>
      <trackRevisions>false</trackRevisions>
    </reviewItem>
    <reviewItem>
      <errorID>e57119d8-01e2-499b-a459-340a104353c3</errorID>
      <errorWord>(</errorWord>
      <group>L1_Format</group>
      <groupName>格式问题</groupName>
      <ability>L2_HalfPunc_CN</ability>
      <abilityName>全半角问题</abilityName>
      <candidateList>
        <item>（</item>
      </candidateList>
      <explain>文本全半角错误。</explain>
      <paraID>46BBBA2F</paraID>
      <start>7</start>
      <end>8</end>
      <status>unmodified</status>
      <modifiedWord/>
      <trackRevisions>false</trackRevisions>
    </reviewItem>
    <reviewItem>
      <errorID>6d9d1852-4974-41df-8cd6-c8bb1ae7b9be</errorID>
      <errorWord>)</errorWord>
      <group>L1_Format</group>
      <groupName>格式问题</groupName>
      <ability>L2_HalfPunc_CN</ability>
      <abilityName>全半角问题</abilityName>
      <candidateList>
        <item>）</item>
      </candidateList>
      <explain>文本全半角错误。</explain>
      <paraID>46BBBA2F</paraID>
      <start>12</start>
      <end>13</end>
      <status>unmodified</status>
      <modifiedWord/>
      <trackRevisions>false</trackRevisions>
    </reviewItem>
    <reviewItem>
      <errorID>e8b55013-e184-4c36-bb77-793502860c9a</errorID>
      <errorWord>(</errorWord>
      <group>L1_Format</group>
      <groupName>格式问题</groupName>
      <ability>L2_HalfPunc_CN</ability>
      <abilityName>全半角问题</abilityName>
      <candidateList>
        <item>（</item>
      </candidateList>
      <explain>文本全半角错误。</explain>
      <paraID>238FE082</paraID>
      <start>7</start>
      <end>8</end>
      <status>unmodified</status>
      <modifiedWord/>
      <trackRevisions>false</trackRevisions>
    </reviewItem>
    <reviewItem>
      <errorID>ac4b2f6e-e9bd-4f4a-b0c2-414e13b04af2</errorID>
      <errorWord>)</errorWord>
      <group>L1_Format</group>
      <groupName>格式问题</groupName>
      <ability>L2_HalfPunc_CN</ability>
      <abilityName>全半角问题</abilityName>
      <candidateList>
        <item>）</item>
      </candidateList>
      <explain>文本全半角错误。</explain>
      <paraID>238FE082</paraID>
      <start>12</start>
      <end>13</end>
      <status>unmodified</status>
      <modifiedWord/>
      <trackRevisions>false</trackRevisions>
    </reviewItem>
    <reviewItem>
      <errorID>cd849e81-5dd6-4770-980d-2438058de615</errorID>
      <errorWord>表</errorWord>
      <group>L1_Word</group>
      <groupName>字词问题</groupName>
      <ability>L2_Typo</ability>
      <abilityName>字词错误</abilityName>
      <candidateList>
        <item>表人</item>
      </candidateList>
      <explain/>
      <paraID>58909EF0</paraID>
      <start>3</start>
      <end>4</end>
      <status>unmodified</status>
      <modifiedWord/>
      <trackRevisions>false</trackRevisions>
    </reviewItem>
    <reviewItem>
      <errorID>9696ff71-1f9b-4f7b-b5fe-1fdafc5a5ef2</errorID>
      <errorWord>粘帖</errorWord>
      <group>L1_Word</group>
      <groupName>字词问题</groupName>
      <ability>L2_Typo</ability>
      <abilityName>字词错误</abilityName>
      <candidateList>
        <item>粘贴</item>
      </candidateList>
      <explain>存在发音相同字词的误用。</explain>
      <paraID>58909EF0</paraID>
      <start>10</start>
      <end>12</end>
      <status>unmodified</status>
      <modifiedWord/>
      <trackRevisions>false</trackRevisions>
    </reviewItem>
    <reviewItem>
      <errorID>6d51ef30-6f97-44cf-864e-45dcdf673516</errorID>
      <errorWord>......</errorWord>
      <group>L1_Punc</group>
      <groupName>标点问题</groupName>
      <ability>L2_Punc_CN</ability>
      <abilityName>标点符号问题</abilityName>
      <candidateList>
        <item>……</item>
      </candidateList>
      <explain/>
      <paraID>  1B0525</paraID>
      <start>0</start>
      <end>6</end>
      <status>unmodified</status>
      <modifiedWord/>
      <trackRevisions>false</trackRevisions>
    </reviewItem>
    <reviewItem>
      <errorID>5cb8b642-611d-49f1-a82d-961b7650fd04</errorID>
      <errorWord>粘帖</errorWord>
      <group>L1_Word</group>
      <groupName>字词问题</groupName>
      <ability>L2_Typo</ability>
      <abilityName>字词错误</abilityName>
      <candidateList>
        <item>粘贴</item>
      </candidateList>
      <explain>存在发音相同字词的误用。</explain>
      <paraID>129B2F27</paraID>
      <start>10</start>
      <end>12</end>
      <status>unmodified</status>
      <modifiedWord/>
      <trackRevisions>false</trackRevisions>
    </reviewItem>
    <reviewItem>
      <errorID>db53dba0-3234-46a8-bdb2-48da391fdf7e</errorID>
      <errorWord>(</errorWord>
      <group>L1_Format</group>
      <groupName>格式问题</groupName>
      <ability>L2_HalfPunc_CN</ability>
      <abilityName>全半角问题</abilityName>
      <candidateList>
        <item>（</item>
      </candidateList>
      <explain>文本全半角错误。</explain>
      <paraID>7FAD1183</paraID>
      <start>0</start>
      <end>1</end>
      <status>unmodified</status>
      <modifiedWord/>
      <trackRevisions>false</trackRevisions>
    </reviewItem>
    <reviewItem>
      <errorID>bcc04cba-056b-4a50-a25f-4388e778120b</errorID>
      <errorWord>)</errorWord>
      <group>L1_Format</group>
      <groupName>格式问题</groupName>
      <ability>L2_HalfPunc_CN</ability>
      <abilityName>全半角问题</abilityName>
      <candidateList>
        <item>）</item>
      </candidateList>
      <explain>文本全半角错误。</explain>
      <paraID>7FAD1183</paraID>
      <start>15</start>
      <end>16</end>
      <status>unmodified</status>
      <modifiedWord/>
      <trackRevisions>false</trackRevisions>
    </reviewItem>
    <reviewItem>
      <errorID>db81e21d-9804-4736-b5bc-2a8b41652148</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1D4DF4A4</paraID>
      <start>63</start>
      <end>66</end>
      <status>unmodified</status>
      <modifiedWord/>
      <trackRevisions>false</trackRevisions>
    </reviewItem>
    <reviewItem>
      <errorID>a038c442-dc29-4dbb-91bf-bc1ebb0efee7</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4D392CD2</paraID>
      <start>36</start>
      <end>39</end>
      <status>unmodified</status>
      <modifiedWord/>
      <trackRevisions>false</trackRevisions>
    </reviewItem>
    <reviewItem>
      <errorID>40b5b090-7475-4e8d-932a-8726b75f4d99</errorID>
      <errorWord>(</errorWord>
      <group>L1_Format</group>
      <groupName>格式问题</groupName>
      <ability>L2_HalfPunc_CN</ability>
      <abilityName>全半角问题</abilityName>
      <candidateList>
        <item>（</item>
      </candidateList>
      <explain>文本全半角错误。</explain>
      <paraID>2D150108</paraID>
      <start>7</start>
      <end>8</end>
      <status>unmodified</status>
      <modifiedWord/>
      <trackRevisions>false</trackRevisions>
    </reviewItem>
    <reviewItem>
      <errorID>d57793b5-35d5-44de-9767-025aa228bc85</errorID>
      <errorWord>)</errorWord>
      <group>L1_Format</group>
      <groupName>格式问题</groupName>
      <ability>L2_HalfPunc_CN</ability>
      <abilityName>全半角问题</abilityName>
      <candidateList>
        <item>）</item>
      </candidateList>
      <explain>文本全半角错误。</explain>
      <paraID>2D150108</paraID>
      <start>12</start>
      <end>13</end>
      <status>unmodified</status>
      <modifiedWord/>
      <trackRevisions>false</trackRevisions>
    </reviewItem>
    <reviewItem>
      <errorID>dcbc351f-9ea3-4edb-9484-fff62f2990f9</errorID>
      <errorWord>(</errorWord>
      <group>L1_Format</group>
      <groupName>格式问题</groupName>
      <ability>L2_HalfPunc_CN</ability>
      <abilityName>全半角问题</abilityName>
      <candidateList>
        <item>（</item>
      </candidateList>
      <explain>文本全半角错误。</explain>
      <paraID>1F83E7FA</paraID>
      <start>7</start>
      <end>8</end>
      <status>unmodified</status>
      <modifiedWord/>
      <trackRevisions>false</trackRevisions>
    </reviewItem>
    <reviewItem>
      <errorID>c277b04b-5845-4f59-91e7-11c87ee36229</errorID>
      <errorWord>)</errorWord>
      <group>L1_Format</group>
      <groupName>格式问题</groupName>
      <ability>L2_HalfPunc_CN</ability>
      <abilityName>全半角问题</abilityName>
      <candidateList>
        <item>）</item>
      </candidateList>
      <explain>文本全半角错误。</explain>
      <paraID>1F83E7FA</paraID>
      <start>12</start>
      <end>13</end>
      <status>unmodified</status>
      <modifiedWord/>
      <trackRevisions>false</trackRevisions>
    </reviewItem>
    <reviewItem>
      <errorID>d6e561c1-42a3-4a32-895b-243d6bc076cb</errorID>
      <errorWord>(</errorWord>
      <group>L1_Format</group>
      <groupName>格式问题</groupName>
      <ability>L2_HalfPunc_CN</ability>
      <abilityName>全半角问题</abilityName>
      <candidateList>
        <item>（</item>
      </candidateList>
      <explain>文本全半角错误。</explain>
      <paraID>63E1D4C7</paraID>
      <start>6</start>
      <end>7</end>
      <status>unmodified</status>
      <modifiedWord/>
      <trackRevisions>false</trackRevisions>
    </reviewItem>
    <reviewItem>
      <errorID>4e5b6a0c-4d0d-4882-a551-af6d3b3b45a1</errorID>
      <errorWord>)</errorWord>
      <group>L1_Format</group>
      <groupName>格式问题</groupName>
      <ability>L2_HalfPunc_CN</ability>
      <abilityName>全半角问题</abilityName>
      <candidateList>
        <item>）</item>
      </candidateList>
      <explain>文本全半角错误。</explain>
      <paraID>63E1D4C7</paraID>
      <start>11</start>
      <end>12</end>
      <status>unmodified</status>
      <modifiedWord/>
      <trackRevisions>false</trackRevisions>
    </reviewItem>
    <reviewItem>
      <errorID>9cd8a1f9-3dc2-4ddf-878d-940141066943</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39B7A419</paraID>
      <start>72</start>
      <end>75</end>
      <status>unmodified</status>
      <modifiedWord/>
      <trackRevisions>false</trackRevisions>
    </reviewItem>
    <reviewItem>
      <errorID>bd4c41c2-ff1c-4f33-aeb9-6a38a427b6a5</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67BE52AE</paraID>
      <start>31</start>
      <end>34</end>
      <status>unmodified</status>
      <modifiedWord/>
      <trackRevisions>false</trackRevisions>
    </reviewItem>
    <reviewItem>
      <errorID>e78529ad-528d-4b77-bb96-21a9391ff0fd</errorID>
      <errorWord>(</errorWord>
      <group>L1_Format</group>
      <groupName>格式问题</groupName>
      <ability>L2_HalfPunc_CN</ability>
      <abilityName>全半角问题</abilityName>
      <candidateList>
        <item>（</item>
      </candidateList>
      <explain>文本全半角错误。</explain>
      <paraID> 80381F0</paraID>
      <start>5</start>
      <end>6</end>
      <status>unmodified</status>
      <modifiedWord/>
      <trackRevisions>false</trackRevisions>
    </reviewItem>
    <reviewItem>
      <errorID>339ae638-64d8-410e-a9d6-a6ea3a5409fb</errorID>
      <errorWord>)</errorWord>
      <group>L1_Format</group>
      <groupName>格式问题</groupName>
      <ability>L2_HalfPunc_CN</ability>
      <abilityName>全半角问题</abilityName>
      <candidateList>
        <item>）</item>
      </candidateList>
      <explain>文本全半角错误。</explain>
      <paraID> 80381F0</paraID>
      <start>10</start>
      <end>11</end>
      <status>unmodified</status>
      <modifiedWord/>
      <trackRevisions>false</trackRevisions>
    </reviewItem>
    <reviewItem>
      <errorID>f7a2a4bb-a690-4587-ae5c-f76779ae348a</errorID>
      <errorWord>(</errorWord>
      <group>L1_Format</group>
      <groupName>格式问题</groupName>
      <ability>L2_HalfPunc_CN</ability>
      <abilityName>全半角问题</abilityName>
      <candidateList>
        <item>（</item>
      </candidateList>
      <explain>文本全半角错误。</explain>
      <paraID>528FBB8A</paraID>
      <start>0</start>
      <end>1</end>
      <status>unmodified</status>
      <modifiedWord/>
      <trackRevisions>false</trackRevisions>
    </reviewItem>
    <reviewItem>
      <errorID>3921e9b7-dac4-47d0-a04f-6ed2d1fe37ed</errorID>
      <errorWord>)</errorWord>
      <group>L1_Format</group>
      <groupName>格式问题</groupName>
      <ability>L2_HalfPunc_CN</ability>
      <abilityName>全半角问题</abilityName>
      <candidateList>
        <item>）</item>
      </candidateList>
      <explain>文本全半角错误。</explain>
      <paraID>528FBB8A</paraID>
      <start>3</start>
      <end>4</end>
      <status>unmodified</status>
      <modifiedWord/>
      <trackRevisions>false</trackRevisions>
    </reviewItem>
    <reviewItem>
      <errorID>22b342cb-22a6-4c43-b661-e6ec1ee8874c</errorID>
      <errorWord>(</errorWord>
      <group>L1_Format</group>
      <groupName>格式问题</groupName>
      <ability>L2_HalfPunc_CN</ability>
      <abilityName>全半角问题</abilityName>
      <candidateList>
        <item>（</item>
      </candidateList>
      <explain>文本全半角错误。</explain>
      <paraID>6C85DBA0</paraID>
      <start>0</start>
      <end>1</end>
      <status>unmodified</status>
      <modifiedWord/>
      <trackRevisions>false</trackRevisions>
    </reviewItem>
    <reviewItem>
      <errorID>4d4764f9-7b4e-424a-b8e1-f607e68d3796</errorID>
      <errorWord>)</errorWord>
      <group>L1_Format</group>
      <groupName>格式问题</groupName>
      <ability>L2_HalfPunc_CN</ability>
      <abilityName>全半角问题</abilityName>
      <candidateList>
        <item>）</item>
      </candidateList>
      <explain>文本全半角错误。</explain>
      <paraID>6C85DBA0</paraID>
      <start>3</start>
      <end>4</end>
      <status>unmodified</status>
      <modifiedWord/>
      <trackRevisions>false</trackRevisions>
    </reviewItem>
    <reviewItem>
      <errorID>56f46135-f2fa-4064-8922-6ab933b85cbb</errorID>
      <errorWord>(</errorWord>
      <group>L1_Format</group>
      <groupName>格式问题</groupName>
      <ability>L2_HalfPunc_CN</ability>
      <abilityName>全半角问题</abilityName>
      <candidateList>
        <item>（</item>
      </candidateList>
      <explain>文本全半角错误。</explain>
      <paraID>3FFCC6C1</paraID>
      <start>0</start>
      <end>1</end>
      <status>unmodified</status>
      <modifiedWord/>
      <trackRevisions>false</trackRevisions>
    </reviewItem>
    <reviewItem>
      <errorID>5b34c96e-e386-4246-b76e-80debf43518d</errorID>
      <errorWord>)</errorWord>
      <group>L1_Format</group>
      <groupName>格式问题</groupName>
      <ability>L2_HalfPunc_CN</ability>
      <abilityName>全半角问题</abilityName>
      <candidateList>
        <item>）</item>
      </candidateList>
      <explain>文本全半角错误。</explain>
      <paraID>3FFCC6C1</paraID>
      <start>3</start>
      <end>4</end>
      <status>unmodified</status>
      <modifiedWord/>
      <trackRevisions>false</trackRevisions>
    </reviewItem>
    <reviewItem>
      <errorID>45c51a20-1cdc-4ddb-b2bf-431f7f82ad7f</errorID>
      <errorWord>交纳</errorWord>
      <group>L1_Word</group>
      <groupName>字词问题</groupName>
      <ability>L2_Typo</ability>
      <abilityName>字词错误</abilityName>
      <candidateList>
        <item>缴纳</item>
      </candidateList>
      <explain>存在发音相同字词的误用。</explain>
      <paraID>5DED2395</paraID>
      <start>22</start>
      <end>24</end>
      <status>unmodified</status>
      <modifiedWord/>
      <trackRevisions>false</trackRevisions>
    </reviewItem>
    <reviewItem>
      <errorID>5030757a-c35c-4cf3-93ef-41372b185add</errorID>
      <errorWord>(</errorWord>
      <group>L1_Format</group>
      <groupName>格式问题</groupName>
      <ability>L2_HalfPunc_CN</ability>
      <abilityName>全半角问题</abilityName>
      <candidateList>
        <item>（</item>
      </candidateList>
      <explain>文本全半角错误。</explain>
      <paraID>3774398E</paraID>
      <start>5</start>
      <end>6</end>
      <status>unmodified</status>
      <modifiedWord/>
      <trackRevisions>false</trackRevisions>
    </reviewItem>
    <reviewItem>
      <errorID>b8d6f827-edb8-46c7-84eb-f5942edc500c</errorID>
      <errorWord>)</errorWord>
      <group>L1_Format</group>
      <groupName>格式问题</groupName>
      <ability>L2_HalfPunc_CN</ability>
      <abilityName>全半角问题</abilityName>
      <candidateList>
        <item>）</item>
      </candidateList>
      <explain>文本全半角错误。</explain>
      <paraID>3774398E</paraID>
      <start>10</start>
      <end>11</end>
      <status>unmodified</status>
      <modifiedWord/>
      <trackRevisions>false</trackRevisions>
    </reviewItem>
    <reviewItem>
      <errorID>f713b936-01ce-4c1f-b177-a0a07b9ad4dd</errorID>
      <errorWord>(</errorWord>
      <group>L1_Format</group>
      <groupName>格式问题</groupName>
      <ability>L2_HalfPunc_CN</ability>
      <abilityName>全半角问题</abilityName>
      <candidateList>
        <item>（</item>
      </candidateList>
      <explain>文本全半角错误。</explain>
      <paraID>31584442</paraID>
      <start>7</start>
      <end>8</end>
      <status>unmodified</status>
      <modifiedWord/>
      <trackRevisions>false</trackRevisions>
    </reviewItem>
    <reviewItem>
      <errorID>0bf40c5d-17be-412a-8eb4-3d9957db370c</errorID>
      <errorWord>)</errorWord>
      <group>L1_Format</group>
      <groupName>格式问题</groupName>
      <ability>L2_HalfPunc_CN</ability>
      <abilityName>全半角问题</abilityName>
      <candidateList>
        <item>）</item>
      </candidateList>
      <explain>文本全半角错误。</explain>
      <paraID>31584442</paraID>
      <start>12</start>
      <end>13</end>
      <status>unmodified</status>
      <modifiedWord/>
      <trackRevisions>false</trackRevisions>
    </reviewItem>
    <reviewItem>
      <errorID>c7c687c1-09de-48e9-8962-fc9e65efeeb0</errorID>
      <errorWord>(</errorWord>
      <group>L1_Format</group>
      <groupName>格式问题</groupName>
      <ability>L2_HalfPunc_CN</ability>
      <abilityName>全半角问题</abilityName>
      <candidateList>
        <item>（</item>
      </candidateList>
      <explain>文本全半角错误。</explain>
      <paraID>72ABD59D</paraID>
      <start>5</start>
      <end>6</end>
      <status>unmodified</status>
      <modifiedWord/>
      <trackRevisions>false</trackRevisions>
    </reviewItem>
    <reviewItem>
      <errorID>cce70219-009b-4497-999b-77ba324a3ca1</errorID>
      <errorWord>)</errorWord>
      <group>L1_Format</group>
      <groupName>格式问题</groupName>
      <ability>L2_HalfPunc_CN</ability>
      <abilityName>全半角问题</abilityName>
      <candidateList>
        <item>）</item>
      </candidateList>
      <explain>文本全半角错误。</explain>
      <paraID>72ABD59D</paraID>
      <start>10</start>
      <end>11</end>
      <status>unmodified</status>
      <modifiedWord/>
      <trackRevisions>false</trackRevisions>
    </reviewItem>
    <reviewItem>
      <errorID>e6badbdb-53f7-463e-a5b7-0e749d90fa1c</errorID>
      <errorWord>(</errorWord>
      <group>L1_Format</group>
      <groupName>格式问题</groupName>
      <ability>L2_HalfPunc_CN</ability>
      <abilityName>全半角问题</abilityName>
      <candidateList>
        <item>（</item>
      </candidateList>
      <explain>文本全半角错误。</explain>
      <paraID>382D70AC</paraID>
      <start>5</start>
      <end>6</end>
      <status>unmodified</status>
      <modifiedWord/>
      <trackRevisions>false</trackRevisions>
    </reviewItem>
    <reviewItem>
      <errorID>b5bd7198-0b2a-4c6f-b65d-e916b24c6317</errorID>
      <errorWord>)</errorWord>
      <group>L1_Format</group>
      <groupName>格式问题</groupName>
      <ability>L2_HalfPunc_CN</ability>
      <abilityName>全半角问题</abilityName>
      <candidateList>
        <item>）</item>
      </candidateList>
      <explain>文本全半角错误。</explain>
      <paraID>382D70AC</paraID>
      <start>10</start>
      <end>11</end>
      <status>unmodified</status>
      <modifiedWord/>
      <trackRevisions>false</trackRevisions>
    </reviewItem>
    <reviewItem>
      <errorID>a491e8bd-23f0-4400-90f7-4f33c08d3123</errorID>
      <errorWord>(</errorWord>
      <group>L1_Format</group>
      <groupName>格式问题</groupName>
      <ability>L2_HalfPunc_CN</ability>
      <abilityName>全半角问题</abilityName>
      <candidateList>
        <item>（</item>
      </candidateList>
      <explain>文本全半角错误。</explain>
      <paraID>17891017</paraID>
      <start>88</start>
      <end>89</end>
      <status>unmodified</status>
      <modifiedWord/>
      <trackRevisions>false</trackRevisions>
    </reviewItem>
    <reviewItem>
      <errorID>298365cb-2478-49ce-bc79-47eb1aec5e87</errorID>
      <errorWord>)</errorWord>
      <group>L1_Format</group>
      <groupName>格式问题</groupName>
      <ability>L2_HalfPunc_CN</ability>
      <abilityName>全半角问题</abilityName>
      <candidateList>
        <item>）</item>
      </candidateList>
      <explain>文本全半角错误。</explain>
      <paraID>17891017</paraID>
      <start>95</start>
      <end>96</end>
      <status>unmodified</status>
      <modifiedWord/>
      <trackRevisions>false</trackRevisions>
    </reviewItem>
    <reviewItem>
      <errorID>119e5992-91c3-4354-b65c-fe6438477cc8</errorID>
      <errorWord>(</errorWord>
      <group>L1_Format</group>
      <groupName>格式问题</groupName>
      <ability>L2_HalfPunc_CN</ability>
      <abilityName>全半角问题</abilityName>
      <candidateList>
        <item>（</item>
      </candidateList>
      <explain>文本全半角错误。</explain>
      <paraID>17891017</paraID>
      <start>107</start>
      <end>108</end>
      <status>unmodified</status>
      <modifiedWord/>
      <trackRevisions>false</trackRevisions>
    </reviewItem>
    <reviewItem>
      <errorID>8288b738-619b-49a8-a590-cb540c19f060</errorID>
      <errorWord>)</errorWord>
      <group>L1_Format</group>
      <groupName>格式问题</groupName>
      <ability>L2_HalfPunc_CN</ability>
      <abilityName>全半角问题</abilityName>
      <candidateList>
        <item>）</item>
      </candidateList>
      <explain>文本全半角错误。</explain>
      <paraID>17891017</paraID>
      <start>113</start>
      <end>114</end>
      <status>unmodified</status>
      <modifiedWord/>
      <trackRevisions>false</trackRevisions>
    </reviewItem>
    <reviewItem>
      <errorID>b6d258f5-f271-473d-9d59-2f9e84f9b111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16527173</paraID>
      <start>0</start>
      <end>2</end>
      <status>unmodified</status>
      <modifiedWord/>
      <trackRevisions>false</trackRevisions>
    </reviewItem>
    <reviewItem>
      <errorID>e9d056ab-4dae-48e9-ad36-fee7c386aaf3</errorID>
      <errorWord>)</errorWord>
      <group>L1_Format</group>
      <groupName>格式问题</groupName>
      <ability>L2_HalfPunc_CN</ability>
      <abilityName>全半角问题</abilityName>
      <candidateList>
        <item>）</item>
      </candidateList>
      <explain>文本全半角错误。</explain>
      <paraID>16527173</paraID>
      <start>41</start>
      <end>42</end>
      <status>unmodified</status>
      <modifiedWord/>
      <trackRevisions>false</trackRevisions>
    </reviewItem>
    <reviewItem>
      <errorID>cd6d0e61-3fb9-4062-8f0b-1360c206a19e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746DD803</paraID>
      <start>0</start>
      <end>2</end>
      <status>unmodified</status>
      <modifiedWord/>
      <trackRevisions>false</trackRevisions>
    </reviewItem>
    <reviewItem>
      <errorID>3182bd73-079f-447b-af1e-57f12f1b150c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1C9A885</paraID>
      <start>0</start>
      <end>2</end>
      <status>unmodified</status>
      <modifiedWord/>
      <trackRevisions>false</trackRevisions>
    </reviewItem>
    <reviewItem>
      <errorID>3bb2072c-44da-4f7e-acad-8c111c43e8ec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7BD81F55</paraID>
      <start>0</start>
      <end>2</end>
      <status>unmodified</status>
      <modifiedWord/>
      <trackRevisions>false</trackRevisions>
    </reviewItem>
    <reviewItem>
      <errorID>aae690fe-ae45-42fe-af22-148f6ea59845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75D21640</paraID>
      <start>0</start>
      <end>2</end>
      <status>unmodified</status>
      <modifiedWord/>
      <trackRevisions>false</trackRevisions>
    </reviewItem>
    <reviewItem>
      <errorID>d971f9e1-74df-4ad2-8cf2-0e134270d058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31ABF899</paraID>
      <start>0</start>
      <end>2</end>
      <status>unmodified</status>
      <modifiedWord/>
      <trackRevisions>false</trackRevisions>
    </reviewItem>
    <reviewItem>
      <errorID>bbf70c4f-dee5-47a4-8034-4fb4aa4b70b3</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C0A7FBB</paraID>
      <start>0</start>
      <end>2</end>
      <status>unmodified</status>
      <modifiedWord/>
      <trackRevisions>false</trackRevisions>
    </reviewItem>
    <reviewItem>
      <errorID>ccd2281d-796f-4f6a-8d7f-1984d2135dee</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513B9448</paraID>
      <start>0</start>
      <end>2</end>
      <status>unmodified</status>
      <modifiedWord/>
      <trackRevisions>false</trackRevisions>
    </reviewItem>
    <reviewItem>
      <errorID>48b9246f-d5fc-4adf-b653-a8e25afdd9d9</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656FC1D4</paraID>
      <start>0</start>
      <end>2</end>
      <status>unmodified</status>
      <modifiedWord/>
      <trackRevisions>false</trackRevisions>
    </reviewItem>
    <reviewItem>
      <errorID>f78fdaf9-55bd-405a-b63f-ca08c9f30f79</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15CA2B4D</paraID>
      <start>0</start>
      <end>3</end>
      <status>unmodified</status>
      <modifiedWord/>
      <trackRevisions>false</trackRevisions>
    </reviewItem>
    <reviewItem>
      <errorID>0f76bfd7-15a4-4c3e-8e15-7f2af177ca02</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2F54997D</paraID>
      <start>0</start>
      <end>3</end>
      <status>unmodified</status>
      <modifiedWord/>
      <trackRevisions>false</trackRevisions>
    </reviewItem>
    <reviewItem>
      <errorID>eaa2e596-7efc-4b95-abdf-7d34da029159</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64B2CB04</paraID>
      <start>0</start>
      <end>3</end>
      <status>unmodified</status>
      <modifiedWord/>
      <trackRevisions>false</trackRevisions>
    </reviewItem>
    <reviewItem>
      <errorID>144eb55b-5636-4ce1-9db4-36446354c3e8</errorID>
      <errorWord>(</errorWord>
      <group>L1_Format</group>
      <groupName>格式问题</groupName>
      <ability>L2_HalfPunc_CN</ability>
      <abilityName>全半角问题</abilityName>
      <candidateList>
        <item>（</item>
      </candidateList>
      <explain>文本全半角错误。</explain>
      <paraID>2FE1993A</paraID>
      <start>5</start>
      <end>6</end>
      <status>unmodified</status>
      <modifiedWord/>
      <trackRevisions>false</trackRevisions>
    </reviewItem>
    <reviewItem>
      <errorID>18cddd1b-c015-4646-af30-4b8440cb9a9f</errorID>
      <errorWord>)</errorWord>
      <group>L1_Format</group>
      <groupName>格式问题</groupName>
      <ability>L2_HalfPunc_CN</ability>
      <abilityName>全半角问题</abilityName>
      <candidateList>
        <item>）</item>
      </candidateList>
      <explain>文本全半角错误。</explain>
      <paraID>2FE1993A</paraID>
      <start>10</start>
      <end>11</end>
      <status>unmodified</status>
      <modifiedWord/>
      <trackRevisions>false</trackRevisions>
    </reviewItem>
    <reviewItem>
      <errorID>90eb3730-2eec-4891-b260-85a0d770a2ae</errorID>
      <errorWord>(</errorWord>
      <group>L1_Format</group>
      <groupName>格式问题</groupName>
      <ability>L2_HalfPunc_CN</ability>
      <abilityName>全半角问题</abilityName>
      <candidateList>
        <item>（</item>
      </candidateList>
      <explain>文本全半角错误。</explain>
      <paraID>7BD986C7</paraID>
      <start>7</start>
      <end>8</end>
      <status>unmodified</status>
      <modifiedWord/>
      <trackRevisions>false</trackRevisions>
    </reviewItem>
    <reviewItem>
      <errorID>c811c6a9-55ac-4611-a95e-b7443cb83f81</errorID>
      <errorWord>)</errorWord>
      <group>L1_Format</group>
      <groupName>格式问题</groupName>
      <ability>L2_HalfPunc_CN</ability>
      <abilityName>全半角问题</abilityName>
      <candidateList>
        <item>）</item>
      </candidateList>
      <explain>文本全半角错误。</explain>
      <paraID>7BD986C7</paraID>
      <start>16</start>
      <end>17</end>
      <status>unmodified</status>
      <modifiedWord/>
      <trackRevisions>false</trackRevisions>
    </reviewItem>
    <reviewItem>
      <errorID>11635ad0-b8dc-44fe-8daa-b65825fb4e0a</errorID>
      <errorWord>(</errorWord>
      <group>L1_Format</group>
      <groupName>格式问题</groupName>
      <ability>L2_HalfPunc_CN</ability>
      <abilityName>全半角问题</abilityName>
      <candidateList>
        <item>（</item>
      </candidateList>
      <explain>文本全半角错误。</explain>
      <paraID> F593E8D</paraID>
      <start>2</start>
      <end>3</end>
      <status>unmodified</status>
      <modifiedWord/>
      <trackRevisions>false</trackRevisions>
    </reviewItem>
    <reviewItem>
      <errorID>8d6701e0-9b6a-44d1-ad66-df2277acd037</errorID>
      <errorWord>)</errorWord>
      <group>L1_Format</group>
      <groupName>格式问题</groupName>
      <ability>L2_HalfPunc_CN</ability>
      <abilityName>全半角问题</abilityName>
      <candidateList>
        <item>）</item>
      </candidateList>
      <explain>文本全半角错误。</explain>
      <paraID> F593E8D</paraID>
      <start>4</start>
      <end>5</end>
      <status>unmodified</status>
      <modifiedWord/>
      <trackRevisions>false</trackRevisions>
    </reviewItem>
    <reviewItem>
      <errorID>aef1b344-cfb5-485a-8d58-60cb227336d1</errorID>
      <errorWord>＝</errorWord>
      <group>L1_Format</group>
      <groupName>格式问题</groupName>
      <ability>L2_HalfPunc_CN</ability>
      <abilityName>全半角问题</abilityName>
      <candidateList>
        <item>=</item>
      </candidateList>
      <explain>文本全半角错误。</explain>
      <paraID>7383CE4D</paraID>
      <start>1</start>
      <end>2</end>
      <status>unmodified</status>
      <modifiedWord/>
      <trackRevisions>false</trackRevisions>
    </reviewItem>
    <reviewItem>
      <errorID>34d06a70-b60f-44d9-89af-89b0f14d3012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423B7C6B</paraID>
      <start>0</start>
      <end>2</end>
      <status>unmodified</status>
      <modifiedWord/>
      <trackRevisions>false</trackRevisions>
    </reviewItem>
    <reviewItem>
      <errorID>a61c6645-5338-44bf-a5b8-20c671f757f6</errorID>
      <errorWord>,</errorWord>
      <group>L1_Format</group>
      <groupName>格式问题</groupName>
      <ability>L2_HalfPunc_CN</ability>
      <abilityName>全半角问题</abilityName>
      <candidateList>
        <item>，</item>
      </candidateList>
      <explain>文本全半角错误。</explain>
      <paraID>423B7C6B</paraID>
      <start>14</start>
      <end>15</end>
      <status>unmodified</status>
      <modifiedWord/>
      <trackRevisions>false</trackRevisions>
    </reviewItem>
    <reviewItem>
      <errorID>0aa2b729-6f78-483d-9646-5ec51c54ae05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6C69FE2A</paraID>
      <start>0</start>
      <end>2</end>
      <status>unmodified</status>
      <modifiedWord/>
      <trackRevisions>false</trackRevisions>
    </reviewItem>
    <reviewItem>
      <errorID>ba0847e9-11e9-4a2b-a979-10a116fc394c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33D10F05</paraID>
      <start>0</start>
      <end>2</end>
      <status>unmodified</status>
      <modifiedWord/>
      <trackRevisions>false</trackRevisions>
    </reviewItem>
    <reviewItem>
      <errorID>e3113fb0-bdf4-44eb-84f3-fc505cd78531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392A651E</paraID>
      <start>0</start>
      <end>2</end>
      <status>unmodified</status>
      <modifiedWord/>
      <trackRevisions>false</trackRevisions>
    </reviewItem>
    <reviewItem>
      <errorID>3cc2ab9f-6b5c-4afe-8d7e-a0628d0bcf5e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66A0EB3</paraID>
      <start>0</start>
      <end>2</end>
      <status>unmodified</status>
      <modifiedWord/>
      <trackRevisions>false</trackRevisions>
    </reviewItem>
    <reviewItem>
      <errorID>ae0410f0-10ed-4283-a4f0-44c38d694df7</errorID>
      <errorWord>(</errorWord>
      <group>L1_Format</group>
      <groupName>格式问题</groupName>
      <ability>L2_HalfPunc_CN</ability>
      <abilityName>全半角问题</abilityName>
      <candidateList>
        <item>（</item>
      </candidateList>
      <explain>文本全半角错误。</explain>
      <paraID> 2894CAD</paraID>
      <start>5</start>
      <end>6</end>
      <status>unmodified</status>
      <modifiedWord/>
      <trackRevisions>false</trackRevisions>
    </reviewItem>
    <reviewItem>
      <errorID>cc1816ff-d1ef-43cf-8f18-7197073fc8b1</errorID>
      <errorWord>)</errorWord>
      <group>L1_Format</group>
      <groupName>格式问题</groupName>
      <ability>L2_HalfPunc_CN</ability>
      <abilityName>全半角问题</abilityName>
      <candidateList>
        <item>）</item>
      </candidateList>
      <explain>文本全半角错误。</explain>
      <paraID> 2894CAD</paraID>
      <start>10</start>
      <end>11</end>
      <status>unmodified</status>
      <modifiedWord/>
      <trackRevisions>false</trackRevisions>
    </reviewItem>
    <reviewItem>
      <errorID>7b63852e-f9c0-4ac2-a9b6-cfbd5c7a0b5b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75890A68</paraID>
      <start>0</start>
      <end>2</end>
      <status>unmodified</status>
      <modifiedWord/>
      <trackRevisions>false</trackRevisions>
    </reviewItem>
    <reviewItem>
      <errorID>13b67ce7-a611-4d01-ba7e-e1834b541cda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1BB86988</paraID>
      <start>0</start>
      <end>2</end>
      <status>unmodified</status>
      <modifiedWord/>
      <trackRevisions>false</trackRevisions>
    </reviewItem>
    <reviewItem>
      <errorID>9180e04d-5b4f-4db5-8d49-f6de812ad74a</errorID>
      <errorWord>(</errorWord>
      <group>L1_Format</group>
      <groupName>格式问题</groupName>
      <ability>L2_HalfPunc_CN</ability>
      <abilityName>全半角问题</abilityName>
      <candidateList>
        <item>（</item>
      </candidateList>
      <explain>文本全半角错误。</explain>
      <paraID>1DA3ED9F</paraID>
      <start>5</start>
      <end>6</end>
      <status>unmodified</status>
      <modifiedWord/>
      <trackRevisions>false</trackRevisions>
    </reviewItem>
    <reviewItem>
      <errorID>720e8fb1-d7f7-4b58-abdb-f51ea217099b</errorID>
      <errorWord>)</errorWord>
      <group>L1_Format</group>
      <groupName>格式问题</groupName>
      <ability>L2_HalfPunc_CN</ability>
      <abilityName>全半角问题</abilityName>
      <candidateList>
        <item>）</item>
      </candidateList>
      <explain>文本全半角错误。</explain>
      <paraID>1DA3ED9F</paraID>
      <start>10</start>
      <end>11</end>
      <status>unmodified</status>
      <modifiedWord/>
      <trackRevisions>false</trackRevisions>
    </reviewItem>
    <reviewItem>
      <errorID>176f5149-57d3-4374-9542-b3b334e27a17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2B1BD11A</paraID>
      <start>0</start>
      <end>2</end>
      <status>unmodified</status>
      <modifiedWord/>
      <trackRevisions>false</trackRevisions>
    </reviewItem>
    <reviewItem>
      <errorID>3ca938a0-37cf-43b9-b8c6-754a06682839</errorID>
      <errorWord>法律、法规</errorWord>
      <group>L1_Word</group>
      <groupName>字词问题</groupName>
      <ability>L2_Typo</ability>
      <abilityName>字词错误</abilityName>
      <candidateList>
        <item>法律法规</item>
      </candidateList>
      <explain/>
      <paraID>21EF34BD</paraID>
      <start>48</start>
      <end>53</end>
      <status>unmodified</status>
      <modifiedWord/>
      <trackRevisions>false</trackRevisions>
    </reviewItem>
    <reviewItem>
      <errorID>74926481-b043-49b1-9f96-b3fa09e2ebb6</errorID>
      <errorWord>法律、法规</errorWord>
      <group>L1_Word</group>
      <groupName>字词问题</groupName>
      <ability>L2_Typo</ability>
      <abilityName>字词错误</abilityName>
      <candidateList>
        <item>法律法规</item>
      </candidateList>
      <explain/>
      <paraID>21EF34BD</paraID>
      <start>125</start>
      <end>130</end>
      <status>unmodified</status>
      <modifiedWord/>
      <trackRevisions>false</trackRevisions>
    </reviewItem>
    <reviewItem>
      <errorID>f8dc6e18-12ba-4bfc-826b-e8fca9b454ee</errorID>
      <errorWord>(</errorWord>
      <group>L1_Format</group>
      <groupName>格式问题</groupName>
      <ability>L2_HalfPunc_CN</ability>
      <abilityName>全半角问题</abilityName>
      <candidateList>
        <item>（</item>
      </candidateList>
      <explain>文本全半角错误。</explain>
      <paraID>274E9095</paraID>
      <start>11</start>
      <end>12</end>
      <status>unmodified</status>
      <modifiedWord/>
      <trackRevisions>false</trackRevisions>
    </reviewItem>
    <reviewItem>
      <errorID>8fa4c6d8-92a2-4445-aa9f-9519b8620aa1</errorID>
      <errorWord>)</errorWord>
      <group>L1_Format</group>
      <groupName>格式问题</groupName>
      <ability>L2_HalfPunc_CN</ability>
      <abilityName>全半角问题</abilityName>
      <candidateList>
        <item>）</item>
      </candidateList>
      <explain>文本全半角错误。</explain>
      <paraID>274E9095</paraID>
      <start>16</start>
      <end>17</end>
      <status>unmodified</status>
      <modifiedWord/>
      <trackRevisions>false</trackRevisions>
    </reviewItem>
    <reviewItem>
      <errorID>e0987bd2-395c-47a7-b9c0-598286d2b7c8</errorID>
      <errorWord>(</errorWord>
      <group>L1_Format</group>
      <groupName>格式问题</groupName>
      <ability>L2_HalfPunc_CN</ability>
      <abilityName>全半角问题</abilityName>
      <candidateList>
        <item>（</item>
      </candidateList>
      <explain>文本全半角错误。</explain>
      <paraID>40D5C0A2</paraID>
      <start>73</start>
      <end>74</end>
      <status>unmodified</status>
      <modifiedWord/>
      <trackRevisions>false</trackRevisions>
    </reviewItem>
    <reviewItem>
      <errorID>bacad8ce-cf80-474e-a95c-bcd4a239b41a</errorID>
      <errorWord>)</errorWord>
      <group>L1_Format</group>
      <groupName>格式问题</groupName>
      <ability>L2_HalfPunc_CN</ability>
      <abilityName>全半角问题</abilityName>
      <candidateList>
        <item>）</item>
      </candidateList>
      <explain>文本全半角错误。</explain>
      <paraID>40D5C0A2</paraID>
      <start>78</start>
      <end>79</end>
      <status>unmodified</status>
      <modifiedWord/>
      <trackRevisions>false</trackRevisions>
    </reviewItem>
    <reviewItem>
      <errorID>212f835d-1201-49de-94b8-430b3136a179</errorID>
      <errorWord>[2014]68号</errorWord>
      <group>L1_Knowledge</group>
      <groupName>知识性问题</groupName>
      <ability>L2_Knowledge</ability>
      <abilityName>其他知识</abilityName>
      <candidateList>
        <item>〔2014〕68号</item>
      </candidateList>
      <explain>发文字号格式错误。</explain>
      <paraID>3CD66665</paraID>
      <start>116</start>
      <end>125</end>
      <status>unmodified</status>
      <modifiedWord/>
      <trackRevisions>false</trackRevisions>
    </reviewItem>
    <reviewItem>
      <errorID>f7d8850e-54a3-4e98-9a1e-0ae89dcc6b7a</errorID>
      <errorWord>(</errorWord>
      <group>L1_Format</group>
      <groupName>格式问题</groupName>
      <ability>L2_HalfPunc_CN</ability>
      <abilityName>全半角问题</abilityName>
      <candidateList>
        <item>（</item>
      </candidateList>
      <explain>文本全半角错误。</explain>
      <paraID>1D42FD96</paraID>
      <start>43</start>
      <end>44</end>
      <status>unmodified</status>
      <modifiedWord/>
      <trackRevisions>false</trackRevisions>
    </reviewItem>
    <reviewItem>
      <errorID>e6836a32-ecd5-461a-a1b6-f6b8fefc76be</errorID>
      <errorWord>)</errorWord>
      <group>L1_Format</group>
      <groupName>格式问题</groupName>
      <ability>L2_HalfPunc_CN</ability>
      <abilityName>全半角问题</abilityName>
      <candidateList>
        <item>）</item>
      </candidateList>
      <explain>文本全半角错误。</explain>
      <paraID>1D42FD96</paraID>
      <start>48</start>
      <end>49</end>
      <status>unmodified</status>
      <modifiedWord/>
      <trackRevisions>false</trackRevisions>
    </reviewItem>
    <reviewItem>
      <errorID>fcc41133-d2f8-4274-8917-2b194132e356</errorID>
      <errorWord>[2014]68号</errorWord>
      <group>L1_Knowledge</group>
      <groupName>知识性问题</groupName>
      <ability>L2_Knowledge</ability>
      <abilityName>其他知识</abilityName>
      <candidateList>
        <item>〔2014〕68号</item>
      </candidateList>
      <explain>发文字号格式错误。</explain>
      <paraID>7A333DCE</paraID>
      <start>28</start>
      <end>37</end>
      <status>unmodified</status>
      <modifiedWord/>
      <trackRevisions>false</trackRevisions>
    </reviewItem>
    <reviewItem>
      <errorID>fe6f532b-9b2f-40eb-b6d1-d4cc47faae71</errorID>
      <errorWord>证</errorWord>
      <group>L1_Word</group>
      <groupName>字词问题</groupName>
      <ability>L2_Typo</ability>
      <abilityName>字词错误</abilityName>
      <candidateList>
        <item>证明</item>
      </candidateList>
      <explain/>
      <paraID>7A333DCE</paraID>
      <start>146</start>
      <end>148</end>
      <status>modified</status>
      <modifiedWord>证明</modifiedWord>
      <trackRevisions>false</trackRevisions>
    </reviewItem>
    <reviewItem>
      <errorID>0d483b4e-1e3e-4016-8477-823dd8d8a509</errorID>
      <errorWord>(</errorWord>
      <group>L1_Format</group>
      <groupName>格式问题</groupName>
      <ability>L2_HalfPunc_CN</ability>
      <abilityName>全半角问题</abilityName>
      <candidateList>
        <item>（</item>
      </candidateList>
      <explain>文本全半角错误。</explain>
      <paraID>630A29B0</paraID>
      <start>2</start>
      <end>3</end>
      <status>unmodified</status>
      <modifiedWord/>
      <trackRevisions>false</trackRevisions>
    </reviewItem>
    <reviewItem>
      <errorID>f2c4c40d-3b2b-406a-902b-869714613d9c</errorID>
      <errorWord>)</errorWord>
      <group>L1_Format</group>
      <groupName>格式问题</groupName>
      <ability>L2_HalfPunc_CN</ability>
      <abilityName>全半角问题</abilityName>
      <candidateList>
        <item>）</item>
      </candidateList>
      <explain>文本全半角错误。</explain>
      <paraID>630A29B0</paraID>
      <start>5</start>
      <end>6</end>
      <status>unmodified</status>
      <modifiedWord/>
      <trackRevisions>false</trackRevisions>
    </reviewItem>
    <reviewItem>
      <errorID>e7732abf-df10-471b-abff-ff601ab09aba</errorID>
      <errorWord>,</errorWord>
      <group>L1_Format</group>
      <groupName>格式问题</groupName>
      <ability>L2_HalfPunc_CN</ability>
      <abilityName>全半角问题</abilityName>
      <candidateList>
        <item>，</item>
      </candidateList>
      <explain>文本全半角错误。</explain>
      <paraID>22DE9517</paraID>
      <start>15</start>
      <end>16</end>
      <status>unmodified</status>
      <modifiedWord/>
      <trackRevisions>false</trackRevisions>
    </reviewItem>
    <reviewItem>
      <errorID>0220e3be-fd25-4713-8b8d-b90eb7169a61</errorID>
      <errorWord>提出质疑</errorWord>
      <group>L1_Grammar</group>
      <groupName>语法问题</groupName>
      <ability>L2_Grammar</ability>
      <abilityName>语法错误</abilityName>
      <candidateList>
        <item>质疑</item>
      </candidateList>
      <explain>该表达中的“提出质疑”存在语义重复。【词汇解析】质疑：提出疑问。与“提出”语义重复。</explain>
      <paraID>22DE9517</paraID>
      <start>36</start>
      <end>40</end>
      <status>unmodified</status>
      <modifiedWord/>
      <trackRevisions>false</trackRevisions>
    </reviewItem>
    <reviewItem>
      <errorID>8c22a211-57b4-4f48-a07a-58471375d98d</errorID>
      <errorWord>,</errorWord>
      <group>L1_Format</group>
      <groupName>格式问题</groupName>
      <ability>L2_HalfPunc_CN</ability>
      <abilityName>全半角问题</abilityName>
      <candidateList>
        <item>，</item>
      </candidateList>
      <explain>文本全半角错误。</explain>
      <paraID>712A33CD</paraID>
      <start>21</start>
      <end>22</end>
      <status>unmodified</status>
      <modifiedWord/>
      <trackRevisions>false</trackRevisions>
    </reviewItem>
    <reviewItem>
      <errorID>c3ecca40-a9a7-4518-a756-d596e26b3ff5</errorID>
      <errorWord>(</errorWord>
      <group>L1_Format</group>
      <groupName>格式问题</groupName>
      <ability>L2_HalfPunc_CN</ability>
      <abilityName>全半角问题</abilityName>
      <candidateList>
        <item>（</item>
      </candidateList>
      <explain>文本全半角错误。</explain>
      <paraID>5F340EDC</paraID>
      <start>2</start>
      <end>3</end>
      <status>unmodified</status>
      <modifiedWord/>
      <trackRevisions>false</trackRevisions>
    </reviewItem>
    <reviewItem>
      <errorID>31c9483a-d871-4007-b224-3ee483bc07fc</errorID>
      <errorWord>)</errorWord>
      <group>L1_Format</group>
      <groupName>格式问题</groupName>
      <ability>L2_HalfPunc_CN</ability>
      <abilityName>全半角问题</abilityName>
      <candidateList>
        <item>）</item>
      </candidateList>
      <explain>文本全半角错误。</explain>
      <paraID>5F340EDC</paraID>
      <start>5</start>
      <end>6</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6f7c7ab-f590-4508-9f20-e73d8fcffc53}">
  <ds:schemaRefs/>
</ds:datastoreItem>
</file>

<file path=docProps/app.xml><?xml version="1.0" encoding="utf-8"?>
<Properties xmlns="http://schemas.openxmlformats.org/officeDocument/2006/extended-properties" xmlns:vt="http://schemas.openxmlformats.org/officeDocument/2006/docPropsVTypes">
  <Template>Normal</Template>
  <Company>admin</Company>
  <Pages>167</Pages>
  <Words>21227</Words>
  <Characters>22925</Characters>
  <Lines>479</Lines>
  <Paragraphs>134</Paragraphs>
  <TotalTime>182</TotalTime>
  <ScaleCrop>false</ScaleCrop>
  <LinksUpToDate>false</LinksUpToDate>
  <CharactersWithSpaces>23178</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2021-08-25T01:16:00Z</dcterms:created>
  <dc:creator>丁琳</dc:creator>
  <cp:lastModifiedBy>林林</cp:lastModifiedBy>
  <cp:lastPrinted>2026-06-12T12:16:00Z</cp:lastPrinted>
  <dcterms:modified xsi:type="dcterms:W3CDTF">2026-06-16T05:04:31Z</dcterms:modified>
  <dc:title>南财采管〔2012〕3号</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DFE5E7F7C3544C5C94E99F73C42DFE80_13</vt:lpwstr>
  </property>
  <property fmtid="{D5CDD505-2E9C-101B-9397-08002B2CF9AE}" pid="4" name="KSOTemplateDocerSaveRecord">
    <vt:lpwstr>eyJoZGlkIjoiNTNiMjFkODBjNDc3NjY5MzlkMTEzMDViNTRkMTI2YjkiLCJ1c2VySWQiOiI2MDQ5Mjg3MjIifQ==</vt:lpwstr>
  </property>
</Properties>
</file>